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F064A">
      <w:pPr>
        <w:pStyle w:val="43"/>
        <w:pageBreakBefore w:val="0"/>
        <w:kinsoku/>
        <w:wordWrap/>
        <w:topLinePunct w:val="0"/>
        <w:bidi w:val="0"/>
        <w:ind w:left="0" w:leftChars="0" w:firstLine="0" w:firstLineChars="0"/>
        <w:jc w:val="center"/>
        <w:outlineLvl w:val="9"/>
        <w:rPr>
          <w:rFonts w:hint="eastAsia" w:ascii="宋体" w:hAnsi="宋体" w:eastAsia="宋体" w:cs="宋体"/>
          <w:b/>
          <w:bCs/>
          <w:color w:val="auto"/>
          <w:sz w:val="52"/>
          <w:szCs w:val="52"/>
          <w:highlight w:val="none"/>
          <w:lang w:eastAsia="zh-CN"/>
        </w:rPr>
      </w:pPr>
      <w:bookmarkStart w:id="0" w:name="_Toc28359001"/>
      <w:bookmarkStart w:id="1" w:name="_Toc35393789"/>
    </w:p>
    <w:p w14:paraId="3727CEBB">
      <w:pPr>
        <w:pStyle w:val="43"/>
        <w:pageBreakBefore w:val="0"/>
        <w:kinsoku/>
        <w:wordWrap/>
        <w:topLinePunct w:val="0"/>
        <w:bidi w:val="0"/>
        <w:ind w:left="0" w:leftChars="0" w:firstLine="0" w:firstLineChars="0"/>
        <w:jc w:val="center"/>
        <w:outlineLvl w:val="9"/>
        <w:rPr>
          <w:rFonts w:hint="eastAsia" w:ascii="宋体" w:hAnsi="宋体" w:eastAsia="宋体" w:cs="宋体"/>
          <w:b/>
          <w:bCs/>
          <w:color w:val="auto"/>
          <w:sz w:val="52"/>
          <w:szCs w:val="52"/>
          <w:highlight w:val="none"/>
          <w:lang w:eastAsia="zh-CN"/>
        </w:rPr>
      </w:pPr>
    </w:p>
    <w:p w14:paraId="26E5AB96">
      <w:pPr>
        <w:pStyle w:val="43"/>
        <w:pageBreakBefore w:val="0"/>
        <w:kinsoku/>
        <w:wordWrap/>
        <w:topLinePunct w:val="0"/>
        <w:bidi w:val="0"/>
        <w:ind w:left="0" w:leftChars="0" w:firstLine="0" w:firstLineChars="0"/>
        <w:jc w:val="center"/>
        <w:outlineLvl w:val="9"/>
        <w:rPr>
          <w:rFonts w:hint="eastAsia"/>
          <w:b w:val="0"/>
          <w:bCs w:val="0"/>
          <w:color w:val="auto"/>
          <w:highlight w:val="none"/>
          <w:lang w:val="en-US" w:eastAsia="zh-CN"/>
        </w:rPr>
      </w:pPr>
      <w:r>
        <w:rPr>
          <w:rFonts w:hint="eastAsia" w:ascii="宋体" w:hAnsi="宋体" w:eastAsia="宋体" w:cs="宋体"/>
          <w:b/>
          <w:bCs/>
          <w:color w:val="auto"/>
          <w:sz w:val="52"/>
          <w:szCs w:val="52"/>
          <w:highlight w:val="none"/>
          <w:lang w:eastAsia="zh-CN"/>
        </w:rPr>
        <w:t>哈密市巴里坤县三塘湖镇冷链物流设施建设项目-监理</w:t>
      </w:r>
    </w:p>
    <w:p w14:paraId="77469C10">
      <w:pPr>
        <w:pStyle w:val="43"/>
        <w:pageBreakBefore w:val="0"/>
        <w:kinsoku/>
        <w:wordWrap/>
        <w:topLinePunct w:val="0"/>
        <w:bidi w:val="0"/>
        <w:outlineLvl w:val="9"/>
        <w:rPr>
          <w:rFonts w:hint="eastAsia"/>
          <w:b w:val="0"/>
          <w:bCs w:val="0"/>
          <w:color w:val="auto"/>
          <w:highlight w:val="none"/>
          <w:lang w:val="en-US" w:eastAsia="zh-CN"/>
        </w:rPr>
      </w:pPr>
    </w:p>
    <w:p w14:paraId="363278F0">
      <w:pPr>
        <w:pStyle w:val="43"/>
        <w:pageBreakBefore w:val="0"/>
        <w:kinsoku/>
        <w:wordWrap/>
        <w:topLinePunct w:val="0"/>
        <w:bidi w:val="0"/>
        <w:outlineLvl w:val="9"/>
        <w:rPr>
          <w:rFonts w:hint="eastAsia"/>
          <w:b w:val="0"/>
          <w:bCs w:val="0"/>
          <w:color w:val="auto"/>
          <w:highlight w:val="none"/>
          <w:lang w:val="en-US" w:eastAsia="zh-CN"/>
        </w:rPr>
      </w:pPr>
    </w:p>
    <w:p w14:paraId="5D3BA005">
      <w:pPr>
        <w:pStyle w:val="43"/>
        <w:pageBreakBefore w:val="0"/>
        <w:kinsoku/>
        <w:wordWrap/>
        <w:topLinePunct w:val="0"/>
        <w:bidi w:val="0"/>
        <w:outlineLvl w:val="9"/>
        <w:rPr>
          <w:rFonts w:hint="eastAsia"/>
          <w:b w:val="0"/>
          <w:bCs w:val="0"/>
          <w:color w:val="auto"/>
          <w:highlight w:val="none"/>
          <w:lang w:val="en-US" w:eastAsia="zh-CN"/>
        </w:rPr>
      </w:pPr>
    </w:p>
    <w:p w14:paraId="065D86B7">
      <w:pPr>
        <w:pStyle w:val="43"/>
        <w:pageBreakBefore w:val="0"/>
        <w:kinsoku/>
        <w:wordWrap/>
        <w:topLinePunct w:val="0"/>
        <w:bidi w:val="0"/>
        <w:outlineLvl w:val="9"/>
        <w:rPr>
          <w:rFonts w:hint="eastAsia"/>
          <w:b w:val="0"/>
          <w:bCs w:val="0"/>
          <w:color w:val="auto"/>
          <w:highlight w:val="none"/>
          <w:lang w:val="en-US" w:eastAsia="zh-CN"/>
        </w:rPr>
      </w:pPr>
    </w:p>
    <w:p w14:paraId="0DD795C5">
      <w:pPr>
        <w:pStyle w:val="43"/>
        <w:pageBreakBefore w:val="0"/>
        <w:kinsoku/>
        <w:wordWrap/>
        <w:topLinePunct w:val="0"/>
        <w:bidi w:val="0"/>
        <w:outlineLvl w:val="9"/>
        <w:rPr>
          <w:rFonts w:hint="eastAsia"/>
          <w:b w:val="0"/>
          <w:bCs w:val="0"/>
          <w:color w:val="auto"/>
          <w:highlight w:val="none"/>
          <w:lang w:val="en-US" w:eastAsia="zh-CN"/>
        </w:rPr>
      </w:pPr>
    </w:p>
    <w:p w14:paraId="0AEB5144">
      <w:pPr>
        <w:pStyle w:val="43"/>
        <w:pageBreakBefore w:val="0"/>
        <w:kinsoku/>
        <w:wordWrap/>
        <w:topLinePunct w:val="0"/>
        <w:bidi w:val="0"/>
        <w:outlineLvl w:val="9"/>
        <w:rPr>
          <w:rFonts w:hint="eastAsia"/>
          <w:b w:val="0"/>
          <w:bCs w:val="0"/>
          <w:color w:val="auto"/>
          <w:highlight w:val="none"/>
          <w:lang w:val="en-US" w:eastAsia="zh-CN"/>
        </w:rPr>
      </w:pPr>
    </w:p>
    <w:p w14:paraId="414A5A82">
      <w:pPr>
        <w:pStyle w:val="43"/>
        <w:pageBreakBefore w:val="0"/>
        <w:kinsoku/>
        <w:wordWrap/>
        <w:topLinePunct w:val="0"/>
        <w:bidi w:val="0"/>
        <w:outlineLvl w:val="9"/>
        <w:rPr>
          <w:rFonts w:hint="eastAsia"/>
          <w:b w:val="0"/>
          <w:bCs w:val="0"/>
          <w:color w:val="auto"/>
          <w:highlight w:val="none"/>
          <w:lang w:val="en-US" w:eastAsia="zh-CN"/>
        </w:rPr>
      </w:pPr>
    </w:p>
    <w:p w14:paraId="4D75A8A2">
      <w:pPr>
        <w:pStyle w:val="9"/>
        <w:pageBreakBefore w:val="0"/>
        <w:kinsoku/>
        <w:wordWrap/>
        <w:topLinePunct w:val="0"/>
        <w:bidi w:val="0"/>
        <w:jc w:val="center"/>
        <w:outlineLvl w:val="9"/>
        <w:rPr>
          <w:rFonts w:hint="eastAsia"/>
          <w:b w:val="0"/>
          <w:bCs w:val="0"/>
          <w:color w:val="auto"/>
          <w:highlight w:val="none"/>
          <w:lang w:val="en-US" w:eastAsia="zh-CN"/>
        </w:rPr>
      </w:pPr>
    </w:p>
    <w:p w14:paraId="013E35C0">
      <w:pPr>
        <w:pageBreakBefore w:val="0"/>
        <w:kinsoku/>
        <w:wordWrap/>
        <w:topLinePunct w:val="0"/>
        <w:autoSpaceDE w:val="0"/>
        <w:autoSpaceDN w:val="0"/>
        <w:bidi w:val="0"/>
        <w:adjustRightInd w:val="0"/>
        <w:jc w:val="center"/>
        <w:outlineLvl w:val="9"/>
        <w:rPr>
          <w:rFonts w:hint="eastAsia" w:ascii="宋体" w:hAnsi="宋体" w:eastAsia="宋体" w:cs="宋体"/>
          <w:b/>
          <w:bCs/>
          <w:color w:val="auto"/>
          <w:spacing w:val="38"/>
          <w:sz w:val="52"/>
          <w:szCs w:val="52"/>
          <w:highlight w:val="none"/>
          <w:lang w:val="en-US" w:eastAsia="zh-CN"/>
        </w:rPr>
      </w:pPr>
      <w:r>
        <w:rPr>
          <w:rFonts w:hint="eastAsia" w:ascii="宋体" w:hAnsi="宋体" w:eastAsia="宋体" w:cs="宋体"/>
          <w:b/>
          <w:bCs/>
          <w:color w:val="auto"/>
          <w:spacing w:val="38"/>
          <w:sz w:val="52"/>
          <w:szCs w:val="52"/>
          <w:highlight w:val="none"/>
          <w:lang w:val="en-US" w:eastAsia="zh-CN"/>
        </w:rPr>
        <w:t>招标文件</w:t>
      </w:r>
    </w:p>
    <w:p w14:paraId="627A8EAB">
      <w:pPr>
        <w:pStyle w:val="9"/>
        <w:pageBreakBefore w:val="0"/>
        <w:kinsoku/>
        <w:wordWrap/>
        <w:topLinePunct w:val="0"/>
        <w:bidi w:val="0"/>
        <w:ind w:left="0" w:leftChars="0" w:firstLine="0" w:firstLineChars="0"/>
        <w:outlineLvl w:val="9"/>
        <w:rPr>
          <w:rFonts w:hint="eastAsia"/>
          <w:b w:val="0"/>
          <w:bCs w:val="0"/>
          <w:color w:val="auto"/>
          <w:kern w:val="0"/>
          <w:sz w:val="28"/>
          <w:szCs w:val="28"/>
          <w:highlight w:val="none"/>
        </w:rPr>
      </w:pPr>
    </w:p>
    <w:p w14:paraId="2844E145">
      <w:pPr>
        <w:rPr>
          <w:rFonts w:hint="eastAsia"/>
          <w:b w:val="0"/>
          <w:bCs w:val="0"/>
          <w:color w:val="auto"/>
          <w:kern w:val="0"/>
          <w:sz w:val="28"/>
          <w:szCs w:val="28"/>
          <w:highlight w:val="none"/>
        </w:rPr>
      </w:pPr>
    </w:p>
    <w:p w14:paraId="09B3E8C7">
      <w:pPr>
        <w:rPr>
          <w:rFonts w:hint="eastAsia"/>
          <w:b w:val="0"/>
          <w:bCs w:val="0"/>
          <w:color w:val="auto"/>
          <w:kern w:val="0"/>
          <w:sz w:val="28"/>
          <w:szCs w:val="28"/>
          <w:highlight w:val="none"/>
        </w:rPr>
      </w:pPr>
    </w:p>
    <w:p w14:paraId="3C47BB22">
      <w:pPr>
        <w:pageBreakBefore w:val="0"/>
        <w:kinsoku/>
        <w:wordWrap/>
        <w:topLinePunct w:val="0"/>
        <w:bidi w:val="0"/>
        <w:outlineLvl w:val="9"/>
        <w:rPr>
          <w:rFonts w:hint="eastAsia"/>
          <w:b w:val="0"/>
          <w:bCs w:val="0"/>
          <w:color w:val="auto"/>
          <w:kern w:val="0"/>
          <w:sz w:val="28"/>
          <w:szCs w:val="28"/>
          <w:highlight w:val="none"/>
        </w:rPr>
      </w:pPr>
    </w:p>
    <w:p w14:paraId="05B30BF0">
      <w:pPr>
        <w:pageBreakBefore w:val="0"/>
        <w:kinsoku/>
        <w:wordWrap/>
        <w:topLinePunct w:val="0"/>
        <w:bidi w:val="0"/>
        <w:outlineLvl w:val="9"/>
        <w:rPr>
          <w:rFonts w:hint="eastAsia"/>
          <w:b w:val="0"/>
          <w:bCs w:val="0"/>
          <w:color w:val="auto"/>
          <w:kern w:val="0"/>
          <w:sz w:val="28"/>
          <w:szCs w:val="28"/>
          <w:highlight w:val="none"/>
        </w:rPr>
      </w:pPr>
    </w:p>
    <w:p w14:paraId="761F73C9">
      <w:pPr>
        <w:pStyle w:val="43"/>
        <w:pageBreakBefore w:val="0"/>
        <w:kinsoku/>
        <w:wordWrap/>
        <w:topLinePunct w:val="0"/>
        <w:bidi w:val="0"/>
        <w:outlineLvl w:val="9"/>
        <w:rPr>
          <w:rFonts w:hint="eastAsia"/>
          <w:b w:val="0"/>
          <w:bCs w:val="0"/>
          <w:color w:val="auto"/>
          <w:highlight w:val="none"/>
        </w:rPr>
      </w:pPr>
    </w:p>
    <w:p w14:paraId="5B9A9A4D">
      <w:pPr>
        <w:pStyle w:val="43"/>
        <w:pageBreakBefore w:val="0"/>
        <w:kinsoku/>
        <w:wordWrap/>
        <w:topLinePunct w:val="0"/>
        <w:bidi w:val="0"/>
        <w:outlineLvl w:val="9"/>
        <w:rPr>
          <w:rFonts w:hint="eastAsia"/>
          <w:b w:val="0"/>
          <w:bCs w:val="0"/>
          <w:color w:val="auto"/>
          <w:highlight w:val="none"/>
        </w:rPr>
      </w:pPr>
    </w:p>
    <w:p w14:paraId="64C92B22">
      <w:pPr>
        <w:pStyle w:val="43"/>
        <w:pageBreakBefore w:val="0"/>
        <w:kinsoku/>
        <w:wordWrap/>
        <w:topLinePunct w:val="0"/>
        <w:bidi w:val="0"/>
        <w:outlineLvl w:val="9"/>
        <w:rPr>
          <w:rFonts w:hint="eastAsia"/>
          <w:b w:val="0"/>
          <w:bCs w:val="0"/>
          <w:color w:val="auto"/>
          <w:highlight w:val="none"/>
        </w:rPr>
      </w:pPr>
    </w:p>
    <w:p w14:paraId="5663970A">
      <w:pPr>
        <w:pStyle w:val="43"/>
        <w:pageBreakBefore w:val="0"/>
        <w:kinsoku/>
        <w:wordWrap/>
        <w:topLinePunct w:val="0"/>
        <w:bidi w:val="0"/>
        <w:outlineLvl w:val="9"/>
        <w:rPr>
          <w:rFonts w:hint="eastAsia"/>
          <w:b w:val="0"/>
          <w:bCs w:val="0"/>
          <w:color w:val="auto"/>
          <w:highlight w:val="none"/>
        </w:rPr>
      </w:pPr>
    </w:p>
    <w:p w14:paraId="15EBAF84">
      <w:pPr>
        <w:pageBreakBefore w:val="0"/>
        <w:widowControl/>
        <w:kinsoku/>
        <w:wordWrap/>
        <w:topLinePunct w:val="0"/>
        <w:bidi w:val="0"/>
        <w:outlineLvl w:val="9"/>
        <w:rPr>
          <w:rFonts w:hint="eastAsia"/>
          <w:b/>
          <w:bCs/>
          <w:color w:val="auto"/>
          <w:sz w:val="30"/>
          <w:szCs w:val="30"/>
          <w:highlight w:val="none"/>
          <w:u w:val="single"/>
        </w:rPr>
      </w:pPr>
    </w:p>
    <w:p w14:paraId="68950181">
      <w:pPr>
        <w:spacing w:line="263" w:lineRule="auto"/>
        <w:rPr>
          <w:rFonts w:ascii="Arial"/>
          <w:sz w:val="21"/>
        </w:rPr>
      </w:pPr>
      <w:r>
        <w:rPr>
          <w:rFonts w:hint="eastAsia" w:ascii="宋体" w:hAnsi="宋体" w:cs="宋体"/>
          <w:b/>
          <w:kern w:val="0"/>
          <w:sz w:val="30"/>
          <w:szCs w:val="30"/>
          <w:lang w:bidi="zh-CN"/>
        </w:rPr>
        <w:t>项目编号：</w:t>
      </w:r>
      <w:r>
        <w:rPr>
          <w:rFonts w:hint="eastAsia" w:ascii="宋体" w:hAnsi="宋体" w:cs="宋体"/>
          <w:b/>
          <w:kern w:val="0"/>
          <w:sz w:val="30"/>
          <w:szCs w:val="30"/>
          <w:highlight w:val="none"/>
          <w:lang w:val="en-US" w:eastAsia="zh-CN" w:bidi="zh-CN"/>
        </w:rPr>
        <w:t>FTD2026-077</w:t>
      </w:r>
    </w:p>
    <w:p w14:paraId="2C56B9F9">
      <w:pPr>
        <w:pStyle w:val="16"/>
        <w:pageBreakBefore w:val="0"/>
        <w:kinsoku/>
        <w:wordWrap w:val="0"/>
        <w:overflowPunct/>
        <w:bidi w:val="0"/>
        <w:spacing w:line="360" w:lineRule="auto"/>
        <w:ind w:left="1405" w:leftChars="0" w:hanging="1405" w:hangingChars="500"/>
        <w:rPr>
          <w:rFonts w:hint="eastAsia" w:ascii="宋体" w:hAnsi="宋体" w:eastAsia="宋体" w:cs="宋体"/>
          <w:b/>
          <w:color w:val="000000"/>
          <w:sz w:val="28"/>
          <w:szCs w:val="28"/>
          <w:lang w:eastAsia="zh-CN"/>
        </w:rPr>
      </w:pPr>
    </w:p>
    <w:p w14:paraId="1C8AF389">
      <w:pPr>
        <w:pStyle w:val="16"/>
        <w:pageBreakBefore w:val="0"/>
        <w:kinsoku/>
        <w:wordWrap w:val="0"/>
        <w:overflowPunct/>
        <w:bidi w:val="0"/>
        <w:spacing w:line="360" w:lineRule="auto"/>
        <w:ind w:left="0" w:leftChars="0" w:firstLine="0" w:firstLineChars="0"/>
        <w:rPr>
          <w:rFonts w:hint="eastAsia" w:ascii="宋体" w:hAnsi="宋体" w:eastAsia="宋体" w:cs="宋体"/>
          <w:b/>
          <w:color w:val="000000"/>
          <w:sz w:val="28"/>
          <w:szCs w:val="28"/>
          <w:lang w:val="en-US" w:eastAsia="zh-CN"/>
        </w:rPr>
      </w:pPr>
      <w:r>
        <w:rPr>
          <w:rFonts w:hint="eastAsia" w:cs="宋体"/>
          <w:b/>
          <w:color w:val="000000"/>
          <w:sz w:val="28"/>
          <w:szCs w:val="28"/>
          <w:lang w:val="en-US" w:eastAsia="zh-CN"/>
        </w:rPr>
        <w:t>招标</w:t>
      </w:r>
      <w:r>
        <w:rPr>
          <w:rFonts w:hint="eastAsia" w:ascii="宋体" w:hAnsi="宋体" w:eastAsia="宋体" w:cs="宋体"/>
          <w:b/>
          <w:color w:val="000000"/>
          <w:sz w:val="28"/>
          <w:szCs w:val="28"/>
        </w:rPr>
        <w:t>人：</w:t>
      </w:r>
      <w:r>
        <w:rPr>
          <w:rFonts w:hint="eastAsia" w:ascii="宋体" w:hAnsi="宋体" w:eastAsia="宋体" w:cs="宋体"/>
          <w:b/>
          <w:color w:val="000000"/>
          <w:sz w:val="28"/>
          <w:szCs w:val="28"/>
          <w:lang w:val="en-US" w:eastAsia="zh-CN"/>
        </w:rPr>
        <w:t>巴里坤哈萨克自治县农业农村局</w:t>
      </w:r>
    </w:p>
    <w:p w14:paraId="76CB7639">
      <w:pPr>
        <w:autoSpaceDE w:val="0"/>
        <w:autoSpaceDN w:val="0"/>
        <w:adjustRightInd w:val="0"/>
        <w:jc w:val="both"/>
        <w:rPr>
          <w:rFonts w:hint="eastAsia" w:ascii="宋体" w:hAnsi="宋体" w:eastAsia="宋体" w:cs="宋体"/>
          <w:b/>
          <w:color w:val="000000"/>
          <w:sz w:val="28"/>
          <w:szCs w:val="28"/>
          <w:lang w:val="en-US" w:eastAsia="zh-CN"/>
        </w:rPr>
      </w:pPr>
    </w:p>
    <w:p w14:paraId="3D6DDA9D">
      <w:pPr>
        <w:autoSpaceDE w:val="0"/>
        <w:autoSpaceDN w:val="0"/>
        <w:adjustRightInd w:val="0"/>
        <w:jc w:val="both"/>
        <w:rPr>
          <w:rFonts w:hint="default" w:ascii="宋体" w:hAnsi="宋体" w:eastAsia="宋体"/>
          <w:b/>
          <w:color w:val="000000"/>
          <w:kern w:val="0"/>
          <w:sz w:val="30"/>
          <w:szCs w:val="30"/>
          <w:lang w:val="en-US" w:eastAsia="zh-CN"/>
        </w:rPr>
      </w:pPr>
      <w:r>
        <w:rPr>
          <w:rFonts w:hint="eastAsia" w:ascii="宋体" w:hAnsi="宋体" w:cs="宋体"/>
          <w:b/>
          <w:color w:val="000000"/>
          <w:sz w:val="28"/>
          <w:szCs w:val="28"/>
          <w:lang w:val="en-US" w:eastAsia="zh-CN"/>
        </w:rPr>
        <w:t>招标</w:t>
      </w:r>
      <w:r>
        <w:rPr>
          <w:rFonts w:hint="eastAsia" w:ascii="宋体" w:hAnsi="宋体" w:eastAsia="宋体" w:cs="宋体"/>
          <w:b/>
          <w:color w:val="000000"/>
          <w:sz w:val="28"/>
          <w:szCs w:val="28"/>
        </w:rPr>
        <w:t>代理机构：</w:t>
      </w:r>
      <w:r>
        <w:rPr>
          <w:rFonts w:hint="eastAsia" w:ascii="宋体" w:hAnsi="宋体" w:eastAsia="宋体" w:cs="宋体"/>
          <w:b/>
          <w:color w:val="000000"/>
          <w:sz w:val="28"/>
          <w:szCs w:val="28"/>
          <w:highlight w:val="white"/>
          <w:lang w:eastAsia="zh-CN"/>
        </w:rPr>
        <w:t>新疆飞腾达工程项目管理咨询有限公司</w:t>
      </w:r>
    </w:p>
    <w:p w14:paraId="6F7C0232">
      <w:pPr>
        <w:pStyle w:val="21"/>
        <w:rPr>
          <w:rFonts w:hint="eastAsia" w:ascii="宋体" w:hAnsi="宋体"/>
          <w:b/>
          <w:color w:val="000000"/>
          <w:kern w:val="0"/>
          <w:sz w:val="30"/>
          <w:szCs w:val="30"/>
          <w:lang w:val="en-US" w:eastAsia="zh-CN"/>
        </w:rPr>
      </w:pPr>
    </w:p>
    <w:p w14:paraId="30AAE0AC">
      <w:pPr>
        <w:pStyle w:val="10"/>
        <w:ind w:left="0" w:leftChars="0" w:firstLine="0" w:firstLineChars="0"/>
        <w:rPr>
          <w:rFonts w:hint="eastAsia"/>
          <w:lang w:val="en-US" w:eastAsia="zh-CN"/>
        </w:rPr>
      </w:pPr>
    </w:p>
    <w:p w14:paraId="0019D320">
      <w:pPr>
        <w:autoSpaceDE w:val="0"/>
        <w:autoSpaceDN w:val="0"/>
        <w:adjustRightInd w:val="0"/>
        <w:jc w:val="center"/>
        <w:rPr>
          <w:rFonts w:hint="eastAsia" w:ascii="仿宋" w:hAnsi="仿宋" w:eastAsia="仿宋"/>
          <w:b/>
          <w:color w:val="auto"/>
          <w:sz w:val="30"/>
          <w:szCs w:val="30"/>
          <w:lang w:eastAsia="zh-CN"/>
        </w:rPr>
      </w:pPr>
      <w:r>
        <w:rPr>
          <w:rFonts w:hint="eastAsia" w:ascii="宋体" w:hAnsi="宋体"/>
          <w:b/>
          <w:color w:val="000000"/>
          <w:kern w:val="0"/>
          <w:sz w:val="30"/>
          <w:szCs w:val="30"/>
          <w:lang w:val="en-US" w:eastAsia="zh-CN"/>
        </w:rPr>
        <w:t>日期：2026年04月</w:t>
      </w:r>
    </w:p>
    <w:p w14:paraId="7C8E1C5F">
      <w:pPr>
        <w:pageBreakBefore w:val="0"/>
        <w:kinsoku/>
        <w:wordWrap/>
        <w:topLinePunct w:val="0"/>
        <w:bidi w:val="0"/>
        <w:snapToGrid w:val="0"/>
        <w:spacing w:line="500" w:lineRule="exact"/>
        <w:jc w:val="center"/>
        <w:outlineLvl w:val="9"/>
        <w:rPr>
          <w:rFonts w:hint="default" w:ascii="仿宋" w:hAnsi="仿宋" w:eastAsia="仿宋"/>
          <w:b w:val="0"/>
          <w:bCs w:val="0"/>
          <w:color w:val="auto"/>
          <w:sz w:val="32"/>
          <w:szCs w:val="32"/>
          <w:highlight w:val="none"/>
          <w:lang w:val="en-US" w:eastAsia="zh-CN"/>
        </w:rPr>
        <w:sectPr>
          <w:headerReference r:id="rId4" w:type="first"/>
          <w:headerReference r:id="rId3" w:type="default"/>
          <w:footerReference r:id="rId5" w:type="default"/>
          <w:footerReference r:id="rId6" w:type="even"/>
          <w:pgSz w:w="11907" w:h="16840"/>
          <w:pgMar w:top="1814" w:right="1287" w:bottom="1701" w:left="1260" w:header="851" w:footer="992" w:gutter="0"/>
          <w:pgBorders>
            <w:top w:val="none" w:sz="0" w:space="0"/>
            <w:left w:val="none" w:sz="0" w:space="0"/>
            <w:bottom w:val="none" w:sz="0" w:space="0"/>
            <w:right w:val="none" w:sz="0" w:space="0"/>
          </w:pgBorders>
          <w:pgNumType w:fmt="decimal"/>
          <w:cols w:space="720" w:num="1"/>
          <w:titlePg/>
          <w:docGrid w:linePitch="271" w:charSpace="0"/>
        </w:sectPr>
      </w:pPr>
    </w:p>
    <w:bookmarkEnd w:id="0"/>
    <w:bookmarkEnd w:id="1"/>
    <w:p w14:paraId="3A3EA819">
      <w:pPr>
        <w:pStyle w:val="17"/>
        <w:pageBreakBefore w:val="0"/>
        <w:kinsoku/>
        <w:wordWrap/>
        <w:topLinePunct w:val="0"/>
        <w:bidi w:val="0"/>
        <w:jc w:val="center"/>
        <w:outlineLvl w:val="9"/>
        <w:rPr>
          <w:rFonts w:ascii="Times New Roman" w:hAnsi="Times New Roman"/>
          <w:b w:val="0"/>
          <w:bCs w:val="0"/>
          <w:color w:val="auto"/>
          <w:sz w:val="48"/>
          <w:szCs w:val="48"/>
          <w:highlight w:val="none"/>
        </w:rPr>
      </w:pPr>
      <w:r>
        <w:rPr>
          <w:rFonts w:hint="eastAsia" w:ascii="Times New Roman" w:hAnsi="Times New Roman"/>
          <w:b w:val="0"/>
          <w:bCs w:val="0"/>
          <w:color w:val="auto"/>
          <w:sz w:val="48"/>
          <w:szCs w:val="48"/>
          <w:highlight w:val="none"/>
        </w:rPr>
        <w:t>目</w:t>
      </w:r>
      <w:r>
        <w:rPr>
          <w:rFonts w:ascii="Times New Roman" w:hAnsi="Times New Roman"/>
          <w:b w:val="0"/>
          <w:bCs w:val="0"/>
          <w:color w:val="auto"/>
          <w:sz w:val="48"/>
          <w:szCs w:val="48"/>
          <w:highlight w:val="none"/>
        </w:rPr>
        <w:t xml:space="preserve">     </w:t>
      </w:r>
      <w:r>
        <w:rPr>
          <w:rFonts w:hint="eastAsia" w:ascii="Times New Roman" w:hAnsi="Times New Roman"/>
          <w:b w:val="0"/>
          <w:bCs w:val="0"/>
          <w:color w:val="auto"/>
          <w:sz w:val="48"/>
          <w:szCs w:val="48"/>
          <w:highlight w:val="none"/>
        </w:rPr>
        <w:t>录</w:t>
      </w:r>
    </w:p>
    <w:p w14:paraId="1CD67FAB">
      <w:pPr>
        <w:pStyle w:val="17"/>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b w:val="0"/>
          <w:bCs w:val="0"/>
          <w:color w:val="auto"/>
          <w:highlight w:val="none"/>
        </w:rPr>
      </w:pPr>
      <w:r>
        <w:rPr>
          <w:rFonts w:hint="eastAsia"/>
          <w:b w:val="0"/>
          <w:bCs w:val="0"/>
          <w:color w:val="auto"/>
          <w:highlight w:val="none"/>
        </w:rPr>
        <w:tab/>
      </w:r>
    </w:p>
    <w:sdt>
      <w:sdtPr>
        <w:rPr>
          <w:rFonts w:ascii="宋体" w:hAnsi="宋体" w:eastAsia="宋体" w:cs="Times New Roman"/>
          <w:color w:val="auto"/>
          <w:kern w:val="2"/>
          <w:sz w:val="21"/>
          <w:szCs w:val="24"/>
          <w:highlight w:val="none"/>
          <w:lang w:val="en-US" w:eastAsia="zh-CN" w:bidi="ar-SA"/>
        </w:rPr>
        <w:id w:val="147473165"/>
        <w15:color w:val="DBDBDB"/>
        <w:docPartObj>
          <w:docPartGallery w:val="Table of Contents"/>
          <w:docPartUnique/>
        </w:docPartObj>
      </w:sdtPr>
      <w:sdtEndPr>
        <w:rPr>
          <w:rFonts w:hint="eastAsia" w:ascii="宋体" w:hAnsi="宋体" w:eastAsia="宋体" w:cs="宋体"/>
          <w:i w:val="0"/>
          <w:iCs w:val="0"/>
          <w:caps w:val="0"/>
          <w:color w:val="auto"/>
          <w:spacing w:val="0"/>
          <w:kern w:val="0"/>
          <w:sz w:val="24"/>
          <w:szCs w:val="24"/>
          <w:highlight w:val="none"/>
          <w:lang w:val="en-US" w:eastAsia="zh-CN" w:bidi="ar-SA"/>
        </w:rPr>
      </w:sdtEndPr>
      <w:sdtContent>
        <w:p w14:paraId="361771B1">
          <w:pPr>
            <w:spacing w:before="0" w:beforeLines="0" w:after="0" w:afterLines="0" w:line="240" w:lineRule="auto"/>
            <w:ind w:left="0" w:leftChars="0" w:right="0" w:rightChars="0" w:firstLine="0" w:firstLineChars="0"/>
            <w:jc w:val="center"/>
            <w:rPr>
              <w:color w:val="auto"/>
              <w:highlight w:val="none"/>
            </w:rPr>
          </w:pPr>
        </w:p>
        <w:p w14:paraId="4D1F3BCD">
          <w:pPr>
            <w:pStyle w:val="87"/>
            <w:tabs>
              <w:tab w:val="right" w:leader="dot" w:pos="9638"/>
            </w:tabs>
            <w:spacing w:line="360" w:lineRule="auto"/>
            <w:rPr>
              <w:rFonts w:hint="eastAsia" w:ascii="宋体" w:hAnsi="宋体" w:eastAsia="宋体" w:cs="宋体"/>
              <w:i w:val="0"/>
              <w:iCs w:val="0"/>
              <w:caps w:val="0"/>
              <w:color w:val="auto"/>
              <w:spacing w:val="0"/>
              <w:kern w:val="0"/>
              <w:sz w:val="22"/>
              <w:szCs w:val="22"/>
              <w:highlight w:val="none"/>
              <w:lang w:val="en-US" w:eastAsia="zh-CN" w:bidi="ar-SA"/>
            </w:rPr>
          </w:pPr>
          <w:r>
            <w:rPr>
              <w:rFonts w:hint="eastAsia" w:ascii="宋体" w:hAnsi="宋体" w:eastAsia="宋体" w:cs="宋体"/>
              <w:i w:val="0"/>
              <w:iCs w:val="0"/>
              <w:caps w:val="0"/>
              <w:color w:val="auto"/>
              <w:spacing w:val="0"/>
              <w:kern w:val="0"/>
              <w:sz w:val="22"/>
              <w:szCs w:val="22"/>
              <w:highlight w:val="none"/>
              <w:lang w:val="en-US" w:eastAsia="zh-CN" w:bidi="ar-SA"/>
            </w:rPr>
            <w:fldChar w:fldCharType="begin"/>
          </w:r>
          <w:r>
            <w:rPr>
              <w:rFonts w:hint="eastAsia" w:ascii="宋体" w:hAnsi="宋体" w:eastAsia="宋体" w:cs="宋体"/>
              <w:i w:val="0"/>
              <w:iCs w:val="0"/>
              <w:caps w:val="0"/>
              <w:color w:val="auto"/>
              <w:spacing w:val="0"/>
              <w:kern w:val="0"/>
              <w:sz w:val="22"/>
              <w:szCs w:val="22"/>
              <w:highlight w:val="none"/>
              <w:lang w:val="en-US" w:eastAsia="zh-CN" w:bidi="ar-SA"/>
            </w:rPr>
            <w:instrText xml:space="preserve">TOC \o "1-1" \h \u </w:instrText>
          </w:r>
          <w:r>
            <w:rPr>
              <w:rFonts w:hint="eastAsia" w:ascii="宋体" w:hAnsi="宋体" w:eastAsia="宋体" w:cs="宋体"/>
              <w:i w:val="0"/>
              <w:iCs w:val="0"/>
              <w:caps w:val="0"/>
              <w:color w:val="auto"/>
              <w:spacing w:val="0"/>
              <w:kern w:val="0"/>
              <w:sz w:val="22"/>
              <w:szCs w:val="22"/>
              <w:highlight w:val="none"/>
              <w:lang w:val="en-US" w:eastAsia="zh-CN" w:bidi="ar-SA"/>
            </w:rPr>
            <w:fldChar w:fldCharType="separate"/>
          </w:r>
          <w:r>
            <w:rPr>
              <w:rFonts w:hint="eastAsia" w:ascii="宋体" w:hAnsi="宋体" w:eastAsia="宋体" w:cs="宋体"/>
              <w:i w:val="0"/>
              <w:iCs w:val="0"/>
              <w:caps w:val="0"/>
              <w:color w:val="auto"/>
              <w:spacing w:val="0"/>
              <w:kern w:val="0"/>
              <w:sz w:val="22"/>
              <w:szCs w:val="22"/>
              <w:highlight w:val="none"/>
              <w:lang w:val="en-US" w:eastAsia="zh-CN" w:bidi="ar-SA"/>
            </w:rPr>
            <w:fldChar w:fldCharType="begin"/>
          </w:r>
          <w:r>
            <w:rPr>
              <w:rFonts w:hint="eastAsia" w:ascii="宋体" w:hAnsi="宋体" w:eastAsia="宋体" w:cs="宋体"/>
              <w:i w:val="0"/>
              <w:iCs w:val="0"/>
              <w:caps w:val="0"/>
              <w:color w:val="auto"/>
              <w:spacing w:val="0"/>
              <w:kern w:val="0"/>
              <w:sz w:val="22"/>
              <w:szCs w:val="22"/>
              <w:highlight w:val="none"/>
              <w:lang w:val="en-US" w:eastAsia="zh-CN" w:bidi="ar-SA"/>
            </w:rPr>
            <w:instrText xml:space="preserve"> HYPERLINK \l _Toc7840 </w:instrText>
          </w:r>
          <w:r>
            <w:rPr>
              <w:rFonts w:hint="eastAsia" w:ascii="宋体" w:hAnsi="宋体" w:eastAsia="宋体" w:cs="宋体"/>
              <w:i w:val="0"/>
              <w:iCs w:val="0"/>
              <w:caps w:val="0"/>
              <w:color w:val="auto"/>
              <w:spacing w:val="0"/>
              <w:kern w:val="0"/>
              <w:sz w:val="22"/>
              <w:szCs w:val="22"/>
              <w:highlight w:val="none"/>
              <w:lang w:val="en-US" w:eastAsia="zh-CN" w:bidi="ar-SA"/>
            </w:rPr>
            <w:fldChar w:fldCharType="separate"/>
          </w:r>
          <w:r>
            <w:rPr>
              <w:rFonts w:hint="eastAsia" w:ascii="宋体" w:hAnsi="宋体" w:eastAsia="宋体" w:cs="宋体"/>
              <w:i w:val="0"/>
              <w:iCs w:val="0"/>
              <w:caps w:val="0"/>
              <w:color w:val="auto"/>
              <w:spacing w:val="0"/>
              <w:kern w:val="0"/>
              <w:sz w:val="22"/>
              <w:szCs w:val="22"/>
              <w:highlight w:val="none"/>
              <w:lang w:val="en-US" w:eastAsia="zh-CN" w:bidi="ar-SA"/>
            </w:rPr>
            <w:t>第一章 招标公告</w:t>
          </w:r>
          <w:r>
            <w:rPr>
              <w:rFonts w:hint="eastAsia" w:ascii="宋体" w:hAnsi="宋体" w:eastAsia="宋体" w:cs="宋体"/>
              <w:i w:val="0"/>
              <w:iCs w:val="0"/>
              <w:caps w:val="0"/>
              <w:color w:val="auto"/>
              <w:spacing w:val="0"/>
              <w:kern w:val="0"/>
              <w:sz w:val="22"/>
              <w:szCs w:val="22"/>
              <w:highlight w:val="none"/>
              <w:lang w:val="en-US" w:eastAsia="zh-CN" w:bidi="ar-SA"/>
            </w:rPr>
            <w:tab/>
          </w:r>
          <w:r>
            <w:rPr>
              <w:rFonts w:hint="eastAsia" w:ascii="宋体" w:hAnsi="宋体" w:eastAsia="宋体" w:cs="宋体"/>
              <w:i w:val="0"/>
              <w:iCs w:val="0"/>
              <w:caps w:val="0"/>
              <w:color w:val="auto"/>
              <w:spacing w:val="0"/>
              <w:kern w:val="0"/>
              <w:sz w:val="22"/>
              <w:szCs w:val="22"/>
              <w:highlight w:val="none"/>
              <w:lang w:val="en-US" w:eastAsia="zh-CN" w:bidi="ar-SA"/>
            </w:rPr>
            <w:fldChar w:fldCharType="begin"/>
          </w:r>
          <w:r>
            <w:rPr>
              <w:rFonts w:hint="eastAsia" w:ascii="宋体" w:hAnsi="宋体" w:eastAsia="宋体" w:cs="宋体"/>
              <w:i w:val="0"/>
              <w:iCs w:val="0"/>
              <w:caps w:val="0"/>
              <w:color w:val="auto"/>
              <w:spacing w:val="0"/>
              <w:kern w:val="0"/>
              <w:sz w:val="22"/>
              <w:szCs w:val="22"/>
              <w:highlight w:val="none"/>
              <w:lang w:val="en-US" w:eastAsia="zh-CN" w:bidi="ar-SA"/>
            </w:rPr>
            <w:instrText xml:space="preserve"> PAGEREF _Toc7840 \h </w:instrText>
          </w:r>
          <w:r>
            <w:rPr>
              <w:rFonts w:hint="eastAsia" w:ascii="宋体" w:hAnsi="宋体" w:eastAsia="宋体" w:cs="宋体"/>
              <w:i w:val="0"/>
              <w:iCs w:val="0"/>
              <w:caps w:val="0"/>
              <w:color w:val="auto"/>
              <w:spacing w:val="0"/>
              <w:kern w:val="0"/>
              <w:sz w:val="22"/>
              <w:szCs w:val="22"/>
              <w:highlight w:val="none"/>
              <w:lang w:val="en-US" w:eastAsia="zh-CN" w:bidi="ar-SA"/>
            </w:rPr>
            <w:fldChar w:fldCharType="separate"/>
          </w:r>
          <w:r>
            <w:rPr>
              <w:rFonts w:hint="eastAsia" w:ascii="宋体" w:hAnsi="宋体" w:eastAsia="宋体" w:cs="宋体"/>
              <w:i w:val="0"/>
              <w:iCs w:val="0"/>
              <w:caps w:val="0"/>
              <w:color w:val="auto"/>
              <w:spacing w:val="0"/>
              <w:kern w:val="0"/>
              <w:sz w:val="22"/>
              <w:szCs w:val="22"/>
              <w:highlight w:val="none"/>
              <w:lang w:val="en-US" w:eastAsia="zh-CN" w:bidi="ar-SA"/>
            </w:rPr>
            <w:t>1</w:t>
          </w:r>
          <w:r>
            <w:rPr>
              <w:rFonts w:hint="eastAsia" w:ascii="宋体" w:hAnsi="宋体" w:eastAsia="宋体" w:cs="宋体"/>
              <w:i w:val="0"/>
              <w:iCs w:val="0"/>
              <w:caps w:val="0"/>
              <w:color w:val="auto"/>
              <w:spacing w:val="0"/>
              <w:kern w:val="0"/>
              <w:sz w:val="22"/>
              <w:szCs w:val="22"/>
              <w:highlight w:val="none"/>
              <w:lang w:val="en-US" w:eastAsia="zh-CN" w:bidi="ar-SA"/>
            </w:rPr>
            <w:fldChar w:fldCharType="end"/>
          </w:r>
          <w:r>
            <w:rPr>
              <w:rFonts w:hint="eastAsia" w:ascii="宋体" w:hAnsi="宋体" w:eastAsia="宋体" w:cs="宋体"/>
              <w:i w:val="0"/>
              <w:iCs w:val="0"/>
              <w:caps w:val="0"/>
              <w:color w:val="auto"/>
              <w:spacing w:val="0"/>
              <w:kern w:val="0"/>
              <w:sz w:val="22"/>
              <w:szCs w:val="22"/>
              <w:highlight w:val="none"/>
              <w:lang w:val="en-US" w:eastAsia="zh-CN" w:bidi="ar-SA"/>
            </w:rPr>
            <w:fldChar w:fldCharType="end"/>
          </w:r>
        </w:p>
        <w:p w14:paraId="4F6B2F3B">
          <w:pPr>
            <w:pStyle w:val="87"/>
            <w:tabs>
              <w:tab w:val="right" w:leader="dot" w:pos="9638"/>
            </w:tabs>
            <w:spacing w:line="360" w:lineRule="auto"/>
            <w:rPr>
              <w:rFonts w:hint="eastAsia" w:ascii="宋体" w:hAnsi="宋体" w:eastAsia="宋体" w:cs="宋体"/>
              <w:i w:val="0"/>
              <w:iCs w:val="0"/>
              <w:caps w:val="0"/>
              <w:color w:val="auto"/>
              <w:spacing w:val="0"/>
              <w:kern w:val="0"/>
              <w:sz w:val="22"/>
              <w:szCs w:val="22"/>
              <w:highlight w:val="none"/>
              <w:lang w:val="en-US" w:eastAsia="zh-CN" w:bidi="ar-SA"/>
            </w:rPr>
          </w:pPr>
          <w:r>
            <w:rPr>
              <w:rFonts w:hint="eastAsia" w:ascii="宋体" w:hAnsi="宋体" w:eastAsia="宋体" w:cs="宋体"/>
              <w:i w:val="0"/>
              <w:iCs w:val="0"/>
              <w:caps w:val="0"/>
              <w:color w:val="auto"/>
              <w:spacing w:val="0"/>
              <w:kern w:val="0"/>
              <w:sz w:val="22"/>
              <w:szCs w:val="22"/>
              <w:highlight w:val="none"/>
              <w:lang w:val="en-US" w:eastAsia="zh-CN" w:bidi="ar-SA"/>
            </w:rPr>
            <w:fldChar w:fldCharType="begin"/>
          </w:r>
          <w:r>
            <w:rPr>
              <w:rFonts w:hint="eastAsia" w:ascii="宋体" w:hAnsi="宋体" w:eastAsia="宋体" w:cs="宋体"/>
              <w:i w:val="0"/>
              <w:iCs w:val="0"/>
              <w:caps w:val="0"/>
              <w:color w:val="auto"/>
              <w:spacing w:val="0"/>
              <w:kern w:val="0"/>
              <w:sz w:val="22"/>
              <w:szCs w:val="22"/>
              <w:highlight w:val="none"/>
              <w:lang w:val="en-US" w:eastAsia="zh-CN" w:bidi="ar-SA"/>
            </w:rPr>
            <w:instrText xml:space="preserve"> HYPERLINK \l _Toc28448 </w:instrText>
          </w:r>
          <w:r>
            <w:rPr>
              <w:rFonts w:hint="eastAsia" w:ascii="宋体" w:hAnsi="宋体" w:eastAsia="宋体" w:cs="宋体"/>
              <w:i w:val="0"/>
              <w:iCs w:val="0"/>
              <w:caps w:val="0"/>
              <w:color w:val="auto"/>
              <w:spacing w:val="0"/>
              <w:kern w:val="0"/>
              <w:sz w:val="22"/>
              <w:szCs w:val="22"/>
              <w:highlight w:val="none"/>
              <w:lang w:val="en-US" w:eastAsia="zh-CN" w:bidi="ar-SA"/>
            </w:rPr>
            <w:fldChar w:fldCharType="separate"/>
          </w:r>
          <w:r>
            <w:rPr>
              <w:rFonts w:hint="eastAsia" w:ascii="宋体" w:hAnsi="宋体" w:eastAsia="宋体" w:cs="宋体"/>
              <w:i w:val="0"/>
              <w:iCs w:val="0"/>
              <w:caps w:val="0"/>
              <w:color w:val="auto"/>
              <w:spacing w:val="0"/>
              <w:kern w:val="0"/>
              <w:sz w:val="22"/>
              <w:szCs w:val="22"/>
              <w:highlight w:val="none"/>
              <w:lang w:val="en-US" w:eastAsia="zh-CN" w:bidi="ar-SA"/>
            </w:rPr>
            <w:t>第二章 投标人须知</w:t>
          </w:r>
          <w:r>
            <w:rPr>
              <w:rFonts w:hint="eastAsia" w:ascii="宋体" w:hAnsi="宋体" w:eastAsia="宋体" w:cs="宋体"/>
              <w:i w:val="0"/>
              <w:iCs w:val="0"/>
              <w:caps w:val="0"/>
              <w:color w:val="auto"/>
              <w:spacing w:val="0"/>
              <w:kern w:val="0"/>
              <w:sz w:val="22"/>
              <w:szCs w:val="22"/>
              <w:highlight w:val="none"/>
              <w:lang w:val="en-US" w:eastAsia="zh-CN" w:bidi="ar-SA"/>
            </w:rPr>
            <w:tab/>
          </w:r>
          <w:r>
            <w:rPr>
              <w:rFonts w:hint="eastAsia" w:ascii="宋体" w:hAnsi="宋体" w:eastAsia="宋体" w:cs="宋体"/>
              <w:i w:val="0"/>
              <w:iCs w:val="0"/>
              <w:caps w:val="0"/>
              <w:color w:val="auto"/>
              <w:spacing w:val="0"/>
              <w:kern w:val="0"/>
              <w:sz w:val="22"/>
              <w:szCs w:val="22"/>
              <w:highlight w:val="none"/>
              <w:lang w:val="en-US" w:eastAsia="zh-CN" w:bidi="ar-SA"/>
            </w:rPr>
            <w:fldChar w:fldCharType="begin"/>
          </w:r>
          <w:r>
            <w:rPr>
              <w:rFonts w:hint="eastAsia" w:ascii="宋体" w:hAnsi="宋体" w:eastAsia="宋体" w:cs="宋体"/>
              <w:i w:val="0"/>
              <w:iCs w:val="0"/>
              <w:caps w:val="0"/>
              <w:color w:val="auto"/>
              <w:spacing w:val="0"/>
              <w:kern w:val="0"/>
              <w:sz w:val="22"/>
              <w:szCs w:val="22"/>
              <w:highlight w:val="none"/>
              <w:lang w:val="en-US" w:eastAsia="zh-CN" w:bidi="ar-SA"/>
            </w:rPr>
            <w:instrText xml:space="preserve"> PAGEREF _Toc28448 \h </w:instrText>
          </w:r>
          <w:r>
            <w:rPr>
              <w:rFonts w:hint="eastAsia" w:ascii="宋体" w:hAnsi="宋体" w:eastAsia="宋体" w:cs="宋体"/>
              <w:i w:val="0"/>
              <w:iCs w:val="0"/>
              <w:caps w:val="0"/>
              <w:color w:val="auto"/>
              <w:spacing w:val="0"/>
              <w:kern w:val="0"/>
              <w:sz w:val="22"/>
              <w:szCs w:val="22"/>
              <w:highlight w:val="none"/>
              <w:lang w:val="en-US" w:eastAsia="zh-CN" w:bidi="ar-SA"/>
            </w:rPr>
            <w:fldChar w:fldCharType="separate"/>
          </w:r>
          <w:r>
            <w:rPr>
              <w:rFonts w:hint="eastAsia" w:ascii="宋体" w:hAnsi="宋体" w:eastAsia="宋体" w:cs="宋体"/>
              <w:i w:val="0"/>
              <w:iCs w:val="0"/>
              <w:caps w:val="0"/>
              <w:color w:val="auto"/>
              <w:spacing w:val="0"/>
              <w:kern w:val="0"/>
              <w:sz w:val="22"/>
              <w:szCs w:val="22"/>
              <w:highlight w:val="none"/>
              <w:lang w:val="en-US" w:eastAsia="zh-CN" w:bidi="ar-SA"/>
            </w:rPr>
            <w:t>4</w:t>
          </w:r>
          <w:r>
            <w:rPr>
              <w:rFonts w:hint="eastAsia" w:ascii="宋体" w:hAnsi="宋体" w:eastAsia="宋体" w:cs="宋体"/>
              <w:i w:val="0"/>
              <w:iCs w:val="0"/>
              <w:caps w:val="0"/>
              <w:color w:val="auto"/>
              <w:spacing w:val="0"/>
              <w:kern w:val="0"/>
              <w:sz w:val="22"/>
              <w:szCs w:val="22"/>
              <w:highlight w:val="none"/>
              <w:lang w:val="en-US" w:eastAsia="zh-CN" w:bidi="ar-SA"/>
            </w:rPr>
            <w:fldChar w:fldCharType="end"/>
          </w:r>
          <w:r>
            <w:rPr>
              <w:rFonts w:hint="eastAsia" w:ascii="宋体" w:hAnsi="宋体" w:eastAsia="宋体" w:cs="宋体"/>
              <w:i w:val="0"/>
              <w:iCs w:val="0"/>
              <w:caps w:val="0"/>
              <w:color w:val="auto"/>
              <w:spacing w:val="0"/>
              <w:kern w:val="0"/>
              <w:sz w:val="22"/>
              <w:szCs w:val="22"/>
              <w:highlight w:val="none"/>
              <w:lang w:val="en-US" w:eastAsia="zh-CN" w:bidi="ar-SA"/>
            </w:rPr>
            <w:fldChar w:fldCharType="end"/>
          </w:r>
        </w:p>
        <w:p w14:paraId="2E2EC9BA">
          <w:pPr>
            <w:pStyle w:val="87"/>
            <w:tabs>
              <w:tab w:val="right" w:leader="dot" w:pos="9638"/>
            </w:tabs>
            <w:spacing w:line="360" w:lineRule="auto"/>
            <w:rPr>
              <w:rFonts w:hint="eastAsia" w:ascii="宋体" w:hAnsi="宋体" w:eastAsia="宋体" w:cs="宋体"/>
              <w:i w:val="0"/>
              <w:iCs w:val="0"/>
              <w:caps w:val="0"/>
              <w:color w:val="auto"/>
              <w:spacing w:val="0"/>
              <w:kern w:val="0"/>
              <w:sz w:val="22"/>
              <w:szCs w:val="22"/>
              <w:highlight w:val="none"/>
              <w:lang w:val="en-US" w:eastAsia="zh-CN" w:bidi="ar-SA"/>
            </w:rPr>
          </w:pPr>
          <w:r>
            <w:rPr>
              <w:rFonts w:hint="eastAsia" w:ascii="宋体" w:hAnsi="宋体" w:eastAsia="宋体" w:cs="宋体"/>
              <w:i w:val="0"/>
              <w:iCs w:val="0"/>
              <w:caps w:val="0"/>
              <w:color w:val="auto"/>
              <w:spacing w:val="0"/>
              <w:kern w:val="0"/>
              <w:sz w:val="22"/>
              <w:szCs w:val="22"/>
              <w:highlight w:val="none"/>
              <w:lang w:val="en-US" w:eastAsia="zh-CN" w:bidi="ar-SA"/>
            </w:rPr>
            <w:fldChar w:fldCharType="begin"/>
          </w:r>
          <w:r>
            <w:rPr>
              <w:rFonts w:hint="eastAsia" w:ascii="宋体" w:hAnsi="宋体" w:eastAsia="宋体" w:cs="宋体"/>
              <w:i w:val="0"/>
              <w:iCs w:val="0"/>
              <w:caps w:val="0"/>
              <w:color w:val="auto"/>
              <w:spacing w:val="0"/>
              <w:kern w:val="0"/>
              <w:sz w:val="22"/>
              <w:szCs w:val="22"/>
              <w:highlight w:val="none"/>
              <w:lang w:val="en-US" w:eastAsia="zh-CN" w:bidi="ar-SA"/>
            </w:rPr>
            <w:instrText xml:space="preserve"> HYPERLINK \l _Toc16048 </w:instrText>
          </w:r>
          <w:r>
            <w:rPr>
              <w:rFonts w:hint="eastAsia" w:ascii="宋体" w:hAnsi="宋体" w:eastAsia="宋体" w:cs="宋体"/>
              <w:i w:val="0"/>
              <w:iCs w:val="0"/>
              <w:caps w:val="0"/>
              <w:color w:val="auto"/>
              <w:spacing w:val="0"/>
              <w:kern w:val="0"/>
              <w:sz w:val="22"/>
              <w:szCs w:val="22"/>
              <w:highlight w:val="none"/>
              <w:lang w:val="en-US" w:eastAsia="zh-CN" w:bidi="ar-SA"/>
            </w:rPr>
            <w:fldChar w:fldCharType="separate"/>
          </w:r>
          <w:r>
            <w:rPr>
              <w:rFonts w:hint="eastAsia" w:ascii="宋体" w:hAnsi="宋体" w:eastAsia="宋体" w:cs="宋体"/>
              <w:i w:val="0"/>
              <w:iCs w:val="0"/>
              <w:caps w:val="0"/>
              <w:color w:val="auto"/>
              <w:spacing w:val="0"/>
              <w:kern w:val="0"/>
              <w:sz w:val="22"/>
              <w:szCs w:val="22"/>
              <w:highlight w:val="none"/>
              <w:lang w:val="en-US" w:eastAsia="zh-CN" w:bidi="ar-SA"/>
            </w:rPr>
            <w:t>第三章 评审方法（综合评分法）</w:t>
          </w:r>
          <w:r>
            <w:rPr>
              <w:rFonts w:hint="eastAsia" w:ascii="宋体" w:hAnsi="宋体" w:eastAsia="宋体" w:cs="宋体"/>
              <w:i w:val="0"/>
              <w:iCs w:val="0"/>
              <w:caps w:val="0"/>
              <w:color w:val="auto"/>
              <w:spacing w:val="0"/>
              <w:kern w:val="0"/>
              <w:sz w:val="22"/>
              <w:szCs w:val="22"/>
              <w:highlight w:val="none"/>
              <w:lang w:val="en-US" w:eastAsia="zh-CN" w:bidi="ar-SA"/>
            </w:rPr>
            <w:tab/>
          </w:r>
          <w:r>
            <w:rPr>
              <w:rFonts w:hint="eastAsia" w:ascii="宋体" w:hAnsi="宋体" w:eastAsia="宋体" w:cs="宋体"/>
              <w:i w:val="0"/>
              <w:iCs w:val="0"/>
              <w:caps w:val="0"/>
              <w:color w:val="auto"/>
              <w:spacing w:val="0"/>
              <w:kern w:val="0"/>
              <w:sz w:val="22"/>
              <w:szCs w:val="22"/>
              <w:highlight w:val="none"/>
              <w:lang w:val="en-US" w:eastAsia="zh-CN" w:bidi="ar-SA"/>
            </w:rPr>
            <w:fldChar w:fldCharType="begin"/>
          </w:r>
          <w:r>
            <w:rPr>
              <w:rFonts w:hint="eastAsia" w:ascii="宋体" w:hAnsi="宋体" w:eastAsia="宋体" w:cs="宋体"/>
              <w:i w:val="0"/>
              <w:iCs w:val="0"/>
              <w:caps w:val="0"/>
              <w:color w:val="auto"/>
              <w:spacing w:val="0"/>
              <w:kern w:val="0"/>
              <w:sz w:val="22"/>
              <w:szCs w:val="22"/>
              <w:highlight w:val="none"/>
              <w:lang w:val="en-US" w:eastAsia="zh-CN" w:bidi="ar-SA"/>
            </w:rPr>
            <w:instrText xml:space="preserve"> PAGEREF _Toc16048 \h </w:instrText>
          </w:r>
          <w:r>
            <w:rPr>
              <w:rFonts w:hint="eastAsia" w:ascii="宋体" w:hAnsi="宋体" w:eastAsia="宋体" w:cs="宋体"/>
              <w:i w:val="0"/>
              <w:iCs w:val="0"/>
              <w:caps w:val="0"/>
              <w:color w:val="auto"/>
              <w:spacing w:val="0"/>
              <w:kern w:val="0"/>
              <w:sz w:val="22"/>
              <w:szCs w:val="22"/>
              <w:highlight w:val="none"/>
              <w:lang w:val="en-US" w:eastAsia="zh-CN" w:bidi="ar-SA"/>
            </w:rPr>
            <w:fldChar w:fldCharType="separate"/>
          </w:r>
          <w:r>
            <w:rPr>
              <w:rFonts w:hint="eastAsia" w:ascii="宋体" w:hAnsi="宋体" w:eastAsia="宋体" w:cs="宋体"/>
              <w:i w:val="0"/>
              <w:iCs w:val="0"/>
              <w:caps w:val="0"/>
              <w:color w:val="auto"/>
              <w:spacing w:val="0"/>
              <w:kern w:val="0"/>
              <w:sz w:val="22"/>
              <w:szCs w:val="22"/>
              <w:highlight w:val="none"/>
              <w:lang w:val="en-US" w:eastAsia="zh-CN" w:bidi="ar-SA"/>
            </w:rPr>
            <w:t>20</w:t>
          </w:r>
          <w:r>
            <w:rPr>
              <w:rFonts w:hint="eastAsia" w:ascii="宋体" w:hAnsi="宋体" w:eastAsia="宋体" w:cs="宋体"/>
              <w:i w:val="0"/>
              <w:iCs w:val="0"/>
              <w:caps w:val="0"/>
              <w:color w:val="auto"/>
              <w:spacing w:val="0"/>
              <w:kern w:val="0"/>
              <w:sz w:val="22"/>
              <w:szCs w:val="22"/>
              <w:highlight w:val="none"/>
              <w:lang w:val="en-US" w:eastAsia="zh-CN" w:bidi="ar-SA"/>
            </w:rPr>
            <w:fldChar w:fldCharType="end"/>
          </w:r>
          <w:r>
            <w:rPr>
              <w:rFonts w:hint="eastAsia" w:ascii="宋体" w:hAnsi="宋体" w:eastAsia="宋体" w:cs="宋体"/>
              <w:i w:val="0"/>
              <w:iCs w:val="0"/>
              <w:caps w:val="0"/>
              <w:color w:val="auto"/>
              <w:spacing w:val="0"/>
              <w:kern w:val="0"/>
              <w:sz w:val="22"/>
              <w:szCs w:val="22"/>
              <w:highlight w:val="none"/>
              <w:lang w:val="en-US" w:eastAsia="zh-CN" w:bidi="ar-SA"/>
            </w:rPr>
            <w:fldChar w:fldCharType="end"/>
          </w:r>
        </w:p>
        <w:p w14:paraId="0F40B0BC">
          <w:pPr>
            <w:pStyle w:val="87"/>
            <w:tabs>
              <w:tab w:val="right" w:leader="dot" w:pos="9638"/>
            </w:tabs>
            <w:spacing w:line="360" w:lineRule="auto"/>
            <w:rPr>
              <w:rFonts w:hint="eastAsia" w:ascii="宋体" w:hAnsi="宋体" w:eastAsia="宋体" w:cs="宋体"/>
              <w:i w:val="0"/>
              <w:iCs w:val="0"/>
              <w:caps w:val="0"/>
              <w:color w:val="auto"/>
              <w:spacing w:val="0"/>
              <w:kern w:val="0"/>
              <w:sz w:val="22"/>
              <w:szCs w:val="22"/>
              <w:highlight w:val="none"/>
              <w:lang w:val="en-US" w:eastAsia="zh-CN" w:bidi="ar-SA"/>
            </w:rPr>
          </w:pPr>
          <w:r>
            <w:rPr>
              <w:rFonts w:hint="eastAsia" w:ascii="宋体" w:hAnsi="宋体" w:eastAsia="宋体" w:cs="宋体"/>
              <w:i w:val="0"/>
              <w:iCs w:val="0"/>
              <w:caps w:val="0"/>
              <w:color w:val="auto"/>
              <w:spacing w:val="0"/>
              <w:kern w:val="0"/>
              <w:sz w:val="22"/>
              <w:szCs w:val="22"/>
              <w:highlight w:val="none"/>
              <w:lang w:val="en-US" w:eastAsia="zh-CN" w:bidi="ar-SA"/>
            </w:rPr>
            <w:fldChar w:fldCharType="begin"/>
          </w:r>
          <w:r>
            <w:rPr>
              <w:rFonts w:hint="eastAsia" w:ascii="宋体" w:hAnsi="宋体" w:eastAsia="宋体" w:cs="宋体"/>
              <w:i w:val="0"/>
              <w:iCs w:val="0"/>
              <w:caps w:val="0"/>
              <w:color w:val="auto"/>
              <w:spacing w:val="0"/>
              <w:kern w:val="0"/>
              <w:sz w:val="22"/>
              <w:szCs w:val="22"/>
              <w:highlight w:val="none"/>
              <w:lang w:val="en-US" w:eastAsia="zh-CN" w:bidi="ar-SA"/>
            </w:rPr>
            <w:instrText xml:space="preserve"> HYPERLINK \l _Toc13611 </w:instrText>
          </w:r>
          <w:r>
            <w:rPr>
              <w:rFonts w:hint="eastAsia" w:ascii="宋体" w:hAnsi="宋体" w:eastAsia="宋体" w:cs="宋体"/>
              <w:i w:val="0"/>
              <w:iCs w:val="0"/>
              <w:caps w:val="0"/>
              <w:color w:val="auto"/>
              <w:spacing w:val="0"/>
              <w:kern w:val="0"/>
              <w:sz w:val="22"/>
              <w:szCs w:val="22"/>
              <w:highlight w:val="none"/>
              <w:lang w:val="en-US" w:eastAsia="zh-CN" w:bidi="ar-SA"/>
            </w:rPr>
            <w:fldChar w:fldCharType="separate"/>
          </w:r>
          <w:r>
            <w:rPr>
              <w:rFonts w:hint="eastAsia" w:ascii="宋体" w:hAnsi="宋体" w:eastAsia="宋体" w:cs="宋体"/>
              <w:i w:val="0"/>
              <w:iCs w:val="0"/>
              <w:caps w:val="0"/>
              <w:color w:val="auto"/>
              <w:spacing w:val="0"/>
              <w:kern w:val="0"/>
              <w:sz w:val="22"/>
              <w:szCs w:val="22"/>
              <w:highlight w:val="none"/>
              <w:lang w:val="en-US" w:eastAsia="zh-CN" w:bidi="ar-SA"/>
            </w:rPr>
            <w:t>第四章 政府采购合同格式</w:t>
          </w:r>
          <w:r>
            <w:rPr>
              <w:rFonts w:hint="eastAsia" w:ascii="宋体" w:hAnsi="宋体" w:eastAsia="宋体" w:cs="宋体"/>
              <w:i w:val="0"/>
              <w:iCs w:val="0"/>
              <w:caps w:val="0"/>
              <w:color w:val="auto"/>
              <w:spacing w:val="0"/>
              <w:kern w:val="0"/>
              <w:sz w:val="22"/>
              <w:szCs w:val="22"/>
              <w:highlight w:val="none"/>
              <w:lang w:val="en-US" w:eastAsia="zh-CN" w:bidi="ar-SA"/>
            </w:rPr>
            <w:tab/>
          </w:r>
          <w:r>
            <w:rPr>
              <w:rFonts w:hint="eastAsia" w:ascii="宋体" w:hAnsi="宋体" w:eastAsia="宋体" w:cs="宋体"/>
              <w:i w:val="0"/>
              <w:iCs w:val="0"/>
              <w:caps w:val="0"/>
              <w:color w:val="auto"/>
              <w:spacing w:val="0"/>
              <w:kern w:val="0"/>
              <w:sz w:val="22"/>
              <w:szCs w:val="22"/>
              <w:highlight w:val="none"/>
              <w:lang w:val="en-US" w:eastAsia="zh-CN" w:bidi="ar-SA"/>
            </w:rPr>
            <w:fldChar w:fldCharType="begin"/>
          </w:r>
          <w:r>
            <w:rPr>
              <w:rFonts w:hint="eastAsia" w:ascii="宋体" w:hAnsi="宋体" w:eastAsia="宋体" w:cs="宋体"/>
              <w:i w:val="0"/>
              <w:iCs w:val="0"/>
              <w:caps w:val="0"/>
              <w:color w:val="auto"/>
              <w:spacing w:val="0"/>
              <w:kern w:val="0"/>
              <w:sz w:val="22"/>
              <w:szCs w:val="22"/>
              <w:highlight w:val="none"/>
              <w:lang w:val="en-US" w:eastAsia="zh-CN" w:bidi="ar-SA"/>
            </w:rPr>
            <w:instrText xml:space="preserve"> PAGEREF _Toc13611 \h </w:instrText>
          </w:r>
          <w:r>
            <w:rPr>
              <w:rFonts w:hint="eastAsia" w:ascii="宋体" w:hAnsi="宋体" w:eastAsia="宋体" w:cs="宋体"/>
              <w:i w:val="0"/>
              <w:iCs w:val="0"/>
              <w:caps w:val="0"/>
              <w:color w:val="auto"/>
              <w:spacing w:val="0"/>
              <w:kern w:val="0"/>
              <w:sz w:val="22"/>
              <w:szCs w:val="22"/>
              <w:highlight w:val="none"/>
              <w:lang w:val="en-US" w:eastAsia="zh-CN" w:bidi="ar-SA"/>
            </w:rPr>
            <w:fldChar w:fldCharType="separate"/>
          </w:r>
          <w:r>
            <w:rPr>
              <w:rFonts w:hint="eastAsia" w:ascii="宋体" w:hAnsi="宋体" w:eastAsia="宋体" w:cs="宋体"/>
              <w:i w:val="0"/>
              <w:iCs w:val="0"/>
              <w:caps w:val="0"/>
              <w:color w:val="auto"/>
              <w:spacing w:val="0"/>
              <w:kern w:val="0"/>
              <w:sz w:val="22"/>
              <w:szCs w:val="22"/>
              <w:highlight w:val="none"/>
              <w:lang w:val="en-US" w:eastAsia="zh-CN" w:bidi="ar-SA"/>
            </w:rPr>
            <w:t>24</w:t>
          </w:r>
          <w:r>
            <w:rPr>
              <w:rFonts w:hint="eastAsia" w:ascii="宋体" w:hAnsi="宋体" w:eastAsia="宋体" w:cs="宋体"/>
              <w:i w:val="0"/>
              <w:iCs w:val="0"/>
              <w:caps w:val="0"/>
              <w:color w:val="auto"/>
              <w:spacing w:val="0"/>
              <w:kern w:val="0"/>
              <w:sz w:val="22"/>
              <w:szCs w:val="22"/>
              <w:highlight w:val="none"/>
              <w:lang w:val="en-US" w:eastAsia="zh-CN" w:bidi="ar-SA"/>
            </w:rPr>
            <w:fldChar w:fldCharType="end"/>
          </w:r>
          <w:r>
            <w:rPr>
              <w:rFonts w:hint="eastAsia" w:ascii="宋体" w:hAnsi="宋体" w:eastAsia="宋体" w:cs="宋体"/>
              <w:i w:val="0"/>
              <w:iCs w:val="0"/>
              <w:caps w:val="0"/>
              <w:color w:val="auto"/>
              <w:spacing w:val="0"/>
              <w:kern w:val="0"/>
              <w:sz w:val="22"/>
              <w:szCs w:val="22"/>
              <w:highlight w:val="none"/>
              <w:lang w:val="en-US" w:eastAsia="zh-CN" w:bidi="ar-SA"/>
            </w:rPr>
            <w:fldChar w:fldCharType="end"/>
          </w:r>
        </w:p>
        <w:p w14:paraId="2156FA23">
          <w:pPr>
            <w:pStyle w:val="87"/>
            <w:tabs>
              <w:tab w:val="right" w:leader="dot" w:pos="9638"/>
            </w:tabs>
            <w:spacing w:line="360" w:lineRule="auto"/>
            <w:rPr>
              <w:rFonts w:hint="eastAsia" w:ascii="宋体" w:hAnsi="宋体" w:eastAsia="宋体" w:cs="宋体"/>
              <w:i w:val="0"/>
              <w:iCs w:val="0"/>
              <w:caps w:val="0"/>
              <w:color w:val="auto"/>
              <w:spacing w:val="0"/>
              <w:kern w:val="0"/>
              <w:sz w:val="22"/>
              <w:szCs w:val="22"/>
              <w:highlight w:val="none"/>
              <w:lang w:val="en-US" w:eastAsia="zh-CN" w:bidi="ar-SA"/>
            </w:rPr>
          </w:pPr>
          <w:r>
            <w:rPr>
              <w:rFonts w:hint="eastAsia" w:ascii="宋体" w:hAnsi="宋体" w:eastAsia="宋体" w:cs="宋体"/>
              <w:i w:val="0"/>
              <w:iCs w:val="0"/>
              <w:caps w:val="0"/>
              <w:color w:val="auto"/>
              <w:spacing w:val="0"/>
              <w:kern w:val="0"/>
              <w:sz w:val="22"/>
              <w:szCs w:val="22"/>
              <w:highlight w:val="none"/>
              <w:lang w:val="en-US" w:eastAsia="zh-CN" w:bidi="ar-SA"/>
            </w:rPr>
            <w:fldChar w:fldCharType="begin"/>
          </w:r>
          <w:r>
            <w:rPr>
              <w:rFonts w:hint="eastAsia" w:ascii="宋体" w:hAnsi="宋体" w:eastAsia="宋体" w:cs="宋体"/>
              <w:i w:val="0"/>
              <w:iCs w:val="0"/>
              <w:caps w:val="0"/>
              <w:color w:val="auto"/>
              <w:spacing w:val="0"/>
              <w:kern w:val="0"/>
              <w:sz w:val="22"/>
              <w:szCs w:val="22"/>
              <w:highlight w:val="none"/>
              <w:lang w:val="en-US" w:eastAsia="zh-CN" w:bidi="ar-SA"/>
            </w:rPr>
            <w:instrText xml:space="preserve"> HYPERLINK \l _Toc13030 </w:instrText>
          </w:r>
          <w:r>
            <w:rPr>
              <w:rFonts w:hint="eastAsia" w:ascii="宋体" w:hAnsi="宋体" w:eastAsia="宋体" w:cs="宋体"/>
              <w:i w:val="0"/>
              <w:iCs w:val="0"/>
              <w:caps w:val="0"/>
              <w:color w:val="auto"/>
              <w:spacing w:val="0"/>
              <w:kern w:val="0"/>
              <w:sz w:val="22"/>
              <w:szCs w:val="22"/>
              <w:highlight w:val="none"/>
              <w:lang w:val="en-US" w:eastAsia="zh-CN" w:bidi="ar-SA"/>
            </w:rPr>
            <w:fldChar w:fldCharType="separate"/>
          </w:r>
          <w:r>
            <w:rPr>
              <w:rFonts w:hint="eastAsia" w:ascii="宋体" w:hAnsi="宋体" w:eastAsia="宋体" w:cs="宋体"/>
              <w:i w:val="0"/>
              <w:iCs w:val="0"/>
              <w:caps w:val="0"/>
              <w:color w:val="auto"/>
              <w:spacing w:val="0"/>
              <w:kern w:val="0"/>
              <w:sz w:val="22"/>
              <w:szCs w:val="22"/>
              <w:highlight w:val="none"/>
              <w:lang w:val="en-US" w:eastAsia="zh-CN" w:bidi="ar-SA"/>
            </w:rPr>
            <w:t>第五章 采购需求</w:t>
          </w:r>
          <w:r>
            <w:rPr>
              <w:rFonts w:hint="eastAsia" w:ascii="宋体" w:hAnsi="宋体" w:eastAsia="宋体" w:cs="宋体"/>
              <w:i w:val="0"/>
              <w:iCs w:val="0"/>
              <w:caps w:val="0"/>
              <w:color w:val="auto"/>
              <w:spacing w:val="0"/>
              <w:kern w:val="0"/>
              <w:sz w:val="22"/>
              <w:szCs w:val="22"/>
              <w:highlight w:val="none"/>
              <w:lang w:val="en-US" w:eastAsia="zh-CN" w:bidi="ar-SA"/>
            </w:rPr>
            <w:tab/>
          </w:r>
          <w:r>
            <w:rPr>
              <w:rFonts w:hint="eastAsia" w:ascii="宋体" w:hAnsi="宋体" w:eastAsia="宋体" w:cs="宋体"/>
              <w:i w:val="0"/>
              <w:iCs w:val="0"/>
              <w:caps w:val="0"/>
              <w:color w:val="auto"/>
              <w:spacing w:val="0"/>
              <w:kern w:val="0"/>
              <w:sz w:val="22"/>
              <w:szCs w:val="22"/>
              <w:highlight w:val="none"/>
              <w:lang w:val="en-US" w:eastAsia="zh-CN" w:bidi="ar-SA"/>
            </w:rPr>
            <w:fldChar w:fldCharType="begin"/>
          </w:r>
          <w:r>
            <w:rPr>
              <w:rFonts w:hint="eastAsia" w:ascii="宋体" w:hAnsi="宋体" w:eastAsia="宋体" w:cs="宋体"/>
              <w:i w:val="0"/>
              <w:iCs w:val="0"/>
              <w:caps w:val="0"/>
              <w:color w:val="auto"/>
              <w:spacing w:val="0"/>
              <w:kern w:val="0"/>
              <w:sz w:val="22"/>
              <w:szCs w:val="22"/>
              <w:highlight w:val="none"/>
              <w:lang w:val="en-US" w:eastAsia="zh-CN" w:bidi="ar-SA"/>
            </w:rPr>
            <w:instrText xml:space="preserve"> PAGEREF _Toc13030 \h </w:instrText>
          </w:r>
          <w:r>
            <w:rPr>
              <w:rFonts w:hint="eastAsia" w:ascii="宋体" w:hAnsi="宋体" w:eastAsia="宋体" w:cs="宋体"/>
              <w:i w:val="0"/>
              <w:iCs w:val="0"/>
              <w:caps w:val="0"/>
              <w:color w:val="auto"/>
              <w:spacing w:val="0"/>
              <w:kern w:val="0"/>
              <w:sz w:val="22"/>
              <w:szCs w:val="22"/>
              <w:highlight w:val="none"/>
              <w:lang w:val="en-US" w:eastAsia="zh-CN" w:bidi="ar-SA"/>
            </w:rPr>
            <w:fldChar w:fldCharType="separate"/>
          </w:r>
          <w:r>
            <w:rPr>
              <w:rFonts w:hint="eastAsia" w:ascii="宋体" w:hAnsi="宋体" w:eastAsia="宋体" w:cs="宋体"/>
              <w:i w:val="0"/>
              <w:iCs w:val="0"/>
              <w:caps w:val="0"/>
              <w:color w:val="auto"/>
              <w:spacing w:val="0"/>
              <w:kern w:val="0"/>
              <w:sz w:val="22"/>
              <w:szCs w:val="22"/>
              <w:highlight w:val="none"/>
              <w:lang w:val="en-US" w:eastAsia="zh-CN" w:bidi="ar-SA"/>
            </w:rPr>
            <w:t>43</w:t>
          </w:r>
          <w:r>
            <w:rPr>
              <w:rFonts w:hint="eastAsia" w:ascii="宋体" w:hAnsi="宋体" w:eastAsia="宋体" w:cs="宋体"/>
              <w:i w:val="0"/>
              <w:iCs w:val="0"/>
              <w:caps w:val="0"/>
              <w:color w:val="auto"/>
              <w:spacing w:val="0"/>
              <w:kern w:val="0"/>
              <w:sz w:val="22"/>
              <w:szCs w:val="22"/>
              <w:highlight w:val="none"/>
              <w:lang w:val="en-US" w:eastAsia="zh-CN" w:bidi="ar-SA"/>
            </w:rPr>
            <w:fldChar w:fldCharType="end"/>
          </w:r>
          <w:r>
            <w:rPr>
              <w:rFonts w:hint="eastAsia" w:ascii="宋体" w:hAnsi="宋体" w:eastAsia="宋体" w:cs="宋体"/>
              <w:i w:val="0"/>
              <w:iCs w:val="0"/>
              <w:caps w:val="0"/>
              <w:color w:val="auto"/>
              <w:spacing w:val="0"/>
              <w:kern w:val="0"/>
              <w:sz w:val="22"/>
              <w:szCs w:val="22"/>
              <w:highlight w:val="none"/>
              <w:lang w:val="en-US" w:eastAsia="zh-CN" w:bidi="ar-SA"/>
            </w:rPr>
            <w:fldChar w:fldCharType="end"/>
          </w:r>
        </w:p>
        <w:p w14:paraId="44BCA189">
          <w:pPr>
            <w:pStyle w:val="87"/>
            <w:tabs>
              <w:tab w:val="right" w:leader="dot" w:pos="9638"/>
            </w:tabs>
            <w:spacing w:line="360" w:lineRule="auto"/>
            <w:rPr>
              <w:rFonts w:hint="default" w:ascii="宋体" w:hAnsi="宋体" w:eastAsia="宋体" w:cs="宋体"/>
              <w:i w:val="0"/>
              <w:iCs w:val="0"/>
              <w:caps w:val="0"/>
              <w:color w:val="auto"/>
              <w:spacing w:val="0"/>
              <w:kern w:val="0"/>
              <w:sz w:val="22"/>
              <w:szCs w:val="22"/>
              <w:highlight w:val="none"/>
              <w:lang w:val="en-US" w:eastAsia="zh-CN" w:bidi="ar-SA"/>
            </w:rPr>
          </w:pPr>
          <w:r>
            <w:rPr>
              <w:rFonts w:hint="eastAsia" w:ascii="宋体" w:hAnsi="宋体" w:eastAsia="宋体" w:cs="宋体"/>
              <w:i w:val="0"/>
              <w:iCs w:val="0"/>
              <w:caps w:val="0"/>
              <w:color w:val="auto"/>
              <w:spacing w:val="0"/>
              <w:kern w:val="0"/>
              <w:sz w:val="22"/>
              <w:szCs w:val="22"/>
              <w:highlight w:val="none"/>
              <w:lang w:val="en-US" w:eastAsia="zh-CN" w:bidi="ar-SA"/>
            </w:rPr>
            <w:fldChar w:fldCharType="begin"/>
          </w:r>
          <w:r>
            <w:rPr>
              <w:rFonts w:hint="eastAsia" w:ascii="宋体" w:hAnsi="宋体" w:eastAsia="宋体" w:cs="宋体"/>
              <w:i w:val="0"/>
              <w:iCs w:val="0"/>
              <w:caps w:val="0"/>
              <w:color w:val="auto"/>
              <w:spacing w:val="0"/>
              <w:kern w:val="0"/>
              <w:sz w:val="22"/>
              <w:szCs w:val="22"/>
              <w:highlight w:val="none"/>
              <w:lang w:val="en-US" w:eastAsia="zh-CN" w:bidi="ar-SA"/>
            </w:rPr>
            <w:instrText xml:space="preserve"> HYPERLINK \l _Toc9252 </w:instrText>
          </w:r>
          <w:r>
            <w:rPr>
              <w:rFonts w:hint="eastAsia" w:ascii="宋体" w:hAnsi="宋体" w:eastAsia="宋体" w:cs="宋体"/>
              <w:i w:val="0"/>
              <w:iCs w:val="0"/>
              <w:caps w:val="0"/>
              <w:color w:val="auto"/>
              <w:spacing w:val="0"/>
              <w:kern w:val="0"/>
              <w:sz w:val="22"/>
              <w:szCs w:val="22"/>
              <w:highlight w:val="none"/>
              <w:lang w:val="en-US" w:eastAsia="zh-CN" w:bidi="ar-SA"/>
            </w:rPr>
            <w:fldChar w:fldCharType="separate"/>
          </w:r>
          <w:r>
            <w:rPr>
              <w:rFonts w:hint="eastAsia" w:ascii="宋体" w:hAnsi="宋体" w:eastAsia="宋体" w:cs="宋体"/>
              <w:i w:val="0"/>
              <w:iCs w:val="0"/>
              <w:caps w:val="0"/>
              <w:color w:val="auto"/>
              <w:spacing w:val="0"/>
              <w:kern w:val="0"/>
              <w:sz w:val="22"/>
              <w:szCs w:val="22"/>
              <w:highlight w:val="none"/>
              <w:lang w:val="en-US" w:eastAsia="zh-CN" w:bidi="ar-SA"/>
            </w:rPr>
            <w:t>第六章 投标文件格式</w:t>
          </w:r>
          <w:r>
            <w:rPr>
              <w:rFonts w:hint="eastAsia" w:ascii="宋体" w:hAnsi="宋体" w:eastAsia="宋体" w:cs="宋体"/>
              <w:i w:val="0"/>
              <w:iCs w:val="0"/>
              <w:caps w:val="0"/>
              <w:color w:val="auto"/>
              <w:spacing w:val="0"/>
              <w:kern w:val="0"/>
              <w:sz w:val="22"/>
              <w:szCs w:val="22"/>
              <w:highlight w:val="none"/>
              <w:lang w:val="en-US" w:eastAsia="zh-CN" w:bidi="ar-SA"/>
            </w:rPr>
            <w:tab/>
          </w:r>
          <w:r>
            <w:rPr>
              <w:rFonts w:hint="eastAsia" w:ascii="宋体" w:hAnsi="宋体" w:cs="宋体"/>
              <w:i w:val="0"/>
              <w:iCs w:val="0"/>
              <w:caps w:val="0"/>
              <w:color w:val="auto"/>
              <w:spacing w:val="0"/>
              <w:kern w:val="0"/>
              <w:sz w:val="22"/>
              <w:szCs w:val="22"/>
              <w:highlight w:val="none"/>
              <w:lang w:val="en-US" w:eastAsia="zh-CN" w:bidi="ar-SA"/>
            </w:rPr>
            <w:t>4</w:t>
          </w:r>
          <w:r>
            <w:rPr>
              <w:rFonts w:hint="eastAsia" w:ascii="宋体" w:hAnsi="宋体" w:eastAsia="宋体" w:cs="宋体"/>
              <w:i w:val="0"/>
              <w:iCs w:val="0"/>
              <w:caps w:val="0"/>
              <w:color w:val="auto"/>
              <w:spacing w:val="0"/>
              <w:kern w:val="0"/>
              <w:sz w:val="22"/>
              <w:szCs w:val="22"/>
              <w:highlight w:val="none"/>
              <w:lang w:val="en-US" w:eastAsia="zh-CN" w:bidi="ar-SA"/>
            </w:rPr>
            <w:fldChar w:fldCharType="end"/>
          </w:r>
          <w:r>
            <w:rPr>
              <w:rFonts w:hint="eastAsia" w:ascii="宋体" w:hAnsi="宋体" w:cs="宋体"/>
              <w:i w:val="0"/>
              <w:iCs w:val="0"/>
              <w:caps w:val="0"/>
              <w:color w:val="auto"/>
              <w:spacing w:val="0"/>
              <w:kern w:val="0"/>
              <w:sz w:val="22"/>
              <w:szCs w:val="22"/>
              <w:highlight w:val="none"/>
              <w:lang w:val="en-US" w:eastAsia="zh-CN" w:bidi="ar-SA"/>
            </w:rPr>
            <w:t>3</w:t>
          </w:r>
        </w:p>
        <w:p w14:paraId="04639EE1">
          <w:pPr>
            <w:pStyle w:val="17"/>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i w:val="0"/>
              <w:iCs w:val="0"/>
              <w:caps w:val="0"/>
              <w:color w:val="auto"/>
              <w:spacing w:val="0"/>
              <w:kern w:val="0"/>
              <w:sz w:val="24"/>
              <w:szCs w:val="24"/>
              <w:highlight w:val="none"/>
              <w:lang w:val="en-US" w:eastAsia="zh-CN" w:bidi="ar-SA"/>
            </w:rPr>
            <w:sectPr>
              <w:headerReference r:id="rId7" w:type="default"/>
              <w:footerReference r:id="rId8" w:type="default"/>
              <w:pgSz w:w="11906" w:h="16838"/>
              <w:pgMar w:top="1134" w:right="1134" w:bottom="1134" w:left="1134" w:header="720" w:footer="720" w:gutter="0"/>
              <w:pgBorders>
                <w:top w:val="none" w:sz="0" w:space="0"/>
                <w:left w:val="none" w:sz="0" w:space="0"/>
                <w:bottom w:val="none" w:sz="0" w:space="0"/>
                <w:right w:val="none" w:sz="0" w:space="0"/>
              </w:pgBorders>
              <w:pgNumType w:start="1"/>
              <w:cols w:space="720" w:num="1"/>
              <w:docGrid w:type="lines" w:linePitch="331" w:charSpace="0"/>
            </w:sectPr>
          </w:pPr>
          <w:r>
            <w:rPr>
              <w:rFonts w:hint="eastAsia" w:ascii="宋体" w:hAnsi="宋体" w:eastAsia="宋体" w:cs="宋体"/>
              <w:i w:val="0"/>
              <w:iCs w:val="0"/>
              <w:caps w:val="0"/>
              <w:color w:val="auto"/>
              <w:spacing w:val="0"/>
              <w:kern w:val="0"/>
              <w:sz w:val="22"/>
              <w:szCs w:val="22"/>
              <w:highlight w:val="none"/>
              <w:lang w:val="en-US" w:eastAsia="zh-CN" w:bidi="ar-SA"/>
            </w:rPr>
            <w:fldChar w:fldCharType="end"/>
          </w:r>
        </w:p>
      </w:sdtContent>
    </w:sdt>
    <w:p w14:paraId="25866B43">
      <w:pPr>
        <w:pStyle w:val="17"/>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Ansi="宋体"/>
          <w:b/>
          <w:bCs/>
          <w:color w:val="auto"/>
          <w:sz w:val="36"/>
          <w:szCs w:val="36"/>
          <w:highlight w:val="none"/>
        </w:rPr>
      </w:pPr>
      <w:bookmarkStart w:id="2" w:name="_Toc7840"/>
      <w:r>
        <w:rPr>
          <w:rFonts w:hint="eastAsia" w:ascii="Times New Roman" w:hAnsi="Times New Roman"/>
          <w:b/>
          <w:bCs/>
          <w:color w:val="auto"/>
          <w:sz w:val="36"/>
          <w:szCs w:val="36"/>
          <w:highlight w:val="none"/>
        </w:rPr>
        <w:t>第一章</w:t>
      </w:r>
      <w:r>
        <w:rPr>
          <w:rFonts w:ascii="Times New Roman" w:hAnsi="Times New Roman"/>
          <w:b/>
          <w:bCs/>
          <w:color w:val="auto"/>
          <w:sz w:val="36"/>
          <w:szCs w:val="36"/>
          <w:highlight w:val="none"/>
        </w:rPr>
        <w:t xml:space="preserve">  </w:t>
      </w:r>
      <w:r>
        <w:rPr>
          <w:rFonts w:hint="eastAsia" w:ascii="Times New Roman" w:hAnsi="Times New Roman"/>
          <w:b/>
          <w:bCs/>
          <w:color w:val="auto"/>
          <w:sz w:val="36"/>
          <w:szCs w:val="36"/>
          <w:highlight w:val="none"/>
        </w:rPr>
        <w:t>招标公告</w:t>
      </w:r>
      <w:bookmarkEnd w:id="2"/>
    </w:p>
    <w:p w14:paraId="7D910CE3">
      <w:pPr>
        <w:pStyle w:val="4"/>
        <w:keepNext w:val="0"/>
        <w:keepLines w:val="0"/>
        <w:pageBreakBefore w:val="0"/>
        <w:widowControl/>
        <w:suppressLineNumbers w:val="0"/>
        <w:kinsoku/>
        <w:wordWrap/>
        <w:overflowPunct/>
        <w:topLinePunct w:val="0"/>
        <w:autoSpaceDE/>
        <w:autoSpaceDN/>
        <w:bidi w:val="0"/>
        <w:adjustRightInd/>
        <w:snapToGrid w:val="0"/>
        <w:spacing w:before="0" w:after="0" w:line="360" w:lineRule="auto"/>
        <w:ind w:left="0" w:leftChars="0" w:firstLine="0" w:firstLineChars="0"/>
        <w:jc w:val="center"/>
        <w:textAlignment w:val="auto"/>
        <w:rPr>
          <w:rFonts w:hint="eastAsia" w:ascii="宋体" w:hAnsi="宋体" w:eastAsia="宋体" w:cs="宋体"/>
          <w:b/>
          <w:bCs/>
          <w:i w:val="0"/>
          <w:iCs w:val="0"/>
          <w:caps w:val="0"/>
          <w:color w:val="auto"/>
          <w:spacing w:val="0"/>
          <w:kern w:val="44"/>
          <w:sz w:val="32"/>
          <w:szCs w:val="32"/>
          <w:highlight w:val="none"/>
          <w:lang w:val="en-US" w:eastAsia="zh-CN" w:bidi="ar-SA"/>
        </w:rPr>
      </w:pPr>
      <w:bookmarkStart w:id="3" w:name="_Toc10966"/>
      <w:bookmarkStart w:id="4" w:name="_Toc89075990"/>
      <w:bookmarkStart w:id="5" w:name="_Toc532545042"/>
      <w:bookmarkStart w:id="6" w:name="_Toc3360"/>
      <w:r>
        <w:rPr>
          <w:rFonts w:hint="eastAsia" w:ascii="宋体" w:hAnsi="宋体" w:cs="宋体"/>
          <w:b/>
          <w:bCs/>
          <w:i w:val="0"/>
          <w:iCs w:val="0"/>
          <w:caps w:val="0"/>
          <w:color w:val="auto"/>
          <w:spacing w:val="0"/>
          <w:kern w:val="44"/>
          <w:sz w:val="32"/>
          <w:szCs w:val="32"/>
          <w:highlight w:val="none"/>
          <w:lang w:val="en-US" w:eastAsia="zh-CN" w:bidi="ar-SA"/>
        </w:rPr>
        <w:t>哈密市巴里坤县三塘湖镇冷链物流设施建设项目-监理</w:t>
      </w:r>
      <w:r>
        <w:rPr>
          <w:rFonts w:hint="eastAsia" w:ascii="宋体" w:hAnsi="宋体" w:eastAsia="宋体" w:cs="宋体"/>
          <w:b/>
          <w:bCs/>
          <w:i w:val="0"/>
          <w:iCs w:val="0"/>
          <w:caps w:val="0"/>
          <w:color w:val="auto"/>
          <w:spacing w:val="0"/>
          <w:kern w:val="44"/>
          <w:sz w:val="32"/>
          <w:szCs w:val="32"/>
          <w:highlight w:val="none"/>
          <w:lang w:val="en-US" w:eastAsia="zh-CN" w:bidi="ar-SA"/>
        </w:rPr>
        <w:t>招标公告</w:t>
      </w:r>
    </w:p>
    <w:bookmarkEnd w:id="3"/>
    <w:p w14:paraId="5FB22F7E">
      <w:pPr>
        <w:pStyle w:val="2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left"/>
        <w:textAlignment w:val="auto"/>
        <w:rPr>
          <w:rFonts w:hint="eastAsia" w:asciiTheme="minorEastAsia" w:hAnsiTheme="minorEastAsia" w:eastAsiaTheme="minorEastAsia" w:cstheme="minorEastAsia"/>
          <w:i w:val="0"/>
          <w:iCs w:val="0"/>
          <w:caps w:val="0"/>
          <w:color w:val="auto"/>
          <w:spacing w:val="0"/>
          <w:kern w:val="2"/>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kern w:val="2"/>
          <w:sz w:val="24"/>
          <w:szCs w:val="24"/>
          <w:highlight w:val="none"/>
          <w:lang w:val="en-US" w:eastAsia="zh-CN" w:bidi="ar-SA"/>
        </w:rPr>
        <w:t>项目概况：   </w:t>
      </w:r>
    </w:p>
    <w:p w14:paraId="5D3EF8BD">
      <w:pPr>
        <w:pStyle w:val="43"/>
        <w:keepNext w:val="0"/>
        <w:keepLines w:val="0"/>
        <w:pageBreakBefore w:val="0"/>
        <w:kinsoku/>
        <w:wordWrap/>
        <w:overflowPunct/>
        <w:topLinePunct w:val="0"/>
        <w:autoSpaceDE/>
        <w:autoSpaceDN/>
        <w:bidi w:val="0"/>
        <w:adjustRightInd/>
        <w:spacing w:line="400" w:lineRule="exact"/>
        <w:jc w:val="left"/>
        <w:outlineLvl w:val="9"/>
        <w:rPr>
          <w:rFonts w:hint="default" w:asciiTheme="minorEastAsia" w:hAnsiTheme="minorEastAsia" w:eastAsiaTheme="minorEastAsia" w:cstheme="minorEastAsia"/>
          <w:i w:val="0"/>
          <w:iCs w:val="0"/>
          <w:caps w:val="0"/>
          <w:color w:val="auto"/>
          <w:spacing w:val="0"/>
          <w:kern w:val="2"/>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kern w:val="2"/>
          <w:sz w:val="24"/>
          <w:szCs w:val="24"/>
          <w:highlight w:val="none"/>
          <w:lang w:val="en-US" w:eastAsia="zh-CN" w:bidi="ar-SA"/>
        </w:rPr>
        <w:t>哈密市巴里坤县三塘湖镇冷链物流设施建设项目-监理的潜在投标人应在政采云平台线上获取采购文件，并于</w:t>
      </w:r>
      <w:r>
        <w:rPr>
          <w:rFonts w:hint="eastAsia" w:asciiTheme="minorEastAsia" w:hAnsiTheme="minorEastAsia" w:eastAsiaTheme="minorEastAsia" w:cstheme="minorEastAsia"/>
          <w:i w:val="0"/>
          <w:iCs w:val="0"/>
          <w:caps w:val="0"/>
          <w:color w:val="auto"/>
          <w:spacing w:val="0"/>
          <w:kern w:val="2"/>
          <w:sz w:val="24"/>
          <w:szCs w:val="24"/>
          <w:highlight w:val="none"/>
          <w:rtl w:val="0"/>
          <w:lang w:val="en-US" w:eastAsia="zh-CN" w:bidi="ar-SA"/>
        </w:rPr>
        <w:t>2026年05月18日 16：30</w:t>
      </w:r>
      <w:r>
        <w:rPr>
          <w:rFonts w:hint="eastAsia" w:asciiTheme="minorEastAsia" w:hAnsiTheme="minorEastAsia" w:eastAsiaTheme="minorEastAsia" w:cstheme="minorEastAsia"/>
          <w:i w:val="0"/>
          <w:iCs w:val="0"/>
          <w:caps w:val="0"/>
          <w:color w:val="auto"/>
          <w:spacing w:val="0"/>
          <w:kern w:val="2"/>
          <w:sz w:val="24"/>
          <w:szCs w:val="24"/>
          <w:highlight w:val="none"/>
          <w:lang w:val="en-US" w:eastAsia="zh-CN" w:bidi="ar-SA"/>
        </w:rPr>
        <w:t>前提交投标文件。</w:t>
      </w:r>
    </w:p>
    <w:p w14:paraId="1026B92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i w:val="0"/>
          <w:iCs w:val="0"/>
          <w:caps w:val="0"/>
          <w:color w:val="auto"/>
          <w:spacing w:val="0"/>
          <w:sz w:val="24"/>
          <w:szCs w:val="24"/>
          <w:highlight w:val="none"/>
        </w:rPr>
      </w:pPr>
      <w:r>
        <w:rPr>
          <w:rStyle w:val="28"/>
          <w:rFonts w:hint="eastAsia" w:asciiTheme="minorEastAsia" w:hAnsiTheme="minorEastAsia" w:eastAsiaTheme="minorEastAsia" w:cstheme="minorEastAsia"/>
          <w:i w:val="0"/>
          <w:iCs w:val="0"/>
          <w:caps w:val="0"/>
          <w:color w:val="auto"/>
          <w:spacing w:val="0"/>
          <w:sz w:val="24"/>
          <w:szCs w:val="24"/>
          <w:highlight w:val="none"/>
        </w:rPr>
        <w:t>一、项目基本情况</w:t>
      </w:r>
    </w:p>
    <w:p w14:paraId="29BCA4A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eastAsia="zh-CN"/>
        </w:rPr>
      </w:pPr>
      <w:r>
        <w:rPr>
          <w:rFonts w:hint="eastAsia" w:asciiTheme="minorEastAsia" w:hAnsiTheme="minorEastAsia" w:eastAsiaTheme="minorEastAsia" w:cstheme="minorEastAsia"/>
          <w:i w:val="0"/>
          <w:iCs w:val="0"/>
          <w:caps w:val="0"/>
          <w:color w:val="auto"/>
          <w:spacing w:val="0"/>
          <w:sz w:val="24"/>
          <w:szCs w:val="24"/>
          <w:highlight w:val="none"/>
        </w:rPr>
        <w:t>项目编号：</w:t>
      </w:r>
      <w:r>
        <w:rPr>
          <w:rFonts w:hint="eastAsia" w:asciiTheme="minorEastAsia" w:hAnsiTheme="minorEastAsia" w:eastAsiaTheme="minorEastAsia" w:cstheme="minorEastAsia"/>
          <w:i w:val="0"/>
          <w:iCs w:val="0"/>
          <w:caps w:val="0"/>
          <w:color w:val="auto"/>
          <w:spacing w:val="0"/>
          <w:sz w:val="24"/>
          <w:szCs w:val="24"/>
          <w:highlight w:val="none"/>
          <w:lang w:eastAsia="zh-CN"/>
        </w:rPr>
        <w:t>FTD2026-077</w:t>
      </w:r>
    </w:p>
    <w:p w14:paraId="4F3B8BB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rPr>
        <w:t>项目名称</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i w:val="0"/>
          <w:iCs w:val="0"/>
          <w:caps w:val="0"/>
          <w:color w:val="auto"/>
          <w:spacing w:val="0"/>
          <w:kern w:val="2"/>
          <w:sz w:val="24"/>
          <w:szCs w:val="24"/>
          <w:highlight w:val="none"/>
          <w:lang w:val="en-US" w:eastAsia="zh-CN" w:bidi="ar-SA"/>
        </w:rPr>
        <w:t>哈密市巴里坤县三塘湖镇冷链物流设施建设项目-监理</w:t>
      </w:r>
    </w:p>
    <w:p w14:paraId="3B519E4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rPr>
        <w:t>采购方式：</w:t>
      </w:r>
      <w:r>
        <w:rPr>
          <w:rFonts w:hint="eastAsia" w:asciiTheme="minorEastAsia" w:hAnsiTheme="minorEastAsia" w:eastAsiaTheme="minorEastAsia" w:cstheme="minorEastAsia"/>
          <w:i w:val="0"/>
          <w:iCs w:val="0"/>
          <w:caps w:val="0"/>
          <w:color w:val="auto"/>
          <w:spacing w:val="0"/>
          <w:sz w:val="24"/>
          <w:szCs w:val="24"/>
          <w:highlight w:val="none"/>
          <w:lang w:val="en-US" w:eastAsia="zh-CN"/>
        </w:rPr>
        <w:t>公开招标</w:t>
      </w:r>
    </w:p>
    <w:p w14:paraId="0644FC9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rPr>
        <w:t>预算金额（元</w:t>
      </w:r>
      <w:r>
        <w:rPr>
          <w:rFonts w:hint="eastAsia" w:asciiTheme="minorEastAsia" w:hAnsiTheme="minorEastAsia" w:eastAsiaTheme="minorEastAsia" w:cstheme="minorEastAsia"/>
          <w:i w:val="0"/>
          <w:iCs w:val="0"/>
          <w:caps w:val="0"/>
          <w:color w:val="auto"/>
          <w:spacing w:val="0"/>
          <w:sz w:val="24"/>
          <w:szCs w:val="24"/>
          <w:highlight w:val="none"/>
          <w:lang w:val="en-US" w:eastAsia="zh-CN"/>
        </w:rPr>
        <w:t>）：614900.00元</w:t>
      </w:r>
    </w:p>
    <w:p w14:paraId="08C9023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最高限价（元）：614900.00元</w:t>
      </w:r>
    </w:p>
    <w:p w14:paraId="248A92FF">
      <w:pPr>
        <w:pStyle w:val="23"/>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采购需求：</w:t>
      </w:r>
      <w:r>
        <w:rPr>
          <w:rFonts w:hint="eastAsia" w:asciiTheme="minorEastAsia" w:hAnsiTheme="minorEastAsia" w:eastAsiaTheme="minorEastAsia" w:cstheme="minorEastAsia"/>
          <w:color w:val="auto"/>
          <w:sz w:val="24"/>
          <w:szCs w:val="24"/>
          <w:highlight w:val="none"/>
          <w:lang w:val="en-US" w:eastAsia="zh-CN"/>
        </w:rPr>
        <w:t>完成哈密市巴里坤县三塘湖镇冷链物流设施建设项目施工阶段及缺陷责任期阶段的全部监理服务。</w:t>
      </w:r>
    </w:p>
    <w:p w14:paraId="60452D51">
      <w:pPr>
        <w:pStyle w:val="23"/>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标项一</w:t>
      </w:r>
    </w:p>
    <w:p w14:paraId="49CC414F">
      <w:pPr>
        <w:pStyle w:val="23"/>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标项名称：哈密市巴里坤县三塘湖镇冷链物流设施建设项目-监理</w:t>
      </w:r>
    </w:p>
    <w:p w14:paraId="5F902299">
      <w:pPr>
        <w:pStyle w:val="23"/>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数量：1 </w:t>
      </w:r>
    </w:p>
    <w:p w14:paraId="1A246D5B">
      <w:pPr>
        <w:pStyle w:val="23"/>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预算金额（元）：614900.00元</w:t>
      </w:r>
    </w:p>
    <w:p w14:paraId="4F0A1AD2">
      <w:pPr>
        <w:pStyle w:val="23"/>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单位：项 </w:t>
      </w:r>
    </w:p>
    <w:p w14:paraId="5A378DC5">
      <w:pPr>
        <w:pStyle w:val="23"/>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简要规格描述：完成哈密市巴里坤县三塘湖镇冷链物流设施建设项目施工阶段及缺陷责任期阶段的全部监理服务。</w:t>
      </w:r>
    </w:p>
    <w:p w14:paraId="40D8066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备注：/ </w:t>
      </w:r>
    </w:p>
    <w:p w14:paraId="5BE43C7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合同履约期限：详见</w:t>
      </w:r>
      <w:r>
        <w:rPr>
          <w:rFonts w:hint="eastAsia" w:asciiTheme="minorEastAsia" w:hAnsiTheme="minorEastAsia" w:eastAsiaTheme="minorEastAsia" w:cstheme="minorEastAsia"/>
          <w:i w:val="0"/>
          <w:iCs w:val="0"/>
          <w:caps w:val="0"/>
          <w:color w:val="auto"/>
          <w:spacing w:val="0"/>
          <w:sz w:val="24"/>
          <w:szCs w:val="24"/>
          <w:highlight w:val="none"/>
          <w:lang w:val="en-US" w:eastAsia="zh-CN"/>
        </w:rPr>
        <w:t>招标</w:t>
      </w:r>
      <w:r>
        <w:rPr>
          <w:rFonts w:hint="eastAsia" w:asciiTheme="minorEastAsia" w:hAnsiTheme="minorEastAsia" w:eastAsiaTheme="minorEastAsia" w:cstheme="minorEastAsia"/>
          <w:i w:val="0"/>
          <w:iCs w:val="0"/>
          <w:caps w:val="0"/>
          <w:color w:val="auto"/>
          <w:spacing w:val="0"/>
          <w:sz w:val="24"/>
          <w:szCs w:val="24"/>
          <w:highlight w:val="none"/>
        </w:rPr>
        <w:t>文件</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i w:val="0"/>
          <w:iCs w:val="0"/>
          <w:caps w:val="0"/>
          <w:color w:val="auto"/>
          <w:spacing w:val="0"/>
          <w:sz w:val="24"/>
          <w:szCs w:val="24"/>
          <w:highlight w:val="none"/>
        </w:rPr>
        <w:t>  </w:t>
      </w:r>
    </w:p>
    <w:p w14:paraId="7CC9021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本项目（否）接受联合体投标。  </w:t>
      </w:r>
    </w:p>
    <w:p w14:paraId="1B5E297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rPr>
        <w:t>二、申请人的资格要求：</w:t>
      </w:r>
      <w:r>
        <w:rPr>
          <w:rFonts w:hint="eastAsia" w:asciiTheme="minorEastAsia" w:hAnsiTheme="minorEastAsia" w:eastAsiaTheme="minorEastAsia" w:cstheme="minorEastAsia"/>
          <w:i w:val="0"/>
          <w:iCs w:val="0"/>
          <w:caps w:val="0"/>
          <w:color w:val="auto"/>
          <w:spacing w:val="0"/>
          <w:sz w:val="24"/>
          <w:szCs w:val="24"/>
          <w:highlight w:val="none"/>
          <w:lang w:val="en-US" w:eastAsia="zh-CN"/>
        </w:rPr>
        <w:t> </w:t>
      </w:r>
    </w:p>
    <w:p w14:paraId="46787F1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t>1.满足《中华人民共和国政府采购法》第二十二条规定；</w:t>
      </w:r>
    </w:p>
    <w:p w14:paraId="61C4D6C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heme="minorEastAsia" w:hAnsiTheme="minorEastAsia" w:eastAsiaTheme="minorEastAsia" w:cstheme="minorEastAsia"/>
          <w:i w:val="0"/>
          <w:iCs w:val="0"/>
          <w:caps w:val="0"/>
          <w:color w:val="auto"/>
          <w:spacing w:val="0"/>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t>2.落实政府采购政策需满足的资格要求：本项目为专门面向中小企业；</w:t>
      </w:r>
    </w:p>
    <w:p w14:paraId="61B26C1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t>3.本项目的特定资格要求：</w:t>
      </w:r>
    </w:p>
    <w:p w14:paraId="67AC46B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t>（1）企业资质要求：投标人须具备房屋建筑工程监理乙级（含）以上资质或工程监理综合资质；</w:t>
      </w:r>
    </w:p>
    <w:p w14:paraId="55099BE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rtl w:val="0"/>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t>（2）项目负责人资质要求：总监理工程师为房屋建筑工程注册监理工程师，并在投标单位注册。</w:t>
      </w:r>
    </w:p>
    <w:p w14:paraId="4397D7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t>4、本项目不接受联合体投标。</w:t>
      </w:r>
    </w:p>
    <w:p w14:paraId="2F35FDE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Style w:val="28"/>
          <w:rFonts w:hint="eastAsia" w:asciiTheme="minorEastAsia" w:hAnsiTheme="minorEastAsia" w:eastAsiaTheme="minorEastAsia" w:cstheme="minorEastAsia"/>
          <w:i w:val="0"/>
          <w:iCs w:val="0"/>
          <w:caps w:val="0"/>
          <w:color w:val="auto"/>
          <w:spacing w:val="0"/>
          <w:sz w:val="24"/>
          <w:szCs w:val="24"/>
          <w:highlight w:val="none"/>
        </w:rPr>
        <w:t>三、获取采购文件</w:t>
      </w:r>
    </w:p>
    <w:p w14:paraId="6556AED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Theme="minorEastAsia" w:hAnsiTheme="minorEastAsia" w:eastAsiaTheme="minorEastAsia" w:cstheme="minorEastAsia"/>
          <w:color w:val="auto"/>
          <w:spacing w:val="0"/>
          <w:w w:val="100"/>
          <w:kern w:val="0"/>
          <w:position w:val="0"/>
          <w:sz w:val="24"/>
          <w:szCs w:val="24"/>
          <w:highlight w:val="none"/>
          <w:u w:val="none" w:color="000000"/>
          <w:shd w:val="clear" w:color="auto" w:fill="auto"/>
          <w:vertAlign w:val="baseline"/>
          <w:rtl w:val="0"/>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   </w:t>
      </w:r>
      <w:r>
        <w:rPr>
          <w:rFonts w:hint="eastAsia" w:asciiTheme="minorEastAsia" w:hAnsiTheme="minorEastAsia" w:eastAsiaTheme="minorEastAsia" w:cstheme="minorEastAsia"/>
          <w:color w:val="auto"/>
          <w:spacing w:val="0"/>
          <w:w w:val="100"/>
          <w:kern w:val="0"/>
          <w:position w:val="0"/>
          <w:sz w:val="24"/>
          <w:szCs w:val="24"/>
          <w:highlight w:val="none"/>
          <w:u w:val="none" w:color="000000"/>
          <w:shd w:val="clear" w:color="auto" w:fill="auto"/>
          <w:vertAlign w:val="baseline"/>
          <w:rtl w:val="0"/>
          <w:lang w:val="en-US" w:eastAsia="zh-CN"/>
        </w:rPr>
        <w:t>时间：2026 年 04月27日至 2026 年 05月07日，每天上午 00:00 至 12:00，下 午 12:00 至 23:59 （北京时间，法定节假日除外）</w:t>
      </w:r>
    </w:p>
    <w:p w14:paraId="55FB6A7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left"/>
        <w:textAlignment w:val="auto"/>
        <w:rPr>
          <w:rFonts w:hint="eastAsia" w:asciiTheme="minorEastAsia" w:hAnsiTheme="minorEastAsia" w:eastAsiaTheme="minorEastAsia" w:cstheme="minorEastAsia"/>
          <w:color w:val="auto"/>
          <w:spacing w:val="0"/>
          <w:w w:val="100"/>
          <w:kern w:val="0"/>
          <w:position w:val="0"/>
          <w:sz w:val="24"/>
          <w:szCs w:val="24"/>
          <w:highlight w:val="none"/>
          <w:u w:val="none" w:color="000000"/>
          <w:shd w:val="clear" w:color="auto" w:fill="auto"/>
          <w:vertAlign w:val="baseline"/>
          <w:rtl w:val="0"/>
          <w:lang w:val="en-US" w:eastAsia="zh-CN"/>
        </w:rPr>
      </w:pPr>
      <w:r>
        <w:rPr>
          <w:rFonts w:hint="eastAsia" w:asciiTheme="minorEastAsia" w:hAnsiTheme="minorEastAsia" w:eastAsiaTheme="minorEastAsia" w:cstheme="minorEastAsia"/>
          <w:color w:val="auto"/>
          <w:spacing w:val="0"/>
          <w:w w:val="100"/>
          <w:kern w:val="0"/>
          <w:position w:val="0"/>
          <w:sz w:val="24"/>
          <w:szCs w:val="24"/>
          <w:highlight w:val="none"/>
          <w:u w:val="none" w:color="000000"/>
          <w:shd w:val="clear" w:color="auto" w:fill="auto"/>
          <w:vertAlign w:val="baseline"/>
          <w:rtl w:val="0"/>
          <w:lang w:val="en-US" w:eastAsia="zh-CN"/>
        </w:rPr>
        <w:t>地点：政采云平台线上</w:t>
      </w:r>
    </w:p>
    <w:p w14:paraId="7B4AAB2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方式</w:t>
      </w:r>
      <w:r>
        <w:rPr>
          <w:rFonts w:hint="eastAsia" w:asciiTheme="minorEastAsia" w:hAnsiTheme="minorEastAsia" w:eastAsiaTheme="minorEastAsia" w:cstheme="minorEastAsia"/>
          <w:color w:val="auto"/>
          <w:spacing w:val="0"/>
          <w:w w:val="100"/>
          <w:kern w:val="0"/>
          <w:position w:val="0"/>
          <w:sz w:val="24"/>
          <w:szCs w:val="24"/>
          <w:highlight w:val="none"/>
          <w:u w:val="none" w:color="000000"/>
          <w:shd w:val="clear" w:color="auto" w:fill="auto"/>
          <w:vertAlign w:val="baseline"/>
          <w:rtl w:val="0"/>
          <w:lang w:val="en-US"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98B1E4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售价（元）：0</w:t>
      </w:r>
    </w:p>
    <w:p w14:paraId="0A7CC38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i w:val="0"/>
          <w:iCs w:val="0"/>
          <w:caps w:val="0"/>
          <w:color w:val="auto"/>
          <w:spacing w:val="0"/>
          <w:sz w:val="24"/>
          <w:szCs w:val="24"/>
          <w:highlight w:val="none"/>
        </w:rPr>
      </w:pPr>
      <w:r>
        <w:rPr>
          <w:rStyle w:val="28"/>
          <w:rFonts w:hint="eastAsia" w:asciiTheme="minorEastAsia" w:hAnsiTheme="minorEastAsia" w:eastAsiaTheme="minorEastAsia" w:cstheme="minorEastAsia"/>
          <w:i w:val="0"/>
          <w:iCs w:val="0"/>
          <w:caps w:val="0"/>
          <w:color w:val="auto"/>
          <w:spacing w:val="0"/>
          <w:sz w:val="24"/>
          <w:szCs w:val="24"/>
          <w:highlight w:val="none"/>
        </w:rPr>
        <w:t>四、提交投标文件截止时间、开标时间和地点</w:t>
      </w:r>
      <w:r>
        <w:rPr>
          <w:rFonts w:hint="eastAsia" w:asciiTheme="minorEastAsia" w:hAnsiTheme="minorEastAsia" w:eastAsiaTheme="minorEastAsia" w:cstheme="minorEastAsia"/>
          <w:i w:val="0"/>
          <w:iCs w:val="0"/>
          <w:caps w:val="0"/>
          <w:color w:val="auto"/>
          <w:spacing w:val="0"/>
          <w:sz w:val="24"/>
          <w:szCs w:val="24"/>
          <w:highlight w:val="none"/>
        </w:rPr>
        <w:t> </w:t>
      </w:r>
    </w:p>
    <w:p w14:paraId="7B6BD00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left"/>
        <w:textAlignment w:val="auto"/>
        <w:rPr>
          <w:rFonts w:hint="eastAsia" w:asciiTheme="minorEastAsia" w:hAnsiTheme="minorEastAsia" w:eastAsiaTheme="minorEastAsia" w:cstheme="minorEastAsia"/>
          <w:color w:val="auto"/>
          <w:spacing w:val="0"/>
          <w:w w:val="100"/>
          <w:kern w:val="0"/>
          <w:position w:val="0"/>
          <w:sz w:val="24"/>
          <w:szCs w:val="24"/>
          <w:highlight w:val="none"/>
          <w:u w:val="none" w:color="000000"/>
          <w:shd w:val="clear" w:color="auto" w:fill="auto"/>
          <w:vertAlign w:val="baseline"/>
          <w:rtl w:val="0"/>
          <w:lang w:val="en-US" w:eastAsia="zh-CN"/>
        </w:rPr>
      </w:pPr>
      <w:r>
        <w:rPr>
          <w:rFonts w:hint="eastAsia" w:asciiTheme="minorEastAsia" w:hAnsiTheme="minorEastAsia" w:eastAsiaTheme="minorEastAsia" w:cstheme="minorEastAsia"/>
          <w:color w:val="auto"/>
          <w:spacing w:val="0"/>
          <w:w w:val="100"/>
          <w:kern w:val="0"/>
          <w:position w:val="0"/>
          <w:sz w:val="24"/>
          <w:szCs w:val="24"/>
          <w:highlight w:val="none"/>
          <w:u w:val="none" w:color="000000"/>
          <w:shd w:val="clear" w:color="auto" w:fill="auto"/>
          <w:vertAlign w:val="baseline"/>
          <w:rtl w:val="0"/>
          <w:lang w:val="en-US" w:eastAsia="zh-CN"/>
        </w:rPr>
        <w:t>提交投标文件截止时间：2026年05月18日 16：30（北京时间）</w:t>
      </w:r>
    </w:p>
    <w:p w14:paraId="507EB9A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left"/>
        <w:textAlignment w:val="auto"/>
        <w:rPr>
          <w:rFonts w:hint="eastAsia" w:asciiTheme="minorEastAsia" w:hAnsiTheme="minorEastAsia" w:eastAsiaTheme="minorEastAsia" w:cstheme="minorEastAsia"/>
          <w:color w:val="auto"/>
          <w:spacing w:val="0"/>
          <w:w w:val="100"/>
          <w:kern w:val="0"/>
          <w:position w:val="0"/>
          <w:sz w:val="24"/>
          <w:szCs w:val="24"/>
          <w:highlight w:val="none"/>
          <w:u w:val="none" w:color="000000"/>
          <w:shd w:val="clear" w:color="auto" w:fill="auto"/>
          <w:vertAlign w:val="baseline"/>
          <w:rtl w:val="0"/>
          <w:lang w:val="en-US" w:eastAsia="zh-CN"/>
        </w:rPr>
      </w:pPr>
      <w:r>
        <w:rPr>
          <w:rFonts w:hint="eastAsia" w:asciiTheme="minorEastAsia" w:hAnsiTheme="minorEastAsia" w:eastAsiaTheme="minorEastAsia" w:cstheme="minorEastAsia"/>
          <w:color w:val="auto"/>
          <w:spacing w:val="0"/>
          <w:w w:val="100"/>
          <w:kern w:val="0"/>
          <w:position w:val="0"/>
          <w:sz w:val="24"/>
          <w:szCs w:val="24"/>
          <w:highlight w:val="none"/>
          <w:u w:val="none" w:color="000000"/>
          <w:shd w:val="clear" w:color="auto" w:fill="auto"/>
          <w:vertAlign w:val="baseline"/>
          <w:rtl w:val="0"/>
          <w:lang w:val="en-US" w:eastAsia="zh-CN"/>
        </w:rPr>
        <w:t>投标地点：请登录政采云投标客户端投标</w:t>
      </w:r>
    </w:p>
    <w:p w14:paraId="529D464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left"/>
        <w:textAlignment w:val="auto"/>
        <w:rPr>
          <w:rFonts w:hint="eastAsia" w:asciiTheme="minorEastAsia" w:hAnsiTheme="minorEastAsia" w:eastAsiaTheme="minorEastAsia" w:cstheme="minorEastAsia"/>
          <w:color w:val="auto"/>
          <w:spacing w:val="0"/>
          <w:w w:val="100"/>
          <w:kern w:val="0"/>
          <w:position w:val="0"/>
          <w:sz w:val="24"/>
          <w:szCs w:val="24"/>
          <w:highlight w:val="none"/>
          <w:u w:val="none" w:color="000000"/>
          <w:shd w:val="clear" w:color="auto" w:fill="auto"/>
          <w:vertAlign w:val="baseline"/>
          <w:rtl w:val="0"/>
          <w:lang w:val="en-US" w:eastAsia="zh-CN"/>
        </w:rPr>
      </w:pPr>
      <w:r>
        <w:rPr>
          <w:rFonts w:hint="eastAsia" w:asciiTheme="minorEastAsia" w:hAnsiTheme="minorEastAsia" w:eastAsiaTheme="minorEastAsia" w:cstheme="minorEastAsia"/>
          <w:color w:val="auto"/>
          <w:spacing w:val="0"/>
          <w:w w:val="100"/>
          <w:kern w:val="0"/>
          <w:position w:val="0"/>
          <w:sz w:val="24"/>
          <w:szCs w:val="24"/>
          <w:highlight w:val="none"/>
          <w:u w:val="none" w:color="000000"/>
          <w:shd w:val="clear" w:color="auto" w:fill="auto"/>
          <w:vertAlign w:val="baseline"/>
          <w:rtl w:val="0"/>
          <w:lang w:val="en-US" w:eastAsia="zh-CN"/>
        </w:rPr>
        <w:t>开标时间：2026年05月18日 16：30（北京时间）</w:t>
      </w:r>
    </w:p>
    <w:p w14:paraId="2E6D4E1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left"/>
        <w:textAlignment w:val="auto"/>
        <w:rPr>
          <w:rFonts w:hint="eastAsia" w:asciiTheme="minorEastAsia" w:hAnsiTheme="minorEastAsia" w:eastAsiaTheme="minorEastAsia" w:cstheme="minorEastAsia"/>
          <w:color w:val="auto"/>
          <w:spacing w:val="0"/>
          <w:w w:val="100"/>
          <w:kern w:val="0"/>
          <w:position w:val="0"/>
          <w:sz w:val="24"/>
          <w:szCs w:val="24"/>
          <w:highlight w:val="none"/>
          <w:u w:val="none" w:color="000000"/>
          <w:shd w:val="clear" w:color="auto" w:fill="auto"/>
          <w:vertAlign w:val="baseline"/>
          <w:rtl w:val="0"/>
          <w:lang w:val="en-US" w:eastAsia="zh-CN"/>
        </w:rPr>
      </w:pPr>
      <w:r>
        <w:rPr>
          <w:rFonts w:hint="eastAsia" w:asciiTheme="minorEastAsia" w:hAnsiTheme="minorEastAsia" w:eastAsiaTheme="minorEastAsia" w:cstheme="minorEastAsia"/>
          <w:color w:val="auto"/>
          <w:spacing w:val="0"/>
          <w:w w:val="100"/>
          <w:kern w:val="0"/>
          <w:position w:val="0"/>
          <w:sz w:val="24"/>
          <w:szCs w:val="24"/>
          <w:highlight w:val="none"/>
          <w:u w:val="none" w:color="000000"/>
          <w:shd w:val="clear" w:color="auto" w:fill="auto"/>
          <w:vertAlign w:val="baseline"/>
          <w:rtl w:val="0"/>
          <w:lang w:val="en-US" w:eastAsia="zh-CN"/>
        </w:rPr>
        <w:t>开标地点：投标人登录政采云平台https://www.zcygov.cn/，进入“项目采购-开标评标-右边选择对应项目点击“进入项目”进入开标大厅。</w:t>
      </w:r>
    </w:p>
    <w:p w14:paraId="61AB6CB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i w:val="0"/>
          <w:iCs w:val="0"/>
          <w:caps w:val="0"/>
          <w:color w:val="auto"/>
          <w:spacing w:val="0"/>
          <w:sz w:val="24"/>
          <w:szCs w:val="24"/>
          <w:highlight w:val="none"/>
        </w:rPr>
      </w:pPr>
      <w:r>
        <w:rPr>
          <w:rStyle w:val="28"/>
          <w:rFonts w:hint="eastAsia" w:asciiTheme="minorEastAsia" w:hAnsiTheme="minorEastAsia" w:eastAsiaTheme="minorEastAsia" w:cstheme="minorEastAsia"/>
          <w:i w:val="0"/>
          <w:iCs w:val="0"/>
          <w:caps w:val="0"/>
          <w:color w:val="auto"/>
          <w:spacing w:val="0"/>
          <w:sz w:val="24"/>
          <w:szCs w:val="24"/>
          <w:highlight w:val="none"/>
        </w:rPr>
        <w:t>五、公告期限</w:t>
      </w:r>
    </w:p>
    <w:p w14:paraId="38180E3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自本公告发布之日起5个工作日。</w:t>
      </w:r>
    </w:p>
    <w:p w14:paraId="3489B46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Theme="minorEastAsia" w:hAnsiTheme="minorEastAsia" w:eastAsiaTheme="minorEastAsia" w:cstheme="minorEastAsia"/>
          <w:i w:val="0"/>
          <w:iCs w:val="0"/>
          <w:caps w:val="0"/>
          <w:color w:val="auto"/>
          <w:spacing w:val="0"/>
          <w:sz w:val="24"/>
          <w:szCs w:val="24"/>
          <w:highlight w:val="none"/>
        </w:rPr>
      </w:pPr>
      <w:r>
        <w:rPr>
          <w:rStyle w:val="28"/>
          <w:rFonts w:hint="eastAsia" w:asciiTheme="minorEastAsia" w:hAnsiTheme="minorEastAsia" w:eastAsiaTheme="minorEastAsia" w:cstheme="minorEastAsia"/>
          <w:i w:val="0"/>
          <w:iCs w:val="0"/>
          <w:caps w:val="0"/>
          <w:color w:val="auto"/>
          <w:spacing w:val="0"/>
          <w:sz w:val="24"/>
          <w:szCs w:val="24"/>
          <w:highlight w:val="none"/>
        </w:rPr>
        <w:t>六、其他补充事宜</w:t>
      </w:r>
      <w:r>
        <w:rPr>
          <w:rFonts w:hint="eastAsia" w:asciiTheme="minorEastAsia" w:hAnsiTheme="minorEastAsia" w:eastAsiaTheme="minorEastAsia" w:cstheme="minorEastAsia"/>
          <w:i w:val="0"/>
          <w:iCs w:val="0"/>
          <w:caps w:val="0"/>
          <w:color w:val="auto"/>
          <w:spacing w:val="0"/>
          <w:sz w:val="24"/>
          <w:szCs w:val="24"/>
          <w:highlight w:val="none"/>
        </w:rPr>
        <w:t> </w:t>
      </w:r>
    </w:p>
    <w:p w14:paraId="67CEBC0E">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t>1、请投标人随时关注本项目的澄清、答疑、变更事项。</w:t>
      </w:r>
    </w:p>
    <w:p w14:paraId="3F600716">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t>2、本项目实行电子招投标，投标人须登录政采云平台申请获取招标文件，并通过政采云电子投标客户端制作投标文件，同时自行承担与投标有关的一切费用。</w:t>
      </w:r>
    </w:p>
    <w:p w14:paraId="6298163B">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t>3、各投标人应在开标前应确保成为政采云平台投标单位，并完成 CA 数字证书(符合国密标准) 申领。因未注册入库、未办理CA数字证书等原因造成无法投标或投标失败等后果由投标人自行承担。</w:t>
      </w:r>
    </w:p>
    <w:p w14:paraId="0432ACA8">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t>4、投标人可前往新疆政府采购网(http://www.ccgp-xinjiang.gov.cn/) 下载专区，下载政采云电子投标客户端，安装完成后，可通过账号密码或CA登录客户端进行投标文件制作。在使用政采云电子投标客户端时，建议使用WIN7及以上操作系统。如需咨询，请联系新疆CA服务热线 0991-2819290。</w:t>
      </w:r>
    </w:p>
    <w:p w14:paraId="61341F96">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t>5、本项目采用不见面开标，投标人须在投标截止时间前通过CA在政采云平台上传加密的电子投标文件。投标人对不见面开评标系统的技术操作咨询，可通过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“政府采购项目电子交易管理操作指南-投标单位”版面获取操作指南，同时对自助查询无法解决的问题可通过钉钉群及政采云在线客服获取服务支持。</w:t>
      </w:r>
    </w:p>
    <w:p w14:paraId="568F094E">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t>6、投标人在开标前须提前配置好电脑浏览器(建议使用360浏览器或谷歌浏览器) ，开标时请使用制作加密电子投标文件的CA锁进行解密及报价确认。本项目投标文件解密时间定为30分钟，如因自身原因导致无法正常解密，后果由投标人自行承担。</w:t>
      </w:r>
    </w:p>
    <w:p w14:paraId="70474D25">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特别提示：</w:t>
      </w:r>
    </w:p>
    <w:p w14:paraId="36546C8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14:paraId="164603F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2CC3978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256E7164">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Style w:val="28"/>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pPr>
      <w:bookmarkStart w:id="7" w:name="_Toc35393805"/>
      <w:bookmarkStart w:id="8" w:name="_Toc28359018"/>
      <w:bookmarkStart w:id="9" w:name="_Toc35393636"/>
      <w:bookmarkStart w:id="10" w:name="_Toc28359095"/>
      <w:r>
        <w:rPr>
          <w:rStyle w:val="28"/>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七、凡对本次采购提出询问，请按以下方式联系。</w:t>
      </w:r>
      <w:bookmarkEnd w:id="7"/>
      <w:bookmarkEnd w:id="8"/>
      <w:bookmarkEnd w:id="9"/>
      <w:bookmarkEnd w:id="10"/>
    </w:p>
    <w:p w14:paraId="6323D48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1.采购人信息</w:t>
      </w:r>
    </w:p>
    <w:p w14:paraId="73AABE1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rtl w:val="0"/>
          <w:lang w:val="zh-TW" w:eastAsia="zh-TW" w:bidi="ar"/>
        </w:rPr>
      </w:pPr>
      <w:r>
        <w:rPr>
          <w:rFonts w:hint="eastAsia" w:asciiTheme="minorEastAsia" w:hAnsiTheme="minorEastAsia" w:eastAsiaTheme="minorEastAsia" w:cstheme="minorEastAsia"/>
          <w:i w:val="0"/>
          <w:iCs w:val="0"/>
          <w:caps w:val="0"/>
          <w:color w:val="auto"/>
          <w:spacing w:val="0"/>
          <w:kern w:val="0"/>
          <w:sz w:val="24"/>
          <w:szCs w:val="24"/>
          <w:highlight w:val="none"/>
          <w:rtl w:val="0"/>
          <w:lang w:val="en-US" w:eastAsia="zh-CN" w:bidi="ar"/>
        </w:rPr>
        <w:t>名称：</w:t>
      </w: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巴里坤哈萨克自治县农业农村局</w:t>
      </w:r>
    </w:p>
    <w:p w14:paraId="6AD3A49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rtl w:val="0"/>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rtl w:val="0"/>
          <w:lang w:val="zh-TW" w:eastAsia="zh-TW" w:bidi="ar"/>
        </w:rPr>
        <w:t>地址：</w:t>
      </w:r>
      <w:r>
        <w:rPr>
          <w:rFonts w:hint="eastAsia" w:asciiTheme="minorEastAsia" w:hAnsiTheme="minorEastAsia" w:eastAsiaTheme="minorEastAsia" w:cstheme="minorEastAsia"/>
          <w:i w:val="0"/>
          <w:iCs w:val="0"/>
          <w:caps w:val="0"/>
          <w:color w:val="auto"/>
          <w:spacing w:val="0"/>
          <w:kern w:val="0"/>
          <w:sz w:val="24"/>
          <w:szCs w:val="24"/>
          <w:highlight w:val="none"/>
          <w:rtl w:val="0"/>
          <w:lang w:val="en-US" w:eastAsia="zh-CN" w:bidi="ar"/>
        </w:rPr>
        <w:t>哈密市巴里坤县天山路10号</w:t>
      </w:r>
    </w:p>
    <w:p w14:paraId="68912F0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rtl w:val="0"/>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rtl w:val="0"/>
          <w:lang w:val="zh-TW" w:eastAsia="zh-TW" w:bidi="ar"/>
        </w:rPr>
        <w:t>联系电话：</w:t>
      </w:r>
      <w:r>
        <w:rPr>
          <w:rFonts w:hint="eastAsia" w:asciiTheme="minorEastAsia" w:hAnsiTheme="minorEastAsia" w:eastAsiaTheme="minorEastAsia" w:cstheme="minorEastAsia"/>
          <w:i w:val="0"/>
          <w:iCs w:val="0"/>
          <w:caps w:val="0"/>
          <w:color w:val="auto"/>
          <w:spacing w:val="0"/>
          <w:kern w:val="0"/>
          <w:sz w:val="24"/>
          <w:szCs w:val="24"/>
          <w:highlight w:val="none"/>
          <w:rtl w:val="0"/>
          <w:lang w:val="en-US" w:eastAsia="zh-CN" w:bidi="ar"/>
        </w:rPr>
        <w:t>18399872608</w:t>
      </w:r>
    </w:p>
    <w:p w14:paraId="661BACF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pPr>
    </w:p>
    <w:p w14:paraId="34512FB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2.采购代理机构信息</w:t>
      </w:r>
    </w:p>
    <w:p w14:paraId="5BAF443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名 称： 新疆飞腾达工程项目管理咨询有限公司</w:t>
      </w:r>
    </w:p>
    <w:p w14:paraId="6B65D7E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地  址：哈密市大营房百花路红星名筑14楼</w:t>
      </w:r>
    </w:p>
    <w:p w14:paraId="4A7E669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项目联系人：郭旭</w:t>
      </w:r>
    </w:p>
    <w:p w14:paraId="3BCFDAF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电 话：18119018821</w:t>
      </w:r>
    </w:p>
    <w:p w14:paraId="2165976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pPr>
    </w:p>
    <w:p w14:paraId="137E39A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pPr>
    </w:p>
    <w:p w14:paraId="3B93D87E">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caps w:val="0"/>
          <w:color w:val="auto"/>
          <w:spacing w:val="0"/>
          <w:kern w:val="0"/>
          <w:sz w:val="24"/>
          <w:szCs w:val="24"/>
          <w:highlight w:val="none"/>
          <w:lang w:val="en-US" w:eastAsia="zh-CN" w:bidi="ar"/>
        </w:rPr>
      </w:pPr>
    </w:p>
    <w:p w14:paraId="724717EC">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caps w:val="0"/>
          <w:color w:val="auto"/>
          <w:spacing w:val="0"/>
          <w:kern w:val="0"/>
          <w:sz w:val="24"/>
          <w:szCs w:val="24"/>
          <w:highlight w:val="none"/>
          <w:lang w:val="en-US" w:eastAsia="zh-CN" w:bidi="ar"/>
        </w:rPr>
      </w:pPr>
    </w:p>
    <w:p w14:paraId="5E018B50">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caps w:val="0"/>
          <w:color w:val="auto"/>
          <w:spacing w:val="0"/>
          <w:kern w:val="0"/>
          <w:sz w:val="24"/>
          <w:szCs w:val="24"/>
          <w:highlight w:val="none"/>
          <w:lang w:val="en-US" w:eastAsia="zh-CN" w:bidi="ar"/>
        </w:rPr>
      </w:pPr>
    </w:p>
    <w:p w14:paraId="525E493E">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caps w:val="0"/>
          <w:color w:val="auto"/>
          <w:spacing w:val="0"/>
          <w:kern w:val="0"/>
          <w:sz w:val="24"/>
          <w:szCs w:val="24"/>
          <w:highlight w:val="none"/>
          <w:lang w:val="en-US" w:eastAsia="zh-CN" w:bidi="ar"/>
        </w:rPr>
      </w:pPr>
    </w:p>
    <w:p w14:paraId="6F36AC4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caps w:val="0"/>
          <w:color w:val="auto"/>
          <w:spacing w:val="0"/>
          <w:kern w:val="0"/>
          <w:sz w:val="24"/>
          <w:szCs w:val="24"/>
          <w:highlight w:val="none"/>
          <w:lang w:val="en-US" w:eastAsia="zh-CN" w:bidi="ar"/>
        </w:rPr>
      </w:pPr>
    </w:p>
    <w:p w14:paraId="0C8F872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iCs w:val="0"/>
          <w:caps w:val="0"/>
          <w:color w:val="auto"/>
          <w:spacing w:val="0"/>
          <w:kern w:val="0"/>
          <w:sz w:val="24"/>
          <w:szCs w:val="24"/>
          <w:highlight w:val="none"/>
          <w:lang w:val="en-US" w:eastAsia="zh-CN" w:bidi="ar"/>
        </w:rPr>
      </w:pPr>
    </w:p>
    <w:bookmarkEnd w:id="4"/>
    <w:bookmarkEnd w:id="5"/>
    <w:p w14:paraId="38BA04A4">
      <w:pPr>
        <w:pStyle w:val="17"/>
        <w:keepNext w:val="0"/>
        <w:keepLines w:val="0"/>
        <w:pageBreakBefore w:val="0"/>
        <w:widowControl w:val="0"/>
        <w:numPr>
          <w:ilvl w:val="0"/>
          <w:numId w:val="1"/>
        </w:numPr>
        <w:kinsoku/>
        <w:wordWrap/>
        <w:overflowPunct/>
        <w:topLinePunct w:val="0"/>
        <w:autoSpaceDE/>
        <w:autoSpaceDN/>
        <w:bidi w:val="0"/>
        <w:adjustRightInd/>
        <w:snapToGrid w:val="0"/>
        <w:spacing w:line="360" w:lineRule="auto"/>
        <w:jc w:val="center"/>
        <w:textAlignment w:val="auto"/>
        <w:outlineLvl w:val="0"/>
        <w:rPr>
          <w:rFonts w:hint="eastAsia" w:ascii="Times New Roman" w:hAnsi="Times New Roman" w:cs="Times New Roman"/>
          <w:b/>
          <w:bCs/>
          <w:color w:val="auto"/>
          <w:sz w:val="36"/>
          <w:szCs w:val="36"/>
          <w:highlight w:val="none"/>
        </w:rPr>
      </w:pPr>
      <w:bookmarkStart w:id="11" w:name="_Toc28448"/>
      <w:r>
        <w:rPr>
          <w:rFonts w:hint="eastAsia" w:ascii="Times New Roman" w:hAnsi="Times New Roman" w:cs="Times New Roman"/>
          <w:b/>
          <w:bCs/>
          <w:color w:val="auto"/>
          <w:sz w:val="36"/>
          <w:szCs w:val="36"/>
          <w:highlight w:val="none"/>
          <w:lang w:val="en-US" w:eastAsia="zh-CN"/>
        </w:rPr>
        <w:t xml:space="preserve"> </w:t>
      </w:r>
      <w:r>
        <w:rPr>
          <w:rFonts w:hint="eastAsia" w:ascii="Times New Roman" w:hAnsi="Times New Roman" w:cs="Times New Roman"/>
          <w:b/>
          <w:bCs/>
          <w:color w:val="auto"/>
          <w:sz w:val="36"/>
          <w:szCs w:val="36"/>
          <w:highlight w:val="none"/>
        </w:rPr>
        <w:t>投标人须知</w:t>
      </w:r>
      <w:bookmarkEnd w:id="6"/>
      <w:bookmarkEnd w:id="11"/>
    </w:p>
    <w:p w14:paraId="0D9ACAD5">
      <w:pPr>
        <w:pStyle w:val="46"/>
        <w:pageBreakBefore w:val="0"/>
        <w:kinsoku/>
        <w:wordWrap/>
        <w:overflowPunct/>
        <w:topLinePunct w:val="0"/>
        <w:autoSpaceDE/>
        <w:autoSpaceDN/>
        <w:bidi w:val="0"/>
        <w:spacing w:before="0" w:after="0"/>
        <w:ind w:left="0" w:leftChars="0"/>
        <w:jc w:val="center"/>
        <w:textAlignment w:val="auto"/>
        <w:rPr>
          <w:rFonts w:hint="eastAsia" w:ascii="Times New Roman" w:hAnsi="Times New Roman" w:cs="Times New Roman"/>
          <w:b/>
          <w:bCs/>
          <w:color w:val="auto"/>
          <w:sz w:val="36"/>
          <w:szCs w:val="36"/>
          <w:highlight w:val="none"/>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须知前附表</w:t>
      </w:r>
    </w:p>
    <w:tbl>
      <w:tblPr>
        <w:tblStyle w:val="25"/>
        <w:tblpPr w:leftFromText="180" w:rightFromText="180" w:vertAnchor="text" w:horzAnchor="page" w:tblpX="1004" w:tblpY="493"/>
        <w:tblOverlap w:val="never"/>
        <w:tblW w:w="9971"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5"/>
        <w:gridCol w:w="2161"/>
        <w:gridCol w:w="6625"/>
      </w:tblGrid>
      <w:tr w14:paraId="7B83C2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trPr>
        <w:tc>
          <w:tcPr>
            <w:tcW w:w="1185" w:type="dxa"/>
            <w:vAlign w:val="center"/>
          </w:tcPr>
          <w:p w14:paraId="7DDE361D">
            <w:pPr>
              <w:pStyle w:val="48"/>
              <w:adjustRightInd w:val="0"/>
              <w:snapToGrid w:val="0"/>
              <w:spacing w:line="500" w:lineRule="atLeast"/>
              <w:jc w:val="center"/>
              <w:rPr>
                <w:rFonts w:hint="eastAsia" w:ascii="宋体" w:hAnsi="宋体" w:eastAsia="宋体" w:cs="宋体"/>
                <w:b/>
                <w:color w:val="auto"/>
                <w:sz w:val="24"/>
                <w:szCs w:val="24"/>
                <w:highlight w:val="none"/>
              </w:rPr>
            </w:pPr>
            <w:bookmarkStart w:id="12" w:name="_Toc256000002"/>
            <w:bookmarkStart w:id="13" w:name="_Toc22485"/>
            <w:bookmarkStart w:id="14" w:name="_Toc89075993"/>
            <w:r>
              <w:rPr>
                <w:rFonts w:hint="eastAsia" w:ascii="宋体" w:hAnsi="宋体" w:eastAsia="宋体" w:cs="宋体"/>
                <w:b/>
                <w:color w:val="auto"/>
                <w:sz w:val="24"/>
                <w:szCs w:val="24"/>
                <w:highlight w:val="none"/>
              </w:rPr>
              <w:t>序列号</w:t>
            </w:r>
          </w:p>
        </w:tc>
        <w:tc>
          <w:tcPr>
            <w:tcW w:w="2161" w:type="dxa"/>
            <w:vAlign w:val="center"/>
          </w:tcPr>
          <w:p w14:paraId="4F6C63A6">
            <w:pPr>
              <w:pStyle w:val="48"/>
              <w:adjustRightInd w:val="0"/>
              <w:snapToGrid w:val="0"/>
              <w:spacing w:line="50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625" w:type="dxa"/>
            <w:vAlign w:val="center"/>
          </w:tcPr>
          <w:p w14:paraId="5570B92D">
            <w:pPr>
              <w:pStyle w:val="48"/>
              <w:adjustRightInd w:val="0"/>
              <w:snapToGrid w:val="0"/>
              <w:spacing w:line="50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编列内容规定</w:t>
            </w:r>
          </w:p>
        </w:tc>
      </w:tr>
      <w:tr w14:paraId="6918C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85" w:type="dxa"/>
            <w:vAlign w:val="center"/>
          </w:tcPr>
          <w:p w14:paraId="6D186E78">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2161" w:type="dxa"/>
            <w:vAlign w:val="center"/>
          </w:tcPr>
          <w:p w14:paraId="2AEBE3AD">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6625" w:type="dxa"/>
            <w:vAlign w:val="center"/>
          </w:tcPr>
          <w:p w14:paraId="5EEF1F16">
            <w:pPr>
              <w:pStyle w:val="23"/>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jc w:val="both"/>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i w:val="0"/>
                <w:iCs w:val="0"/>
                <w:caps w:val="0"/>
                <w:color w:val="auto"/>
                <w:spacing w:val="0"/>
                <w:kern w:val="2"/>
                <w:sz w:val="24"/>
                <w:szCs w:val="24"/>
                <w:highlight w:val="none"/>
                <w:lang w:val="en-US" w:eastAsia="zh-CN" w:bidi="ar-SA"/>
              </w:rPr>
              <w:t>哈密市巴里坤县三塘湖镇冷链物流设施建设项目-监理</w:t>
            </w:r>
          </w:p>
        </w:tc>
      </w:tr>
      <w:tr w14:paraId="24F93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85" w:type="dxa"/>
            <w:vAlign w:val="center"/>
          </w:tcPr>
          <w:p w14:paraId="5F115C3A">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2161" w:type="dxa"/>
            <w:vAlign w:val="center"/>
          </w:tcPr>
          <w:p w14:paraId="2E7B5F17">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w:t>
            </w:r>
          </w:p>
        </w:tc>
        <w:tc>
          <w:tcPr>
            <w:tcW w:w="6625" w:type="dxa"/>
            <w:vAlign w:val="center"/>
          </w:tcPr>
          <w:p w14:paraId="138500DE">
            <w:pPr>
              <w:pStyle w:val="48"/>
              <w:adjustRightInd w:val="0"/>
              <w:snapToGrid w:val="0"/>
              <w:spacing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名</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t xml:space="preserve">  </w:t>
            </w:r>
            <w:r>
              <w:rPr>
                <w:rFonts w:hint="eastAsia" w:ascii="宋体" w:hAnsi="宋体" w:eastAsia="宋体" w:cs="宋体"/>
                <w:color w:val="auto"/>
                <w:sz w:val="24"/>
                <w:szCs w:val="24"/>
                <w:highlight w:val="none"/>
                <w:u w:val="none"/>
                <w:lang w:val="en-US" w:eastAsia="zh-CN"/>
              </w:rPr>
              <w:t>称：</w:t>
            </w:r>
            <w:r>
              <w:rPr>
                <w:rFonts w:hint="eastAsia" w:asciiTheme="minorEastAsia" w:hAnsiTheme="minorEastAsia" w:eastAsiaTheme="minorEastAsia" w:cstheme="minorEastAsia"/>
                <w:color w:val="auto"/>
                <w:sz w:val="24"/>
                <w:szCs w:val="24"/>
                <w:highlight w:val="none"/>
                <w:u w:val="none"/>
                <w:lang w:val="en-US" w:eastAsia="zh-CN"/>
              </w:rPr>
              <w:t>巴里坤哈萨克自治县农业农村局</w:t>
            </w:r>
          </w:p>
          <w:p w14:paraId="743EBB5C">
            <w:pPr>
              <w:pStyle w:val="48"/>
              <w:adjustRightInd w:val="0"/>
              <w:snapToGrid w:val="0"/>
              <w:spacing w:line="360" w:lineRule="auto"/>
              <w:jc w:val="left"/>
              <w:rPr>
                <w:rFonts w:hint="eastAsia" w:ascii="宋体" w:hAnsi="宋体" w:eastAsia="宋体" w:cs="宋体"/>
                <w:color w:val="auto"/>
                <w:sz w:val="24"/>
                <w:szCs w:val="24"/>
                <w:highlight w:val="none"/>
                <w:u w:val="none"/>
                <w:rtl w:val="0"/>
                <w:lang w:val="en-US" w:eastAsia="zh-CN"/>
              </w:rPr>
            </w:pPr>
            <w:r>
              <w:rPr>
                <w:rFonts w:hint="eastAsia" w:ascii="宋体" w:hAnsi="宋体" w:eastAsia="宋体" w:cs="宋体"/>
                <w:color w:val="auto"/>
                <w:sz w:val="24"/>
                <w:szCs w:val="24"/>
                <w:highlight w:val="none"/>
                <w:u w:val="none"/>
                <w:lang w:val="en-US" w:eastAsia="zh-CN"/>
              </w:rPr>
              <w:t>地  址：</w:t>
            </w:r>
            <w:r>
              <w:rPr>
                <w:rFonts w:hint="eastAsia" w:ascii="宋体" w:hAnsi="宋体" w:cs="宋体"/>
                <w:color w:val="auto"/>
                <w:sz w:val="24"/>
                <w:szCs w:val="24"/>
                <w:highlight w:val="none"/>
                <w:u w:val="none"/>
                <w:rtl w:val="0"/>
                <w:lang w:val="en-US" w:eastAsia="zh-CN"/>
              </w:rPr>
              <w:t>哈密市巴里坤县天山路10号</w:t>
            </w:r>
          </w:p>
          <w:p w14:paraId="74EAB409">
            <w:pPr>
              <w:pStyle w:val="48"/>
              <w:adjustRightInd w:val="0"/>
              <w:snapToGrid w:val="0"/>
              <w:spacing w:line="360" w:lineRule="auto"/>
              <w:jc w:val="left"/>
              <w:rPr>
                <w:rFonts w:hint="default" w:ascii="宋体" w:hAnsi="宋体" w:eastAsia="宋体" w:cs="宋体"/>
                <w:color w:val="auto"/>
                <w:sz w:val="24"/>
                <w:szCs w:val="24"/>
                <w:highlight w:val="none"/>
                <w:u w:val="none"/>
                <w:rtl w:val="0"/>
                <w:lang w:val="en-US" w:eastAsia="zh-CN"/>
              </w:rPr>
            </w:pPr>
            <w:r>
              <w:rPr>
                <w:rFonts w:hint="eastAsia" w:ascii="宋体" w:hAnsi="宋体" w:eastAsia="宋体" w:cs="宋体"/>
                <w:color w:val="auto"/>
                <w:sz w:val="24"/>
                <w:szCs w:val="24"/>
                <w:highlight w:val="none"/>
                <w:u w:val="none"/>
                <w:rtl w:val="0"/>
                <w:lang w:val="en-US" w:eastAsia="zh-CN"/>
              </w:rPr>
              <w:t>联系人：</w:t>
            </w:r>
            <w:r>
              <w:rPr>
                <w:rFonts w:hint="eastAsia" w:ascii="宋体" w:hAnsi="宋体" w:cs="宋体"/>
                <w:color w:val="auto"/>
                <w:sz w:val="24"/>
                <w:szCs w:val="24"/>
                <w:highlight w:val="none"/>
                <w:u w:val="none"/>
                <w:rtl w:val="0"/>
                <w:lang w:val="en-US" w:eastAsia="zh-CN"/>
              </w:rPr>
              <w:t>邓莉</w:t>
            </w:r>
            <w:r>
              <w:rPr>
                <w:rFonts w:hint="eastAsia" w:ascii="宋体" w:hAnsi="宋体" w:eastAsia="宋体" w:cs="宋体"/>
                <w:color w:val="auto"/>
                <w:sz w:val="24"/>
                <w:szCs w:val="24"/>
                <w:highlight w:val="none"/>
                <w:u w:val="none"/>
                <w:rtl w:val="0"/>
                <w:lang w:val="zh-TW" w:eastAsia="zh-TW"/>
              </w:rPr>
              <w:t xml:space="preserve">  </w:t>
            </w:r>
            <w:r>
              <w:rPr>
                <w:rFonts w:hint="eastAsia" w:ascii="宋体" w:hAnsi="宋体" w:eastAsia="宋体" w:cs="宋体"/>
                <w:color w:val="auto"/>
                <w:sz w:val="24"/>
                <w:szCs w:val="24"/>
                <w:highlight w:val="none"/>
                <w:u w:val="none"/>
                <w:rtl w:val="0"/>
                <w:lang w:val="en-US" w:eastAsia="zh-CN"/>
              </w:rPr>
              <w:t xml:space="preserve"> </w:t>
            </w:r>
          </w:p>
          <w:p w14:paraId="2AD62EF5">
            <w:pPr>
              <w:pStyle w:val="48"/>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tl w:val="0"/>
                <w:lang w:val="zh-TW" w:eastAsia="zh-TW"/>
              </w:rPr>
              <w:t>联系电话：</w:t>
            </w:r>
            <w:r>
              <w:rPr>
                <w:rFonts w:hint="eastAsia" w:ascii="宋体" w:hAnsi="宋体" w:cs="宋体"/>
                <w:color w:val="auto"/>
                <w:sz w:val="24"/>
                <w:szCs w:val="24"/>
                <w:highlight w:val="none"/>
                <w:u w:val="none"/>
                <w:rtl w:val="0"/>
                <w:lang w:val="en-US" w:eastAsia="zh-CN"/>
              </w:rPr>
              <w:t>18399872608</w:t>
            </w:r>
          </w:p>
        </w:tc>
      </w:tr>
      <w:tr w14:paraId="60C5C5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185" w:type="dxa"/>
            <w:vAlign w:val="center"/>
          </w:tcPr>
          <w:p w14:paraId="72BF5444">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2161" w:type="dxa"/>
            <w:vAlign w:val="center"/>
          </w:tcPr>
          <w:p w14:paraId="018A4FEF">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采购代理机构</w:t>
            </w:r>
          </w:p>
        </w:tc>
        <w:tc>
          <w:tcPr>
            <w:tcW w:w="6625" w:type="dxa"/>
            <w:vAlign w:val="center"/>
          </w:tcPr>
          <w:p w14:paraId="6381FA16">
            <w:pPr>
              <w:pStyle w:val="48"/>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 新疆飞腾达工程项目管理咨询有限公司</w:t>
            </w:r>
          </w:p>
          <w:p w14:paraId="6500CC94">
            <w:pPr>
              <w:pStyle w:val="48"/>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地址：哈密市大营房百花路红星名筑14楼</w:t>
            </w:r>
          </w:p>
          <w:p w14:paraId="2E4FCBB9">
            <w:pPr>
              <w:pStyle w:val="48"/>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项目联系人：郭旭</w:t>
            </w:r>
          </w:p>
          <w:p w14:paraId="13AC2A15">
            <w:pPr>
              <w:pStyle w:val="48"/>
              <w:adjustRightInd w:val="0"/>
              <w:snapToGrid w:val="0"/>
              <w:spacing w:line="360" w:lineRule="auto"/>
              <w:jc w:val="left"/>
              <w:rPr>
                <w:rFonts w:hint="default" w:ascii="宋体" w:hAnsi="宋体" w:eastAsia="宋体" w:cs="宋体"/>
                <w:b/>
                <w:bCs/>
                <w:color w:val="auto"/>
                <w:sz w:val="24"/>
                <w:szCs w:val="24"/>
                <w:highlight w:val="none"/>
                <w:lang w:val="en-US"/>
              </w:rPr>
            </w:pPr>
            <w:r>
              <w:rPr>
                <w:rFonts w:hint="eastAsia" w:ascii="宋体" w:hAnsi="宋体" w:eastAsia="宋体" w:cs="宋体"/>
                <w:color w:val="auto"/>
                <w:sz w:val="24"/>
                <w:szCs w:val="24"/>
                <w:highlight w:val="none"/>
              </w:rPr>
              <w:t xml:space="preserve">电 话：18119018821  </w:t>
            </w:r>
          </w:p>
        </w:tc>
      </w:tr>
      <w:tr w14:paraId="325C78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1185" w:type="dxa"/>
            <w:vAlign w:val="center"/>
          </w:tcPr>
          <w:p w14:paraId="57D19B5B">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2161" w:type="dxa"/>
            <w:vAlign w:val="center"/>
          </w:tcPr>
          <w:p w14:paraId="12F64FB3">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资金来源</w:t>
            </w:r>
          </w:p>
        </w:tc>
        <w:tc>
          <w:tcPr>
            <w:tcW w:w="6625" w:type="dxa"/>
            <w:vAlign w:val="center"/>
          </w:tcPr>
          <w:p w14:paraId="712C7870">
            <w:pPr>
              <w:pStyle w:val="48"/>
              <w:adjustRightInd w:val="0"/>
              <w:snapToGrid w:val="0"/>
              <w:spacing w:line="360" w:lineRule="auto"/>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专项债券资金及县财政资金</w:t>
            </w:r>
          </w:p>
        </w:tc>
      </w:tr>
      <w:tr w14:paraId="03219A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85" w:type="dxa"/>
            <w:vAlign w:val="center"/>
          </w:tcPr>
          <w:p w14:paraId="7C89F2E2">
            <w:pPr>
              <w:pStyle w:val="48"/>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5</w:t>
            </w:r>
          </w:p>
        </w:tc>
        <w:tc>
          <w:tcPr>
            <w:tcW w:w="2161" w:type="dxa"/>
            <w:vAlign w:val="center"/>
          </w:tcPr>
          <w:p w14:paraId="57FD0DA0">
            <w:pPr>
              <w:pStyle w:val="48"/>
              <w:adjustRightInd w:val="0"/>
              <w:snapToGrid w:val="0"/>
              <w:spacing w:line="500" w:lineRule="atLeas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服务地点</w:t>
            </w:r>
          </w:p>
        </w:tc>
        <w:tc>
          <w:tcPr>
            <w:tcW w:w="6625" w:type="dxa"/>
            <w:vAlign w:val="center"/>
          </w:tcPr>
          <w:p w14:paraId="35EBEAB2">
            <w:pPr>
              <w:pStyle w:val="48"/>
              <w:adjustRightInd w:val="0"/>
              <w:snapToGrid w:val="0"/>
              <w:spacing w:line="50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甲方指定地点</w:t>
            </w:r>
          </w:p>
        </w:tc>
      </w:tr>
      <w:tr w14:paraId="2043D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85" w:type="dxa"/>
            <w:vAlign w:val="center"/>
          </w:tcPr>
          <w:p w14:paraId="62426F5A">
            <w:pPr>
              <w:pStyle w:val="48"/>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6</w:t>
            </w:r>
          </w:p>
        </w:tc>
        <w:tc>
          <w:tcPr>
            <w:tcW w:w="2161" w:type="dxa"/>
            <w:vAlign w:val="center"/>
          </w:tcPr>
          <w:p w14:paraId="37D1590F">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项目预算</w:t>
            </w:r>
          </w:p>
        </w:tc>
        <w:tc>
          <w:tcPr>
            <w:tcW w:w="6625" w:type="dxa"/>
            <w:vAlign w:val="center"/>
          </w:tcPr>
          <w:p w14:paraId="0535FB97">
            <w:pPr>
              <w:pStyle w:val="48"/>
              <w:autoSpaceDE w:val="0"/>
              <w:autoSpaceDN w:val="0"/>
              <w:adjustRightInd w:val="0"/>
              <w:snapToGrid w:val="0"/>
              <w:spacing w:line="500" w:lineRule="atLeas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金额（小</w:t>
            </w:r>
            <w:r>
              <w:rPr>
                <w:rFonts w:hint="eastAsia" w:ascii="宋体" w:hAnsi="宋体" w:eastAsia="宋体" w:cs="宋体"/>
                <w:color w:val="auto"/>
                <w:sz w:val="24"/>
                <w:szCs w:val="24"/>
                <w:highlight w:val="none"/>
                <w:lang w:val="zh-CN" w:eastAsia="zh-CN"/>
              </w:rPr>
              <w:t>写）：</w:t>
            </w:r>
            <w:r>
              <w:rPr>
                <w:rFonts w:hint="eastAsia" w:ascii="宋体" w:hAnsi="宋体" w:cs="宋体"/>
                <w:color w:val="auto"/>
                <w:sz w:val="24"/>
                <w:szCs w:val="24"/>
                <w:highlight w:val="none"/>
                <w:lang w:val="en-US" w:eastAsia="zh-CN"/>
              </w:rPr>
              <w:t>614900.00</w:t>
            </w:r>
            <w:r>
              <w:rPr>
                <w:rFonts w:hint="eastAsia" w:asciiTheme="minorEastAsia" w:hAnsiTheme="minorEastAsia" w:eastAsiaTheme="minorEastAsia" w:cstheme="minorEastAsia"/>
                <w:i w:val="0"/>
                <w:iCs w:val="0"/>
                <w:caps w:val="0"/>
                <w:color w:val="auto"/>
                <w:spacing w:val="0"/>
                <w:sz w:val="24"/>
                <w:szCs w:val="24"/>
                <w:highlight w:val="none"/>
                <w:lang w:val="en-US" w:eastAsia="zh-CN"/>
              </w:rPr>
              <w:t>元</w:t>
            </w:r>
          </w:p>
          <w:p w14:paraId="433B45F5">
            <w:pPr>
              <w:pStyle w:val="48"/>
              <w:adjustRightInd w:val="0"/>
              <w:snapToGrid w:val="0"/>
              <w:spacing w:line="500" w:lineRule="atLeas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金额（大写）：</w:t>
            </w:r>
            <w:r>
              <w:rPr>
                <w:rFonts w:hint="eastAsia" w:ascii="宋体" w:hAnsi="宋体" w:cs="宋体"/>
                <w:color w:val="auto"/>
                <w:sz w:val="24"/>
                <w:szCs w:val="24"/>
                <w:highlight w:val="none"/>
                <w:lang w:val="en-US" w:eastAsia="zh-CN"/>
              </w:rPr>
              <w:t>陆拾壹万肆仟玖佰元整</w:t>
            </w:r>
          </w:p>
          <w:p w14:paraId="0068325F">
            <w:pPr>
              <w:pStyle w:val="48"/>
              <w:adjustRightInd w:val="0"/>
              <w:snapToGrid w:val="0"/>
              <w:spacing w:line="500" w:lineRule="atLeas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注：投标报价不得超过项目预算，否则视为无效投标。</w:t>
            </w:r>
          </w:p>
        </w:tc>
      </w:tr>
      <w:tr w14:paraId="1D15DE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85" w:type="dxa"/>
            <w:vAlign w:val="center"/>
          </w:tcPr>
          <w:p w14:paraId="3DB1E465">
            <w:pPr>
              <w:pStyle w:val="48"/>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7</w:t>
            </w:r>
          </w:p>
        </w:tc>
        <w:tc>
          <w:tcPr>
            <w:tcW w:w="2161" w:type="dxa"/>
            <w:vAlign w:val="center"/>
          </w:tcPr>
          <w:p w14:paraId="0412F275">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rPr>
              <w:t>资格条件</w:t>
            </w:r>
          </w:p>
        </w:tc>
        <w:tc>
          <w:tcPr>
            <w:tcW w:w="6625" w:type="dxa"/>
            <w:vAlign w:val="center"/>
          </w:tcPr>
          <w:p w14:paraId="26C27D7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1、</w:t>
            </w:r>
            <w:r>
              <w:rPr>
                <w:rFonts w:hint="eastAsia" w:ascii="宋体" w:hAnsi="宋体" w:cs="宋体"/>
                <w:i w:val="0"/>
                <w:iCs w:val="0"/>
                <w:caps w:val="0"/>
                <w:color w:val="auto"/>
                <w:spacing w:val="0"/>
                <w:kern w:val="0"/>
                <w:sz w:val="24"/>
                <w:szCs w:val="24"/>
                <w:highlight w:val="none"/>
                <w:lang w:val="en-US" w:eastAsia="zh-CN" w:bidi="ar-SA"/>
              </w:rPr>
              <w:t>投标单位</w:t>
            </w:r>
            <w:r>
              <w:rPr>
                <w:rFonts w:hint="eastAsia" w:ascii="宋体" w:hAnsi="宋体" w:eastAsia="宋体" w:cs="宋体"/>
                <w:i w:val="0"/>
                <w:iCs w:val="0"/>
                <w:caps w:val="0"/>
                <w:color w:val="auto"/>
                <w:spacing w:val="0"/>
                <w:kern w:val="0"/>
                <w:sz w:val="24"/>
                <w:szCs w:val="24"/>
                <w:highlight w:val="none"/>
                <w:lang w:val="en-US" w:eastAsia="zh-CN" w:bidi="ar-SA"/>
              </w:rPr>
              <w:t>必须符合《中华人民共和国政府采购法》第二十二条规定。</w:t>
            </w:r>
          </w:p>
          <w:p w14:paraId="1418E99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2.落实政府采购政策需满足的资格要求：</w:t>
            </w: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t>本项目为专门面向中小企业；</w:t>
            </w:r>
          </w:p>
          <w:p w14:paraId="71EE04D6">
            <w:pPr>
              <w:keepNext w:val="0"/>
              <w:keepLines w:val="0"/>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t>3.本项目的特定资格要求：</w:t>
            </w:r>
          </w:p>
          <w:p w14:paraId="274C97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t>1）企业资质要求：投标人须具备房屋建筑工程监理乙级（含）以上资质或工程监理综合资质；</w:t>
            </w:r>
          </w:p>
          <w:p w14:paraId="754E7F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i w:val="0"/>
                <w:iCs w:val="0"/>
                <w:caps w:val="0"/>
                <w:color w:val="auto"/>
                <w:spacing w:val="0"/>
                <w:kern w:val="0"/>
                <w:sz w:val="24"/>
                <w:szCs w:val="24"/>
                <w:highlight w:val="none"/>
                <w:rtl w:val="0"/>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t>（2）项目负责人资质要求：总监理工程师为房屋建筑工程注册监理工程师，并在投标单位注册。</w:t>
            </w:r>
          </w:p>
          <w:p w14:paraId="0EEA65E1">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SA"/>
              </w:rPr>
              <w:t>4、本项目不接受联合体投标</w:t>
            </w:r>
          </w:p>
        </w:tc>
      </w:tr>
      <w:tr w14:paraId="7F83AB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85" w:type="dxa"/>
            <w:vAlign w:val="center"/>
          </w:tcPr>
          <w:p w14:paraId="2CBC8898">
            <w:pPr>
              <w:pStyle w:val="48"/>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8</w:t>
            </w:r>
          </w:p>
        </w:tc>
        <w:tc>
          <w:tcPr>
            <w:tcW w:w="2161" w:type="dxa"/>
            <w:vAlign w:val="center"/>
          </w:tcPr>
          <w:p w14:paraId="692F69B6">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联合体投标</w:t>
            </w:r>
          </w:p>
        </w:tc>
        <w:tc>
          <w:tcPr>
            <w:tcW w:w="6625" w:type="dxa"/>
            <w:vAlign w:val="center"/>
          </w:tcPr>
          <w:p w14:paraId="128D5A33">
            <w:pPr>
              <w:pStyle w:val="48"/>
              <w:adjustRightInd w:val="0"/>
              <w:snapToGrid w:val="0"/>
              <w:spacing w:line="500" w:lineRule="atLeas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 xml:space="preserve"> 不接受 </w:t>
            </w:r>
          </w:p>
          <w:p w14:paraId="40287780">
            <w:pPr>
              <w:pStyle w:val="48"/>
              <w:adjustRightInd w:val="0"/>
              <w:snapToGrid w:val="0"/>
              <w:spacing w:line="5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接受</w:t>
            </w:r>
          </w:p>
        </w:tc>
      </w:tr>
      <w:tr w14:paraId="3B0C87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1185" w:type="dxa"/>
            <w:vAlign w:val="center"/>
          </w:tcPr>
          <w:p w14:paraId="2EB5A665">
            <w:pPr>
              <w:pStyle w:val="48"/>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9</w:t>
            </w:r>
          </w:p>
        </w:tc>
        <w:tc>
          <w:tcPr>
            <w:tcW w:w="2161" w:type="dxa"/>
            <w:vAlign w:val="center"/>
          </w:tcPr>
          <w:p w14:paraId="48481B97">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备选方案</w:t>
            </w:r>
          </w:p>
        </w:tc>
        <w:tc>
          <w:tcPr>
            <w:tcW w:w="6625" w:type="dxa"/>
            <w:vAlign w:val="center"/>
          </w:tcPr>
          <w:p w14:paraId="08289B94">
            <w:pPr>
              <w:pStyle w:val="48"/>
              <w:adjustRightInd w:val="0"/>
              <w:snapToGrid w:val="0"/>
              <w:spacing w:line="500" w:lineRule="atLeas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 xml:space="preserve"> 不接受            </w:t>
            </w:r>
          </w:p>
          <w:p w14:paraId="76D4052D">
            <w:pPr>
              <w:pStyle w:val="48"/>
              <w:adjustRightInd w:val="0"/>
              <w:snapToGrid w:val="0"/>
              <w:spacing w:line="5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接受</w:t>
            </w:r>
          </w:p>
        </w:tc>
      </w:tr>
      <w:tr w14:paraId="5E0CFA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185" w:type="dxa"/>
            <w:vAlign w:val="center"/>
          </w:tcPr>
          <w:p w14:paraId="4411412A">
            <w:pPr>
              <w:pStyle w:val="48"/>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10</w:t>
            </w:r>
          </w:p>
        </w:tc>
        <w:tc>
          <w:tcPr>
            <w:tcW w:w="2161" w:type="dxa"/>
            <w:vAlign w:val="center"/>
          </w:tcPr>
          <w:p w14:paraId="0BFAF2FF">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信息公告媒体</w:t>
            </w:r>
          </w:p>
        </w:tc>
        <w:tc>
          <w:tcPr>
            <w:tcW w:w="6625" w:type="dxa"/>
            <w:vAlign w:val="center"/>
          </w:tcPr>
          <w:p w14:paraId="7F4AD5F8">
            <w:pPr>
              <w:pStyle w:val="48"/>
              <w:adjustRightInd w:val="0"/>
              <w:snapToGrid w:val="0"/>
              <w:spacing w:line="500" w:lineRule="atLeas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新疆</w:t>
            </w:r>
            <w:r>
              <w:rPr>
                <w:rFonts w:hint="eastAsia" w:ascii="宋体" w:hAnsi="宋体" w:eastAsia="宋体" w:cs="宋体"/>
                <w:color w:val="auto"/>
                <w:kern w:val="0"/>
                <w:sz w:val="24"/>
                <w:szCs w:val="24"/>
                <w:highlight w:val="none"/>
              </w:rPr>
              <w:t>政府采购网</w:t>
            </w:r>
          </w:p>
        </w:tc>
      </w:tr>
      <w:tr w14:paraId="54817B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0" w:hRule="atLeast"/>
        </w:trPr>
        <w:tc>
          <w:tcPr>
            <w:tcW w:w="1185" w:type="dxa"/>
            <w:vAlign w:val="center"/>
          </w:tcPr>
          <w:p w14:paraId="6B446E24">
            <w:pPr>
              <w:pStyle w:val="48"/>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11</w:t>
            </w:r>
          </w:p>
        </w:tc>
        <w:tc>
          <w:tcPr>
            <w:tcW w:w="2161" w:type="dxa"/>
            <w:vAlign w:val="center"/>
          </w:tcPr>
          <w:p w14:paraId="7C1C31A8">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递交截止时间</w:t>
            </w:r>
          </w:p>
        </w:tc>
        <w:tc>
          <w:tcPr>
            <w:tcW w:w="6625" w:type="dxa"/>
            <w:vAlign w:val="center"/>
          </w:tcPr>
          <w:p w14:paraId="4DF25F16">
            <w:pPr>
              <w:pStyle w:val="48"/>
              <w:adjustRightInd w:val="0"/>
              <w:snapToGrid w:val="0"/>
              <w:spacing w:line="500" w:lineRule="atLeast"/>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eastAsia="zh-CN"/>
              </w:rPr>
            </w:pPr>
            <w:r>
              <w:rPr>
                <w:rFonts w:hint="eastAsia" w:ascii="宋体" w:hAnsi="宋体" w:cs="宋体"/>
                <w:color w:val="auto"/>
                <w:spacing w:val="0"/>
                <w:w w:val="100"/>
                <w:kern w:val="0"/>
                <w:position w:val="0"/>
                <w:sz w:val="24"/>
                <w:szCs w:val="24"/>
                <w:highlight w:val="none"/>
                <w:u w:val="none" w:color="000000"/>
                <w:shd w:val="clear" w:color="auto" w:fill="auto"/>
                <w:vertAlign w:val="baseline"/>
                <w:rtl w:val="0"/>
                <w:lang w:val="en-US" w:eastAsia="zh-CN"/>
              </w:rPr>
              <w:t>2026年05月18日</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cs="宋体"/>
                <w:color w:val="auto"/>
                <w:spacing w:val="0"/>
                <w:w w:val="100"/>
                <w:kern w:val="0"/>
                <w:position w:val="0"/>
                <w:sz w:val="24"/>
                <w:szCs w:val="24"/>
                <w:highlight w:val="none"/>
                <w:u w:val="none" w:color="000000"/>
                <w:shd w:val="clear" w:color="auto" w:fill="auto"/>
                <w:vertAlign w:val="baseline"/>
                <w:rtl w:val="0"/>
                <w:lang w:val="en-US" w:eastAsia="zh-CN"/>
              </w:rPr>
              <w:t>16：30</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eastAsia="zh-CN"/>
              </w:rPr>
              <w:t>（北京时间）</w:t>
            </w:r>
          </w:p>
          <w:p w14:paraId="34B8C7F8">
            <w:pPr>
              <w:pStyle w:val="48"/>
              <w:adjustRightInd w:val="0"/>
              <w:snapToGrid w:val="0"/>
              <w:spacing w:line="5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文件领取截止时间不得少于5日，公告时间不得少于</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p>
        </w:tc>
      </w:tr>
      <w:tr w14:paraId="5BFF4D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85" w:type="dxa"/>
            <w:vAlign w:val="center"/>
          </w:tcPr>
          <w:p w14:paraId="62718A35">
            <w:pPr>
              <w:pStyle w:val="48"/>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12</w:t>
            </w:r>
          </w:p>
        </w:tc>
        <w:tc>
          <w:tcPr>
            <w:tcW w:w="2161" w:type="dxa"/>
            <w:vAlign w:val="center"/>
          </w:tcPr>
          <w:p w14:paraId="55EBCCB5">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开标时间、地点</w:t>
            </w:r>
          </w:p>
        </w:tc>
        <w:tc>
          <w:tcPr>
            <w:tcW w:w="6625" w:type="dxa"/>
            <w:vAlign w:val="center"/>
          </w:tcPr>
          <w:p w14:paraId="648670D3">
            <w:pPr>
              <w:pStyle w:val="48"/>
              <w:numPr>
                <w:ilvl w:val="0"/>
                <w:numId w:val="2"/>
              </w:numPr>
              <w:adjustRightInd w:val="0"/>
              <w:snapToGrid w:val="0"/>
              <w:spacing w:line="500" w:lineRule="atLeast"/>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采用见面开标：</w:t>
            </w:r>
          </w:p>
          <w:p w14:paraId="7F860EA8">
            <w:pPr>
              <w:pStyle w:val="48"/>
              <w:adjustRightInd w:val="0"/>
              <w:snapToGrid w:val="0"/>
              <w:spacing w:line="5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开标时间：同投标截止时间</w:t>
            </w:r>
          </w:p>
          <w:p w14:paraId="551075AB">
            <w:pPr>
              <w:pStyle w:val="48"/>
              <w:adjustRightInd w:val="0"/>
              <w:snapToGrid w:val="0"/>
              <w:spacing w:line="5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开标地点：                                    </w:t>
            </w:r>
          </w:p>
          <w:p w14:paraId="63DA759C">
            <w:pPr>
              <w:pStyle w:val="48"/>
              <w:widowControl/>
              <w:adjustRightInd w:val="0"/>
              <w:snapToGrid w:val="0"/>
              <w:spacing w:line="500" w:lineRule="atLeast"/>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采用</w:t>
            </w:r>
            <w:r>
              <w:rPr>
                <w:rFonts w:hint="eastAsia" w:ascii="宋体" w:hAnsi="宋体" w:eastAsia="宋体" w:cs="宋体"/>
                <w:color w:val="auto"/>
                <w:kern w:val="0"/>
                <w:sz w:val="24"/>
                <w:szCs w:val="24"/>
                <w:highlight w:val="none"/>
              </w:rPr>
              <w:t>不见面开标：</w:t>
            </w:r>
          </w:p>
          <w:p w14:paraId="58BF5618">
            <w:pPr>
              <w:pStyle w:val="48"/>
              <w:adjustRightInd w:val="0"/>
              <w:snapToGrid w:val="0"/>
              <w:spacing w:line="500" w:lineRule="atLeas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开标时间：</w:t>
            </w:r>
            <w:r>
              <w:rPr>
                <w:rFonts w:hint="eastAsia" w:ascii="宋体" w:hAnsi="宋体" w:cs="宋体"/>
                <w:color w:val="auto"/>
                <w:spacing w:val="0"/>
                <w:w w:val="100"/>
                <w:kern w:val="0"/>
                <w:position w:val="0"/>
                <w:sz w:val="24"/>
                <w:szCs w:val="24"/>
                <w:highlight w:val="none"/>
                <w:u w:val="none" w:color="000000"/>
                <w:shd w:val="clear" w:color="auto" w:fill="auto"/>
                <w:vertAlign w:val="baseline"/>
                <w:rtl w:val="0"/>
                <w:lang w:val="en-US" w:eastAsia="zh-CN"/>
              </w:rPr>
              <w:t>2026年05月18日</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cs="宋体"/>
                <w:color w:val="auto"/>
                <w:spacing w:val="0"/>
                <w:w w:val="100"/>
                <w:kern w:val="0"/>
                <w:position w:val="0"/>
                <w:sz w:val="24"/>
                <w:szCs w:val="24"/>
                <w:highlight w:val="none"/>
                <w:u w:val="none" w:color="000000"/>
                <w:shd w:val="clear" w:color="auto" w:fill="auto"/>
                <w:vertAlign w:val="baseline"/>
                <w:rtl w:val="0"/>
                <w:lang w:val="en-US" w:eastAsia="zh-CN"/>
              </w:rPr>
              <w:t>16：30</w:t>
            </w:r>
            <w:r>
              <w:rPr>
                <w:rFonts w:hint="eastAsia" w:ascii="宋体" w:hAnsi="宋体" w:eastAsia="宋体" w:cs="宋体"/>
                <w:color w:val="auto"/>
                <w:spacing w:val="0"/>
                <w:w w:val="100"/>
                <w:kern w:val="0"/>
                <w:position w:val="0"/>
                <w:sz w:val="24"/>
                <w:szCs w:val="24"/>
                <w:highlight w:val="none"/>
                <w:u w:val="none" w:color="000000"/>
                <w:shd w:val="clear" w:color="auto" w:fill="auto"/>
                <w:vertAlign w:val="baseline"/>
                <w:rtl w:val="0"/>
                <w:lang w:val="en-US" w:eastAsia="zh-CN"/>
              </w:rPr>
              <w:t>（北京时间）</w:t>
            </w:r>
          </w:p>
          <w:p w14:paraId="329208A9">
            <w:pPr>
              <w:pStyle w:val="48"/>
              <w:adjustRightInd w:val="0"/>
              <w:snapToGrid w:val="0"/>
              <w:spacing w:line="50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开标地点：远程不见面开标大厅</w:t>
            </w:r>
          </w:p>
          <w:p w14:paraId="39C4F6CB">
            <w:pPr>
              <w:pStyle w:val="48"/>
              <w:adjustRightInd w:val="0"/>
              <w:snapToGrid w:val="0"/>
              <w:spacing w:line="5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分钟</w:t>
            </w:r>
          </w:p>
          <w:p w14:paraId="08046C73">
            <w:pPr>
              <w:pStyle w:val="48"/>
              <w:widowControl/>
              <w:adjustRightInd w:val="0"/>
              <w:snapToGrid w:val="0"/>
              <w:spacing w:line="500" w:lineRule="atLeast"/>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关于能否延长解密时间的约定：开标现场若发现默认解密时长不足，由采购人决定是否延长解密时长。</w:t>
            </w:r>
          </w:p>
        </w:tc>
      </w:tr>
      <w:tr w14:paraId="3E9D5A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21" w:hRule="atLeast"/>
        </w:trPr>
        <w:tc>
          <w:tcPr>
            <w:tcW w:w="1185" w:type="dxa"/>
            <w:vAlign w:val="center"/>
          </w:tcPr>
          <w:p w14:paraId="1870D138">
            <w:pPr>
              <w:pStyle w:val="48"/>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13</w:t>
            </w:r>
          </w:p>
        </w:tc>
        <w:tc>
          <w:tcPr>
            <w:tcW w:w="2161" w:type="dxa"/>
            <w:vAlign w:val="center"/>
          </w:tcPr>
          <w:p w14:paraId="79606BB2">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专家</w:t>
            </w:r>
            <w:r>
              <w:rPr>
                <w:rFonts w:hint="eastAsia" w:ascii="宋体" w:hAnsi="宋体" w:eastAsia="宋体" w:cs="宋体"/>
                <w:b/>
                <w:bCs/>
                <w:color w:val="auto"/>
                <w:sz w:val="24"/>
                <w:szCs w:val="24"/>
                <w:highlight w:val="none"/>
              </w:rPr>
              <w:t>小组的组建及评审专家的确定方式</w:t>
            </w:r>
          </w:p>
        </w:tc>
        <w:tc>
          <w:tcPr>
            <w:tcW w:w="6625" w:type="dxa"/>
            <w:vAlign w:val="center"/>
          </w:tcPr>
          <w:p w14:paraId="62A02997">
            <w:pPr>
              <w:pStyle w:val="49"/>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专家</w:t>
            </w:r>
            <w:r>
              <w:rPr>
                <w:rFonts w:hint="eastAsia" w:ascii="宋体" w:hAnsi="宋体" w:eastAsia="宋体" w:cs="宋体"/>
                <w:color w:val="auto"/>
                <w:sz w:val="24"/>
                <w:szCs w:val="24"/>
                <w:highlight w:val="none"/>
              </w:rPr>
              <w:t>小组共</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人组成，其中采购人代表</w:t>
            </w:r>
            <w:r>
              <w:rPr>
                <w:rFonts w:hint="eastAsia" w:ascii="宋体" w:hAnsi="宋体" w:cs="宋体"/>
                <w:color w:val="auto"/>
                <w:sz w:val="24"/>
                <w:szCs w:val="24"/>
                <w:highlight w:val="none"/>
                <w:u w:val="single"/>
                <w:lang w:val="en-US" w:eastAsia="zh-CN"/>
              </w:rPr>
              <w:t xml:space="preserve"> 0</w:t>
            </w:r>
            <w:r>
              <w:rPr>
                <w:rFonts w:hint="eastAsia" w:ascii="宋体" w:hAnsi="宋体" w:eastAsia="宋体" w:cs="宋体"/>
                <w:color w:val="auto"/>
                <w:sz w:val="24"/>
                <w:szCs w:val="24"/>
                <w:highlight w:val="none"/>
              </w:rPr>
              <w:t>人和专家评委</w:t>
            </w:r>
            <w:r>
              <w:rPr>
                <w:rFonts w:hint="eastAsia" w:ascii="宋体" w:hAnsi="宋体" w:cs="宋体"/>
                <w:color w:val="auto"/>
                <w:sz w:val="24"/>
                <w:szCs w:val="24"/>
                <w:highlight w:val="none"/>
                <w:u w:val="single"/>
                <w:lang w:val="en-US" w:eastAsia="zh-CN"/>
              </w:rPr>
              <w:t xml:space="preserve"> 5</w:t>
            </w:r>
            <w:r>
              <w:rPr>
                <w:rFonts w:hint="eastAsia" w:ascii="宋体" w:hAnsi="宋体" w:eastAsia="宋体" w:cs="宋体"/>
                <w:color w:val="auto"/>
                <w:sz w:val="24"/>
                <w:szCs w:val="24"/>
                <w:highlight w:val="none"/>
              </w:rPr>
              <w:t>人。</w:t>
            </w:r>
          </w:p>
          <w:p w14:paraId="32FC275E">
            <w:pPr>
              <w:pStyle w:val="49"/>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☑计算机随机抽取语音通知方式</w:t>
            </w:r>
          </w:p>
          <w:p w14:paraId="5A6B3664">
            <w:pPr>
              <w:pStyle w:val="48"/>
              <w:adjustRightInd w:val="0"/>
              <w:snapToGrid w:val="0"/>
              <w:spacing w:line="5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□其他方式：                      </w:t>
            </w:r>
          </w:p>
        </w:tc>
      </w:tr>
      <w:tr w14:paraId="033366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65" w:hRule="atLeast"/>
        </w:trPr>
        <w:tc>
          <w:tcPr>
            <w:tcW w:w="1185" w:type="dxa"/>
            <w:vAlign w:val="center"/>
          </w:tcPr>
          <w:p w14:paraId="3C7A251A">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w:t>
            </w:r>
          </w:p>
        </w:tc>
        <w:tc>
          <w:tcPr>
            <w:tcW w:w="2161" w:type="dxa"/>
            <w:vAlign w:val="center"/>
          </w:tcPr>
          <w:p w14:paraId="1A8D65C7">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保证金</w:t>
            </w:r>
          </w:p>
        </w:tc>
        <w:tc>
          <w:tcPr>
            <w:tcW w:w="6625" w:type="dxa"/>
            <w:vAlign w:val="center"/>
          </w:tcPr>
          <w:p w14:paraId="605A7A84">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投标保证金数额：</w:t>
            </w:r>
            <w:r>
              <w:rPr>
                <w:rFonts w:hint="eastAsia" w:ascii="宋体" w:hAnsi="宋体" w:cs="Courier New"/>
                <w:color w:val="auto"/>
                <w:kern w:val="2"/>
                <w:sz w:val="24"/>
                <w:szCs w:val="24"/>
                <w:highlight w:val="none"/>
                <w:lang w:val="en-US" w:eastAsia="zh-CN" w:bidi="ar-SA"/>
              </w:rPr>
              <w:t>12000.0</w:t>
            </w:r>
            <w:r>
              <w:rPr>
                <w:rFonts w:hint="eastAsia" w:ascii="宋体" w:hAnsi="宋体" w:eastAsia="宋体" w:cs="Courier New"/>
                <w:color w:val="auto"/>
                <w:kern w:val="2"/>
                <w:sz w:val="24"/>
                <w:szCs w:val="24"/>
                <w:highlight w:val="none"/>
                <w:lang w:val="en-US" w:eastAsia="zh-CN" w:bidi="ar-SA"/>
              </w:rPr>
              <w:t>0元(人民币</w:t>
            </w:r>
            <w:r>
              <w:rPr>
                <w:rFonts w:hint="eastAsia" w:ascii="宋体" w:hAnsi="宋体" w:cs="Courier New"/>
                <w:color w:val="auto"/>
                <w:kern w:val="2"/>
                <w:sz w:val="24"/>
                <w:szCs w:val="24"/>
                <w:highlight w:val="none"/>
                <w:lang w:val="en-US" w:eastAsia="zh-CN" w:bidi="ar-SA"/>
              </w:rPr>
              <w:t>贰万元整</w:t>
            </w:r>
            <w:r>
              <w:rPr>
                <w:rFonts w:hint="eastAsia" w:ascii="宋体" w:hAnsi="宋体" w:eastAsia="宋体" w:cs="Courier New"/>
                <w:color w:val="auto"/>
                <w:kern w:val="2"/>
                <w:sz w:val="24"/>
                <w:szCs w:val="24"/>
                <w:highlight w:val="none"/>
                <w:lang w:val="en-US" w:eastAsia="zh-CN" w:bidi="ar-SA"/>
              </w:rPr>
              <w:t>)，在缴纳保证金时一定要注明项目名称。</w:t>
            </w:r>
          </w:p>
          <w:p w14:paraId="22CB4C1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递交时间：投标人应在投标截止时间前提交投标保证金，并确保投标保证金在投标截止时间前缴纳。</w:t>
            </w:r>
          </w:p>
          <w:p w14:paraId="624A56CA">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账户信息</w:t>
            </w:r>
          </w:p>
          <w:p w14:paraId="042B5893">
            <w:pPr>
              <w:adjustRightInd w:val="0"/>
              <w:snapToGrid w:val="0"/>
              <w:spacing w:line="360" w:lineRule="auto"/>
              <w:rPr>
                <w:rFonts w:hint="eastAsia" w:ascii="宋体" w:hAnsi="宋体" w:cs="宋体"/>
                <w:bCs/>
                <w:kern w:val="0"/>
                <w:sz w:val="24"/>
                <w:szCs w:val="24"/>
              </w:rPr>
            </w:pPr>
            <w:r>
              <w:rPr>
                <w:rFonts w:hint="eastAsia" w:ascii="宋体" w:hAnsi="宋体" w:cs="宋体"/>
                <w:bCs/>
                <w:kern w:val="0"/>
                <w:sz w:val="24"/>
                <w:szCs w:val="24"/>
              </w:rPr>
              <w:t>收款单位：新疆飞腾达工程项目管理咨询有限公司</w:t>
            </w:r>
          </w:p>
          <w:p w14:paraId="15CCFA33">
            <w:pPr>
              <w:adjustRightInd w:val="0"/>
              <w:snapToGrid w:val="0"/>
              <w:spacing w:line="360" w:lineRule="auto"/>
              <w:rPr>
                <w:rFonts w:hint="eastAsia" w:ascii="宋体" w:hAnsi="宋体" w:cs="宋体"/>
                <w:bCs/>
                <w:kern w:val="0"/>
                <w:sz w:val="24"/>
                <w:szCs w:val="24"/>
              </w:rPr>
            </w:pPr>
            <w:r>
              <w:rPr>
                <w:rFonts w:hint="eastAsia" w:ascii="宋体" w:hAnsi="宋体" w:cs="宋体"/>
                <w:bCs/>
                <w:kern w:val="0"/>
                <w:sz w:val="24"/>
                <w:szCs w:val="24"/>
              </w:rPr>
              <w:t>开户银行：哈密红星国民村镇银行有限责任公司</w:t>
            </w:r>
          </w:p>
          <w:p w14:paraId="5DF00C5F">
            <w:pPr>
              <w:adjustRightInd w:val="0"/>
              <w:snapToGrid w:val="0"/>
              <w:spacing w:line="360" w:lineRule="auto"/>
              <w:rPr>
                <w:rFonts w:hint="eastAsia" w:ascii="宋体" w:hAnsi="宋体" w:cs="宋体"/>
                <w:bCs/>
                <w:kern w:val="0"/>
                <w:sz w:val="24"/>
                <w:szCs w:val="24"/>
              </w:rPr>
            </w:pPr>
            <w:r>
              <w:rPr>
                <w:rFonts w:hint="eastAsia" w:ascii="宋体" w:hAnsi="宋体" w:cs="宋体"/>
                <w:bCs/>
                <w:kern w:val="0"/>
                <w:sz w:val="24"/>
                <w:szCs w:val="24"/>
              </w:rPr>
              <w:t>银行账号：66080101302006952</w:t>
            </w:r>
          </w:p>
          <w:p w14:paraId="26472ED2">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cs="宋体"/>
                <w:bCs/>
                <w:kern w:val="0"/>
                <w:sz w:val="24"/>
                <w:szCs w:val="24"/>
              </w:rPr>
            </w:pPr>
            <w:r>
              <w:rPr>
                <w:rFonts w:hint="eastAsia" w:ascii="宋体" w:hAnsi="宋体" w:cs="宋体"/>
                <w:bCs/>
                <w:kern w:val="0"/>
                <w:sz w:val="24"/>
                <w:szCs w:val="24"/>
              </w:rPr>
              <w:t>行    号：320884000025</w:t>
            </w:r>
          </w:p>
          <w:p w14:paraId="32FC6722">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注：1、投标保证金以电汇、网银等转账形式提交的，应在投标投标截至时间前一次性汇入指定账户（以到账时间为准），不接受现金及任何个人汇款。</w:t>
            </w:r>
          </w:p>
          <w:p w14:paraId="483C69FE">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2、有效投标保证金成功交纳后，截止开标时间，</w:t>
            </w:r>
            <w:r>
              <w:rPr>
                <w:rFonts w:hint="eastAsia" w:ascii="宋体" w:hAnsi="宋体" w:cs="Courier New"/>
                <w:color w:val="auto"/>
                <w:kern w:val="2"/>
                <w:sz w:val="24"/>
                <w:szCs w:val="24"/>
                <w:highlight w:val="none"/>
                <w:lang w:val="en-US" w:eastAsia="zh-CN" w:bidi="ar-SA"/>
              </w:rPr>
              <w:t>投标单位</w:t>
            </w:r>
            <w:r>
              <w:rPr>
                <w:rFonts w:hint="eastAsia" w:ascii="宋体" w:hAnsi="宋体" w:eastAsia="宋体" w:cs="Courier New"/>
                <w:color w:val="auto"/>
                <w:kern w:val="2"/>
                <w:sz w:val="24"/>
                <w:szCs w:val="24"/>
                <w:highlight w:val="none"/>
                <w:lang w:val="en-US" w:eastAsia="zh-CN" w:bidi="ar-SA"/>
              </w:rPr>
              <w:t>无正当理由不参加该项目投标且不递交弃标函，投标保证金不予退还。</w:t>
            </w:r>
          </w:p>
          <w:p w14:paraId="462101C6">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3、投标保证金需在投标截止时间（开标时间）前缴纳至招标代理公司账户，投标人需自行评估因异地、跨行、公休日等因素造成的保证金到账延迟风险，并承担相应责任；</w:t>
            </w:r>
          </w:p>
          <w:p w14:paraId="40F13D2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采用电子保函形式应按以下要求办理： </w:t>
            </w:r>
          </w:p>
          <w:p w14:paraId="51F4B17E">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（1）电子保函按照“一标段一保函”的原则。 </w:t>
            </w:r>
          </w:p>
          <w:p w14:paraId="21196177">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（2）电子保函须在招标文件规定的投标截止时间前办理完成。 </w:t>
            </w:r>
          </w:p>
          <w:p w14:paraId="0C65FF36">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（3）具体办理流程详见新疆政府采购网《新疆政府采购电子保函操作流程》。 </w:t>
            </w:r>
          </w:p>
          <w:p w14:paraId="0E8BB071">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投标人以保函形式缴纳投标保证金的，应通过“新疆政府采购信用融资服务平台”，使用其企业 CA 证书申请购买电子投标保函。同时将电子投标保单作为电子投标文件组成部分在投标时一并提交。</w:t>
            </w:r>
          </w:p>
          <w:p w14:paraId="36B1F72F">
            <w:pPr>
              <w:pStyle w:val="11"/>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Courier New"/>
                <w:color w:val="auto"/>
                <w:kern w:val="2"/>
                <w:sz w:val="24"/>
                <w:szCs w:val="24"/>
                <w:highlight w:val="none"/>
                <w:lang w:val="en-US" w:eastAsia="zh-CN" w:bidi="ar-SA"/>
              </w:rPr>
              <w:t>（备注：如采用电子保函形式缴纳的，在投标截止日之前须从新疆电子保函服务管理平台中确认是否生效。电子保函服务管理平台技术人员联系方式：95763。除新疆政府采购电子保函外，暂不予认可其他电子保函。鼓励及提倡投标单位使用新疆政府采购电子保函进行投标。</w:t>
            </w:r>
          </w:p>
        </w:tc>
      </w:tr>
      <w:tr w14:paraId="42A479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85" w:type="dxa"/>
            <w:vAlign w:val="center"/>
          </w:tcPr>
          <w:p w14:paraId="26184204">
            <w:pPr>
              <w:pStyle w:val="48"/>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15</w:t>
            </w:r>
          </w:p>
        </w:tc>
        <w:tc>
          <w:tcPr>
            <w:tcW w:w="2161" w:type="dxa"/>
            <w:vAlign w:val="center"/>
          </w:tcPr>
          <w:p w14:paraId="756BF1DC">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评审办法</w:t>
            </w:r>
          </w:p>
        </w:tc>
        <w:tc>
          <w:tcPr>
            <w:tcW w:w="6625" w:type="dxa"/>
            <w:vAlign w:val="center"/>
          </w:tcPr>
          <w:p w14:paraId="605D54D3">
            <w:pPr>
              <w:pStyle w:val="48"/>
              <w:adjustRightInd w:val="0"/>
              <w:snapToGrid w:val="0"/>
              <w:spacing w:line="500" w:lineRule="atLeast"/>
              <w:ind w:left="605" w:hanging="518" w:hangingChars="2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4AD2AB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85" w:type="dxa"/>
            <w:vAlign w:val="center"/>
          </w:tcPr>
          <w:p w14:paraId="39B1E392">
            <w:pPr>
              <w:pStyle w:val="48"/>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16</w:t>
            </w:r>
          </w:p>
        </w:tc>
        <w:tc>
          <w:tcPr>
            <w:tcW w:w="2161" w:type="dxa"/>
            <w:vAlign w:val="center"/>
          </w:tcPr>
          <w:p w14:paraId="58794CA5">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有效期</w:t>
            </w:r>
          </w:p>
        </w:tc>
        <w:tc>
          <w:tcPr>
            <w:tcW w:w="6625" w:type="dxa"/>
            <w:vAlign w:val="center"/>
          </w:tcPr>
          <w:p w14:paraId="6518F9A5">
            <w:pPr>
              <w:pStyle w:val="48"/>
              <w:adjustRightInd w:val="0"/>
              <w:snapToGrid w:val="0"/>
              <w:spacing w:line="500" w:lineRule="atLeas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0日历</w:t>
            </w:r>
            <w:r>
              <w:rPr>
                <w:rFonts w:hint="eastAsia" w:ascii="宋体" w:hAnsi="宋体" w:eastAsia="宋体" w:cs="宋体"/>
                <w:color w:val="auto"/>
                <w:sz w:val="24"/>
                <w:szCs w:val="24"/>
                <w:highlight w:val="none"/>
                <w:lang w:val="en-US" w:eastAsia="zh-CN"/>
              </w:rPr>
              <w:t>天</w:t>
            </w:r>
          </w:p>
        </w:tc>
      </w:tr>
      <w:tr w14:paraId="47A9AB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85" w:type="dxa"/>
            <w:vAlign w:val="center"/>
          </w:tcPr>
          <w:p w14:paraId="24E2DEE6">
            <w:pPr>
              <w:pStyle w:val="48"/>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17</w:t>
            </w:r>
          </w:p>
        </w:tc>
        <w:tc>
          <w:tcPr>
            <w:tcW w:w="2161" w:type="dxa"/>
            <w:vAlign w:val="center"/>
          </w:tcPr>
          <w:p w14:paraId="0F0EF565">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投标文件份数</w:t>
            </w:r>
          </w:p>
        </w:tc>
        <w:tc>
          <w:tcPr>
            <w:tcW w:w="6625" w:type="dxa"/>
            <w:vAlign w:val="center"/>
          </w:tcPr>
          <w:p w14:paraId="1D1A3CD6">
            <w:pPr>
              <w:pStyle w:val="49"/>
              <w:autoSpaceDE w:val="0"/>
              <w:adjustRightInd w:val="0"/>
              <w:snapToGrid w:val="0"/>
              <w:spacing w:line="5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投标文件包括：</w:t>
            </w:r>
          </w:p>
          <w:p w14:paraId="2F3BF1FB">
            <w:pPr>
              <w:adjustRightInd w:val="0"/>
              <w:snapToGrid w:val="0"/>
              <w:spacing w:line="360" w:lineRule="auto"/>
              <w:rPr>
                <w:rFonts w:ascii="宋体" w:hAnsi="宋体" w:cs="宋体"/>
                <w:color w:val="auto"/>
                <w:sz w:val="24"/>
                <w:szCs w:val="24"/>
                <w:highlight w:val="none"/>
                <w:u w:val="none"/>
              </w:rPr>
            </w:pPr>
            <w:r>
              <w:rPr>
                <w:rFonts w:hint="eastAsia" w:ascii="宋体" w:hAnsi="宋体" w:eastAsia="宋体" w:cs="宋体"/>
                <w:color w:val="auto"/>
                <w:sz w:val="24"/>
                <w:szCs w:val="24"/>
                <w:highlight w:val="none"/>
              </w:rPr>
              <w:t>1、本项目采用不见面开标、投标人需要递交电子投标文件，</w:t>
            </w:r>
            <w:r>
              <w:rPr>
                <w:rFonts w:hint="eastAsia" w:ascii="宋体" w:hAnsi="宋体" w:cs="宋体"/>
                <w:color w:val="auto"/>
                <w:sz w:val="24"/>
                <w:szCs w:val="24"/>
                <w:highlight w:val="none"/>
                <w:u w:val="none"/>
              </w:rPr>
              <w:sym w:font="Wingdings 2" w:char="00A3"/>
            </w:r>
            <w:r>
              <w:rPr>
                <w:rFonts w:hint="eastAsia" w:ascii="宋体" w:hAnsi="宋体" w:cs="宋体"/>
                <w:color w:val="auto"/>
                <w:sz w:val="24"/>
                <w:szCs w:val="24"/>
                <w:highlight w:val="none"/>
                <w:u w:val="none"/>
              </w:rPr>
              <w:t>采用见面开标</w:t>
            </w:r>
          </w:p>
          <w:p w14:paraId="2A3C1577">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投标文件包括：</w:t>
            </w:r>
          </w:p>
          <w:p w14:paraId="0288FDA4">
            <w:pPr>
              <w:pStyle w:val="40"/>
              <w:adjustRightInd w:val="0"/>
              <w:snapToGrid w:val="0"/>
              <w:spacing w:line="360" w:lineRule="auto"/>
              <w:rPr>
                <w:rFonts w:ascii="宋体" w:hAnsi="宋体" w:cs="宋体"/>
                <w:color w:val="auto"/>
                <w:sz w:val="24"/>
                <w:szCs w:val="24"/>
                <w:highlight w:val="none"/>
                <w:u w:val="none"/>
              </w:rPr>
            </w:pPr>
            <w:r>
              <w:rPr>
                <w:rFonts w:hint="eastAsia" w:ascii="MS Mincho" w:hAnsi="MS Mincho" w:eastAsia="MS Mincho" w:cs="MS Mincho"/>
                <w:color w:val="auto"/>
                <w:sz w:val="24"/>
                <w:szCs w:val="24"/>
                <w:highlight w:val="none"/>
                <w:u w:val="none"/>
              </w:rPr>
              <w:t>☑</w:t>
            </w:r>
            <w:r>
              <w:rPr>
                <w:rFonts w:hint="eastAsia" w:ascii="宋体" w:hAnsi="宋体" w:cs="宋体"/>
                <w:color w:val="auto"/>
                <w:sz w:val="24"/>
                <w:szCs w:val="24"/>
                <w:highlight w:val="none"/>
                <w:u w:val="none"/>
              </w:rPr>
              <w:t xml:space="preserve"> 本项目采用不见面开标：</w:t>
            </w:r>
          </w:p>
          <w:p w14:paraId="5E21D637">
            <w:pPr>
              <w:pStyle w:val="40"/>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1．本项目采用不见面开标、投标人需要递交电子投标文件，加密的电子投标文件，在投标截止时间前通过政采云平台上传到指定位置。无需递交纸质文件。</w:t>
            </w:r>
          </w:p>
          <w:p w14:paraId="1FD03BC8">
            <w:pPr>
              <w:pStyle w:val="40"/>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2.本项目采用远程不见面交易的模式。开标当日，投标人无需到达开标现场，仅需在任意地点通过政采云平台完成投标文件递交截止时间前签到、开标过程中远程解密、提疑澄清、开标、结果公布等交互环节。投标人必须使用能正确解密投标文件的“CA锁”在规定的时间内完成远程解密，因投标人原因未能解密、解密失败或解密超时，视为投标人撤销其投标文件，系统内投标文件将被退回；</w:t>
            </w:r>
          </w:p>
          <w:p w14:paraId="02D71F09">
            <w:pPr>
              <w:pStyle w:val="40"/>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解密时长：30分钟。关干能否延长解密时间的约定: 开标现场若发现默认解密时长不足由采购人决定是否延长解密时长。</w:t>
            </w:r>
          </w:p>
          <w:p w14:paraId="710AD50F">
            <w:pPr>
              <w:pStyle w:val="40"/>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3. 参与“不见面”开标的采购人或其委托采购代理机构、投标人等各交易主体，应当按照规定使用CA数字证书及</w:t>
            </w:r>
            <w:r>
              <w:rPr>
                <w:rFonts w:hint="eastAsia" w:ascii="宋体" w:hAnsi="宋体" w:cs="宋体"/>
                <w:color w:val="auto"/>
                <w:sz w:val="24"/>
                <w:szCs w:val="24"/>
                <w:highlight w:val="none"/>
                <w:u w:val="none"/>
                <w:lang w:eastAsia="zh-CN"/>
              </w:rPr>
              <w:t>盖章</w:t>
            </w:r>
            <w:r>
              <w:rPr>
                <w:rFonts w:hint="eastAsia" w:ascii="宋体" w:hAnsi="宋体" w:cs="宋体"/>
                <w:color w:val="auto"/>
                <w:sz w:val="24"/>
                <w:szCs w:val="24"/>
                <w:highlight w:val="none"/>
                <w:u w:val="none"/>
              </w:rPr>
              <w:t>。各方主体在系统中所有操作均具有法律效力，并承担法律责任。</w:t>
            </w:r>
          </w:p>
          <w:p w14:paraId="05D7F4AA">
            <w:pPr>
              <w:pStyle w:val="40"/>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4.投标人由于数字证书遗失、损坏、更换、续期等情况导致投标文件无法解密，由投标人自行承担责任。</w:t>
            </w:r>
          </w:p>
          <w:p w14:paraId="4B31BF21">
            <w:pPr>
              <w:pStyle w:val="4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Courier New"/>
                <w:color w:val="auto"/>
                <w:kern w:val="2"/>
                <w:sz w:val="24"/>
                <w:szCs w:val="24"/>
                <w:highlight w:val="none"/>
                <w:u w:val="none"/>
                <w:lang w:val="en-US" w:eastAsia="zh-CN" w:bidi="ar-SA"/>
              </w:rPr>
            </w:pPr>
            <w:r>
              <w:rPr>
                <w:rFonts w:hint="eastAsia" w:ascii="宋体" w:hAnsi="宋体" w:cs="宋体"/>
                <w:color w:val="auto"/>
                <w:sz w:val="24"/>
                <w:szCs w:val="24"/>
                <w:highlight w:val="none"/>
                <w:u w:val="none"/>
              </w:rPr>
              <w:t>5.各投标人在项目开标、评标（审）期间应随时保持在线状态，及时查阅消息，并根据消息提醒进行投标文件在线解密等操作。随时通过交易系统接受评标（审）委员会发出的询标信息，并在规定时间内作出答复，未能按时答复的，</w:t>
            </w:r>
            <w:r>
              <w:rPr>
                <w:rFonts w:hint="eastAsia" w:ascii="宋体" w:hAnsi="宋体" w:eastAsia="宋体" w:cs="Courier New"/>
                <w:color w:val="auto"/>
                <w:kern w:val="2"/>
                <w:sz w:val="24"/>
                <w:szCs w:val="24"/>
                <w:highlight w:val="none"/>
                <w:u w:val="none"/>
                <w:lang w:val="en-US" w:eastAsia="zh-CN" w:bidi="ar-SA"/>
              </w:rPr>
              <w:t>评标（审）委员会将视同其放弃澄清。</w:t>
            </w:r>
          </w:p>
          <w:p w14:paraId="6ADB54F3">
            <w:pPr>
              <w:pStyle w:val="4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Courier New"/>
                <w:color w:val="auto"/>
                <w:kern w:val="2"/>
                <w:sz w:val="24"/>
                <w:szCs w:val="24"/>
                <w:highlight w:val="none"/>
                <w:u w:val="none"/>
                <w:lang w:val="en-US" w:eastAsia="zh-CN" w:bidi="ar-SA"/>
              </w:rPr>
            </w:pPr>
            <w:r>
              <w:rPr>
                <w:rFonts w:hint="eastAsia" w:ascii="宋体" w:hAnsi="宋体" w:eastAsia="宋体" w:cs="Courier New"/>
                <w:color w:val="auto"/>
                <w:kern w:val="2"/>
                <w:sz w:val="24"/>
                <w:szCs w:val="24"/>
                <w:highlight w:val="none"/>
                <w:u w:val="none"/>
                <w:lang w:val="en-US" w:eastAsia="zh-CN" w:bidi="ar-SA"/>
              </w:rPr>
              <w:t>6.拟中标单位需在开标结束二个工作日内提供密封不加密的电子版标书二份（U盘存储不加密的二份电子版标书其中word版本一份PDF版本一份）和纸质版投标文件一正两副至招标代理公司处，纸质版投标文件须与电子版投标文件内容一致。</w:t>
            </w:r>
          </w:p>
          <w:p w14:paraId="240026FF">
            <w:pPr>
              <w:pStyle w:val="48"/>
              <w:adjustRightInd w:val="0"/>
              <w:snapToGrid w:val="0"/>
              <w:spacing w:line="360" w:lineRule="auto"/>
              <w:jc w:val="left"/>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pPr>
            <w:r>
              <w:rPr>
                <w:rFonts w:hint="eastAsia" w:ascii="宋体" w:hAnsi="宋体" w:eastAsia="宋体" w:cs="Courier New"/>
                <w:color w:val="auto"/>
                <w:kern w:val="2"/>
                <w:sz w:val="24"/>
                <w:szCs w:val="24"/>
                <w:highlight w:val="none"/>
                <w:u w:val="none"/>
                <w:lang w:val="en-US" w:eastAsia="zh-CN" w:bidi="ar-SA"/>
              </w:rPr>
              <w:t>邮寄地址：</w:t>
            </w: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哈密市大营房百花路红星名筑14楼</w:t>
            </w:r>
          </w:p>
          <w:p w14:paraId="4380AD8C">
            <w:pPr>
              <w:pStyle w:val="4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Courier New"/>
                <w:color w:val="auto"/>
                <w:kern w:val="2"/>
                <w:sz w:val="24"/>
                <w:szCs w:val="24"/>
                <w:highlight w:val="none"/>
                <w:u w:val="none"/>
                <w:lang w:val="en-US" w:eastAsia="zh-CN" w:bidi="ar-SA"/>
              </w:rPr>
            </w:pPr>
            <w:r>
              <w:rPr>
                <w:rFonts w:hint="eastAsia" w:ascii="宋体" w:hAnsi="宋体" w:eastAsia="宋体" w:cs="Courier New"/>
                <w:color w:val="auto"/>
                <w:kern w:val="2"/>
                <w:sz w:val="24"/>
                <w:szCs w:val="24"/>
                <w:highlight w:val="none"/>
                <w:u w:val="none"/>
                <w:lang w:val="en-US" w:eastAsia="zh-CN" w:bidi="ar-SA"/>
              </w:rPr>
              <w:t>收件人：</w:t>
            </w: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郭旭</w:t>
            </w:r>
          </w:p>
          <w:p w14:paraId="073D34D5">
            <w:pPr>
              <w:pStyle w:val="4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color w:val="auto"/>
                <w:sz w:val="24"/>
                <w:szCs w:val="24"/>
                <w:highlight w:val="none"/>
                <w:lang w:val="en-US"/>
              </w:rPr>
            </w:pPr>
            <w:r>
              <w:rPr>
                <w:rFonts w:hint="eastAsia" w:ascii="宋体" w:hAnsi="宋体" w:eastAsia="宋体" w:cs="Courier New"/>
                <w:color w:val="auto"/>
                <w:kern w:val="2"/>
                <w:sz w:val="24"/>
                <w:szCs w:val="24"/>
                <w:highlight w:val="none"/>
                <w:u w:val="none"/>
                <w:lang w:val="en-US" w:eastAsia="zh-CN" w:bidi="ar-SA"/>
              </w:rPr>
              <w:t>联系电话：</w:t>
            </w: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18119018821</w:t>
            </w:r>
          </w:p>
        </w:tc>
      </w:tr>
      <w:tr w14:paraId="6D63CD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85" w:type="dxa"/>
            <w:vAlign w:val="center"/>
          </w:tcPr>
          <w:p w14:paraId="662CD4A7">
            <w:pPr>
              <w:pStyle w:val="48"/>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18</w:t>
            </w:r>
          </w:p>
        </w:tc>
        <w:tc>
          <w:tcPr>
            <w:tcW w:w="2161" w:type="dxa"/>
            <w:vAlign w:val="center"/>
          </w:tcPr>
          <w:p w14:paraId="34857E68">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是否允许投报进口产品</w:t>
            </w:r>
          </w:p>
        </w:tc>
        <w:tc>
          <w:tcPr>
            <w:tcW w:w="6625" w:type="dxa"/>
            <w:vAlign w:val="center"/>
          </w:tcPr>
          <w:p w14:paraId="41FF645B">
            <w:pPr>
              <w:pStyle w:val="48"/>
              <w:autoSpaceDE w:val="0"/>
              <w:autoSpaceDN w:val="0"/>
              <w:adjustRightInd w:val="0"/>
              <w:snapToGrid w:val="0"/>
              <w:spacing w:line="50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□是               </w:t>
            </w:r>
          </w:p>
          <w:p w14:paraId="2A30A998">
            <w:pPr>
              <w:pStyle w:val="48"/>
              <w:autoSpaceDE w:val="0"/>
              <w:autoSpaceDN w:val="0"/>
              <w:adjustRightInd w:val="0"/>
              <w:snapToGrid w:val="0"/>
              <w:spacing w:line="500" w:lineRule="atLeast"/>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kern w:val="0"/>
                <w:sz w:val="24"/>
                <w:szCs w:val="24"/>
                <w:highlight w:val="none"/>
              </w:rPr>
              <w:t>否</w:t>
            </w:r>
          </w:p>
        </w:tc>
      </w:tr>
      <w:tr w14:paraId="0CEDC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85" w:type="dxa"/>
            <w:vAlign w:val="center"/>
          </w:tcPr>
          <w:p w14:paraId="36C39592">
            <w:pPr>
              <w:pStyle w:val="48"/>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19</w:t>
            </w:r>
          </w:p>
        </w:tc>
        <w:tc>
          <w:tcPr>
            <w:tcW w:w="2161" w:type="dxa"/>
            <w:vAlign w:val="center"/>
          </w:tcPr>
          <w:p w14:paraId="540AC781">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踏勘现场</w:t>
            </w:r>
          </w:p>
        </w:tc>
        <w:tc>
          <w:tcPr>
            <w:tcW w:w="6625" w:type="dxa"/>
            <w:vAlign w:val="center"/>
          </w:tcPr>
          <w:p w14:paraId="06E73F43">
            <w:pPr>
              <w:pStyle w:val="48"/>
              <w:autoSpaceDE w:val="0"/>
              <w:autoSpaceDN w:val="0"/>
              <w:adjustRightInd w:val="0"/>
              <w:snapToGrid w:val="0"/>
              <w:spacing w:line="500" w:lineRule="atLeast"/>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kern w:val="0"/>
                <w:sz w:val="24"/>
                <w:szCs w:val="24"/>
                <w:highlight w:val="none"/>
              </w:rPr>
              <w:t>自行踏勘</w:t>
            </w:r>
          </w:p>
          <w:p w14:paraId="6661E421">
            <w:pPr>
              <w:pStyle w:val="48"/>
              <w:autoSpaceDE w:val="0"/>
              <w:autoSpaceDN w:val="0"/>
              <w:adjustRightInd w:val="0"/>
              <w:snapToGrid w:val="0"/>
              <w:spacing w:line="500" w:lineRule="atLeas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□统一组织</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w:t>
            </w:r>
          </w:p>
        </w:tc>
      </w:tr>
      <w:tr w14:paraId="266A22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1185" w:type="dxa"/>
            <w:vAlign w:val="center"/>
          </w:tcPr>
          <w:p w14:paraId="4A250DF0">
            <w:pPr>
              <w:pStyle w:val="48"/>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20</w:t>
            </w:r>
          </w:p>
        </w:tc>
        <w:tc>
          <w:tcPr>
            <w:tcW w:w="2161" w:type="dxa"/>
            <w:vAlign w:val="center"/>
          </w:tcPr>
          <w:p w14:paraId="575B9E76">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节能、环保要求</w:t>
            </w:r>
          </w:p>
        </w:tc>
        <w:tc>
          <w:tcPr>
            <w:tcW w:w="6625" w:type="dxa"/>
            <w:vAlign w:val="center"/>
          </w:tcPr>
          <w:p w14:paraId="04CB5BD3">
            <w:pPr>
              <w:pStyle w:val="48"/>
              <w:adjustRightInd w:val="0"/>
              <w:snapToGrid w:val="0"/>
              <w:spacing w:line="500"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w:t>
            </w:r>
          </w:p>
        </w:tc>
      </w:tr>
      <w:tr w14:paraId="22B651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1" w:hRule="atLeast"/>
        </w:trPr>
        <w:tc>
          <w:tcPr>
            <w:tcW w:w="1185" w:type="dxa"/>
            <w:vAlign w:val="center"/>
          </w:tcPr>
          <w:p w14:paraId="0DC8E106">
            <w:pPr>
              <w:pStyle w:val="48"/>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21</w:t>
            </w:r>
          </w:p>
        </w:tc>
        <w:tc>
          <w:tcPr>
            <w:tcW w:w="2161" w:type="dxa"/>
            <w:vAlign w:val="center"/>
          </w:tcPr>
          <w:p w14:paraId="3132D7D8">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代理服务费</w:t>
            </w:r>
          </w:p>
        </w:tc>
        <w:tc>
          <w:tcPr>
            <w:tcW w:w="6625" w:type="dxa"/>
            <w:vAlign w:val="center"/>
          </w:tcPr>
          <w:p w14:paraId="7EAF4584">
            <w:pPr>
              <w:pStyle w:val="79"/>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代理服务费：</w:t>
            </w:r>
          </w:p>
          <w:p w14:paraId="4140C598">
            <w:pPr>
              <w:keepNext w:val="0"/>
              <w:keepLines w:val="0"/>
              <w:pageBreakBefore w:val="0"/>
              <w:widowControl w:val="0"/>
              <w:kinsoku/>
              <w:wordWrap/>
              <w:overflowPunct/>
              <w:topLinePunct w:val="0"/>
              <w:autoSpaceDE/>
              <w:autoSpaceDN/>
              <w:bidi w:val="0"/>
              <w:spacing w:line="312" w:lineRule="auto"/>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交纳金额：收费标准参照国家计委《招标代理服务收费管理暂行办法》计价格[2002]1980号计取及参照国家发改委【2003】857号文件并结合国家发展和改革委员会发改价格【2011】534号文件规定。</w:t>
            </w:r>
            <w:r>
              <w:rPr>
                <w:rFonts w:hint="eastAsia" w:ascii="宋体" w:hAnsi="宋体" w:cs="宋体"/>
                <w:color w:val="auto"/>
                <w:kern w:val="0"/>
                <w:sz w:val="24"/>
                <w:szCs w:val="24"/>
                <w:highlight w:val="none"/>
                <w:lang w:val="en-US" w:eastAsia="zh-CN" w:bidi="ar-SA"/>
              </w:rPr>
              <w:t>由招标人支付代理服务费。</w:t>
            </w:r>
          </w:p>
          <w:p w14:paraId="3793C24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收款单位：新疆飞腾达工程项目管理咨询有限公司</w:t>
            </w:r>
          </w:p>
          <w:p w14:paraId="6AA425AB">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开户银行：中国工商银行股份有限公司哈密百花路支行 </w:t>
            </w:r>
          </w:p>
          <w:p w14:paraId="198F793C">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银行账号：3011000909200050043</w:t>
            </w:r>
          </w:p>
        </w:tc>
      </w:tr>
      <w:tr w14:paraId="59027A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85" w:type="dxa"/>
            <w:vAlign w:val="center"/>
          </w:tcPr>
          <w:p w14:paraId="2FA2C7DA">
            <w:pPr>
              <w:pStyle w:val="48"/>
              <w:tabs>
                <w:tab w:val="left" w:pos="265"/>
              </w:tabs>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22</w:t>
            </w:r>
          </w:p>
        </w:tc>
        <w:tc>
          <w:tcPr>
            <w:tcW w:w="2161" w:type="dxa"/>
            <w:vAlign w:val="center"/>
          </w:tcPr>
          <w:p w14:paraId="7BF75624">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场地服务费</w:t>
            </w:r>
          </w:p>
        </w:tc>
        <w:tc>
          <w:tcPr>
            <w:tcW w:w="6625" w:type="dxa"/>
            <w:vAlign w:val="center"/>
          </w:tcPr>
          <w:p w14:paraId="4BFDE04F">
            <w:pPr>
              <w:pStyle w:val="48"/>
              <w:adjustRightInd w:val="0"/>
              <w:snapToGrid w:val="0"/>
              <w:spacing w:line="500" w:lineRule="atLeast"/>
              <w:rPr>
                <w:rFonts w:hint="eastAsia" w:ascii="宋体" w:hAnsi="宋体" w:eastAsia="宋体" w:cs="宋体"/>
                <w:color w:val="auto"/>
                <w:kern w:val="0"/>
                <w:sz w:val="24"/>
                <w:szCs w:val="24"/>
                <w:highlight w:val="none"/>
                <w:lang w:val="en-US" w:eastAsia="zh-CN"/>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lang w:eastAsia="zh-CN"/>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不交纳</w:t>
            </w:r>
          </w:p>
          <w:p w14:paraId="2DA1FA96">
            <w:pPr>
              <w:pStyle w:val="48"/>
              <w:adjustRightInd w:val="0"/>
              <w:snapToGrid w:val="0"/>
              <w:spacing w:line="500" w:lineRule="atLeas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交纳</w:t>
            </w:r>
          </w:p>
        </w:tc>
      </w:tr>
      <w:tr w14:paraId="25B41C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1" w:hRule="atLeast"/>
        </w:trPr>
        <w:tc>
          <w:tcPr>
            <w:tcW w:w="1185" w:type="dxa"/>
            <w:vAlign w:val="center"/>
          </w:tcPr>
          <w:p w14:paraId="1BB8059A">
            <w:pPr>
              <w:pStyle w:val="48"/>
              <w:tabs>
                <w:tab w:val="left" w:pos="265"/>
              </w:tabs>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23</w:t>
            </w:r>
          </w:p>
        </w:tc>
        <w:tc>
          <w:tcPr>
            <w:tcW w:w="2161" w:type="dxa"/>
            <w:vAlign w:val="center"/>
          </w:tcPr>
          <w:p w14:paraId="70770959">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合同公证费</w:t>
            </w:r>
          </w:p>
        </w:tc>
        <w:tc>
          <w:tcPr>
            <w:tcW w:w="6625" w:type="dxa"/>
            <w:vAlign w:val="center"/>
          </w:tcPr>
          <w:p w14:paraId="4146DA60">
            <w:pPr>
              <w:pStyle w:val="48"/>
              <w:adjustRightInd w:val="0"/>
              <w:snapToGrid w:val="0"/>
              <w:spacing w:line="500" w:lineRule="atLeas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不交纳 </w:t>
            </w:r>
          </w:p>
          <w:p w14:paraId="72BCDBE7">
            <w:pPr>
              <w:pStyle w:val="48"/>
              <w:adjustRightInd w:val="0"/>
              <w:snapToGrid w:val="0"/>
              <w:spacing w:line="500" w:lineRule="atLeas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交纳</w:t>
            </w:r>
          </w:p>
        </w:tc>
      </w:tr>
      <w:tr w14:paraId="321737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85" w:type="dxa"/>
            <w:vAlign w:val="center"/>
          </w:tcPr>
          <w:p w14:paraId="1C927056">
            <w:pPr>
              <w:pStyle w:val="48"/>
              <w:tabs>
                <w:tab w:val="left" w:pos="265"/>
              </w:tabs>
              <w:adjustRightInd w:val="0"/>
              <w:snapToGrid w:val="0"/>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24</w:t>
            </w:r>
          </w:p>
        </w:tc>
        <w:tc>
          <w:tcPr>
            <w:tcW w:w="2161" w:type="dxa"/>
            <w:vAlign w:val="center"/>
          </w:tcPr>
          <w:p w14:paraId="07CE5CDF">
            <w:pPr>
              <w:pStyle w:val="48"/>
              <w:adjustRightInd w:val="0"/>
              <w:snapToGrid w:val="0"/>
              <w:spacing w:line="500" w:lineRule="atLeas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中小微型企业</w:t>
            </w:r>
          </w:p>
          <w:p w14:paraId="2D451E78">
            <w:pPr>
              <w:pStyle w:val="48"/>
              <w:adjustRightInd w:val="0"/>
              <w:snapToGrid w:val="0"/>
              <w:spacing w:line="50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有关政策</w:t>
            </w:r>
          </w:p>
        </w:tc>
        <w:tc>
          <w:tcPr>
            <w:tcW w:w="6625" w:type="dxa"/>
            <w:vAlign w:val="center"/>
          </w:tcPr>
          <w:p w14:paraId="6D4276C8">
            <w:pPr>
              <w:pStyle w:val="48"/>
              <w:adjustRightInd w:val="0"/>
              <w:snapToGrid w:val="0"/>
              <w:spacing w:line="500" w:lineRule="atLeast"/>
              <w:rPr>
                <w:rFonts w:hint="eastAsia" w:ascii="宋体" w:hAnsi="宋体" w:eastAsia="宋体" w:cs="宋体"/>
                <w:bCs/>
                <w:color w:val="auto"/>
                <w:kern w:val="0"/>
                <w:sz w:val="24"/>
                <w:szCs w:val="24"/>
                <w:highlight w:val="none"/>
                <w:u w:val="none"/>
                <w:lang w:val="en-US" w:eastAsia="zh-CN" w:bidi="ar-SA"/>
              </w:rPr>
            </w:pPr>
            <w:r>
              <w:rPr>
                <w:rFonts w:hint="eastAsia" w:ascii="宋体" w:hAnsi="宋体" w:eastAsia="宋体" w:cs="宋体"/>
                <w:bCs/>
                <w:color w:val="auto"/>
                <w:kern w:val="0"/>
                <w:sz w:val="24"/>
                <w:szCs w:val="24"/>
                <w:highlight w:val="none"/>
                <w:u w:val="none"/>
                <w:lang w:val="en-US" w:eastAsia="zh-CN" w:bidi="ar-SA"/>
              </w:rPr>
              <w:t>1、本项目为专门面向中小企业（含中型、小型、微型企业）采购项 目，根据①《政府采购促进中小企业发展办法》（财库〔2020〕46 号）；《关于进一步加大政府采购支持中小企业力度的通知》（财库 ﹝2022 )19 号）②《财政部、司法部关于政府采购支持监狱企业发 展有关问题的通知》（财库〔2014〕68 号）； ③《财政部、民政部、 中国残疾人联合会关于促进残疾人就业政府采购政策的通知》财库 〔2017〕141 号的规定，监狱企业、残疾人福利性单位视同为小微 企业，评标时价格评审不再给予优惠扣除。</w:t>
            </w:r>
          </w:p>
          <w:p w14:paraId="3091B662">
            <w:pPr>
              <w:pStyle w:val="48"/>
              <w:adjustRightInd w:val="0"/>
              <w:snapToGrid w:val="0"/>
              <w:spacing w:line="500" w:lineRule="atLeast"/>
              <w:rPr>
                <w:rFonts w:hint="eastAsia" w:ascii="宋体" w:hAnsi="宋体" w:eastAsia="宋体" w:cs="宋体"/>
                <w:bCs/>
                <w:color w:val="auto"/>
                <w:kern w:val="0"/>
                <w:sz w:val="24"/>
                <w:szCs w:val="24"/>
                <w:highlight w:val="none"/>
                <w:u w:val="none"/>
                <w:lang w:val="en-US" w:eastAsia="zh-CN" w:bidi="ar-SA"/>
              </w:rPr>
            </w:pPr>
            <w:r>
              <w:rPr>
                <w:rFonts w:hint="eastAsia" w:ascii="宋体" w:hAnsi="宋体" w:eastAsia="宋体" w:cs="宋体"/>
                <w:bCs/>
                <w:color w:val="auto"/>
                <w:kern w:val="0"/>
                <w:sz w:val="24"/>
                <w:szCs w:val="24"/>
                <w:highlight w:val="none"/>
                <w:u w:val="none"/>
                <w:lang w:val="en-US" w:eastAsia="zh-CN" w:bidi="ar-SA"/>
              </w:rPr>
              <w:t>2、本项目标的所属行业：</w:t>
            </w:r>
            <w:r>
              <w:rPr>
                <w:rFonts w:hint="eastAsia" w:ascii="宋体" w:hAnsi="宋体" w:eastAsia="宋体" w:cs="宋体"/>
                <w:bCs/>
                <w:color w:val="auto"/>
                <w:kern w:val="0"/>
                <w:sz w:val="24"/>
                <w:szCs w:val="24"/>
                <w:highlight w:val="none"/>
                <w:u w:val="single"/>
                <w:lang w:val="en-US" w:eastAsia="zh-CN" w:bidi="ar-SA"/>
              </w:rPr>
              <w:t>其他未列明行业</w:t>
            </w:r>
            <w:r>
              <w:rPr>
                <w:rFonts w:hint="eastAsia" w:ascii="宋体" w:hAnsi="宋体" w:eastAsia="宋体" w:cs="宋体"/>
                <w:bCs/>
                <w:color w:val="auto"/>
                <w:kern w:val="0"/>
                <w:sz w:val="24"/>
                <w:szCs w:val="24"/>
                <w:highlight w:val="none"/>
                <w:u w:val="none"/>
                <w:lang w:val="en-US" w:eastAsia="zh-CN" w:bidi="ar-SA"/>
              </w:rPr>
              <w:t>根据《关于印发中小企业 划型标准规定的通知》工信部联企业〔2011〕300 号的规定。(其他 未列明行业划型标准：从业人员 300 人以下的为中小微型企业。其 中，从业人员 100 人及以上的为中型企业；从业人员 10 人及以上的 为小型企业；从业人员 10 人以下的为微型企业。</w:t>
            </w:r>
          </w:p>
          <w:p w14:paraId="0346C98E">
            <w:pPr>
              <w:pStyle w:val="48"/>
              <w:adjustRightInd w:val="0"/>
              <w:snapToGrid w:val="0"/>
              <w:spacing w:line="500" w:lineRule="atLeast"/>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u w:val="none"/>
                <w:lang w:val="en-US" w:eastAsia="zh-CN" w:bidi="ar-SA"/>
              </w:rPr>
              <w:t>3、落实其他政府采购政策条款。具体办法详见评分办法。</w:t>
            </w:r>
          </w:p>
        </w:tc>
      </w:tr>
      <w:tr w14:paraId="25D447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3" w:hRule="atLeast"/>
        </w:trPr>
        <w:tc>
          <w:tcPr>
            <w:tcW w:w="1185" w:type="dxa"/>
            <w:vAlign w:val="center"/>
          </w:tcPr>
          <w:p w14:paraId="6684BCE3">
            <w:pPr>
              <w:pStyle w:val="48"/>
              <w:tabs>
                <w:tab w:val="left" w:pos="265"/>
              </w:tabs>
              <w:adjustRightInd w:val="0"/>
              <w:snapToGrid w:val="0"/>
              <w:spacing w:line="500" w:lineRule="atLeast"/>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25</w:t>
            </w:r>
          </w:p>
        </w:tc>
        <w:tc>
          <w:tcPr>
            <w:tcW w:w="2161" w:type="dxa"/>
            <w:vAlign w:val="center"/>
          </w:tcPr>
          <w:p w14:paraId="234BFFC7">
            <w:pPr>
              <w:pStyle w:val="48"/>
              <w:adjustRightInd w:val="0"/>
              <w:snapToGrid w:val="0"/>
              <w:spacing w:line="500" w:lineRule="atLeas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rPr>
              <w:t>履约保证金</w:t>
            </w:r>
            <w:r>
              <w:rPr>
                <w:rFonts w:hint="eastAsia" w:ascii="宋体" w:hAnsi="宋体" w:cs="宋体"/>
                <w:b/>
                <w:bCs/>
                <w:color w:val="auto"/>
                <w:kern w:val="0"/>
                <w:sz w:val="24"/>
                <w:szCs w:val="24"/>
                <w:highlight w:val="none"/>
                <w:lang w:eastAsia="zh-CN"/>
              </w:rPr>
              <w:t>（如有）</w:t>
            </w:r>
          </w:p>
        </w:tc>
        <w:tc>
          <w:tcPr>
            <w:tcW w:w="6625" w:type="dxa"/>
            <w:vAlign w:val="center"/>
          </w:tcPr>
          <w:p w14:paraId="029FA4AA">
            <w:pPr>
              <w:pStyle w:val="40"/>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交纳时间：</w:t>
            </w:r>
            <w:r>
              <w:rPr>
                <w:rFonts w:hint="eastAsia" w:ascii="宋体" w:hAnsi="宋体" w:eastAsia="宋体" w:cs="宋体"/>
                <w:color w:val="auto"/>
                <w:sz w:val="24"/>
                <w:szCs w:val="24"/>
                <w:highlight w:val="none"/>
                <w:u w:val="none"/>
                <w:lang w:val="en-US" w:eastAsia="zh-CN"/>
              </w:rPr>
              <w:t>签订合同时双方协商确定</w:t>
            </w:r>
            <w:r>
              <w:rPr>
                <w:rFonts w:hint="eastAsia" w:ascii="宋体" w:hAnsi="宋体" w:eastAsia="宋体" w:cs="宋体"/>
                <w:color w:val="auto"/>
                <w:sz w:val="24"/>
                <w:szCs w:val="24"/>
                <w:highlight w:val="none"/>
                <w:u w:val="none"/>
              </w:rPr>
              <w:t>；</w:t>
            </w:r>
          </w:p>
          <w:p w14:paraId="6084DA0B">
            <w:pPr>
              <w:pStyle w:val="40"/>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交纳金额：</w:t>
            </w:r>
            <w:r>
              <w:rPr>
                <w:rFonts w:hint="eastAsia" w:ascii="宋体" w:hAnsi="宋体" w:eastAsia="宋体" w:cs="宋体"/>
                <w:color w:val="auto"/>
                <w:sz w:val="24"/>
                <w:szCs w:val="24"/>
                <w:highlight w:val="none"/>
                <w:u w:val="none"/>
                <w:lang w:val="en-US" w:eastAsia="zh-CN"/>
              </w:rPr>
              <w:t>签订合同时双方协商确定。</w:t>
            </w:r>
          </w:p>
        </w:tc>
      </w:tr>
      <w:tr w14:paraId="279EF8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1185" w:type="dxa"/>
            <w:vAlign w:val="center"/>
          </w:tcPr>
          <w:p w14:paraId="6DB86BFF">
            <w:pPr>
              <w:pStyle w:val="48"/>
              <w:adjustRightInd w:val="0"/>
              <w:snapToGrid w:val="0"/>
              <w:spacing w:line="500" w:lineRule="atLeast"/>
              <w:jc w:val="center"/>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26</w:t>
            </w:r>
          </w:p>
        </w:tc>
        <w:tc>
          <w:tcPr>
            <w:tcW w:w="2161" w:type="dxa"/>
            <w:shd w:val="clear" w:color="auto" w:fill="auto"/>
            <w:vAlign w:val="top"/>
          </w:tcPr>
          <w:p w14:paraId="15BF7742">
            <w:pPr>
              <w:pStyle w:val="59"/>
              <w:adjustRightInd w:val="0"/>
              <w:snapToGrid w:val="0"/>
              <w:spacing w:line="400" w:lineRule="exact"/>
              <w:jc w:val="center"/>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0"/>
                <w:sz w:val="24"/>
                <w:szCs w:val="24"/>
                <w:highlight w:val="none"/>
                <w:lang w:val="en-US" w:eastAsia="zh-CN" w:bidi="ar-SA"/>
              </w:rPr>
              <w:t>监理服务期</w:t>
            </w:r>
          </w:p>
        </w:tc>
        <w:tc>
          <w:tcPr>
            <w:tcW w:w="6625" w:type="dxa"/>
            <w:shd w:val="clear" w:color="auto" w:fill="auto"/>
            <w:vAlign w:val="top"/>
          </w:tcPr>
          <w:p w14:paraId="52DD2127">
            <w:pPr>
              <w:pStyle w:val="85"/>
              <w:spacing w:before="137" w:line="227" w:lineRule="auto"/>
              <w:ind w:left="50" w:leftChars="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spacing w:val="5"/>
                <w:highlight w:val="none"/>
              </w:rPr>
              <w:t>365日历天（</w:t>
            </w:r>
            <w:r>
              <w:rPr>
                <w:rFonts w:hint="eastAsia" w:ascii="宋体" w:hAnsi="宋体" w:eastAsia="宋体" w:cs="宋体"/>
                <w:spacing w:val="5"/>
                <w:highlight w:val="none"/>
                <w:lang w:val="en-US" w:eastAsia="zh-CN"/>
              </w:rPr>
              <w:t>最终以签订合同约定为准</w:t>
            </w:r>
            <w:r>
              <w:rPr>
                <w:rFonts w:hint="eastAsia" w:ascii="宋体" w:hAnsi="宋体" w:eastAsia="宋体" w:cs="宋体"/>
                <w:spacing w:val="5"/>
                <w:highlight w:val="none"/>
              </w:rPr>
              <w:t>）</w:t>
            </w:r>
          </w:p>
        </w:tc>
      </w:tr>
      <w:tr w14:paraId="01207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1185" w:type="dxa"/>
            <w:vAlign w:val="center"/>
          </w:tcPr>
          <w:p w14:paraId="44011CEF">
            <w:pPr>
              <w:pStyle w:val="59"/>
              <w:adjustRightInd w:val="0"/>
              <w:snapToGrid w:val="0"/>
              <w:spacing w:line="4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27</w:t>
            </w:r>
          </w:p>
        </w:tc>
        <w:tc>
          <w:tcPr>
            <w:tcW w:w="2161" w:type="dxa"/>
            <w:shd w:val="clear" w:color="auto" w:fill="auto"/>
            <w:vAlign w:val="center"/>
          </w:tcPr>
          <w:p w14:paraId="13BF0895">
            <w:pPr>
              <w:pStyle w:val="59"/>
              <w:adjustRightInd w:val="0"/>
              <w:snapToGrid w:val="0"/>
              <w:spacing w:line="400" w:lineRule="exact"/>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服务质量</w:t>
            </w:r>
            <w:r>
              <w:rPr>
                <w:rFonts w:hint="eastAsia" w:ascii="宋体" w:hAnsi="宋体" w:cs="宋体"/>
                <w:b/>
                <w:bCs/>
                <w:color w:val="auto"/>
                <w:kern w:val="0"/>
                <w:sz w:val="24"/>
                <w:szCs w:val="24"/>
                <w:highlight w:val="none"/>
                <w:lang w:val="en-US" w:eastAsia="zh-CN" w:bidi="ar-SA"/>
              </w:rPr>
              <w:t>标准</w:t>
            </w:r>
          </w:p>
        </w:tc>
        <w:tc>
          <w:tcPr>
            <w:tcW w:w="6625" w:type="dxa"/>
            <w:shd w:val="clear" w:color="auto" w:fill="auto"/>
            <w:vAlign w:val="center"/>
          </w:tcPr>
          <w:p w14:paraId="2219243C">
            <w:pPr>
              <w:pStyle w:val="58"/>
              <w:autoSpaceDE w:val="0"/>
              <w:adjustRightInd w:val="0"/>
              <w:snapToGrid w:val="0"/>
              <w:spacing w:line="400" w:lineRule="exact"/>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满足现行行业的标准</w:t>
            </w:r>
          </w:p>
        </w:tc>
      </w:tr>
      <w:tr w14:paraId="404C70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1185" w:type="dxa"/>
            <w:vAlign w:val="center"/>
          </w:tcPr>
          <w:p w14:paraId="440BAD0C">
            <w:pPr>
              <w:pStyle w:val="48"/>
              <w:adjustRightInd w:val="0"/>
              <w:snapToGrid w:val="0"/>
              <w:spacing w:line="500" w:lineRule="atLeast"/>
              <w:jc w:val="center"/>
              <w:rPr>
                <w:rFonts w:hint="default"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28</w:t>
            </w:r>
          </w:p>
        </w:tc>
        <w:tc>
          <w:tcPr>
            <w:tcW w:w="2161" w:type="dxa"/>
            <w:shd w:val="clear" w:color="auto" w:fill="auto"/>
            <w:vAlign w:val="center"/>
          </w:tcPr>
          <w:p w14:paraId="1B477475">
            <w:pPr>
              <w:pStyle w:val="40"/>
              <w:keepNext w:val="0"/>
              <w:keepLines w:val="0"/>
              <w:pageBreakBefore w:val="0"/>
              <w:kinsoku/>
              <w:wordWrap/>
              <w:overflowPunct/>
              <w:topLinePunct w:val="0"/>
              <w:autoSpaceDE/>
              <w:autoSpaceDN/>
              <w:bidi w:val="0"/>
              <w:adjustRightInd w:val="0"/>
              <w:snapToGrid w:val="0"/>
              <w:spacing w:before="120" w:beforeLines="50" w:line="24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付款方式</w:t>
            </w:r>
          </w:p>
        </w:tc>
        <w:tc>
          <w:tcPr>
            <w:tcW w:w="6625" w:type="dxa"/>
            <w:shd w:val="clear" w:color="auto" w:fill="auto"/>
            <w:vAlign w:val="center"/>
          </w:tcPr>
          <w:p w14:paraId="36620C66">
            <w:pPr>
              <w:pStyle w:val="40"/>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签订合同时双方协商确定</w:t>
            </w:r>
          </w:p>
        </w:tc>
      </w:tr>
      <w:tr w14:paraId="3FF559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3" w:hRule="atLeast"/>
        </w:trPr>
        <w:tc>
          <w:tcPr>
            <w:tcW w:w="1185" w:type="dxa"/>
            <w:vAlign w:val="center"/>
          </w:tcPr>
          <w:p w14:paraId="6A4A3B55">
            <w:pPr>
              <w:pStyle w:val="61"/>
              <w:adjustRightInd w:val="0"/>
              <w:snapToGrid w:val="0"/>
              <w:spacing w:line="500" w:lineRule="atLeast"/>
              <w:ind w:left="562" w:hanging="482" w:hangingChars="200"/>
              <w:contextualSpacing/>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w:t>
            </w:r>
          </w:p>
          <w:p w14:paraId="1896E636">
            <w:pPr>
              <w:pStyle w:val="61"/>
              <w:adjustRightInd w:val="0"/>
              <w:snapToGrid w:val="0"/>
              <w:spacing w:line="500" w:lineRule="atLeast"/>
              <w:ind w:left="562" w:hanging="482" w:hangingChars="200"/>
              <w:contextualSpacing/>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事项</w:t>
            </w:r>
          </w:p>
        </w:tc>
        <w:tc>
          <w:tcPr>
            <w:tcW w:w="8786" w:type="dxa"/>
            <w:gridSpan w:val="2"/>
            <w:vAlign w:val="center"/>
          </w:tcPr>
          <w:p w14:paraId="7379D1BC">
            <w:pPr>
              <w:pStyle w:val="61"/>
              <w:spacing w:line="240" w:lineRule="auto"/>
              <w:ind w:left="0" w:leftChars="0" w:firstLine="0" w:firstLineChars="0"/>
              <w:contextualSpacing/>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1、投标人在编制投标文件前，应对招标文件的全部内容认真审阅并自行理解作出判断。对于投标人对招标文件的理解是否完全符合招标文件之规定，招标人不承诺承担任何责任。</w:t>
            </w:r>
          </w:p>
          <w:p w14:paraId="565D7C4D">
            <w:pPr>
              <w:pStyle w:val="61"/>
              <w:wordWrap w:val="0"/>
              <w:adjustRightInd w:val="0"/>
              <w:snapToGrid w:val="0"/>
              <w:spacing w:line="240" w:lineRule="auto"/>
              <w:ind w:firstLine="0" w:firstLineChars="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2、因招标文件中可能存有的某些内容所引起的理解歧义可能导致的投标人所作出的不准确判断所带来的一切结果，招标人不承诺承担任何责任。</w:t>
            </w:r>
          </w:p>
        </w:tc>
      </w:tr>
      <w:tr w14:paraId="24208F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3" w:hRule="atLeast"/>
        </w:trPr>
        <w:tc>
          <w:tcPr>
            <w:tcW w:w="1185" w:type="dxa"/>
            <w:vAlign w:val="center"/>
          </w:tcPr>
          <w:p w14:paraId="14AC0C3D">
            <w:pPr>
              <w:pStyle w:val="88"/>
              <w:spacing w:before="120"/>
              <w:jc w:val="both"/>
              <w:rPr>
                <w:rFonts w:hint="eastAsia" w:ascii="宋体" w:hAnsi="宋体" w:eastAsia="宋体" w:cs="宋体"/>
                <w:b/>
                <w:bCs/>
                <w:color w:val="auto"/>
                <w:sz w:val="24"/>
                <w:szCs w:val="24"/>
                <w:highlight w:val="none"/>
              </w:rPr>
            </w:pPr>
            <w:r>
              <w:rPr>
                <w:rFonts w:hint="eastAsia" w:ascii="方正仿宋_GB2312" w:hAnsi="方正仿宋_GB2312" w:eastAsia="方正仿宋_GB2312" w:cs="方正仿宋_GB2312"/>
                <w:kern w:val="2"/>
                <w:sz w:val="24"/>
                <w:szCs w:val="24"/>
                <w:lang w:val="en-US" w:eastAsia="zh-CN" w:bidi="ar-SA"/>
              </w:rPr>
              <w:t>强化政府采购异常低价审查</w:t>
            </w:r>
          </w:p>
        </w:tc>
        <w:tc>
          <w:tcPr>
            <w:tcW w:w="8786" w:type="dxa"/>
            <w:gridSpan w:val="2"/>
            <w:vAlign w:val="center"/>
          </w:tcPr>
          <w:p w14:paraId="0CA14204">
            <w:pPr>
              <w:pStyle w:val="40"/>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财库〔2026〕2号关于推动解决政府采购异常低价问题的通知》”第六十条之规定：采购人应当在采购文件中明确，政府采购评审中出现下列情形之一的，评审委员会应当启动异常低价投标（响应）审查程序：</w:t>
            </w:r>
          </w:p>
          <w:p w14:paraId="1892F42B">
            <w:pPr>
              <w:pStyle w:val="40"/>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68E7FA35">
            <w:pPr>
              <w:pStyle w:val="40"/>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69649BBF">
            <w:pPr>
              <w:pStyle w:val="40"/>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3.投标（响应）报价低于采购项目最高限价45%的，即投标（响应）报价&lt;采购项目最高限价×45%；</w:t>
            </w:r>
          </w:p>
          <w:p w14:paraId="2CC74CE8">
            <w:pPr>
              <w:pStyle w:val="40"/>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SA"/>
              </w:rPr>
              <w:t>4.评审委员会基于专业判断，认为供应商报价过低，有可能影响产品质量或者不能诚信履约的其他情形。</w:t>
            </w:r>
          </w:p>
        </w:tc>
      </w:tr>
      <w:tr w14:paraId="12A6DE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85" w:type="dxa"/>
            <w:vAlign w:val="center"/>
          </w:tcPr>
          <w:p w14:paraId="36CAC2F2">
            <w:pPr>
              <w:pStyle w:val="48"/>
              <w:adjustRightInd w:val="0"/>
              <w:snapToGrid w:val="0"/>
              <w:spacing w:line="500" w:lineRule="atLeas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p>
        </w:tc>
        <w:tc>
          <w:tcPr>
            <w:tcW w:w="8786" w:type="dxa"/>
            <w:gridSpan w:val="2"/>
            <w:vAlign w:val="center"/>
          </w:tcPr>
          <w:p w14:paraId="4DEC13A5">
            <w:pPr>
              <w:pStyle w:val="62"/>
              <w:widowControl w:val="0"/>
              <w:wordWrap w:val="0"/>
              <w:spacing w:before="0" w:beforeAutospacing="0" w:after="0" w:afterAutospacing="0" w:line="500" w:lineRule="atLeast"/>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1、本项目实行网上投标，采用电子投标文件；</w:t>
            </w:r>
          </w:p>
          <w:p w14:paraId="04CA9E6D">
            <w:pPr>
              <w:pStyle w:val="62"/>
              <w:widowControl w:val="0"/>
              <w:wordWrap w:val="0"/>
              <w:spacing w:before="0" w:beforeAutospacing="0" w:after="0" w:afterAutospacing="0" w:line="500" w:lineRule="atLeast"/>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2、各</w:t>
            </w:r>
            <w:r>
              <w:rPr>
                <w:rFonts w:hint="eastAsia" w:cs="宋体"/>
                <w:color w:val="auto"/>
                <w:kern w:val="2"/>
                <w:sz w:val="24"/>
                <w:szCs w:val="24"/>
                <w:highlight w:val="none"/>
                <w:lang w:eastAsia="zh-CN"/>
              </w:rPr>
              <w:t>投标单位</w:t>
            </w:r>
            <w:r>
              <w:rPr>
                <w:rFonts w:hint="eastAsia" w:ascii="宋体" w:hAnsi="宋体" w:eastAsia="宋体" w:cs="宋体"/>
                <w:color w:val="auto"/>
                <w:kern w:val="2"/>
                <w:sz w:val="24"/>
                <w:szCs w:val="24"/>
                <w:highlight w:val="none"/>
              </w:rPr>
              <w:t>应在开标前应确保成为新疆政府采购网正式注册入库</w:t>
            </w:r>
            <w:r>
              <w:rPr>
                <w:rFonts w:hint="eastAsia" w:cs="宋体"/>
                <w:color w:val="auto"/>
                <w:kern w:val="2"/>
                <w:sz w:val="24"/>
                <w:szCs w:val="24"/>
                <w:highlight w:val="none"/>
                <w:lang w:eastAsia="zh-CN"/>
              </w:rPr>
              <w:t>投标单位</w:t>
            </w:r>
            <w:r>
              <w:rPr>
                <w:rFonts w:hint="eastAsia" w:ascii="宋体" w:hAnsi="宋体" w:eastAsia="宋体" w:cs="宋体"/>
                <w:color w:val="auto"/>
                <w:kern w:val="2"/>
                <w:sz w:val="24"/>
                <w:szCs w:val="24"/>
                <w:highlight w:val="none"/>
              </w:rPr>
              <w:t>，并完成CA数字证书（符合国密标准）申领。因未注册入库、未办理CA数字证书等原因造成无法投标或投标失败等后果由</w:t>
            </w:r>
            <w:r>
              <w:rPr>
                <w:rFonts w:hint="eastAsia" w:cs="宋体"/>
                <w:color w:val="auto"/>
                <w:kern w:val="2"/>
                <w:sz w:val="24"/>
                <w:szCs w:val="24"/>
                <w:highlight w:val="none"/>
                <w:lang w:eastAsia="zh-CN"/>
              </w:rPr>
              <w:t>投标单位</w:t>
            </w:r>
            <w:r>
              <w:rPr>
                <w:rFonts w:hint="eastAsia" w:ascii="宋体" w:hAnsi="宋体" w:eastAsia="宋体" w:cs="宋体"/>
                <w:color w:val="auto"/>
                <w:kern w:val="2"/>
                <w:sz w:val="24"/>
                <w:szCs w:val="24"/>
                <w:highlight w:val="none"/>
              </w:rPr>
              <w:t>自行承担。有意向参与</w:t>
            </w:r>
            <w:r>
              <w:rPr>
                <w:rFonts w:hint="eastAsia" w:ascii="宋体" w:hAnsi="宋体" w:eastAsia="宋体" w:cs="宋体"/>
                <w:color w:val="auto"/>
                <w:kern w:val="2"/>
                <w:sz w:val="24"/>
                <w:szCs w:val="24"/>
                <w:highlight w:val="none"/>
                <w:lang w:val="en-US" w:eastAsia="zh-CN"/>
              </w:rPr>
              <w:t>新疆</w:t>
            </w:r>
            <w:r>
              <w:rPr>
                <w:rFonts w:hint="eastAsia" w:ascii="宋体" w:hAnsi="宋体" w:eastAsia="宋体" w:cs="宋体"/>
                <w:color w:val="auto"/>
                <w:kern w:val="2"/>
                <w:sz w:val="24"/>
                <w:szCs w:val="24"/>
                <w:highlight w:val="none"/>
              </w:rPr>
              <w:t>区域电子开评标的</w:t>
            </w:r>
            <w:r>
              <w:rPr>
                <w:rFonts w:hint="eastAsia" w:cs="宋体"/>
                <w:color w:val="auto"/>
                <w:kern w:val="2"/>
                <w:sz w:val="24"/>
                <w:szCs w:val="24"/>
                <w:highlight w:val="none"/>
                <w:lang w:eastAsia="zh-CN"/>
              </w:rPr>
              <w:t>投标单位</w:t>
            </w:r>
            <w:r>
              <w:rPr>
                <w:rFonts w:hint="eastAsia" w:ascii="宋体" w:hAnsi="宋体" w:eastAsia="宋体" w:cs="宋体"/>
                <w:color w:val="auto"/>
                <w:kern w:val="2"/>
                <w:sz w:val="24"/>
                <w:szCs w:val="24"/>
                <w:highlight w:val="none"/>
              </w:rPr>
              <w:t>，可访问新疆数字证书认证中心官方网站（https://www.xjca.com.cn/）或下载“新疆政务通”APP自行进行申领。如需咨询，请联系新疆CA服务热线0991-2819290；</w:t>
            </w:r>
          </w:p>
          <w:p w14:paraId="5247833B">
            <w:pPr>
              <w:pStyle w:val="62"/>
              <w:widowControl w:val="0"/>
              <w:wordWrap w:val="0"/>
              <w:spacing w:before="0" w:beforeAutospacing="0" w:after="0" w:afterAutospacing="0" w:line="500" w:lineRule="atLeast"/>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cs="宋体"/>
                <w:color w:val="auto"/>
                <w:kern w:val="2"/>
                <w:sz w:val="24"/>
                <w:szCs w:val="24"/>
                <w:highlight w:val="none"/>
                <w:lang w:eastAsia="zh-CN"/>
              </w:rPr>
              <w:t>投标单位</w:t>
            </w:r>
            <w:r>
              <w:rPr>
                <w:rFonts w:hint="eastAsia" w:ascii="宋体" w:hAnsi="宋体" w:eastAsia="宋体" w:cs="宋体"/>
                <w:color w:val="auto"/>
                <w:kern w:val="2"/>
                <w:sz w:val="24"/>
                <w:szCs w:val="24"/>
                <w:highlight w:val="none"/>
              </w:rPr>
              <w:t>将政采云电子交易客户端下载、安装完成后，可通过账号密码或CA登录客户端进行投标文件的制作。在使用政采云投标客户端时，建议使用WIN7及以上操作系统。客户端请至</w:t>
            </w:r>
            <w:r>
              <w:rPr>
                <w:rFonts w:hint="eastAsia" w:ascii="宋体" w:hAnsi="宋体" w:eastAsia="宋体" w:cs="宋体"/>
                <w:color w:val="auto"/>
                <w:kern w:val="2"/>
                <w:sz w:val="24"/>
                <w:szCs w:val="24"/>
                <w:highlight w:val="none"/>
                <w:lang w:val="en-US" w:eastAsia="zh-CN"/>
              </w:rPr>
              <w:t>新疆</w:t>
            </w:r>
            <w:r>
              <w:rPr>
                <w:rFonts w:hint="eastAsia" w:ascii="宋体" w:hAnsi="宋体" w:eastAsia="宋体" w:cs="宋体"/>
                <w:color w:val="auto"/>
                <w:kern w:val="2"/>
                <w:sz w:val="24"/>
                <w:szCs w:val="24"/>
                <w:highlight w:val="none"/>
              </w:rPr>
              <w:t>政府采购网（http://ccgp-xinjiang.gov.cn/）下载专区查看，如有问题可拨打政采云客户服务热线400-881-7190进行咨询。如因</w:t>
            </w:r>
            <w:r>
              <w:rPr>
                <w:rFonts w:hint="eastAsia" w:cs="宋体"/>
                <w:color w:val="auto"/>
                <w:kern w:val="2"/>
                <w:sz w:val="24"/>
                <w:szCs w:val="24"/>
                <w:highlight w:val="none"/>
                <w:lang w:eastAsia="zh-CN"/>
              </w:rPr>
              <w:t>投标单位</w:t>
            </w:r>
            <w:r>
              <w:rPr>
                <w:rFonts w:hint="eastAsia" w:ascii="宋体" w:hAnsi="宋体" w:eastAsia="宋体" w:cs="宋体"/>
                <w:color w:val="auto"/>
                <w:kern w:val="2"/>
                <w:sz w:val="24"/>
                <w:szCs w:val="24"/>
                <w:highlight w:val="none"/>
              </w:rPr>
              <w:t>自身原因导致在规定时间内无法正常解密的（如：浏览器故障、未安装相关驱动、网络故障、加密CA与解密CA不一致等），采购中心/代理机构不予异常处理，视为</w:t>
            </w:r>
            <w:r>
              <w:rPr>
                <w:rFonts w:hint="eastAsia" w:cs="宋体"/>
                <w:color w:val="auto"/>
                <w:kern w:val="2"/>
                <w:sz w:val="24"/>
                <w:szCs w:val="24"/>
                <w:highlight w:val="none"/>
                <w:lang w:eastAsia="zh-CN"/>
              </w:rPr>
              <w:t>投标单位</w:t>
            </w:r>
            <w:r>
              <w:rPr>
                <w:rFonts w:hint="eastAsia" w:ascii="宋体" w:hAnsi="宋体" w:eastAsia="宋体" w:cs="宋体"/>
                <w:color w:val="auto"/>
                <w:kern w:val="2"/>
                <w:sz w:val="24"/>
                <w:szCs w:val="24"/>
                <w:highlight w:val="none"/>
              </w:rPr>
              <w:t>自动弃标。</w:t>
            </w:r>
          </w:p>
          <w:p w14:paraId="0F7C7846">
            <w:pPr>
              <w:pStyle w:val="48"/>
              <w:wordWrap w:val="0"/>
              <w:adjustRightInd w:val="0"/>
              <w:snapToGrid w:val="0"/>
              <w:spacing w:line="5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投标单位</w:t>
            </w:r>
            <w:r>
              <w:rPr>
                <w:rFonts w:hint="eastAsia" w:ascii="宋体" w:hAnsi="宋体" w:eastAsia="宋体" w:cs="宋体"/>
                <w:color w:val="auto"/>
                <w:sz w:val="24"/>
                <w:szCs w:val="24"/>
                <w:highlight w:val="none"/>
              </w:rPr>
              <w:t>操作指南详见新疆采购网（http://ccgp-xinjiang.gov.cn/）—办事指南—操作指南。</w:t>
            </w:r>
          </w:p>
        </w:tc>
      </w:tr>
      <w:bookmarkEnd w:id="12"/>
      <w:bookmarkEnd w:id="13"/>
    </w:tbl>
    <w:p w14:paraId="17774F9C">
      <w:pPr>
        <w:pStyle w:val="62"/>
        <w:widowControl w:val="0"/>
        <w:spacing w:before="0" w:beforeAutospacing="0" w:after="0" w:afterAutospacing="0" w:line="500" w:lineRule="exact"/>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35DE6AD7">
      <w:pPr>
        <w:pStyle w:val="62"/>
        <w:widowControl w:val="0"/>
        <w:spacing w:before="0" w:beforeAutospacing="0" w:after="0" w:afterAutospacing="0" w:line="500" w:lineRule="exact"/>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1、本表内容与招标文件其它内容不一致的，应当以本表内容为准。</w:t>
      </w:r>
    </w:p>
    <w:p w14:paraId="74BE5F7F">
      <w:pPr>
        <w:pStyle w:val="62"/>
        <w:widowControl w:val="0"/>
        <w:spacing w:before="0" w:beforeAutospacing="0" w:after="0" w:afterAutospacing="0" w:line="500" w:lineRule="exact"/>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2、本表中“</w:t>
      </w: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eq \o\ac(</w:instrText>
      </w:r>
      <w:r>
        <w:rPr>
          <w:rFonts w:hint="eastAsia" w:ascii="宋体" w:hAnsi="宋体" w:eastAsia="宋体" w:cs="宋体"/>
          <w:color w:val="auto"/>
          <w:kern w:val="2"/>
          <w:position w:val="-4"/>
          <w:sz w:val="36"/>
          <w:szCs w:val="24"/>
          <w:highlight w:val="none"/>
        </w:rPr>
        <w:instrText xml:space="preserve">□</w:instrText>
      </w:r>
      <w:r>
        <w:rPr>
          <w:rFonts w:hint="eastAsia" w:ascii="宋体" w:hAnsi="宋体" w:eastAsia="宋体" w:cs="宋体"/>
          <w:color w:val="auto"/>
          <w:kern w:val="2"/>
          <w:position w:val="0"/>
          <w:sz w:val="24"/>
          <w:szCs w:val="24"/>
          <w:highlight w:val="none"/>
        </w:rPr>
        <w:instrText xml:space="preserve">,√)</w:instrText>
      </w:r>
      <w:r>
        <w:rPr>
          <w:rFonts w:hint="eastAsia" w:ascii="宋体" w:hAnsi="宋体" w:eastAsia="宋体" w:cs="宋体"/>
          <w:color w:val="auto"/>
          <w:kern w:val="2"/>
          <w:sz w:val="24"/>
          <w:szCs w:val="24"/>
          <w:highlight w:val="none"/>
        </w:rPr>
        <w:fldChar w:fldCharType="end"/>
      </w:r>
      <w:r>
        <w:rPr>
          <w:rFonts w:hint="eastAsia" w:ascii="宋体" w:hAnsi="宋体" w:eastAsia="宋体" w:cs="宋体"/>
          <w:color w:val="auto"/>
          <w:kern w:val="2"/>
          <w:sz w:val="24"/>
          <w:szCs w:val="24"/>
          <w:highlight w:val="none"/>
        </w:rPr>
        <w:t>”标示选择使用该项</w:t>
      </w:r>
    </w:p>
    <w:p w14:paraId="51F84F51">
      <w:pPr>
        <w:pStyle w:val="62"/>
        <w:widowControl w:val="0"/>
        <w:spacing w:before="0" w:beforeAutospacing="0" w:after="0" w:afterAutospacing="0" w:line="500" w:lineRule="exact"/>
        <w:jc w:val="both"/>
        <w:rPr>
          <w:rFonts w:hint="eastAsia" w:ascii="宋体" w:hAnsi="宋体" w:eastAsia="宋体" w:cs="宋体"/>
          <w:color w:val="auto"/>
          <w:kern w:val="2"/>
          <w:sz w:val="24"/>
          <w:szCs w:val="24"/>
          <w:highlight w:val="none"/>
        </w:rPr>
      </w:pPr>
    </w:p>
    <w:p w14:paraId="66A16CF7">
      <w:pPr>
        <w:pStyle w:val="17"/>
        <w:pageBreakBefore w:val="0"/>
        <w:kinsoku/>
        <w:wordWrap/>
        <w:topLinePunct w:val="0"/>
        <w:bidi w:val="0"/>
        <w:spacing w:line="720" w:lineRule="auto"/>
        <w:jc w:val="both"/>
        <w:outlineLvl w:val="9"/>
        <w:rPr>
          <w:rFonts w:hint="eastAsia" w:ascii="Times New Roman" w:hAnsi="Times New Roman" w:eastAsia="宋体" w:cs="Times New Roman"/>
          <w:b w:val="0"/>
          <w:bCs w:val="0"/>
          <w:color w:val="auto"/>
          <w:sz w:val="30"/>
          <w:szCs w:val="30"/>
          <w:highlight w:val="none"/>
        </w:rPr>
      </w:pPr>
    </w:p>
    <w:p w14:paraId="6D558897">
      <w:pPr>
        <w:pStyle w:val="17"/>
        <w:pageBreakBefore w:val="0"/>
        <w:kinsoku/>
        <w:wordWrap/>
        <w:topLinePunct w:val="0"/>
        <w:bidi w:val="0"/>
        <w:spacing w:line="720" w:lineRule="auto"/>
        <w:jc w:val="both"/>
        <w:outlineLvl w:val="9"/>
        <w:rPr>
          <w:rFonts w:hint="eastAsia" w:ascii="Times New Roman" w:hAnsi="Times New Roman" w:eastAsia="宋体" w:cs="Times New Roman"/>
          <w:b w:val="0"/>
          <w:bCs w:val="0"/>
          <w:color w:val="auto"/>
          <w:sz w:val="30"/>
          <w:szCs w:val="30"/>
          <w:highlight w:val="none"/>
        </w:rPr>
      </w:pPr>
    </w:p>
    <w:p w14:paraId="77AEDA2B">
      <w:pPr>
        <w:pStyle w:val="17"/>
        <w:pageBreakBefore w:val="0"/>
        <w:kinsoku/>
        <w:wordWrap/>
        <w:topLinePunct w:val="0"/>
        <w:bidi w:val="0"/>
        <w:spacing w:line="720" w:lineRule="auto"/>
        <w:jc w:val="both"/>
        <w:outlineLvl w:val="9"/>
        <w:rPr>
          <w:rFonts w:hint="eastAsia" w:ascii="Times New Roman" w:hAnsi="Times New Roman" w:eastAsia="宋体" w:cs="Times New Roman"/>
          <w:b w:val="0"/>
          <w:bCs w:val="0"/>
          <w:color w:val="auto"/>
          <w:sz w:val="30"/>
          <w:szCs w:val="30"/>
          <w:highlight w:val="none"/>
        </w:rPr>
      </w:pPr>
    </w:p>
    <w:p w14:paraId="41D7FCC6">
      <w:pPr>
        <w:pStyle w:val="17"/>
        <w:pageBreakBefore w:val="0"/>
        <w:kinsoku/>
        <w:wordWrap/>
        <w:topLinePunct w:val="0"/>
        <w:bidi w:val="0"/>
        <w:spacing w:line="720" w:lineRule="auto"/>
        <w:jc w:val="both"/>
        <w:outlineLvl w:val="9"/>
        <w:rPr>
          <w:rFonts w:hint="eastAsia" w:ascii="Times New Roman" w:hAnsi="Times New Roman" w:eastAsia="宋体" w:cs="Times New Roman"/>
          <w:b w:val="0"/>
          <w:bCs w:val="0"/>
          <w:color w:val="auto"/>
          <w:sz w:val="30"/>
          <w:szCs w:val="30"/>
          <w:highlight w:val="none"/>
        </w:rPr>
      </w:pPr>
    </w:p>
    <w:p w14:paraId="153FD0FF">
      <w:pPr>
        <w:pStyle w:val="17"/>
        <w:pageBreakBefore w:val="0"/>
        <w:kinsoku/>
        <w:wordWrap/>
        <w:topLinePunct w:val="0"/>
        <w:bidi w:val="0"/>
        <w:spacing w:line="720" w:lineRule="auto"/>
        <w:jc w:val="both"/>
        <w:outlineLvl w:val="9"/>
        <w:rPr>
          <w:rFonts w:hint="eastAsia" w:ascii="Times New Roman" w:hAnsi="Times New Roman" w:eastAsia="宋体" w:cs="Times New Roman"/>
          <w:b w:val="0"/>
          <w:bCs w:val="0"/>
          <w:color w:val="auto"/>
          <w:sz w:val="30"/>
          <w:szCs w:val="30"/>
          <w:highlight w:val="none"/>
        </w:rPr>
      </w:pPr>
    </w:p>
    <w:p w14:paraId="52904627">
      <w:pPr>
        <w:pStyle w:val="17"/>
        <w:pageBreakBefore w:val="0"/>
        <w:kinsoku/>
        <w:wordWrap/>
        <w:topLinePunct w:val="0"/>
        <w:bidi w:val="0"/>
        <w:spacing w:line="720" w:lineRule="auto"/>
        <w:jc w:val="both"/>
        <w:outlineLvl w:val="9"/>
        <w:rPr>
          <w:rFonts w:hint="eastAsia" w:ascii="Times New Roman" w:hAnsi="Times New Roman" w:eastAsia="宋体" w:cs="Times New Roman"/>
          <w:b w:val="0"/>
          <w:bCs w:val="0"/>
          <w:color w:val="auto"/>
          <w:sz w:val="30"/>
          <w:szCs w:val="30"/>
          <w:highlight w:val="none"/>
        </w:rPr>
      </w:pPr>
    </w:p>
    <w:p w14:paraId="754DA912">
      <w:pPr>
        <w:pStyle w:val="17"/>
        <w:pageBreakBefore w:val="0"/>
        <w:kinsoku/>
        <w:wordWrap/>
        <w:topLinePunct w:val="0"/>
        <w:bidi w:val="0"/>
        <w:spacing w:line="720" w:lineRule="auto"/>
        <w:jc w:val="both"/>
        <w:outlineLvl w:val="9"/>
        <w:rPr>
          <w:rFonts w:hint="eastAsia" w:ascii="Times New Roman" w:hAnsi="Times New Roman" w:eastAsia="宋体" w:cs="Times New Roman"/>
          <w:b w:val="0"/>
          <w:bCs w:val="0"/>
          <w:color w:val="auto"/>
          <w:sz w:val="30"/>
          <w:szCs w:val="30"/>
          <w:highlight w:val="none"/>
        </w:rPr>
      </w:pPr>
    </w:p>
    <w:p w14:paraId="69001DF6">
      <w:pPr>
        <w:pStyle w:val="17"/>
        <w:pageBreakBefore w:val="0"/>
        <w:kinsoku/>
        <w:wordWrap/>
        <w:topLinePunct w:val="0"/>
        <w:bidi w:val="0"/>
        <w:spacing w:line="720" w:lineRule="auto"/>
        <w:jc w:val="both"/>
        <w:outlineLvl w:val="9"/>
        <w:rPr>
          <w:rFonts w:hint="eastAsia" w:ascii="Times New Roman" w:hAnsi="Times New Roman" w:eastAsia="宋体" w:cs="Times New Roman"/>
          <w:b w:val="0"/>
          <w:bCs w:val="0"/>
          <w:color w:val="auto"/>
          <w:sz w:val="30"/>
          <w:szCs w:val="30"/>
          <w:highlight w:val="none"/>
        </w:rPr>
      </w:pPr>
    </w:p>
    <w:p w14:paraId="4BB79A71">
      <w:pPr>
        <w:keepNext w:val="0"/>
        <w:keepLines w:val="0"/>
        <w:pageBreakBefore w:val="0"/>
        <w:kinsoku/>
        <w:wordWrap/>
        <w:topLinePunct w:val="0"/>
        <w:bidi w:val="0"/>
        <w:spacing w:line="400" w:lineRule="exact"/>
        <w:jc w:val="center"/>
        <w:outlineLvl w:val="9"/>
        <w:rPr>
          <w:rFonts w:hint="eastAsia" w:ascii="宋体" w:hAnsi="宋体" w:eastAsia="宋体" w:cs="宋体"/>
          <w:b/>
          <w:color w:val="auto"/>
          <w:sz w:val="28"/>
          <w:highlight w:val="none"/>
        </w:rPr>
      </w:pPr>
    </w:p>
    <w:p w14:paraId="24B17718">
      <w:pPr>
        <w:keepNext w:val="0"/>
        <w:keepLines w:val="0"/>
        <w:pageBreakBefore w:val="0"/>
        <w:kinsoku/>
        <w:wordWrap/>
        <w:topLinePunct w:val="0"/>
        <w:bidi w:val="0"/>
        <w:spacing w:line="400" w:lineRule="exact"/>
        <w:jc w:val="center"/>
        <w:outlineLvl w:val="9"/>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第二节 </w:t>
      </w:r>
      <w:bookmarkEnd w:id="14"/>
      <w:bookmarkStart w:id="15" w:name="_Toc24717"/>
      <w:bookmarkStart w:id="16" w:name="_Toc532545043"/>
      <w:bookmarkStart w:id="17" w:name="_Toc89076002"/>
      <w:r>
        <w:rPr>
          <w:rFonts w:hint="eastAsia" w:ascii="宋体" w:hAnsi="宋体" w:cs="宋体"/>
          <w:b/>
          <w:color w:val="auto"/>
          <w:sz w:val="28"/>
          <w:highlight w:val="none"/>
          <w:lang w:val="en-US" w:eastAsia="zh-CN"/>
        </w:rPr>
        <w:t xml:space="preserve"> </w:t>
      </w:r>
      <w:r>
        <w:rPr>
          <w:rFonts w:hint="eastAsia" w:ascii="宋体" w:hAnsi="宋体" w:eastAsia="宋体" w:cs="宋体"/>
          <w:b/>
          <w:color w:val="auto"/>
          <w:sz w:val="28"/>
          <w:highlight w:val="none"/>
        </w:rPr>
        <w:t>投标须知正文</w:t>
      </w:r>
      <w:bookmarkEnd w:id="15"/>
    </w:p>
    <w:p w14:paraId="00AA281A">
      <w:pPr>
        <w:adjustRightInd w:val="0"/>
        <w:snapToGrid w:val="0"/>
        <w:spacing w:line="360" w:lineRule="auto"/>
        <w:jc w:val="center"/>
        <w:outlineLvl w:val="9"/>
        <w:rPr>
          <w:rFonts w:hint="eastAsia" w:ascii="宋体" w:hAnsi="宋体" w:eastAsia="宋体" w:cs="宋体"/>
          <w:b/>
          <w:color w:val="auto"/>
          <w:sz w:val="28"/>
          <w:highlight w:val="none"/>
        </w:rPr>
      </w:pPr>
      <w:bookmarkStart w:id="18" w:name="_Toc420948008"/>
      <w:bookmarkStart w:id="19" w:name="_Toc478663350"/>
      <w:r>
        <w:rPr>
          <w:rFonts w:hint="eastAsia" w:ascii="宋体" w:hAnsi="宋体" w:eastAsia="宋体" w:cs="宋体"/>
          <w:b/>
          <w:color w:val="auto"/>
          <w:sz w:val="28"/>
          <w:highlight w:val="none"/>
        </w:rPr>
        <w:t>（一）</w:t>
      </w:r>
      <w:bookmarkEnd w:id="18"/>
      <w:r>
        <w:rPr>
          <w:rFonts w:hint="eastAsia" w:ascii="宋体" w:hAnsi="宋体" w:eastAsia="宋体" w:cs="宋体"/>
          <w:b/>
          <w:color w:val="auto"/>
          <w:sz w:val="28"/>
          <w:highlight w:val="none"/>
        </w:rPr>
        <w:t>总则</w:t>
      </w:r>
      <w:bookmarkEnd w:id="19"/>
    </w:p>
    <w:p w14:paraId="628CFE8B">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1.项目概况</w:t>
      </w:r>
    </w:p>
    <w:p w14:paraId="4642301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1.1项目名称：详见</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w:t>
      </w:r>
    </w:p>
    <w:p w14:paraId="2ADC84A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1.2招标范围：详见</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w:t>
      </w:r>
    </w:p>
    <w:p w14:paraId="41C6847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1.3项目地点：详见</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w:t>
      </w:r>
    </w:p>
    <w:p w14:paraId="5CC988A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1.4招标方式：详见</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w:t>
      </w:r>
    </w:p>
    <w:p w14:paraId="1A1B9C5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eastAsia="zh-CN"/>
        </w:rPr>
        <w:t>监理服务期</w:t>
      </w:r>
      <w:r>
        <w:rPr>
          <w:rFonts w:hint="eastAsia" w:ascii="宋体" w:hAnsi="宋体" w:eastAsia="宋体" w:cs="宋体"/>
          <w:color w:val="auto"/>
          <w:sz w:val="24"/>
          <w:szCs w:val="24"/>
          <w:highlight w:val="none"/>
        </w:rPr>
        <w:t>：详见</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w:t>
      </w:r>
    </w:p>
    <w:p w14:paraId="624983B2">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2.定义</w:t>
      </w:r>
    </w:p>
    <w:p w14:paraId="1A595967">
      <w:pPr>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2.1 “</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人”是指依法进行政府采购的国家机关、事业单位、团体组织。招标人名称、地址、电话、联系人见</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w:t>
      </w:r>
    </w:p>
    <w:p w14:paraId="4310D5E5">
      <w:pPr>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2.2 “招标代理机构”是指接受招标人委托，代理采购项目的集中采购机构和其他招标代理机构。招标代理机构名称、地址、电话、联系人见</w:t>
      </w:r>
      <w:r>
        <w:rPr>
          <w:rFonts w:hint="eastAsia" w:ascii="宋体" w:hAnsi="宋体" w:eastAsia="宋体" w:cs="宋体"/>
          <w:b/>
          <w:color w:val="auto"/>
          <w:sz w:val="24"/>
          <w:szCs w:val="24"/>
          <w:highlight w:val="none"/>
        </w:rPr>
        <w:t>投标须知前附表。</w:t>
      </w:r>
    </w:p>
    <w:p w14:paraId="1A2158F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“投标人”是指响应招标文件要求、参加招标采购的法人、其他组织或者自然人。</w:t>
      </w:r>
    </w:p>
    <w:p w14:paraId="2E4FE33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“服务”是指除货物和工程以外的其他政府采购对象。</w:t>
      </w:r>
    </w:p>
    <w:p w14:paraId="4FAFE0E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2.5偏离</w:t>
      </w:r>
    </w:p>
    <w:p w14:paraId="4C23173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2.5.1本条所称偏离为投标文件对招标文件的偏离，即不满足、或不响应招标文件的要求。偏离分为对招标文件的实质性要求条款偏离和对招标文件的一般商务和技术条款偏离。</w:t>
      </w:r>
    </w:p>
    <w:p w14:paraId="056D8CC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除法律、法规和规章规定外，招标文件中用“拒绝”、“不接受”、“无效”、“不得”等文字规定的条款为实质性要求条款（即重要条款），对其中任何一条的偏离，在评标时将其视为无效投标。未用上述文字规定或符号标注的条款为非实质性要求条款(即一般条款)。</w:t>
      </w:r>
    </w:p>
    <w:p w14:paraId="38CC89D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2.6.特别说明</w:t>
      </w:r>
    </w:p>
    <w:p w14:paraId="48021B9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2.6.1投标人投标所使用的资格、信誉、荣誉、业绩与企业认证等必须为投标人所拥有。</w:t>
      </w:r>
    </w:p>
    <w:p w14:paraId="6972C70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2.6.2投标人应仔细阅读招标文件的所有内容，按照招标文件的要求提交投标文件，并对所提供的全部资料的真实性承担法律责任。</w:t>
      </w:r>
    </w:p>
    <w:p w14:paraId="4C9514C3">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2.6.3投标人在投标活动中提供任何虚假材料,其投标无效并承担相应法律责任。</w:t>
      </w:r>
      <w:r>
        <w:rPr>
          <w:rFonts w:hint="eastAsia" w:ascii="宋体" w:hAnsi="宋体" w:eastAsia="宋体" w:cs="宋体"/>
          <w:color w:val="auto"/>
          <w:kern w:val="0"/>
          <w:sz w:val="24"/>
          <w:szCs w:val="24"/>
          <w:highlight w:val="none"/>
        </w:rPr>
        <w:t>2.7偏离</w:t>
      </w:r>
    </w:p>
    <w:p w14:paraId="141250B7">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2.7.1本条所称偏离为投标文件对招标文件的偏离，即不满足、或不响应招标文件的要求。偏离分为对招标文件的实质性要求条款偏离和对招标文件的一般商务和技术条款偏离。</w:t>
      </w:r>
    </w:p>
    <w:p w14:paraId="355BC6F9">
      <w:pPr>
        <w:adjustRightInd w:val="0"/>
        <w:snapToGrid w:val="0"/>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2.7.2除法律、法规和规章规定外，招标文件中用“拒绝”、“不接受”、“无效”、“不得”等文字规定或标注“</w:t>
      </w:r>
      <w:r>
        <w:rPr>
          <w:rFonts w:hint="eastAsia" w:ascii="宋体" w:hAnsi="宋体" w:eastAsia="宋体" w:cs="宋体"/>
          <w:color w:val="auto"/>
          <w:sz w:val="24"/>
          <w:szCs w:val="24"/>
          <w:highlight w:val="none"/>
        </w:rPr>
        <w:t>★</w:t>
      </w:r>
      <w:r>
        <w:rPr>
          <w:rFonts w:hint="eastAsia" w:ascii="宋体" w:hAnsi="宋体" w:eastAsia="宋体" w:cs="宋体"/>
          <w:b/>
          <w:color w:val="auto"/>
          <w:kern w:val="0"/>
          <w:sz w:val="24"/>
          <w:szCs w:val="24"/>
          <w:highlight w:val="none"/>
        </w:rPr>
        <w:t>”符号的条款为实质性要求条款（即重要条款），对其中任何一条的偏离，在评标时将其视为无效投标。未用上述文字规定或符号标注的条款为非实质性要求条款(即一般条款)。</w:t>
      </w:r>
    </w:p>
    <w:p w14:paraId="0DBC0BC5">
      <w:pPr>
        <w:adjustRightInd w:val="0"/>
        <w:snapToGrid w:val="0"/>
        <w:spacing w:line="360" w:lineRule="auto"/>
        <w:ind w:firstLine="42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2.8.特别说明</w:t>
      </w:r>
    </w:p>
    <w:p w14:paraId="0561287E">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2.8.1投标人投标所使用的资格、信誉、荣誉、业绩与企业认证等必须为投标人所拥有。</w:t>
      </w:r>
    </w:p>
    <w:p w14:paraId="052B2F71">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2.8.2投标人应仔细阅读招标文件的所有内容，按照招标文件的要求提交投标文件，并对所提供的全部资料的真实性承担法律责任。</w:t>
      </w:r>
    </w:p>
    <w:p w14:paraId="7993E17D">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2.8.3投标人在投标活动中提供任何虚假材料,其投标无效并承担相应法律责任。</w:t>
      </w:r>
    </w:p>
    <w:p w14:paraId="6087D936">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3.投标人的资格要求</w:t>
      </w:r>
    </w:p>
    <w:p w14:paraId="317A1D8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投标人应当符合</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中规定的下列资格条件要求；</w:t>
      </w:r>
    </w:p>
    <w:p w14:paraId="0250C21D">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1.满足《中华人民共和国政府采购法》第二十二条规定；</w:t>
      </w:r>
    </w:p>
    <w:p w14:paraId="7549BEC2">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2.落实政府采购政策需满足的资格要求：</w:t>
      </w:r>
      <w:r>
        <w:rPr>
          <w:rFonts w:hint="eastAsia" w:ascii="宋体" w:hAnsi="宋体" w:cs="宋体"/>
          <w:color w:val="auto"/>
          <w:kern w:val="0"/>
          <w:sz w:val="24"/>
          <w:szCs w:val="24"/>
          <w:highlight w:val="none"/>
          <w:lang w:val="en-US" w:eastAsia="zh-CN"/>
        </w:rPr>
        <w:t>本项目为专门面向中小企业</w:t>
      </w:r>
      <w:r>
        <w:rPr>
          <w:rFonts w:hint="eastAsia" w:ascii="宋体" w:hAnsi="宋体" w:eastAsia="宋体" w:cs="宋体"/>
          <w:color w:val="auto"/>
          <w:kern w:val="0"/>
          <w:sz w:val="24"/>
          <w:szCs w:val="24"/>
          <w:highlight w:val="none"/>
          <w:lang w:val="en-US" w:eastAsia="zh-CN"/>
        </w:rPr>
        <w:t>；</w:t>
      </w:r>
    </w:p>
    <w:p w14:paraId="6C712692">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3.本项目的特定资格要求：</w:t>
      </w:r>
    </w:p>
    <w:p w14:paraId="1156705F">
      <w:pPr>
        <w:adjustRightInd w:val="0"/>
        <w:snapToGrid w:val="0"/>
        <w:spacing w:line="360" w:lineRule="auto"/>
        <w:ind w:firstLine="480" w:firstLineChars="200"/>
        <w:rPr>
          <w:rFonts w:hint="eastAsia" w:ascii="宋体" w:hAnsi="宋体" w:cs="宋体"/>
          <w:i w:val="0"/>
          <w:iCs w:val="0"/>
          <w:caps w:val="0"/>
          <w:color w:val="auto"/>
          <w:spacing w:val="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i w:val="0"/>
          <w:iCs w:val="0"/>
          <w:caps w:val="0"/>
          <w:color w:val="auto"/>
          <w:spacing w:val="0"/>
          <w:kern w:val="0"/>
          <w:sz w:val="24"/>
          <w:szCs w:val="24"/>
          <w:highlight w:val="none"/>
          <w:lang w:val="en-US" w:eastAsia="zh-CN" w:bidi="ar-SA"/>
        </w:rPr>
        <w:t>具有行业主管部门颁发</w:t>
      </w:r>
      <w:r>
        <w:rPr>
          <w:rFonts w:hint="eastAsia" w:ascii="宋体" w:hAnsi="宋体" w:cs="宋体"/>
          <w:i w:val="0"/>
          <w:iCs w:val="0"/>
          <w:caps w:val="0"/>
          <w:color w:val="auto"/>
          <w:spacing w:val="0"/>
          <w:kern w:val="0"/>
          <w:sz w:val="24"/>
          <w:szCs w:val="24"/>
          <w:highlight w:val="none"/>
          <w:lang w:val="en-US" w:eastAsia="zh-CN" w:bidi="ar-SA"/>
        </w:rPr>
        <w:t>有效</w:t>
      </w:r>
      <w:r>
        <w:rPr>
          <w:rFonts w:hint="eastAsia" w:ascii="宋体" w:hAnsi="宋体" w:eastAsia="宋体" w:cs="宋体"/>
          <w:i w:val="0"/>
          <w:iCs w:val="0"/>
          <w:caps w:val="0"/>
          <w:color w:val="auto"/>
          <w:spacing w:val="0"/>
          <w:kern w:val="0"/>
          <w:sz w:val="24"/>
          <w:szCs w:val="24"/>
          <w:highlight w:val="none"/>
          <w:lang w:val="en-US" w:eastAsia="zh-CN" w:bidi="ar-SA"/>
        </w:rPr>
        <w:t>的</w:t>
      </w: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SA"/>
        </w:rPr>
        <w:t>人力资源服务许可证或经营性人力资源服务机构行政许可备案表</w:t>
      </w:r>
      <w:r>
        <w:rPr>
          <w:rFonts w:hint="eastAsia" w:ascii="宋体" w:hAnsi="宋体" w:cs="宋体"/>
          <w:i w:val="0"/>
          <w:iCs w:val="0"/>
          <w:caps w:val="0"/>
          <w:color w:val="auto"/>
          <w:spacing w:val="0"/>
          <w:kern w:val="0"/>
          <w:sz w:val="24"/>
          <w:szCs w:val="24"/>
          <w:highlight w:val="none"/>
          <w:lang w:val="en-US" w:eastAsia="zh-CN" w:bidi="ar-SA"/>
        </w:rPr>
        <w:t>；</w:t>
      </w:r>
    </w:p>
    <w:p w14:paraId="79AF8BF8">
      <w:pPr>
        <w:adjustRightInd w:val="0"/>
        <w:snapToGrid w:val="0"/>
        <w:spacing w:line="360" w:lineRule="auto"/>
        <w:ind w:firstLine="480" w:firstLineChars="200"/>
        <w:rPr>
          <w:rFonts w:hint="eastAsia" w:ascii="宋体" w:hAnsi="宋体" w:eastAsia="宋体" w:cs="宋体"/>
          <w:color w:val="auto"/>
          <w:kern w:val="0"/>
          <w:sz w:val="24"/>
          <w:szCs w:val="24"/>
          <w:highlight w:val="none"/>
          <w:rtl w:val="0"/>
          <w:lang w:val="en-US" w:eastAsia="zh-CN"/>
        </w:rPr>
      </w:pPr>
      <w:r>
        <w:rPr>
          <w:rFonts w:hint="eastAsia" w:ascii="宋体" w:hAnsi="宋体" w:eastAsia="宋体" w:cs="宋体"/>
          <w:color w:val="auto"/>
          <w:kern w:val="0"/>
          <w:sz w:val="24"/>
          <w:szCs w:val="24"/>
          <w:highlight w:val="none"/>
          <w:rtl w:val="0"/>
          <w:lang w:val="en-US" w:eastAsia="zh-CN"/>
        </w:rPr>
        <w:t>（2）</w:t>
      </w:r>
      <w:r>
        <w:rPr>
          <w:rFonts w:hint="eastAsia" w:ascii="宋体" w:hAnsi="宋体" w:eastAsia="宋体" w:cs="宋体"/>
          <w:color w:val="auto"/>
          <w:kern w:val="0"/>
          <w:sz w:val="24"/>
          <w:szCs w:val="24"/>
          <w:highlight w:val="none"/>
          <w:lang w:val="en-US" w:eastAsia="zh-CN"/>
        </w:rPr>
        <w:t>单位负责人为同一人或者存在控股、管理关系的不同投标人，不得参加同一标段投标或者未划分标段的同一招标项目投标。</w:t>
      </w:r>
    </w:p>
    <w:p w14:paraId="2980C9ED">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4、本项目不接受联合体投标</w:t>
      </w:r>
    </w:p>
    <w:p w14:paraId="6F4D517F">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4.投标费用和知识产权</w:t>
      </w:r>
    </w:p>
    <w:p w14:paraId="4C3B104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4.1投标人应承担其参加本招标活动自身所发生的费用。招标文件所提供的资料，是招标人现有的能被投标人利用的资料，招标人对投标人做出的任何推论、理解和结论均不负责任。</w:t>
      </w:r>
    </w:p>
    <w:p w14:paraId="506F075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14:paraId="6E8ED9F8">
      <w:pPr>
        <w:pStyle w:val="17"/>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bCs/>
          <w:color w:val="auto"/>
          <w:sz w:val="24"/>
          <w:szCs w:val="24"/>
          <w:highlight w:val="none"/>
        </w:rPr>
        <w:t>授权委托</w:t>
      </w:r>
    </w:p>
    <w:p w14:paraId="505058C3">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5.1投标人代表为投标人法定代表人的，应持有法定代表人身份证明。投标人代表不是投标人法定代表人的，应持有法定代表人授权书。</w:t>
      </w:r>
    </w:p>
    <w:p w14:paraId="5ECC9A5A">
      <w:pPr>
        <w:pStyle w:val="17"/>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6．联合体形式</w:t>
      </w:r>
      <w:r>
        <w:rPr>
          <w:rFonts w:hint="eastAsia" w:ascii="宋体" w:hAnsi="宋体" w:eastAsia="宋体" w:cs="宋体"/>
          <w:color w:val="auto"/>
          <w:sz w:val="24"/>
          <w:szCs w:val="24"/>
          <w:highlight w:val="none"/>
        </w:rPr>
        <w:t xml:space="preserve"> </w:t>
      </w:r>
    </w:p>
    <w:p w14:paraId="0A42B911">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6.1除</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中另有规定，本次招标采购不接受为联合体形式的投标人。</w:t>
      </w:r>
    </w:p>
    <w:p w14:paraId="79659B4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6.2投标人为联合体形式的，除应符合本章第3条规定外，还应遵守以下规定：</w:t>
      </w:r>
    </w:p>
    <w:p w14:paraId="7A59C69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（l）联合体各方必须签订联合体协议书，明确联合体牵头人和各方的义务、工作、合同工作量比例；</w:t>
      </w:r>
    </w:p>
    <w:p w14:paraId="76722BE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（2）联合体各方均应当符合本章第3.1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规定的投标人基本资格条件；</w:t>
      </w:r>
    </w:p>
    <w:p w14:paraId="47C4ABE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中另有规定，联合体各方中至少有一方应当符合本章第3.1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规定的投标人特定资格条件；</w:t>
      </w:r>
    </w:p>
    <w:p w14:paraId="0839644A">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kern w:val="0"/>
          <w:sz w:val="24"/>
          <w:szCs w:val="24"/>
          <w:highlight w:val="none"/>
          <w:lang w:val="zh-CN"/>
        </w:rPr>
        <w:t>联合体各方不得再单独或与其他</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lang w:val="zh-CN"/>
        </w:rPr>
        <w:t>组成新的联合体参加同一项目的采购活动。</w:t>
      </w:r>
    </w:p>
    <w:p w14:paraId="3156930A">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7.现场勘察</w:t>
      </w:r>
    </w:p>
    <w:p w14:paraId="2C8AC74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7.1投标人应按</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中规定对招标采购项目现场和周围环境进行现场考察。</w:t>
      </w:r>
    </w:p>
    <w:p w14:paraId="47CD6D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7.2勘察现场的费用由投标人自己承担，勘察期间所发生的人身伤害及财产损失由投标人自己负责。</w:t>
      </w:r>
    </w:p>
    <w:p w14:paraId="622C0297">
      <w:pPr>
        <w:adjustRightInd w:val="0"/>
        <w:snapToGrid w:val="0"/>
        <w:spacing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7.3招标人不对投标人据此而做出的推论、理解和结论负责。一旦中标，投标人不得以任何借口，而提出额外补偿，或延长合同期限的要求。</w:t>
      </w:r>
    </w:p>
    <w:p w14:paraId="17C4B8E7">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8.采购进口产品</w:t>
      </w:r>
    </w:p>
    <w:p w14:paraId="69F9D338">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8.1除</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另有规定外，本项目不允许</w:t>
      </w:r>
      <w:r>
        <w:rPr>
          <w:rFonts w:hint="eastAsia" w:ascii="宋体" w:hAnsi="宋体" w:eastAsia="宋体" w:cs="宋体"/>
          <w:color w:val="auto"/>
          <w:kern w:val="0"/>
          <w:sz w:val="24"/>
          <w:szCs w:val="24"/>
          <w:highlight w:val="none"/>
        </w:rPr>
        <w:t>进口产品参加</w:t>
      </w:r>
      <w:r>
        <w:rPr>
          <w:rFonts w:hint="eastAsia" w:ascii="宋体" w:hAnsi="宋体" w:eastAsia="宋体" w:cs="宋体"/>
          <w:color w:val="auto"/>
          <w:sz w:val="24"/>
          <w:szCs w:val="24"/>
          <w:highlight w:val="none"/>
        </w:rPr>
        <w:t>招标采购活动</w:t>
      </w:r>
      <w:r>
        <w:rPr>
          <w:rFonts w:hint="eastAsia" w:ascii="宋体" w:hAnsi="宋体" w:eastAsia="宋体" w:cs="宋体"/>
          <w:color w:val="auto"/>
          <w:kern w:val="0"/>
          <w:sz w:val="24"/>
          <w:szCs w:val="24"/>
          <w:highlight w:val="none"/>
        </w:rPr>
        <w:t>。</w:t>
      </w:r>
    </w:p>
    <w:p w14:paraId="4EA19A55">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w:t>
      </w:r>
      <w:r>
        <w:rPr>
          <w:rFonts w:hint="eastAsia" w:ascii="宋体" w:hAnsi="宋体" w:eastAsia="宋体" w:cs="宋体"/>
          <w:color w:val="auto"/>
          <w:sz w:val="24"/>
          <w:szCs w:val="24"/>
          <w:highlight w:val="none"/>
        </w:rPr>
        <w:t>本章第8.1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w:t>
      </w:r>
      <w:r>
        <w:rPr>
          <w:rFonts w:hint="eastAsia" w:ascii="宋体" w:hAnsi="宋体" w:eastAsia="宋体" w:cs="宋体"/>
          <w:color w:val="auto"/>
          <w:kern w:val="0"/>
          <w:sz w:val="24"/>
          <w:szCs w:val="24"/>
          <w:highlight w:val="none"/>
        </w:rPr>
        <w:t>同意购买进口产品的，</w:t>
      </w:r>
      <w:r>
        <w:rPr>
          <w:rFonts w:hint="eastAsia" w:ascii="宋体" w:hAnsi="宋体" w:eastAsia="宋体" w:cs="宋体"/>
          <w:color w:val="auto"/>
          <w:sz w:val="24"/>
          <w:szCs w:val="24"/>
          <w:highlight w:val="none"/>
        </w:rPr>
        <w:t>本项目</w:t>
      </w:r>
      <w:r>
        <w:rPr>
          <w:rFonts w:hint="eastAsia" w:ascii="宋体" w:hAnsi="宋体" w:eastAsia="宋体" w:cs="宋体"/>
          <w:color w:val="auto"/>
          <w:kern w:val="0"/>
          <w:sz w:val="24"/>
          <w:szCs w:val="24"/>
          <w:highlight w:val="none"/>
          <w:lang w:val="zh-CN"/>
        </w:rPr>
        <w:t>采购活动</w:t>
      </w:r>
      <w:r>
        <w:rPr>
          <w:rFonts w:hint="eastAsia" w:ascii="宋体" w:hAnsi="宋体" w:eastAsia="宋体" w:cs="宋体"/>
          <w:color w:val="auto"/>
          <w:kern w:val="0"/>
          <w:sz w:val="24"/>
          <w:szCs w:val="24"/>
          <w:highlight w:val="none"/>
        </w:rPr>
        <w:t>不限制满足</w:t>
      </w:r>
      <w:r>
        <w:rPr>
          <w:rFonts w:hint="eastAsia" w:ascii="宋体" w:hAnsi="宋体" w:eastAsia="宋体" w:cs="宋体"/>
          <w:color w:val="auto"/>
          <w:sz w:val="24"/>
          <w:szCs w:val="24"/>
          <w:highlight w:val="none"/>
        </w:rPr>
        <w:t>招标文件要求</w:t>
      </w:r>
      <w:r>
        <w:rPr>
          <w:rFonts w:hint="eastAsia" w:ascii="宋体" w:hAnsi="宋体" w:eastAsia="宋体" w:cs="宋体"/>
          <w:color w:val="auto"/>
          <w:kern w:val="0"/>
          <w:sz w:val="24"/>
          <w:szCs w:val="24"/>
          <w:highlight w:val="none"/>
        </w:rPr>
        <w:t>的国内产品参与</w:t>
      </w:r>
      <w:r>
        <w:rPr>
          <w:rFonts w:hint="eastAsia" w:ascii="宋体" w:hAnsi="宋体" w:eastAsia="宋体" w:cs="宋体"/>
          <w:color w:val="auto"/>
          <w:sz w:val="24"/>
          <w:szCs w:val="24"/>
          <w:highlight w:val="none"/>
        </w:rPr>
        <w:t>招标</w:t>
      </w:r>
      <w:r>
        <w:rPr>
          <w:rFonts w:hint="eastAsia" w:ascii="宋体" w:hAnsi="宋体" w:eastAsia="宋体" w:cs="宋体"/>
          <w:color w:val="auto"/>
          <w:kern w:val="0"/>
          <w:sz w:val="24"/>
          <w:szCs w:val="24"/>
          <w:highlight w:val="none"/>
        </w:rPr>
        <w:t>。</w:t>
      </w:r>
    </w:p>
    <w:p w14:paraId="64EC54B9">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color w:val="auto"/>
          <w:sz w:val="24"/>
          <w:szCs w:val="24"/>
          <w:highlight w:val="none"/>
        </w:rPr>
        <w:t xml:space="preserve">政府采购政策支持 </w:t>
      </w:r>
    </w:p>
    <w:p w14:paraId="25800F5D">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9.1产品符合政府采购强制采购政策的，实行强制采购；符合政府采购优先采购政策的，产品享受节能产品、环境标志产品产品优惠(由投标人在报价文件中选择并填报，评审时进行</w:t>
      </w:r>
      <w:r>
        <w:rPr>
          <w:rFonts w:hint="eastAsia" w:ascii="宋体" w:hAnsi="宋体" w:eastAsia="宋体" w:cs="宋体"/>
          <w:color w:val="auto"/>
          <w:kern w:val="0"/>
          <w:sz w:val="24"/>
          <w:szCs w:val="24"/>
          <w:highlight w:val="none"/>
        </w:rPr>
        <w:t>价格优惠</w:t>
      </w:r>
      <w:r>
        <w:rPr>
          <w:rFonts w:hint="eastAsia" w:ascii="宋体" w:hAnsi="宋体" w:eastAsia="宋体" w:cs="宋体"/>
          <w:color w:val="auto"/>
          <w:sz w:val="24"/>
          <w:szCs w:val="24"/>
          <w:highlight w:val="none"/>
        </w:rPr>
        <w:t>)；投标人符合</w:t>
      </w:r>
      <w:r>
        <w:rPr>
          <w:rFonts w:hint="eastAsia" w:ascii="宋体" w:hAnsi="宋体" w:eastAsia="宋体" w:cs="宋体"/>
          <w:bCs/>
          <w:color w:val="auto"/>
          <w:kern w:val="0"/>
          <w:sz w:val="24"/>
          <w:szCs w:val="24"/>
          <w:highlight w:val="none"/>
        </w:rPr>
        <w:t>支持</w:t>
      </w:r>
      <w:r>
        <w:rPr>
          <w:rFonts w:hint="eastAsia" w:ascii="宋体" w:hAnsi="宋体" w:eastAsia="宋体" w:cs="宋体"/>
          <w:color w:val="auto"/>
          <w:sz w:val="24"/>
          <w:szCs w:val="24"/>
          <w:highlight w:val="none"/>
        </w:rPr>
        <w:t>中小企业发展政策优惠的，可以与同时享受节能产品、环境标志产品产品优惠累加优惠。财政部门关于政府采购强制采购、优先采购的政策规定可在中国政府采购网(www.ccgp.gov.cn)查询。本项目价格扣除比例见</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w:t>
      </w:r>
    </w:p>
    <w:p w14:paraId="30E46F8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9.2同一项目中部分产品属于优先采购政策的，评审时只对该部分产品的报价实行价格优惠。</w:t>
      </w:r>
    </w:p>
    <w:p w14:paraId="0A91F6B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9.3为推进政府采购诚信体系建设，投标人在签署相关承诺，提供相关信息前，应认真阅读财政部门相关政策规定。符合本章第9.1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第9.2</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规定的，应提供相关证明材料。</w:t>
      </w:r>
    </w:p>
    <w:p w14:paraId="25E85DFF">
      <w:pPr>
        <w:adjustRightInd w:val="0"/>
        <w:snapToGrid w:val="0"/>
        <w:spacing w:line="360" w:lineRule="auto"/>
        <w:jc w:val="center"/>
        <w:outlineLvl w:val="9"/>
        <w:rPr>
          <w:rFonts w:hint="eastAsia" w:ascii="宋体" w:hAnsi="宋体" w:eastAsia="宋体" w:cs="宋体"/>
          <w:b/>
          <w:color w:val="auto"/>
          <w:sz w:val="24"/>
          <w:szCs w:val="24"/>
          <w:highlight w:val="none"/>
        </w:rPr>
      </w:pPr>
      <w:bookmarkStart w:id="20" w:name="_Toc420948009"/>
      <w:bookmarkStart w:id="21" w:name="_Toc478663351"/>
      <w:r>
        <w:rPr>
          <w:rFonts w:hint="eastAsia" w:ascii="宋体" w:hAnsi="宋体" w:eastAsia="宋体" w:cs="宋体"/>
          <w:b/>
          <w:color w:val="auto"/>
          <w:sz w:val="24"/>
          <w:szCs w:val="24"/>
          <w:highlight w:val="none"/>
        </w:rPr>
        <w:t>（二）招标</w:t>
      </w:r>
      <w:bookmarkEnd w:id="20"/>
      <w:r>
        <w:rPr>
          <w:rFonts w:hint="eastAsia" w:ascii="宋体" w:hAnsi="宋体" w:eastAsia="宋体" w:cs="宋体"/>
          <w:b/>
          <w:color w:val="auto"/>
          <w:sz w:val="24"/>
          <w:szCs w:val="24"/>
          <w:highlight w:val="none"/>
        </w:rPr>
        <w:t>文件</w:t>
      </w:r>
      <w:bookmarkEnd w:id="21"/>
    </w:p>
    <w:p w14:paraId="6FD91EFF">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10.招标文件的组成</w:t>
      </w:r>
    </w:p>
    <w:p w14:paraId="6C92432B">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招标文件由下列文件组成：</w:t>
      </w:r>
    </w:p>
    <w:p w14:paraId="505E8462">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招标公告</w:t>
      </w:r>
    </w:p>
    <w:p w14:paraId="17BDC27B">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投标须知</w:t>
      </w:r>
    </w:p>
    <w:p w14:paraId="5997FC3E">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评标方法及标准</w:t>
      </w:r>
    </w:p>
    <w:p w14:paraId="63131388">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政府采购合同格式条款</w:t>
      </w:r>
    </w:p>
    <w:p w14:paraId="1AFCDF64">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采购需求</w:t>
      </w:r>
    </w:p>
    <w:p w14:paraId="60474378">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投标文件格式</w:t>
      </w:r>
    </w:p>
    <w:p w14:paraId="11C6F938">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r>
        <w:rPr>
          <w:rFonts w:hint="eastAsia" w:ascii="宋体" w:hAnsi="宋体" w:eastAsia="宋体" w:cs="宋体"/>
          <w:bCs/>
          <w:color w:val="auto"/>
          <w:sz w:val="24"/>
          <w:szCs w:val="24"/>
          <w:highlight w:val="none"/>
        </w:rPr>
        <w:t>本章第11.1</w:t>
      </w:r>
      <w:r>
        <w:rPr>
          <w:rFonts w:hint="eastAsia" w:ascii="宋体" w:hAnsi="宋体" w:eastAsia="宋体" w:cs="宋体"/>
          <w:color w:val="auto"/>
          <w:kern w:val="0"/>
          <w:sz w:val="24"/>
          <w:szCs w:val="24"/>
          <w:highlight w:val="none"/>
          <w:lang w:val="zh-CN"/>
        </w:rPr>
        <w:t>款</w:t>
      </w:r>
      <w:r>
        <w:rPr>
          <w:rFonts w:hint="eastAsia" w:ascii="宋体" w:hAnsi="宋体" w:eastAsia="宋体" w:cs="宋体"/>
          <w:bCs/>
          <w:color w:val="auto"/>
          <w:sz w:val="24"/>
          <w:szCs w:val="24"/>
          <w:highlight w:val="none"/>
        </w:rPr>
        <w:t>规定的</w:t>
      </w:r>
      <w:r>
        <w:rPr>
          <w:rFonts w:hint="eastAsia" w:ascii="宋体" w:hAnsi="宋体" w:eastAsia="宋体" w:cs="宋体"/>
          <w:color w:val="auto"/>
          <w:kern w:val="0"/>
          <w:sz w:val="24"/>
          <w:szCs w:val="24"/>
          <w:highlight w:val="none"/>
        </w:rPr>
        <w:t>提交投标文件截止时间前对招标文件澄清或者修改内容，为招标文件的组成部分。</w:t>
      </w:r>
    </w:p>
    <w:p w14:paraId="59AA877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10.3投标人应仔细阅读</w:t>
      </w:r>
      <w:r>
        <w:rPr>
          <w:rFonts w:hint="eastAsia" w:ascii="宋体" w:hAnsi="宋体" w:eastAsia="宋体" w:cs="宋体"/>
          <w:bCs/>
          <w:color w:val="auto"/>
          <w:sz w:val="24"/>
          <w:szCs w:val="24"/>
          <w:highlight w:val="none"/>
        </w:rPr>
        <w:t>招标文件</w:t>
      </w:r>
      <w:r>
        <w:rPr>
          <w:rFonts w:hint="eastAsia" w:ascii="宋体" w:hAnsi="宋体" w:eastAsia="宋体" w:cs="宋体"/>
          <w:color w:val="auto"/>
          <w:sz w:val="24"/>
          <w:szCs w:val="24"/>
          <w:highlight w:val="none"/>
        </w:rPr>
        <w:t>的全部内容，按照</w:t>
      </w:r>
      <w:r>
        <w:rPr>
          <w:rFonts w:hint="eastAsia" w:ascii="宋体" w:hAnsi="宋体" w:eastAsia="宋体" w:cs="宋体"/>
          <w:bCs/>
          <w:color w:val="auto"/>
          <w:sz w:val="24"/>
          <w:szCs w:val="24"/>
          <w:highlight w:val="none"/>
        </w:rPr>
        <w:t>招标文件</w:t>
      </w:r>
      <w:r>
        <w:rPr>
          <w:rFonts w:hint="eastAsia" w:ascii="宋体" w:hAnsi="宋体" w:eastAsia="宋体" w:cs="宋体"/>
          <w:color w:val="auto"/>
          <w:sz w:val="24"/>
          <w:szCs w:val="24"/>
          <w:highlight w:val="none"/>
        </w:rPr>
        <w:t>要求编制投标文件。任何对</w:t>
      </w:r>
      <w:r>
        <w:rPr>
          <w:rFonts w:hint="eastAsia" w:ascii="宋体" w:hAnsi="宋体" w:eastAsia="宋体" w:cs="宋体"/>
          <w:bCs/>
          <w:color w:val="auto"/>
          <w:sz w:val="24"/>
          <w:szCs w:val="24"/>
          <w:highlight w:val="none"/>
        </w:rPr>
        <w:t>招标文件</w:t>
      </w:r>
      <w:r>
        <w:rPr>
          <w:rFonts w:hint="eastAsia" w:ascii="宋体" w:hAnsi="宋体" w:eastAsia="宋体" w:cs="宋体"/>
          <w:color w:val="auto"/>
          <w:sz w:val="24"/>
          <w:szCs w:val="24"/>
          <w:highlight w:val="none"/>
        </w:rPr>
        <w:t>的忽略或误解不能作为投标文件存在缺陷或瑕疵的理由，其风险由投标人承担。</w:t>
      </w:r>
    </w:p>
    <w:p w14:paraId="7FA7ADFD">
      <w:pPr>
        <w:pStyle w:val="17"/>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b/>
          <w:color w:val="auto"/>
          <w:kern w:val="0"/>
          <w:sz w:val="24"/>
          <w:szCs w:val="24"/>
          <w:highlight w:val="none"/>
        </w:rPr>
        <w:t>提交投标文件</w:t>
      </w:r>
      <w:r>
        <w:rPr>
          <w:rFonts w:hint="eastAsia" w:ascii="宋体" w:hAnsi="宋体" w:eastAsia="宋体" w:cs="宋体"/>
          <w:b/>
          <w:color w:val="auto"/>
          <w:sz w:val="24"/>
          <w:szCs w:val="24"/>
          <w:highlight w:val="none"/>
        </w:rPr>
        <w:t>的</w:t>
      </w:r>
      <w:r>
        <w:rPr>
          <w:rFonts w:hint="eastAsia" w:ascii="宋体" w:hAnsi="宋体" w:eastAsia="宋体" w:cs="宋体"/>
          <w:b/>
          <w:color w:val="auto"/>
          <w:kern w:val="0"/>
          <w:sz w:val="24"/>
          <w:szCs w:val="24"/>
          <w:highlight w:val="none"/>
        </w:rPr>
        <w:t>截止</w:t>
      </w:r>
      <w:r>
        <w:rPr>
          <w:rFonts w:hint="eastAsia" w:ascii="宋体" w:hAnsi="宋体" w:eastAsia="宋体" w:cs="宋体"/>
          <w:b/>
          <w:color w:val="auto"/>
          <w:sz w:val="24"/>
          <w:szCs w:val="24"/>
          <w:highlight w:val="none"/>
        </w:rPr>
        <w:t>时间</w:t>
      </w:r>
    </w:p>
    <w:p w14:paraId="5D970648">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11.1投标人</w:t>
      </w:r>
      <w:r>
        <w:rPr>
          <w:rFonts w:hint="eastAsia" w:ascii="宋体" w:hAnsi="宋体" w:eastAsia="宋体" w:cs="宋体"/>
          <w:color w:val="auto"/>
          <w:kern w:val="0"/>
          <w:sz w:val="24"/>
          <w:szCs w:val="24"/>
          <w:highlight w:val="none"/>
        </w:rPr>
        <w:t>提交投标文件截止</w:t>
      </w:r>
      <w:r>
        <w:rPr>
          <w:rFonts w:hint="eastAsia" w:ascii="宋体" w:hAnsi="宋体" w:eastAsia="宋体" w:cs="宋体"/>
          <w:color w:val="auto"/>
          <w:sz w:val="24"/>
          <w:szCs w:val="24"/>
          <w:highlight w:val="none"/>
        </w:rPr>
        <w:t>时间见</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w:t>
      </w:r>
    </w:p>
    <w:p w14:paraId="5FC048E4">
      <w:pPr>
        <w:pStyle w:val="17"/>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11.2投标截止时间结束后参加投标的投标人不足三家的，采购任务取消</w:t>
      </w:r>
      <w:r>
        <w:rPr>
          <w:rFonts w:hint="eastAsia" w:hAnsi="宋体" w:cs="宋体"/>
          <w:color w:val="auto"/>
          <w:sz w:val="24"/>
          <w:szCs w:val="24"/>
          <w:highlight w:val="none"/>
          <w:lang w:eastAsia="zh-CN"/>
        </w:rPr>
        <w:t>。</w:t>
      </w:r>
    </w:p>
    <w:p w14:paraId="53A3DC94">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12.招标文件的澄清</w:t>
      </w:r>
      <w:r>
        <w:rPr>
          <w:rFonts w:hint="eastAsia" w:ascii="宋体" w:hAnsi="宋体" w:eastAsia="宋体" w:cs="宋体"/>
          <w:b/>
          <w:color w:val="auto"/>
          <w:kern w:val="0"/>
          <w:sz w:val="24"/>
          <w:szCs w:val="24"/>
          <w:highlight w:val="none"/>
          <w:lang w:val="zh-CN"/>
        </w:rPr>
        <w:t>或者</w:t>
      </w:r>
      <w:r>
        <w:rPr>
          <w:rFonts w:hint="eastAsia" w:ascii="宋体" w:hAnsi="宋体" w:eastAsia="宋体" w:cs="宋体"/>
          <w:b/>
          <w:bCs/>
          <w:color w:val="auto"/>
          <w:sz w:val="24"/>
          <w:szCs w:val="24"/>
          <w:highlight w:val="none"/>
        </w:rPr>
        <w:t>修改</w:t>
      </w:r>
    </w:p>
    <w:p w14:paraId="3130B6FC">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bookmarkStart w:id="22" w:name="_Toc420948010"/>
      <w:r>
        <w:rPr>
          <w:rFonts w:hint="eastAsia" w:ascii="宋体" w:hAnsi="宋体" w:eastAsia="宋体" w:cs="宋体"/>
          <w:color w:val="auto"/>
          <w:sz w:val="24"/>
          <w:szCs w:val="24"/>
          <w:highlight w:val="none"/>
        </w:rPr>
        <w:t>12.1招标代理机构对已发出的招标文件进行必要澄清或者修改的，在招标文件前附表规定的提交投标文件截止时间十五日前，招标文件的澄清或者修改在电子采购平台上公布(新疆政府采购网)，投标人应登陆系统自行下载查阅招标文件澄清或者修改文件，澄清或者修改文件作为招标文件的组成部分对投标人具有约束力。</w:t>
      </w:r>
    </w:p>
    <w:p w14:paraId="2C9F8CFF">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如果澄清或者修改发出的时间距规定的投标截止时间不足十五日，将相应顺延投标截止时间。</w:t>
      </w:r>
    </w:p>
    <w:p w14:paraId="690D93E4">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12.3招标代理机构可以视采购具体情况，延长投标截止时间和开标时间，但应当在规定的提交投标文件的截止时间三日前，将变更时间书面通知所有招标文件收受人，并在指定的媒体上发布更正公告。</w:t>
      </w:r>
    </w:p>
    <w:p w14:paraId="4ECAC697">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12.4投标人认为招标文件存在歧视性条款的，应在收到招标文件之日或者招标文件公告期限届满之日起7个工作日内以书面形式向本代理机构提出。</w:t>
      </w:r>
    </w:p>
    <w:p w14:paraId="1DABAA89">
      <w:pPr>
        <w:adjustRightInd w:val="0"/>
        <w:snapToGrid w:val="0"/>
        <w:spacing w:line="360" w:lineRule="auto"/>
        <w:jc w:val="center"/>
        <w:outlineLvl w:val="9"/>
        <w:rPr>
          <w:rFonts w:hint="eastAsia" w:ascii="宋体" w:hAnsi="宋体" w:eastAsia="宋体" w:cs="宋体"/>
          <w:b/>
          <w:color w:val="auto"/>
          <w:sz w:val="24"/>
          <w:szCs w:val="24"/>
          <w:highlight w:val="none"/>
        </w:rPr>
      </w:pPr>
      <w:bookmarkStart w:id="23" w:name="_Toc478663352"/>
      <w:r>
        <w:rPr>
          <w:rFonts w:hint="eastAsia" w:ascii="宋体" w:hAnsi="宋体" w:eastAsia="宋体" w:cs="宋体"/>
          <w:b/>
          <w:color w:val="auto"/>
          <w:sz w:val="24"/>
          <w:szCs w:val="24"/>
          <w:highlight w:val="none"/>
        </w:rPr>
        <w:t>（三）投标文件</w:t>
      </w:r>
      <w:bookmarkEnd w:id="22"/>
      <w:bookmarkEnd w:id="23"/>
    </w:p>
    <w:p w14:paraId="4B61AA8F">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13.一般要求</w:t>
      </w:r>
    </w:p>
    <w:p w14:paraId="38AE8841">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13.1 </w:t>
      </w:r>
      <w:r>
        <w:rPr>
          <w:rFonts w:hint="eastAsia" w:ascii="宋体" w:hAnsi="宋体" w:eastAsia="宋体" w:cs="宋体"/>
          <w:color w:val="auto"/>
          <w:sz w:val="24"/>
          <w:szCs w:val="24"/>
          <w:highlight w:val="none"/>
        </w:rPr>
        <w:t>投标人</w:t>
      </w:r>
      <w:r>
        <w:rPr>
          <w:rFonts w:hint="eastAsia" w:ascii="宋体" w:hAnsi="宋体" w:eastAsia="宋体" w:cs="宋体"/>
          <w:bCs/>
          <w:color w:val="auto"/>
          <w:sz w:val="24"/>
          <w:szCs w:val="24"/>
          <w:highlight w:val="none"/>
        </w:rPr>
        <w:t>应仔细阅读招标文件的所有内容，按招标文件的要求编制投标文件，并保证所提供的全部资料的真实性，以使其投标文件对招标文件做出实质性的投标。</w:t>
      </w:r>
    </w:p>
    <w:p w14:paraId="22799A10">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13.2 </w:t>
      </w:r>
      <w:r>
        <w:rPr>
          <w:rFonts w:hint="eastAsia" w:ascii="宋体" w:hAnsi="宋体" w:eastAsia="宋体" w:cs="宋体"/>
          <w:color w:val="auto"/>
          <w:sz w:val="24"/>
          <w:szCs w:val="24"/>
          <w:highlight w:val="none"/>
        </w:rPr>
        <w:t>投标人提交的投标文件及投标人与招标人或招标代理机构就有关招标的所有来往函电均使用中文。投标人可以提交其它语言的资料，但应附中文注释，在有差异时以中文为准。</w:t>
      </w:r>
    </w:p>
    <w:p w14:paraId="408C4916">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13.3 </w:t>
      </w:r>
      <w:r>
        <w:rPr>
          <w:rFonts w:hint="eastAsia" w:ascii="宋体" w:hAnsi="宋体" w:eastAsia="宋体" w:cs="宋体"/>
          <w:color w:val="auto"/>
          <w:sz w:val="24"/>
          <w:szCs w:val="24"/>
          <w:highlight w:val="none"/>
        </w:rPr>
        <w:t>计量单位应使用我国法定计量单位，未列明时应默认为我国法定计量单位。</w:t>
      </w:r>
    </w:p>
    <w:p w14:paraId="1C45EE03">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投标文件应采用书面形式，传真、电子邮件形式的投标文件概不接受。</w:t>
      </w:r>
    </w:p>
    <w:p w14:paraId="339A483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投标人应按招标文件中提供的投标文件格式填写。</w:t>
      </w:r>
    </w:p>
    <w:p w14:paraId="31F11F55">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w:t>
      </w:r>
      <w:r>
        <w:rPr>
          <w:rFonts w:hint="eastAsia" w:ascii="宋体" w:hAnsi="宋体" w:eastAsia="宋体" w:cs="宋体"/>
          <w:b/>
          <w:color w:val="auto"/>
          <w:sz w:val="24"/>
          <w:szCs w:val="24"/>
          <w:highlight w:val="none"/>
        </w:rPr>
        <w:t>投标文件</w:t>
      </w:r>
      <w:r>
        <w:rPr>
          <w:rFonts w:hint="eastAsia" w:ascii="宋体" w:hAnsi="宋体" w:eastAsia="宋体" w:cs="宋体"/>
          <w:b/>
          <w:bCs/>
          <w:color w:val="auto"/>
          <w:sz w:val="24"/>
          <w:szCs w:val="24"/>
          <w:highlight w:val="none"/>
        </w:rPr>
        <w:t>的组成</w:t>
      </w:r>
    </w:p>
    <w:p w14:paraId="68B945A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24" w:name="_Toc420948011"/>
      <w:bookmarkStart w:id="25" w:name="_Toc427862404"/>
      <w:r>
        <w:rPr>
          <w:rFonts w:hint="eastAsia" w:ascii="宋体" w:hAnsi="宋体" w:eastAsia="宋体" w:cs="宋体"/>
          <w:color w:val="auto"/>
          <w:kern w:val="2"/>
          <w:sz w:val="24"/>
          <w:szCs w:val="24"/>
          <w:highlight w:val="none"/>
          <w:lang w:val="en-US" w:eastAsia="zh-CN" w:bidi="ar-SA"/>
        </w:rPr>
        <w:t>14.1 投标文件包括下列内容：</w:t>
      </w:r>
      <w:bookmarkEnd w:id="24"/>
      <w:bookmarkEnd w:id="25"/>
    </w:p>
    <w:p w14:paraId="46FC51C4">
      <w:pPr>
        <w:pStyle w:val="63"/>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详见投标文件格式</w:t>
      </w:r>
    </w:p>
    <w:p w14:paraId="4534074A">
      <w:pPr>
        <w:pStyle w:val="6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14.2根据《政府采购法》第四十二条的规定，投标人无论中标与否，其投标文件正本留存。</w:t>
      </w:r>
      <w:r>
        <w:rPr>
          <w:rFonts w:hint="eastAsia" w:ascii="宋体" w:hAnsi="宋体" w:eastAsia="宋体" w:cs="宋体"/>
          <w:color w:val="auto"/>
          <w:kern w:val="0"/>
          <w:sz w:val="24"/>
          <w:szCs w:val="24"/>
          <w:highlight w:val="none"/>
          <w:lang w:val="en-US" w:eastAsia="zh-CN"/>
        </w:rPr>
        <w:t>拟中标</w:t>
      </w:r>
      <w:r>
        <w:rPr>
          <w:rFonts w:hint="eastAsia" w:ascii="宋体" w:hAnsi="宋体" w:eastAsia="宋体" w:cs="宋体"/>
          <w:color w:val="auto"/>
          <w:kern w:val="0"/>
          <w:sz w:val="24"/>
          <w:szCs w:val="24"/>
          <w:highlight w:val="none"/>
        </w:rPr>
        <w:t>单位在开标后2日内将纸质版投标文件（2份）及不加密电子版投标书1份（1个U盘）交于</w:t>
      </w:r>
      <w:r>
        <w:rPr>
          <w:rFonts w:hint="eastAsia" w:ascii="宋体" w:hAnsi="宋体" w:eastAsia="宋体" w:cs="宋体"/>
          <w:color w:val="auto"/>
          <w:sz w:val="24"/>
          <w:szCs w:val="24"/>
          <w:highlight w:val="none"/>
        </w:rPr>
        <w:t>招标代理公司，纸质版投标文件内容须与电子版投标文件一致。</w:t>
      </w:r>
    </w:p>
    <w:p w14:paraId="75B620F5">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15.报价</w:t>
      </w:r>
    </w:p>
    <w:p w14:paraId="49C602B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15.1投标人应当根据招标文件要求和范围，以</w:t>
      </w:r>
      <w:r>
        <w:rPr>
          <w:rFonts w:hint="eastAsia" w:ascii="宋体" w:hAnsi="宋体" w:eastAsia="宋体" w:cs="宋体"/>
          <w:bCs/>
          <w:color w:val="auto"/>
          <w:sz w:val="24"/>
          <w:szCs w:val="24"/>
          <w:highlight w:val="none"/>
        </w:rPr>
        <w:t>人民币</w:t>
      </w:r>
      <w:r>
        <w:rPr>
          <w:rFonts w:hint="eastAsia" w:ascii="宋体" w:hAnsi="宋体" w:eastAsia="宋体" w:cs="宋体"/>
          <w:color w:val="auto"/>
          <w:sz w:val="24"/>
          <w:szCs w:val="24"/>
          <w:highlight w:val="none"/>
        </w:rPr>
        <w:t>报价，以元为单位，保留小数点后两位。</w:t>
      </w:r>
    </w:p>
    <w:p w14:paraId="46E8DD8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投标报价是履行合同的最终价格，应包括为完成本项目招标范围内所有货物、配套工具及供货、运输、安装调试、培训、保险、税金及其它附带服务的全部费用。投标人漏报的单价或每项单价报价中漏报、少报的费用，视为此项费用已隐含在其他报价中，中标后不予调整。</w:t>
      </w:r>
    </w:p>
    <w:p w14:paraId="0C3B62DD">
      <w:pPr>
        <w:pStyle w:val="6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15.3投标人应按第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章“采购需求”要求及第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章“投标文件组成”格式填写。投标人在</w:t>
      </w:r>
      <w:r>
        <w:rPr>
          <w:rFonts w:hint="eastAsia" w:ascii="宋体" w:hAnsi="宋体" w:eastAsia="宋体" w:cs="宋体"/>
          <w:bCs/>
          <w:color w:val="auto"/>
          <w:sz w:val="24"/>
          <w:szCs w:val="24"/>
          <w:highlight w:val="none"/>
        </w:rPr>
        <w:t>本章第11.1</w:t>
      </w:r>
      <w:r>
        <w:rPr>
          <w:rFonts w:hint="eastAsia" w:ascii="宋体" w:hAnsi="宋体" w:eastAsia="宋体" w:cs="宋体"/>
          <w:color w:val="auto"/>
          <w:sz w:val="24"/>
          <w:szCs w:val="24"/>
          <w:highlight w:val="none"/>
          <w:lang w:val="zh-CN"/>
        </w:rPr>
        <w:t>款</w:t>
      </w:r>
      <w:r>
        <w:rPr>
          <w:rFonts w:hint="eastAsia" w:ascii="宋体" w:hAnsi="宋体" w:eastAsia="宋体" w:cs="宋体"/>
          <w:bCs/>
          <w:color w:val="auto"/>
          <w:sz w:val="24"/>
          <w:szCs w:val="24"/>
          <w:highlight w:val="none"/>
        </w:rPr>
        <w:t>规定的</w:t>
      </w:r>
      <w:r>
        <w:rPr>
          <w:rFonts w:hint="eastAsia" w:ascii="宋体" w:hAnsi="宋体" w:eastAsia="宋体" w:cs="宋体"/>
          <w:color w:val="auto"/>
          <w:sz w:val="24"/>
          <w:szCs w:val="24"/>
          <w:highlight w:val="none"/>
        </w:rPr>
        <w:t>提交投标文件截止之日前修改开标一览表中的报价，应同时修改其按第五章要求填写的相应表格中的报价。此修改须符合本章第21.1款的有关要求。</w:t>
      </w:r>
    </w:p>
    <w:p w14:paraId="45ED7080">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15.4投标文件中标明的价格在合同执行过程中是固定不变的，不得以任何理由予以变更。以可变动价格提交的报价将被认为是非实质投标而被拒绝。</w:t>
      </w:r>
    </w:p>
    <w:p w14:paraId="45E6B93F">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15.5投标人的报价不得超过采购项目预算，采购项目预算或其计算方法见</w:t>
      </w:r>
      <w:r>
        <w:rPr>
          <w:rFonts w:hint="eastAsia" w:ascii="宋体" w:hAnsi="宋体" w:eastAsia="宋体" w:cs="宋体"/>
          <w:b/>
          <w:color w:val="auto"/>
          <w:sz w:val="24"/>
          <w:szCs w:val="24"/>
          <w:highlight w:val="none"/>
        </w:rPr>
        <w:t>招标须知前附表</w:t>
      </w:r>
      <w:r>
        <w:rPr>
          <w:rFonts w:hint="eastAsia" w:ascii="宋体" w:hAnsi="宋体" w:eastAsia="宋体" w:cs="宋体"/>
          <w:color w:val="auto"/>
          <w:sz w:val="24"/>
          <w:szCs w:val="24"/>
          <w:highlight w:val="none"/>
        </w:rPr>
        <w:t>。</w:t>
      </w:r>
    </w:p>
    <w:p w14:paraId="6B480BB1">
      <w:pPr>
        <w:pStyle w:val="17"/>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16.投标人符合招标文件规定的资格证明文件</w:t>
      </w:r>
    </w:p>
    <w:p w14:paraId="19F6CFA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16.1</w:t>
      </w:r>
      <w:r>
        <w:rPr>
          <w:rFonts w:hint="eastAsia" w:ascii="宋体" w:hAnsi="宋体" w:eastAsia="宋体" w:cs="宋体"/>
          <w:color w:val="auto"/>
          <w:sz w:val="24"/>
          <w:szCs w:val="24"/>
          <w:highlight w:val="none"/>
        </w:rPr>
        <w:t>投标人应提供资格证明材料，以证实其各项条件能满足本章第3.1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规定的投标人资格条件要求。</w:t>
      </w:r>
    </w:p>
    <w:p w14:paraId="18D407B5">
      <w:pPr>
        <w:adjustRightInd w:val="0"/>
        <w:snapToGrid w:val="0"/>
        <w:spacing w:line="360" w:lineRule="auto"/>
        <w:ind w:firstLine="480" w:firstLineChars="200"/>
        <w:jc w:val="left"/>
        <w:rPr>
          <w:rFonts w:hint="eastAsia" w:ascii="宋体" w:hAnsi="宋体" w:eastAsia="宋体" w:cs="宋体"/>
          <w:b/>
          <w:color w:val="auto"/>
          <w:kern w:val="0"/>
          <w:sz w:val="24"/>
          <w:szCs w:val="24"/>
          <w:highlight w:val="none"/>
          <w:lang w:eastAsia="zh-CN"/>
        </w:rPr>
      </w:pPr>
      <w:r>
        <w:rPr>
          <w:rFonts w:hint="eastAsia" w:ascii="宋体" w:hAnsi="宋体" w:eastAsia="宋体" w:cs="宋体"/>
          <w:color w:val="auto"/>
          <w:sz w:val="24"/>
          <w:szCs w:val="24"/>
          <w:highlight w:val="none"/>
        </w:rPr>
        <w:t>16.2投标人为联合体形式的，则应提交联合体各方资格文件、联合体协议，否则将视为非实质投标而被拒绝。</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如接受联合体投标提供</w:t>
      </w:r>
      <w:r>
        <w:rPr>
          <w:rFonts w:hint="eastAsia" w:ascii="宋体" w:hAnsi="宋体" w:eastAsia="宋体" w:cs="宋体"/>
          <w:b/>
          <w:color w:val="auto"/>
          <w:kern w:val="0"/>
          <w:sz w:val="24"/>
          <w:szCs w:val="24"/>
          <w:highlight w:val="none"/>
          <w:lang w:eastAsia="zh-CN"/>
        </w:rPr>
        <w:t>）</w:t>
      </w:r>
    </w:p>
    <w:p w14:paraId="39382DFE">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16.3投标人应当提交符合招标文件规定的业绩证明文件,该证明文件作为投标文件的一部分，业绩证明文件要求详见</w:t>
      </w:r>
      <w:r>
        <w:rPr>
          <w:rFonts w:hint="eastAsia" w:ascii="宋体" w:hAnsi="宋体" w:eastAsia="宋体" w:cs="宋体"/>
          <w:b/>
          <w:color w:val="auto"/>
          <w:kern w:val="0"/>
          <w:sz w:val="24"/>
          <w:szCs w:val="24"/>
          <w:highlight w:val="none"/>
        </w:rPr>
        <w:t>投标须知前附表</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如有</w:t>
      </w:r>
      <w:r>
        <w:rPr>
          <w:rFonts w:hint="eastAsia" w:ascii="宋体" w:hAnsi="宋体" w:cs="宋体"/>
          <w:b/>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15FA2B6">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17.投标保证金</w:t>
      </w:r>
    </w:p>
    <w:p w14:paraId="1B18CE43">
      <w:pPr>
        <w:pStyle w:val="17"/>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规定交纳投标</w:t>
      </w:r>
      <w:r>
        <w:rPr>
          <w:rFonts w:hint="eastAsia" w:ascii="宋体" w:hAnsi="宋体" w:eastAsia="宋体" w:cs="宋体"/>
          <w:bCs/>
          <w:color w:val="auto"/>
          <w:sz w:val="24"/>
          <w:szCs w:val="24"/>
          <w:highlight w:val="none"/>
        </w:rPr>
        <w:t>保证金的</w:t>
      </w:r>
      <w:r>
        <w:rPr>
          <w:rFonts w:hint="eastAsia" w:ascii="宋体" w:hAnsi="宋体" w:eastAsia="宋体" w:cs="宋体"/>
          <w:color w:val="auto"/>
          <w:sz w:val="24"/>
          <w:szCs w:val="24"/>
          <w:highlight w:val="none"/>
        </w:rPr>
        <w:t>，应按</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规定的</w:t>
      </w:r>
      <w:r>
        <w:rPr>
          <w:rFonts w:hint="eastAsia" w:ascii="宋体" w:hAnsi="宋体" w:eastAsia="宋体" w:cs="宋体"/>
          <w:bCs/>
          <w:color w:val="auto"/>
          <w:sz w:val="24"/>
          <w:szCs w:val="24"/>
          <w:highlight w:val="none"/>
        </w:rPr>
        <w:t>形式、金额，</w:t>
      </w:r>
      <w:r>
        <w:rPr>
          <w:rFonts w:hint="eastAsia" w:ascii="宋体" w:hAnsi="宋体" w:eastAsia="宋体" w:cs="宋体"/>
          <w:color w:val="auto"/>
          <w:sz w:val="24"/>
          <w:szCs w:val="24"/>
          <w:highlight w:val="none"/>
        </w:rPr>
        <w:t>在本章第11.1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w:t>
      </w:r>
      <w:r>
        <w:rPr>
          <w:rFonts w:hint="eastAsia" w:ascii="宋体" w:hAnsi="宋体" w:eastAsia="宋体" w:cs="宋体"/>
          <w:color w:val="auto"/>
          <w:kern w:val="0"/>
          <w:sz w:val="24"/>
          <w:szCs w:val="24"/>
          <w:highlight w:val="none"/>
        </w:rPr>
        <w:t>提交投标文件截止时间</w:t>
      </w:r>
      <w:r>
        <w:rPr>
          <w:rFonts w:hint="eastAsia" w:ascii="宋体" w:hAnsi="宋体" w:eastAsia="宋体" w:cs="宋体"/>
          <w:color w:val="auto"/>
          <w:sz w:val="24"/>
          <w:szCs w:val="24"/>
          <w:highlight w:val="none"/>
        </w:rPr>
        <w:t>前，</w:t>
      </w:r>
      <w:r>
        <w:rPr>
          <w:rFonts w:hint="eastAsia" w:ascii="宋体" w:hAnsi="宋体" w:eastAsia="宋体" w:cs="宋体"/>
          <w:bCs/>
          <w:color w:val="auto"/>
          <w:sz w:val="24"/>
          <w:szCs w:val="24"/>
          <w:highlight w:val="none"/>
        </w:rPr>
        <w:t>提交投标保证金</w:t>
      </w:r>
      <w:r>
        <w:rPr>
          <w:rFonts w:hint="eastAsia" w:ascii="宋体" w:hAnsi="宋体" w:eastAsia="宋体" w:cs="宋体"/>
          <w:color w:val="auto"/>
          <w:sz w:val="24"/>
          <w:szCs w:val="24"/>
          <w:highlight w:val="none"/>
        </w:rPr>
        <w:t>。投标</w:t>
      </w:r>
      <w:r>
        <w:rPr>
          <w:rFonts w:hint="eastAsia" w:ascii="宋体" w:hAnsi="宋体" w:eastAsia="宋体" w:cs="宋体"/>
          <w:bCs/>
          <w:color w:val="auto"/>
          <w:sz w:val="24"/>
          <w:szCs w:val="24"/>
          <w:highlight w:val="none"/>
        </w:rPr>
        <w:t>保证金有效期应当与</w:t>
      </w:r>
      <w:r>
        <w:rPr>
          <w:rFonts w:hint="eastAsia" w:ascii="宋体" w:hAnsi="宋体" w:eastAsia="宋体" w:cs="宋体"/>
          <w:color w:val="auto"/>
          <w:sz w:val="24"/>
          <w:szCs w:val="24"/>
          <w:highlight w:val="none"/>
        </w:rPr>
        <w:t>本章第18.1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w:t>
      </w:r>
      <w:r>
        <w:rPr>
          <w:rFonts w:hint="eastAsia" w:ascii="宋体" w:hAnsi="宋体" w:eastAsia="宋体" w:cs="宋体"/>
          <w:bCs/>
          <w:color w:val="auto"/>
          <w:sz w:val="24"/>
          <w:szCs w:val="24"/>
          <w:highlight w:val="none"/>
        </w:rPr>
        <w:t>投标文件有效期一致。</w:t>
      </w:r>
    </w:p>
    <w:p w14:paraId="71573586">
      <w:pPr>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17.2投标人</w:t>
      </w:r>
      <w:r>
        <w:rPr>
          <w:rFonts w:hint="eastAsia" w:ascii="宋体" w:hAnsi="宋体" w:eastAsia="宋体" w:cs="宋体"/>
          <w:color w:val="auto"/>
          <w:kern w:val="0"/>
          <w:sz w:val="24"/>
          <w:szCs w:val="24"/>
          <w:highlight w:val="none"/>
          <w:lang w:val="zh-CN"/>
        </w:rPr>
        <w:t>为联合体的，可以由联合体中的一方或者共同交纳投标保证金，其交纳的投标保证金，对联合体各方均具有约束力。</w:t>
      </w:r>
    </w:p>
    <w:p w14:paraId="7842A951">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未按招标文件规定提交投标保证金的，</w:t>
      </w:r>
      <w:r>
        <w:rPr>
          <w:rFonts w:hint="eastAsia" w:ascii="宋体" w:hAnsi="宋体" w:eastAsia="宋体" w:cs="宋体"/>
          <w:bCs/>
          <w:color w:val="auto"/>
          <w:sz w:val="24"/>
          <w:szCs w:val="24"/>
          <w:highlight w:val="none"/>
        </w:rPr>
        <w:t>招标人或招标代理机构应当拒绝接收</w:t>
      </w:r>
      <w:r>
        <w:rPr>
          <w:rFonts w:hint="eastAsia" w:ascii="宋体" w:hAnsi="宋体" w:eastAsia="宋体" w:cs="宋体"/>
          <w:color w:val="auto"/>
          <w:sz w:val="24"/>
          <w:szCs w:val="24"/>
          <w:highlight w:val="none"/>
        </w:rPr>
        <w:t>投标人</w:t>
      </w:r>
      <w:r>
        <w:rPr>
          <w:rFonts w:hint="eastAsia" w:ascii="宋体" w:hAnsi="宋体" w:eastAsia="宋体" w:cs="宋体"/>
          <w:bCs/>
          <w:color w:val="auto"/>
          <w:sz w:val="24"/>
          <w:szCs w:val="24"/>
          <w:highlight w:val="none"/>
        </w:rPr>
        <w:t>的投标文件</w:t>
      </w:r>
      <w:r>
        <w:rPr>
          <w:rFonts w:hint="eastAsia" w:ascii="宋体" w:hAnsi="宋体" w:eastAsia="宋体" w:cs="宋体"/>
          <w:color w:val="auto"/>
          <w:sz w:val="24"/>
          <w:szCs w:val="24"/>
          <w:highlight w:val="none"/>
        </w:rPr>
        <w:t>。</w:t>
      </w:r>
    </w:p>
    <w:p w14:paraId="289C3E1A">
      <w:pPr>
        <w:pStyle w:val="17"/>
        <w:tabs>
          <w:tab w:val="left" w:pos="630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17.4招标代理机构在中标通知书发出后5个工作日内退还未中标人的投标保证金；在采购合同签定后5个工作日内退还中标人的投标保证金，但因投标人自身原因导致无法及时退还的除外。</w:t>
      </w:r>
    </w:p>
    <w:p w14:paraId="732DC1BB">
      <w:pPr>
        <w:pStyle w:val="17"/>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17.5 </w:t>
      </w:r>
      <w:r>
        <w:rPr>
          <w:rFonts w:hint="eastAsia" w:ascii="宋体" w:hAnsi="宋体" w:eastAsia="宋体" w:cs="宋体"/>
          <w:color w:val="auto"/>
          <w:kern w:val="0"/>
          <w:sz w:val="24"/>
          <w:szCs w:val="24"/>
          <w:highlight w:val="none"/>
        </w:rPr>
        <w:t>有下列情形之一的，投标保证金不予退还：</w:t>
      </w:r>
    </w:p>
    <w:p w14:paraId="3299FB5B">
      <w:pPr>
        <w:pStyle w:val="17"/>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（1）中标后无正当理由不与招标人签订合同的；</w:t>
      </w:r>
    </w:p>
    <w:p w14:paraId="4521BC7D">
      <w:pPr>
        <w:pStyle w:val="17"/>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（2）将中标项目转让给他人，或者在投标文件中未说明，且未经采购招标机构同意，将中标项目分包给他人的；</w:t>
      </w:r>
    </w:p>
    <w:p w14:paraId="2C86006A">
      <w:pPr>
        <w:pStyle w:val="17"/>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（3）拒绝履行合同义务的。</w:t>
      </w:r>
    </w:p>
    <w:p w14:paraId="5A324CF1">
      <w:pPr>
        <w:pStyle w:val="17"/>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w:t>
      </w:r>
      <w:r>
        <w:rPr>
          <w:rFonts w:hint="eastAsia" w:ascii="宋体" w:hAnsi="宋体" w:eastAsia="宋体" w:cs="宋体"/>
          <w:b/>
          <w:color w:val="auto"/>
          <w:sz w:val="24"/>
          <w:szCs w:val="24"/>
          <w:highlight w:val="none"/>
        </w:rPr>
        <w:t>投标文件有效期</w:t>
      </w:r>
    </w:p>
    <w:p w14:paraId="3C633C7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18.1投标文件有效期见</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，在此期间投标文件对投标人具有法律约束力，从本章第11.1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w:t>
      </w:r>
      <w:r>
        <w:rPr>
          <w:rFonts w:hint="eastAsia" w:ascii="宋体" w:hAnsi="宋体" w:eastAsia="宋体" w:cs="宋体"/>
          <w:color w:val="auto"/>
          <w:kern w:val="0"/>
          <w:sz w:val="24"/>
          <w:szCs w:val="24"/>
          <w:highlight w:val="none"/>
        </w:rPr>
        <w:t>提交投标文件截止时间</w:t>
      </w:r>
      <w:r>
        <w:rPr>
          <w:rFonts w:hint="eastAsia" w:ascii="宋体" w:hAnsi="宋体" w:eastAsia="宋体" w:cs="宋体"/>
          <w:color w:val="auto"/>
          <w:sz w:val="24"/>
          <w:szCs w:val="24"/>
          <w:highlight w:val="none"/>
        </w:rPr>
        <w:t>之日起计算。投标文件有效期不足的将被视为无效投标。</w:t>
      </w:r>
    </w:p>
    <w:p w14:paraId="7069AC2E">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19.投标文件的签署及规定</w:t>
      </w:r>
    </w:p>
    <w:p w14:paraId="774FE68B">
      <w:pPr>
        <w:pStyle w:val="61"/>
        <w:topLinePunct/>
        <w:spacing w:line="360" w:lineRule="auto"/>
        <w:ind w:firstLine="4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的密封和标记。电子</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的内容按要求进行签章。未按要求进行数字证书认证的</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，电子评标系统将无法接受,采购单位不予受理。</w:t>
      </w:r>
    </w:p>
    <w:p w14:paraId="777E8BE0">
      <w:pPr>
        <w:adjustRightInd w:val="0"/>
        <w:snapToGrid w:val="0"/>
        <w:spacing w:line="360" w:lineRule="auto"/>
        <w:jc w:val="center"/>
        <w:outlineLvl w:val="9"/>
        <w:rPr>
          <w:rFonts w:hint="eastAsia" w:ascii="宋体" w:hAnsi="宋体" w:eastAsia="宋体" w:cs="宋体"/>
          <w:b/>
          <w:color w:val="auto"/>
          <w:sz w:val="24"/>
          <w:szCs w:val="24"/>
          <w:highlight w:val="none"/>
        </w:rPr>
      </w:pPr>
      <w:bookmarkStart w:id="26" w:name="_Toc420948012"/>
      <w:bookmarkStart w:id="27" w:name="_Toc478663353"/>
      <w:r>
        <w:rPr>
          <w:rFonts w:hint="eastAsia" w:ascii="宋体" w:hAnsi="宋体" w:eastAsia="宋体" w:cs="宋体"/>
          <w:b/>
          <w:color w:val="auto"/>
          <w:sz w:val="24"/>
          <w:szCs w:val="24"/>
          <w:highlight w:val="none"/>
        </w:rPr>
        <w:t>（四）投标文件的递交</w:t>
      </w:r>
      <w:bookmarkEnd w:id="26"/>
      <w:bookmarkEnd w:id="27"/>
    </w:p>
    <w:p w14:paraId="56144EB6">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w:t>
      </w:r>
      <w:r>
        <w:rPr>
          <w:rFonts w:hint="eastAsia" w:ascii="宋体" w:hAnsi="宋体" w:eastAsia="宋体" w:cs="宋体"/>
          <w:color w:val="auto"/>
          <w:sz w:val="24"/>
          <w:szCs w:val="24"/>
          <w:highlight w:val="none"/>
        </w:rPr>
        <w:t xml:space="preserve"> </w:t>
      </w:r>
      <w:r>
        <w:rPr>
          <w:rFonts w:hint="eastAsia" w:ascii="宋体" w:hAnsi="宋体" w:cs="宋体"/>
          <w:b/>
          <w:color w:val="auto"/>
          <w:sz w:val="24"/>
          <w:szCs w:val="24"/>
          <w:highlight w:val="none"/>
          <w:lang w:eastAsia="zh-CN"/>
        </w:rPr>
        <w:t>投标文件</w:t>
      </w:r>
      <w:r>
        <w:rPr>
          <w:rFonts w:hint="eastAsia" w:ascii="宋体" w:hAnsi="宋体" w:eastAsia="宋体" w:cs="宋体"/>
          <w:b/>
          <w:color w:val="auto"/>
          <w:sz w:val="24"/>
          <w:szCs w:val="24"/>
          <w:highlight w:val="none"/>
        </w:rPr>
        <w:t>的递交</w:t>
      </w:r>
    </w:p>
    <w:p w14:paraId="2F6D3680">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r>
        <w:rPr>
          <w:rFonts w:hint="eastAsia"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应在招标文件规定的</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递交截止时间前将电子</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上传到指定新疆政府采购网政采云平台。未在</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递交截止时间前完成上传的电子</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视为逾期送达。逾期上传或未按规定方式上传的电子</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，采购单位不予受理。</w:t>
      </w:r>
    </w:p>
    <w:p w14:paraId="0A822E19">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20.2是否采用不见面开标详见投标须知前附表。若项目采用不见面开标，只需将电子</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递交截止时间前通过新疆政府采购网政采云平台上传完成。逾期上传的或者未上传到平台的</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，采购人不予受理。</w:t>
      </w:r>
    </w:p>
    <w:p w14:paraId="2AAE6717">
      <w:pPr>
        <w:pStyle w:val="17"/>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21.</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迟交的</w:t>
      </w:r>
      <w:r>
        <w:rPr>
          <w:rFonts w:hint="eastAsia" w:hAnsi="宋体" w:cs="宋体"/>
          <w:b/>
          <w:bCs/>
          <w:color w:val="auto"/>
          <w:sz w:val="24"/>
          <w:szCs w:val="24"/>
          <w:highlight w:val="none"/>
          <w:lang w:eastAsia="zh-CN"/>
        </w:rPr>
        <w:t>投标文件</w:t>
      </w:r>
    </w:p>
    <w:p w14:paraId="09E6DFA4">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21.1采购单位将拒绝并原封退回在规定的</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递交截止期后送达的任何</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。由于对网上操作不熟悉或自身电脑、网络的原因导致不能在</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递交截止时间之前上传</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，新疆政府采购网政采云平台将不负任何责任。</w:t>
      </w:r>
    </w:p>
    <w:p w14:paraId="0716CBBA">
      <w:pPr>
        <w:pStyle w:val="17"/>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w:t>
      </w:r>
      <w:r>
        <w:rPr>
          <w:rFonts w:hint="eastAsia" w:ascii="宋体" w:hAnsi="宋体" w:eastAsia="宋体" w:cs="宋体"/>
          <w:color w:val="auto"/>
          <w:sz w:val="24"/>
          <w:szCs w:val="24"/>
          <w:highlight w:val="none"/>
        </w:rPr>
        <w:t xml:space="preserve"> </w:t>
      </w:r>
      <w:r>
        <w:rPr>
          <w:rFonts w:hint="eastAsia" w:hAnsi="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的修改和撤回</w:t>
      </w:r>
    </w:p>
    <w:p w14:paraId="59A353F8">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r>
        <w:rPr>
          <w:rFonts w:hint="eastAsia"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在招标文件规定的</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递交截止时间前，可以撤回已上传的</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。如要修改，必须在撤回并修改后在规定的</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递交截止时间之前将修改后的</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再重新上传。在</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递交截止时间之后，</w:t>
      </w:r>
      <w:r>
        <w:rPr>
          <w:rFonts w:hint="eastAsia"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不得对上传的</w:t>
      </w:r>
      <w:r>
        <w:rPr>
          <w:rFonts w:hint="eastAsia"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文件撤销或修改。</w:t>
      </w:r>
    </w:p>
    <w:p w14:paraId="324771EE">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所提交的</w:t>
      </w:r>
      <w:r>
        <w:rPr>
          <w:rFonts w:hint="eastAsia"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文件在评审结束后，无论中标与否都不退还。</w:t>
      </w:r>
    </w:p>
    <w:p w14:paraId="0031CE24">
      <w:pPr>
        <w:pStyle w:val="23"/>
        <w:adjustRightInd w:val="0"/>
        <w:snapToGrid w:val="0"/>
        <w:spacing w:before="156" w:beforeLines="50" w:beforeAutospacing="0" w:after="0" w:afterAutospacing="0" w:line="360" w:lineRule="auto"/>
        <w:jc w:val="center"/>
        <w:outlineLvl w:val="9"/>
        <w:rPr>
          <w:rFonts w:hint="eastAsia" w:ascii="宋体" w:hAnsi="宋体" w:eastAsia="宋体" w:cs="宋体"/>
          <w:b/>
          <w:color w:val="auto"/>
          <w:sz w:val="24"/>
          <w:szCs w:val="24"/>
          <w:highlight w:val="none"/>
        </w:rPr>
      </w:pPr>
      <w:bookmarkStart w:id="28" w:name="_Toc478663354"/>
      <w:bookmarkStart w:id="29" w:name="_Toc420948013"/>
      <w:r>
        <w:rPr>
          <w:rFonts w:hint="eastAsia" w:ascii="宋体" w:hAnsi="宋体" w:eastAsia="宋体" w:cs="宋体"/>
          <w:b/>
          <w:color w:val="auto"/>
          <w:sz w:val="24"/>
          <w:szCs w:val="24"/>
          <w:highlight w:val="none"/>
        </w:rPr>
        <w:t>（五）</w:t>
      </w:r>
      <w:r>
        <w:rPr>
          <w:rFonts w:hint="eastAsia" w:ascii="宋体" w:hAnsi="宋体" w:eastAsia="宋体" w:cs="宋体"/>
          <w:b/>
          <w:color w:val="auto"/>
          <w:kern w:val="2"/>
          <w:sz w:val="24"/>
          <w:szCs w:val="24"/>
          <w:highlight w:val="none"/>
        </w:rPr>
        <w:t>开标和评标</w:t>
      </w:r>
      <w:bookmarkEnd w:id="28"/>
    </w:p>
    <w:p w14:paraId="5F3DC57E">
      <w:pPr>
        <w:pStyle w:val="17"/>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23.开标</w:t>
      </w:r>
    </w:p>
    <w:p w14:paraId="1CF248D1">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23.1采购人在规定的递交</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截止时间（开标时间）和</w:t>
      </w:r>
      <w:r>
        <w:rPr>
          <w:rFonts w:hint="eastAsia" w:hAnsi="宋体" w:cs="宋体"/>
          <w:color w:val="auto"/>
          <w:sz w:val="24"/>
          <w:szCs w:val="24"/>
          <w:highlight w:val="none"/>
          <w:lang w:eastAsia="zh-CN"/>
        </w:rPr>
        <w:t>投标</w:t>
      </w:r>
      <w:r>
        <w:rPr>
          <w:rFonts w:hint="eastAsia" w:ascii="宋体" w:hAnsi="宋体" w:eastAsia="宋体" w:cs="宋体"/>
          <w:color w:val="auto"/>
          <w:sz w:val="24"/>
          <w:szCs w:val="24"/>
          <w:highlight w:val="none"/>
        </w:rPr>
        <w:t>须知前附表规定的地点进行开标。</w:t>
      </w:r>
      <w:r>
        <w:rPr>
          <w:rFonts w:hint="eastAsia" w:hAnsi="宋体" w:cs="宋体"/>
          <w:color w:val="auto"/>
          <w:sz w:val="24"/>
          <w:szCs w:val="24"/>
          <w:highlight w:val="none"/>
          <w:lang w:eastAsia="zh-CN"/>
        </w:rPr>
        <w:t>投标单位</w:t>
      </w:r>
      <w:r>
        <w:rPr>
          <w:rFonts w:hint="eastAsia" w:ascii="宋体" w:hAnsi="宋体" w:eastAsia="宋体" w:cs="宋体"/>
          <w:color w:val="auto"/>
          <w:sz w:val="24"/>
          <w:szCs w:val="24"/>
          <w:highlight w:val="none"/>
        </w:rPr>
        <w:t>的法定代表人或其委托代理人无需到达开标现场，仅需在任意地点通过新疆政府采购网政采云平台，完成远程解密、提疑澄清、结果公布等交互环节。</w:t>
      </w:r>
    </w:p>
    <w:p w14:paraId="5E9847D9">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法定代表人或法定代表人授权委托人参与远程交互，中途不得更换，在废标、澄清、提疑、传送文件等特殊情况下需要交互时，</w:t>
      </w:r>
      <w:r>
        <w:rPr>
          <w:rFonts w:hint="eastAsia" w:hAnsi="宋体" w:cs="宋体"/>
          <w:color w:val="auto"/>
          <w:sz w:val="24"/>
          <w:szCs w:val="24"/>
          <w:highlight w:val="none"/>
          <w:lang w:eastAsia="zh-CN"/>
        </w:rPr>
        <w:t>投标单位</w:t>
      </w:r>
      <w:r>
        <w:rPr>
          <w:rFonts w:hint="eastAsia" w:ascii="宋体" w:hAnsi="宋体" w:eastAsia="宋体" w:cs="宋体"/>
          <w:color w:val="auto"/>
          <w:sz w:val="24"/>
          <w:szCs w:val="24"/>
          <w:highlight w:val="none"/>
        </w:rPr>
        <w:t>一端参与交互的人员将均被视为是</w:t>
      </w:r>
      <w:r>
        <w:rPr>
          <w:rFonts w:hint="eastAsia" w:hAnsi="宋体" w:cs="宋体"/>
          <w:color w:val="auto"/>
          <w:sz w:val="24"/>
          <w:szCs w:val="24"/>
          <w:highlight w:val="none"/>
          <w:lang w:eastAsia="zh-CN"/>
        </w:rPr>
        <w:t>投标单位</w:t>
      </w:r>
      <w:r>
        <w:rPr>
          <w:rFonts w:hint="eastAsia" w:ascii="宋体" w:hAnsi="宋体" w:eastAsia="宋体" w:cs="宋体"/>
          <w:color w:val="auto"/>
          <w:sz w:val="24"/>
          <w:szCs w:val="24"/>
          <w:highlight w:val="none"/>
        </w:rPr>
        <w:t>的授权委托人或法人代表，</w:t>
      </w:r>
      <w:r>
        <w:rPr>
          <w:rFonts w:hint="eastAsia" w:hAnsi="宋体" w:cs="宋体"/>
          <w:color w:val="auto"/>
          <w:sz w:val="24"/>
          <w:szCs w:val="24"/>
          <w:highlight w:val="none"/>
          <w:lang w:eastAsia="zh-CN"/>
        </w:rPr>
        <w:t>投标单位</w:t>
      </w:r>
      <w:r>
        <w:rPr>
          <w:rFonts w:hint="eastAsia" w:ascii="宋体" w:hAnsi="宋体" w:eastAsia="宋体" w:cs="宋体"/>
          <w:color w:val="auto"/>
          <w:sz w:val="24"/>
          <w:szCs w:val="24"/>
          <w:highlight w:val="none"/>
        </w:rPr>
        <w:t>不得以不承认交互人员的资格或身份等为借口推脱，</w:t>
      </w:r>
      <w:r>
        <w:rPr>
          <w:rFonts w:hint="eastAsia" w:hAnsi="宋体" w:cs="宋体"/>
          <w:color w:val="auto"/>
          <w:sz w:val="24"/>
          <w:szCs w:val="24"/>
          <w:highlight w:val="none"/>
          <w:lang w:eastAsia="zh-CN"/>
        </w:rPr>
        <w:t>投标单位</w:t>
      </w:r>
      <w:r>
        <w:rPr>
          <w:rFonts w:hint="eastAsia" w:ascii="宋体" w:hAnsi="宋体" w:eastAsia="宋体" w:cs="宋体"/>
          <w:color w:val="auto"/>
          <w:sz w:val="24"/>
          <w:szCs w:val="24"/>
          <w:highlight w:val="none"/>
        </w:rPr>
        <w:t>自行承担随意更换人员所导致的一切后果。</w:t>
      </w:r>
    </w:p>
    <w:p w14:paraId="127F1619">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评审小组将按照招标文件确定的评审方法进行评审。评审小组对</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的评审分为</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初审、澄清有关问题、比较与评价</w:t>
      </w:r>
      <w:r>
        <w:rPr>
          <w:rFonts w:hint="eastAsia" w:hAnsi="宋体" w:cs="宋体"/>
          <w:color w:val="auto"/>
          <w:sz w:val="24"/>
          <w:szCs w:val="24"/>
          <w:highlight w:val="none"/>
          <w:lang w:eastAsia="zh-CN"/>
        </w:rPr>
        <w:t>投标文件</w:t>
      </w:r>
      <w:r>
        <w:rPr>
          <w:rFonts w:hint="eastAsia" w:ascii="宋体" w:hAnsi="宋体" w:eastAsia="宋体" w:cs="宋体"/>
          <w:color w:val="auto"/>
          <w:sz w:val="24"/>
          <w:szCs w:val="24"/>
          <w:highlight w:val="none"/>
        </w:rPr>
        <w:t>、推荐中标候选人名单。</w:t>
      </w:r>
    </w:p>
    <w:p w14:paraId="05338EA0">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24.评标委员会</w:t>
      </w:r>
    </w:p>
    <w:p w14:paraId="4BA7F3EE">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评标由采购人或招标代理机构依法组建的评标委员会负责，评标委员会由招标人代表和有关经济、技术等方面的专家组成，成员人数应当为5人及以上单数，其中，经济、技术等方面的专家不得少于成员总数的三分之二。</w:t>
      </w:r>
    </w:p>
    <w:p w14:paraId="7738B01B">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24.2评标委员会成员与投标人存在利害关系的，应当回避。</w:t>
      </w:r>
    </w:p>
    <w:p w14:paraId="21ACA884">
      <w:pPr>
        <w:pStyle w:val="17"/>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25</w:t>
      </w:r>
      <w:r>
        <w:rPr>
          <w:rFonts w:hint="eastAsia" w:ascii="宋体" w:hAnsi="宋体" w:eastAsia="宋体" w:cs="宋体"/>
          <w:b/>
          <w:color w:val="auto"/>
          <w:sz w:val="24"/>
          <w:szCs w:val="24"/>
          <w:highlight w:val="none"/>
        </w:rPr>
        <w:t>.评标</w:t>
      </w:r>
    </w:p>
    <w:p w14:paraId="0CAD6E09">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 评标委员会按照第三章“评标方法及标准” 规定的评标方法、评审因素、标准和程序以及有关法律、法规及规章对投标文件进行评审。</w:t>
      </w:r>
    </w:p>
    <w:bookmarkEnd w:id="29"/>
    <w:p w14:paraId="78574E6E">
      <w:pPr>
        <w:pStyle w:val="17"/>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26.确定中标人</w:t>
      </w:r>
    </w:p>
    <w:p w14:paraId="61429B2F">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26.1招标人不保证将合同授予最低投标报价的投标人。</w:t>
      </w:r>
    </w:p>
    <w:p w14:paraId="646CD135">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26.2招标代理机构应当在评审结束后2个工作日内将评标报告送招标人确认。</w:t>
      </w:r>
    </w:p>
    <w:p w14:paraId="0A97D96D">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招标人应当在收到评标报告后5个工作日内，从评标报告提出的3名中标候选人中，根据质量和服务均能满足招标文件实质性要求，评标总得分最高的原则确定中标人，也可以书面授权评标委员会直接确定中标人。</w:t>
      </w:r>
    </w:p>
    <w:p w14:paraId="08751DA0">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26.4由招标人确定中标人的，在确定中标人前，招标人将通过</w:t>
      </w:r>
      <w:r>
        <w:rPr>
          <w:rFonts w:hint="eastAsia" w:ascii="宋体" w:hAnsi="宋体" w:eastAsia="宋体" w:cs="宋体"/>
          <w:color w:val="auto"/>
          <w:sz w:val="24"/>
          <w:szCs w:val="24"/>
          <w:highlight w:val="none"/>
          <w:lang w:val="en-US" w:eastAsia="zh-CN"/>
        </w:rPr>
        <w:t>“信用中国”网站（ www.creditchina.gov.cn） 被列入失信被执行人、重大税收违法失信主体(搜索栏输入单位全称-点击总公司-截图)、中国政府采购网（http://www.ccgp.gov.cn/search/cr/）严重违法失信行为记录名单的（尚在处罚期内的）</w:t>
      </w:r>
      <w:r>
        <w:rPr>
          <w:rFonts w:hint="eastAsia" w:ascii="宋体" w:hAnsi="宋体" w:eastAsia="宋体" w:cs="宋体"/>
          <w:color w:val="auto"/>
          <w:sz w:val="24"/>
          <w:szCs w:val="24"/>
          <w:highlight w:val="none"/>
        </w:rPr>
        <w:t>且不存在不满足政府采购法第二十二条规定</w:t>
      </w:r>
      <w:r>
        <w:rPr>
          <w:rFonts w:hint="eastAsia" w:ascii="宋体" w:hAnsi="宋体" w:eastAsia="宋体" w:cs="宋体"/>
          <w:color w:val="auto"/>
          <w:sz w:val="24"/>
          <w:szCs w:val="24"/>
          <w:highlight w:val="none"/>
          <w:lang w:val="en-US" w:eastAsia="zh-CN"/>
        </w:rPr>
        <w:t>及特定资质</w:t>
      </w:r>
      <w:r>
        <w:rPr>
          <w:rFonts w:hint="eastAsia" w:ascii="宋体" w:hAnsi="宋体" w:eastAsia="宋体" w:cs="宋体"/>
          <w:color w:val="auto"/>
          <w:sz w:val="24"/>
          <w:szCs w:val="24"/>
          <w:highlight w:val="none"/>
        </w:rPr>
        <w:t>，排名第一的中标候选人为中标人。</w:t>
      </w:r>
    </w:p>
    <w:p w14:paraId="38F936AE">
      <w:pPr>
        <w:pStyle w:val="17"/>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27.招标终止</w:t>
      </w:r>
    </w:p>
    <w:p w14:paraId="715C523F">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27.1出现下列情形之一的，招标人或者招标代理机构应当终止招标采购活动，在财政部门指定的媒体上发布项目终止公告并说明原因，重新开展采购活动： </w:t>
      </w:r>
    </w:p>
    <w:p w14:paraId="2308FFEB">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（1）因情况变化，不再符合规定的招标采购方式适用情形的；</w:t>
      </w:r>
    </w:p>
    <w:p w14:paraId="6B852C64">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553522FE">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（3）已确定中标人但尚未签订政府采购合同的，中标结果无效，从合格的中标候选人中另行确定中标人；没有合格的中标候选人的；</w:t>
      </w:r>
    </w:p>
    <w:p w14:paraId="61D04936">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（4）政府采购合同已签订但尚未履行的，撤销合同，从合格的投标人中另行确定中标人，没有合格的中标人的；</w:t>
      </w:r>
    </w:p>
    <w:p w14:paraId="7ADE2D41">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（5）因重大变故，采购任务取消的。</w:t>
      </w:r>
    </w:p>
    <w:p w14:paraId="09E85268">
      <w:pPr>
        <w:pStyle w:val="17"/>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28．重新评审</w:t>
      </w:r>
    </w:p>
    <w:p w14:paraId="6043670E">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除资格性审查认定错误和价格计算错误外，招标人或者招标代理机构不能以任何理由组织重新评审。招标人、招标代理机构发现评标委员会未按照招标文件规定的评标标准进行评审的，应当重新开展采购活动，并同时书面报告本级财政部门。</w:t>
      </w:r>
    </w:p>
    <w:p w14:paraId="7511439C">
      <w:pPr>
        <w:pStyle w:val="17"/>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29.纪律与保密事项</w:t>
      </w:r>
    </w:p>
    <w:p w14:paraId="6EE3E7B5">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29.1评标委员会成员以及与评标工作有关的人员不得泄露评审情况以及评标过程中获悉的国家秘密、商业秘密。</w:t>
      </w:r>
    </w:p>
    <w:p w14:paraId="4483E596">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投标人不得与招标人、招标代理机构、其他投标人恶意串通；不得向招标人、招标代理机构或者评标委员会成员行贿或者提供其他不正当利益；不得提供虚假材料谋取中标；不得以任何方式干扰、影响采购工作。</w:t>
      </w:r>
    </w:p>
    <w:p w14:paraId="2EFBB5B6">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29.3有下列情形之一的，属于恶意串通，中标无效，并依照《政府采购法》第七十七条的规定追究法律责任：</w:t>
      </w:r>
    </w:p>
    <w:p w14:paraId="420A5A8B">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（1）投标人直接或者间接从招标人、招标代理机构获得其他投标人的投标情况，并修改其投标文件的；</w:t>
      </w:r>
    </w:p>
    <w:p w14:paraId="7CC6825B">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（2）招标人、招标代理机构授意投标人撤换、修改投标文件的；</w:t>
      </w:r>
    </w:p>
    <w:p w14:paraId="587DD956">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（3）投标人之间协商技术方案、合同条款以及报价等投标文件实质性内容的；</w:t>
      </w:r>
    </w:p>
    <w:p w14:paraId="3C44B262">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（4）属于同一集团、协会、商会等组织成员的投标人按照该组织要求协同参加政府采购活动的；</w:t>
      </w:r>
    </w:p>
    <w:p w14:paraId="7C7CEFE3">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（5）投标人之间事先约定由某一特定投标人中标的；</w:t>
      </w:r>
    </w:p>
    <w:p w14:paraId="2CA987C8">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（6）投标人之间商定部分投标人放弃提交投标文件或者退出招标或者放弃中标的；</w:t>
      </w:r>
    </w:p>
    <w:p w14:paraId="483089D9">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（7）投标人与招标人、招标代理机构以及评标委员会成员之间、投标人相互之间，为谋求特定投标人中标或者排斥其他投标人的其他串通行为的。</w:t>
      </w:r>
    </w:p>
    <w:p w14:paraId="04A6CD0F">
      <w:pPr>
        <w:pStyle w:val="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（8）法律、行政法规或规章规定的其他串通行为。</w:t>
      </w:r>
    </w:p>
    <w:bookmarkEnd w:id="16"/>
    <w:bookmarkEnd w:id="17"/>
    <w:p w14:paraId="5C45F60A">
      <w:pPr>
        <w:pStyle w:val="17"/>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Times New Roman" w:hAnsi="Times New Roman" w:cs="Times New Roman"/>
          <w:b/>
          <w:bCs/>
          <w:color w:val="auto"/>
          <w:sz w:val="36"/>
          <w:szCs w:val="36"/>
          <w:highlight w:val="none"/>
        </w:rPr>
      </w:pPr>
      <w:bookmarkStart w:id="30" w:name="_Toc25816"/>
      <w:bookmarkStart w:id="31" w:name="_Toc15064"/>
      <w:bookmarkStart w:id="32" w:name="_Toc16048"/>
      <w:r>
        <w:rPr>
          <w:rFonts w:hint="eastAsia" w:ascii="Times New Roman" w:hAnsi="Times New Roman" w:cs="Times New Roman"/>
          <w:b/>
          <w:bCs/>
          <w:color w:val="auto"/>
          <w:sz w:val="36"/>
          <w:szCs w:val="36"/>
          <w:highlight w:val="none"/>
        </w:rPr>
        <w:t>第三</w:t>
      </w:r>
      <w:r>
        <w:rPr>
          <w:rFonts w:hint="eastAsia" w:ascii="Times New Roman" w:hAnsi="Times New Roman" w:cs="Times New Roman"/>
          <w:b/>
          <w:bCs/>
          <w:color w:val="auto"/>
          <w:sz w:val="36"/>
          <w:szCs w:val="36"/>
          <w:highlight w:val="none"/>
          <w:lang w:val="en-US" w:eastAsia="zh-CN"/>
        </w:rPr>
        <w:t>章</w:t>
      </w:r>
      <w:r>
        <w:rPr>
          <w:rFonts w:hint="eastAsia" w:ascii="Times New Roman" w:hAnsi="Times New Roman" w:cs="Times New Roman"/>
          <w:b/>
          <w:bCs/>
          <w:color w:val="auto"/>
          <w:sz w:val="36"/>
          <w:szCs w:val="36"/>
          <w:highlight w:val="none"/>
        </w:rPr>
        <w:t xml:space="preserve">  </w:t>
      </w:r>
      <w:bookmarkStart w:id="33" w:name="EB24095aed30e8447c97a82272874e1305"/>
      <w:r>
        <w:rPr>
          <w:rFonts w:hint="eastAsia" w:ascii="Times New Roman" w:hAnsi="Times New Roman" w:cs="Times New Roman"/>
          <w:b/>
          <w:bCs/>
          <w:color w:val="auto"/>
          <w:sz w:val="36"/>
          <w:szCs w:val="36"/>
          <w:highlight w:val="none"/>
        </w:rPr>
        <w:t xml:space="preserve"> 评审方法（综合评分法）</w:t>
      </w:r>
      <w:bookmarkEnd w:id="30"/>
      <w:bookmarkEnd w:id="31"/>
      <w:bookmarkEnd w:id="32"/>
    </w:p>
    <w:p w14:paraId="49A6AE67">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82" w:firstLineChars="200"/>
        <w:textAlignment w:val="auto"/>
        <w:outlineLvl w:val="1"/>
        <w:rPr>
          <w:rFonts w:hint="eastAsia" w:ascii="宋体" w:hAnsi="宋体" w:eastAsia="宋体" w:cs="宋体"/>
          <w:b/>
          <w:color w:val="auto"/>
          <w:sz w:val="24"/>
          <w:szCs w:val="24"/>
          <w:highlight w:val="none"/>
        </w:rPr>
      </w:pPr>
      <w:bookmarkStart w:id="34" w:name="_Toc22985"/>
      <w:r>
        <w:rPr>
          <w:rFonts w:hint="eastAsia" w:ascii="宋体" w:hAnsi="宋体" w:eastAsia="宋体" w:cs="宋体"/>
          <w:b/>
          <w:bCs/>
          <w:color w:val="auto"/>
          <w:sz w:val="24"/>
          <w:szCs w:val="24"/>
          <w:highlight w:val="none"/>
        </w:rPr>
        <w:t>一、</w:t>
      </w:r>
      <w:r>
        <w:rPr>
          <w:rFonts w:hint="eastAsia" w:ascii="宋体" w:hAnsi="宋体" w:eastAsia="宋体" w:cs="宋体"/>
          <w:b/>
          <w:color w:val="auto"/>
          <w:sz w:val="24"/>
          <w:szCs w:val="24"/>
          <w:highlight w:val="none"/>
        </w:rPr>
        <w:t>总则</w:t>
      </w:r>
      <w:bookmarkEnd w:id="34"/>
    </w:p>
    <w:p w14:paraId="3C4F9B89">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1.评标委员会</w:t>
      </w:r>
    </w:p>
    <w:p w14:paraId="2948CC5F">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1.1评标由依法组成的评标委员会负责。</w:t>
      </w:r>
    </w:p>
    <w:p w14:paraId="0CED99D8">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color w:val="auto"/>
          <w:sz w:val="24"/>
          <w:szCs w:val="24"/>
          <w:highlight w:val="none"/>
        </w:rPr>
        <w:t>评标方法</w:t>
      </w:r>
    </w:p>
    <w:p w14:paraId="53D0276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2.1评标方法：综合评分法，即投标文件能够最大限度的满足招标文件规定的各项综合评价标准且经评审得分最高的投标人为中标候选人的评标方法。</w:t>
      </w:r>
    </w:p>
    <w:p w14:paraId="1D9C316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Cs/>
          <w:color w:val="auto"/>
          <w:sz w:val="24"/>
          <w:szCs w:val="24"/>
          <w:highlight w:val="none"/>
        </w:rPr>
        <w:t>2.2本招标项目</w:t>
      </w:r>
      <w:r>
        <w:rPr>
          <w:rFonts w:hint="eastAsia" w:ascii="宋体" w:hAnsi="宋体" w:eastAsia="宋体" w:cs="宋体"/>
          <w:color w:val="auto"/>
          <w:sz w:val="24"/>
          <w:szCs w:val="24"/>
          <w:highlight w:val="none"/>
        </w:rPr>
        <w:t>的评标因素：价格、技术、财务状况、信誉、业绩、服务、对招标文件的响应程度，以及相应的比重或者权值等，但不包括第二章“投标须知”第3.1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规定的投标人资格条件。</w:t>
      </w:r>
    </w:p>
    <w:p w14:paraId="1768C5D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right="0" w:rightChars="0" w:firstLine="482" w:firstLineChars="200"/>
        <w:textAlignment w:val="auto"/>
        <w:outlineLvl w:val="1"/>
        <w:rPr>
          <w:rFonts w:hint="eastAsia" w:ascii="宋体" w:hAnsi="宋体" w:eastAsia="宋体" w:cs="宋体"/>
          <w:b/>
          <w:color w:val="auto"/>
          <w:kern w:val="0"/>
          <w:sz w:val="24"/>
          <w:szCs w:val="24"/>
          <w:highlight w:val="none"/>
        </w:rPr>
      </w:pPr>
      <w:bookmarkStart w:id="35" w:name="_Toc27626"/>
      <w:r>
        <w:rPr>
          <w:rFonts w:hint="eastAsia" w:ascii="宋体" w:hAnsi="宋体" w:eastAsia="宋体" w:cs="宋体"/>
          <w:b/>
          <w:color w:val="auto"/>
          <w:kern w:val="0"/>
          <w:sz w:val="24"/>
          <w:szCs w:val="24"/>
          <w:highlight w:val="none"/>
        </w:rPr>
        <w:t>二、评标程序</w:t>
      </w:r>
      <w:bookmarkEnd w:id="35"/>
    </w:p>
    <w:p w14:paraId="054E65BF">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3.投标文件的初步</w:t>
      </w:r>
      <w:r>
        <w:rPr>
          <w:rFonts w:hint="eastAsia" w:ascii="宋体" w:hAnsi="宋体" w:eastAsia="宋体" w:cs="宋体"/>
          <w:b/>
          <w:color w:val="auto"/>
          <w:sz w:val="24"/>
          <w:szCs w:val="24"/>
          <w:highlight w:val="none"/>
        </w:rPr>
        <w:t>评审</w:t>
      </w:r>
    </w:p>
    <w:p w14:paraId="3D9E265E">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3.1初步评审分为资格性检查和符合性检查。</w:t>
      </w:r>
    </w:p>
    <w:p w14:paraId="4EF23B81">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资格性检查。根据法律法规和招标文件的规定，对投标文件中的资格证明、投标保证金等进行审查，以确定投标人是否具备投标资格。</w:t>
      </w:r>
    </w:p>
    <w:p w14:paraId="06637F3C">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符合性检查。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14:paraId="51C7FE2E">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3.1.3投标人不得通过修正或撤销不合要求的偏离从而使其投标成为实质上响应的投标。</w:t>
      </w:r>
    </w:p>
    <w:p w14:paraId="4E310C45">
      <w:pPr>
        <w:pStyle w:val="36"/>
        <w:outlineLvl w:val="9"/>
        <w:rPr>
          <w:rFonts w:hint="eastAsia" w:ascii="仿宋" w:hAnsi="仿宋" w:eastAsia="仿宋"/>
          <w:color w:val="auto"/>
          <w:sz w:val="24"/>
          <w:szCs w:val="24"/>
          <w:highlight w:val="none"/>
        </w:rPr>
      </w:pPr>
    </w:p>
    <w:p w14:paraId="0E8DDFA0">
      <w:pPr>
        <w:pStyle w:val="4"/>
        <w:outlineLvl w:val="9"/>
        <w:rPr>
          <w:rFonts w:hint="eastAsia" w:ascii="仿宋" w:hAnsi="仿宋" w:eastAsia="仿宋"/>
          <w:color w:val="auto"/>
          <w:sz w:val="24"/>
          <w:szCs w:val="24"/>
          <w:highlight w:val="none"/>
        </w:rPr>
      </w:pPr>
    </w:p>
    <w:p w14:paraId="6CA6FC3A">
      <w:pPr>
        <w:rPr>
          <w:rFonts w:hint="eastAsia" w:ascii="仿宋" w:hAnsi="仿宋" w:eastAsia="仿宋"/>
          <w:color w:val="auto"/>
          <w:sz w:val="24"/>
          <w:szCs w:val="24"/>
          <w:highlight w:val="none"/>
        </w:rPr>
      </w:pPr>
    </w:p>
    <w:p w14:paraId="502FE663">
      <w:pPr>
        <w:rPr>
          <w:rFonts w:hint="eastAsia" w:ascii="仿宋" w:hAnsi="仿宋" w:eastAsia="仿宋"/>
          <w:color w:val="auto"/>
          <w:sz w:val="24"/>
          <w:szCs w:val="24"/>
          <w:highlight w:val="none"/>
        </w:rPr>
      </w:pPr>
    </w:p>
    <w:p w14:paraId="07770D1C">
      <w:pPr>
        <w:rPr>
          <w:rFonts w:hint="eastAsia" w:ascii="仿宋" w:hAnsi="仿宋" w:eastAsia="仿宋"/>
          <w:color w:val="auto"/>
          <w:sz w:val="24"/>
          <w:szCs w:val="24"/>
          <w:highlight w:val="none"/>
        </w:rPr>
      </w:pPr>
    </w:p>
    <w:p w14:paraId="110C4778">
      <w:pPr>
        <w:rPr>
          <w:rFonts w:hint="eastAsia" w:ascii="仿宋" w:hAnsi="仿宋" w:eastAsia="仿宋"/>
          <w:color w:val="auto"/>
          <w:sz w:val="24"/>
          <w:szCs w:val="24"/>
          <w:highlight w:val="none"/>
        </w:rPr>
      </w:pPr>
    </w:p>
    <w:p w14:paraId="1CBDFCD3">
      <w:pPr>
        <w:rPr>
          <w:rFonts w:hint="eastAsia" w:ascii="仿宋" w:hAnsi="仿宋" w:eastAsia="仿宋"/>
          <w:color w:val="auto"/>
          <w:sz w:val="24"/>
          <w:szCs w:val="24"/>
          <w:highlight w:val="none"/>
        </w:rPr>
      </w:pPr>
    </w:p>
    <w:p w14:paraId="2FD9EC0B">
      <w:pPr>
        <w:rPr>
          <w:rFonts w:hint="eastAsia" w:ascii="仿宋" w:hAnsi="仿宋" w:eastAsia="仿宋"/>
          <w:color w:val="auto"/>
          <w:sz w:val="24"/>
          <w:szCs w:val="24"/>
          <w:highlight w:val="none"/>
        </w:rPr>
      </w:pPr>
    </w:p>
    <w:p w14:paraId="4C7EA1F7">
      <w:pPr>
        <w:rPr>
          <w:rFonts w:hint="eastAsia" w:ascii="仿宋" w:hAnsi="仿宋" w:eastAsia="仿宋"/>
          <w:color w:val="auto"/>
          <w:sz w:val="24"/>
          <w:szCs w:val="24"/>
          <w:highlight w:val="none"/>
        </w:rPr>
      </w:pPr>
    </w:p>
    <w:p w14:paraId="3EF3ED16">
      <w:pPr>
        <w:rPr>
          <w:rFonts w:hint="eastAsia" w:ascii="仿宋" w:hAnsi="仿宋" w:eastAsia="仿宋"/>
          <w:color w:val="auto"/>
          <w:sz w:val="24"/>
          <w:szCs w:val="24"/>
          <w:highlight w:val="none"/>
        </w:rPr>
      </w:pPr>
    </w:p>
    <w:p w14:paraId="11F74FEB">
      <w:pPr>
        <w:pStyle w:val="36"/>
        <w:outlineLvl w:val="9"/>
        <w:rPr>
          <w:rFonts w:hint="eastAsia"/>
          <w:color w:val="auto"/>
          <w:highlight w:val="none"/>
        </w:rPr>
      </w:pPr>
    </w:p>
    <w:tbl>
      <w:tblPr>
        <w:tblStyle w:val="25"/>
        <w:tblpPr w:leftFromText="180" w:rightFromText="180" w:vertAnchor="text" w:horzAnchor="page" w:tblpX="1541" w:tblpY="206"/>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20"/>
        <w:gridCol w:w="5648"/>
        <w:gridCol w:w="690"/>
        <w:gridCol w:w="915"/>
      </w:tblGrid>
      <w:tr w14:paraId="4899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547" w:type="dxa"/>
            <w:noWrap w:val="0"/>
            <w:vAlign w:val="center"/>
          </w:tcPr>
          <w:p w14:paraId="5DA58968">
            <w:pPr>
              <w:autoSpaceDE w:val="0"/>
              <w:autoSpaceDN w:val="0"/>
              <w:ind w:left="105" w:hanging="105"/>
              <w:jc w:val="center"/>
              <w:rPr>
                <w:color w:val="auto"/>
                <w:szCs w:val="21"/>
                <w:highlight w:val="none"/>
              </w:rPr>
            </w:pPr>
            <w:r>
              <w:rPr>
                <w:color w:val="auto"/>
                <w:szCs w:val="21"/>
                <w:highlight w:val="none"/>
              </w:rPr>
              <w:t>项目</w:t>
            </w:r>
          </w:p>
        </w:tc>
        <w:tc>
          <w:tcPr>
            <w:tcW w:w="1620" w:type="dxa"/>
            <w:vMerge w:val="restart"/>
            <w:noWrap w:val="0"/>
            <w:vAlign w:val="center"/>
          </w:tcPr>
          <w:p w14:paraId="0132577A">
            <w:pPr>
              <w:autoSpaceDE w:val="0"/>
              <w:autoSpaceDN w:val="0"/>
              <w:ind w:left="105" w:hanging="105"/>
              <w:jc w:val="center"/>
              <w:rPr>
                <w:rFonts w:hint="default" w:eastAsia="宋体"/>
                <w:color w:val="auto"/>
                <w:szCs w:val="21"/>
                <w:highlight w:val="none"/>
                <w:lang w:val="en-US" w:eastAsia="zh-CN"/>
              </w:rPr>
            </w:pPr>
            <w:r>
              <w:rPr>
                <w:rFonts w:hint="eastAsia"/>
                <w:color w:val="auto"/>
                <w:szCs w:val="21"/>
                <w:highlight w:val="none"/>
                <w:lang w:val="en-US" w:eastAsia="zh-CN"/>
              </w:rPr>
              <w:t>评审因素</w:t>
            </w:r>
          </w:p>
        </w:tc>
        <w:tc>
          <w:tcPr>
            <w:tcW w:w="5648" w:type="dxa"/>
            <w:vMerge w:val="restart"/>
            <w:noWrap w:val="0"/>
            <w:vAlign w:val="center"/>
          </w:tcPr>
          <w:p w14:paraId="62B3597B">
            <w:pPr>
              <w:autoSpaceDE w:val="0"/>
              <w:autoSpaceDN w:val="0"/>
              <w:ind w:left="105" w:hanging="105"/>
              <w:jc w:val="center"/>
              <w:rPr>
                <w:rFonts w:hint="eastAsia" w:eastAsia="宋体"/>
                <w:color w:val="auto"/>
                <w:szCs w:val="21"/>
                <w:highlight w:val="none"/>
                <w:lang w:eastAsia="zh-CN"/>
              </w:rPr>
            </w:pPr>
            <w:r>
              <w:rPr>
                <w:color w:val="auto"/>
                <w:szCs w:val="21"/>
                <w:highlight w:val="none"/>
              </w:rPr>
              <w:t>评审</w:t>
            </w:r>
            <w:r>
              <w:rPr>
                <w:rFonts w:hint="eastAsia"/>
                <w:color w:val="auto"/>
                <w:szCs w:val="21"/>
                <w:highlight w:val="none"/>
                <w:lang w:val="en-US" w:eastAsia="zh-CN"/>
              </w:rPr>
              <w:t>标准</w:t>
            </w:r>
          </w:p>
        </w:tc>
        <w:tc>
          <w:tcPr>
            <w:tcW w:w="1605" w:type="dxa"/>
            <w:gridSpan w:val="2"/>
            <w:noWrap w:val="0"/>
            <w:vAlign w:val="center"/>
          </w:tcPr>
          <w:p w14:paraId="7C654A4D">
            <w:pPr>
              <w:autoSpaceDE w:val="0"/>
              <w:autoSpaceDN w:val="0"/>
              <w:ind w:left="105" w:hanging="105"/>
              <w:jc w:val="center"/>
              <w:rPr>
                <w:color w:val="auto"/>
                <w:szCs w:val="21"/>
                <w:highlight w:val="none"/>
              </w:rPr>
            </w:pPr>
            <w:r>
              <w:rPr>
                <w:color w:val="auto"/>
                <w:szCs w:val="21"/>
                <w:highlight w:val="none"/>
              </w:rPr>
              <w:t>评审方法</w:t>
            </w:r>
          </w:p>
        </w:tc>
      </w:tr>
      <w:tr w14:paraId="3853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7" w:type="dxa"/>
            <w:vMerge w:val="restart"/>
            <w:noWrap w:val="0"/>
            <w:vAlign w:val="center"/>
          </w:tcPr>
          <w:p w14:paraId="1CF3C250">
            <w:pPr>
              <w:autoSpaceDE w:val="0"/>
              <w:autoSpaceDN w:val="0"/>
              <w:ind w:left="105" w:hanging="105"/>
              <w:jc w:val="center"/>
              <w:rPr>
                <w:color w:val="auto"/>
                <w:szCs w:val="21"/>
                <w:highlight w:val="none"/>
              </w:rPr>
            </w:pPr>
            <w:r>
              <w:rPr>
                <w:rFonts w:hint="eastAsia"/>
                <w:color w:val="auto"/>
                <w:szCs w:val="21"/>
                <w:highlight w:val="none"/>
              </w:rPr>
              <w:t>资</w:t>
            </w:r>
          </w:p>
          <w:p w14:paraId="6FBF7F09">
            <w:pPr>
              <w:autoSpaceDE w:val="0"/>
              <w:autoSpaceDN w:val="0"/>
              <w:ind w:left="105" w:hanging="105"/>
              <w:jc w:val="center"/>
              <w:rPr>
                <w:color w:val="auto"/>
                <w:szCs w:val="21"/>
                <w:highlight w:val="none"/>
              </w:rPr>
            </w:pPr>
            <w:r>
              <w:rPr>
                <w:rFonts w:hint="eastAsia"/>
                <w:color w:val="auto"/>
                <w:szCs w:val="21"/>
                <w:highlight w:val="none"/>
              </w:rPr>
              <w:t>格</w:t>
            </w:r>
          </w:p>
          <w:p w14:paraId="4A5A5C53">
            <w:pPr>
              <w:autoSpaceDE w:val="0"/>
              <w:autoSpaceDN w:val="0"/>
              <w:ind w:left="105" w:hanging="105"/>
              <w:jc w:val="center"/>
              <w:rPr>
                <w:color w:val="auto"/>
                <w:szCs w:val="21"/>
                <w:highlight w:val="none"/>
              </w:rPr>
            </w:pPr>
            <w:r>
              <w:rPr>
                <w:rFonts w:hint="eastAsia"/>
                <w:color w:val="auto"/>
                <w:szCs w:val="21"/>
                <w:highlight w:val="none"/>
              </w:rPr>
              <w:t>审</w:t>
            </w:r>
          </w:p>
          <w:p w14:paraId="27F3A916">
            <w:pPr>
              <w:autoSpaceDE w:val="0"/>
              <w:autoSpaceDN w:val="0"/>
              <w:ind w:left="105" w:hanging="105"/>
              <w:jc w:val="center"/>
              <w:rPr>
                <w:color w:val="auto"/>
                <w:szCs w:val="21"/>
                <w:highlight w:val="none"/>
              </w:rPr>
            </w:pPr>
            <w:r>
              <w:rPr>
                <w:rFonts w:hint="eastAsia"/>
                <w:color w:val="auto"/>
                <w:szCs w:val="21"/>
                <w:highlight w:val="none"/>
              </w:rPr>
              <w:t>查</w:t>
            </w:r>
          </w:p>
        </w:tc>
        <w:tc>
          <w:tcPr>
            <w:tcW w:w="1620" w:type="dxa"/>
            <w:vMerge w:val="continue"/>
            <w:noWrap w:val="0"/>
            <w:vAlign w:val="center"/>
          </w:tcPr>
          <w:p w14:paraId="218969D2">
            <w:pPr>
              <w:autoSpaceDE w:val="0"/>
              <w:autoSpaceDN w:val="0"/>
              <w:ind w:left="105" w:hanging="105"/>
              <w:jc w:val="center"/>
              <w:rPr>
                <w:color w:val="auto"/>
                <w:szCs w:val="21"/>
                <w:highlight w:val="none"/>
              </w:rPr>
            </w:pPr>
          </w:p>
        </w:tc>
        <w:tc>
          <w:tcPr>
            <w:tcW w:w="5648" w:type="dxa"/>
            <w:vMerge w:val="continue"/>
            <w:noWrap w:val="0"/>
            <w:vAlign w:val="center"/>
          </w:tcPr>
          <w:p w14:paraId="6EF4228F">
            <w:pPr>
              <w:autoSpaceDE w:val="0"/>
              <w:autoSpaceDN w:val="0"/>
              <w:ind w:left="105" w:hanging="105"/>
              <w:rPr>
                <w:color w:val="auto"/>
                <w:szCs w:val="21"/>
                <w:highlight w:val="none"/>
              </w:rPr>
            </w:pPr>
          </w:p>
        </w:tc>
        <w:tc>
          <w:tcPr>
            <w:tcW w:w="690" w:type="dxa"/>
            <w:noWrap w:val="0"/>
            <w:vAlign w:val="center"/>
          </w:tcPr>
          <w:p w14:paraId="042F0F2C">
            <w:pPr>
              <w:autoSpaceDE w:val="0"/>
              <w:autoSpaceDN w:val="0"/>
              <w:ind w:left="105" w:hanging="105"/>
              <w:jc w:val="center"/>
              <w:rPr>
                <w:color w:val="auto"/>
                <w:szCs w:val="21"/>
                <w:highlight w:val="none"/>
              </w:rPr>
            </w:pPr>
            <w:r>
              <w:rPr>
                <w:rFonts w:hint="eastAsia"/>
                <w:color w:val="auto"/>
                <w:szCs w:val="21"/>
                <w:highlight w:val="none"/>
              </w:rPr>
              <w:t>通过</w:t>
            </w:r>
          </w:p>
        </w:tc>
        <w:tc>
          <w:tcPr>
            <w:tcW w:w="915" w:type="dxa"/>
            <w:noWrap w:val="0"/>
            <w:vAlign w:val="center"/>
          </w:tcPr>
          <w:p w14:paraId="33D1F4E1">
            <w:pPr>
              <w:autoSpaceDE w:val="0"/>
              <w:autoSpaceDN w:val="0"/>
              <w:ind w:left="105" w:hanging="105"/>
              <w:jc w:val="center"/>
              <w:rPr>
                <w:color w:val="auto"/>
                <w:szCs w:val="21"/>
                <w:highlight w:val="none"/>
              </w:rPr>
            </w:pPr>
            <w:r>
              <w:rPr>
                <w:rFonts w:hint="eastAsia"/>
                <w:color w:val="auto"/>
                <w:szCs w:val="21"/>
                <w:highlight w:val="none"/>
              </w:rPr>
              <w:t>不通过</w:t>
            </w:r>
          </w:p>
        </w:tc>
      </w:tr>
      <w:tr w14:paraId="737F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547" w:type="dxa"/>
            <w:vMerge w:val="continue"/>
            <w:noWrap w:val="0"/>
            <w:vAlign w:val="center"/>
          </w:tcPr>
          <w:p w14:paraId="4409C452">
            <w:pPr>
              <w:autoSpaceDE w:val="0"/>
              <w:autoSpaceDN w:val="0"/>
              <w:ind w:left="105" w:hanging="105"/>
              <w:jc w:val="center"/>
              <w:rPr>
                <w:color w:val="auto"/>
                <w:szCs w:val="21"/>
                <w:highlight w:val="none"/>
              </w:rPr>
            </w:pPr>
          </w:p>
        </w:tc>
        <w:tc>
          <w:tcPr>
            <w:tcW w:w="1620" w:type="dxa"/>
            <w:noWrap w:val="0"/>
            <w:vAlign w:val="center"/>
          </w:tcPr>
          <w:p w14:paraId="66C30F60">
            <w:pPr>
              <w:jc w:val="center"/>
              <w:rPr>
                <w:rFonts w:hint="eastAsia" w:ascii="宋体" w:hAnsi="宋体" w:eastAsia="宋体" w:cs="宋体"/>
                <w:b w:val="0"/>
                <w:bCs w:val="0"/>
                <w:color w:val="auto"/>
                <w:kern w:val="2"/>
                <w:sz w:val="21"/>
                <w:szCs w:val="21"/>
                <w:highlight w:val="none"/>
                <w:lang w:val="en-US" w:eastAsia="zh-CN" w:bidi="ar-SA"/>
              </w:rPr>
            </w:pPr>
            <w:r>
              <w:rPr>
                <w:rFonts w:hint="eastAsia"/>
                <w:color w:val="auto"/>
                <w:highlight w:val="none"/>
              </w:rPr>
              <w:t>有效的营业执照</w:t>
            </w:r>
          </w:p>
        </w:tc>
        <w:tc>
          <w:tcPr>
            <w:tcW w:w="5648" w:type="dxa"/>
            <w:noWrap w:val="0"/>
            <w:vAlign w:val="center"/>
          </w:tcPr>
          <w:p w14:paraId="0D4DA2C8">
            <w:pPr>
              <w:keepNext w:val="0"/>
              <w:keepLines w:val="0"/>
              <w:widowControl/>
              <w:suppressLineNumbers w:val="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具有独立承担民事责任的能力；（提供有效的营业执照）；</w:t>
            </w:r>
          </w:p>
        </w:tc>
        <w:tc>
          <w:tcPr>
            <w:tcW w:w="690" w:type="dxa"/>
            <w:noWrap w:val="0"/>
            <w:vAlign w:val="top"/>
          </w:tcPr>
          <w:p w14:paraId="7C2C9046">
            <w:pPr>
              <w:autoSpaceDE w:val="0"/>
              <w:autoSpaceDN w:val="0"/>
              <w:ind w:left="105" w:hanging="105"/>
              <w:jc w:val="left"/>
              <w:rPr>
                <w:color w:val="auto"/>
                <w:szCs w:val="21"/>
                <w:highlight w:val="none"/>
              </w:rPr>
            </w:pPr>
          </w:p>
        </w:tc>
        <w:tc>
          <w:tcPr>
            <w:tcW w:w="915" w:type="dxa"/>
            <w:noWrap w:val="0"/>
            <w:vAlign w:val="top"/>
          </w:tcPr>
          <w:p w14:paraId="130DDCA3">
            <w:pPr>
              <w:autoSpaceDE w:val="0"/>
              <w:autoSpaceDN w:val="0"/>
              <w:ind w:left="105" w:hanging="105"/>
              <w:jc w:val="left"/>
              <w:rPr>
                <w:color w:val="auto"/>
                <w:szCs w:val="21"/>
                <w:highlight w:val="none"/>
              </w:rPr>
            </w:pPr>
          </w:p>
        </w:tc>
      </w:tr>
      <w:tr w14:paraId="49E8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547" w:type="dxa"/>
            <w:vMerge w:val="continue"/>
            <w:noWrap w:val="0"/>
            <w:vAlign w:val="center"/>
          </w:tcPr>
          <w:p w14:paraId="57C09454">
            <w:pPr>
              <w:autoSpaceDE w:val="0"/>
              <w:autoSpaceDN w:val="0"/>
              <w:ind w:left="105" w:hanging="105"/>
              <w:jc w:val="center"/>
              <w:rPr>
                <w:color w:val="auto"/>
                <w:szCs w:val="21"/>
                <w:highlight w:val="none"/>
              </w:rPr>
            </w:pPr>
          </w:p>
        </w:tc>
        <w:tc>
          <w:tcPr>
            <w:tcW w:w="1620" w:type="dxa"/>
            <w:noWrap w:val="0"/>
            <w:vAlign w:val="center"/>
          </w:tcPr>
          <w:p w14:paraId="4FA48464">
            <w:pPr>
              <w:jc w:val="center"/>
              <w:rPr>
                <w:color w:val="auto"/>
                <w:szCs w:val="21"/>
                <w:highlight w:val="none"/>
              </w:rPr>
            </w:pPr>
            <w:r>
              <w:rPr>
                <w:rFonts w:hint="eastAsia"/>
                <w:color w:val="auto"/>
                <w:highlight w:val="none"/>
                <w:lang w:val="en-US" w:eastAsia="zh-CN"/>
              </w:rPr>
              <w:t>财务报告</w:t>
            </w:r>
          </w:p>
        </w:tc>
        <w:tc>
          <w:tcPr>
            <w:tcW w:w="5648" w:type="dxa"/>
            <w:noWrap w:val="0"/>
            <w:vAlign w:val="center"/>
          </w:tcPr>
          <w:p w14:paraId="28CA0C15">
            <w:pPr>
              <w:pStyle w:val="69"/>
              <w:pageBreakBefore w:val="0"/>
              <w:kinsoku/>
              <w:wordWrap/>
              <w:topLinePunct w:val="0"/>
              <w:bidi w:val="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具有良好的商业信誉和健全的财务会计制度（须提供2024年或2025年度财务审计报告或财务报表，新成立不足一年的公司需提供成立至今的财务报表)；</w:t>
            </w:r>
          </w:p>
        </w:tc>
        <w:tc>
          <w:tcPr>
            <w:tcW w:w="690" w:type="dxa"/>
            <w:noWrap w:val="0"/>
            <w:vAlign w:val="top"/>
          </w:tcPr>
          <w:p w14:paraId="28037A9E">
            <w:pPr>
              <w:autoSpaceDE w:val="0"/>
              <w:autoSpaceDN w:val="0"/>
              <w:ind w:left="105" w:hanging="105"/>
              <w:jc w:val="left"/>
              <w:rPr>
                <w:color w:val="auto"/>
                <w:szCs w:val="21"/>
                <w:highlight w:val="none"/>
              </w:rPr>
            </w:pPr>
          </w:p>
        </w:tc>
        <w:tc>
          <w:tcPr>
            <w:tcW w:w="915" w:type="dxa"/>
            <w:noWrap w:val="0"/>
            <w:vAlign w:val="top"/>
          </w:tcPr>
          <w:p w14:paraId="22C967D9">
            <w:pPr>
              <w:autoSpaceDE w:val="0"/>
              <w:autoSpaceDN w:val="0"/>
              <w:ind w:left="105" w:hanging="105"/>
              <w:jc w:val="left"/>
              <w:rPr>
                <w:color w:val="auto"/>
                <w:szCs w:val="21"/>
                <w:highlight w:val="none"/>
              </w:rPr>
            </w:pPr>
          </w:p>
        </w:tc>
      </w:tr>
      <w:tr w14:paraId="2AF4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547" w:type="dxa"/>
            <w:vMerge w:val="continue"/>
            <w:noWrap w:val="0"/>
            <w:vAlign w:val="center"/>
          </w:tcPr>
          <w:p w14:paraId="5691258F">
            <w:pPr>
              <w:autoSpaceDE w:val="0"/>
              <w:autoSpaceDN w:val="0"/>
              <w:ind w:left="105" w:hanging="105"/>
              <w:jc w:val="center"/>
              <w:rPr>
                <w:color w:val="auto"/>
                <w:szCs w:val="21"/>
                <w:highlight w:val="none"/>
              </w:rPr>
            </w:pPr>
          </w:p>
        </w:tc>
        <w:tc>
          <w:tcPr>
            <w:tcW w:w="1620" w:type="dxa"/>
            <w:noWrap w:val="0"/>
            <w:vAlign w:val="center"/>
          </w:tcPr>
          <w:p w14:paraId="699D2D0C">
            <w:pPr>
              <w:jc w:val="center"/>
              <w:rPr>
                <w:rFonts w:hint="eastAsia"/>
                <w:color w:val="auto"/>
                <w:szCs w:val="21"/>
                <w:highlight w:val="none"/>
              </w:rPr>
            </w:pPr>
            <w:r>
              <w:rPr>
                <w:rFonts w:hint="eastAsia"/>
                <w:color w:val="auto"/>
                <w:highlight w:val="none"/>
                <w:lang w:val="en-US" w:eastAsia="zh-CN"/>
              </w:rPr>
              <w:t>基本资质</w:t>
            </w:r>
          </w:p>
        </w:tc>
        <w:tc>
          <w:tcPr>
            <w:tcW w:w="5648" w:type="dxa"/>
            <w:noWrap w:val="0"/>
            <w:vAlign w:val="center"/>
          </w:tcPr>
          <w:p w14:paraId="2BDC1996">
            <w:pPr>
              <w:pStyle w:val="69"/>
              <w:pageBreakBefore w:val="0"/>
              <w:kinsoku/>
              <w:wordWrap/>
              <w:topLinePunct w:val="0"/>
              <w:bidi w:val="0"/>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具有履行合同所必需的设备和专业技术能力（须提供履行合同所必需的设备和专业技术能力的加盖公章的书面承诺函）；</w:t>
            </w:r>
          </w:p>
        </w:tc>
        <w:tc>
          <w:tcPr>
            <w:tcW w:w="690" w:type="dxa"/>
            <w:noWrap w:val="0"/>
            <w:vAlign w:val="top"/>
          </w:tcPr>
          <w:p w14:paraId="19028D5A">
            <w:pPr>
              <w:autoSpaceDE w:val="0"/>
              <w:autoSpaceDN w:val="0"/>
              <w:ind w:left="105" w:hanging="105"/>
              <w:jc w:val="left"/>
              <w:rPr>
                <w:color w:val="auto"/>
                <w:szCs w:val="21"/>
                <w:highlight w:val="none"/>
              </w:rPr>
            </w:pPr>
          </w:p>
        </w:tc>
        <w:tc>
          <w:tcPr>
            <w:tcW w:w="915" w:type="dxa"/>
            <w:noWrap w:val="0"/>
            <w:vAlign w:val="top"/>
          </w:tcPr>
          <w:p w14:paraId="5323D8EC">
            <w:pPr>
              <w:autoSpaceDE w:val="0"/>
              <w:autoSpaceDN w:val="0"/>
              <w:ind w:left="105" w:hanging="105"/>
              <w:jc w:val="left"/>
              <w:rPr>
                <w:color w:val="auto"/>
                <w:szCs w:val="21"/>
                <w:highlight w:val="none"/>
              </w:rPr>
            </w:pPr>
          </w:p>
        </w:tc>
      </w:tr>
      <w:tr w14:paraId="302C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547" w:type="dxa"/>
            <w:vMerge w:val="continue"/>
            <w:noWrap w:val="0"/>
            <w:vAlign w:val="center"/>
          </w:tcPr>
          <w:p w14:paraId="01826BC2">
            <w:pPr>
              <w:autoSpaceDE w:val="0"/>
              <w:autoSpaceDN w:val="0"/>
              <w:ind w:left="105" w:hanging="105"/>
              <w:jc w:val="center"/>
              <w:rPr>
                <w:color w:val="auto"/>
                <w:szCs w:val="21"/>
                <w:highlight w:val="none"/>
              </w:rPr>
            </w:pPr>
          </w:p>
        </w:tc>
        <w:tc>
          <w:tcPr>
            <w:tcW w:w="1620" w:type="dxa"/>
            <w:noWrap w:val="0"/>
            <w:vAlign w:val="center"/>
          </w:tcPr>
          <w:p w14:paraId="219922EE">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基本资质</w:t>
            </w:r>
          </w:p>
        </w:tc>
        <w:tc>
          <w:tcPr>
            <w:tcW w:w="5648" w:type="dxa"/>
            <w:noWrap w:val="0"/>
            <w:vAlign w:val="center"/>
          </w:tcPr>
          <w:p w14:paraId="6A6997CD">
            <w:pPr>
              <w:pStyle w:val="69"/>
              <w:pageBreakBefore w:val="0"/>
              <w:kinsoku/>
              <w:wordWrap/>
              <w:topLinePunct w:val="0"/>
              <w:bidi w:val="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有依法缴纳税收和社会保障资金的良好记录（提供参加本次政府采购活动前六个月内任意一个月的依法缴纳税收和社会保障资金的相关材料，依法免税或不需要缴纳的应提供相关证明材料）；</w:t>
            </w:r>
          </w:p>
        </w:tc>
        <w:tc>
          <w:tcPr>
            <w:tcW w:w="690" w:type="dxa"/>
            <w:noWrap w:val="0"/>
            <w:vAlign w:val="top"/>
          </w:tcPr>
          <w:p w14:paraId="47ED5FB9">
            <w:pPr>
              <w:autoSpaceDE w:val="0"/>
              <w:autoSpaceDN w:val="0"/>
              <w:ind w:left="105" w:hanging="105"/>
              <w:jc w:val="left"/>
              <w:rPr>
                <w:color w:val="auto"/>
                <w:szCs w:val="21"/>
                <w:highlight w:val="none"/>
              </w:rPr>
            </w:pPr>
          </w:p>
        </w:tc>
        <w:tc>
          <w:tcPr>
            <w:tcW w:w="915" w:type="dxa"/>
            <w:noWrap w:val="0"/>
            <w:vAlign w:val="top"/>
          </w:tcPr>
          <w:p w14:paraId="0E3A7521">
            <w:pPr>
              <w:autoSpaceDE w:val="0"/>
              <w:autoSpaceDN w:val="0"/>
              <w:ind w:left="105" w:hanging="105"/>
              <w:jc w:val="left"/>
              <w:rPr>
                <w:color w:val="auto"/>
                <w:szCs w:val="21"/>
                <w:highlight w:val="none"/>
              </w:rPr>
            </w:pPr>
          </w:p>
        </w:tc>
      </w:tr>
      <w:tr w14:paraId="1ED0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547" w:type="dxa"/>
            <w:vMerge w:val="continue"/>
            <w:noWrap w:val="0"/>
            <w:vAlign w:val="center"/>
          </w:tcPr>
          <w:p w14:paraId="56991C2D">
            <w:pPr>
              <w:autoSpaceDE w:val="0"/>
              <w:autoSpaceDN w:val="0"/>
              <w:ind w:left="105" w:hanging="105"/>
              <w:jc w:val="center"/>
              <w:rPr>
                <w:color w:val="auto"/>
                <w:szCs w:val="21"/>
                <w:highlight w:val="none"/>
              </w:rPr>
            </w:pPr>
          </w:p>
        </w:tc>
        <w:tc>
          <w:tcPr>
            <w:tcW w:w="1620" w:type="dxa"/>
            <w:noWrap w:val="0"/>
            <w:vAlign w:val="center"/>
          </w:tcPr>
          <w:p w14:paraId="6C52BF3E">
            <w:pPr>
              <w:jc w:val="center"/>
              <w:rPr>
                <w:rFonts w:hint="default" w:eastAsia="宋体"/>
                <w:color w:val="auto"/>
                <w:szCs w:val="21"/>
                <w:highlight w:val="none"/>
                <w:lang w:val="en-US" w:eastAsia="zh-CN"/>
              </w:rPr>
            </w:pPr>
            <w:r>
              <w:rPr>
                <w:rFonts w:hint="eastAsia"/>
                <w:color w:val="auto"/>
                <w:highlight w:val="none"/>
                <w:lang w:val="en-US" w:eastAsia="zh-CN"/>
              </w:rPr>
              <w:t>基本资质</w:t>
            </w:r>
          </w:p>
        </w:tc>
        <w:tc>
          <w:tcPr>
            <w:tcW w:w="5648" w:type="dxa"/>
            <w:noWrap w:val="0"/>
            <w:vAlign w:val="center"/>
          </w:tcPr>
          <w:p w14:paraId="06B62134">
            <w:pPr>
              <w:pStyle w:val="69"/>
              <w:pageBreakBefore w:val="0"/>
              <w:kinsoku/>
              <w:wordWrap/>
              <w:topLinePunct w:val="0"/>
              <w:bidi w:val="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提供参加本次政府采购活动前3年内在经营活动中没有重大违法记录的书面承诺函并加盖单位公章；</w:t>
            </w:r>
          </w:p>
        </w:tc>
        <w:tc>
          <w:tcPr>
            <w:tcW w:w="690" w:type="dxa"/>
            <w:noWrap w:val="0"/>
            <w:vAlign w:val="top"/>
          </w:tcPr>
          <w:p w14:paraId="3BEB91C5">
            <w:pPr>
              <w:autoSpaceDE w:val="0"/>
              <w:autoSpaceDN w:val="0"/>
              <w:ind w:left="105" w:hanging="105"/>
              <w:jc w:val="left"/>
              <w:rPr>
                <w:color w:val="auto"/>
                <w:szCs w:val="21"/>
                <w:highlight w:val="none"/>
              </w:rPr>
            </w:pPr>
          </w:p>
        </w:tc>
        <w:tc>
          <w:tcPr>
            <w:tcW w:w="915" w:type="dxa"/>
            <w:noWrap w:val="0"/>
            <w:vAlign w:val="top"/>
          </w:tcPr>
          <w:p w14:paraId="3D7508E8">
            <w:pPr>
              <w:autoSpaceDE w:val="0"/>
              <w:autoSpaceDN w:val="0"/>
              <w:ind w:left="105" w:hanging="105"/>
              <w:jc w:val="left"/>
              <w:rPr>
                <w:color w:val="auto"/>
                <w:szCs w:val="21"/>
                <w:highlight w:val="none"/>
              </w:rPr>
            </w:pPr>
          </w:p>
        </w:tc>
      </w:tr>
      <w:tr w14:paraId="587F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547" w:type="dxa"/>
            <w:vMerge w:val="continue"/>
            <w:noWrap w:val="0"/>
            <w:vAlign w:val="center"/>
          </w:tcPr>
          <w:p w14:paraId="1631BEF1">
            <w:pPr>
              <w:autoSpaceDE w:val="0"/>
              <w:autoSpaceDN w:val="0"/>
              <w:ind w:left="105" w:hanging="105"/>
              <w:jc w:val="center"/>
              <w:rPr>
                <w:rFonts w:hint="eastAsia" w:ascii="宋体" w:hAnsi="宋体" w:eastAsia="宋体" w:cs="宋体"/>
                <w:b w:val="0"/>
                <w:bCs w:val="0"/>
                <w:color w:val="auto"/>
                <w:sz w:val="21"/>
                <w:szCs w:val="21"/>
                <w:highlight w:val="none"/>
              </w:rPr>
            </w:pPr>
          </w:p>
        </w:tc>
        <w:tc>
          <w:tcPr>
            <w:tcW w:w="1620" w:type="dxa"/>
            <w:noWrap w:val="0"/>
            <w:vAlign w:val="center"/>
          </w:tcPr>
          <w:p w14:paraId="066F0000">
            <w:pPr>
              <w:jc w:val="center"/>
              <w:rPr>
                <w:color w:val="auto"/>
                <w:szCs w:val="21"/>
                <w:highlight w:val="none"/>
              </w:rPr>
            </w:pPr>
            <w:r>
              <w:rPr>
                <w:rFonts w:hint="eastAsia"/>
                <w:color w:val="auto"/>
                <w:highlight w:val="none"/>
                <w:lang w:val="en-US" w:eastAsia="zh-CN"/>
              </w:rPr>
              <w:t>基本资质</w:t>
            </w:r>
          </w:p>
        </w:tc>
        <w:tc>
          <w:tcPr>
            <w:tcW w:w="5648" w:type="dxa"/>
            <w:noWrap w:val="0"/>
            <w:vAlign w:val="center"/>
          </w:tcPr>
          <w:p w14:paraId="394A2F11">
            <w:pPr>
              <w:autoSpaceDE w:val="0"/>
              <w:autoSpaceDN w:val="0"/>
              <w:ind w:left="105" w:hanging="105"/>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“信用中国”网站（ www.creditchina.gov.cn）</w:t>
            </w:r>
            <w:r>
              <w:rPr>
                <w:rFonts w:hint="eastAsia" w:ascii="宋体" w:hAnsi="宋体" w:cs="宋体"/>
                <w:b w:val="0"/>
                <w:bCs w:val="0"/>
                <w:color w:val="auto"/>
                <w:kern w:val="2"/>
                <w:sz w:val="21"/>
                <w:szCs w:val="21"/>
                <w:highlight w:val="none"/>
                <w:lang w:val="en-US" w:eastAsia="zh-CN" w:bidi="ar-SA"/>
              </w:rPr>
              <w:t>未</w:t>
            </w:r>
            <w:r>
              <w:rPr>
                <w:rFonts w:hint="eastAsia" w:ascii="宋体" w:hAnsi="宋体" w:eastAsia="宋体" w:cs="宋体"/>
                <w:b w:val="0"/>
                <w:bCs w:val="0"/>
                <w:color w:val="auto"/>
                <w:kern w:val="2"/>
                <w:sz w:val="21"/>
                <w:szCs w:val="21"/>
                <w:highlight w:val="none"/>
                <w:lang w:val="en-US" w:eastAsia="zh-CN" w:bidi="ar-SA"/>
              </w:rPr>
              <w:t>被列入失信被执行人、重大税收违法失信主体(搜索栏输入单位全称-点击总公司-截图)、中国政府采购网（http://www.ccgp.gov.cn/search/cr/）严重违法失信行为记录名单的（尚在处罚期内的），将拒绝其参加本次招标活动；</w:t>
            </w:r>
          </w:p>
        </w:tc>
        <w:tc>
          <w:tcPr>
            <w:tcW w:w="690" w:type="dxa"/>
            <w:noWrap w:val="0"/>
            <w:vAlign w:val="top"/>
          </w:tcPr>
          <w:p w14:paraId="2EB8908B">
            <w:pPr>
              <w:autoSpaceDE w:val="0"/>
              <w:autoSpaceDN w:val="0"/>
              <w:ind w:left="105" w:hanging="105"/>
              <w:jc w:val="left"/>
              <w:rPr>
                <w:color w:val="auto"/>
                <w:szCs w:val="21"/>
                <w:highlight w:val="none"/>
              </w:rPr>
            </w:pPr>
          </w:p>
        </w:tc>
        <w:tc>
          <w:tcPr>
            <w:tcW w:w="915" w:type="dxa"/>
            <w:noWrap w:val="0"/>
            <w:vAlign w:val="top"/>
          </w:tcPr>
          <w:p w14:paraId="4A5706D2">
            <w:pPr>
              <w:autoSpaceDE w:val="0"/>
              <w:autoSpaceDN w:val="0"/>
              <w:ind w:left="105" w:hanging="105"/>
              <w:jc w:val="left"/>
              <w:rPr>
                <w:color w:val="auto"/>
                <w:szCs w:val="21"/>
                <w:highlight w:val="none"/>
              </w:rPr>
            </w:pPr>
          </w:p>
        </w:tc>
      </w:tr>
      <w:tr w14:paraId="08CC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547" w:type="dxa"/>
            <w:vMerge w:val="continue"/>
            <w:noWrap w:val="0"/>
            <w:vAlign w:val="center"/>
          </w:tcPr>
          <w:p w14:paraId="5E88B11E">
            <w:pPr>
              <w:autoSpaceDE w:val="0"/>
              <w:autoSpaceDN w:val="0"/>
              <w:ind w:left="105" w:hanging="105"/>
              <w:jc w:val="center"/>
              <w:rPr>
                <w:rFonts w:hint="eastAsia" w:ascii="宋体" w:hAnsi="宋体" w:eastAsia="宋体" w:cs="宋体"/>
                <w:b w:val="0"/>
                <w:bCs w:val="0"/>
                <w:color w:val="auto"/>
                <w:sz w:val="21"/>
                <w:szCs w:val="21"/>
                <w:highlight w:val="none"/>
              </w:rPr>
            </w:pPr>
          </w:p>
        </w:tc>
        <w:tc>
          <w:tcPr>
            <w:tcW w:w="1620" w:type="dxa"/>
            <w:noWrap w:val="0"/>
            <w:vAlign w:val="center"/>
          </w:tcPr>
          <w:p w14:paraId="44C419DB">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落实政府采购政策</w:t>
            </w:r>
          </w:p>
        </w:tc>
        <w:tc>
          <w:tcPr>
            <w:tcW w:w="5648" w:type="dxa"/>
            <w:noWrap w:val="0"/>
            <w:vAlign w:val="center"/>
          </w:tcPr>
          <w:p w14:paraId="4AE35889">
            <w:pPr>
              <w:autoSpaceDE w:val="0"/>
              <w:autoSpaceDN w:val="0"/>
              <w:ind w:left="105" w:hanging="105"/>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请根据要求单独上传《中小企业声明函》。格式以采购文件要求为准。</w:t>
            </w:r>
          </w:p>
        </w:tc>
        <w:tc>
          <w:tcPr>
            <w:tcW w:w="690" w:type="dxa"/>
            <w:noWrap w:val="0"/>
            <w:vAlign w:val="top"/>
          </w:tcPr>
          <w:p w14:paraId="027C5CDA">
            <w:pPr>
              <w:autoSpaceDE w:val="0"/>
              <w:autoSpaceDN w:val="0"/>
              <w:ind w:left="105" w:hanging="105"/>
              <w:jc w:val="left"/>
              <w:rPr>
                <w:color w:val="auto"/>
                <w:szCs w:val="21"/>
                <w:highlight w:val="none"/>
              </w:rPr>
            </w:pPr>
          </w:p>
        </w:tc>
        <w:tc>
          <w:tcPr>
            <w:tcW w:w="915" w:type="dxa"/>
            <w:noWrap w:val="0"/>
            <w:vAlign w:val="top"/>
          </w:tcPr>
          <w:p w14:paraId="1D70C0C8">
            <w:pPr>
              <w:autoSpaceDE w:val="0"/>
              <w:autoSpaceDN w:val="0"/>
              <w:ind w:left="105" w:hanging="105"/>
              <w:jc w:val="left"/>
              <w:rPr>
                <w:color w:val="auto"/>
                <w:szCs w:val="21"/>
                <w:highlight w:val="none"/>
              </w:rPr>
            </w:pPr>
          </w:p>
        </w:tc>
      </w:tr>
      <w:tr w14:paraId="0B8D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547" w:type="dxa"/>
            <w:vMerge w:val="continue"/>
            <w:noWrap w:val="0"/>
            <w:vAlign w:val="center"/>
          </w:tcPr>
          <w:p w14:paraId="1D688192">
            <w:pPr>
              <w:autoSpaceDE w:val="0"/>
              <w:autoSpaceDN w:val="0"/>
              <w:ind w:left="105" w:hanging="105"/>
              <w:jc w:val="center"/>
              <w:rPr>
                <w:rFonts w:hint="eastAsia" w:ascii="宋体" w:hAnsi="宋体" w:eastAsia="宋体" w:cs="宋体"/>
                <w:b w:val="0"/>
                <w:bCs w:val="0"/>
                <w:color w:val="auto"/>
                <w:sz w:val="21"/>
                <w:szCs w:val="21"/>
                <w:highlight w:val="none"/>
              </w:rPr>
            </w:pPr>
          </w:p>
        </w:tc>
        <w:tc>
          <w:tcPr>
            <w:tcW w:w="1620" w:type="dxa"/>
            <w:noWrap w:val="0"/>
            <w:vAlign w:val="center"/>
          </w:tcPr>
          <w:p w14:paraId="4D153EC6">
            <w:pPr>
              <w:jc w:val="center"/>
              <w:rPr>
                <w:color w:val="auto"/>
                <w:szCs w:val="21"/>
                <w:highlight w:val="none"/>
              </w:rPr>
            </w:pPr>
            <w:r>
              <w:rPr>
                <w:rFonts w:hint="eastAsia" w:ascii="宋体" w:hAnsi="宋体" w:eastAsia="宋体" w:cs="宋体"/>
                <w:color w:val="auto"/>
                <w:szCs w:val="21"/>
                <w:highlight w:val="none"/>
              </w:rPr>
              <w:t>特</w:t>
            </w:r>
            <w:r>
              <w:rPr>
                <w:rFonts w:hint="eastAsia" w:ascii="宋体" w:hAnsi="宋体" w:eastAsia="宋体" w:cs="宋体"/>
                <w:color w:val="auto"/>
                <w:szCs w:val="21"/>
                <w:highlight w:val="none"/>
                <w:lang w:val="en-US" w:eastAsia="zh-CN"/>
              </w:rPr>
              <w:t>定</w:t>
            </w:r>
            <w:r>
              <w:rPr>
                <w:rFonts w:hint="eastAsia" w:ascii="宋体" w:hAnsi="宋体" w:eastAsia="宋体" w:cs="宋体"/>
                <w:color w:val="auto"/>
                <w:szCs w:val="21"/>
                <w:highlight w:val="none"/>
              </w:rPr>
              <w:t>资格要求</w:t>
            </w:r>
          </w:p>
        </w:tc>
        <w:tc>
          <w:tcPr>
            <w:tcW w:w="5648" w:type="dxa"/>
            <w:noWrap w:val="0"/>
            <w:vAlign w:val="center"/>
          </w:tcPr>
          <w:p w14:paraId="769A9B61">
            <w:pPr>
              <w:autoSpaceDE w:val="0"/>
              <w:autoSpaceDN w:val="0"/>
              <w:ind w:left="105" w:hanging="105"/>
              <w:jc w:val="left"/>
              <w:rPr>
                <w:rFonts w:hint="eastAsia" w:ascii="宋体" w:hAnsi="宋体" w:eastAsia="宋体" w:cs="宋体"/>
                <w:b w:val="0"/>
                <w:bCs w:val="0"/>
                <w:color w:val="auto"/>
                <w:kern w:val="2"/>
                <w:sz w:val="21"/>
                <w:szCs w:val="21"/>
                <w:highlight w:val="none"/>
                <w:lang w:val="en-US" w:eastAsia="zh-CN" w:bidi="ar-SA"/>
              </w:rPr>
            </w:pPr>
            <w:r>
              <w:rPr>
                <w:rFonts w:hint="eastAsia"/>
              </w:rPr>
              <w:t>投标人须具备房屋建筑工</w:t>
            </w:r>
            <w:r>
              <w:rPr>
                <w:rFonts w:hint="eastAsia"/>
                <w:lang w:eastAsia="zh-CN"/>
              </w:rPr>
              <w:t>程监理乙级（含）以上资质</w:t>
            </w:r>
            <w:r>
              <w:rPr>
                <w:rFonts w:hint="eastAsia"/>
              </w:rPr>
              <w:t>或工程监理综合资质；总监理工程师为房屋建筑工程注册监理工程师，并在投标单位注册。</w:t>
            </w:r>
          </w:p>
        </w:tc>
        <w:tc>
          <w:tcPr>
            <w:tcW w:w="690" w:type="dxa"/>
            <w:noWrap w:val="0"/>
            <w:vAlign w:val="top"/>
          </w:tcPr>
          <w:p w14:paraId="314F7545">
            <w:pPr>
              <w:autoSpaceDE w:val="0"/>
              <w:autoSpaceDN w:val="0"/>
              <w:ind w:left="105" w:hanging="105"/>
              <w:jc w:val="left"/>
              <w:rPr>
                <w:color w:val="auto"/>
                <w:szCs w:val="21"/>
                <w:highlight w:val="none"/>
              </w:rPr>
            </w:pPr>
          </w:p>
        </w:tc>
        <w:tc>
          <w:tcPr>
            <w:tcW w:w="915" w:type="dxa"/>
            <w:noWrap w:val="0"/>
            <w:vAlign w:val="top"/>
          </w:tcPr>
          <w:p w14:paraId="1625B2FF">
            <w:pPr>
              <w:autoSpaceDE w:val="0"/>
              <w:autoSpaceDN w:val="0"/>
              <w:ind w:left="105" w:hanging="105"/>
              <w:jc w:val="left"/>
              <w:rPr>
                <w:color w:val="auto"/>
                <w:szCs w:val="21"/>
                <w:highlight w:val="none"/>
              </w:rPr>
            </w:pPr>
          </w:p>
        </w:tc>
      </w:tr>
      <w:tr w14:paraId="05B6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547" w:type="dxa"/>
            <w:vMerge w:val="restart"/>
            <w:noWrap w:val="0"/>
            <w:vAlign w:val="center"/>
          </w:tcPr>
          <w:p w14:paraId="2737118C">
            <w:pPr>
              <w:autoSpaceDE w:val="0"/>
              <w:autoSpaceDN w:val="0"/>
              <w:ind w:left="105" w:hanging="105"/>
              <w:jc w:val="center"/>
              <w:rPr>
                <w:rFonts w:hint="eastAsia" w:eastAsia="宋体"/>
                <w:color w:val="auto"/>
                <w:szCs w:val="21"/>
                <w:highlight w:val="none"/>
                <w:lang w:eastAsia="zh-CN"/>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符合性</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查</w:t>
            </w:r>
          </w:p>
        </w:tc>
        <w:tc>
          <w:tcPr>
            <w:tcW w:w="1620" w:type="dxa"/>
            <w:noWrap w:val="0"/>
            <w:vAlign w:val="center"/>
          </w:tcPr>
          <w:p w14:paraId="33D9CEF5">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投标人名称</w:t>
            </w:r>
          </w:p>
        </w:tc>
        <w:tc>
          <w:tcPr>
            <w:tcW w:w="5648" w:type="dxa"/>
            <w:noWrap w:val="0"/>
            <w:vAlign w:val="center"/>
          </w:tcPr>
          <w:p w14:paraId="03DFA4C5">
            <w:pPr>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是否与营业执照一致</w:t>
            </w:r>
            <w:r>
              <w:rPr>
                <w:rFonts w:hint="eastAsia" w:cs="Times New Roman"/>
                <w:color w:val="auto"/>
                <w:highlight w:val="none"/>
                <w:lang w:val="en-US" w:eastAsia="zh-CN"/>
              </w:rPr>
              <w:t>；</w:t>
            </w:r>
          </w:p>
        </w:tc>
        <w:tc>
          <w:tcPr>
            <w:tcW w:w="690" w:type="dxa"/>
            <w:noWrap w:val="0"/>
            <w:vAlign w:val="top"/>
          </w:tcPr>
          <w:p w14:paraId="1C24ECDE">
            <w:pPr>
              <w:autoSpaceDE w:val="0"/>
              <w:autoSpaceDN w:val="0"/>
              <w:ind w:left="105" w:hanging="105"/>
              <w:jc w:val="left"/>
              <w:rPr>
                <w:color w:val="auto"/>
                <w:szCs w:val="21"/>
                <w:highlight w:val="none"/>
              </w:rPr>
            </w:pPr>
          </w:p>
        </w:tc>
        <w:tc>
          <w:tcPr>
            <w:tcW w:w="915" w:type="dxa"/>
            <w:noWrap w:val="0"/>
            <w:vAlign w:val="top"/>
          </w:tcPr>
          <w:p w14:paraId="6B329AFF">
            <w:pPr>
              <w:autoSpaceDE w:val="0"/>
              <w:autoSpaceDN w:val="0"/>
              <w:ind w:left="105" w:hanging="105"/>
              <w:jc w:val="left"/>
              <w:rPr>
                <w:color w:val="auto"/>
                <w:szCs w:val="21"/>
                <w:highlight w:val="none"/>
              </w:rPr>
            </w:pPr>
          </w:p>
        </w:tc>
      </w:tr>
      <w:tr w14:paraId="54A6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547" w:type="dxa"/>
            <w:vMerge w:val="continue"/>
            <w:noWrap w:val="0"/>
            <w:vAlign w:val="center"/>
          </w:tcPr>
          <w:p w14:paraId="0AF229DF">
            <w:pPr>
              <w:autoSpaceDE w:val="0"/>
              <w:autoSpaceDN w:val="0"/>
              <w:ind w:left="105" w:hanging="105"/>
              <w:jc w:val="center"/>
              <w:rPr>
                <w:rFonts w:hint="eastAsia" w:eastAsia="宋体"/>
                <w:color w:val="auto"/>
                <w:szCs w:val="21"/>
                <w:highlight w:val="none"/>
                <w:lang w:eastAsia="zh-CN"/>
              </w:rPr>
            </w:pPr>
          </w:p>
        </w:tc>
        <w:tc>
          <w:tcPr>
            <w:tcW w:w="1620" w:type="dxa"/>
            <w:noWrap w:val="0"/>
            <w:vAlign w:val="center"/>
          </w:tcPr>
          <w:p w14:paraId="51999724">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投标文件</w:t>
            </w:r>
          </w:p>
        </w:tc>
        <w:tc>
          <w:tcPr>
            <w:tcW w:w="5648" w:type="dxa"/>
            <w:noWrap w:val="0"/>
            <w:vAlign w:val="center"/>
          </w:tcPr>
          <w:p w14:paraId="6D026CCA">
            <w:pPr>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是否按招标文件要求在加盖单位公章和法定代表人印章（或签字）</w:t>
            </w:r>
            <w:r>
              <w:rPr>
                <w:rFonts w:hint="eastAsia" w:cs="Times New Roman"/>
                <w:color w:val="auto"/>
                <w:highlight w:val="none"/>
                <w:lang w:val="en-US" w:eastAsia="zh-CN"/>
              </w:rPr>
              <w:t>；</w:t>
            </w:r>
          </w:p>
        </w:tc>
        <w:tc>
          <w:tcPr>
            <w:tcW w:w="690" w:type="dxa"/>
            <w:noWrap w:val="0"/>
            <w:vAlign w:val="top"/>
          </w:tcPr>
          <w:p w14:paraId="72A4AD38">
            <w:pPr>
              <w:autoSpaceDE w:val="0"/>
              <w:autoSpaceDN w:val="0"/>
              <w:ind w:left="105" w:hanging="105"/>
              <w:jc w:val="left"/>
              <w:rPr>
                <w:color w:val="auto"/>
                <w:szCs w:val="21"/>
                <w:highlight w:val="none"/>
              </w:rPr>
            </w:pPr>
          </w:p>
        </w:tc>
        <w:tc>
          <w:tcPr>
            <w:tcW w:w="915" w:type="dxa"/>
            <w:noWrap w:val="0"/>
            <w:vAlign w:val="top"/>
          </w:tcPr>
          <w:p w14:paraId="114F4321">
            <w:pPr>
              <w:autoSpaceDE w:val="0"/>
              <w:autoSpaceDN w:val="0"/>
              <w:ind w:left="105" w:hanging="105"/>
              <w:jc w:val="left"/>
              <w:rPr>
                <w:color w:val="auto"/>
                <w:szCs w:val="21"/>
                <w:highlight w:val="none"/>
              </w:rPr>
            </w:pPr>
          </w:p>
        </w:tc>
      </w:tr>
      <w:tr w14:paraId="3D2C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47" w:type="dxa"/>
            <w:vMerge w:val="continue"/>
            <w:noWrap w:val="0"/>
            <w:vAlign w:val="center"/>
          </w:tcPr>
          <w:p w14:paraId="28CAD5E6">
            <w:pPr>
              <w:autoSpaceDE w:val="0"/>
              <w:autoSpaceDN w:val="0"/>
              <w:ind w:left="105" w:hanging="105"/>
              <w:jc w:val="center"/>
              <w:rPr>
                <w:color w:val="auto"/>
                <w:szCs w:val="21"/>
                <w:highlight w:val="none"/>
              </w:rPr>
            </w:pPr>
          </w:p>
        </w:tc>
        <w:tc>
          <w:tcPr>
            <w:tcW w:w="1620" w:type="dxa"/>
            <w:noWrap w:val="0"/>
            <w:vAlign w:val="center"/>
          </w:tcPr>
          <w:p w14:paraId="268FF1D0">
            <w:pPr>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有效的投标报价</w:t>
            </w:r>
          </w:p>
        </w:tc>
        <w:tc>
          <w:tcPr>
            <w:tcW w:w="5648" w:type="dxa"/>
            <w:noWrap w:val="0"/>
            <w:vAlign w:val="center"/>
          </w:tcPr>
          <w:p w14:paraId="2841C6C2">
            <w:pPr>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投标人的投标报价是唯一确定的；不超出本项目采购预算、最高限价和报价范围报价</w:t>
            </w:r>
            <w:r>
              <w:rPr>
                <w:rFonts w:hint="eastAsia" w:cs="Times New Roman"/>
                <w:color w:val="auto"/>
                <w:highlight w:val="none"/>
                <w:lang w:val="en-US" w:eastAsia="zh-CN"/>
              </w:rPr>
              <w:t>；</w:t>
            </w:r>
          </w:p>
        </w:tc>
        <w:tc>
          <w:tcPr>
            <w:tcW w:w="690" w:type="dxa"/>
            <w:noWrap w:val="0"/>
            <w:vAlign w:val="top"/>
          </w:tcPr>
          <w:p w14:paraId="73726759">
            <w:pPr>
              <w:autoSpaceDE w:val="0"/>
              <w:autoSpaceDN w:val="0"/>
              <w:ind w:left="105" w:hanging="105"/>
              <w:jc w:val="left"/>
              <w:rPr>
                <w:color w:val="auto"/>
                <w:szCs w:val="21"/>
                <w:highlight w:val="none"/>
              </w:rPr>
            </w:pPr>
          </w:p>
        </w:tc>
        <w:tc>
          <w:tcPr>
            <w:tcW w:w="915" w:type="dxa"/>
            <w:noWrap w:val="0"/>
            <w:vAlign w:val="top"/>
          </w:tcPr>
          <w:p w14:paraId="5121CDAD">
            <w:pPr>
              <w:autoSpaceDE w:val="0"/>
              <w:autoSpaceDN w:val="0"/>
              <w:ind w:left="105" w:hanging="105"/>
              <w:jc w:val="left"/>
              <w:rPr>
                <w:rFonts w:hint="eastAsia" w:eastAsia="宋体"/>
                <w:color w:val="auto"/>
                <w:szCs w:val="21"/>
                <w:highlight w:val="none"/>
                <w:lang w:val="en-US" w:eastAsia="zh-CN"/>
              </w:rPr>
            </w:pPr>
          </w:p>
        </w:tc>
      </w:tr>
      <w:tr w14:paraId="4D1C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547" w:type="dxa"/>
            <w:vMerge w:val="continue"/>
            <w:noWrap w:val="0"/>
            <w:vAlign w:val="center"/>
          </w:tcPr>
          <w:p w14:paraId="37FD9022">
            <w:pPr>
              <w:widowControl/>
              <w:ind w:left="105" w:hanging="105"/>
              <w:jc w:val="left"/>
              <w:rPr>
                <w:color w:val="auto"/>
                <w:szCs w:val="21"/>
                <w:highlight w:val="none"/>
              </w:rPr>
            </w:pPr>
          </w:p>
        </w:tc>
        <w:tc>
          <w:tcPr>
            <w:tcW w:w="1620" w:type="dxa"/>
            <w:noWrap w:val="0"/>
            <w:vAlign w:val="center"/>
          </w:tcPr>
          <w:p w14:paraId="14D5B3C6">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投标有效期</w:t>
            </w:r>
          </w:p>
        </w:tc>
        <w:tc>
          <w:tcPr>
            <w:tcW w:w="5648" w:type="dxa"/>
            <w:noWrap w:val="0"/>
            <w:vAlign w:val="center"/>
          </w:tcPr>
          <w:p w14:paraId="3E07BD9F">
            <w:pPr>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投标有效期是否符合招标文件要求</w:t>
            </w:r>
            <w:r>
              <w:rPr>
                <w:rFonts w:hint="eastAsia" w:cs="Times New Roman"/>
                <w:color w:val="auto"/>
                <w:highlight w:val="none"/>
                <w:lang w:val="en-US" w:eastAsia="zh-CN"/>
              </w:rPr>
              <w:t>；</w:t>
            </w:r>
          </w:p>
        </w:tc>
        <w:tc>
          <w:tcPr>
            <w:tcW w:w="690" w:type="dxa"/>
            <w:noWrap w:val="0"/>
            <w:vAlign w:val="top"/>
          </w:tcPr>
          <w:p w14:paraId="1280340C">
            <w:pPr>
              <w:autoSpaceDE w:val="0"/>
              <w:autoSpaceDN w:val="0"/>
              <w:ind w:left="105" w:hanging="105"/>
              <w:jc w:val="left"/>
              <w:rPr>
                <w:color w:val="auto"/>
                <w:szCs w:val="21"/>
                <w:highlight w:val="none"/>
              </w:rPr>
            </w:pPr>
          </w:p>
        </w:tc>
        <w:tc>
          <w:tcPr>
            <w:tcW w:w="915" w:type="dxa"/>
            <w:noWrap w:val="0"/>
            <w:vAlign w:val="top"/>
          </w:tcPr>
          <w:p w14:paraId="6952D14A">
            <w:pPr>
              <w:autoSpaceDE w:val="0"/>
              <w:autoSpaceDN w:val="0"/>
              <w:ind w:left="105" w:hanging="105"/>
              <w:jc w:val="left"/>
              <w:rPr>
                <w:color w:val="auto"/>
                <w:szCs w:val="21"/>
                <w:highlight w:val="none"/>
              </w:rPr>
            </w:pPr>
          </w:p>
        </w:tc>
      </w:tr>
      <w:tr w14:paraId="6A6A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547" w:type="dxa"/>
            <w:vMerge w:val="continue"/>
            <w:noWrap w:val="0"/>
            <w:vAlign w:val="center"/>
          </w:tcPr>
          <w:p w14:paraId="5C453F48">
            <w:pPr>
              <w:widowControl/>
              <w:ind w:left="105" w:hanging="105"/>
              <w:jc w:val="left"/>
              <w:rPr>
                <w:color w:val="auto"/>
                <w:szCs w:val="21"/>
                <w:highlight w:val="none"/>
              </w:rPr>
            </w:pPr>
          </w:p>
        </w:tc>
        <w:tc>
          <w:tcPr>
            <w:tcW w:w="1620" w:type="dxa"/>
            <w:noWrap w:val="0"/>
            <w:vAlign w:val="center"/>
          </w:tcPr>
          <w:p w14:paraId="4143A877">
            <w:pPr>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监理服务期</w:t>
            </w:r>
          </w:p>
        </w:tc>
        <w:tc>
          <w:tcPr>
            <w:tcW w:w="5648" w:type="dxa"/>
            <w:noWrap w:val="0"/>
            <w:vAlign w:val="center"/>
          </w:tcPr>
          <w:p w14:paraId="020B0297">
            <w:pPr>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监理服务期</w:t>
            </w:r>
            <w:r>
              <w:rPr>
                <w:rFonts w:hint="eastAsia" w:ascii="Times New Roman" w:hAnsi="Times New Roman" w:eastAsia="宋体" w:cs="Times New Roman"/>
                <w:color w:val="auto"/>
                <w:highlight w:val="none"/>
                <w:lang w:val="en-US" w:eastAsia="zh-CN"/>
              </w:rPr>
              <w:t>是否符合招标文件要求</w:t>
            </w:r>
            <w:r>
              <w:rPr>
                <w:rFonts w:hint="eastAsia" w:cs="Times New Roman"/>
                <w:color w:val="auto"/>
                <w:highlight w:val="none"/>
                <w:lang w:val="en-US" w:eastAsia="zh-CN"/>
              </w:rPr>
              <w:t>；</w:t>
            </w:r>
          </w:p>
        </w:tc>
        <w:tc>
          <w:tcPr>
            <w:tcW w:w="690" w:type="dxa"/>
            <w:noWrap w:val="0"/>
            <w:vAlign w:val="top"/>
          </w:tcPr>
          <w:p w14:paraId="4DE45D17">
            <w:pPr>
              <w:autoSpaceDE w:val="0"/>
              <w:autoSpaceDN w:val="0"/>
              <w:ind w:left="105" w:hanging="105"/>
              <w:jc w:val="left"/>
              <w:rPr>
                <w:color w:val="auto"/>
                <w:szCs w:val="21"/>
                <w:highlight w:val="none"/>
              </w:rPr>
            </w:pPr>
          </w:p>
        </w:tc>
        <w:tc>
          <w:tcPr>
            <w:tcW w:w="915" w:type="dxa"/>
            <w:noWrap w:val="0"/>
            <w:vAlign w:val="top"/>
          </w:tcPr>
          <w:p w14:paraId="2906E7C6">
            <w:pPr>
              <w:autoSpaceDE w:val="0"/>
              <w:autoSpaceDN w:val="0"/>
              <w:ind w:left="105" w:hanging="105"/>
              <w:jc w:val="left"/>
              <w:rPr>
                <w:color w:val="auto"/>
                <w:szCs w:val="21"/>
                <w:highlight w:val="none"/>
              </w:rPr>
            </w:pPr>
          </w:p>
        </w:tc>
      </w:tr>
      <w:tr w14:paraId="114A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547" w:type="dxa"/>
            <w:vMerge w:val="continue"/>
            <w:noWrap w:val="0"/>
            <w:vAlign w:val="center"/>
          </w:tcPr>
          <w:p w14:paraId="4106EBBA">
            <w:pPr>
              <w:widowControl/>
              <w:ind w:left="105" w:hanging="105"/>
              <w:jc w:val="left"/>
              <w:rPr>
                <w:color w:val="auto"/>
                <w:szCs w:val="21"/>
                <w:highlight w:val="none"/>
              </w:rPr>
            </w:pPr>
          </w:p>
        </w:tc>
        <w:tc>
          <w:tcPr>
            <w:tcW w:w="1620" w:type="dxa"/>
            <w:noWrap w:val="0"/>
            <w:vAlign w:val="center"/>
          </w:tcPr>
          <w:p w14:paraId="542992E2">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投标人的资质</w:t>
            </w:r>
          </w:p>
        </w:tc>
        <w:tc>
          <w:tcPr>
            <w:tcW w:w="5648" w:type="dxa"/>
            <w:noWrap w:val="0"/>
            <w:vAlign w:val="center"/>
          </w:tcPr>
          <w:p w14:paraId="2360F6DD">
            <w:pPr>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投标人资质是否符合招标文件的要求</w:t>
            </w:r>
            <w:r>
              <w:rPr>
                <w:rFonts w:hint="eastAsia" w:cs="Times New Roman"/>
                <w:color w:val="auto"/>
                <w:highlight w:val="none"/>
                <w:lang w:val="en-US" w:eastAsia="zh-CN"/>
              </w:rPr>
              <w:t>；</w:t>
            </w:r>
          </w:p>
        </w:tc>
        <w:tc>
          <w:tcPr>
            <w:tcW w:w="690" w:type="dxa"/>
            <w:noWrap w:val="0"/>
            <w:vAlign w:val="top"/>
          </w:tcPr>
          <w:p w14:paraId="5F54D1E9">
            <w:pPr>
              <w:autoSpaceDE w:val="0"/>
              <w:autoSpaceDN w:val="0"/>
              <w:ind w:left="105" w:hanging="105"/>
              <w:jc w:val="left"/>
              <w:rPr>
                <w:color w:val="auto"/>
                <w:szCs w:val="21"/>
                <w:highlight w:val="none"/>
              </w:rPr>
            </w:pPr>
          </w:p>
        </w:tc>
        <w:tc>
          <w:tcPr>
            <w:tcW w:w="915" w:type="dxa"/>
            <w:noWrap w:val="0"/>
            <w:vAlign w:val="top"/>
          </w:tcPr>
          <w:p w14:paraId="5418C489">
            <w:pPr>
              <w:autoSpaceDE w:val="0"/>
              <w:autoSpaceDN w:val="0"/>
              <w:ind w:left="105" w:hanging="105"/>
              <w:jc w:val="left"/>
              <w:rPr>
                <w:color w:val="auto"/>
                <w:szCs w:val="21"/>
                <w:highlight w:val="none"/>
              </w:rPr>
            </w:pPr>
          </w:p>
        </w:tc>
      </w:tr>
      <w:tr w14:paraId="709F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547" w:type="dxa"/>
            <w:vMerge w:val="continue"/>
            <w:noWrap w:val="0"/>
            <w:vAlign w:val="center"/>
          </w:tcPr>
          <w:p w14:paraId="68EBAD32">
            <w:pPr>
              <w:widowControl/>
              <w:ind w:left="105" w:hanging="105"/>
              <w:jc w:val="left"/>
              <w:rPr>
                <w:color w:val="auto"/>
                <w:szCs w:val="21"/>
                <w:highlight w:val="none"/>
              </w:rPr>
            </w:pPr>
          </w:p>
        </w:tc>
        <w:tc>
          <w:tcPr>
            <w:tcW w:w="1620" w:type="dxa"/>
            <w:noWrap w:val="0"/>
            <w:vAlign w:val="center"/>
          </w:tcPr>
          <w:p w14:paraId="157E6FB7">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其他要求</w:t>
            </w:r>
          </w:p>
        </w:tc>
        <w:tc>
          <w:tcPr>
            <w:tcW w:w="5648" w:type="dxa"/>
            <w:noWrap w:val="0"/>
            <w:vAlign w:val="center"/>
          </w:tcPr>
          <w:p w14:paraId="28C190A2">
            <w:pPr>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是否符合招标文件中规定的其它实质性要求；</w:t>
            </w:r>
          </w:p>
        </w:tc>
        <w:tc>
          <w:tcPr>
            <w:tcW w:w="690" w:type="dxa"/>
            <w:noWrap w:val="0"/>
            <w:vAlign w:val="top"/>
          </w:tcPr>
          <w:p w14:paraId="05F38D4C">
            <w:pPr>
              <w:autoSpaceDE w:val="0"/>
              <w:autoSpaceDN w:val="0"/>
              <w:ind w:left="105" w:hanging="105"/>
              <w:jc w:val="left"/>
              <w:rPr>
                <w:color w:val="auto"/>
                <w:szCs w:val="21"/>
                <w:highlight w:val="none"/>
              </w:rPr>
            </w:pPr>
          </w:p>
        </w:tc>
        <w:tc>
          <w:tcPr>
            <w:tcW w:w="915" w:type="dxa"/>
            <w:noWrap w:val="0"/>
            <w:vAlign w:val="top"/>
          </w:tcPr>
          <w:p w14:paraId="26BFDCD3">
            <w:pPr>
              <w:autoSpaceDE w:val="0"/>
              <w:autoSpaceDN w:val="0"/>
              <w:ind w:left="105" w:hanging="105"/>
              <w:jc w:val="left"/>
              <w:rPr>
                <w:color w:val="auto"/>
                <w:szCs w:val="21"/>
                <w:highlight w:val="none"/>
              </w:rPr>
            </w:pPr>
          </w:p>
        </w:tc>
      </w:tr>
      <w:tr w14:paraId="6D32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4" w:hRule="atLeast"/>
        </w:trPr>
        <w:tc>
          <w:tcPr>
            <w:tcW w:w="9420" w:type="dxa"/>
            <w:gridSpan w:val="5"/>
            <w:noWrap w:val="0"/>
            <w:vAlign w:val="center"/>
          </w:tcPr>
          <w:p w14:paraId="53F9C504">
            <w:pPr>
              <w:autoSpaceDE w:val="0"/>
              <w:autoSpaceDN w:val="0"/>
              <w:ind w:left="105" w:hanging="105"/>
              <w:jc w:val="left"/>
              <w:rPr>
                <w:color w:val="auto"/>
                <w:szCs w:val="21"/>
                <w:highlight w:val="none"/>
              </w:rPr>
            </w:pPr>
            <w:bookmarkStart w:id="36" w:name="_Toc452657580"/>
            <w:r>
              <w:rPr>
                <w:rFonts w:hint="eastAsia" w:ascii="宋体" w:hAnsi="宋体" w:eastAsia="宋体" w:cs="宋体"/>
                <w:color w:val="auto"/>
                <w:sz w:val="24"/>
                <w:highlight w:val="none"/>
              </w:rPr>
              <w:t>注：初步评审合格后方可进入详细评审阶段</w:t>
            </w:r>
            <w:bookmarkEnd w:id="36"/>
          </w:p>
        </w:tc>
      </w:tr>
    </w:tbl>
    <w:p w14:paraId="6A50D4DC">
      <w:pPr>
        <w:pStyle w:val="3"/>
        <w:rPr>
          <w:rFonts w:hint="eastAsia" w:ascii="宋体" w:hAnsi="宋体" w:eastAsia="宋体" w:cs="宋体"/>
          <w:b/>
          <w:bCs/>
          <w:color w:val="auto"/>
          <w:highlight w:val="none"/>
        </w:rPr>
      </w:pPr>
    </w:p>
    <w:p w14:paraId="5B7B9EFC">
      <w:pPr>
        <w:rPr>
          <w:rFonts w:hint="eastAsia" w:ascii="宋体" w:hAnsi="宋体" w:eastAsia="宋体" w:cs="宋体"/>
          <w:b/>
          <w:bCs/>
          <w:color w:val="auto"/>
          <w:sz w:val="24"/>
          <w:szCs w:val="24"/>
          <w:highlight w:val="none"/>
        </w:rPr>
      </w:pPr>
      <w:bookmarkStart w:id="37" w:name="_Toc32746"/>
      <w:r>
        <w:rPr>
          <w:rFonts w:hint="eastAsia" w:ascii="宋体" w:hAnsi="宋体" w:eastAsia="宋体" w:cs="宋体"/>
          <w:b/>
          <w:bCs/>
          <w:color w:val="auto"/>
          <w:sz w:val="24"/>
          <w:szCs w:val="24"/>
          <w:highlight w:val="none"/>
        </w:rPr>
        <w:t>（1）“是否通过并进入下一阶段评审”一栏应写“通过”或“不通过”。</w:t>
      </w:r>
    </w:p>
    <w:p w14:paraId="71DD4E4E">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（2）出现一个“×”的结论为“不通过”。表中全部为“√”，同意进入下一阶段评审。</w:t>
      </w:r>
    </w:p>
    <w:p w14:paraId="621A3435">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（3）若专家意见不一致时，则按少数服从多数的原则，由专家投票决定该投标人是否通过审查，进入下一阶段评审。</w:t>
      </w:r>
    </w:p>
    <w:p w14:paraId="3DAB163A">
      <w:pPr>
        <w:adjustRightInd w:val="0"/>
        <w:snapToGrid w:val="0"/>
        <w:spacing w:before="156" w:beforeLines="50" w:line="360" w:lineRule="auto"/>
        <w:ind w:right="-109" w:rightChars="-5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有下列情形之一时，评标委员会应予废标，并将理由通知所有投标</w:t>
      </w:r>
      <w:r>
        <w:rPr>
          <w:rFonts w:hint="eastAsia" w:ascii="宋体" w:hAnsi="宋体" w:cs="宋体"/>
          <w:color w:val="auto"/>
          <w:sz w:val="24"/>
          <w:szCs w:val="24"/>
          <w:highlight w:val="none"/>
          <w:lang w:val="en-US" w:eastAsia="zh-CN"/>
        </w:rPr>
        <w:t>单位</w:t>
      </w:r>
      <w:r>
        <w:rPr>
          <w:rFonts w:hint="eastAsia" w:ascii="宋体" w:hAnsi="宋体" w:eastAsia="宋体" w:cs="宋体"/>
          <w:color w:val="auto"/>
          <w:sz w:val="24"/>
          <w:szCs w:val="24"/>
          <w:highlight w:val="none"/>
        </w:rPr>
        <w:t>：</w:t>
      </w:r>
    </w:p>
    <w:p w14:paraId="5ADEE196">
      <w:pPr>
        <w:adjustRightInd w:val="0"/>
        <w:snapToGrid w:val="0"/>
        <w:spacing w:line="360" w:lineRule="auto"/>
        <w:ind w:right="-109" w:rightChars="-5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（1）符合专业条件的投标人或者对招标文件作实质性响应的投标人不足三家的；</w:t>
      </w:r>
    </w:p>
    <w:p w14:paraId="588A4554">
      <w:pPr>
        <w:adjustRightInd w:val="0"/>
        <w:snapToGrid w:val="0"/>
        <w:spacing w:line="360" w:lineRule="auto"/>
        <w:ind w:right="-109" w:rightChars="-5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（2）出现影响招标公正的违法、违规行为的；</w:t>
      </w:r>
    </w:p>
    <w:p w14:paraId="04AC4EB3">
      <w:pPr>
        <w:adjustRightInd w:val="0"/>
        <w:snapToGrid w:val="0"/>
        <w:spacing w:line="360" w:lineRule="auto"/>
        <w:ind w:right="-109" w:rightChars="-5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w:t>
      </w:r>
    </w:p>
    <w:p w14:paraId="676BA2DB">
      <w:pPr>
        <w:keepNext w:val="0"/>
        <w:keepLines w:val="0"/>
        <w:pageBreakBefore w:val="0"/>
        <w:widowControl w:val="0"/>
        <w:kinsoku/>
        <w:wordWrap/>
        <w:overflowPunct/>
        <w:topLinePunct w:val="0"/>
        <w:autoSpaceDE/>
        <w:autoSpaceDN/>
        <w:bidi w:val="0"/>
        <w:adjustRightInd w:val="0"/>
        <w:snapToGrid w:val="0"/>
        <w:spacing w:line="360" w:lineRule="auto"/>
        <w:ind w:right="-109" w:rightChars="-5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1ECA3A67">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4.澄清有关问题</w:t>
      </w:r>
    </w:p>
    <w:p w14:paraId="61B327F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14:paraId="742FB491">
      <w:pPr>
        <w:tabs>
          <w:tab w:val="left" w:pos="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4.2投标人不得对下列内容</w:t>
      </w:r>
      <w:r>
        <w:rPr>
          <w:rFonts w:hint="eastAsia" w:ascii="宋体" w:hAnsi="宋体" w:eastAsia="宋体" w:cs="宋体"/>
          <w:bCs/>
          <w:color w:val="auto"/>
          <w:sz w:val="24"/>
          <w:szCs w:val="24"/>
          <w:highlight w:val="none"/>
        </w:rPr>
        <w:t>进行澄清或补充：</w:t>
      </w:r>
    </w:p>
    <w:p w14:paraId="2015FDE8">
      <w:pPr>
        <w:tabs>
          <w:tab w:val="left" w:pos="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（1）开标时，</w:t>
      </w:r>
      <w:r>
        <w:rPr>
          <w:rFonts w:hint="eastAsia" w:ascii="宋体" w:hAnsi="宋体" w:eastAsia="宋体" w:cs="宋体"/>
          <w:bCs/>
          <w:color w:val="auto"/>
          <w:sz w:val="24"/>
          <w:szCs w:val="24"/>
          <w:highlight w:val="none"/>
        </w:rPr>
        <w:t>未宣读的投标价格、价格折扣等实质性内容。</w:t>
      </w:r>
    </w:p>
    <w:p w14:paraId="5093F9CD">
      <w:pPr>
        <w:tabs>
          <w:tab w:val="left" w:pos="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（2）不满足第二章投标须知第</w:t>
      </w:r>
      <w:r>
        <w:rPr>
          <w:rFonts w:hint="eastAsia" w:ascii="宋体" w:hAnsi="宋体" w:cs="宋体"/>
          <w:color w:val="auto"/>
          <w:sz w:val="24"/>
          <w:szCs w:val="24"/>
          <w:highlight w:val="none"/>
          <w:lang w:val="en-US" w:eastAsia="zh-CN"/>
        </w:rPr>
        <w:t>7</w:t>
      </w:r>
      <w:r>
        <w:rPr>
          <w:rFonts w:hint="eastAsia" w:ascii="宋体" w:hAnsi="宋体" w:eastAsia="宋体" w:cs="宋体"/>
          <w:color w:val="auto"/>
          <w:kern w:val="0"/>
          <w:sz w:val="24"/>
          <w:szCs w:val="24"/>
          <w:highlight w:val="none"/>
          <w:lang w:val="zh-CN"/>
        </w:rPr>
        <w:t>款</w:t>
      </w:r>
      <w:r>
        <w:rPr>
          <w:rFonts w:hint="eastAsia" w:ascii="宋体" w:hAnsi="宋体" w:eastAsia="宋体" w:cs="宋体"/>
          <w:bCs/>
          <w:color w:val="auto"/>
          <w:sz w:val="24"/>
          <w:szCs w:val="24"/>
          <w:highlight w:val="none"/>
        </w:rPr>
        <w:t>规定的</w:t>
      </w:r>
      <w:r>
        <w:rPr>
          <w:rFonts w:hint="eastAsia" w:ascii="宋体" w:hAnsi="宋体" w:eastAsia="宋体" w:cs="宋体"/>
          <w:color w:val="auto"/>
          <w:sz w:val="24"/>
          <w:szCs w:val="24"/>
          <w:highlight w:val="none"/>
        </w:rPr>
        <w:t>实质性要求的</w:t>
      </w:r>
      <w:r>
        <w:rPr>
          <w:rFonts w:hint="eastAsia" w:ascii="宋体" w:hAnsi="宋体" w:eastAsia="宋体" w:cs="宋体"/>
          <w:bCs/>
          <w:color w:val="auto"/>
          <w:sz w:val="24"/>
          <w:szCs w:val="24"/>
          <w:highlight w:val="none"/>
        </w:rPr>
        <w:t>投标文件内容</w:t>
      </w:r>
      <w:r>
        <w:rPr>
          <w:rFonts w:hint="eastAsia" w:ascii="宋体" w:hAnsi="宋体" w:eastAsia="宋体" w:cs="宋体"/>
          <w:color w:val="auto"/>
          <w:sz w:val="24"/>
          <w:szCs w:val="24"/>
          <w:highlight w:val="none"/>
        </w:rPr>
        <w:t>，</w:t>
      </w:r>
    </w:p>
    <w:p w14:paraId="139A419B">
      <w:pPr>
        <w:tabs>
          <w:tab w:val="left" w:pos="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计算错误将按以下方法修正：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若投标人拒绝接受上述修正，在评标时将其视为无效投标。</w:t>
      </w:r>
    </w:p>
    <w:p w14:paraId="39CE17AA">
      <w:pPr>
        <w:tabs>
          <w:tab w:val="left" w:pos="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投标人的澄清、说明或者补正应该采用书面形式，由法定代表人或其授权的代理人签字，并按评标委员会的通知要求递交。</w:t>
      </w:r>
    </w:p>
    <w:p w14:paraId="5EDC98FC">
      <w:pPr>
        <w:tabs>
          <w:tab w:val="left" w:pos="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有效的书面澄清材料，是投标文件的补充材料，成为投标文件的组成部分。</w:t>
      </w:r>
    </w:p>
    <w:p w14:paraId="2432059A">
      <w:pPr>
        <w:keepNext w:val="0"/>
        <w:keepLines w:val="0"/>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5.投标文件的详细</w:t>
      </w:r>
      <w:r>
        <w:rPr>
          <w:rFonts w:hint="eastAsia" w:ascii="宋体" w:hAnsi="宋体" w:eastAsia="宋体" w:cs="宋体"/>
          <w:b/>
          <w:color w:val="auto"/>
          <w:sz w:val="24"/>
          <w:szCs w:val="24"/>
          <w:highlight w:val="none"/>
        </w:rPr>
        <w:t>评审</w:t>
      </w:r>
    </w:p>
    <w:p w14:paraId="174D70B5">
      <w:pPr>
        <w:tabs>
          <w:tab w:val="left" w:pos="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5.1评标委员会应按照招标文件中规定的评标方法、</w:t>
      </w:r>
      <w:r>
        <w:rPr>
          <w:rFonts w:hint="eastAsia" w:ascii="宋体" w:hAnsi="宋体" w:eastAsia="宋体" w:cs="宋体"/>
          <w:color w:val="auto"/>
          <w:sz w:val="24"/>
          <w:szCs w:val="24"/>
          <w:highlight w:val="none"/>
        </w:rPr>
        <w:t>标准和评标因素，</w:t>
      </w:r>
      <w:r>
        <w:rPr>
          <w:rFonts w:hint="eastAsia" w:ascii="宋体" w:hAnsi="宋体" w:eastAsia="宋体" w:cs="宋体"/>
          <w:bCs/>
          <w:color w:val="auto"/>
          <w:sz w:val="24"/>
          <w:szCs w:val="24"/>
          <w:highlight w:val="none"/>
        </w:rPr>
        <w:t>对</w:t>
      </w:r>
      <w:r>
        <w:rPr>
          <w:rFonts w:hint="eastAsia" w:ascii="宋体" w:hAnsi="宋体" w:eastAsia="宋体" w:cs="宋体"/>
          <w:color w:val="auto"/>
          <w:sz w:val="24"/>
          <w:szCs w:val="24"/>
          <w:highlight w:val="none"/>
        </w:rPr>
        <w:t>资格性检查和符合性检查</w:t>
      </w:r>
      <w:r>
        <w:rPr>
          <w:rFonts w:hint="eastAsia" w:ascii="宋体" w:hAnsi="宋体" w:eastAsia="宋体" w:cs="宋体"/>
          <w:bCs/>
          <w:color w:val="auto"/>
          <w:sz w:val="24"/>
          <w:szCs w:val="24"/>
          <w:highlight w:val="none"/>
        </w:rPr>
        <w:t>合格的投标文件进行详细评审。</w:t>
      </w:r>
    </w:p>
    <w:p w14:paraId="6B8ABDB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sz w:val="24"/>
          <w:szCs w:val="24"/>
          <w:highlight w:val="none"/>
        </w:rPr>
        <w:t>评标时，评标委员会各成员应当独立对每个投标人的</w:t>
      </w:r>
      <w:r>
        <w:rPr>
          <w:rFonts w:hint="eastAsia" w:ascii="宋体" w:hAnsi="宋体" w:eastAsia="宋体" w:cs="宋体"/>
          <w:bCs/>
          <w:color w:val="auto"/>
          <w:sz w:val="24"/>
          <w:szCs w:val="24"/>
          <w:highlight w:val="none"/>
        </w:rPr>
        <w:t>投标文件</w:t>
      </w:r>
      <w:r>
        <w:rPr>
          <w:rFonts w:hint="eastAsia" w:ascii="宋体" w:hAnsi="宋体" w:eastAsia="宋体" w:cs="宋体"/>
          <w:color w:val="auto"/>
          <w:sz w:val="24"/>
          <w:szCs w:val="24"/>
          <w:highlight w:val="none"/>
        </w:rPr>
        <w:t>进行评价、评分，然后汇总每个投标人每项评分因素的得分。</w:t>
      </w:r>
    </w:p>
    <w:p w14:paraId="23D996A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eastAsia="宋体" w:cs="宋体"/>
          <w:b/>
          <w:color w:val="auto"/>
          <w:sz w:val="24"/>
          <w:szCs w:val="24"/>
          <w:highlight w:val="none"/>
        </w:rPr>
        <w:t>评分标准：</w:t>
      </w:r>
    </w:p>
    <w:p w14:paraId="5900E725">
      <w:pPr>
        <w:pStyle w:val="7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w:t>
      </w:r>
      <w:r>
        <w:rPr>
          <w:rFonts w:hint="eastAsia" w:ascii="宋体" w:hAnsi="宋体" w:cs="宋体"/>
          <w:bCs/>
          <w:color w:val="auto"/>
          <w:kern w:val="2"/>
          <w:sz w:val="24"/>
          <w:szCs w:val="24"/>
          <w:highlight w:val="none"/>
          <w:lang w:val="en-US" w:eastAsia="zh-CN" w:bidi="ar-SA"/>
        </w:rPr>
        <w:t>3</w:t>
      </w:r>
      <w:r>
        <w:rPr>
          <w:rFonts w:hint="eastAsia" w:ascii="宋体" w:hAnsi="宋体" w:eastAsia="宋体" w:cs="宋体"/>
          <w:bCs/>
          <w:color w:val="auto"/>
          <w:kern w:val="2"/>
          <w:sz w:val="24"/>
          <w:szCs w:val="24"/>
          <w:highlight w:val="none"/>
          <w:lang w:val="en-US" w:eastAsia="zh-CN" w:bidi="ar-SA"/>
        </w:rPr>
        <w:t>名中标候选人。</w:t>
      </w:r>
    </w:p>
    <w:p w14:paraId="112C433F">
      <w:pPr>
        <w:pStyle w:val="7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bCs/>
          <w:color w:val="auto"/>
          <w:kern w:val="2"/>
          <w:sz w:val="24"/>
          <w:szCs w:val="24"/>
          <w:highlight w:val="none"/>
          <w:lang w:val="en-US" w:eastAsia="zh-CN" w:bidi="ar-SA"/>
        </w:rPr>
      </w:pPr>
    </w:p>
    <w:p w14:paraId="4EDF1A58">
      <w:pPr>
        <w:pStyle w:val="9"/>
        <w:ind w:firstLine="0"/>
        <w:jc w:val="center"/>
        <w:outlineLvl w:val="9"/>
        <w:rPr>
          <w:rFonts w:hint="eastAsia" w:ascii="宋体" w:hAnsi="宋体"/>
          <w:b/>
          <w:bCs/>
          <w:color w:val="auto"/>
          <w:sz w:val="36"/>
          <w:szCs w:val="36"/>
          <w:highlight w:val="none"/>
        </w:rPr>
        <w:sectPr>
          <w:footerReference r:id="rId11" w:type="first"/>
          <w:headerReference r:id="rId9" w:type="default"/>
          <w:footerReference r:id="rId10" w:type="default"/>
          <w:pgSz w:w="11905" w:h="16838"/>
          <w:pgMar w:top="1327" w:right="1406" w:bottom="1327" w:left="1406" w:header="850" w:footer="992" w:gutter="0"/>
          <w:pgBorders>
            <w:top w:val="none" w:sz="0" w:space="0"/>
            <w:left w:val="none" w:sz="0" w:space="0"/>
            <w:bottom w:val="none" w:sz="0" w:space="0"/>
            <w:right w:val="none" w:sz="0" w:space="0"/>
          </w:pgBorders>
          <w:pgNumType w:fmt="decimal" w:start="1"/>
          <w:cols w:space="720" w:num="1"/>
          <w:titlePg/>
          <w:docGrid w:type="lines" w:linePitch="315" w:charSpace="0"/>
        </w:sectPr>
      </w:pPr>
    </w:p>
    <w:p w14:paraId="3516B4CD">
      <w:pPr>
        <w:pStyle w:val="9"/>
        <w:ind w:firstLine="0"/>
        <w:jc w:val="center"/>
        <w:outlineLvl w:val="0"/>
        <w:rPr>
          <w:rFonts w:hint="eastAsia" w:ascii="宋体" w:hAnsi="宋体"/>
          <w:b/>
          <w:bCs/>
          <w:color w:val="auto"/>
          <w:sz w:val="36"/>
          <w:szCs w:val="36"/>
          <w:highlight w:val="none"/>
        </w:rPr>
      </w:pPr>
      <w:bookmarkStart w:id="38" w:name="_Toc11807"/>
      <w:bookmarkStart w:id="39" w:name="_Toc30865"/>
      <w:r>
        <w:rPr>
          <w:rFonts w:hint="eastAsia" w:ascii="宋体" w:hAnsi="宋体"/>
          <w:b/>
          <w:bCs/>
          <w:color w:val="auto"/>
          <w:sz w:val="36"/>
          <w:szCs w:val="36"/>
          <w:highlight w:val="none"/>
        </w:rPr>
        <w:t>详细评审</w:t>
      </w:r>
      <w:bookmarkEnd w:id="37"/>
      <w:bookmarkEnd w:id="38"/>
      <w:bookmarkEnd w:id="39"/>
    </w:p>
    <w:p w14:paraId="37450976">
      <w:pPr>
        <w:pStyle w:val="9"/>
        <w:ind w:left="0" w:leftChars="0" w:firstLine="0" w:firstLineChars="0"/>
        <w:jc w:val="both"/>
        <w:outlineLvl w:val="0"/>
        <w:rPr>
          <w:rFonts w:hint="eastAsia" w:ascii="宋体" w:hAnsi="宋体" w:eastAsia="宋体" w:cs="宋体"/>
          <w:color w:val="auto"/>
          <w:kern w:val="2"/>
          <w:sz w:val="24"/>
          <w:szCs w:val="22"/>
          <w:highlight w:val="none"/>
          <w:lang w:val="en-US" w:eastAsia="zh-CN" w:bidi="ar-SA"/>
        </w:rPr>
      </w:pPr>
      <w:bookmarkStart w:id="40" w:name="_Toc28007"/>
      <w:bookmarkStart w:id="41" w:name="_Toc16153"/>
      <w:r>
        <w:rPr>
          <w:rFonts w:hint="eastAsia" w:ascii="宋体" w:hAnsi="宋体" w:eastAsia="宋体" w:cs="宋体"/>
          <w:color w:val="auto"/>
          <w:kern w:val="2"/>
          <w:sz w:val="24"/>
          <w:szCs w:val="22"/>
          <w:highlight w:val="none"/>
          <w:lang w:val="en-US" w:eastAsia="zh-CN" w:bidi="ar-SA"/>
        </w:rPr>
        <w:t>打分方法：总分为100分，其中价格因素</w:t>
      </w:r>
      <w:r>
        <w:rPr>
          <w:rFonts w:hint="eastAsia" w:ascii="宋体" w:hAnsi="宋体" w:cs="宋体"/>
          <w:color w:val="auto"/>
          <w:kern w:val="2"/>
          <w:sz w:val="24"/>
          <w:szCs w:val="22"/>
          <w:highlight w:val="none"/>
          <w:lang w:val="en-US" w:eastAsia="zh-CN" w:bidi="ar-SA"/>
        </w:rPr>
        <w:t>10</w:t>
      </w:r>
      <w:r>
        <w:rPr>
          <w:rFonts w:hint="eastAsia" w:ascii="宋体" w:hAnsi="宋体" w:eastAsia="宋体" w:cs="宋体"/>
          <w:color w:val="auto"/>
          <w:kern w:val="2"/>
          <w:sz w:val="24"/>
          <w:szCs w:val="22"/>
          <w:highlight w:val="none"/>
          <w:lang w:val="en-US" w:eastAsia="zh-CN" w:bidi="ar-SA"/>
        </w:rPr>
        <w:t>分，技术因素、商务因素占</w:t>
      </w:r>
      <w:r>
        <w:rPr>
          <w:rFonts w:hint="eastAsia" w:ascii="宋体" w:hAnsi="宋体" w:cs="宋体"/>
          <w:color w:val="auto"/>
          <w:kern w:val="2"/>
          <w:sz w:val="24"/>
          <w:szCs w:val="22"/>
          <w:highlight w:val="none"/>
          <w:lang w:val="en-US" w:eastAsia="zh-CN" w:bidi="ar-SA"/>
        </w:rPr>
        <w:t>90</w:t>
      </w:r>
      <w:r>
        <w:rPr>
          <w:rFonts w:hint="eastAsia" w:ascii="宋体" w:hAnsi="宋体" w:eastAsia="宋体" w:cs="宋体"/>
          <w:color w:val="auto"/>
          <w:kern w:val="2"/>
          <w:sz w:val="24"/>
          <w:szCs w:val="22"/>
          <w:highlight w:val="none"/>
          <w:lang w:val="en-US" w:eastAsia="zh-CN" w:bidi="ar-SA"/>
        </w:rPr>
        <w:t>分。将每位供应商的价格得分、技术得分、商务得分相加即为该供应商的总得分。详细评分标准如下：</w:t>
      </w:r>
      <w:bookmarkEnd w:id="40"/>
      <w:bookmarkEnd w:id="41"/>
      <w:bookmarkStart w:id="118" w:name="_GoBack"/>
      <w:bookmarkEnd w:id="118"/>
    </w:p>
    <w:bookmarkEnd w:id="33"/>
    <w:tbl>
      <w:tblPr>
        <w:tblStyle w:val="25"/>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828"/>
        <w:gridCol w:w="6062"/>
        <w:gridCol w:w="649"/>
      </w:tblGrid>
      <w:tr w14:paraId="5BAD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46" w:type="dxa"/>
            <w:gridSpan w:val="4"/>
            <w:vAlign w:val="center"/>
          </w:tcPr>
          <w:p w14:paraId="1149C9ED">
            <w:pPr>
              <w:spacing w:line="520" w:lineRule="exact"/>
              <w:jc w:val="center"/>
              <w:rPr>
                <w:rFonts w:hint="default" w:ascii="宋体" w:hAnsi="宋体" w:eastAsia="宋体"/>
                <w:b/>
                <w:color w:val="auto"/>
                <w:szCs w:val="21"/>
                <w:highlight w:val="none"/>
                <w:lang w:val="en-US" w:eastAsia="zh-CN"/>
              </w:rPr>
            </w:pPr>
            <w:bookmarkStart w:id="42" w:name="_Toc5209"/>
            <w:bookmarkStart w:id="43" w:name="_Toc3783"/>
            <w:bookmarkStart w:id="44" w:name="_Toc6419"/>
            <w:bookmarkStart w:id="45" w:name="_Toc13611"/>
            <w:bookmarkStart w:id="46" w:name="_Toc478663356"/>
            <w:r>
              <w:rPr>
                <w:rFonts w:hint="eastAsia" w:ascii="宋体" w:hAnsi="宋体"/>
                <w:b/>
                <w:color w:val="auto"/>
                <w:szCs w:val="21"/>
                <w:highlight w:val="none"/>
                <w:lang w:val="en-US" w:eastAsia="zh-CN"/>
              </w:rPr>
              <w:t>评分表</w:t>
            </w:r>
          </w:p>
        </w:tc>
      </w:tr>
      <w:tr w14:paraId="1CCF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14:paraId="68AE5AB1">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828" w:type="dxa"/>
            <w:vAlign w:val="center"/>
          </w:tcPr>
          <w:p w14:paraId="5C7577A1">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评审内容</w:t>
            </w:r>
          </w:p>
        </w:tc>
        <w:tc>
          <w:tcPr>
            <w:tcW w:w="6062" w:type="dxa"/>
            <w:vAlign w:val="center"/>
          </w:tcPr>
          <w:p w14:paraId="3F56E099">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评分标准</w:t>
            </w:r>
          </w:p>
        </w:tc>
        <w:tc>
          <w:tcPr>
            <w:tcW w:w="649" w:type="dxa"/>
            <w:vAlign w:val="center"/>
          </w:tcPr>
          <w:p w14:paraId="3E5F18A7">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分值</w:t>
            </w:r>
          </w:p>
        </w:tc>
      </w:tr>
      <w:tr w14:paraId="1A65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14:paraId="21C54505">
            <w:pPr>
              <w:spacing w:line="520" w:lineRule="exact"/>
              <w:jc w:val="center"/>
              <w:rPr>
                <w:rFonts w:hint="eastAsia" w:ascii="宋体" w:hAnsi="宋体"/>
                <w:b/>
                <w:color w:val="auto"/>
                <w:szCs w:val="21"/>
                <w:highlight w:val="none"/>
              </w:rPr>
            </w:pPr>
            <w:r>
              <w:rPr>
                <w:rFonts w:hint="eastAsia" w:ascii="宋体" w:hAnsi="宋体"/>
                <w:b/>
                <w:color w:val="auto"/>
                <w:szCs w:val="21"/>
                <w:highlight w:val="none"/>
              </w:rPr>
              <w:t>1</w:t>
            </w:r>
          </w:p>
        </w:tc>
        <w:tc>
          <w:tcPr>
            <w:tcW w:w="1828" w:type="dxa"/>
            <w:vAlign w:val="center"/>
          </w:tcPr>
          <w:p w14:paraId="2E9BD91A">
            <w:pPr>
              <w:spacing w:line="520" w:lineRule="exact"/>
              <w:jc w:val="center"/>
              <w:rPr>
                <w:rFonts w:hint="eastAsia" w:ascii="宋体" w:hAnsi="宋体"/>
                <w:b/>
                <w:color w:val="auto"/>
                <w:szCs w:val="21"/>
                <w:highlight w:val="none"/>
              </w:rPr>
            </w:pPr>
            <w:r>
              <w:rPr>
                <w:rFonts w:hint="eastAsia" w:ascii="宋体" w:hAnsi="宋体"/>
                <w:b/>
                <w:color w:val="auto"/>
                <w:szCs w:val="21"/>
                <w:highlight w:val="none"/>
              </w:rPr>
              <w:t>投标报价</w:t>
            </w:r>
          </w:p>
        </w:tc>
        <w:tc>
          <w:tcPr>
            <w:tcW w:w="6062" w:type="dxa"/>
            <w:vAlign w:val="center"/>
          </w:tcPr>
          <w:p w14:paraId="1ED1323A">
            <w:pPr>
              <w:adjustRightInd w:val="0"/>
              <w:snapToGrid w:val="0"/>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各供应商的价格得分的计算公式：满足招标文件要求且投标价格最低的有效投标报价为评标基准价，其价格分为满分。其他投标人的价格分统一按照下列公式计算：投标报价得分=(评标基准价／投标报价)×最高分值；计算分数时四舍五入取小数点后两位。由监标人员负责核准每个合格供应商的价格得分。</w:t>
            </w:r>
          </w:p>
          <w:p w14:paraId="559A3F1F">
            <w:pPr>
              <w:adjustRightInd w:val="0"/>
              <w:snapToGrid w:val="0"/>
              <w:spacing w:line="360" w:lineRule="exact"/>
              <w:jc w:val="left"/>
              <w:rPr>
                <w:rFonts w:hint="eastAsia" w:ascii="宋体" w:hAnsi="宋体" w:cs="宋体"/>
                <w:bCs/>
                <w:color w:val="auto"/>
                <w:szCs w:val="21"/>
                <w:highlight w:val="none"/>
              </w:rPr>
            </w:pPr>
            <w:r>
              <w:rPr>
                <w:rFonts w:hint="eastAsia" w:ascii="宋体" w:hAnsi="宋体" w:cs="宋体"/>
                <w:b/>
                <w:color w:val="auto"/>
                <w:szCs w:val="21"/>
                <w:highlight w:val="none"/>
              </w:rPr>
              <w:t>（注：若报价单位为</w:t>
            </w:r>
            <w:r>
              <w:rPr>
                <w:rFonts w:hint="eastAsia" w:ascii="宋体" w:hAnsi="宋体" w:cs="宋体"/>
                <w:b/>
                <w:color w:val="auto"/>
                <w:szCs w:val="21"/>
                <w:highlight w:val="none"/>
                <w:lang w:eastAsia="zh-CN"/>
              </w:rPr>
              <w:t>监狱</w:t>
            </w:r>
            <w:r>
              <w:rPr>
                <w:rFonts w:hint="eastAsia" w:ascii="宋体" w:hAnsi="宋体" w:cs="宋体"/>
                <w:b/>
                <w:color w:val="auto"/>
                <w:szCs w:val="21"/>
                <w:highlight w:val="none"/>
              </w:rPr>
              <w:t>企业、</w:t>
            </w:r>
            <w:r>
              <w:rPr>
                <w:rFonts w:hint="eastAsia" w:ascii="宋体" w:hAnsi="宋体" w:cs="宋体"/>
                <w:b/>
                <w:color w:val="auto"/>
                <w:szCs w:val="21"/>
                <w:highlight w:val="none"/>
                <w:lang w:eastAsia="zh-CN"/>
              </w:rPr>
              <w:t>残疾</w:t>
            </w:r>
            <w:r>
              <w:rPr>
                <w:rFonts w:hint="eastAsia" w:ascii="宋体" w:hAnsi="宋体" w:cs="宋体"/>
                <w:b/>
                <w:color w:val="auto"/>
                <w:szCs w:val="21"/>
                <w:highlight w:val="none"/>
              </w:rPr>
              <w:t>人福利企业</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视为小微企业</w:t>
            </w:r>
            <w:r>
              <w:rPr>
                <w:rFonts w:hint="eastAsia" w:ascii="宋体" w:hAnsi="宋体" w:cs="宋体"/>
                <w:b/>
                <w:color w:val="auto"/>
                <w:szCs w:val="21"/>
                <w:highlight w:val="none"/>
              </w:rPr>
              <w:t>，并提供相关证明资料，否则无效。）</w:t>
            </w:r>
          </w:p>
        </w:tc>
        <w:tc>
          <w:tcPr>
            <w:tcW w:w="649" w:type="dxa"/>
            <w:vAlign w:val="center"/>
          </w:tcPr>
          <w:p w14:paraId="2B5F083B">
            <w:pPr>
              <w:adjustRightInd w:val="0"/>
              <w:snapToGrid w:val="0"/>
              <w:spacing w:line="360" w:lineRule="exact"/>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0</w:t>
            </w:r>
          </w:p>
        </w:tc>
      </w:tr>
      <w:tr w14:paraId="1C28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46" w:type="dxa"/>
            <w:gridSpan w:val="4"/>
            <w:vAlign w:val="center"/>
          </w:tcPr>
          <w:p w14:paraId="61A2E047">
            <w:pPr>
              <w:adjustRightInd w:val="0"/>
              <w:snapToGrid w:val="0"/>
              <w:spacing w:line="360" w:lineRule="exact"/>
              <w:jc w:val="center"/>
              <w:rPr>
                <w:rFonts w:hint="eastAsia" w:ascii="宋体" w:hAnsi="宋体" w:cs="宋体"/>
                <w:bCs/>
                <w:color w:val="auto"/>
                <w:szCs w:val="21"/>
                <w:highlight w:val="none"/>
              </w:rPr>
            </w:pPr>
            <w:r>
              <w:rPr>
                <w:rFonts w:hint="eastAsia" w:ascii="宋体" w:hAnsi="宋体"/>
                <w:b/>
                <w:color w:val="auto"/>
                <w:szCs w:val="21"/>
                <w:highlight w:val="none"/>
              </w:rPr>
              <w:t>商务评分标准</w:t>
            </w:r>
          </w:p>
        </w:tc>
      </w:tr>
      <w:tr w14:paraId="7684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707" w:type="dxa"/>
            <w:vAlign w:val="center"/>
          </w:tcPr>
          <w:p w14:paraId="0CD73A06">
            <w:pPr>
              <w:spacing w:line="52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2</w:t>
            </w:r>
          </w:p>
        </w:tc>
        <w:tc>
          <w:tcPr>
            <w:tcW w:w="1828" w:type="dxa"/>
            <w:tcBorders>
              <w:right w:val="single" w:color="auto" w:sz="4" w:space="0"/>
            </w:tcBorders>
            <w:vAlign w:val="center"/>
          </w:tcPr>
          <w:p w14:paraId="4DFB2419">
            <w:pPr>
              <w:adjustRightInd w:val="0"/>
              <w:snapToGrid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类似业绩</w:t>
            </w:r>
          </w:p>
        </w:tc>
        <w:tc>
          <w:tcPr>
            <w:tcW w:w="6062" w:type="dxa"/>
            <w:tcBorders>
              <w:top w:val="single" w:color="auto" w:sz="4" w:space="0"/>
              <w:left w:val="single" w:color="auto" w:sz="4" w:space="0"/>
              <w:bottom w:val="single" w:color="auto" w:sz="4" w:space="0"/>
              <w:right w:val="single" w:color="auto" w:sz="4" w:space="0"/>
            </w:tcBorders>
            <w:vAlign w:val="top"/>
          </w:tcPr>
          <w:p w14:paraId="73CA3F3F">
            <w:pPr>
              <w:adjustRightInd w:val="0"/>
              <w:snapToGrid w:val="0"/>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根据投标人提供2023年04月01日至今项目业绩，每提供一项得2分，最高得</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分。须提供中标/成交通知书及合同扫描件（包含首页、合同标的、合同金额、签订时间等关键页必须清晰可见）。不提供或提供不清晰导致专家无法判断的不得分</w:t>
            </w:r>
          </w:p>
        </w:tc>
        <w:tc>
          <w:tcPr>
            <w:tcW w:w="649" w:type="dxa"/>
            <w:tcBorders>
              <w:left w:val="single" w:color="auto" w:sz="4" w:space="0"/>
            </w:tcBorders>
            <w:vAlign w:val="center"/>
          </w:tcPr>
          <w:p w14:paraId="0AFB1739">
            <w:pPr>
              <w:adjustRightInd w:val="0"/>
              <w:snapToGrid w:val="0"/>
              <w:spacing w:line="360" w:lineRule="exact"/>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r>
      <w:tr w14:paraId="6641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shd w:val="clear" w:color="auto" w:fill="auto"/>
            <w:vAlign w:val="center"/>
          </w:tcPr>
          <w:p w14:paraId="2B0E2D6C">
            <w:pPr>
              <w:spacing w:line="520" w:lineRule="exact"/>
              <w:jc w:val="center"/>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Cs w:val="21"/>
                <w:highlight w:val="none"/>
                <w:lang w:val="en-US" w:eastAsia="zh-CN"/>
              </w:rPr>
              <w:t>3</w:t>
            </w:r>
          </w:p>
        </w:tc>
        <w:tc>
          <w:tcPr>
            <w:tcW w:w="1828" w:type="dxa"/>
            <w:shd w:val="clear" w:color="auto" w:fill="auto"/>
            <w:vAlign w:val="center"/>
          </w:tcPr>
          <w:p w14:paraId="48579753">
            <w:pPr>
              <w:adjustRightInd w:val="0"/>
              <w:snapToGrid w:val="0"/>
              <w:spacing w:line="36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项目总监业绩</w:t>
            </w:r>
          </w:p>
        </w:tc>
        <w:tc>
          <w:tcPr>
            <w:tcW w:w="6062" w:type="dxa"/>
            <w:tcBorders>
              <w:top w:val="single" w:color="auto" w:sz="4" w:space="0"/>
            </w:tcBorders>
            <w:shd w:val="clear" w:color="auto" w:fill="auto"/>
            <w:vAlign w:val="center"/>
          </w:tcPr>
          <w:p w14:paraId="31764482">
            <w:pPr>
              <w:adjustRightInd w:val="0"/>
              <w:snapToGrid w:val="0"/>
              <w:spacing w:line="36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项目总监近三年2023年0</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月01日至今，以合同签订时间为准）完成的项目业绩（须提供中标（成交）通知书及监理合同，业绩证明材料须反映出项目总监），每提供一项得</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分，最多得</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分。</w:t>
            </w:r>
          </w:p>
        </w:tc>
        <w:tc>
          <w:tcPr>
            <w:tcW w:w="649" w:type="dxa"/>
            <w:shd w:val="clear" w:color="auto" w:fill="auto"/>
            <w:vAlign w:val="center"/>
          </w:tcPr>
          <w:p w14:paraId="72C6678D">
            <w:pPr>
              <w:adjustRightInd w:val="0"/>
              <w:snapToGrid w:val="0"/>
              <w:spacing w:line="360" w:lineRule="exact"/>
              <w:jc w:val="center"/>
              <w:rPr>
                <w:rFonts w:hint="eastAsia" w:ascii="宋体" w:hAnsi="宋体" w:cs="宋体" w:eastAsiaTheme="minorEastAsia"/>
                <w:bCs/>
                <w:color w:val="auto"/>
                <w:kern w:val="2"/>
                <w:sz w:val="21"/>
                <w:szCs w:val="21"/>
                <w:highlight w:val="none"/>
                <w:lang w:val="en-US" w:eastAsia="zh-CN" w:bidi="ar-SA"/>
              </w:rPr>
            </w:pPr>
            <w:r>
              <w:rPr>
                <w:rFonts w:hint="eastAsia" w:ascii="宋体" w:hAnsi="宋体" w:cs="宋体" w:eastAsiaTheme="minorEastAsia"/>
                <w:bCs/>
                <w:color w:val="auto"/>
                <w:szCs w:val="21"/>
                <w:highlight w:val="none"/>
                <w:lang w:val="en-US" w:eastAsia="zh-CN"/>
              </w:rPr>
              <w:t>6</w:t>
            </w:r>
          </w:p>
        </w:tc>
      </w:tr>
      <w:tr w14:paraId="52C3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shd w:val="clear" w:color="auto" w:fill="auto"/>
            <w:vAlign w:val="center"/>
          </w:tcPr>
          <w:p w14:paraId="6414490C">
            <w:pPr>
              <w:spacing w:line="520" w:lineRule="exact"/>
              <w:jc w:val="center"/>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Cs w:val="21"/>
                <w:highlight w:val="none"/>
                <w:lang w:val="en-US" w:eastAsia="zh-CN"/>
              </w:rPr>
              <w:t>4</w:t>
            </w:r>
          </w:p>
        </w:tc>
        <w:tc>
          <w:tcPr>
            <w:tcW w:w="1828" w:type="dxa"/>
            <w:shd w:val="clear" w:color="auto" w:fill="auto"/>
            <w:vAlign w:val="center"/>
          </w:tcPr>
          <w:p w14:paraId="62AFA3F5">
            <w:pPr>
              <w:adjustRightInd w:val="0"/>
              <w:snapToGrid w:val="0"/>
              <w:spacing w:line="36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color w:val="auto"/>
                <w:szCs w:val="21"/>
                <w:highlight w:val="none"/>
              </w:rPr>
              <w:t>项目参与人员</w:t>
            </w:r>
          </w:p>
        </w:tc>
        <w:tc>
          <w:tcPr>
            <w:tcW w:w="6062" w:type="dxa"/>
            <w:tcBorders>
              <w:top w:val="single" w:color="auto" w:sz="4" w:space="0"/>
            </w:tcBorders>
            <w:shd w:val="clear" w:color="auto" w:fill="auto"/>
            <w:vAlign w:val="center"/>
          </w:tcPr>
          <w:p w14:paraId="6985A41D">
            <w:pPr>
              <w:adjustRightInd w:val="0"/>
              <w:snapToGrid w:val="0"/>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1、依据拟投入本项目的监理人员一个得1分，最多得8分，其余不得分；</w:t>
            </w:r>
          </w:p>
          <w:p w14:paraId="716A0145">
            <w:pPr>
              <w:adjustRightInd w:val="0"/>
              <w:snapToGrid w:val="0"/>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2、拟投入本项目的其他人员（不含项目总监）具备相关专业中级职称每提供一个得0.5分，高级职称每提供一个得1分，同一人员仅按其最高职称计分，不重复计分，最多得4分；</w:t>
            </w:r>
          </w:p>
          <w:p w14:paraId="69A467E8">
            <w:pPr>
              <w:adjustRightInd w:val="0"/>
              <w:snapToGrid w:val="0"/>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3、项目总监具备大专及以上学历且具有高级职称的得2分；（另需后附学历证及职称证）</w:t>
            </w:r>
          </w:p>
          <w:p w14:paraId="6D1040E1">
            <w:pPr>
              <w:adjustRightInd w:val="0"/>
              <w:snapToGrid w:val="0"/>
              <w:spacing w:line="36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注：监理人员应附身份证、近三个月社保证明或职称证书。</w:t>
            </w:r>
          </w:p>
        </w:tc>
        <w:tc>
          <w:tcPr>
            <w:tcW w:w="649" w:type="dxa"/>
            <w:shd w:val="clear" w:color="auto" w:fill="auto"/>
            <w:vAlign w:val="center"/>
          </w:tcPr>
          <w:p w14:paraId="32830B1A">
            <w:pPr>
              <w:adjustRightInd w:val="0"/>
              <w:snapToGrid w:val="0"/>
              <w:spacing w:line="3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14</w:t>
            </w:r>
          </w:p>
        </w:tc>
      </w:tr>
      <w:tr w14:paraId="56C4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46" w:type="dxa"/>
            <w:gridSpan w:val="4"/>
            <w:vAlign w:val="center"/>
          </w:tcPr>
          <w:p w14:paraId="53A295AA">
            <w:pPr>
              <w:adjustRightInd w:val="0"/>
              <w:snapToGrid w:val="0"/>
              <w:spacing w:line="360" w:lineRule="exact"/>
              <w:jc w:val="center"/>
              <w:rPr>
                <w:rFonts w:hint="eastAsia" w:ascii="宋体" w:hAnsi="宋体" w:cs="宋体"/>
                <w:bCs/>
                <w:color w:val="auto"/>
                <w:szCs w:val="21"/>
                <w:highlight w:val="none"/>
              </w:rPr>
            </w:pPr>
            <w:r>
              <w:rPr>
                <w:rFonts w:hint="eastAsia" w:ascii="宋体" w:hAnsi="宋体"/>
                <w:b/>
                <w:color w:val="auto"/>
                <w:szCs w:val="21"/>
                <w:highlight w:val="none"/>
              </w:rPr>
              <w:t>技术评分标准</w:t>
            </w:r>
          </w:p>
        </w:tc>
      </w:tr>
      <w:tr w14:paraId="1F12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7" w:type="dxa"/>
            <w:tcBorders>
              <w:top w:val="single" w:color="auto" w:sz="4" w:space="0"/>
            </w:tcBorders>
            <w:vAlign w:val="center"/>
          </w:tcPr>
          <w:p w14:paraId="1CF63200">
            <w:pPr>
              <w:spacing w:line="52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5</w:t>
            </w:r>
          </w:p>
        </w:tc>
        <w:tc>
          <w:tcPr>
            <w:tcW w:w="1828" w:type="dxa"/>
            <w:tcBorders>
              <w:top w:val="single" w:color="auto" w:sz="4" w:space="0"/>
            </w:tcBorders>
            <w:vAlign w:val="center"/>
          </w:tcPr>
          <w:p w14:paraId="45D47593">
            <w:pPr>
              <w:adjustRightInd w:val="0"/>
              <w:snapToGrid w:val="0"/>
              <w:spacing w:line="360" w:lineRule="exact"/>
              <w:jc w:val="center"/>
              <w:rPr>
                <w:rFonts w:hint="eastAsia" w:ascii="宋体" w:hAnsi="宋体" w:cs="宋体"/>
                <w:b/>
                <w:bCs/>
                <w:color w:val="auto"/>
                <w:szCs w:val="21"/>
                <w:highlight w:val="none"/>
              </w:rPr>
            </w:pPr>
            <w:r>
              <w:rPr>
                <w:rFonts w:hint="eastAsia" w:ascii="宋体" w:hAnsi="宋体" w:eastAsia="宋体" w:cs="宋体"/>
                <w:b/>
                <w:color w:val="auto"/>
                <w:szCs w:val="21"/>
                <w:highlight w:val="none"/>
                <w:lang w:val="en-US" w:eastAsia="zh-CN"/>
              </w:rPr>
              <w:t>监理大纲服务总体方案</w:t>
            </w:r>
          </w:p>
        </w:tc>
        <w:tc>
          <w:tcPr>
            <w:tcW w:w="6062" w:type="dxa"/>
            <w:tcBorders>
              <w:bottom w:val="single" w:color="auto" w:sz="4" w:space="0"/>
            </w:tcBorders>
            <w:vAlign w:val="center"/>
          </w:tcPr>
          <w:p w14:paraId="7D0E483B">
            <w:pPr>
              <w:adjustRightInd w:val="0"/>
              <w:snapToGrid w:val="0"/>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监理根据本项目的特点和要求，制定监理总体方案，至少包括①监理目标范围内容、②监理工作流程、③监理机构设置、④人员计划、⑤监理岗位设置、⑥岗位职责、⑦监理工作措施检测监测方法⑧保证措施、⑨监理服务制度、⑩监理工作成果物。</w:t>
            </w:r>
          </w:p>
          <w:p w14:paraId="3D687CB9">
            <w:pPr>
              <w:adjustRightInd w:val="0"/>
              <w:snapToGrid w:val="0"/>
              <w:spacing w:line="360" w:lineRule="exact"/>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以上内容全部提供的得20分，每缺少一项内容扣2分；方案内容不完整或未能满足采购需求的或每有一处不具有针对性或逻辑性错误且不完整的扣1分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扣完为止。</w:t>
            </w:r>
          </w:p>
        </w:tc>
        <w:tc>
          <w:tcPr>
            <w:tcW w:w="649" w:type="dxa"/>
            <w:vAlign w:val="center"/>
          </w:tcPr>
          <w:p w14:paraId="3C38656E">
            <w:pPr>
              <w:adjustRightInd w:val="0"/>
              <w:snapToGrid w:val="0"/>
              <w:spacing w:line="360" w:lineRule="exact"/>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20</w:t>
            </w:r>
          </w:p>
        </w:tc>
      </w:tr>
      <w:tr w14:paraId="62F4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14:paraId="30E44625">
            <w:pPr>
              <w:spacing w:line="52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6</w:t>
            </w:r>
          </w:p>
        </w:tc>
        <w:tc>
          <w:tcPr>
            <w:tcW w:w="1828" w:type="dxa"/>
            <w:vAlign w:val="center"/>
          </w:tcPr>
          <w:p w14:paraId="666AA28F">
            <w:pPr>
              <w:adjustRightInd w:val="0"/>
              <w:snapToGrid w:val="0"/>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进度控制</w:t>
            </w:r>
          </w:p>
        </w:tc>
        <w:tc>
          <w:tcPr>
            <w:tcW w:w="6062" w:type="dxa"/>
            <w:tcBorders>
              <w:top w:val="single" w:color="auto" w:sz="4" w:space="0"/>
            </w:tcBorders>
            <w:vAlign w:val="center"/>
          </w:tcPr>
          <w:p w14:paraId="7361940E">
            <w:pPr>
              <w:adjustRightInd w:val="0"/>
              <w:snapToGrid w:val="0"/>
              <w:spacing w:line="36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监理根据本项目的特点和要求，制定进度控制，至少包括①进度控制目标、②进度控制流程、③进度控制方法、④进度控制措施、⑤进度变更控制，以上内容全部提供的得10分，每缺少一项内容扣2分；方案内容不完整或未能满足采购需求的或每有一处不具有针对性或逻辑性错误且不完整的扣1分</w:t>
            </w:r>
            <w:r>
              <w:rPr>
                <w:rFonts w:hint="eastAsia" w:ascii="宋体" w:hAnsi="宋体" w:cs="宋体"/>
                <w:bCs/>
                <w:color w:val="auto"/>
                <w:szCs w:val="21"/>
                <w:highlight w:val="none"/>
                <w:lang w:val="en-US" w:eastAsia="zh-CN"/>
              </w:rPr>
              <w:t>，扣完为止。</w:t>
            </w:r>
          </w:p>
        </w:tc>
        <w:tc>
          <w:tcPr>
            <w:tcW w:w="649" w:type="dxa"/>
            <w:vAlign w:val="center"/>
          </w:tcPr>
          <w:p w14:paraId="0A3372A4">
            <w:pPr>
              <w:adjustRightInd w:val="0"/>
              <w:snapToGrid w:val="0"/>
              <w:spacing w:line="360" w:lineRule="exact"/>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r>
      <w:tr w14:paraId="1A7B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14:paraId="2C7C941D">
            <w:pPr>
              <w:spacing w:line="52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7</w:t>
            </w:r>
          </w:p>
        </w:tc>
        <w:tc>
          <w:tcPr>
            <w:tcW w:w="1828" w:type="dxa"/>
            <w:vAlign w:val="center"/>
          </w:tcPr>
          <w:p w14:paraId="79D3B377">
            <w:pPr>
              <w:adjustRightInd w:val="0"/>
              <w:snapToGrid w:val="0"/>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成本控制</w:t>
            </w:r>
          </w:p>
        </w:tc>
        <w:tc>
          <w:tcPr>
            <w:tcW w:w="6062" w:type="dxa"/>
            <w:vAlign w:val="top"/>
          </w:tcPr>
          <w:p w14:paraId="6BB1436D">
            <w:pPr>
              <w:adjustRightInd w:val="0"/>
              <w:snapToGrid w:val="0"/>
              <w:spacing w:line="36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监理根据本项目的特点和要求，制定成本控制，至少包括①成本控制目标、②成本控制风险分析、③成本控制对策、④成本控制主要措施、⑤成本变更控制，以上内容全部提供的得10分，每缺少一项内容扣2分；方案内容不完整或未能满足采购需求的或每有一处不具有针对性或逻辑性错误且不完整的扣1分</w:t>
            </w:r>
            <w:r>
              <w:rPr>
                <w:rFonts w:hint="eastAsia" w:ascii="宋体" w:hAnsi="宋体" w:cs="宋体"/>
                <w:bCs/>
                <w:color w:val="auto"/>
                <w:szCs w:val="21"/>
                <w:highlight w:val="none"/>
                <w:lang w:val="en-US" w:eastAsia="zh-CN"/>
              </w:rPr>
              <w:t>，扣完为止</w:t>
            </w:r>
            <w:r>
              <w:rPr>
                <w:rFonts w:hint="eastAsia" w:ascii="宋体" w:hAnsi="宋体" w:eastAsia="宋体" w:cs="宋体"/>
                <w:bCs/>
                <w:color w:val="auto"/>
                <w:szCs w:val="21"/>
                <w:highlight w:val="none"/>
                <w:lang w:val="en-US" w:eastAsia="zh-CN"/>
              </w:rPr>
              <w:t>。</w:t>
            </w:r>
          </w:p>
        </w:tc>
        <w:tc>
          <w:tcPr>
            <w:tcW w:w="649" w:type="dxa"/>
            <w:vAlign w:val="center"/>
          </w:tcPr>
          <w:p w14:paraId="5857FFEA">
            <w:pPr>
              <w:adjustRightInd w:val="0"/>
              <w:snapToGrid w:val="0"/>
              <w:spacing w:line="360" w:lineRule="exact"/>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r>
      <w:tr w14:paraId="2B5F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707" w:type="dxa"/>
            <w:vAlign w:val="center"/>
          </w:tcPr>
          <w:p w14:paraId="3740E58B">
            <w:pPr>
              <w:spacing w:line="52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8</w:t>
            </w:r>
          </w:p>
        </w:tc>
        <w:tc>
          <w:tcPr>
            <w:tcW w:w="1828" w:type="dxa"/>
            <w:vAlign w:val="center"/>
          </w:tcPr>
          <w:p w14:paraId="36F5516A">
            <w:pPr>
              <w:adjustRightInd w:val="0"/>
              <w:snapToGrid w:val="0"/>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质量控制</w:t>
            </w:r>
          </w:p>
        </w:tc>
        <w:tc>
          <w:tcPr>
            <w:tcW w:w="6062" w:type="dxa"/>
            <w:vAlign w:val="top"/>
          </w:tcPr>
          <w:p w14:paraId="0986F1A7">
            <w:pPr>
              <w:adjustRightInd w:val="0"/>
              <w:snapToGrid w:val="0"/>
              <w:spacing w:line="36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监理根据本项目的特点和要求，制定质量控制，至少包括①质量控制目标、②质量控制措施、③质量控制对策，以上内容全部提供的得6分，每缺少一项内容扣2分；方案内容不完整或未能满足采购需求的或每有一处不具有针对性或逻辑性错误且不完整的扣0.5分</w:t>
            </w:r>
            <w:r>
              <w:rPr>
                <w:rFonts w:hint="eastAsia" w:ascii="宋体" w:hAnsi="宋体" w:cs="宋体"/>
                <w:bCs/>
                <w:color w:val="auto"/>
                <w:szCs w:val="21"/>
                <w:highlight w:val="none"/>
                <w:lang w:val="en-US" w:eastAsia="zh-CN"/>
              </w:rPr>
              <w:t>，扣完为止</w:t>
            </w:r>
            <w:r>
              <w:rPr>
                <w:rFonts w:hint="eastAsia" w:ascii="宋体" w:hAnsi="宋体" w:eastAsia="宋体" w:cs="宋体"/>
                <w:bCs/>
                <w:color w:val="auto"/>
                <w:szCs w:val="21"/>
                <w:highlight w:val="none"/>
                <w:lang w:val="en-US" w:eastAsia="zh-CN"/>
              </w:rPr>
              <w:t>。</w:t>
            </w:r>
          </w:p>
        </w:tc>
        <w:tc>
          <w:tcPr>
            <w:tcW w:w="649" w:type="dxa"/>
            <w:vAlign w:val="center"/>
          </w:tcPr>
          <w:p w14:paraId="6175912A">
            <w:pPr>
              <w:adjustRightInd w:val="0"/>
              <w:snapToGrid w:val="0"/>
              <w:spacing w:line="360" w:lineRule="exact"/>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6</w:t>
            </w:r>
          </w:p>
        </w:tc>
      </w:tr>
      <w:tr w14:paraId="1217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14:paraId="277F1813">
            <w:pPr>
              <w:spacing w:line="52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9</w:t>
            </w:r>
          </w:p>
        </w:tc>
        <w:tc>
          <w:tcPr>
            <w:tcW w:w="1828" w:type="dxa"/>
            <w:vAlign w:val="center"/>
          </w:tcPr>
          <w:p w14:paraId="34499635">
            <w:pPr>
              <w:adjustRightInd w:val="0"/>
              <w:snapToGrid w:val="0"/>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安全控制</w:t>
            </w:r>
          </w:p>
        </w:tc>
        <w:tc>
          <w:tcPr>
            <w:tcW w:w="6062" w:type="dxa"/>
            <w:vAlign w:val="top"/>
          </w:tcPr>
          <w:p w14:paraId="515B58AB">
            <w:pPr>
              <w:adjustRightInd w:val="0"/>
              <w:snapToGrid w:val="0"/>
              <w:spacing w:line="360" w:lineRule="exact"/>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监理根据本项目的特点和要求，制定安全控制，至少包括①安全控制目标、②安全控制措施、③安全控制对策，以上内容全部提供的得6分，每缺少一项内容扣2分；方案内容不完整或未能满足采购需求的或每有一处不具有针对性或逻辑性错误且不完整的扣0.5分</w:t>
            </w:r>
            <w:r>
              <w:rPr>
                <w:rFonts w:hint="eastAsia" w:ascii="宋体" w:hAnsi="宋体" w:cs="宋体"/>
                <w:bCs/>
                <w:color w:val="auto"/>
                <w:szCs w:val="21"/>
                <w:highlight w:val="none"/>
                <w:lang w:val="en-US" w:eastAsia="zh-CN"/>
              </w:rPr>
              <w:t>，扣完为止</w:t>
            </w:r>
            <w:r>
              <w:rPr>
                <w:rFonts w:hint="eastAsia" w:ascii="宋体" w:hAnsi="宋体" w:eastAsia="宋体" w:cs="宋体"/>
                <w:bCs/>
                <w:color w:val="auto"/>
                <w:szCs w:val="21"/>
                <w:highlight w:val="none"/>
                <w:lang w:val="en-US" w:eastAsia="zh-CN"/>
              </w:rPr>
              <w:t>。</w:t>
            </w:r>
          </w:p>
        </w:tc>
        <w:tc>
          <w:tcPr>
            <w:tcW w:w="649" w:type="dxa"/>
            <w:vAlign w:val="center"/>
          </w:tcPr>
          <w:p w14:paraId="47122588">
            <w:pPr>
              <w:adjustRightInd w:val="0"/>
              <w:snapToGrid w:val="0"/>
              <w:spacing w:line="360" w:lineRule="exact"/>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6</w:t>
            </w:r>
          </w:p>
        </w:tc>
      </w:tr>
      <w:tr w14:paraId="627F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07" w:type="dxa"/>
            <w:vAlign w:val="center"/>
          </w:tcPr>
          <w:p w14:paraId="753516EE">
            <w:pPr>
              <w:spacing w:line="520" w:lineRule="exact"/>
              <w:jc w:val="cente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10</w:t>
            </w:r>
          </w:p>
        </w:tc>
        <w:tc>
          <w:tcPr>
            <w:tcW w:w="1828" w:type="dxa"/>
            <w:vAlign w:val="center"/>
          </w:tcPr>
          <w:p w14:paraId="257CFB23">
            <w:pPr>
              <w:adjustRightInd w:val="0"/>
              <w:snapToGrid w:val="0"/>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组织协调</w:t>
            </w:r>
          </w:p>
        </w:tc>
        <w:tc>
          <w:tcPr>
            <w:tcW w:w="6062" w:type="dxa"/>
            <w:vAlign w:val="top"/>
          </w:tcPr>
          <w:p w14:paraId="36F56AA0">
            <w:pPr>
              <w:adjustRightInd w:val="0"/>
              <w:snapToGrid w:val="0"/>
              <w:spacing w:line="360" w:lineRule="exact"/>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监理根据本项目的特点和要求，制定项目的组织协调工作，至少包括①组织协调目标、②组织协调内容、③沟通协调机制、④组织协调主要措施，以上内容全部提供的得4分，每缺少一项内容扣1分；方案内容不完整或未能满足采购需求的或每有一处不具有针对性或逻辑性错误且不完整的扣0.5分</w:t>
            </w:r>
            <w:r>
              <w:rPr>
                <w:rFonts w:hint="eastAsia" w:ascii="宋体" w:hAnsi="宋体" w:cs="宋体"/>
                <w:bCs/>
                <w:color w:val="auto"/>
                <w:szCs w:val="21"/>
                <w:highlight w:val="none"/>
                <w:lang w:val="en-US" w:eastAsia="zh-CN"/>
              </w:rPr>
              <w:t>，扣完为止</w:t>
            </w:r>
            <w:r>
              <w:rPr>
                <w:rFonts w:hint="eastAsia" w:ascii="宋体" w:hAnsi="宋体" w:eastAsia="宋体" w:cs="宋体"/>
                <w:bCs/>
                <w:color w:val="auto"/>
                <w:szCs w:val="21"/>
                <w:highlight w:val="none"/>
                <w:lang w:val="en-US" w:eastAsia="zh-CN"/>
              </w:rPr>
              <w:t>。</w:t>
            </w:r>
          </w:p>
        </w:tc>
        <w:tc>
          <w:tcPr>
            <w:tcW w:w="649" w:type="dxa"/>
            <w:vAlign w:val="center"/>
          </w:tcPr>
          <w:p w14:paraId="7DAC775C">
            <w:pPr>
              <w:adjustRightInd w:val="0"/>
              <w:snapToGrid w:val="0"/>
              <w:spacing w:line="360" w:lineRule="exact"/>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4</w:t>
            </w:r>
          </w:p>
        </w:tc>
      </w:tr>
      <w:tr w14:paraId="3D7F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14:paraId="0D199274">
            <w:pPr>
              <w:spacing w:line="520" w:lineRule="exact"/>
              <w:jc w:val="cente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11</w:t>
            </w:r>
          </w:p>
        </w:tc>
        <w:tc>
          <w:tcPr>
            <w:tcW w:w="1828" w:type="dxa"/>
            <w:vAlign w:val="center"/>
          </w:tcPr>
          <w:p w14:paraId="12909D46">
            <w:pPr>
              <w:adjustRightInd w:val="0"/>
              <w:snapToGrid w:val="0"/>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zh-CN" w:eastAsia="zh-CN"/>
              </w:rPr>
              <w:t>售后服务方案及措</w:t>
            </w:r>
            <w:r>
              <w:rPr>
                <w:rFonts w:hint="eastAsia" w:ascii="宋体" w:hAnsi="宋体" w:eastAsia="宋体" w:cs="宋体"/>
                <w:b/>
                <w:color w:val="auto"/>
                <w:szCs w:val="21"/>
                <w:highlight w:val="none"/>
                <w:lang w:val="en-US" w:eastAsia="zh-CN"/>
              </w:rPr>
              <w:t>施</w:t>
            </w:r>
          </w:p>
        </w:tc>
        <w:tc>
          <w:tcPr>
            <w:tcW w:w="6062" w:type="dxa"/>
            <w:vAlign w:val="top"/>
          </w:tcPr>
          <w:p w14:paraId="69FF0B26">
            <w:pPr>
              <w:adjustRightInd w:val="0"/>
              <w:snapToGrid w:val="0"/>
              <w:spacing w:line="360" w:lineRule="exact"/>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售后服务方案及措施：针对本项目，提出有针对性的①售后服务和②监理服务承诺，以上内容全部提供的得4分，每缺少一项内容扣2分；方案内容不完整或未能满足采购需求的或每有一处不具有针对性或逻辑性错误且不完整的扣0.5分</w:t>
            </w:r>
            <w:r>
              <w:rPr>
                <w:rFonts w:hint="eastAsia" w:ascii="宋体" w:hAnsi="宋体" w:cs="宋体"/>
                <w:bCs/>
                <w:color w:val="auto"/>
                <w:szCs w:val="21"/>
                <w:highlight w:val="none"/>
                <w:lang w:val="en-US" w:eastAsia="zh-CN"/>
              </w:rPr>
              <w:t>，扣完为止</w:t>
            </w:r>
            <w:r>
              <w:rPr>
                <w:rFonts w:hint="eastAsia" w:ascii="宋体" w:hAnsi="宋体" w:eastAsia="宋体" w:cs="宋体"/>
                <w:bCs/>
                <w:color w:val="auto"/>
                <w:szCs w:val="21"/>
                <w:highlight w:val="none"/>
                <w:lang w:val="en-US" w:eastAsia="zh-CN"/>
              </w:rPr>
              <w:t>。</w:t>
            </w:r>
          </w:p>
        </w:tc>
        <w:tc>
          <w:tcPr>
            <w:tcW w:w="649" w:type="dxa"/>
            <w:vAlign w:val="center"/>
          </w:tcPr>
          <w:p w14:paraId="34C78920">
            <w:pPr>
              <w:pStyle w:val="88"/>
              <w:kinsoku w:val="0"/>
              <w:overflowPunct w:val="0"/>
              <w:adjustRightInd w:val="0"/>
              <w:snapToGrid w:val="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4</w:t>
            </w:r>
          </w:p>
        </w:tc>
      </w:tr>
    </w:tbl>
    <w:p w14:paraId="30A46D79">
      <w:pPr>
        <w:rPr>
          <w:rFonts w:hint="eastAsia"/>
          <w:color w:val="auto"/>
          <w:highlight w:val="none"/>
        </w:rPr>
      </w:pPr>
    </w:p>
    <w:p w14:paraId="306415FC">
      <w:pPr>
        <w:adjustRightInd w:val="0"/>
        <w:snapToGrid w:val="0"/>
        <w:spacing w:line="360" w:lineRule="exact"/>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3.评标方法</w:t>
      </w:r>
    </w:p>
    <w:p w14:paraId="34E79D4F">
      <w:pPr>
        <w:adjustRightInd w:val="0"/>
        <w:snapToGrid w:val="0"/>
        <w:spacing w:line="360" w:lineRule="exact"/>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本项目评标办法为综合评分法。评标委员会对满足招标文件实质性要求的投标文件，按照本章规定的评分标准进行打分，并按综合得分由高到低顺序推荐中标候选人，或根据招标人授权直接确定中标人。综合评分相等时，以投标报价低的优先；投标报价也相等的，由招标人自行确定。</w:t>
      </w:r>
    </w:p>
    <w:p w14:paraId="6563F1FC">
      <w:pPr>
        <w:spacing w:line="360" w:lineRule="exact"/>
        <w:jc w:val="center"/>
        <w:outlineLvl w:val="0"/>
        <w:rPr>
          <w:rFonts w:hint="eastAsia" w:ascii="宋体" w:hAnsi="宋体" w:eastAsia="宋体" w:cs="宋体"/>
          <w:b/>
          <w:color w:val="auto"/>
          <w:sz w:val="28"/>
          <w:szCs w:val="28"/>
          <w:highlight w:val="none"/>
        </w:rPr>
      </w:pPr>
    </w:p>
    <w:p w14:paraId="2CBA67B4">
      <w:pPr>
        <w:spacing w:line="360" w:lineRule="exact"/>
        <w:jc w:val="both"/>
        <w:outlineLvl w:val="0"/>
        <w:rPr>
          <w:rFonts w:hint="eastAsia" w:ascii="宋体" w:hAnsi="宋体" w:eastAsia="宋体" w:cs="宋体"/>
          <w:b/>
          <w:color w:val="auto"/>
          <w:sz w:val="28"/>
          <w:szCs w:val="28"/>
          <w:highlight w:val="none"/>
        </w:rPr>
      </w:pPr>
    </w:p>
    <w:p w14:paraId="2234EB48">
      <w:pPr>
        <w:spacing w:line="360" w:lineRule="exact"/>
        <w:jc w:val="both"/>
        <w:outlineLvl w:val="0"/>
        <w:rPr>
          <w:rFonts w:hint="eastAsia" w:ascii="宋体" w:hAnsi="宋体" w:eastAsia="宋体" w:cs="宋体"/>
          <w:b/>
          <w:color w:val="auto"/>
          <w:sz w:val="28"/>
          <w:szCs w:val="28"/>
          <w:highlight w:val="none"/>
        </w:rPr>
      </w:pPr>
    </w:p>
    <w:p w14:paraId="13DB6DBC">
      <w:pPr>
        <w:spacing w:line="360" w:lineRule="exact"/>
        <w:jc w:val="center"/>
        <w:outlineLvl w:val="0"/>
        <w:rPr>
          <w:rFonts w:hint="eastAsia" w:ascii="Times New Roman" w:hAnsi="Times New Roman" w:eastAsia="宋体" w:cs="Times New Roman"/>
          <w:b/>
          <w:bCs/>
          <w:color w:val="auto"/>
          <w:kern w:val="2"/>
          <w:sz w:val="36"/>
          <w:szCs w:val="36"/>
          <w:highlight w:val="none"/>
          <w:lang w:val="en-US" w:eastAsia="zh-CN" w:bidi="ar-SA"/>
        </w:rPr>
      </w:pPr>
    </w:p>
    <w:p w14:paraId="01B5C40D">
      <w:pPr>
        <w:spacing w:line="360" w:lineRule="exact"/>
        <w:jc w:val="center"/>
        <w:outlineLvl w:val="0"/>
        <w:rPr>
          <w:rFonts w:hint="eastAsia" w:ascii="Times New Roman" w:hAnsi="Times New Roman" w:eastAsia="宋体" w:cs="Times New Roman"/>
          <w:b/>
          <w:bCs/>
          <w:color w:val="auto"/>
          <w:kern w:val="2"/>
          <w:sz w:val="36"/>
          <w:szCs w:val="36"/>
          <w:highlight w:val="none"/>
          <w:lang w:val="en-US" w:eastAsia="zh-CN" w:bidi="ar-SA"/>
        </w:rPr>
      </w:pPr>
      <w:r>
        <w:rPr>
          <w:rFonts w:hint="eastAsia" w:ascii="Times New Roman" w:hAnsi="Times New Roman" w:eastAsia="宋体" w:cs="Times New Roman"/>
          <w:b/>
          <w:bCs/>
          <w:color w:val="auto"/>
          <w:kern w:val="2"/>
          <w:sz w:val="36"/>
          <w:szCs w:val="36"/>
          <w:highlight w:val="none"/>
          <w:lang w:val="en-US" w:eastAsia="zh-CN" w:bidi="ar-SA"/>
        </w:rPr>
        <w:t xml:space="preserve"> 第四章 合同格式</w:t>
      </w:r>
      <w:bookmarkEnd w:id="42"/>
      <w:bookmarkEnd w:id="43"/>
      <w:bookmarkEnd w:id="44"/>
      <w:bookmarkEnd w:id="45"/>
      <w:bookmarkEnd w:id="46"/>
    </w:p>
    <w:p w14:paraId="1AE8948C">
      <w:pPr>
        <w:spacing w:line="360" w:lineRule="exact"/>
        <w:jc w:val="center"/>
        <w:rPr>
          <w:rFonts w:hint="eastAsia" w:ascii="仿宋" w:hAnsi="仿宋" w:eastAsia="仿宋"/>
          <w:b/>
          <w:color w:val="auto"/>
          <w:sz w:val="36"/>
          <w:szCs w:val="32"/>
          <w:highlight w:val="none"/>
        </w:rPr>
      </w:pPr>
    </w:p>
    <w:p w14:paraId="6F8065AE">
      <w:pPr>
        <w:spacing w:line="460" w:lineRule="exact"/>
        <w:jc w:val="center"/>
        <w:rPr>
          <w:rFonts w:hint="eastAsia" w:ascii="方正仿宋_GB2312" w:hAnsi="方正仿宋_GB2312" w:eastAsia="方正仿宋_GB2312" w:cs="方正仿宋_GB2312"/>
          <w:b/>
          <w:bCs w:val="0"/>
          <w:color w:val="auto"/>
          <w:sz w:val="28"/>
          <w:szCs w:val="28"/>
          <w:lang w:eastAsia="zh-CN"/>
        </w:rPr>
      </w:pPr>
      <w:bookmarkStart w:id="47" w:name="_Toc420948021"/>
      <w:bookmarkStart w:id="48" w:name="_Toc478663360"/>
      <w:bookmarkStart w:id="49" w:name="_Toc31714"/>
      <w:bookmarkStart w:id="50" w:name="_Toc3891"/>
      <w:bookmarkStart w:id="51" w:name="_Toc20545"/>
      <w:r>
        <w:rPr>
          <w:rFonts w:hint="eastAsia" w:ascii="方正仿宋_GB2312" w:hAnsi="方正仿宋_GB2312" w:eastAsia="方正仿宋_GB2312" w:cs="方正仿宋_GB2312"/>
          <w:b/>
          <w:bCs w:val="0"/>
          <w:color w:val="auto"/>
          <w:sz w:val="28"/>
          <w:szCs w:val="28"/>
          <w:lang w:eastAsia="zh-CN"/>
        </w:rPr>
        <w:t>（</w:t>
      </w:r>
      <w:r>
        <w:rPr>
          <w:rFonts w:hint="eastAsia" w:ascii="方正仿宋_GB2312" w:hAnsi="方正仿宋_GB2312" w:eastAsia="方正仿宋_GB2312" w:cs="方正仿宋_GB2312"/>
          <w:b/>
          <w:bCs w:val="0"/>
          <w:color w:val="auto"/>
          <w:sz w:val="28"/>
          <w:szCs w:val="28"/>
        </w:rPr>
        <w:t>本合同仅供参考，以最终签订的合同为准</w:t>
      </w:r>
      <w:r>
        <w:rPr>
          <w:rFonts w:hint="eastAsia" w:ascii="方正仿宋_GB2312" w:hAnsi="方正仿宋_GB2312" w:eastAsia="方正仿宋_GB2312" w:cs="方正仿宋_GB2312"/>
          <w:b/>
          <w:bCs w:val="0"/>
          <w:color w:val="auto"/>
          <w:sz w:val="28"/>
          <w:szCs w:val="28"/>
          <w:lang w:eastAsia="zh-CN"/>
        </w:rPr>
        <w:t>）</w:t>
      </w:r>
    </w:p>
    <w:p w14:paraId="7BD7BB5F">
      <w:pPr>
        <w:pStyle w:val="17"/>
        <w:tabs>
          <w:tab w:val="left" w:pos="720"/>
          <w:tab w:val="left" w:pos="900"/>
          <w:tab w:val="left" w:pos="1260"/>
        </w:tabs>
        <w:adjustRightInd w:val="0"/>
        <w:spacing w:line="460" w:lineRule="exact"/>
        <w:rPr>
          <w:rFonts w:hint="eastAsia" w:ascii="方正仿宋_GB2312" w:hAnsi="方正仿宋_GB2312" w:eastAsia="方正仿宋_GB2312" w:cs="方正仿宋_GB2312"/>
          <w:b/>
          <w:sz w:val="28"/>
          <w:szCs w:val="28"/>
        </w:rPr>
      </w:pPr>
    </w:p>
    <w:p w14:paraId="3E8676DD">
      <w:pPr>
        <w:keepNext w:val="0"/>
        <w:keepLines w:val="0"/>
        <w:kinsoku/>
        <w:wordWrap/>
        <w:overflowPunct/>
        <w:topLinePunct w:val="0"/>
        <w:autoSpaceDE/>
        <w:autoSpaceDN/>
        <w:bidi w:val="0"/>
        <w:spacing w:line="460" w:lineRule="exact"/>
        <w:ind w:firstLine="480" w:firstLineChars="200"/>
        <w:textAlignment w:val="auto"/>
        <w:rPr>
          <w:rFonts w:hint="eastAsia" w:ascii="方正仿宋_GB2312" w:hAnsi="方正仿宋_GB2312" w:eastAsia="方正仿宋_GB2312" w:cs="方正仿宋_GB2312"/>
          <w:sz w:val="24"/>
          <w:szCs w:val="24"/>
        </w:rPr>
      </w:pPr>
      <w:bookmarkStart w:id="52" w:name="_Toc40119238"/>
      <w:bookmarkEnd w:id="52"/>
      <w:bookmarkStart w:id="53" w:name="_Toc40179339"/>
      <w:bookmarkEnd w:id="53"/>
      <w:bookmarkStart w:id="54" w:name="_Toc40114859"/>
      <w:bookmarkEnd w:id="54"/>
      <w:bookmarkStart w:id="55" w:name="_Toc40045356"/>
      <w:bookmarkEnd w:id="55"/>
      <w:bookmarkStart w:id="56" w:name="_Toc40129201"/>
      <w:bookmarkEnd w:id="56"/>
      <w:r>
        <w:rPr>
          <w:rFonts w:hint="eastAsia" w:ascii="方正仿宋_GB2312" w:hAnsi="方正仿宋_GB2312" w:eastAsia="方正仿宋_GB2312" w:cs="方正仿宋_GB2312"/>
          <w:sz w:val="24"/>
          <w:szCs w:val="24"/>
        </w:rPr>
        <w:t>（ＧＦ－2012－0202）</w:t>
      </w:r>
    </w:p>
    <w:p w14:paraId="1C3264CD">
      <w:pPr>
        <w:keepNext w:val="0"/>
        <w:keepLines w:val="0"/>
        <w:kinsoku/>
        <w:wordWrap/>
        <w:overflowPunct/>
        <w:topLinePunct w:val="0"/>
        <w:autoSpaceDE/>
        <w:autoSpaceDN/>
        <w:bidi w:val="0"/>
        <w:spacing w:line="460" w:lineRule="exact"/>
        <w:ind w:firstLine="480" w:firstLineChars="200"/>
        <w:textAlignment w:val="auto"/>
        <w:rPr>
          <w:rFonts w:hint="eastAsia" w:ascii="方正仿宋_GB2312" w:hAnsi="方正仿宋_GB2312" w:eastAsia="方正仿宋_GB2312" w:cs="方正仿宋_GB2312"/>
          <w:sz w:val="24"/>
          <w:szCs w:val="24"/>
        </w:rPr>
      </w:pPr>
    </w:p>
    <w:p w14:paraId="3FC38801">
      <w:pPr>
        <w:keepNext w:val="0"/>
        <w:keepLines w:val="0"/>
        <w:kinsoku/>
        <w:wordWrap/>
        <w:overflowPunct/>
        <w:topLinePunct w:val="0"/>
        <w:autoSpaceDE/>
        <w:autoSpaceDN/>
        <w:bidi w:val="0"/>
        <w:spacing w:line="460" w:lineRule="exact"/>
        <w:ind w:firstLine="480" w:firstLineChars="200"/>
        <w:textAlignment w:val="auto"/>
        <w:rPr>
          <w:rFonts w:hint="eastAsia" w:ascii="方正仿宋_GB2312" w:hAnsi="方正仿宋_GB2312" w:eastAsia="方正仿宋_GB2312" w:cs="方正仿宋_GB2312"/>
          <w:sz w:val="24"/>
          <w:szCs w:val="24"/>
        </w:rPr>
      </w:pPr>
    </w:p>
    <w:p w14:paraId="6E844155">
      <w:pPr>
        <w:keepNext w:val="0"/>
        <w:keepLines w:val="0"/>
        <w:kinsoku/>
        <w:wordWrap/>
        <w:overflowPunct/>
        <w:topLinePunct w:val="0"/>
        <w:autoSpaceDE/>
        <w:autoSpaceDN/>
        <w:bidi w:val="0"/>
        <w:spacing w:line="460" w:lineRule="exact"/>
        <w:ind w:firstLine="480" w:firstLineChars="200"/>
        <w:textAlignment w:val="auto"/>
        <w:rPr>
          <w:rFonts w:hint="eastAsia" w:ascii="方正仿宋_GB2312" w:hAnsi="方正仿宋_GB2312" w:eastAsia="方正仿宋_GB2312" w:cs="方正仿宋_GB2312"/>
          <w:sz w:val="24"/>
          <w:szCs w:val="24"/>
        </w:rPr>
      </w:pPr>
    </w:p>
    <w:p w14:paraId="3D59545E">
      <w:pPr>
        <w:keepNext w:val="0"/>
        <w:keepLines w:val="0"/>
        <w:kinsoku/>
        <w:wordWrap/>
        <w:overflowPunct/>
        <w:topLinePunct w:val="0"/>
        <w:autoSpaceDE/>
        <w:autoSpaceDN/>
        <w:bidi w:val="0"/>
        <w:spacing w:line="460" w:lineRule="exact"/>
        <w:ind w:firstLine="482" w:firstLineChars="200"/>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建设工程监理合同</w:t>
      </w:r>
    </w:p>
    <w:p w14:paraId="52957AC3">
      <w:pPr>
        <w:keepNext w:val="0"/>
        <w:keepLines w:val="0"/>
        <w:kinsoku/>
        <w:wordWrap/>
        <w:overflowPunct/>
        <w:topLinePunct w:val="0"/>
        <w:autoSpaceDE/>
        <w:autoSpaceDN/>
        <w:bidi w:val="0"/>
        <w:spacing w:line="460" w:lineRule="exact"/>
        <w:ind w:firstLine="482" w:firstLineChars="200"/>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rPr>
        <w:t>示范文本</w:t>
      </w:r>
      <w:r>
        <w:rPr>
          <w:rFonts w:hint="eastAsia" w:ascii="方正仿宋_GB2312" w:hAnsi="方正仿宋_GB2312" w:eastAsia="方正仿宋_GB2312" w:cs="方正仿宋_GB2312"/>
          <w:b/>
          <w:bCs/>
          <w:sz w:val="24"/>
          <w:szCs w:val="24"/>
          <w:lang w:eastAsia="zh-CN"/>
        </w:rPr>
        <w:t>）</w:t>
      </w:r>
    </w:p>
    <w:p w14:paraId="1DC676C0">
      <w:pPr>
        <w:keepNext w:val="0"/>
        <w:keepLines w:val="0"/>
        <w:kinsoku/>
        <w:wordWrap/>
        <w:overflowPunct/>
        <w:topLinePunct w:val="0"/>
        <w:autoSpaceDE/>
        <w:autoSpaceDN/>
        <w:bidi w:val="0"/>
        <w:spacing w:line="460" w:lineRule="exact"/>
        <w:ind w:firstLine="480" w:firstLineChars="200"/>
        <w:textAlignment w:val="auto"/>
        <w:rPr>
          <w:rFonts w:hint="eastAsia" w:ascii="方正仿宋_GB2312" w:hAnsi="方正仿宋_GB2312" w:eastAsia="方正仿宋_GB2312" w:cs="方正仿宋_GB2312"/>
          <w:sz w:val="24"/>
          <w:szCs w:val="24"/>
        </w:rPr>
      </w:pPr>
    </w:p>
    <w:p w14:paraId="3FED16B8">
      <w:pPr>
        <w:keepNext w:val="0"/>
        <w:keepLines w:val="0"/>
        <w:kinsoku/>
        <w:wordWrap/>
        <w:overflowPunct/>
        <w:topLinePunct w:val="0"/>
        <w:autoSpaceDE/>
        <w:autoSpaceDN/>
        <w:bidi w:val="0"/>
        <w:spacing w:line="460" w:lineRule="exact"/>
        <w:ind w:firstLine="480" w:firstLineChars="200"/>
        <w:textAlignment w:val="auto"/>
        <w:rPr>
          <w:rFonts w:hint="eastAsia" w:ascii="方正仿宋_GB2312" w:hAnsi="方正仿宋_GB2312" w:eastAsia="方正仿宋_GB2312" w:cs="方正仿宋_GB2312"/>
          <w:sz w:val="24"/>
          <w:szCs w:val="24"/>
        </w:rPr>
      </w:pPr>
    </w:p>
    <w:p w14:paraId="0BB04D5A">
      <w:pPr>
        <w:keepNext w:val="0"/>
        <w:keepLines w:val="0"/>
        <w:kinsoku/>
        <w:wordWrap/>
        <w:overflowPunct/>
        <w:topLinePunct w:val="0"/>
        <w:autoSpaceDE/>
        <w:autoSpaceDN/>
        <w:bidi w:val="0"/>
        <w:spacing w:line="460" w:lineRule="exact"/>
        <w:ind w:firstLine="480" w:firstLineChars="200"/>
        <w:textAlignment w:val="auto"/>
        <w:rPr>
          <w:rFonts w:hint="eastAsia" w:ascii="方正仿宋_GB2312" w:hAnsi="方正仿宋_GB2312" w:eastAsia="方正仿宋_GB2312" w:cs="方正仿宋_GB2312"/>
          <w:sz w:val="24"/>
          <w:szCs w:val="24"/>
        </w:rPr>
      </w:pPr>
    </w:p>
    <w:p w14:paraId="394C7403">
      <w:pPr>
        <w:keepNext w:val="0"/>
        <w:keepLines w:val="0"/>
        <w:kinsoku/>
        <w:wordWrap/>
        <w:overflowPunct/>
        <w:topLinePunct w:val="0"/>
        <w:autoSpaceDE/>
        <w:autoSpaceDN/>
        <w:bidi w:val="0"/>
        <w:spacing w:line="460" w:lineRule="exact"/>
        <w:ind w:firstLine="480" w:firstLineChars="200"/>
        <w:textAlignment w:val="auto"/>
        <w:rPr>
          <w:rFonts w:hint="eastAsia" w:ascii="方正仿宋_GB2312" w:hAnsi="方正仿宋_GB2312" w:eastAsia="方正仿宋_GB2312" w:cs="方正仿宋_GB2312"/>
          <w:sz w:val="24"/>
          <w:szCs w:val="24"/>
        </w:rPr>
      </w:pPr>
    </w:p>
    <w:p w14:paraId="5488DE44">
      <w:pPr>
        <w:keepNext w:val="0"/>
        <w:keepLines w:val="0"/>
        <w:kinsoku/>
        <w:wordWrap/>
        <w:overflowPunct/>
        <w:topLinePunct w:val="0"/>
        <w:autoSpaceDE/>
        <w:autoSpaceDN/>
        <w:bidi w:val="0"/>
        <w:spacing w:line="460" w:lineRule="exact"/>
        <w:ind w:firstLine="480" w:firstLineChars="200"/>
        <w:textAlignment w:val="auto"/>
        <w:rPr>
          <w:rFonts w:hint="eastAsia" w:ascii="方正仿宋_GB2312" w:hAnsi="方正仿宋_GB2312" w:eastAsia="方正仿宋_GB2312" w:cs="方正仿宋_GB2312"/>
          <w:sz w:val="24"/>
          <w:szCs w:val="24"/>
        </w:rPr>
      </w:pPr>
    </w:p>
    <w:p w14:paraId="42254CB9">
      <w:pPr>
        <w:keepNext w:val="0"/>
        <w:keepLines w:val="0"/>
        <w:kinsoku/>
        <w:wordWrap/>
        <w:overflowPunct/>
        <w:topLinePunct w:val="0"/>
        <w:autoSpaceDE/>
        <w:autoSpaceDN/>
        <w:bidi w:val="0"/>
        <w:spacing w:line="460" w:lineRule="exact"/>
        <w:ind w:firstLine="480" w:firstLineChars="200"/>
        <w:textAlignment w:val="auto"/>
        <w:rPr>
          <w:rFonts w:hint="eastAsia" w:ascii="方正仿宋_GB2312" w:hAnsi="方正仿宋_GB2312" w:eastAsia="方正仿宋_GB2312" w:cs="方正仿宋_GB2312"/>
          <w:sz w:val="24"/>
          <w:szCs w:val="24"/>
        </w:rPr>
      </w:pPr>
    </w:p>
    <w:p w14:paraId="2EC5A889">
      <w:pPr>
        <w:keepNext w:val="0"/>
        <w:keepLines w:val="0"/>
        <w:kinsoku/>
        <w:wordWrap/>
        <w:overflowPunct/>
        <w:topLinePunct w:val="0"/>
        <w:autoSpaceDE/>
        <w:autoSpaceDN/>
        <w:bidi w:val="0"/>
        <w:spacing w:line="460" w:lineRule="exact"/>
        <w:ind w:firstLine="480" w:firstLineChars="200"/>
        <w:textAlignment w:val="auto"/>
        <w:rPr>
          <w:rFonts w:hint="eastAsia" w:ascii="方正仿宋_GB2312" w:hAnsi="方正仿宋_GB2312" w:eastAsia="方正仿宋_GB2312" w:cs="方正仿宋_GB2312"/>
          <w:sz w:val="24"/>
          <w:szCs w:val="24"/>
        </w:rPr>
      </w:pPr>
    </w:p>
    <w:p w14:paraId="0E4EA572">
      <w:pPr>
        <w:keepNext w:val="0"/>
        <w:keepLines w:val="0"/>
        <w:kinsoku/>
        <w:wordWrap/>
        <w:overflowPunct/>
        <w:topLinePunct w:val="0"/>
        <w:autoSpaceDE/>
        <w:autoSpaceDN/>
        <w:bidi w:val="0"/>
        <w:spacing w:line="460" w:lineRule="exact"/>
        <w:ind w:firstLine="480" w:firstLineChars="200"/>
        <w:textAlignment w:val="auto"/>
        <w:rPr>
          <w:rFonts w:hint="eastAsia" w:ascii="方正仿宋_GB2312" w:hAnsi="方正仿宋_GB2312" w:eastAsia="方正仿宋_GB2312" w:cs="方正仿宋_GB2312"/>
          <w:sz w:val="24"/>
          <w:szCs w:val="24"/>
        </w:rPr>
      </w:pPr>
    </w:p>
    <w:p w14:paraId="4B8437DA">
      <w:pPr>
        <w:keepNext w:val="0"/>
        <w:keepLines w:val="0"/>
        <w:kinsoku/>
        <w:wordWrap/>
        <w:overflowPunct/>
        <w:topLinePunct w:val="0"/>
        <w:autoSpaceDE/>
        <w:autoSpaceDN/>
        <w:bidi w:val="0"/>
        <w:spacing w:line="460" w:lineRule="exact"/>
        <w:ind w:firstLine="480" w:firstLineChars="200"/>
        <w:textAlignment w:val="auto"/>
        <w:rPr>
          <w:rFonts w:hint="eastAsia" w:ascii="方正仿宋_GB2312" w:hAnsi="方正仿宋_GB2312" w:eastAsia="方正仿宋_GB2312" w:cs="方正仿宋_GB2312"/>
          <w:sz w:val="24"/>
          <w:szCs w:val="24"/>
        </w:rPr>
      </w:pPr>
    </w:p>
    <w:p w14:paraId="2CBB82D8">
      <w:pPr>
        <w:keepNext w:val="0"/>
        <w:keepLines w:val="0"/>
        <w:kinsoku/>
        <w:wordWrap/>
        <w:overflowPunct/>
        <w:topLinePunct w:val="0"/>
        <w:autoSpaceDE/>
        <w:autoSpaceDN/>
        <w:bidi w:val="0"/>
        <w:spacing w:line="460" w:lineRule="exact"/>
        <w:ind w:firstLine="480" w:firstLineChars="200"/>
        <w:textAlignment w:val="auto"/>
        <w:rPr>
          <w:rFonts w:hint="eastAsia" w:ascii="方正仿宋_GB2312" w:hAnsi="方正仿宋_GB2312" w:eastAsia="方正仿宋_GB2312" w:cs="方正仿宋_GB2312"/>
          <w:sz w:val="24"/>
          <w:szCs w:val="24"/>
        </w:rPr>
      </w:pPr>
    </w:p>
    <w:p w14:paraId="6AF3DC61">
      <w:pPr>
        <w:keepNext w:val="0"/>
        <w:keepLines w:val="0"/>
        <w:kinsoku/>
        <w:wordWrap/>
        <w:overflowPunct/>
        <w:topLinePunct w:val="0"/>
        <w:autoSpaceDE/>
        <w:autoSpaceDN/>
        <w:bidi w:val="0"/>
        <w:spacing w:line="460" w:lineRule="exact"/>
        <w:ind w:firstLine="480" w:firstLineChars="200"/>
        <w:textAlignment w:val="auto"/>
        <w:rPr>
          <w:rFonts w:hint="eastAsia" w:ascii="方正仿宋_GB2312" w:hAnsi="方正仿宋_GB2312" w:eastAsia="方正仿宋_GB2312" w:cs="方正仿宋_GB2312"/>
          <w:sz w:val="24"/>
          <w:szCs w:val="24"/>
        </w:rPr>
      </w:pPr>
    </w:p>
    <w:p w14:paraId="54190375">
      <w:pPr>
        <w:keepNext w:val="0"/>
        <w:keepLines w:val="0"/>
        <w:kinsoku/>
        <w:wordWrap/>
        <w:overflowPunct/>
        <w:topLinePunct w:val="0"/>
        <w:autoSpaceDE/>
        <w:autoSpaceDN/>
        <w:bidi w:val="0"/>
        <w:spacing w:line="460" w:lineRule="exact"/>
        <w:ind w:firstLine="480" w:firstLineChars="200"/>
        <w:textAlignment w:val="auto"/>
        <w:rPr>
          <w:rFonts w:hint="eastAsia" w:ascii="方正仿宋_GB2312" w:hAnsi="方正仿宋_GB2312" w:eastAsia="方正仿宋_GB2312" w:cs="方正仿宋_GB2312"/>
          <w:sz w:val="24"/>
          <w:szCs w:val="24"/>
        </w:rPr>
      </w:pPr>
    </w:p>
    <w:p w14:paraId="4C49A2D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p w14:paraId="4AF5CC5B">
      <w:pPr>
        <w:keepNext w:val="0"/>
        <w:keepLines w:val="0"/>
        <w:kinsoku/>
        <w:wordWrap/>
        <w:overflowPunct/>
        <w:topLinePunct w:val="0"/>
        <w:autoSpaceDE/>
        <w:autoSpaceDN/>
        <w:bidi w:val="0"/>
        <w:spacing w:line="46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住房和城乡建设部</w:t>
      </w:r>
    </w:p>
    <w:p w14:paraId="3AD341D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制定</w:t>
      </w:r>
    </w:p>
    <w:p w14:paraId="44609F45">
      <w:pPr>
        <w:keepNext w:val="0"/>
        <w:keepLines w:val="0"/>
        <w:kinsoku/>
        <w:wordWrap/>
        <w:overflowPunct/>
        <w:topLinePunct w:val="0"/>
        <w:autoSpaceDE/>
        <w:autoSpaceDN/>
        <w:bidi w:val="0"/>
        <w:spacing w:line="46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国家工商行政管理总局</w:t>
      </w:r>
    </w:p>
    <w:p w14:paraId="47D1E35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p w14:paraId="431D5DE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38E2411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p w14:paraId="107254C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p w14:paraId="753E33E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p w14:paraId="3BC8622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第一部分  协议书</w:t>
      </w:r>
    </w:p>
    <w:p w14:paraId="11DEFB7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p w14:paraId="684CBEB1">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p w14:paraId="1FFD160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委托人（全称）：</w:t>
      </w:r>
      <w:r>
        <w:rPr>
          <w:rFonts w:hint="eastAsia" w:ascii="宋体" w:hAnsi="宋体" w:eastAsia="宋体" w:cs="宋体"/>
          <w:sz w:val="24"/>
          <w:szCs w:val="24"/>
          <w:u w:val="single"/>
        </w:rPr>
        <w:t xml:space="preserve">                                      </w:t>
      </w:r>
    </w:p>
    <w:p w14:paraId="123216A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监理人（全称）：</w:t>
      </w:r>
      <w:r>
        <w:rPr>
          <w:rFonts w:hint="eastAsia" w:ascii="宋体" w:hAnsi="宋体" w:eastAsia="宋体" w:cs="宋体"/>
          <w:sz w:val="24"/>
          <w:szCs w:val="24"/>
          <w:u w:val="single"/>
        </w:rPr>
        <w:t xml:space="preserve">                                      </w:t>
      </w:r>
    </w:p>
    <w:p w14:paraId="1E6825D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根据《中华人民共和国合同法》、《中华人民共和国建筑法》及其他有关法律、法规，遵循平等、自愿、公平和诚信的原则，双方就下述工程委托监理与相关服务事项协商一致，订立本合同。</w:t>
      </w:r>
    </w:p>
    <w:p w14:paraId="7A48DAB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一、工程概况</w:t>
      </w:r>
    </w:p>
    <w:p w14:paraId="52D4F2C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工程名称：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EF88B5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工程地点：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9FEE29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工程规模：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DB438A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工程概算投资额或建筑安装工程费：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1C5CD3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二、词语限定</w:t>
      </w:r>
    </w:p>
    <w:p w14:paraId="3FBE2612">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协议书中相关词语的含义与通用条件中的定义与解释相同。</w:t>
      </w:r>
    </w:p>
    <w:p w14:paraId="5D83161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三、组成本合同的文件</w:t>
      </w:r>
    </w:p>
    <w:p w14:paraId="3BBC14F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协议书；</w:t>
      </w:r>
    </w:p>
    <w:p w14:paraId="2B9E889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中标通知书（适用于招标工程）或委托书（适用于非招标工程）；</w:t>
      </w:r>
    </w:p>
    <w:p w14:paraId="0081FD5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投标文件（适用于招标工程）或监理与相关服务建议书（适用于非招标工程）；</w:t>
      </w:r>
    </w:p>
    <w:p w14:paraId="21E97F3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4. 专用条件；</w:t>
      </w:r>
    </w:p>
    <w:p w14:paraId="024866D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通用条件；</w:t>
      </w:r>
    </w:p>
    <w:p w14:paraId="4FCD4DB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附录，即：</w:t>
      </w:r>
    </w:p>
    <w:p w14:paraId="0EBF9D5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附录A  相关服务的范围和内容</w:t>
      </w:r>
    </w:p>
    <w:p w14:paraId="14B4F97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附录B  委托人派遣的人员和提供的房屋、资料、设备</w:t>
      </w:r>
    </w:p>
    <w:p w14:paraId="77DD0231">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本合同签订后，双方依法签订的补充协议也是本合同文件的组成部分。</w:t>
      </w:r>
    </w:p>
    <w:p w14:paraId="7F76A94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四、总监理工程师</w:t>
      </w:r>
    </w:p>
    <w:p w14:paraId="11BFA28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总监理工程师姓名：</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，注册号：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56CEAC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五、签约酬金</w:t>
      </w:r>
    </w:p>
    <w:p w14:paraId="7A377F41">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签约酬金（大写）：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E696E6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包括：</w:t>
      </w:r>
    </w:p>
    <w:p w14:paraId="2A9DC29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监理酬金：</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8FA549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相关服务酬金</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CA07A0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其中：</w:t>
      </w:r>
    </w:p>
    <w:p w14:paraId="1BDE9B52">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（1）勘察阶段服务酬金：</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1F014C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（2）设计阶段服务酬金：</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4F5BA3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（3）保修阶段服务酬金：</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7B81B7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（4）其他相关服务酬金：</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1C217F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六、期限</w:t>
      </w:r>
    </w:p>
    <w:p w14:paraId="6B90684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监理期限：</w:t>
      </w:r>
    </w:p>
    <w:p w14:paraId="67E7440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日始，至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14:paraId="2BE0314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相关服务期限：</w:t>
      </w:r>
    </w:p>
    <w:p w14:paraId="2F41633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（1）勘察阶段服务期限自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日始，至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14:paraId="3AC496F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（2）设计阶段服务期限自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日始，至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14:paraId="3B13CFF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（3）保修阶段服务期限自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日始，至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14:paraId="667283F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（4）其他相关服务期限自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日始，至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14:paraId="561AF7B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七、双方承诺</w:t>
      </w:r>
    </w:p>
    <w:p w14:paraId="49D3C581">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监理人向委托人承诺，按照本合同约定提供监理与相关服务。</w:t>
      </w:r>
    </w:p>
    <w:p w14:paraId="1822E62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委托人向监理人承诺，按照本合同约定派遣相应的人员，提供房屋、资料、设备，并按本合同约定支付酬金。</w:t>
      </w:r>
    </w:p>
    <w:p w14:paraId="7903CE1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八、合同订立</w:t>
      </w:r>
    </w:p>
    <w:p w14:paraId="57B494C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0FB01C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订立地点：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A5D057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rPr>
        <w:t xml:space="preserve">3. 本合同一式 </w:t>
      </w:r>
      <w:r>
        <w:rPr>
          <w:rFonts w:hint="eastAsia" w:ascii="宋体" w:hAnsi="宋体" w:eastAsia="宋体" w:cs="宋体"/>
          <w:sz w:val="24"/>
          <w:szCs w:val="24"/>
          <w:u w:val="single"/>
        </w:rPr>
        <w:t xml:space="preserve">   </w:t>
      </w:r>
      <w:r>
        <w:rPr>
          <w:rFonts w:hint="eastAsia" w:ascii="宋体" w:hAnsi="宋体" w:eastAsia="宋体" w:cs="宋体"/>
          <w:sz w:val="24"/>
          <w:szCs w:val="24"/>
        </w:rPr>
        <w:t>份，具有同等法律效力，双方各执</w:t>
      </w:r>
    </w:p>
    <w:p w14:paraId="35AEF21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7D25C11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委托人：</w:t>
      </w:r>
      <w:r>
        <w:rPr>
          <w:rFonts w:hint="eastAsia" w:ascii="宋体" w:hAnsi="宋体" w:eastAsia="宋体" w:cs="宋体"/>
          <w:sz w:val="24"/>
          <w:szCs w:val="24"/>
          <w:u w:val="single"/>
        </w:rPr>
        <w:t xml:space="preserve">   （盖章）        </w:t>
      </w:r>
      <w:r>
        <w:rPr>
          <w:rFonts w:hint="eastAsia" w:ascii="宋体" w:hAnsi="宋体" w:eastAsia="宋体" w:cs="宋体"/>
          <w:sz w:val="24"/>
          <w:szCs w:val="24"/>
        </w:rPr>
        <w:t>监理人：</w:t>
      </w:r>
      <w:r>
        <w:rPr>
          <w:rFonts w:hint="eastAsia" w:ascii="宋体" w:hAnsi="宋体" w:eastAsia="宋体" w:cs="宋体"/>
          <w:sz w:val="24"/>
          <w:szCs w:val="24"/>
          <w:u w:val="single"/>
        </w:rPr>
        <w:t xml:space="preserve">   （盖章）    </w:t>
      </w:r>
    </w:p>
    <w:p w14:paraId="13B6188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住所：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住所：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D02134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14:paraId="4E02D03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法定代表人或其授权       法定代表人或其授权</w:t>
      </w:r>
    </w:p>
    <w:p w14:paraId="5D3B983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z w:val="24"/>
          <w:szCs w:val="24"/>
          <w:u w:val="single"/>
        </w:rPr>
        <w:t xml:space="preserve">（签字）        </w:t>
      </w:r>
      <w:r>
        <w:rPr>
          <w:rFonts w:hint="eastAsia" w:ascii="宋体" w:hAnsi="宋体" w:eastAsia="宋体" w:cs="宋体"/>
          <w:sz w:val="24"/>
          <w:szCs w:val="24"/>
        </w:rPr>
        <w:t>的代理人：</w:t>
      </w:r>
      <w:r>
        <w:rPr>
          <w:rFonts w:hint="eastAsia" w:ascii="宋体" w:hAnsi="宋体" w:eastAsia="宋体" w:cs="宋体"/>
          <w:sz w:val="24"/>
          <w:szCs w:val="24"/>
          <w:u w:val="single"/>
        </w:rPr>
        <w:t xml:space="preserve">（签字）        </w:t>
      </w:r>
      <w:r>
        <w:rPr>
          <w:rFonts w:hint="eastAsia" w:ascii="宋体" w:hAnsi="宋体" w:eastAsia="宋体" w:cs="宋体"/>
          <w:sz w:val="24"/>
          <w:szCs w:val="24"/>
        </w:rPr>
        <w:t xml:space="preserve">  </w:t>
      </w:r>
    </w:p>
    <w:p w14:paraId="4243588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0DB7ED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账号：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38D6D71">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EDBA9C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520AC3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030F32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第二部分  通用条件</w:t>
      </w:r>
    </w:p>
    <w:p w14:paraId="178A753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p w14:paraId="1BFB282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定义与解释</w:t>
      </w:r>
    </w:p>
    <w:p w14:paraId="7FEBA3F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定义</w:t>
      </w:r>
    </w:p>
    <w:p w14:paraId="2ACE2F92">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除根据上下文另有其意义外，组成本合同的全部文件中的下列名词和用语应具有本款所赋予的含义：</w:t>
      </w:r>
    </w:p>
    <w:p w14:paraId="2C1785B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 “工程”是指按照本合同约定实施监理与相关服务的建设工程。</w:t>
      </w:r>
    </w:p>
    <w:p w14:paraId="0FA857A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“委托人”是指本合同中委托监理与相关服务的一方，及其合法的继承人或受让人。</w:t>
      </w:r>
    </w:p>
    <w:p w14:paraId="37ED250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“监理人”是指本合同中提供监理与相关服务的一方，及其合法的继承人。</w:t>
      </w:r>
    </w:p>
    <w:p w14:paraId="21910B4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“承包人”是指在工程范围内与委托人签订勘察、设计、施工等有关合同的当事人，及其合法的继承人。</w:t>
      </w:r>
    </w:p>
    <w:p w14:paraId="253801E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03A492B1">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 “相关服务”是指监理人受委托人的委托 ，按照本合同约定，在勘察、设计、保修等阶段提供的服务活动。</w:t>
      </w:r>
    </w:p>
    <w:p w14:paraId="22E5411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1.1.7 “正常工作”指本合同订立时通用条件和专用条件中约定的监理人的工作。</w:t>
      </w:r>
    </w:p>
    <w:p w14:paraId="2D0B74F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1.1.8 “附加工作”是指本合同约定的正常工作以外监理人的工作。</w:t>
      </w:r>
    </w:p>
    <w:p w14:paraId="14FE2CE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1.1.9 “项目监理机构”是指监理人派驻工程负责履行本合同的组织机构。</w:t>
      </w:r>
    </w:p>
    <w:p w14:paraId="203F9C4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1.1.10 “总监理工程师”是指由监理人的法定代表人书面授权，全面负责履行本合同、主持项目监理机构工作的注册监理工程师。</w:t>
      </w:r>
    </w:p>
    <w:p w14:paraId="153EA26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1.1.11 “酬金”是指监理人履行本合同义务，委托人按照本合同约定给付监理人的金额。</w:t>
      </w:r>
    </w:p>
    <w:p w14:paraId="1CFC422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1.1.12 “正常工作酬金”是指监理人完成正常工作，委托人应给付监理人并在协议书中载明的签约酬金额。</w:t>
      </w:r>
    </w:p>
    <w:p w14:paraId="6A9E33A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1.1.13 “附加工作酬金”是指监理人完成附加工作，委托人应给付监理人的金额。</w:t>
      </w:r>
    </w:p>
    <w:p w14:paraId="3C61A08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1.1.14 “一方”是指委托人或监理人；“双方”是指委托人和监理人；“第三方”是指除委托人和监理人以外的有关方。</w:t>
      </w:r>
    </w:p>
    <w:p w14:paraId="73AAC222">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1.1.15 “书面形式”是指合同书、信件和数据电文（包括电报、电传、传真、电子数据交换和电子邮件）等可以有形地表现所载内容的形式。</w:t>
      </w:r>
    </w:p>
    <w:p w14:paraId="12C56722">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1.1.16 “天”是指第一天零时至第二天零时的时间。</w:t>
      </w:r>
    </w:p>
    <w:p w14:paraId="31BB44C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1.1.17“月”是指按公历从一个月中任何一天开始的一个公历月时间。</w:t>
      </w:r>
    </w:p>
    <w:p w14:paraId="07467B6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7ED4A2F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解释</w:t>
      </w:r>
    </w:p>
    <w:p w14:paraId="28FAC47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1.2.1本合同使用中文书写、解释和说明。如专用条件约定使用两种及以上语言文字时，应以中文为准。</w:t>
      </w:r>
    </w:p>
    <w:p w14:paraId="21D1EA5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 组成本合同的下列文件彼此应能相互解释、互为说明。除专用条件另有约定外，本合同文件的解释顺序如下：</w:t>
      </w:r>
    </w:p>
    <w:p w14:paraId="364F42C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（1）协议书；</w:t>
      </w:r>
    </w:p>
    <w:p w14:paraId="538E8D9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（2）中标通知书（适用于招标工程）或委托书（适用于非招标工程）；</w:t>
      </w:r>
    </w:p>
    <w:p w14:paraId="4F4A7F9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（3）专用条件及附录A、附录B；</w:t>
      </w:r>
    </w:p>
    <w:p w14:paraId="70EB1B4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（4）通用条件；</w:t>
      </w:r>
    </w:p>
    <w:p w14:paraId="558C215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（5）投标文件（适用于招标工程）或监理与相关服务建议书（适用于非招标工程）。</w:t>
      </w:r>
    </w:p>
    <w:p w14:paraId="50EA180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双方签订的补充协议与其他文件发生矛盾或歧义时，属于同一类内容的文件，应以最新签署的为准。</w:t>
      </w:r>
    </w:p>
    <w:p w14:paraId="48FD2EB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监理人的义务</w:t>
      </w:r>
    </w:p>
    <w:p w14:paraId="7FE4171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 监理的范围和工作内容</w:t>
      </w:r>
    </w:p>
    <w:p w14:paraId="3784D37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 监理范围在专用条件中约定。</w:t>
      </w:r>
    </w:p>
    <w:p w14:paraId="5F2A79C2">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除专用条件另有约定外，监理工作内容包括：</w:t>
      </w:r>
    </w:p>
    <w:p w14:paraId="145D78E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（1）收到工程设计文件后编制监理规划，并在第一次工地会议7天前报委托人。根据有关规定和监理工作需要，编制监理实施细则；</w:t>
      </w:r>
    </w:p>
    <w:p w14:paraId="256B221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（2）熟悉工程设计文件，并参加由委托人主持的图纸会审和设计交底会议；</w:t>
      </w:r>
    </w:p>
    <w:p w14:paraId="63B6BDA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（3）参加由委托人主持的第一次工地会议；主持监理例会并根据工程需要主持或参加专题会议；</w:t>
      </w:r>
    </w:p>
    <w:p w14:paraId="1834F39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（4）审查施工承包人提交的施工组织设计，重点审查其中的质量安全技术措施、专项施工方案与工程建设强制性标准的符合性；</w:t>
      </w:r>
    </w:p>
    <w:p w14:paraId="6D8360C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（5）检查施工承包人工程质量、安全生产管理制度及组织机构和人员资格； </w:t>
      </w:r>
    </w:p>
    <w:p w14:paraId="309BBD9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（6）检查施工承包人专职安全生产管理人员的配备情况；</w:t>
      </w:r>
    </w:p>
    <w:p w14:paraId="06FFA6D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（7）审查施工承包人提交的施工进度计划，核查承包人对施工进度计划的调整；</w:t>
      </w:r>
    </w:p>
    <w:p w14:paraId="113CA84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（8）检查施工承包人的试验室；</w:t>
      </w:r>
    </w:p>
    <w:p w14:paraId="6D30180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（9）审核施工分包人资质条件；</w:t>
      </w:r>
    </w:p>
    <w:p w14:paraId="0FF1A34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（10）查验施工承包人的施工测量放线成果；</w:t>
      </w:r>
    </w:p>
    <w:p w14:paraId="6C42CD8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（11）审查工程开工条件，对条件具备的签发开工令；</w:t>
      </w:r>
    </w:p>
    <w:p w14:paraId="5A2E49D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（12）审查施工承包人报送的工程材料、构配件、设备质量证明文件的有效性和符合性，并按规定对用于工程的材料采取平行检验或见证取样方式进行抽检；</w:t>
      </w:r>
    </w:p>
    <w:p w14:paraId="653FEC3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（13）审核施工承包人提交的工程款支付申请，签发或出具工程款支付证书，并报委托人审核、批准；</w:t>
      </w:r>
    </w:p>
    <w:p w14:paraId="724D5D1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（14）在巡视、旁站和检验过程中，发现工程质量、施工安全存在事故隐患的，要求施工承包人整改并报委托人；</w:t>
      </w:r>
    </w:p>
    <w:p w14:paraId="2147B6A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（15）经委托人同意，签发工程暂停令和复工令；</w:t>
      </w:r>
    </w:p>
    <w:p w14:paraId="14B2745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（16）审查施工承包人提交的采用新材料、新工艺、新技术、新设备的论证材料及相关验收标准；</w:t>
      </w:r>
    </w:p>
    <w:p w14:paraId="15C8D2A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（17）验收隐蔽工程、分部分项工程；</w:t>
      </w:r>
    </w:p>
    <w:p w14:paraId="7B17120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（18）审查施工承包人提交的工程变更申请，协调处理施工进度调整、费用索赔、合同争议等事项；</w:t>
      </w:r>
    </w:p>
    <w:p w14:paraId="4131B6D2">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（19）审查施工承包人提交的竣工验收申请，编写工程质量评估报告；</w:t>
      </w:r>
    </w:p>
    <w:p w14:paraId="2F6F4A8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（20）参加工程竣工验收，签署竣工验收意见；</w:t>
      </w:r>
    </w:p>
    <w:p w14:paraId="5508F1B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（21）审查施工承包人提交的竣工结算申请并报委托人；</w:t>
      </w:r>
    </w:p>
    <w:p w14:paraId="660EEC8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（22）编制、整理工程监理归档文件并报委托人。</w:t>
      </w:r>
    </w:p>
    <w:p w14:paraId="47D1667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相关服务的范围和内容在附录A中约定。</w:t>
      </w:r>
    </w:p>
    <w:p w14:paraId="179E6B6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 监理与相关服务依据</w:t>
      </w:r>
    </w:p>
    <w:p w14:paraId="3FE3AC5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监理依据包括：</w:t>
      </w:r>
    </w:p>
    <w:p w14:paraId="60C2FFB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（1）适用的法律、行政法规及部门规章；</w:t>
      </w:r>
    </w:p>
    <w:p w14:paraId="52E94FB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（2）与工程有关的标准；</w:t>
      </w:r>
    </w:p>
    <w:p w14:paraId="669BF6A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（3）工程设计及有关文件；</w:t>
      </w:r>
    </w:p>
    <w:p w14:paraId="5CE0079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（4）本合同及委托人与第三方签订的与实施工程有关的其他合同。</w:t>
      </w:r>
    </w:p>
    <w:p w14:paraId="1CF9803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双方根据工程的行业和地域特点，在专用条件中具体约定监理依据。</w:t>
      </w:r>
    </w:p>
    <w:p w14:paraId="70B906C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相关服务依据在专用条件中约定。</w:t>
      </w:r>
    </w:p>
    <w:p w14:paraId="01208DC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 项目监理机构和人员</w:t>
      </w:r>
    </w:p>
    <w:p w14:paraId="6AE8C77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 监理人应组建满足工作需要的项目监理机构，配备必要的检测设备。项目监理机构的主要人员应具有相应的资格条件。</w:t>
      </w:r>
    </w:p>
    <w:p w14:paraId="64279E51">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2.3.2本合同履行过程中，总监理工程师及重要岗位监理人员应保持相对稳定，以保证监理工作正常进行。</w:t>
      </w:r>
    </w:p>
    <w:p w14:paraId="3ED0A72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551F08B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2.3.4 监理人应及时更换有下列情形之一的监理人员：</w:t>
      </w:r>
    </w:p>
    <w:p w14:paraId="1D54C7A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（1）严重过失行为的；</w:t>
      </w:r>
    </w:p>
    <w:p w14:paraId="4B65B74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（2）有违法行为不能履行职责的；</w:t>
      </w:r>
    </w:p>
    <w:p w14:paraId="24A74A8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（3）涉嫌犯罪的；</w:t>
      </w:r>
    </w:p>
    <w:p w14:paraId="245162F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（4）不能胜任岗位职责的；</w:t>
      </w:r>
    </w:p>
    <w:p w14:paraId="3516BFB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（5）严重违反职业道德的；</w:t>
      </w:r>
    </w:p>
    <w:p w14:paraId="66EFFBC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（6）专用条件约定的其他情形。</w:t>
      </w:r>
    </w:p>
    <w:p w14:paraId="6D77FA9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2.3.5 委托人可要求监理人更换不能胜任本职工作的项目监理机构人员。</w:t>
      </w:r>
    </w:p>
    <w:p w14:paraId="12FCD26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 履行职责</w:t>
      </w:r>
    </w:p>
    <w:p w14:paraId="1EC6327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监理人应遵循职业道德准则和行为规范，严格按照法律法规、工程建设有关标准及本合同履行职责。</w:t>
      </w:r>
    </w:p>
    <w:p w14:paraId="731B447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2.4.1 在监理与相关服务范围内，委托人和承包人提出的意见和要求，监理人应及时提出处置意见。当委托人与承包人之间发生合同争议时，监理人应协助委托人、承包人协商解决。</w:t>
      </w:r>
    </w:p>
    <w:p w14:paraId="17EC8B6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2.4.2 当委托人与承包人之间的合同争议提交仲裁机构仲裁或人民法院审理时，监理人应提供必要的证明资料。</w:t>
      </w:r>
    </w:p>
    <w:p w14:paraId="05287AE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2.4.3 监理人应在专用条件约定的授权范围内，处理委托人与承包人所签订合同的变更事宜。如果变更超过授权范围，应以书面形式报委托人批准。</w:t>
      </w:r>
    </w:p>
    <w:p w14:paraId="3202AF1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在紧急情况下，为了保护财产和人身安全，监理人所发出的指令未能事先报委托人批准时，应在发出指令后的24小时内以书面形式报委托人。</w:t>
      </w:r>
    </w:p>
    <w:p w14:paraId="7E24CD9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2.4.4 除专用条件另有约定外，监理人发现承包人的人员不能胜任本职工作的，有权要求承包人予以调换。</w:t>
      </w:r>
    </w:p>
    <w:p w14:paraId="634FC07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 提交报告</w:t>
      </w:r>
    </w:p>
    <w:p w14:paraId="01E099B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监理人应按专用条件约定的种类、时间和份数向委托人提交监理与相关服务的报告。</w:t>
      </w:r>
    </w:p>
    <w:p w14:paraId="52EC658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 文件资料</w:t>
      </w:r>
    </w:p>
    <w:p w14:paraId="74931E0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在本合同履行期内，监理人应在现场保留工作所用的图纸、报告及记录监理工作的相关文件。工程竣工后，应当按照档案管理规定将监理有关文件归档。</w:t>
      </w:r>
    </w:p>
    <w:p w14:paraId="7F6B6D5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 使用委托人的财产</w:t>
      </w:r>
    </w:p>
    <w:p w14:paraId="5508C0F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197F0F5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3．委托人的义务</w:t>
      </w:r>
    </w:p>
    <w:p w14:paraId="29AC569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 告知</w:t>
      </w:r>
    </w:p>
    <w:p w14:paraId="103E4AF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委托人应在委托人与承包人签订的合同中明确监理人、总监理工程师和授予项目监理机构的权限。如有变更，应及时通知承包人。</w:t>
      </w:r>
    </w:p>
    <w:p w14:paraId="764CC6B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 提供资料</w:t>
      </w:r>
    </w:p>
    <w:p w14:paraId="051536A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委托人应按照附录B约定，无偿向监理人提供工程有关的资料。在本合同履行过程中，委托人应及时向监理人提供最新的与工程有关的资料。</w:t>
      </w:r>
    </w:p>
    <w:p w14:paraId="37528FC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 提供工作条件</w:t>
      </w:r>
    </w:p>
    <w:p w14:paraId="403F28E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委托人应为监理人完成监理与相关服务提供必要的条件。</w:t>
      </w:r>
    </w:p>
    <w:p w14:paraId="20162A4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 委托人应按照附录B约定，派遣相应的人员，提供房屋、设备，供监理人无偿使用。</w:t>
      </w:r>
    </w:p>
    <w:p w14:paraId="68BD43F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 委托人应负责协调工程建设中所有外部关系，为监理人履行本合同提供必要的外部条件。</w:t>
      </w:r>
    </w:p>
    <w:p w14:paraId="62BFC7D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 委托人代表</w:t>
      </w:r>
    </w:p>
    <w:p w14:paraId="61A95BF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14:paraId="4D3D8F7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 委托人意见或要求</w:t>
      </w:r>
    </w:p>
    <w:p w14:paraId="510E944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在本合同约定的监理与相关服务工作范围内，委托人对承包人的任何意见或要求应通知监理人，由监理人向承包人发出相应指令。</w:t>
      </w:r>
    </w:p>
    <w:p w14:paraId="037E0DA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 答复</w:t>
      </w:r>
    </w:p>
    <w:p w14:paraId="517264E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委托人应在专用条件约定的时间内，对监理人以书面形式提交并要求作出决定的事宜，给予书面答复。逾期未答复的，视为委托人认可。</w:t>
      </w:r>
    </w:p>
    <w:p w14:paraId="45F8EF9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 支付</w:t>
      </w:r>
    </w:p>
    <w:p w14:paraId="389CDB8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委托人应按本合同约定，向监理人支付酬金。</w:t>
      </w:r>
    </w:p>
    <w:p w14:paraId="280438F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违约责任</w:t>
      </w:r>
    </w:p>
    <w:p w14:paraId="333787E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 监理人的违约责任</w:t>
      </w:r>
    </w:p>
    <w:p w14:paraId="7AF10BE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监理人未履行本合同义务的，应承担相应的责任。</w:t>
      </w:r>
    </w:p>
    <w:p w14:paraId="15D434D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4.1.1 因监理人违反本合同约定给委托人造成损失的，监理人应当赔偿委托人损失。赔偿金额的确定方法在专用条件中约定。监理人承担部分赔偿责任的，其承担赔偿金额由双方协商确定。</w:t>
      </w:r>
    </w:p>
    <w:p w14:paraId="3F8C899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4.1.2 监理人向委托人的索赔不成立时，监理人应赔偿委托人由此发生的费用。</w:t>
      </w:r>
    </w:p>
    <w:p w14:paraId="6AD6E83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 委托人的违约责任</w:t>
      </w:r>
    </w:p>
    <w:p w14:paraId="1162F31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委托人未履行本合同义务的，应承担相应的责任。</w:t>
      </w:r>
    </w:p>
    <w:p w14:paraId="00361E8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4.2.1 委托人违反本合同约定造成监理人损失的，委托人应予以赔偿。</w:t>
      </w:r>
    </w:p>
    <w:p w14:paraId="5D8DA781">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4.2.2 委托人向监理人的索赔不成立时，应赔偿监理人由此引起的费用。</w:t>
      </w:r>
    </w:p>
    <w:p w14:paraId="4777A52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4.2.3 委托人未能按期支付酬金超过28天，应按专用条件约定支付逾期付款利息。</w:t>
      </w:r>
    </w:p>
    <w:p w14:paraId="55CC2E3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 除外责任</w:t>
      </w:r>
    </w:p>
    <w:p w14:paraId="57A151F1">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因非监理人的原因，且监理人无过错，发生工程质量事故、安全事故、工期延误等造成的损失，监理人不承担赔偿责任。</w:t>
      </w:r>
    </w:p>
    <w:p w14:paraId="511E8DD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因不可抗力导致本合同全部或部分不能履行时，双方各自承担其因此而造成的损失、损害。</w:t>
      </w:r>
    </w:p>
    <w:p w14:paraId="30BBF71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支付</w:t>
      </w:r>
    </w:p>
    <w:p w14:paraId="2FE2706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 支付货币</w:t>
      </w:r>
    </w:p>
    <w:p w14:paraId="2472322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除专用条件另有约定外，酬金均以人民币支付。涉及外币支付的，所采用的货币种类、比例和汇率在专用条件中约定。</w:t>
      </w:r>
    </w:p>
    <w:p w14:paraId="60F320E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 支付申请</w:t>
      </w:r>
    </w:p>
    <w:p w14:paraId="6B5E3A7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监理人应在本合同约定的每次应付款时间的7天前，向委托人提交支付申请书。支付申请书应当说明当期应付款总额，并列出当期应支付的款项及其金额。</w:t>
      </w:r>
    </w:p>
    <w:p w14:paraId="19A9983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5.3 支付酬金</w:t>
      </w:r>
    </w:p>
    <w:p w14:paraId="181A2DE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支付的酬金包括正常工作酬金、附加工作酬金、合理化建议奖励金额及费用。</w:t>
      </w:r>
    </w:p>
    <w:p w14:paraId="7D62897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5.4 有争议部分的付款</w:t>
      </w:r>
    </w:p>
    <w:p w14:paraId="2F34C70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委托人对监理人提交的支付申请书有异议时，应当在收到监理人提交的支付申请书后7天内，以书面形式向监理人发出异议通知。无异议部分的款项应按期支付，有异议部分的款项按第7条约定办理。</w:t>
      </w:r>
    </w:p>
    <w:p w14:paraId="31C0C23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合同生效、变更、暂停、解除与终止</w:t>
      </w:r>
    </w:p>
    <w:p w14:paraId="38DC4AA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6.1生效</w:t>
      </w:r>
    </w:p>
    <w:p w14:paraId="1ED2D27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除法律另有规定或者专用条件另有约定外，委托人和监理人的法定代表人或其授权代理人在协议书上签字并盖单位章后本合同生效。</w:t>
      </w:r>
    </w:p>
    <w:p w14:paraId="60C500B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6.2变更</w:t>
      </w:r>
    </w:p>
    <w:p w14:paraId="4C7AB45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6.2.1 任何一方提出变更请求时，双方经协商一致后可进行变更。</w:t>
      </w:r>
    </w:p>
    <w:p w14:paraId="6E12830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5444207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09EF65F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6.2.4合同签订后，遇有与工程相关的法律法规、标准颁布或修订的，双方应遵照执行。由此引起监理与相关服务的范围、时间、酬金变化的，双方应通过协商进行相应调整。</w:t>
      </w:r>
    </w:p>
    <w:p w14:paraId="0026594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6.2.5 因非监理人原因造成工程概算投资额或建筑安装工程费增加时，正常工作酬金应作相应调整。调整方法在专用条件中约定。</w:t>
      </w:r>
    </w:p>
    <w:p w14:paraId="48867D2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6.2.6 因工程规模、监理范围的变化导致监理人的正常工作量减少时，正常工作酬金应作相应调整。调整方法在专用条件中约定。</w:t>
      </w:r>
    </w:p>
    <w:p w14:paraId="1965436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6.3 暂停与解除</w:t>
      </w:r>
    </w:p>
    <w:p w14:paraId="49C8D3D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除双方协商一致可以解除本合同外，当一方无正当理由未履行本合同约定的义务时，另一方可以根据本合同约定暂停履行本合同直至解除本合同。</w:t>
      </w:r>
    </w:p>
    <w:p w14:paraId="5CB726F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414D632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因解除本合同或解除监理人的部分义务导致监理人遭受的损失，除依法可以免除责任的情况外，应由委托人予以补偿，补偿金额由双方协商确定。</w:t>
      </w:r>
    </w:p>
    <w:p w14:paraId="70ADD9B2">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解除本合同的协议必须采取书面形式，协议未达成之前，本合同仍然有效。</w:t>
      </w:r>
    </w:p>
    <w:p w14:paraId="30797AA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41B985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075923D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3146EFB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512DEC5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6.3.5 因不可抗力致使本合同部分或全部不能履行时，一方应立即通知另一方，可暂停或解除本合同。</w:t>
      </w:r>
    </w:p>
    <w:p w14:paraId="7E33741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6.3.6 本合同解除后，本合同约定的有关结算、清理、争议解决方式的条件仍然有效。</w:t>
      </w:r>
    </w:p>
    <w:p w14:paraId="7FDFD11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 终止</w:t>
      </w:r>
    </w:p>
    <w:p w14:paraId="7840D801">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以下条件全部满足时，本合同即告终止：</w:t>
      </w:r>
    </w:p>
    <w:p w14:paraId="5EA8FA7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（1）监理人完成本合同约定的全部工作；</w:t>
      </w:r>
    </w:p>
    <w:p w14:paraId="26834AA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（2）委托人与监理人结清并支付全部酬金。</w:t>
      </w:r>
    </w:p>
    <w:p w14:paraId="2B106C7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争议解决</w:t>
      </w:r>
    </w:p>
    <w:p w14:paraId="2E6336E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7.1协商</w:t>
      </w:r>
    </w:p>
    <w:p w14:paraId="1F88422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双方应本着诚信原则协商解决彼此间的争议。</w:t>
      </w:r>
    </w:p>
    <w:p w14:paraId="25B4981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7.2调解</w:t>
      </w:r>
    </w:p>
    <w:p w14:paraId="50403AE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如果双方不能在14天内或双方商定的其他时间内解决本合同争议，可以将其提交给专用条件约定的或事后达成协议的调解人进行调解。</w:t>
      </w:r>
    </w:p>
    <w:p w14:paraId="3E9E1CE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7.3仲裁或诉讼</w:t>
      </w:r>
    </w:p>
    <w:p w14:paraId="314E77E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双方均有权不经调解直接向专用条件约定的仲裁机构申请仲裁或向有管辖权的人民法院提起诉讼。</w:t>
      </w:r>
    </w:p>
    <w:p w14:paraId="2CAAF92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其他</w:t>
      </w:r>
    </w:p>
    <w:p w14:paraId="6C9F94D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8.1 外出考察费用</w:t>
      </w:r>
    </w:p>
    <w:p w14:paraId="308FDDE1">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经委托人同意，监理人员外出考察发生的费用由委托人审核后支付。</w:t>
      </w:r>
    </w:p>
    <w:p w14:paraId="2AAD6BB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 检测费用</w:t>
      </w:r>
    </w:p>
    <w:p w14:paraId="4B7C60A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委托人要求监理人进行的材料和设备检测所发生的费用，由委托人支付，支付时间在专用条件中约定。</w:t>
      </w:r>
    </w:p>
    <w:p w14:paraId="046B36F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8.3 咨询费用</w:t>
      </w:r>
    </w:p>
    <w:p w14:paraId="7F12F1D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经委托人同意，根据工程需要由监理人组织的相关咨询论证会以及聘请相关专家等发生的费用由委托人支付，支付时间在专用条件中约定。</w:t>
      </w:r>
    </w:p>
    <w:p w14:paraId="45FC571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8.4 奖励</w:t>
      </w:r>
    </w:p>
    <w:p w14:paraId="2019583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监理人在服务过程中提出的合理化建议，使委托人获得经济效益的，双方在专用条件中约定奖励金额的确定方法。奖励金额在合理化建议被采纳后，与最近一期的正常工作酬金同期支付。</w:t>
      </w:r>
    </w:p>
    <w:p w14:paraId="2E48452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8.5 守法诚信</w:t>
      </w:r>
    </w:p>
    <w:p w14:paraId="6217508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监理人及其工作人员不得从与实施工程有关的第三方处获得任何经济利益。</w:t>
      </w:r>
    </w:p>
    <w:p w14:paraId="4DC3FFA1">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8.6 保密</w:t>
      </w:r>
    </w:p>
    <w:p w14:paraId="66D663B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双方不得泄露对方申明的保密资料，亦不得泄露与实施工程有关的第三方所提供的保密资料，保密事项在专用条件中约定。</w:t>
      </w:r>
    </w:p>
    <w:p w14:paraId="4D5B620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8.7 通知</w:t>
      </w:r>
    </w:p>
    <w:p w14:paraId="30CBD47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本合同涉及的通知均应当采用书面形式，并在送达对方时生效，收件人应书面签收。</w:t>
      </w:r>
    </w:p>
    <w:p w14:paraId="0DC3AD3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8.8 著作权</w:t>
      </w:r>
    </w:p>
    <w:p w14:paraId="01F1384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监理人对其编制的文件拥有著作权。</w:t>
      </w:r>
    </w:p>
    <w:p w14:paraId="0EA9992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39CCFBF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第三部分  专用条件</w:t>
      </w:r>
    </w:p>
    <w:p w14:paraId="5706266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定义与解释</w:t>
      </w:r>
    </w:p>
    <w:p w14:paraId="13006FA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解释</w:t>
      </w:r>
    </w:p>
    <w:p w14:paraId="483A8AA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 本合同文件除使用中文外，还可用</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8911E7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 约定本合同文件的解释顺序为：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6F0D778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监理人义务</w:t>
      </w:r>
    </w:p>
    <w:p w14:paraId="7DBA39A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 监理的范围和内容</w:t>
      </w:r>
    </w:p>
    <w:p w14:paraId="7EA0D53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 监理范围包括：</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468F08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监理工作内容还包括：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00DC62E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 监理与相关服务依据</w:t>
      </w:r>
    </w:p>
    <w:p w14:paraId="7AE02D6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监理依据包括</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49C4301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相关服务依据包括：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26076B9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2.3项目监理机构和人员</w:t>
      </w:r>
    </w:p>
    <w:p w14:paraId="5DD7DE3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2.3.4 更换监理人员的其他情形：</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331BB5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 履行职责</w:t>
      </w:r>
    </w:p>
    <w:p w14:paraId="497EE0D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2.4.3 对监理人的授权范围：</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B86FA5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在涉及工程延期</w:t>
      </w:r>
      <w:r>
        <w:rPr>
          <w:rFonts w:hint="eastAsia" w:ascii="宋体" w:hAnsi="宋体" w:eastAsia="宋体" w:cs="宋体"/>
          <w:sz w:val="24"/>
          <w:szCs w:val="24"/>
          <w:u w:val="single"/>
        </w:rPr>
        <w:t xml:space="preserve">      </w:t>
      </w:r>
      <w:r>
        <w:rPr>
          <w:rFonts w:hint="eastAsia" w:ascii="宋体" w:hAnsi="宋体" w:eastAsia="宋体" w:cs="宋体"/>
          <w:sz w:val="24"/>
          <w:szCs w:val="24"/>
        </w:rPr>
        <w:t>天内和（或）金额</w:t>
      </w:r>
      <w:r>
        <w:rPr>
          <w:rFonts w:hint="eastAsia" w:ascii="宋体" w:hAnsi="宋体" w:eastAsia="宋体" w:cs="宋体"/>
          <w:sz w:val="24"/>
          <w:szCs w:val="24"/>
          <w:u w:val="single"/>
        </w:rPr>
        <w:t xml:space="preserve">       </w:t>
      </w:r>
      <w:r>
        <w:rPr>
          <w:rFonts w:hint="eastAsia" w:ascii="宋体" w:hAnsi="宋体" w:eastAsia="宋体" w:cs="宋体"/>
          <w:sz w:val="24"/>
          <w:szCs w:val="24"/>
        </w:rPr>
        <w:t>万元内的变更，监理人不需请示委托人即可向承包人发布变更通知。</w:t>
      </w:r>
    </w:p>
    <w:p w14:paraId="0C2C2B8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2.4.4 监理人有权要求承包人调换其人员的限制条件：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649927C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 提交报告</w:t>
      </w:r>
    </w:p>
    <w:p w14:paraId="7FAFF63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监理人应提交报告的种类(包括监理规划、监理月报及约定的专项报告)、时间和份数：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3C20463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2.7 使用委托人的财产</w:t>
      </w:r>
    </w:p>
    <w:p w14:paraId="1E9B2BB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附录B中由委托人无偿提供的房屋、设备的所有权属于：</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102F29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监理人应在本合同终止后</w:t>
      </w:r>
      <w:r>
        <w:rPr>
          <w:rFonts w:hint="eastAsia" w:ascii="宋体" w:hAnsi="宋体" w:eastAsia="宋体" w:cs="宋体"/>
          <w:sz w:val="24"/>
          <w:szCs w:val="24"/>
          <w:u w:val="single"/>
        </w:rPr>
        <w:t xml:space="preserve">       </w:t>
      </w:r>
      <w:r>
        <w:rPr>
          <w:rFonts w:hint="eastAsia" w:ascii="宋体" w:hAnsi="宋体" w:eastAsia="宋体" w:cs="宋体"/>
          <w:sz w:val="24"/>
          <w:szCs w:val="24"/>
        </w:rPr>
        <w:t>天内移交委托人无偿提供的房屋、设备，移交的时间和方式为：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BA4126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 委托人义务  </w:t>
      </w:r>
    </w:p>
    <w:p w14:paraId="5AF706C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 委托人代表</w:t>
      </w:r>
    </w:p>
    <w:p w14:paraId="5749B77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委托人代表为</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1B84905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 答复</w:t>
      </w:r>
    </w:p>
    <w:p w14:paraId="1050998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委托人同意在</w:t>
      </w:r>
      <w:r>
        <w:rPr>
          <w:rFonts w:hint="eastAsia" w:ascii="宋体" w:hAnsi="宋体" w:eastAsia="宋体" w:cs="宋体"/>
          <w:sz w:val="24"/>
          <w:szCs w:val="24"/>
          <w:u w:val="single"/>
        </w:rPr>
        <w:t xml:space="preserve">        </w:t>
      </w:r>
      <w:r>
        <w:rPr>
          <w:rFonts w:hint="eastAsia" w:ascii="宋体" w:hAnsi="宋体" w:eastAsia="宋体" w:cs="宋体"/>
          <w:sz w:val="24"/>
          <w:szCs w:val="24"/>
        </w:rPr>
        <w:t>天内，对监理人书面提交并要求做出决定的事宜给予书面答复。</w:t>
      </w:r>
    </w:p>
    <w:p w14:paraId="79BBCE5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违约责任</w:t>
      </w:r>
    </w:p>
    <w:p w14:paraId="44C3490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 监理人的违约责任</w:t>
      </w:r>
    </w:p>
    <w:p w14:paraId="279EFDF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4.1.1监理人赔偿金额按下列方法确定：</w:t>
      </w:r>
    </w:p>
    <w:p w14:paraId="36638B92">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赔偿金＝直接经济损失×正常工作酬金÷工程概算投资额（或建筑安装工程费）</w:t>
      </w:r>
    </w:p>
    <w:p w14:paraId="4548363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 委托人的违约责任</w:t>
      </w:r>
    </w:p>
    <w:p w14:paraId="52B1893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4.2.3 委托人逾期付款利息按下列方法确定：</w:t>
      </w:r>
    </w:p>
    <w:p w14:paraId="086DC2A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逾期付款利息＝当期应付款总额×银行同期贷款利率×拖延支付天数</w:t>
      </w:r>
    </w:p>
    <w:p w14:paraId="0A78A15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支付</w:t>
      </w:r>
    </w:p>
    <w:p w14:paraId="1215664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5.1 支付货币</w:t>
      </w:r>
    </w:p>
    <w:p w14:paraId="2178C83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币种为</w:t>
      </w:r>
      <w:r>
        <w:rPr>
          <w:rFonts w:hint="eastAsia" w:ascii="宋体" w:hAnsi="宋体" w:eastAsia="宋体" w:cs="宋体"/>
          <w:sz w:val="24"/>
          <w:szCs w:val="24"/>
          <w:u w:val="none"/>
        </w:rPr>
        <w:t>：</w:t>
      </w:r>
      <w:r>
        <w:rPr>
          <w:rFonts w:hint="eastAsia" w:ascii="宋体" w:hAnsi="宋体" w:eastAsia="宋体" w:cs="宋体"/>
          <w:sz w:val="24"/>
          <w:szCs w:val="24"/>
          <w:u w:val="single"/>
        </w:rPr>
        <w:t xml:space="preserve">       </w:t>
      </w:r>
      <w:r>
        <w:rPr>
          <w:rFonts w:hint="eastAsia" w:ascii="宋体" w:hAnsi="宋体" w:eastAsia="宋体" w:cs="宋体"/>
          <w:sz w:val="24"/>
          <w:szCs w:val="24"/>
        </w:rPr>
        <w:t>，比例为：</w:t>
      </w:r>
      <w:r>
        <w:rPr>
          <w:rFonts w:hint="eastAsia" w:ascii="宋体" w:hAnsi="宋体" w:eastAsia="宋体" w:cs="宋体"/>
          <w:sz w:val="24"/>
          <w:szCs w:val="24"/>
          <w:u w:val="single"/>
        </w:rPr>
        <w:t xml:space="preserve">      </w:t>
      </w:r>
      <w:r>
        <w:rPr>
          <w:rFonts w:hint="eastAsia" w:ascii="宋体" w:hAnsi="宋体" w:eastAsia="宋体" w:cs="宋体"/>
          <w:sz w:val="24"/>
          <w:szCs w:val="24"/>
        </w:rPr>
        <w:t>，汇率为：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5D1367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 支付酬金</w:t>
      </w:r>
    </w:p>
    <w:p w14:paraId="128F852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正常工作酬金的支付：</w:t>
      </w:r>
    </w:p>
    <w:tbl>
      <w:tblPr>
        <w:tblStyle w:val="2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399"/>
        <w:gridCol w:w="1287"/>
        <w:gridCol w:w="2835"/>
      </w:tblGrid>
      <w:tr w14:paraId="78B4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center"/>
          </w:tcPr>
          <w:p w14:paraId="604A6E49">
            <w:pPr>
              <w:keepNext w:val="0"/>
              <w:keepLines w:val="0"/>
              <w:kinsoku/>
              <w:wordWrap/>
              <w:overflowPunct/>
              <w:topLinePunct w:val="0"/>
              <w:autoSpaceDE/>
              <w:autoSpaceDN/>
              <w:bidi w:val="0"/>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支付次数</w:t>
            </w:r>
          </w:p>
        </w:tc>
        <w:tc>
          <w:tcPr>
            <w:tcW w:w="2399" w:type="dxa"/>
            <w:noWrap w:val="0"/>
            <w:vAlign w:val="center"/>
          </w:tcPr>
          <w:p w14:paraId="7408F22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支付时间</w:t>
            </w:r>
          </w:p>
        </w:tc>
        <w:tc>
          <w:tcPr>
            <w:tcW w:w="1287" w:type="dxa"/>
            <w:noWrap w:val="0"/>
            <w:vAlign w:val="top"/>
          </w:tcPr>
          <w:p w14:paraId="5EC0B158">
            <w:pPr>
              <w:keepNext w:val="0"/>
              <w:keepLines w:val="0"/>
              <w:kinsoku/>
              <w:wordWrap/>
              <w:overflowPunct/>
              <w:topLinePunct w:val="0"/>
              <w:autoSpaceDE/>
              <w:autoSpaceDN/>
              <w:bidi w:val="0"/>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支付比例</w:t>
            </w:r>
          </w:p>
        </w:tc>
        <w:tc>
          <w:tcPr>
            <w:tcW w:w="2835" w:type="dxa"/>
            <w:noWrap w:val="0"/>
            <w:vAlign w:val="center"/>
          </w:tcPr>
          <w:p w14:paraId="407E802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支付金额（万元）</w:t>
            </w:r>
          </w:p>
        </w:tc>
      </w:tr>
      <w:tr w14:paraId="6C19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top"/>
          </w:tcPr>
          <w:p w14:paraId="4C0D83AF">
            <w:pPr>
              <w:keepNext w:val="0"/>
              <w:keepLines w:val="0"/>
              <w:kinsoku/>
              <w:wordWrap/>
              <w:overflowPunct/>
              <w:topLinePunct w:val="0"/>
              <w:autoSpaceDE/>
              <w:autoSpaceDN/>
              <w:bidi w:val="0"/>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首付款</w:t>
            </w:r>
          </w:p>
        </w:tc>
        <w:tc>
          <w:tcPr>
            <w:tcW w:w="2399" w:type="dxa"/>
            <w:noWrap w:val="0"/>
            <w:vAlign w:val="top"/>
          </w:tcPr>
          <w:p w14:paraId="2B95E81F">
            <w:pPr>
              <w:keepNext w:val="0"/>
              <w:keepLines w:val="0"/>
              <w:kinsoku/>
              <w:wordWrap/>
              <w:overflowPunct/>
              <w:topLinePunct w:val="0"/>
              <w:autoSpaceDE/>
              <w:autoSpaceDN/>
              <w:bidi w:val="0"/>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本合同签订后7天内</w:t>
            </w:r>
          </w:p>
        </w:tc>
        <w:tc>
          <w:tcPr>
            <w:tcW w:w="1287" w:type="dxa"/>
            <w:noWrap w:val="0"/>
            <w:vAlign w:val="top"/>
          </w:tcPr>
          <w:p w14:paraId="54F24AD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835" w:type="dxa"/>
            <w:noWrap w:val="0"/>
            <w:vAlign w:val="top"/>
          </w:tcPr>
          <w:p w14:paraId="74EA92E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6ADC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top"/>
          </w:tcPr>
          <w:p w14:paraId="475B2FEA">
            <w:pPr>
              <w:keepNext w:val="0"/>
              <w:keepLines w:val="0"/>
              <w:kinsoku/>
              <w:wordWrap/>
              <w:overflowPunct/>
              <w:topLinePunct w:val="0"/>
              <w:autoSpaceDE/>
              <w:autoSpaceDN/>
              <w:bidi w:val="0"/>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第二次付款</w:t>
            </w:r>
          </w:p>
        </w:tc>
        <w:tc>
          <w:tcPr>
            <w:tcW w:w="2399" w:type="dxa"/>
            <w:noWrap w:val="0"/>
            <w:vAlign w:val="top"/>
          </w:tcPr>
          <w:p w14:paraId="14B3A2C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287" w:type="dxa"/>
            <w:noWrap w:val="0"/>
            <w:vAlign w:val="top"/>
          </w:tcPr>
          <w:p w14:paraId="3CEDDB9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835" w:type="dxa"/>
            <w:noWrap w:val="0"/>
            <w:vAlign w:val="top"/>
          </w:tcPr>
          <w:p w14:paraId="0DED7E7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0AB4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top"/>
          </w:tcPr>
          <w:p w14:paraId="21E56C94">
            <w:pPr>
              <w:keepNext w:val="0"/>
              <w:keepLines w:val="0"/>
              <w:kinsoku/>
              <w:wordWrap/>
              <w:overflowPunct/>
              <w:topLinePunct w:val="0"/>
              <w:autoSpaceDE/>
              <w:autoSpaceDN/>
              <w:bidi w:val="0"/>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第三次付款</w:t>
            </w:r>
          </w:p>
        </w:tc>
        <w:tc>
          <w:tcPr>
            <w:tcW w:w="2399" w:type="dxa"/>
            <w:noWrap w:val="0"/>
            <w:vAlign w:val="top"/>
          </w:tcPr>
          <w:p w14:paraId="075DF40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287" w:type="dxa"/>
            <w:noWrap w:val="0"/>
            <w:vAlign w:val="top"/>
          </w:tcPr>
          <w:p w14:paraId="4F47677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835" w:type="dxa"/>
            <w:noWrap w:val="0"/>
            <w:vAlign w:val="top"/>
          </w:tcPr>
          <w:p w14:paraId="36E65A0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67D9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top"/>
          </w:tcPr>
          <w:p w14:paraId="2C66468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2399" w:type="dxa"/>
            <w:noWrap w:val="0"/>
            <w:vAlign w:val="top"/>
          </w:tcPr>
          <w:p w14:paraId="3F45C57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287" w:type="dxa"/>
            <w:noWrap w:val="0"/>
            <w:vAlign w:val="top"/>
          </w:tcPr>
          <w:p w14:paraId="386A437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835" w:type="dxa"/>
            <w:noWrap w:val="0"/>
            <w:vAlign w:val="top"/>
          </w:tcPr>
          <w:p w14:paraId="4D77394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57EB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top"/>
          </w:tcPr>
          <w:p w14:paraId="63B2E877">
            <w:pPr>
              <w:keepNext w:val="0"/>
              <w:keepLines w:val="0"/>
              <w:kinsoku/>
              <w:wordWrap/>
              <w:overflowPunct/>
              <w:topLinePunct w:val="0"/>
              <w:autoSpaceDE/>
              <w:autoSpaceDN/>
              <w:bidi w:val="0"/>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最后付款</w:t>
            </w:r>
          </w:p>
        </w:tc>
        <w:tc>
          <w:tcPr>
            <w:tcW w:w="2399" w:type="dxa"/>
            <w:noWrap w:val="0"/>
            <w:vAlign w:val="top"/>
          </w:tcPr>
          <w:p w14:paraId="146CCDB6">
            <w:pPr>
              <w:keepNext w:val="0"/>
              <w:keepLines w:val="0"/>
              <w:kinsoku/>
              <w:wordWrap/>
              <w:overflowPunct/>
              <w:topLinePunct w:val="0"/>
              <w:autoSpaceDE/>
              <w:autoSpaceDN/>
              <w:bidi w:val="0"/>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监理与相关服务期届满14天内</w:t>
            </w:r>
          </w:p>
        </w:tc>
        <w:tc>
          <w:tcPr>
            <w:tcW w:w="1287" w:type="dxa"/>
            <w:noWrap w:val="0"/>
            <w:vAlign w:val="top"/>
          </w:tcPr>
          <w:p w14:paraId="48B050E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835" w:type="dxa"/>
            <w:noWrap w:val="0"/>
            <w:vAlign w:val="top"/>
          </w:tcPr>
          <w:p w14:paraId="4BA67B9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bl>
    <w:p w14:paraId="6FD05F3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113A8CB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合同生效、变更、暂停、解除与终止</w:t>
      </w:r>
    </w:p>
    <w:p w14:paraId="7119C65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 生效</w:t>
      </w:r>
    </w:p>
    <w:p w14:paraId="0E43F57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本合同生效条件：</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E90884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 变更</w:t>
      </w:r>
    </w:p>
    <w:p w14:paraId="17642A3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6.2.2 除不可抗力外， 因非监理人原因导致本合同期限延长时，附加工作酬金按下列方法确定：</w:t>
      </w:r>
    </w:p>
    <w:p w14:paraId="5044B79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附加工作酬金=本合同期限延长时间（天）×正常工作酬金÷协议书约定的监理与相关服务期限（天）</w:t>
      </w:r>
    </w:p>
    <w:p w14:paraId="3543591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6.2.3附加工作酬金按下列方法确定：</w:t>
      </w:r>
    </w:p>
    <w:p w14:paraId="0E22C2B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附加工作酬金=善后工作及恢复服务的准备工作时间（天）×正常工作酬金÷协议书约定的监理与相关服务期限（天）</w:t>
      </w:r>
    </w:p>
    <w:p w14:paraId="40AAA59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6.2.5 正常工作酬金增加额按下列方法确定： </w:t>
      </w:r>
    </w:p>
    <w:p w14:paraId="0C08728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正常工作酬金增加额=工程投资额或建筑安装工程费增加额×正常工作酬金÷工程概算投资额（或建筑安装工程费）</w:t>
      </w:r>
    </w:p>
    <w:p w14:paraId="42E74A9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6.2.6 因工程规模、监理范围的变化导致监理人的正常工作量减少时，按减少工作量的比例从协议书约定的正常工作酬金中扣减相同比例的酬金。</w:t>
      </w:r>
    </w:p>
    <w:p w14:paraId="067D0162">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争议解决</w:t>
      </w:r>
    </w:p>
    <w:p w14:paraId="097A04A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 调解</w:t>
      </w:r>
    </w:p>
    <w:p w14:paraId="5BBE24A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本合同争议进行调解时，可提交进行调解。</w:t>
      </w:r>
    </w:p>
    <w:p w14:paraId="498E5C5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 仲裁或诉讼</w:t>
      </w:r>
    </w:p>
    <w:p w14:paraId="1094C33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合同争议的最终解决方式为下列第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w:t>
      </w:r>
    </w:p>
    <w:p w14:paraId="61AA264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（1）提请仲裁委员会进行仲裁。</w:t>
      </w:r>
    </w:p>
    <w:p w14:paraId="033C411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（2）向人民法院提起诉讼。</w:t>
      </w:r>
    </w:p>
    <w:p w14:paraId="41F3FED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其他</w:t>
      </w:r>
    </w:p>
    <w:p w14:paraId="73A3834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8.2 检测费用</w:t>
      </w:r>
    </w:p>
    <w:p w14:paraId="0A5C092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委托人应在检测工作完成后</w:t>
      </w:r>
      <w:r>
        <w:rPr>
          <w:rFonts w:hint="eastAsia" w:ascii="宋体" w:hAnsi="宋体" w:eastAsia="宋体" w:cs="宋体"/>
          <w:sz w:val="24"/>
          <w:szCs w:val="24"/>
          <w:u w:val="single"/>
        </w:rPr>
        <w:t xml:space="preserve">     </w:t>
      </w:r>
      <w:r>
        <w:rPr>
          <w:rFonts w:hint="eastAsia" w:ascii="宋体" w:hAnsi="宋体" w:eastAsia="宋体" w:cs="宋体"/>
          <w:sz w:val="24"/>
          <w:szCs w:val="24"/>
        </w:rPr>
        <w:t>天内支付检测费用。</w:t>
      </w:r>
    </w:p>
    <w:p w14:paraId="658C972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8.3 咨询费用</w:t>
      </w:r>
    </w:p>
    <w:p w14:paraId="7484400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委托人应在咨询工作完成后</w:t>
      </w:r>
      <w:r>
        <w:rPr>
          <w:rFonts w:hint="eastAsia" w:ascii="宋体" w:hAnsi="宋体" w:eastAsia="宋体" w:cs="宋体"/>
          <w:sz w:val="24"/>
          <w:szCs w:val="24"/>
          <w:u w:val="single"/>
        </w:rPr>
        <w:t xml:space="preserve">     </w:t>
      </w:r>
      <w:r>
        <w:rPr>
          <w:rFonts w:hint="eastAsia" w:ascii="宋体" w:hAnsi="宋体" w:eastAsia="宋体" w:cs="宋体"/>
          <w:sz w:val="24"/>
          <w:szCs w:val="24"/>
        </w:rPr>
        <w:t>天内支付咨询费用。</w:t>
      </w:r>
    </w:p>
    <w:p w14:paraId="6C4AFC9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8.4 奖励</w:t>
      </w:r>
    </w:p>
    <w:p w14:paraId="21B7EF72">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合理化建议的奖励金额按下列方法确定为：</w:t>
      </w:r>
    </w:p>
    <w:p w14:paraId="429CF11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奖励金额＝工程投资节省额×奖励金额的比率；</w:t>
      </w:r>
    </w:p>
    <w:p w14:paraId="1DB1D95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奖励金额的比率为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73F904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8.6 保密</w:t>
      </w:r>
    </w:p>
    <w:p w14:paraId="5DB7665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委托人申明的保密事项和期限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A28158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964A75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第三方申明的保密事项和期限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D45190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8.8著作权</w:t>
      </w:r>
    </w:p>
    <w:p w14:paraId="68A735C1">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监理人在本合同履行期间及本合同终止后两年内出版涉及本工程的有关监理与相关服务的资料的限制条件</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3B35B17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补充条款</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16F2CA6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附录A  相关服务的范围和内容</w:t>
      </w:r>
    </w:p>
    <w:p w14:paraId="3AB037E1">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A-1 勘察阶段：</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5853E2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A-2 设计阶段</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17C3A25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A-3 保修阶段：</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882CF7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A-4 其他（专业技术咨询、外部协调工作等）：</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443E5F2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p w14:paraId="4758BD9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p w14:paraId="4449271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附录B  委托人派遣的人员和提供的房屋、资料、设备</w:t>
      </w:r>
    </w:p>
    <w:p w14:paraId="4E1C2CD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B-1  委托人派遣的人员</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682D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14:paraId="029DAB9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1770" w:type="dxa"/>
            <w:noWrap w:val="0"/>
            <w:vAlign w:val="top"/>
          </w:tcPr>
          <w:p w14:paraId="16BA79E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2130" w:type="dxa"/>
            <w:noWrap w:val="0"/>
            <w:vAlign w:val="top"/>
          </w:tcPr>
          <w:p w14:paraId="2D04117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工作要求</w:t>
            </w:r>
          </w:p>
        </w:tc>
        <w:tc>
          <w:tcPr>
            <w:tcW w:w="1860" w:type="dxa"/>
            <w:noWrap w:val="0"/>
            <w:vAlign w:val="top"/>
          </w:tcPr>
          <w:p w14:paraId="62B59F2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提供时间</w:t>
            </w:r>
          </w:p>
        </w:tc>
      </w:tr>
      <w:tr w14:paraId="77CE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14:paraId="7C054952">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 工程技术人员 </w:t>
            </w:r>
          </w:p>
        </w:tc>
        <w:tc>
          <w:tcPr>
            <w:tcW w:w="1770" w:type="dxa"/>
            <w:noWrap w:val="0"/>
            <w:vAlign w:val="top"/>
          </w:tcPr>
          <w:p w14:paraId="08E3CCE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30" w:type="dxa"/>
            <w:noWrap w:val="0"/>
            <w:vAlign w:val="top"/>
          </w:tcPr>
          <w:p w14:paraId="2988995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860" w:type="dxa"/>
            <w:noWrap w:val="0"/>
            <w:vAlign w:val="top"/>
          </w:tcPr>
          <w:p w14:paraId="6F99A4E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763F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14:paraId="3A6EA29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辅助工作人员</w:t>
            </w:r>
          </w:p>
        </w:tc>
        <w:tc>
          <w:tcPr>
            <w:tcW w:w="1770" w:type="dxa"/>
            <w:noWrap w:val="0"/>
            <w:vAlign w:val="top"/>
          </w:tcPr>
          <w:p w14:paraId="3D6FC55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30" w:type="dxa"/>
            <w:noWrap w:val="0"/>
            <w:vAlign w:val="top"/>
          </w:tcPr>
          <w:p w14:paraId="0237F42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860" w:type="dxa"/>
            <w:noWrap w:val="0"/>
            <w:vAlign w:val="top"/>
          </w:tcPr>
          <w:p w14:paraId="2B69C3B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09E7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14:paraId="30B660E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其他人员</w:t>
            </w:r>
          </w:p>
        </w:tc>
        <w:tc>
          <w:tcPr>
            <w:tcW w:w="1770" w:type="dxa"/>
            <w:noWrap w:val="0"/>
            <w:vAlign w:val="top"/>
          </w:tcPr>
          <w:p w14:paraId="794BE76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30" w:type="dxa"/>
            <w:noWrap w:val="0"/>
            <w:vAlign w:val="top"/>
          </w:tcPr>
          <w:p w14:paraId="381BE77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860" w:type="dxa"/>
            <w:noWrap w:val="0"/>
            <w:vAlign w:val="top"/>
          </w:tcPr>
          <w:p w14:paraId="6040AAA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5AAE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14:paraId="258AA242">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770" w:type="dxa"/>
            <w:noWrap w:val="0"/>
            <w:vAlign w:val="top"/>
          </w:tcPr>
          <w:p w14:paraId="386365D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30" w:type="dxa"/>
            <w:noWrap w:val="0"/>
            <w:vAlign w:val="top"/>
          </w:tcPr>
          <w:p w14:paraId="6F84718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860" w:type="dxa"/>
            <w:noWrap w:val="0"/>
            <w:vAlign w:val="top"/>
          </w:tcPr>
          <w:p w14:paraId="322636F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bl>
    <w:p w14:paraId="3ED95D9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B-2  委托人提供的房屋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1900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2ECC11F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2130" w:type="dxa"/>
            <w:noWrap w:val="0"/>
            <w:vAlign w:val="top"/>
          </w:tcPr>
          <w:p w14:paraId="5B5B42A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2130" w:type="dxa"/>
            <w:noWrap w:val="0"/>
            <w:vAlign w:val="top"/>
          </w:tcPr>
          <w:p w14:paraId="2575079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面积</w:t>
            </w:r>
          </w:p>
        </w:tc>
        <w:tc>
          <w:tcPr>
            <w:tcW w:w="1860" w:type="dxa"/>
            <w:noWrap w:val="0"/>
            <w:vAlign w:val="top"/>
          </w:tcPr>
          <w:p w14:paraId="2A4E0BD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提供时间</w:t>
            </w:r>
          </w:p>
        </w:tc>
      </w:tr>
      <w:tr w14:paraId="5088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1685514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办公用房</w:t>
            </w:r>
          </w:p>
        </w:tc>
        <w:tc>
          <w:tcPr>
            <w:tcW w:w="2130" w:type="dxa"/>
            <w:noWrap w:val="0"/>
            <w:vAlign w:val="top"/>
          </w:tcPr>
          <w:p w14:paraId="352F81B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130" w:type="dxa"/>
            <w:noWrap w:val="0"/>
            <w:vAlign w:val="top"/>
          </w:tcPr>
          <w:p w14:paraId="114AE39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860" w:type="dxa"/>
            <w:noWrap w:val="0"/>
            <w:vAlign w:val="top"/>
          </w:tcPr>
          <w:p w14:paraId="1C4CB4B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372E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6A2AEF3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生活用房</w:t>
            </w:r>
          </w:p>
        </w:tc>
        <w:tc>
          <w:tcPr>
            <w:tcW w:w="2130" w:type="dxa"/>
            <w:noWrap w:val="0"/>
            <w:vAlign w:val="top"/>
          </w:tcPr>
          <w:p w14:paraId="7A8B531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30" w:type="dxa"/>
            <w:noWrap w:val="0"/>
            <w:vAlign w:val="top"/>
          </w:tcPr>
          <w:p w14:paraId="7B064EC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860" w:type="dxa"/>
            <w:noWrap w:val="0"/>
            <w:vAlign w:val="top"/>
          </w:tcPr>
          <w:p w14:paraId="2AB57D1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76D7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5592C4C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试验用房</w:t>
            </w:r>
          </w:p>
        </w:tc>
        <w:tc>
          <w:tcPr>
            <w:tcW w:w="2130" w:type="dxa"/>
            <w:noWrap w:val="0"/>
            <w:vAlign w:val="top"/>
          </w:tcPr>
          <w:p w14:paraId="38866802">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30" w:type="dxa"/>
            <w:noWrap w:val="0"/>
            <w:vAlign w:val="top"/>
          </w:tcPr>
          <w:p w14:paraId="22109D9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860" w:type="dxa"/>
            <w:noWrap w:val="0"/>
            <w:vAlign w:val="top"/>
          </w:tcPr>
          <w:p w14:paraId="121B5A5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6512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4209ACB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样品用房</w:t>
            </w:r>
          </w:p>
        </w:tc>
        <w:tc>
          <w:tcPr>
            <w:tcW w:w="2130" w:type="dxa"/>
            <w:noWrap w:val="0"/>
            <w:vAlign w:val="top"/>
          </w:tcPr>
          <w:p w14:paraId="5D334136">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30" w:type="dxa"/>
            <w:noWrap w:val="0"/>
            <w:vAlign w:val="top"/>
          </w:tcPr>
          <w:p w14:paraId="65E0ABB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860" w:type="dxa"/>
            <w:noWrap w:val="0"/>
            <w:vAlign w:val="top"/>
          </w:tcPr>
          <w:p w14:paraId="17EE134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3A27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38BAC13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30" w:type="dxa"/>
            <w:noWrap w:val="0"/>
            <w:vAlign w:val="top"/>
          </w:tcPr>
          <w:p w14:paraId="6ED898A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30" w:type="dxa"/>
            <w:noWrap w:val="0"/>
            <w:vAlign w:val="top"/>
          </w:tcPr>
          <w:p w14:paraId="256FF86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860" w:type="dxa"/>
            <w:noWrap w:val="0"/>
            <w:vAlign w:val="top"/>
          </w:tcPr>
          <w:p w14:paraId="401E67A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78F4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35E31B0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用餐及其他生活条件</w:t>
            </w:r>
          </w:p>
        </w:tc>
        <w:tc>
          <w:tcPr>
            <w:tcW w:w="6120" w:type="dxa"/>
            <w:gridSpan w:val="3"/>
            <w:noWrap w:val="0"/>
            <w:vAlign w:val="top"/>
          </w:tcPr>
          <w:p w14:paraId="0BCF62E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bl>
    <w:p w14:paraId="76B019E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p w14:paraId="4935EA7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p w14:paraId="39F93D8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p w14:paraId="1339679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p w14:paraId="6F978F7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B-3  委托人提供的资料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5C47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052341B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1491" w:type="dxa"/>
            <w:noWrap w:val="0"/>
            <w:vAlign w:val="top"/>
          </w:tcPr>
          <w:p w14:paraId="4C36753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份数</w:t>
            </w:r>
          </w:p>
        </w:tc>
        <w:tc>
          <w:tcPr>
            <w:tcW w:w="2147" w:type="dxa"/>
            <w:noWrap w:val="0"/>
            <w:vAlign w:val="top"/>
          </w:tcPr>
          <w:p w14:paraId="643F02D1">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提供时间</w:t>
            </w:r>
          </w:p>
        </w:tc>
        <w:tc>
          <w:tcPr>
            <w:tcW w:w="2082" w:type="dxa"/>
            <w:noWrap w:val="0"/>
            <w:vAlign w:val="top"/>
          </w:tcPr>
          <w:p w14:paraId="7CF974E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13AD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25CB762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工程立项文件</w:t>
            </w:r>
          </w:p>
        </w:tc>
        <w:tc>
          <w:tcPr>
            <w:tcW w:w="1491" w:type="dxa"/>
            <w:noWrap w:val="0"/>
            <w:vAlign w:val="top"/>
          </w:tcPr>
          <w:p w14:paraId="383002A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47" w:type="dxa"/>
            <w:noWrap w:val="0"/>
            <w:vAlign w:val="top"/>
          </w:tcPr>
          <w:p w14:paraId="2EE0203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082" w:type="dxa"/>
            <w:noWrap w:val="0"/>
            <w:vAlign w:val="top"/>
          </w:tcPr>
          <w:p w14:paraId="783BE832">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232F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2569F84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工程勘察文件</w:t>
            </w:r>
          </w:p>
        </w:tc>
        <w:tc>
          <w:tcPr>
            <w:tcW w:w="1491" w:type="dxa"/>
            <w:noWrap w:val="0"/>
            <w:vAlign w:val="top"/>
          </w:tcPr>
          <w:p w14:paraId="657F6C7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47" w:type="dxa"/>
            <w:noWrap w:val="0"/>
            <w:vAlign w:val="top"/>
          </w:tcPr>
          <w:p w14:paraId="778D7DF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082" w:type="dxa"/>
            <w:noWrap w:val="0"/>
            <w:vAlign w:val="top"/>
          </w:tcPr>
          <w:p w14:paraId="77FF9EC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712C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70002EE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工程设计及施工图纸</w:t>
            </w:r>
          </w:p>
        </w:tc>
        <w:tc>
          <w:tcPr>
            <w:tcW w:w="1491" w:type="dxa"/>
            <w:noWrap w:val="0"/>
            <w:vAlign w:val="top"/>
          </w:tcPr>
          <w:p w14:paraId="73545CD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47" w:type="dxa"/>
            <w:noWrap w:val="0"/>
            <w:vAlign w:val="top"/>
          </w:tcPr>
          <w:p w14:paraId="4108A14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082" w:type="dxa"/>
            <w:noWrap w:val="0"/>
            <w:vAlign w:val="top"/>
          </w:tcPr>
          <w:p w14:paraId="60EF876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68E0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46778CA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工程承包合同及其他相关合同</w:t>
            </w:r>
          </w:p>
        </w:tc>
        <w:tc>
          <w:tcPr>
            <w:tcW w:w="1491" w:type="dxa"/>
            <w:noWrap w:val="0"/>
            <w:vAlign w:val="top"/>
          </w:tcPr>
          <w:p w14:paraId="6C5B817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47" w:type="dxa"/>
            <w:noWrap w:val="0"/>
            <w:vAlign w:val="top"/>
          </w:tcPr>
          <w:p w14:paraId="04F004B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082" w:type="dxa"/>
            <w:noWrap w:val="0"/>
            <w:vAlign w:val="top"/>
          </w:tcPr>
          <w:p w14:paraId="37E30C0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0100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4A53EB1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施工许可文件</w:t>
            </w:r>
          </w:p>
        </w:tc>
        <w:tc>
          <w:tcPr>
            <w:tcW w:w="1491" w:type="dxa"/>
            <w:noWrap w:val="0"/>
            <w:vAlign w:val="top"/>
          </w:tcPr>
          <w:p w14:paraId="3A8EBF0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47" w:type="dxa"/>
            <w:noWrap w:val="0"/>
            <w:vAlign w:val="top"/>
          </w:tcPr>
          <w:p w14:paraId="42A078E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082" w:type="dxa"/>
            <w:noWrap w:val="0"/>
            <w:vAlign w:val="top"/>
          </w:tcPr>
          <w:p w14:paraId="239EC39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4660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33925B9C">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其他文件</w:t>
            </w:r>
          </w:p>
        </w:tc>
        <w:tc>
          <w:tcPr>
            <w:tcW w:w="1491" w:type="dxa"/>
            <w:noWrap w:val="0"/>
            <w:vAlign w:val="top"/>
          </w:tcPr>
          <w:p w14:paraId="0516B03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47" w:type="dxa"/>
            <w:noWrap w:val="0"/>
            <w:vAlign w:val="top"/>
          </w:tcPr>
          <w:p w14:paraId="5234E5F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082" w:type="dxa"/>
            <w:noWrap w:val="0"/>
            <w:vAlign w:val="top"/>
          </w:tcPr>
          <w:p w14:paraId="674502A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7554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3A9AB782">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491" w:type="dxa"/>
            <w:noWrap w:val="0"/>
            <w:vAlign w:val="top"/>
          </w:tcPr>
          <w:p w14:paraId="3D84A67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47" w:type="dxa"/>
            <w:noWrap w:val="0"/>
            <w:vAlign w:val="top"/>
          </w:tcPr>
          <w:p w14:paraId="7526840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082" w:type="dxa"/>
            <w:noWrap w:val="0"/>
            <w:vAlign w:val="top"/>
          </w:tcPr>
          <w:p w14:paraId="09F9E73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bl>
    <w:p w14:paraId="5F7E147F">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B-4 委托人提供的设备</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7B9E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14:paraId="1D1688ED">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1590" w:type="dxa"/>
            <w:noWrap w:val="0"/>
            <w:vAlign w:val="top"/>
          </w:tcPr>
          <w:p w14:paraId="764F93B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2130" w:type="dxa"/>
            <w:noWrap w:val="0"/>
            <w:vAlign w:val="top"/>
          </w:tcPr>
          <w:p w14:paraId="10B64A3B">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型号与规格</w:t>
            </w:r>
          </w:p>
        </w:tc>
        <w:tc>
          <w:tcPr>
            <w:tcW w:w="1860" w:type="dxa"/>
            <w:noWrap w:val="0"/>
            <w:vAlign w:val="top"/>
          </w:tcPr>
          <w:p w14:paraId="40A52AA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提供时间</w:t>
            </w:r>
          </w:p>
        </w:tc>
      </w:tr>
      <w:tr w14:paraId="40E0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14:paraId="32C326D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通讯设备</w:t>
            </w:r>
          </w:p>
        </w:tc>
        <w:tc>
          <w:tcPr>
            <w:tcW w:w="1590" w:type="dxa"/>
            <w:noWrap w:val="0"/>
            <w:vAlign w:val="top"/>
          </w:tcPr>
          <w:p w14:paraId="07CC3BC5">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30" w:type="dxa"/>
            <w:noWrap w:val="0"/>
            <w:vAlign w:val="top"/>
          </w:tcPr>
          <w:p w14:paraId="7CA70BA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860" w:type="dxa"/>
            <w:noWrap w:val="0"/>
            <w:vAlign w:val="top"/>
          </w:tcPr>
          <w:p w14:paraId="31ACD6A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4DC1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14:paraId="7F1182F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办公设备</w:t>
            </w:r>
          </w:p>
        </w:tc>
        <w:tc>
          <w:tcPr>
            <w:tcW w:w="1590" w:type="dxa"/>
            <w:noWrap w:val="0"/>
            <w:vAlign w:val="top"/>
          </w:tcPr>
          <w:p w14:paraId="6FA9DFC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30" w:type="dxa"/>
            <w:noWrap w:val="0"/>
            <w:vAlign w:val="top"/>
          </w:tcPr>
          <w:p w14:paraId="49281C3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860" w:type="dxa"/>
            <w:noWrap w:val="0"/>
            <w:vAlign w:val="top"/>
          </w:tcPr>
          <w:p w14:paraId="31E7B67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4CA0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14:paraId="1FC061F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交通工具</w:t>
            </w:r>
          </w:p>
        </w:tc>
        <w:tc>
          <w:tcPr>
            <w:tcW w:w="1590" w:type="dxa"/>
            <w:noWrap w:val="0"/>
            <w:vAlign w:val="top"/>
          </w:tcPr>
          <w:p w14:paraId="5B8F6B13">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30" w:type="dxa"/>
            <w:noWrap w:val="0"/>
            <w:vAlign w:val="top"/>
          </w:tcPr>
          <w:p w14:paraId="6C2AC701">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860" w:type="dxa"/>
            <w:noWrap w:val="0"/>
            <w:vAlign w:val="top"/>
          </w:tcPr>
          <w:p w14:paraId="6EB3C59A">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1129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14:paraId="14980F4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检测和试验设备</w:t>
            </w:r>
          </w:p>
        </w:tc>
        <w:tc>
          <w:tcPr>
            <w:tcW w:w="1590" w:type="dxa"/>
            <w:noWrap w:val="0"/>
            <w:vAlign w:val="top"/>
          </w:tcPr>
          <w:p w14:paraId="462C2017">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30" w:type="dxa"/>
            <w:noWrap w:val="0"/>
            <w:vAlign w:val="top"/>
          </w:tcPr>
          <w:p w14:paraId="50543088">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860" w:type="dxa"/>
            <w:noWrap w:val="0"/>
            <w:vAlign w:val="top"/>
          </w:tcPr>
          <w:p w14:paraId="1DFBEC39">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tr w14:paraId="1C93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14:paraId="281606D2">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590" w:type="dxa"/>
            <w:noWrap w:val="0"/>
            <w:vAlign w:val="top"/>
          </w:tcPr>
          <w:p w14:paraId="0CE783A4">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2130" w:type="dxa"/>
            <w:noWrap w:val="0"/>
            <w:vAlign w:val="top"/>
          </w:tcPr>
          <w:p w14:paraId="47AB752E">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c>
          <w:tcPr>
            <w:tcW w:w="1860" w:type="dxa"/>
            <w:noWrap w:val="0"/>
            <w:vAlign w:val="top"/>
          </w:tcPr>
          <w:p w14:paraId="60FF25F0">
            <w:pPr>
              <w:keepNext w:val="0"/>
              <w:keepLines w:val="0"/>
              <w:kinsoku/>
              <w:wordWrap/>
              <w:overflowPunct/>
              <w:topLinePunct w:val="0"/>
              <w:autoSpaceDE/>
              <w:autoSpaceDN/>
              <w:bidi w:val="0"/>
              <w:spacing w:line="460" w:lineRule="exact"/>
              <w:ind w:firstLine="480" w:firstLineChars="200"/>
              <w:textAlignment w:val="auto"/>
              <w:rPr>
                <w:rFonts w:hint="eastAsia" w:ascii="宋体" w:hAnsi="宋体" w:eastAsia="宋体" w:cs="宋体"/>
                <w:sz w:val="24"/>
                <w:szCs w:val="24"/>
              </w:rPr>
            </w:pPr>
          </w:p>
        </w:tc>
      </w:tr>
      <w:bookmarkEnd w:id="47"/>
      <w:bookmarkEnd w:id="48"/>
      <w:bookmarkEnd w:id="49"/>
      <w:bookmarkEnd w:id="50"/>
      <w:bookmarkEnd w:id="51"/>
    </w:tbl>
    <w:p w14:paraId="15DA8E05">
      <w:pPr>
        <w:numPr>
          <w:ilvl w:val="0"/>
          <w:numId w:val="3"/>
        </w:numPr>
        <w:spacing w:line="360" w:lineRule="exact"/>
        <w:jc w:val="center"/>
        <w:outlineLvl w:val="0"/>
        <w:rPr>
          <w:rFonts w:hint="eastAsia" w:ascii="Times New Roman" w:hAnsi="Times New Roman" w:eastAsia="宋体" w:cs="Times New Roman"/>
          <w:b/>
          <w:bCs/>
          <w:color w:val="auto"/>
          <w:kern w:val="2"/>
          <w:sz w:val="36"/>
          <w:szCs w:val="36"/>
          <w:highlight w:val="none"/>
          <w:lang w:val="en-US" w:eastAsia="zh-CN" w:bidi="ar-SA"/>
        </w:rPr>
      </w:pPr>
      <w:bookmarkStart w:id="57" w:name="_Toc13030"/>
      <w:bookmarkStart w:id="58" w:name="_Toc144974856"/>
      <w:bookmarkStart w:id="59" w:name="_Toc1791"/>
      <w:bookmarkStart w:id="60" w:name="_Toc464375163"/>
      <w:bookmarkStart w:id="61" w:name="_Toc152042576"/>
      <w:bookmarkStart w:id="62" w:name="_Toc4970"/>
      <w:bookmarkStart w:id="63" w:name="_Toc464375164"/>
      <w:bookmarkStart w:id="64" w:name="_Toc152045787"/>
      <w:bookmarkStart w:id="65" w:name="_Toc9252"/>
      <w:bookmarkStart w:id="66" w:name="_Toc443572891"/>
      <w:bookmarkStart w:id="67" w:name="_Toc7096"/>
      <w:r>
        <w:rPr>
          <w:rFonts w:hint="eastAsia" w:ascii="Times New Roman" w:hAnsi="Times New Roman" w:eastAsia="宋体" w:cs="Times New Roman"/>
          <w:b/>
          <w:bCs/>
          <w:color w:val="auto"/>
          <w:kern w:val="2"/>
          <w:sz w:val="36"/>
          <w:szCs w:val="36"/>
          <w:highlight w:val="none"/>
          <w:lang w:val="en-US" w:eastAsia="zh-CN" w:bidi="ar-SA"/>
        </w:rPr>
        <w:t>采购需求</w:t>
      </w:r>
      <w:bookmarkEnd w:id="57"/>
    </w:p>
    <w:p w14:paraId="17D6C22C">
      <w:pPr>
        <w:numPr>
          <w:ilvl w:val="0"/>
          <w:numId w:val="0"/>
        </w:numPr>
        <w:spacing w:line="360" w:lineRule="exact"/>
        <w:jc w:val="both"/>
        <w:outlineLvl w:val="0"/>
        <w:rPr>
          <w:rFonts w:hint="eastAsia" w:ascii="Times New Roman" w:hAnsi="Times New Roman" w:eastAsia="宋体" w:cs="Times New Roman"/>
          <w:b/>
          <w:bCs/>
          <w:color w:val="auto"/>
          <w:kern w:val="2"/>
          <w:sz w:val="36"/>
          <w:szCs w:val="36"/>
          <w:highlight w:val="none"/>
          <w:lang w:val="en-US" w:eastAsia="zh-CN" w:bidi="ar-SA"/>
        </w:rPr>
      </w:pPr>
    </w:p>
    <w:p w14:paraId="6A53E44A">
      <w:pPr>
        <w:keepNext w:val="0"/>
        <w:keepLines w:val="0"/>
        <w:pageBreakBefore w:val="0"/>
        <w:widowControl w:val="0"/>
        <w:kinsoku/>
        <w:wordWrap/>
        <w:overflowPunct/>
        <w:topLinePunct w:val="0"/>
        <w:autoSpaceDE/>
        <w:autoSpaceDN/>
        <w:bidi w:val="0"/>
        <w:adjustRightInd/>
        <w:spacing w:line="440" w:lineRule="exact"/>
        <w:ind w:firstLine="482"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cs="宋体"/>
          <w:b/>
          <w:bCs/>
          <w:snapToGrid w:val="0"/>
          <w:color w:val="auto"/>
          <w:spacing w:val="-3"/>
          <w:kern w:val="2"/>
          <w:sz w:val="24"/>
          <w:szCs w:val="24"/>
          <w:highlight w:val="none"/>
          <w:lang w:val="en-US" w:eastAsia="zh-CN" w:bidi="ar-SA"/>
        </w:rPr>
        <w:t>项目名称：</w:t>
      </w:r>
      <w:r>
        <w:rPr>
          <w:rFonts w:hint="eastAsia" w:ascii="宋体" w:hAnsi="宋体" w:cs="宋体"/>
          <w:color w:val="auto"/>
          <w:sz w:val="24"/>
          <w:szCs w:val="24"/>
          <w:highlight w:val="none"/>
          <w:lang w:val="en-US" w:eastAsia="zh-CN"/>
        </w:rPr>
        <w:t>哈密市巴里坤县三塘湖镇冷链物流设施建设项目-监理</w:t>
      </w:r>
    </w:p>
    <w:p w14:paraId="34C8050C">
      <w:pPr>
        <w:keepNext w:val="0"/>
        <w:keepLines w:val="0"/>
        <w:pageBreakBefore w:val="0"/>
        <w:widowControl w:val="0"/>
        <w:kinsoku/>
        <w:wordWrap/>
        <w:overflowPunct/>
        <w:topLinePunct w:val="0"/>
        <w:autoSpaceDE/>
        <w:autoSpaceDN/>
        <w:bidi w:val="0"/>
        <w:adjustRightInd/>
        <w:spacing w:line="440" w:lineRule="exact"/>
        <w:ind w:firstLine="47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b/>
          <w:bCs/>
          <w:snapToGrid w:val="0"/>
          <w:color w:val="auto"/>
          <w:spacing w:val="-3"/>
          <w:kern w:val="2"/>
          <w:sz w:val="24"/>
          <w:szCs w:val="24"/>
          <w:highlight w:val="none"/>
          <w:lang w:val="en-US" w:eastAsia="zh-CN" w:bidi="ar-SA"/>
        </w:rPr>
        <w:t>二、项目编号：</w:t>
      </w:r>
      <w:r>
        <w:rPr>
          <w:rFonts w:hint="eastAsia" w:ascii="宋体" w:hAnsi="宋体" w:cs="宋体"/>
          <w:color w:val="auto"/>
          <w:sz w:val="24"/>
          <w:szCs w:val="24"/>
          <w:highlight w:val="none"/>
          <w:lang w:val="en-US" w:eastAsia="zh-CN"/>
        </w:rPr>
        <w:t>FTD2026-077</w:t>
      </w:r>
    </w:p>
    <w:p w14:paraId="299715C1">
      <w:pPr>
        <w:keepNext w:val="0"/>
        <w:keepLines w:val="0"/>
        <w:pageBreakBefore w:val="0"/>
        <w:widowControl w:val="0"/>
        <w:kinsoku/>
        <w:wordWrap/>
        <w:overflowPunct/>
        <w:topLinePunct w:val="0"/>
        <w:autoSpaceDE/>
        <w:autoSpaceDN/>
        <w:bidi w:val="0"/>
        <w:adjustRightInd/>
        <w:spacing w:line="440" w:lineRule="exact"/>
        <w:ind w:left="-2" w:leftChars="0" w:firstLine="47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宋体" w:hAnsi="宋体" w:cs="宋体"/>
          <w:b/>
          <w:bCs/>
          <w:snapToGrid w:val="0"/>
          <w:color w:val="auto"/>
          <w:spacing w:val="-3"/>
          <w:kern w:val="2"/>
          <w:sz w:val="24"/>
          <w:szCs w:val="24"/>
          <w:highlight w:val="none"/>
          <w:lang w:val="en-US" w:eastAsia="zh-CN" w:bidi="ar-SA"/>
        </w:rPr>
        <w:t>三、项目规模：</w:t>
      </w:r>
      <w:r>
        <w:rPr>
          <w:rFonts w:hint="eastAsia" w:ascii="宋体" w:hAnsi="宋体" w:cs="宋体"/>
          <w:b w:val="0"/>
          <w:bCs w:val="0"/>
          <w:snapToGrid w:val="0"/>
          <w:color w:val="auto"/>
          <w:spacing w:val="-3"/>
          <w:kern w:val="2"/>
          <w:sz w:val="24"/>
          <w:szCs w:val="24"/>
          <w:highlight w:val="none"/>
          <w:lang w:val="en-US" w:eastAsia="zh-CN" w:bidi="ar-SA"/>
        </w:rPr>
        <w:t>新建冷藏库、冷冻库2万立方米，及流通加工配套设施建设，总建筑面积7188.5平方米。其中：新建冷藏库、冷冻库建筑面积4332.88平方米，地上一层，地下一层；新建库房总建筑面积2855.62平方米，地上一层，及基础配套设施</w:t>
      </w:r>
      <w:r>
        <w:rPr>
          <w:rFonts w:hint="eastAsia" w:asciiTheme="minorEastAsia" w:hAnsiTheme="minorEastAsia" w:eastAsiaTheme="minorEastAsia" w:cstheme="minorEastAsia"/>
          <w:b w:val="0"/>
          <w:bCs w:val="0"/>
          <w:color w:val="auto"/>
          <w:sz w:val="24"/>
          <w:szCs w:val="24"/>
          <w:highlight w:val="none"/>
          <w:lang w:val="en-US" w:eastAsia="zh-CN"/>
        </w:rPr>
        <w:t>。</w:t>
      </w:r>
    </w:p>
    <w:p w14:paraId="243830CE">
      <w:pPr>
        <w:keepNext w:val="0"/>
        <w:keepLines w:val="0"/>
        <w:pageBreakBefore w:val="0"/>
        <w:widowControl w:val="0"/>
        <w:kinsoku/>
        <w:wordWrap/>
        <w:overflowPunct/>
        <w:topLinePunct w:val="0"/>
        <w:autoSpaceDE/>
        <w:autoSpaceDN/>
        <w:bidi w:val="0"/>
        <w:adjustRightInd/>
        <w:spacing w:line="440" w:lineRule="exact"/>
        <w:ind w:firstLine="482" w:firstLineChars="200"/>
        <w:jc w:val="left"/>
        <w:textAlignment w:val="auto"/>
        <w:rPr>
          <w:rFonts w:hint="eastAsia" w:ascii="宋体" w:hAnsi="宋体" w:eastAsia="宋体" w:cs="宋体"/>
          <w:b/>
          <w:bCs/>
          <w:snapToGrid w:val="0"/>
          <w:color w:val="auto"/>
          <w:spacing w:val="-3"/>
          <w:kern w:val="2"/>
          <w:sz w:val="24"/>
          <w:szCs w:val="24"/>
          <w:highlight w:val="none"/>
          <w:lang w:val="en-US" w:eastAsia="zh-CN" w:bidi="ar-SA"/>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服务内容</w:t>
      </w:r>
      <w:r>
        <w:rPr>
          <w:rFonts w:hint="eastAsia" w:ascii="宋体" w:hAnsi="宋体" w:cs="宋体"/>
          <w:b/>
          <w:bCs/>
          <w:snapToGrid w:val="0"/>
          <w:color w:val="auto"/>
          <w:spacing w:val="-3"/>
          <w:kern w:val="2"/>
          <w:sz w:val="24"/>
          <w:szCs w:val="24"/>
          <w:highlight w:val="none"/>
          <w:lang w:val="en-US" w:eastAsia="zh-CN" w:bidi="ar-SA"/>
        </w:rPr>
        <w:t>：</w:t>
      </w:r>
      <w:r>
        <w:rPr>
          <w:rFonts w:hint="eastAsia" w:ascii="宋体" w:hAnsi="宋体" w:eastAsia="宋体" w:cs="宋体"/>
          <w:spacing w:val="-2"/>
          <w:sz w:val="24"/>
          <w:szCs w:val="24"/>
        </w:rPr>
        <w:t>完成哈密市巴里坤县三塘湖镇冷链物流设施建设项目施工阶段及缺陷责任期阶段的全部监理服务</w:t>
      </w:r>
      <w:r>
        <w:rPr>
          <w:rFonts w:hint="eastAsia" w:ascii="宋体" w:hAnsi="宋体" w:eastAsia="宋体" w:cs="宋体"/>
          <w:spacing w:val="-2"/>
          <w:sz w:val="24"/>
          <w:szCs w:val="24"/>
          <w:lang w:eastAsia="zh-CN"/>
        </w:rPr>
        <w:t>。</w:t>
      </w:r>
    </w:p>
    <w:p w14:paraId="399C52FA">
      <w:pPr>
        <w:keepNext w:val="0"/>
        <w:keepLines w:val="0"/>
        <w:pageBreakBefore w:val="0"/>
        <w:widowControl w:val="0"/>
        <w:tabs>
          <w:tab w:val="left" w:pos="1950"/>
        </w:tabs>
        <w:kinsoku/>
        <w:wordWrap/>
        <w:overflowPunct/>
        <w:topLinePunct w:val="0"/>
        <w:autoSpaceDE/>
        <w:autoSpaceDN/>
        <w:bidi w:val="0"/>
        <w:adjustRightInd/>
        <w:snapToGrid/>
        <w:spacing w:line="440" w:lineRule="exact"/>
        <w:ind w:firstLine="468" w:firstLineChars="200"/>
        <w:jc w:val="left"/>
        <w:textAlignment w:val="auto"/>
        <w:rPr>
          <w:rFonts w:hint="eastAsia" w:ascii="宋体" w:hAnsi="宋体" w:eastAsia="宋体" w:cs="宋体"/>
          <w:snapToGrid w:val="0"/>
          <w:color w:val="auto"/>
          <w:spacing w:val="-3"/>
          <w:kern w:val="2"/>
          <w:sz w:val="24"/>
          <w:szCs w:val="24"/>
          <w:highlight w:val="none"/>
          <w:lang w:val="en-US" w:eastAsia="zh-CN" w:bidi="ar-SA"/>
        </w:rPr>
      </w:pPr>
    </w:p>
    <w:p w14:paraId="2D8A4B44">
      <w:pPr>
        <w:keepNext w:val="0"/>
        <w:keepLines w:val="0"/>
        <w:pageBreakBefore w:val="0"/>
        <w:widowControl w:val="0"/>
        <w:tabs>
          <w:tab w:val="left" w:pos="1950"/>
        </w:tabs>
        <w:kinsoku/>
        <w:wordWrap/>
        <w:overflowPunct/>
        <w:topLinePunct w:val="0"/>
        <w:autoSpaceDE/>
        <w:autoSpaceDN/>
        <w:bidi w:val="0"/>
        <w:adjustRightInd/>
        <w:snapToGrid/>
        <w:spacing w:line="440" w:lineRule="exact"/>
        <w:ind w:firstLine="468" w:firstLineChars="200"/>
        <w:jc w:val="left"/>
        <w:textAlignment w:val="auto"/>
        <w:rPr>
          <w:rFonts w:hint="eastAsia" w:ascii="宋体" w:hAnsi="宋体" w:eastAsia="宋体" w:cs="宋体"/>
          <w:snapToGrid w:val="0"/>
          <w:color w:val="auto"/>
          <w:spacing w:val="-3"/>
          <w:kern w:val="2"/>
          <w:sz w:val="24"/>
          <w:szCs w:val="24"/>
          <w:highlight w:val="none"/>
          <w:lang w:val="en-US" w:eastAsia="zh-CN" w:bidi="ar-SA"/>
        </w:rPr>
      </w:pPr>
    </w:p>
    <w:p w14:paraId="75CA7EC2">
      <w:pPr>
        <w:pStyle w:val="21"/>
        <w:spacing w:line="400" w:lineRule="exact"/>
        <w:ind w:firstLine="482" w:firstLineChars="200"/>
        <w:jc w:val="both"/>
        <w:rPr>
          <w:rFonts w:hint="eastAsia" w:ascii="仿宋" w:hAnsi="仿宋" w:cs="仿宋"/>
          <w:b/>
          <w:color w:val="auto"/>
          <w:sz w:val="24"/>
          <w:highlight w:val="none"/>
        </w:rPr>
      </w:pPr>
    </w:p>
    <w:p w14:paraId="5C67CE1F">
      <w:pPr>
        <w:pStyle w:val="21"/>
        <w:spacing w:line="400" w:lineRule="exact"/>
        <w:ind w:firstLine="482" w:firstLineChars="200"/>
        <w:jc w:val="both"/>
        <w:rPr>
          <w:rFonts w:hint="eastAsia" w:ascii="仿宋" w:hAnsi="仿宋" w:cs="仿宋"/>
          <w:b/>
          <w:color w:val="auto"/>
          <w:sz w:val="24"/>
          <w:highlight w:val="none"/>
        </w:rPr>
      </w:pPr>
    </w:p>
    <w:p w14:paraId="1CC5B5BF">
      <w:pPr>
        <w:pStyle w:val="6"/>
        <w:numPr>
          <w:ilvl w:val="0"/>
          <w:numId w:val="0"/>
        </w:numPr>
        <w:spacing w:before="0" w:after="0" w:line="240" w:lineRule="auto"/>
        <w:jc w:val="center"/>
        <w:outlineLvl w:val="0"/>
        <w:rPr>
          <w:rFonts w:hint="eastAsia" w:ascii="宋体" w:hAnsi="宋体" w:eastAsia="宋体" w:cs="宋体"/>
          <w:b/>
          <w:bCs w:val="0"/>
          <w:color w:val="auto"/>
          <w:kern w:val="2"/>
          <w:szCs w:val="32"/>
          <w:highlight w:val="none"/>
        </w:rPr>
      </w:pPr>
    </w:p>
    <w:p w14:paraId="6EA03411">
      <w:pPr>
        <w:rPr>
          <w:rFonts w:hint="eastAsia" w:ascii="宋体" w:hAnsi="宋体" w:eastAsia="宋体" w:cs="宋体"/>
          <w:b/>
          <w:bCs w:val="0"/>
          <w:color w:val="auto"/>
          <w:kern w:val="2"/>
          <w:szCs w:val="32"/>
          <w:highlight w:val="none"/>
        </w:rPr>
      </w:pPr>
    </w:p>
    <w:p w14:paraId="520BF07A">
      <w:pPr>
        <w:rPr>
          <w:rFonts w:hint="eastAsia" w:ascii="宋体" w:hAnsi="宋体" w:eastAsia="宋体" w:cs="宋体"/>
          <w:b/>
          <w:bCs w:val="0"/>
          <w:color w:val="auto"/>
          <w:kern w:val="2"/>
          <w:szCs w:val="32"/>
          <w:highlight w:val="none"/>
        </w:rPr>
      </w:pPr>
    </w:p>
    <w:p w14:paraId="7DED9E81">
      <w:pPr>
        <w:rPr>
          <w:rFonts w:hint="eastAsia" w:ascii="宋体" w:hAnsi="宋体" w:eastAsia="宋体" w:cs="宋体"/>
          <w:b/>
          <w:bCs w:val="0"/>
          <w:color w:val="auto"/>
          <w:kern w:val="2"/>
          <w:szCs w:val="32"/>
          <w:highlight w:val="none"/>
        </w:rPr>
      </w:pPr>
    </w:p>
    <w:p w14:paraId="44E8747C">
      <w:pPr>
        <w:rPr>
          <w:rFonts w:hint="eastAsia" w:ascii="宋体" w:hAnsi="宋体" w:eastAsia="宋体" w:cs="宋体"/>
          <w:b/>
          <w:bCs w:val="0"/>
          <w:color w:val="auto"/>
          <w:kern w:val="2"/>
          <w:szCs w:val="32"/>
          <w:highlight w:val="none"/>
        </w:rPr>
      </w:pPr>
    </w:p>
    <w:p w14:paraId="5D3A7077">
      <w:pPr>
        <w:rPr>
          <w:rFonts w:hint="eastAsia" w:ascii="宋体" w:hAnsi="宋体" w:eastAsia="宋体" w:cs="宋体"/>
          <w:b/>
          <w:bCs w:val="0"/>
          <w:color w:val="auto"/>
          <w:kern w:val="2"/>
          <w:szCs w:val="32"/>
          <w:highlight w:val="none"/>
        </w:rPr>
      </w:pPr>
    </w:p>
    <w:p w14:paraId="1B59FA18">
      <w:pPr>
        <w:rPr>
          <w:rFonts w:hint="eastAsia" w:ascii="宋体" w:hAnsi="宋体" w:eastAsia="宋体" w:cs="宋体"/>
          <w:b/>
          <w:bCs w:val="0"/>
          <w:color w:val="auto"/>
          <w:kern w:val="2"/>
          <w:szCs w:val="32"/>
          <w:highlight w:val="none"/>
        </w:rPr>
      </w:pPr>
    </w:p>
    <w:p w14:paraId="1C69BC38">
      <w:pPr>
        <w:rPr>
          <w:rFonts w:hint="eastAsia" w:ascii="宋体" w:hAnsi="宋体" w:eastAsia="宋体" w:cs="宋体"/>
          <w:b/>
          <w:bCs w:val="0"/>
          <w:color w:val="auto"/>
          <w:kern w:val="2"/>
          <w:szCs w:val="32"/>
          <w:highlight w:val="none"/>
        </w:rPr>
      </w:pPr>
    </w:p>
    <w:p w14:paraId="4949346D">
      <w:pPr>
        <w:rPr>
          <w:rFonts w:hint="eastAsia" w:ascii="宋体" w:hAnsi="宋体" w:eastAsia="宋体" w:cs="宋体"/>
          <w:b/>
          <w:bCs w:val="0"/>
          <w:color w:val="auto"/>
          <w:kern w:val="2"/>
          <w:szCs w:val="32"/>
          <w:highlight w:val="none"/>
        </w:rPr>
      </w:pPr>
    </w:p>
    <w:p w14:paraId="213E8536">
      <w:pPr>
        <w:rPr>
          <w:rFonts w:hint="eastAsia" w:ascii="宋体" w:hAnsi="宋体" w:eastAsia="宋体" w:cs="宋体"/>
          <w:b/>
          <w:bCs w:val="0"/>
          <w:color w:val="auto"/>
          <w:kern w:val="2"/>
          <w:szCs w:val="32"/>
          <w:highlight w:val="none"/>
        </w:rPr>
      </w:pPr>
    </w:p>
    <w:p w14:paraId="76424833">
      <w:pPr>
        <w:rPr>
          <w:rFonts w:hint="eastAsia" w:ascii="宋体" w:hAnsi="宋体" w:eastAsia="宋体" w:cs="宋体"/>
          <w:b/>
          <w:bCs w:val="0"/>
          <w:color w:val="auto"/>
          <w:kern w:val="2"/>
          <w:szCs w:val="32"/>
          <w:highlight w:val="none"/>
        </w:rPr>
      </w:pPr>
    </w:p>
    <w:p w14:paraId="557B8D80">
      <w:pPr>
        <w:rPr>
          <w:rFonts w:hint="eastAsia" w:ascii="宋体" w:hAnsi="宋体" w:eastAsia="宋体" w:cs="宋体"/>
          <w:b/>
          <w:bCs w:val="0"/>
          <w:color w:val="auto"/>
          <w:kern w:val="2"/>
          <w:szCs w:val="32"/>
          <w:highlight w:val="none"/>
        </w:rPr>
      </w:pPr>
    </w:p>
    <w:p w14:paraId="04565C9D">
      <w:pPr>
        <w:rPr>
          <w:rFonts w:hint="eastAsia" w:ascii="宋体" w:hAnsi="宋体" w:eastAsia="宋体" w:cs="宋体"/>
          <w:b/>
          <w:bCs w:val="0"/>
          <w:color w:val="auto"/>
          <w:kern w:val="2"/>
          <w:szCs w:val="32"/>
          <w:highlight w:val="none"/>
        </w:rPr>
      </w:pPr>
    </w:p>
    <w:p w14:paraId="4AA90FBE">
      <w:pPr>
        <w:rPr>
          <w:rFonts w:hint="eastAsia" w:ascii="宋体" w:hAnsi="宋体" w:eastAsia="宋体" w:cs="宋体"/>
          <w:b/>
          <w:bCs w:val="0"/>
          <w:color w:val="auto"/>
          <w:kern w:val="2"/>
          <w:szCs w:val="32"/>
          <w:highlight w:val="none"/>
        </w:rPr>
      </w:pPr>
    </w:p>
    <w:p w14:paraId="255B2EE7">
      <w:pPr>
        <w:rPr>
          <w:rFonts w:hint="eastAsia" w:ascii="宋体" w:hAnsi="宋体" w:eastAsia="宋体" w:cs="宋体"/>
          <w:b/>
          <w:bCs w:val="0"/>
          <w:color w:val="auto"/>
          <w:kern w:val="2"/>
          <w:szCs w:val="32"/>
          <w:highlight w:val="none"/>
        </w:rPr>
      </w:pPr>
    </w:p>
    <w:p w14:paraId="416B50A7">
      <w:pPr>
        <w:rPr>
          <w:rFonts w:hint="eastAsia" w:ascii="宋体" w:hAnsi="宋体" w:eastAsia="宋体" w:cs="宋体"/>
          <w:b/>
          <w:bCs w:val="0"/>
          <w:color w:val="auto"/>
          <w:kern w:val="2"/>
          <w:szCs w:val="32"/>
          <w:highlight w:val="none"/>
        </w:rPr>
      </w:pPr>
    </w:p>
    <w:p w14:paraId="5A0F281C">
      <w:pPr>
        <w:rPr>
          <w:rFonts w:hint="eastAsia" w:ascii="宋体" w:hAnsi="宋体" w:eastAsia="宋体" w:cs="宋体"/>
          <w:b/>
          <w:bCs w:val="0"/>
          <w:color w:val="auto"/>
          <w:kern w:val="2"/>
          <w:szCs w:val="32"/>
          <w:highlight w:val="none"/>
        </w:rPr>
      </w:pPr>
    </w:p>
    <w:p w14:paraId="600FD8A0">
      <w:pPr>
        <w:rPr>
          <w:rFonts w:hint="eastAsia" w:ascii="宋体" w:hAnsi="宋体" w:eastAsia="宋体" w:cs="宋体"/>
          <w:b/>
          <w:bCs w:val="0"/>
          <w:color w:val="auto"/>
          <w:kern w:val="2"/>
          <w:szCs w:val="32"/>
          <w:highlight w:val="none"/>
        </w:rPr>
      </w:pPr>
    </w:p>
    <w:p w14:paraId="65B33449">
      <w:pPr>
        <w:rPr>
          <w:rFonts w:hint="eastAsia" w:ascii="宋体" w:hAnsi="宋体" w:eastAsia="宋体" w:cs="宋体"/>
          <w:b/>
          <w:bCs w:val="0"/>
          <w:color w:val="auto"/>
          <w:kern w:val="2"/>
          <w:szCs w:val="32"/>
          <w:highlight w:val="none"/>
        </w:rPr>
      </w:pPr>
    </w:p>
    <w:p w14:paraId="29BD49F0">
      <w:pPr>
        <w:rPr>
          <w:rFonts w:hint="eastAsia" w:ascii="宋体" w:hAnsi="宋体" w:eastAsia="宋体" w:cs="宋体"/>
          <w:b/>
          <w:bCs w:val="0"/>
          <w:color w:val="auto"/>
          <w:kern w:val="2"/>
          <w:szCs w:val="32"/>
          <w:highlight w:val="none"/>
        </w:rPr>
      </w:pPr>
    </w:p>
    <w:p w14:paraId="090929F0">
      <w:pPr>
        <w:rPr>
          <w:rFonts w:hint="eastAsia" w:ascii="宋体" w:hAnsi="宋体" w:eastAsia="宋体" w:cs="宋体"/>
          <w:b/>
          <w:bCs w:val="0"/>
          <w:color w:val="auto"/>
          <w:kern w:val="2"/>
          <w:szCs w:val="32"/>
          <w:highlight w:val="none"/>
        </w:rPr>
      </w:pPr>
    </w:p>
    <w:p w14:paraId="2FDDB342">
      <w:pPr>
        <w:rPr>
          <w:rFonts w:hint="eastAsia" w:ascii="宋体" w:hAnsi="宋体" w:eastAsia="宋体" w:cs="宋体"/>
          <w:b/>
          <w:bCs w:val="0"/>
          <w:color w:val="auto"/>
          <w:kern w:val="2"/>
          <w:szCs w:val="32"/>
          <w:highlight w:val="none"/>
        </w:rPr>
      </w:pPr>
    </w:p>
    <w:p w14:paraId="7255AE2D">
      <w:pPr>
        <w:rPr>
          <w:rFonts w:hint="eastAsia" w:ascii="宋体" w:hAnsi="宋体" w:eastAsia="宋体" w:cs="宋体"/>
          <w:b/>
          <w:bCs w:val="0"/>
          <w:color w:val="auto"/>
          <w:kern w:val="2"/>
          <w:szCs w:val="32"/>
          <w:highlight w:val="none"/>
        </w:rPr>
      </w:pPr>
    </w:p>
    <w:p w14:paraId="5A58AC25">
      <w:pPr>
        <w:rPr>
          <w:rFonts w:hint="eastAsia" w:ascii="宋体" w:hAnsi="宋体" w:eastAsia="宋体" w:cs="宋体"/>
          <w:b/>
          <w:bCs w:val="0"/>
          <w:color w:val="auto"/>
          <w:kern w:val="2"/>
          <w:szCs w:val="32"/>
          <w:highlight w:val="none"/>
        </w:rPr>
      </w:pPr>
    </w:p>
    <w:p w14:paraId="11D77223">
      <w:pPr>
        <w:rPr>
          <w:rFonts w:hint="eastAsia" w:ascii="宋体" w:hAnsi="宋体" w:eastAsia="宋体" w:cs="宋体"/>
          <w:b/>
          <w:bCs w:val="0"/>
          <w:color w:val="auto"/>
          <w:kern w:val="2"/>
          <w:szCs w:val="32"/>
          <w:highlight w:val="none"/>
        </w:rPr>
      </w:pPr>
    </w:p>
    <w:p w14:paraId="4F84B194">
      <w:pPr>
        <w:rPr>
          <w:rFonts w:hint="eastAsia" w:ascii="宋体" w:hAnsi="宋体" w:eastAsia="宋体" w:cs="宋体"/>
          <w:b/>
          <w:bCs w:val="0"/>
          <w:color w:val="auto"/>
          <w:kern w:val="2"/>
          <w:szCs w:val="32"/>
          <w:highlight w:val="none"/>
        </w:rPr>
      </w:pPr>
    </w:p>
    <w:p w14:paraId="421277D5">
      <w:pPr>
        <w:rPr>
          <w:rFonts w:hint="eastAsia" w:ascii="宋体" w:hAnsi="宋体" w:eastAsia="宋体" w:cs="宋体"/>
          <w:b/>
          <w:bCs w:val="0"/>
          <w:color w:val="auto"/>
          <w:kern w:val="2"/>
          <w:szCs w:val="32"/>
          <w:highlight w:val="none"/>
        </w:rPr>
      </w:pPr>
    </w:p>
    <w:p w14:paraId="3A334A23">
      <w:pPr>
        <w:keepNext w:val="0"/>
        <w:keepLines w:val="0"/>
        <w:pageBreakBefore w:val="0"/>
        <w:widowControl w:val="0"/>
        <w:kinsoku/>
        <w:wordWrap/>
        <w:overflowPunct/>
        <w:topLinePunct w:val="0"/>
        <w:autoSpaceDE/>
        <w:autoSpaceDN/>
        <w:bidi w:val="0"/>
        <w:adjustRightInd/>
        <w:snapToGrid/>
        <w:spacing w:line="440" w:lineRule="exact"/>
        <w:ind w:firstLine="2530" w:firstLineChars="700"/>
        <w:jc w:val="both"/>
        <w:textAlignment w:val="auto"/>
        <w:outlineLvl w:val="0"/>
        <w:rPr>
          <w:rFonts w:hint="eastAsia" w:ascii="Times New Roman" w:hAnsi="Times New Roman" w:eastAsia="宋体" w:cs="Times New Roman"/>
          <w:b/>
          <w:bCs/>
          <w:color w:val="auto"/>
          <w:kern w:val="2"/>
          <w:sz w:val="36"/>
          <w:szCs w:val="36"/>
          <w:highlight w:val="none"/>
          <w:lang w:val="en-US" w:eastAsia="zh-CN" w:bidi="ar-SA"/>
        </w:rPr>
      </w:pPr>
      <w:r>
        <w:rPr>
          <w:rFonts w:hint="eastAsia" w:ascii="Times New Roman" w:hAnsi="Times New Roman" w:eastAsia="宋体" w:cs="Times New Roman"/>
          <w:b/>
          <w:bCs/>
          <w:color w:val="auto"/>
          <w:kern w:val="2"/>
          <w:sz w:val="36"/>
          <w:szCs w:val="36"/>
          <w:highlight w:val="none"/>
          <w:lang w:val="en-US" w:eastAsia="zh-CN" w:bidi="ar-SA"/>
        </w:rPr>
        <w:t>第六章  投标文件封皮格式</w:t>
      </w:r>
    </w:p>
    <w:p w14:paraId="49318F6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Style w:val="74"/>
          <w:rFonts w:hint="eastAsia" w:ascii="宋体" w:hAnsi="宋体" w:eastAsia="宋体" w:cs="宋体"/>
          <w:color w:val="auto"/>
          <w:sz w:val="24"/>
          <w:szCs w:val="24"/>
          <w:highlight w:val="none"/>
        </w:rPr>
      </w:pPr>
      <w:bookmarkStart w:id="68" w:name="_Toc15868"/>
      <w:bookmarkStart w:id="69" w:name="_Toc2834"/>
      <w:bookmarkStart w:id="70" w:name="_Toc16564"/>
      <w:r>
        <w:rPr>
          <w:rStyle w:val="74"/>
          <w:rFonts w:hint="eastAsia" w:ascii="宋体" w:hAnsi="宋体" w:eastAsia="宋体" w:cs="宋体"/>
          <w:color w:val="auto"/>
          <w:sz w:val="24"/>
          <w:szCs w:val="24"/>
          <w:highlight w:val="none"/>
        </w:rPr>
        <w:t>正本/副本</w:t>
      </w:r>
      <w:bookmarkEnd w:id="68"/>
      <w:bookmarkEnd w:id="69"/>
      <w:bookmarkEnd w:id="70"/>
    </w:p>
    <w:p w14:paraId="7D651523">
      <w:pPr>
        <w:jc w:val="left"/>
        <w:rPr>
          <w:rStyle w:val="74"/>
          <w:rFonts w:hint="eastAsia" w:ascii="仿宋" w:hAnsi="仿宋" w:eastAsia="仿宋" w:cs="仿宋"/>
          <w:color w:val="auto"/>
          <w:highlight w:val="none"/>
        </w:rPr>
      </w:pPr>
    </w:p>
    <w:p w14:paraId="6D5F3E82">
      <w:pPr>
        <w:rPr>
          <w:rFonts w:hint="eastAsia" w:ascii="仿宋" w:hAnsi="仿宋" w:eastAsia="仿宋" w:cs="仿宋"/>
          <w:color w:val="auto"/>
          <w:sz w:val="28"/>
          <w:szCs w:val="28"/>
          <w:highlight w:val="none"/>
          <w:u w:val="single"/>
        </w:rPr>
      </w:pPr>
    </w:p>
    <w:p w14:paraId="10CED8CA">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（项目名称）</w:t>
      </w:r>
    </w:p>
    <w:p w14:paraId="09A2FE16">
      <w:pPr>
        <w:jc w:val="center"/>
        <w:rPr>
          <w:rFonts w:hint="eastAsia" w:ascii="仿宋" w:hAnsi="仿宋" w:eastAsia="仿宋" w:cs="仿宋"/>
          <w:color w:val="auto"/>
          <w:sz w:val="28"/>
          <w:szCs w:val="28"/>
          <w:highlight w:val="none"/>
          <w:u w:val="single"/>
        </w:rPr>
      </w:pPr>
    </w:p>
    <w:p w14:paraId="525617AB">
      <w:pPr>
        <w:rPr>
          <w:rFonts w:hint="eastAsia" w:ascii="仿宋" w:hAnsi="仿宋" w:eastAsia="仿宋" w:cs="仿宋"/>
          <w:color w:val="auto"/>
          <w:sz w:val="20"/>
          <w:szCs w:val="20"/>
          <w:highlight w:val="none"/>
        </w:rPr>
      </w:pPr>
    </w:p>
    <w:p w14:paraId="3ADDA993">
      <w:pPr>
        <w:rPr>
          <w:rFonts w:hint="eastAsia" w:ascii="仿宋" w:hAnsi="仿宋" w:eastAsia="仿宋" w:cs="仿宋"/>
          <w:color w:val="auto"/>
          <w:sz w:val="20"/>
          <w:szCs w:val="20"/>
          <w:highlight w:val="none"/>
        </w:rPr>
      </w:pPr>
    </w:p>
    <w:p w14:paraId="716CCF64">
      <w:pPr>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投  标  文  件</w:t>
      </w:r>
    </w:p>
    <w:p w14:paraId="70514B34">
      <w:pPr>
        <w:rPr>
          <w:rFonts w:hint="eastAsia" w:ascii="仿宋" w:hAnsi="仿宋" w:eastAsia="仿宋" w:cs="仿宋"/>
          <w:color w:val="auto"/>
          <w:sz w:val="28"/>
          <w:szCs w:val="28"/>
          <w:highlight w:val="none"/>
        </w:rPr>
      </w:pPr>
    </w:p>
    <w:p w14:paraId="6DAB19A2">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2970B83A">
      <w:pPr>
        <w:rPr>
          <w:rFonts w:hint="eastAsia" w:ascii="仿宋" w:hAnsi="仿宋" w:eastAsia="仿宋" w:cs="仿宋"/>
          <w:color w:val="auto"/>
          <w:sz w:val="28"/>
          <w:szCs w:val="28"/>
          <w:highlight w:val="none"/>
        </w:rPr>
      </w:pPr>
    </w:p>
    <w:p w14:paraId="350CD7D3">
      <w:pPr>
        <w:rPr>
          <w:rFonts w:hint="eastAsia" w:ascii="仿宋" w:hAnsi="仿宋" w:eastAsia="仿宋" w:cs="仿宋"/>
          <w:color w:val="auto"/>
          <w:sz w:val="28"/>
          <w:szCs w:val="28"/>
          <w:highlight w:val="none"/>
        </w:rPr>
      </w:pPr>
    </w:p>
    <w:p w14:paraId="04C4F959">
      <w:pPr>
        <w:rPr>
          <w:rFonts w:hint="eastAsia" w:ascii="仿宋" w:hAnsi="仿宋" w:eastAsia="仿宋" w:cs="仿宋"/>
          <w:color w:val="auto"/>
          <w:sz w:val="28"/>
          <w:szCs w:val="28"/>
          <w:highlight w:val="none"/>
        </w:rPr>
      </w:pPr>
    </w:p>
    <w:p w14:paraId="664C54D2">
      <w:pPr>
        <w:rPr>
          <w:rFonts w:hint="eastAsia" w:ascii="仿宋" w:hAnsi="仿宋" w:eastAsia="仿宋" w:cs="仿宋"/>
          <w:color w:val="auto"/>
          <w:sz w:val="28"/>
          <w:szCs w:val="28"/>
          <w:highlight w:val="none"/>
        </w:rPr>
      </w:pPr>
    </w:p>
    <w:p w14:paraId="45914225">
      <w:pPr>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仿宋" w:hAnsi="仿宋" w:eastAsia="仿宋" w:cs="仿宋"/>
          <w:color w:val="auto"/>
          <w:sz w:val="28"/>
          <w:szCs w:val="28"/>
          <w:highlight w:val="none"/>
        </w:rPr>
        <w:t>（</w:t>
      </w:r>
      <w:r>
        <w:rPr>
          <w:rFonts w:hint="eastAsia" w:ascii="宋体" w:hAnsi="宋体" w:cs="宋体"/>
          <w:color w:val="auto"/>
          <w:sz w:val="24"/>
          <w:szCs w:val="24"/>
          <w:highlight w:val="none"/>
          <w:lang w:val="en-US" w:eastAsia="zh-CN"/>
        </w:rPr>
        <w:t>盖章</w:t>
      </w:r>
      <w:r>
        <w:rPr>
          <w:rFonts w:hint="eastAsia" w:ascii="仿宋" w:hAnsi="仿宋" w:eastAsia="仿宋" w:cs="仿宋"/>
          <w:color w:val="auto"/>
          <w:sz w:val="28"/>
          <w:szCs w:val="28"/>
          <w:highlight w:val="none"/>
        </w:rPr>
        <w:t>）</w:t>
      </w:r>
    </w:p>
    <w:p w14:paraId="3D3C04E4">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仿宋" w:hAnsi="仿宋" w:eastAsia="仿宋" w:cs="仿宋"/>
          <w:color w:val="auto"/>
          <w:sz w:val="28"/>
          <w:szCs w:val="28"/>
          <w:highlight w:val="none"/>
        </w:rPr>
        <w:t>（</w:t>
      </w:r>
      <w:r>
        <w:rPr>
          <w:rFonts w:hint="eastAsia" w:ascii="宋体" w:hAnsi="宋体" w:cs="宋体"/>
          <w:color w:val="auto"/>
          <w:sz w:val="24"/>
          <w:szCs w:val="24"/>
          <w:highlight w:val="none"/>
          <w:lang w:val="en-US" w:eastAsia="zh-CN"/>
        </w:rPr>
        <w:t>签字或盖章</w:t>
      </w:r>
      <w:r>
        <w:rPr>
          <w:rFonts w:hint="eastAsia" w:ascii="仿宋" w:hAnsi="仿宋" w:eastAsia="仿宋" w:cs="仿宋"/>
          <w:color w:val="auto"/>
          <w:sz w:val="28"/>
          <w:szCs w:val="28"/>
          <w:highlight w:val="none"/>
        </w:rPr>
        <w:t>）</w:t>
      </w:r>
    </w:p>
    <w:p w14:paraId="4770C35D">
      <w:pPr>
        <w:pStyle w:val="21"/>
        <w:spacing w:line="500" w:lineRule="exact"/>
        <w:ind w:firstLine="480" w:firstLineChars="200"/>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7A8B904B">
      <w:pPr>
        <w:pStyle w:val="21"/>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8C8A70C">
      <w:pPr>
        <w:jc w:val="left"/>
        <w:rPr>
          <w:rFonts w:hint="default" w:ascii="宋体" w:hAnsi="宋体" w:eastAsia="宋体" w:cs="宋体"/>
          <w:color w:val="auto"/>
          <w:sz w:val="24"/>
          <w:szCs w:val="24"/>
          <w:highlight w:val="none"/>
          <w:u w:val="single"/>
          <w:lang w:val="en-US" w:eastAsia="zh-CN"/>
        </w:rPr>
      </w:pPr>
    </w:p>
    <w:p w14:paraId="30D51675">
      <w:pPr>
        <w:pStyle w:val="37"/>
        <w:rPr>
          <w:rFonts w:hint="default" w:ascii="宋体" w:hAnsi="宋体" w:eastAsia="宋体" w:cs="宋体"/>
          <w:color w:val="auto"/>
          <w:sz w:val="24"/>
          <w:szCs w:val="24"/>
          <w:highlight w:val="none"/>
          <w:u w:val="single"/>
          <w:lang w:val="en-US" w:eastAsia="zh-CN"/>
        </w:rPr>
      </w:pPr>
    </w:p>
    <w:p w14:paraId="2A30B4CC">
      <w:pPr>
        <w:pStyle w:val="37"/>
        <w:rPr>
          <w:rFonts w:hint="default" w:ascii="宋体" w:hAnsi="宋体" w:eastAsia="宋体" w:cs="宋体"/>
          <w:color w:val="auto"/>
          <w:sz w:val="24"/>
          <w:szCs w:val="24"/>
          <w:highlight w:val="none"/>
          <w:u w:val="single"/>
          <w:lang w:val="en-US" w:eastAsia="zh-CN"/>
        </w:rPr>
      </w:pPr>
    </w:p>
    <w:p w14:paraId="5F0CCC7F">
      <w:pPr>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8C9B04F">
      <w:pPr>
        <w:pStyle w:val="6"/>
        <w:jc w:val="center"/>
        <w:rPr>
          <w:rFonts w:hint="eastAsia" w:ascii="宋体" w:hAnsi="宋体" w:eastAsia="宋体" w:cs="宋体"/>
          <w:b/>
          <w:bCs w:val="0"/>
          <w:color w:val="auto"/>
          <w:kern w:val="2"/>
          <w:sz w:val="28"/>
          <w:szCs w:val="28"/>
          <w:highlight w:val="none"/>
          <w:lang w:val="en-US" w:eastAsia="zh-CN" w:bidi="ar-SA"/>
        </w:rPr>
      </w:pPr>
      <w:bookmarkStart w:id="71" w:name="_Toc3810"/>
      <w:bookmarkStart w:id="72" w:name="_Toc25052"/>
      <w:r>
        <w:rPr>
          <w:rFonts w:hint="eastAsia" w:ascii="宋体" w:hAnsi="宋体" w:eastAsia="宋体" w:cs="宋体"/>
          <w:b/>
          <w:bCs w:val="0"/>
          <w:color w:val="auto"/>
          <w:kern w:val="2"/>
          <w:sz w:val="28"/>
          <w:szCs w:val="28"/>
          <w:highlight w:val="none"/>
          <w:lang w:val="en-US" w:eastAsia="zh-CN" w:bidi="ar-SA"/>
        </w:rPr>
        <w:t>目    录</w:t>
      </w:r>
      <w:bookmarkEnd w:id="71"/>
      <w:bookmarkEnd w:id="72"/>
    </w:p>
    <w:p w14:paraId="10804D83">
      <w:pPr>
        <w:spacing w:line="540" w:lineRule="exact"/>
        <w:rPr>
          <w:rFonts w:hint="eastAsia" w:ascii="仿宋" w:hAnsi="仿宋" w:eastAsia="仿宋" w:cs="仿宋"/>
          <w:color w:val="auto"/>
          <w:sz w:val="24"/>
          <w:szCs w:val="24"/>
          <w:highlight w:val="none"/>
        </w:rPr>
      </w:pPr>
    </w:p>
    <w:p w14:paraId="2E28E960">
      <w:pPr>
        <w:pStyle w:val="6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一、投标函</w:t>
      </w:r>
    </w:p>
    <w:p w14:paraId="4545893A">
      <w:pPr>
        <w:pStyle w:val="6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二、法定代表人身份证明及授权委托书</w:t>
      </w:r>
    </w:p>
    <w:p w14:paraId="0CC4BA0C">
      <w:pPr>
        <w:pStyle w:val="6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三、投标保证金</w:t>
      </w:r>
      <w:r>
        <w:rPr>
          <w:rFonts w:hint="eastAsia" w:ascii="宋体" w:hAnsi="宋体" w:eastAsia="宋体" w:cs="宋体"/>
          <w:color w:val="auto"/>
          <w:kern w:val="0"/>
          <w:sz w:val="24"/>
          <w:szCs w:val="24"/>
          <w:highlight w:val="none"/>
          <w:lang w:val="en-US" w:eastAsia="zh-CN"/>
        </w:rPr>
        <w:t>缴纳凭证</w:t>
      </w:r>
      <w:r>
        <w:rPr>
          <w:rFonts w:hint="eastAsia" w:ascii="宋体" w:hAnsi="宋体" w:eastAsia="宋体" w:cs="宋体"/>
          <w:color w:val="auto"/>
          <w:kern w:val="0"/>
          <w:sz w:val="24"/>
          <w:szCs w:val="24"/>
          <w:highlight w:val="none"/>
        </w:rPr>
        <w:t xml:space="preserve"> </w:t>
      </w:r>
    </w:p>
    <w:p w14:paraId="7597F575">
      <w:pPr>
        <w:pStyle w:val="6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四、企业基本情况表</w:t>
      </w:r>
    </w:p>
    <w:p w14:paraId="7480272B">
      <w:pPr>
        <w:pStyle w:val="6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五、开标一览表</w:t>
      </w:r>
    </w:p>
    <w:p w14:paraId="7FA6391E">
      <w:pPr>
        <w:pStyle w:val="6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六、拟派往本项目的项目人员情况表</w:t>
      </w:r>
    </w:p>
    <w:p w14:paraId="382E460D">
      <w:pPr>
        <w:pStyle w:val="63"/>
        <w:spacing w:line="36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七、承担过类似项目业绩表</w:t>
      </w:r>
    </w:p>
    <w:p w14:paraId="7773141A">
      <w:pPr>
        <w:pStyle w:val="63"/>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八、商务、技术条款偏离表</w:t>
      </w:r>
    </w:p>
    <w:p w14:paraId="6553E145">
      <w:pPr>
        <w:pStyle w:val="63"/>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九、中小企业声明函（工程、服务）</w:t>
      </w:r>
    </w:p>
    <w:p w14:paraId="382A5302">
      <w:pPr>
        <w:pStyle w:val="63"/>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十、 残疾人福利性单位声明函（残疾人福利性单位提供）</w:t>
      </w:r>
    </w:p>
    <w:p w14:paraId="65E04830">
      <w:pPr>
        <w:pStyle w:val="63"/>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十一、监狱企业声明函</w:t>
      </w:r>
    </w:p>
    <w:p w14:paraId="384D9685">
      <w:pPr>
        <w:pStyle w:val="63"/>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十二、不参与围标串标承诺书</w:t>
      </w:r>
    </w:p>
    <w:p w14:paraId="5A6F018E">
      <w:pPr>
        <w:pStyle w:val="63"/>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十三、投标单位自觉抵制政府采购领域商业贿赂行为承诺书</w:t>
      </w:r>
    </w:p>
    <w:p w14:paraId="7D0C8163">
      <w:pPr>
        <w:pStyle w:val="63"/>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十四、其他声明及文件资料（格式自拟）</w:t>
      </w:r>
    </w:p>
    <w:p w14:paraId="57BBF830">
      <w:pPr>
        <w:pStyle w:val="66"/>
        <w:rPr>
          <w:rFonts w:hint="default"/>
          <w:lang w:val="en-US" w:eastAsia="zh-CN"/>
        </w:rPr>
      </w:pPr>
      <w:r>
        <w:rPr>
          <w:rFonts w:hint="eastAsia" w:ascii="宋体" w:hAnsi="宋体" w:cs="宋体"/>
          <w:color w:val="auto"/>
          <w:kern w:val="0"/>
          <w:sz w:val="24"/>
          <w:szCs w:val="24"/>
          <w:highlight w:val="none"/>
          <w:lang w:val="en-US" w:eastAsia="zh-CN"/>
        </w:rPr>
        <w:t>十五、</w:t>
      </w:r>
      <w:r>
        <w:rPr>
          <w:rFonts w:hint="eastAsia" w:ascii="宋体" w:hAnsi="宋体" w:eastAsia="宋体" w:cs="宋体"/>
          <w:color w:val="auto"/>
          <w:kern w:val="0"/>
          <w:sz w:val="24"/>
          <w:szCs w:val="24"/>
          <w:highlight w:val="none"/>
          <w:lang w:val="en-US" w:eastAsia="zh-CN"/>
        </w:rPr>
        <w:t>技术文件</w:t>
      </w:r>
    </w:p>
    <w:p w14:paraId="3DA0C0A4">
      <w:pPr>
        <w:pStyle w:val="6"/>
        <w:numPr>
          <w:ilvl w:val="0"/>
          <w:numId w:val="0"/>
        </w:numPr>
        <w:spacing w:before="0" w:after="0" w:line="240" w:lineRule="auto"/>
        <w:jc w:val="center"/>
        <w:outlineLvl w:val="0"/>
        <w:rPr>
          <w:rFonts w:hint="eastAsia" w:ascii="宋体" w:hAnsi="宋体" w:eastAsia="宋体" w:cs="宋体"/>
          <w:b/>
          <w:bCs w:val="0"/>
          <w:color w:val="auto"/>
          <w:kern w:val="2"/>
          <w:szCs w:val="32"/>
          <w:highlight w:val="none"/>
        </w:rPr>
      </w:pPr>
    </w:p>
    <w:p w14:paraId="68B6451D">
      <w:pPr>
        <w:rPr>
          <w:rFonts w:hint="eastAsia" w:ascii="宋体" w:hAnsi="宋体" w:eastAsia="宋体" w:cs="宋体"/>
          <w:b/>
          <w:bCs w:val="0"/>
          <w:color w:val="auto"/>
          <w:kern w:val="2"/>
          <w:szCs w:val="32"/>
          <w:highlight w:val="none"/>
        </w:rPr>
      </w:pPr>
    </w:p>
    <w:p w14:paraId="7ECA8934">
      <w:pPr>
        <w:rPr>
          <w:rFonts w:hint="eastAsia" w:ascii="宋体" w:hAnsi="宋体" w:eastAsia="宋体" w:cs="宋体"/>
          <w:b/>
          <w:bCs w:val="0"/>
          <w:color w:val="auto"/>
          <w:kern w:val="2"/>
          <w:szCs w:val="32"/>
          <w:highlight w:val="none"/>
        </w:rPr>
      </w:pPr>
    </w:p>
    <w:p w14:paraId="2AFFF2DB">
      <w:pPr>
        <w:rPr>
          <w:rFonts w:hint="eastAsia" w:ascii="宋体" w:hAnsi="宋体" w:eastAsia="宋体" w:cs="宋体"/>
          <w:b/>
          <w:bCs w:val="0"/>
          <w:color w:val="auto"/>
          <w:kern w:val="2"/>
          <w:szCs w:val="32"/>
          <w:highlight w:val="none"/>
        </w:rPr>
      </w:pPr>
    </w:p>
    <w:p w14:paraId="3EC1C91E">
      <w:pPr>
        <w:rPr>
          <w:rFonts w:hint="eastAsia" w:ascii="宋体" w:hAnsi="宋体" w:eastAsia="宋体" w:cs="宋体"/>
          <w:b/>
          <w:bCs w:val="0"/>
          <w:color w:val="auto"/>
          <w:kern w:val="2"/>
          <w:szCs w:val="32"/>
          <w:highlight w:val="none"/>
        </w:rPr>
      </w:pPr>
    </w:p>
    <w:p w14:paraId="622C4461">
      <w:pPr>
        <w:rPr>
          <w:rFonts w:hint="eastAsia" w:ascii="宋体" w:hAnsi="宋体" w:eastAsia="宋体" w:cs="宋体"/>
          <w:b/>
          <w:bCs w:val="0"/>
          <w:color w:val="auto"/>
          <w:kern w:val="2"/>
          <w:szCs w:val="32"/>
          <w:highlight w:val="none"/>
        </w:rPr>
      </w:pPr>
    </w:p>
    <w:p w14:paraId="4D77A79A">
      <w:pPr>
        <w:rPr>
          <w:rFonts w:hint="eastAsia" w:ascii="宋体" w:hAnsi="宋体" w:eastAsia="宋体" w:cs="宋体"/>
          <w:b/>
          <w:bCs w:val="0"/>
          <w:color w:val="auto"/>
          <w:kern w:val="2"/>
          <w:szCs w:val="32"/>
          <w:highlight w:val="none"/>
        </w:rPr>
      </w:pPr>
    </w:p>
    <w:p w14:paraId="0A1DE63C">
      <w:pPr>
        <w:rPr>
          <w:rFonts w:hint="eastAsia" w:ascii="宋体" w:hAnsi="宋体" w:eastAsia="宋体" w:cs="宋体"/>
          <w:b/>
          <w:bCs w:val="0"/>
          <w:color w:val="auto"/>
          <w:kern w:val="2"/>
          <w:szCs w:val="32"/>
          <w:highlight w:val="none"/>
        </w:rPr>
      </w:pPr>
    </w:p>
    <w:p w14:paraId="60CB2D49">
      <w:pPr>
        <w:rPr>
          <w:rFonts w:hint="eastAsia" w:ascii="宋体" w:hAnsi="宋体" w:eastAsia="宋体" w:cs="宋体"/>
          <w:b/>
          <w:bCs w:val="0"/>
          <w:color w:val="auto"/>
          <w:kern w:val="2"/>
          <w:szCs w:val="32"/>
          <w:highlight w:val="none"/>
        </w:rPr>
      </w:pPr>
    </w:p>
    <w:p w14:paraId="30309C5E">
      <w:pPr>
        <w:rPr>
          <w:rFonts w:hint="eastAsia" w:ascii="宋体" w:hAnsi="宋体" w:eastAsia="宋体" w:cs="宋体"/>
          <w:b/>
          <w:bCs w:val="0"/>
          <w:color w:val="auto"/>
          <w:kern w:val="2"/>
          <w:szCs w:val="32"/>
          <w:highlight w:val="none"/>
        </w:rPr>
      </w:pPr>
    </w:p>
    <w:p w14:paraId="33D019D8">
      <w:pPr>
        <w:rPr>
          <w:rFonts w:hint="eastAsia" w:ascii="宋体" w:hAnsi="宋体" w:eastAsia="宋体" w:cs="宋体"/>
          <w:b/>
          <w:bCs w:val="0"/>
          <w:color w:val="auto"/>
          <w:kern w:val="2"/>
          <w:szCs w:val="32"/>
          <w:highlight w:val="none"/>
        </w:rPr>
      </w:pPr>
    </w:p>
    <w:p w14:paraId="6592DDDC">
      <w:pPr>
        <w:rPr>
          <w:rFonts w:hint="eastAsia" w:ascii="宋体" w:hAnsi="宋体" w:eastAsia="宋体" w:cs="宋体"/>
          <w:b/>
          <w:bCs w:val="0"/>
          <w:color w:val="auto"/>
          <w:kern w:val="2"/>
          <w:szCs w:val="32"/>
          <w:highlight w:val="none"/>
        </w:rPr>
      </w:pPr>
    </w:p>
    <w:p w14:paraId="18717CE8">
      <w:pPr>
        <w:rPr>
          <w:rFonts w:hint="eastAsia" w:ascii="宋体" w:hAnsi="宋体" w:eastAsia="宋体" w:cs="宋体"/>
          <w:b/>
          <w:bCs w:val="0"/>
          <w:color w:val="auto"/>
          <w:kern w:val="2"/>
          <w:szCs w:val="32"/>
          <w:highlight w:val="none"/>
        </w:rPr>
      </w:pPr>
    </w:p>
    <w:p w14:paraId="21BE84AC">
      <w:pPr>
        <w:rPr>
          <w:rFonts w:hint="eastAsia" w:ascii="宋体" w:hAnsi="宋体" w:eastAsia="宋体" w:cs="宋体"/>
          <w:b/>
          <w:bCs w:val="0"/>
          <w:color w:val="auto"/>
          <w:kern w:val="2"/>
          <w:szCs w:val="32"/>
          <w:highlight w:val="none"/>
        </w:rPr>
      </w:pPr>
    </w:p>
    <w:p w14:paraId="6195030B">
      <w:pPr>
        <w:rPr>
          <w:rFonts w:hint="eastAsia" w:ascii="宋体" w:hAnsi="宋体" w:eastAsia="宋体" w:cs="宋体"/>
          <w:b/>
          <w:bCs w:val="0"/>
          <w:color w:val="auto"/>
          <w:kern w:val="2"/>
          <w:szCs w:val="32"/>
          <w:highlight w:val="none"/>
        </w:rPr>
      </w:pPr>
    </w:p>
    <w:bookmarkEnd w:id="58"/>
    <w:bookmarkEnd w:id="59"/>
    <w:bookmarkEnd w:id="60"/>
    <w:bookmarkEnd w:id="61"/>
    <w:bookmarkEnd w:id="62"/>
    <w:bookmarkEnd w:id="63"/>
    <w:bookmarkEnd w:id="64"/>
    <w:bookmarkEnd w:id="65"/>
    <w:bookmarkEnd w:id="66"/>
    <w:bookmarkEnd w:id="67"/>
    <w:p w14:paraId="3CCEB843">
      <w:pPr>
        <w:pStyle w:val="6"/>
        <w:jc w:val="center"/>
        <w:rPr>
          <w:rFonts w:hint="eastAsia" w:ascii="宋体" w:hAnsi="宋体" w:eastAsia="宋体" w:cs="宋体"/>
          <w:b/>
          <w:bCs w:val="0"/>
          <w:color w:val="auto"/>
          <w:kern w:val="2"/>
          <w:sz w:val="28"/>
          <w:szCs w:val="28"/>
          <w:highlight w:val="none"/>
          <w:lang w:val="en-US" w:eastAsia="zh-CN" w:bidi="ar-SA"/>
        </w:rPr>
      </w:pPr>
      <w:bookmarkStart w:id="73" w:name="_Toc443572892"/>
      <w:bookmarkStart w:id="74" w:name="_Toc464375165"/>
      <w:bookmarkStart w:id="75" w:name="_Toc152045788"/>
      <w:bookmarkStart w:id="76" w:name="_Toc152042577"/>
      <w:bookmarkStart w:id="77" w:name="_Toc13885"/>
      <w:bookmarkStart w:id="78" w:name="_Toc144974857"/>
      <w:bookmarkStart w:id="79" w:name="_Toc30858"/>
      <w:r>
        <w:rPr>
          <w:rFonts w:hint="eastAsia" w:ascii="宋体" w:hAnsi="宋体" w:eastAsia="宋体" w:cs="宋体"/>
          <w:b/>
          <w:bCs w:val="0"/>
          <w:color w:val="auto"/>
          <w:kern w:val="2"/>
          <w:sz w:val="28"/>
          <w:szCs w:val="28"/>
          <w:highlight w:val="none"/>
          <w:lang w:val="en-US" w:eastAsia="zh-CN" w:bidi="ar-SA"/>
        </w:rPr>
        <w:t>一、投标函</w:t>
      </w:r>
      <w:bookmarkEnd w:id="73"/>
      <w:bookmarkEnd w:id="74"/>
      <w:bookmarkEnd w:id="75"/>
      <w:bookmarkEnd w:id="76"/>
      <w:bookmarkEnd w:id="77"/>
      <w:bookmarkEnd w:id="78"/>
      <w:bookmarkEnd w:id="79"/>
    </w:p>
    <w:p w14:paraId="55E38EAB">
      <w:pPr>
        <w:spacing w:line="440" w:lineRule="exact"/>
        <w:rPr>
          <w:rFonts w:hint="eastAsia" w:ascii="宋体" w:hAnsi="宋体" w:eastAsia="宋体" w:cs="宋体"/>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027E770A">
      <w:pPr>
        <w:spacing w:line="440" w:lineRule="exact"/>
        <w:rPr>
          <w:rFonts w:hint="eastAsia" w:ascii="宋体" w:hAnsi="宋体" w:eastAsia="宋体" w:cs="宋体"/>
          <w:color w:val="auto"/>
          <w:sz w:val="24"/>
          <w:szCs w:val="24"/>
          <w:highlight w:val="none"/>
        </w:rPr>
      </w:pPr>
    </w:p>
    <w:p w14:paraId="6347EC9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招标文件的全部内容，愿意以人民币（大写）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）的投标总报价，</w:t>
      </w:r>
      <w:r>
        <w:rPr>
          <w:rFonts w:hint="eastAsia" w:ascii="宋体" w:hAnsi="宋体" w:cs="宋体"/>
          <w:color w:val="auto"/>
          <w:sz w:val="24"/>
          <w:szCs w:val="24"/>
          <w:highlight w:val="none"/>
          <w:lang w:eastAsia="zh-CN"/>
        </w:rPr>
        <w:t>监理服务期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，按合同约定实施和完成本合同中的全部合同内容，</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AAE3F6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2．我方承诺在投标有效期（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日历天）内不修改、撤销投标文件。 </w:t>
      </w:r>
    </w:p>
    <w:p w14:paraId="2DF831B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3．随同本投标函提交投标保证金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或保函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一份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后附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D041F0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4．如我方中标：</w:t>
      </w:r>
    </w:p>
    <w:p w14:paraId="0B96C3C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（1）我方承诺在收到中标通知书后，在中标通知书规定的期限内与你方签订合同。</w:t>
      </w:r>
    </w:p>
    <w:p w14:paraId="150D44D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（2）我方承诺在合同约定的期限内完成并移交全部合同。</w:t>
      </w:r>
    </w:p>
    <w:p w14:paraId="2B462E8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5．我方在此声明，所递交的投标文件及有关资料内容完整、真实和准确。</w:t>
      </w:r>
    </w:p>
    <w:p w14:paraId="1834C668">
      <w:pPr>
        <w:spacing w:line="440" w:lineRule="exact"/>
        <w:rPr>
          <w:rFonts w:hint="eastAsia" w:ascii="宋体" w:hAnsi="宋体" w:eastAsia="宋体" w:cs="宋体"/>
          <w:color w:val="auto"/>
          <w:sz w:val="24"/>
          <w:szCs w:val="24"/>
          <w:highlight w:val="none"/>
        </w:rPr>
      </w:pPr>
    </w:p>
    <w:p w14:paraId="1189035F">
      <w:pPr>
        <w:spacing w:line="44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p>
    <w:p w14:paraId="66245439">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签字或盖章</w:t>
      </w:r>
      <w:r>
        <w:rPr>
          <w:rFonts w:hint="eastAsia" w:ascii="宋体" w:hAnsi="宋体" w:eastAsia="宋体" w:cs="宋体"/>
          <w:color w:val="auto"/>
          <w:sz w:val="24"/>
          <w:szCs w:val="24"/>
          <w:highlight w:val="none"/>
        </w:rPr>
        <w:t>）</w:t>
      </w:r>
    </w:p>
    <w:p w14:paraId="7D83BA6B">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DCE3BAD">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1E11FEB3">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14:paraId="360286FE">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39641147">
      <w:pPr>
        <w:spacing w:line="440" w:lineRule="exact"/>
        <w:jc w:val="left"/>
        <w:rPr>
          <w:rFonts w:hint="eastAsia" w:ascii="仿宋" w:hAnsi="仿宋" w:eastAsia="仿宋" w:cs="仿宋"/>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73F321E">
      <w:pPr>
        <w:spacing w:line="440" w:lineRule="exact"/>
        <w:rPr>
          <w:rFonts w:hint="eastAsia" w:ascii="仿宋" w:hAnsi="仿宋" w:eastAsia="仿宋" w:cs="仿宋"/>
          <w:color w:val="auto"/>
          <w:sz w:val="20"/>
          <w:szCs w:val="20"/>
          <w:highlight w:val="none"/>
        </w:rPr>
      </w:pPr>
    </w:p>
    <w:p w14:paraId="142FA8BB">
      <w:pPr>
        <w:pStyle w:val="2"/>
        <w:ind w:firstLine="200"/>
        <w:rPr>
          <w:rFonts w:hint="eastAsia" w:ascii="仿宋" w:hAnsi="仿宋" w:eastAsia="仿宋" w:cs="仿宋"/>
          <w:color w:val="auto"/>
          <w:sz w:val="20"/>
          <w:szCs w:val="20"/>
          <w:highlight w:val="none"/>
        </w:rPr>
      </w:pPr>
    </w:p>
    <w:p w14:paraId="1AC79A76">
      <w:pPr>
        <w:pStyle w:val="2"/>
        <w:ind w:firstLine="200"/>
        <w:rPr>
          <w:rFonts w:hint="eastAsia" w:ascii="仿宋" w:hAnsi="仿宋" w:eastAsia="仿宋" w:cs="仿宋"/>
          <w:color w:val="auto"/>
          <w:sz w:val="20"/>
          <w:szCs w:val="20"/>
          <w:highlight w:val="none"/>
        </w:rPr>
      </w:pPr>
    </w:p>
    <w:p w14:paraId="4F1EABC2">
      <w:pPr>
        <w:pStyle w:val="2"/>
        <w:ind w:firstLine="200"/>
        <w:rPr>
          <w:rFonts w:hint="eastAsia" w:ascii="仿宋" w:hAnsi="仿宋" w:eastAsia="仿宋" w:cs="仿宋"/>
          <w:color w:val="auto"/>
          <w:sz w:val="20"/>
          <w:szCs w:val="20"/>
          <w:highlight w:val="none"/>
        </w:rPr>
      </w:pPr>
    </w:p>
    <w:p w14:paraId="14235B90">
      <w:pPr>
        <w:pStyle w:val="2"/>
        <w:ind w:firstLine="200"/>
        <w:rPr>
          <w:rFonts w:hint="eastAsia" w:ascii="仿宋" w:hAnsi="仿宋" w:eastAsia="仿宋" w:cs="仿宋"/>
          <w:color w:val="auto"/>
          <w:sz w:val="20"/>
          <w:szCs w:val="20"/>
          <w:highlight w:val="none"/>
        </w:rPr>
      </w:pPr>
    </w:p>
    <w:p w14:paraId="00B5B537">
      <w:pPr>
        <w:pStyle w:val="2"/>
        <w:ind w:firstLine="200"/>
        <w:rPr>
          <w:rFonts w:hint="eastAsia" w:ascii="仿宋" w:hAnsi="仿宋" w:eastAsia="仿宋" w:cs="仿宋"/>
          <w:color w:val="auto"/>
          <w:sz w:val="20"/>
          <w:szCs w:val="20"/>
          <w:highlight w:val="none"/>
        </w:rPr>
      </w:pPr>
    </w:p>
    <w:p w14:paraId="64C39709">
      <w:pPr>
        <w:pStyle w:val="2"/>
        <w:ind w:firstLine="200"/>
        <w:rPr>
          <w:rFonts w:hint="eastAsia" w:ascii="仿宋" w:hAnsi="仿宋" w:eastAsia="仿宋" w:cs="仿宋"/>
          <w:color w:val="auto"/>
          <w:sz w:val="20"/>
          <w:szCs w:val="20"/>
          <w:highlight w:val="none"/>
        </w:rPr>
      </w:pPr>
    </w:p>
    <w:p w14:paraId="6C2EEF17">
      <w:pPr>
        <w:pStyle w:val="6"/>
        <w:jc w:val="center"/>
        <w:rPr>
          <w:rFonts w:hint="eastAsia" w:ascii="宋体" w:hAnsi="宋体" w:eastAsia="宋体" w:cs="宋体"/>
          <w:b/>
          <w:bCs w:val="0"/>
          <w:color w:val="auto"/>
          <w:kern w:val="2"/>
          <w:sz w:val="28"/>
          <w:szCs w:val="28"/>
          <w:highlight w:val="none"/>
          <w:lang w:val="en-US" w:eastAsia="zh-CN" w:bidi="ar-SA"/>
        </w:rPr>
      </w:pPr>
      <w:bookmarkStart w:id="80" w:name="_Toc443572893"/>
      <w:bookmarkStart w:id="81" w:name="_Toc152042580"/>
      <w:bookmarkStart w:id="82" w:name="_Toc152045791"/>
      <w:bookmarkStart w:id="83" w:name="_Toc144974860"/>
      <w:bookmarkStart w:id="84" w:name="_Toc31451"/>
      <w:bookmarkStart w:id="85" w:name="_Toc464375166"/>
      <w:bookmarkStart w:id="86" w:name="_Toc11446"/>
      <w:r>
        <w:rPr>
          <w:rFonts w:hint="eastAsia" w:ascii="宋体" w:hAnsi="宋体" w:eastAsia="宋体" w:cs="宋体"/>
          <w:b/>
          <w:bCs w:val="0"/>
          <w:color w:val="auto"/>
          <w:kern w:val="2"/>
          <w:sz w:val="28"/>
          <w:szCs w:val="28"/>
          <w:highlight w:val="none"/>
          <w:lang w:val="en-US" w:eastAsia="zh-CN" w:bidi="ar-SA"/>
        </w:rPr>
        <w:t>二、法定代表人身份证明</w:t>
      </w:r>
      <w:bookmarkEnd w:id="80"/>
      <w:bookmarkEnd w:id="81"/>
      <w:bookmarkEnd w:id="82"/>
      <w:bookmarkEnd w:id="83"/>
      <w:r>
        <w:rPr>
          <w:rFonts w:hint="eastAsia" w:ascii="宋体" w:hAnsi="宋体" w:eastAsia="宋体" w:cs="宋体"/>
          <w:b/>
          <w:bCs w:val="0"/>
          <w:color w:val="auto"/>
          <w:kern w:val="2"/>
          <w:sz w:val="28"/>
          <w:szCs w:val="28"/>
          <w:highlight w:val="none"/>
          <w:lang w:val="en-US" w:eastAsia="zh-CN" w:bidi="ar-SA"/>
        </w:rPr>
        <w:t>及授权委托书</w:t>
      </w:r>
      <w:bookmarkEnd w:id="84"/>
      <w:bookmarkEnd w:id="85"/>
      <w:bookmarkEnd w:id="86"/>
      <w:bookmarkStart w:id="87" w:name="_Toc2936"/>
      <w:bookmarkStart w:id="88" w:name="_Toc31207"/>
    </w:p>
    <w:p w14:paraId="77A0051B">
      <w:pPr>
        <w:pStyle w:val="6"/>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（一）法定代表人身份证明</w:t>
      </w:r>
      <w:bookmarkEnd w:id="87"/>
      <w:bookmarkEnd w:id="88"/>
    </w:p>
    <w:p w14:paraId="66AFB2D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p>
    <w:p w14:paraId="4538EDB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5F6E199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4306ED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6EB5E80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5E01E4F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57FA65F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（投标人名称）的法定代表人。</w:t>
      </w:r>
    </w:p>
    <w:p w14:paraId="1A704D1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2792CFA4">
      <w:pPr>
        <w:spacing w:line="440" w:lineRule="exact"/>
        <w:rPr>
          <w:rFonts w:hint="eastAsia" w:ascii="宋体" w:hAnsi="宋体" w:eastAsia="宋体" w:cs="宋体"/>
          <w:color w:val="auto"/>
          <w:sz w:val="24"/>
          <w:szCs w:val="24"/>
          <w:highlight w:val="none"/>
        </w:rPr>
      </w:pPr>
    </w:p>
    <w:p w14:paraId="7B3EA765">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附法定代表人身份证复印件。</w:t>
      </w:r>
    </w:p>
    <w:p w14:paraId="3B3D0B2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F87C3E1">
      <w:pPr>
        <w:spacing w:line="440" w:lineRule="exact"/>
        <w:rPr>
          <w:rFonts w:hint="eastAsia" w:ascii="宋体" w:hAnsi="宋体" w:eastAsia="宋体" w:cs="宋体"/>
          <w:color w:val="auto"/>
          <w:sz w:val="24"/>
          <w:szCs w:val="24"/>
          <w:highlight w:val="none"/>
        </w:rPr>
      </w:pPr>
    </w:p>
    <w:p w14:paraId="2A758251">
      <w:pPr>
        <w:spacing w:line="440" w:lineRule="exact"/>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p>
    <w:p w14:paraId="70A46C23">
      <w:pPr>
        <w:pStyle w:val="2"/>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7DB9E83B">
      <w:pPr>
        <w:pStyle w:val="2"/>
        <w:ind w:firstLine="200"/>
        <w:rPr>
          <w:rFonts w:hint="eastAsia" w:ascii="宋体" w:hAnsi="宋体" w:eastAsia="宋体" w:cs="宋体"/>
          <w:color w:val="auto"/>
          <w:sz w:val="24"/>
          <w:szCs w:val="24"/>
          <w:highlight w:val="none"/>
        </w:rPr>
      </w:pPr>
    </w:p>
    <w:p w14:paraId="3A0485E6">
      <w:pPr>
        <w:spacing w:line="440" w:lineRule="exact"/>
        <w:ind w:firstLine="480" w:firstLineChars="200"/>
        <w:rPr>
          <w:rFonts w:hint="eastAsia" w:ascii="宋体" w:hAnsi="宋体" w:eastAsia="宋体" w:cs="宋体"/>
          <w:color w:val="auto"/>
          <w:sz w:val="24"/>
          <w:szCs w:val="24"/>
          <w:highlight w:val="none"/>
        </w:rPr>
      </w:pPr>
    </w:p>
    <w:p w14:paraId="31885752">
      <w:pPr>
        <w:spacing w:line="440" w:lineRule="exact"/>
        <w:rPr>
          <w:rFonts w:hint="eastAsia" w:ascii="仿宋" w:hAnsi="仿宋" w:eastAsia="仿宋" w:cs="仿宋"/>
          <w:color w:val="auto"/>
          <w:szCs w:val="21"/>
          <w:highlight w:val="none"/>
        </w:rPr>
      </w:pPr>
    </w:p>
    <w:p w14:paraId="1CC8EA7A">
      <w:pPr>
        <w:pStyle w:val="2"/>
        <w:ind w:firstLine="200"/>
        <w:rPr>
          <w:rFonts w:hint="eastAsia" w:ascii="仿宋" w:hAnsi="仿宋" w:eastAsia="仿宋" w:cs="仿宋"/>
          <w:color w:val="auto"/>
          <w:sz w:val="20"/>
          <w:szCs w:val="20"/>
          <w:highlight w:val="none"/>
        </w:rPr>
      </w:pPr>
    </w:p>
    <w:p w14:paraId="76A7B7FE">
      <w:pPr>
        <w:pStyle w:val="2"/>
        <w:ind w:firstLine="200"/>
        <w:rPr>
          <w:rFonts w:hint="eastAsia" w:ascii="仿宋" w:hAnsi="仿宋" w:eastAsia="仿宋" w:cs="仿宋"/>
          <w:color w:val="auto"/>
          <w:sz w:val="20"/>
          <w:szCs w:val="20"/>
          <w:highlight w:val="none"/>
        </w:rPr>
      </w:pPr>
    </w:p>
    <w:p w14:paraId="64ABE996">
      <w:pPr>
        <w:pStyle w:val="2"/>
        <w:ind w:firstLine="200"/>
        <w:rPr>
          <w:rFonts w:hint="eastAsia" w:ascii="仿宋" w:hAnsi="仿宋" w:eastAsia="仿宋" w:cs="仿宋"/>
          <w:color w:val="auto"/>
          <w:sz w:val="20"/>
          <w:szCs w:val="20"/>
          <w:highlight w:val="none"/>
        </w:rPr>
      </w:pPr>
    </w:p>
    <w:p w14:paraId="6E1A70BC">
      <w:pPr>
        <w:pStyle w:val="2"/>
        <w:ind w:firstLine="200"/>
        <w:rPr>
          <w:rFonts w:hint="eastAsia" w:ascii="仿宋" w:hAnsi="仿宋" w:eastAsia="仿宋" w:cs="仿宋"/>
          <w:color w:val="auto"/>
          <w:sz w:val="20"/>
          <w:szCs w:val="20"/>
          <w:highlight w:val="none"/>
        </w:rPr>
      </w:pPr>
    </w:p>
    <w:p w14:paraId="6BDC3C2D">
      <w:pPr>
        <w:pStyle w:val="2"/>
        <w:ind w:firstLine="200"/>
        <w:rPr>
          <w:rFonts w:hint="eastAsia" w:ascii="仿宋" w:hAnsi="仿宋" w:eastAsia="仿宋" w:cs="仿宋"/>
          <w:color w:val="auto"/>
          <w:sz w:val="20"/>
          <w:szCs w:val="20"/>
          <w:highlight w:val="none"/>
        </w:rPr>
      </w:pPr>
    </w:p>
    <w:p w14:paraId="383EC71D">
      <w:pPr>
        <w:pStyle w:val="2"/>
        <w:ind w:firstLine="200"/>
        <w:rPr>
          <w:rFonts w:hint="eastAsia" w:ascii="仿宋" w:hAnsi="仿宋" w:eastAsia="仿宋" w:cs="仿宋"/>
          <w:color w:val="auto"/>
          <w:sz w:val="20"/>
          <w:szCs w:val="20"/>
          <w:highlight w:val="none"/>
        </w:rPr>
      </w:pPr>
    </w:p>
    <w:p w14:paraId="21165D9B">
      <w:pPr>
        <w:pStyle w:val="7"/>
        <w:tabs>
          <w:tab w:val="left" w:pos="540"/>
        </w:tabs>
        <w:ind w:left="0" w:leftChars="0" w:firstLine="0" w:firstLineChars="0"/>
        <w:outlineLvl w:val="9"/>
        <w:rPr>
          <w:rFonts w:hint="eastAsia" w:ascii="仿宋" w:hAnsi="仿宋" w:eastAsia="仿宋" w:cs="仿宋"/>
          <w:color w:val="auto"/>
          <w:highlight w:val="none"/>
        </w:rPr>
      </w:pPr>
    </w:p>
    <w:p w14:paraId="33CE44A1">
      <w:pPr>
        <w:rPr>
          <w:rFonts w:hint="eastAsia"/>
          <w:color w:val="auto"/>
          <w:highlight w:val="none"/>
        </w:rPr>
      </w:pPr>
    </w:p>
    <w:p w14:paraId="0CEEE45B">
      <w:pPr>
        <w:pStyle w:val="6"/>
        <w:jc w:val="center"/>
        <w:rPr>
          <w:rFonts w:hint="eastAsia" w:ascii="宋体" w:hAnsi="宋体" w:eastAsia="宋体" w:cs="宋体"/>
          <w:b/>
          <w:bCs w:val="0"/>
          <w:color w:val="auto"/>
          <w:kern w:val="2"/>
          <w:sz w:val="28"/>
          <w:szCs w:val="28"/>
          <w:highlight w:val="none"/>
          <w:lang w:val="en-US" w:eastAsia="zh-CN" w:bidi="ar-SA"/>
        </w:rPr>
      </w:pPr>
      <w:bookmarkStart w:id="89" w:name="_Toc1495"/>
      <w:bookmarkStart w:id="90" w:name="_Toc20819"/>
      <w:r>
        <w:rPr>
          <w:rFonts w:hint="eastAsia" w:ascii="宋体" w:hAnsi="宋体" w:eastAsia="宋体" w:cs="宋体"/>
          <w:b/>
          <w:bCs w:val="0"/>
          <w:color w:val="auto"/>
          <w:kern w:val="2"/>
          <w:sz w:val="28"/>
          <w:szCs w:val="28"/>
          <w:highlight w:val="none"/>
          <w:lang w:val="en-US" w:eastAsia="zh-CN" w:bidi="ar-SA"/>
        </w:rPr>
        <w:t>（二）授权委托书</w:t>
      </w:r>
      <w:bookmarkEnd w:id="89"/>
      <w:bookmarkEnd w:id="90"/>
    </w:p>
    <w:p w14:paraId="2922F4B5">
      <w:pPr>
        <w:numPr>
          <w:ilvl w:val="0"/>
          <w:numId w:val="0"/>
        </w:numPr>
        <w:rPr>
          <w:rFonts w:hint="eastAsia"/>
          <w:color w:val="auto"/>
          <w:highlight w:val="none"/>
        </w:rPr>
      </w:pPr>
    </w:p>
    <w:p w14:paraId="5FCC3D24">
      <w:pPr>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投标单位</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为我方代理人。代理人根据授权，以我方名义签署、澄清、说明、补正、递交、撤回、修改</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投标文件、签订合同和处理有关事宜，其法律后果由我方承担。</w:t>
      </w:r>
    </w:p>
    <w:p w14:paraId="0B53871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委托期限：</w:t>
      </w:r>
      <w:r>
        <w:rPr>
          <w:rFonts w:hint="eastAsia" w:ascii="宋体" w:hAnsi="宋体" w:eastAsia="宋体" w:cs="宋体"/>
          <w:color w:val="auto"/>
          <w:sz w:val="24"/>
          <w:szCs w:val="24"/>
          <w:highlight w:val="none"/>
          <w:u w:val="single"/>
        </w:rPr>
        <w:t xml:space="preserve">                        </w:t>
      </w:r>
    </w:p>
    <w:p w14:paraId="44C1209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260D4298">
      <w:pPr>
        <w:spacing w:line="440" w:lineRule="exact"/>
        <w:ind w:firstLine="480" w:firstLineChars="200"/>
        <w:rPr>
          <w:rFonts w:hint="eastAsia" w:ascii="宋体" w:hAnsi="宋体" w:eastAsia="宋体" w:cs="宋体"/>
          <w:color w:val="auto"/>
          <w:sz w:val="24"/>
          <w:szCs w:val="24"/>
          <w:highlight w:val="none"/>
        </w:rPr>
      </w:pPr>
    </w:p>
    <w:p w14:paraId="0A822BBF">
      <w:pPr>
        <w:spacing w:line="440" w:lineRule="exact"/>
        <w:rPr>
          <w:rFonts w:hint="eastAsia" w:ascii="宋体" w:hAnsi="宋体" w:eastAsia="宋体" w:cs="宋体"/>
          <w:color w:val="auto"/>
          <w:sz w:val="24"/>
          <w:szCs w:val="24"/>
          <w:highlight w:val="none"/>
        </w:rPr>
      </w:pPr>
    </w:p>
    <w:p w14:paraId="0491E7A0">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附委托代理人身份证复印件。</w:t>
      </w:r>
    </w:p>
    <w:p w14:paraId="3C4A781F">
      <w:pPr>
        <w:spacing w:line="440" w:lineRule="exact"/>
        <w:rPr>
          <w:rFonts w:hint="eastAsia" w:ascii="宋体" w:hAnsi="宋体" w:eastAsia="宋体" w:cs="宋体"/>
          <w:color w:val="auto"/>
          <w:sz w:val="24"/>
          <w:szCs w:val="24"/>
          <w:highlight w:val="none"/>
        </w:rPr>
      </w:pPr>
    </w:p>
    <w:p w14:paraId="41BD9050">
      <w:pPr>
        <w:spacing w:line="440" w:lineRule="exact"/>
        <w:rPr>
          <w:rFonts w:hint="eastAsia" w:ascii="宋体" w:hAnsi="宋体" w:eastAsia="宋体" w:cs="宋体"/>
          <w:color w:val="auto"/>
          <w:sz w:val="24"/>
          <w:szCs w:val="24"/>
          <w:highlight w:val="none"/>
        </w:rPr>
      </w:pPr>
    </w:p>
    <w:p w14:paraId="4D2B16C0">
      <w:pPr>
        <w:spacing w:line="440" w:lineRule="exact"/>
        <w:rPr>
          <w:rFonts w:hint="eastAsia" w:ascii="宋体" w:hAnsi="宋体" w:eastAsia="宋体" w:cs="宋体"/>
          <w:color w:val="auto"/>
          <w:sz w:val="24"/>
          <w:szCs w:val="24"/>
          <w:highlight w:val="none"/>
        </w:rPr>
      </w:pPr>
    </w:p>
    <w:p w14:paraId="01DA3DAD">
      <w:pPr>
        <w:spacing w:line="440" w:lineRule="exact"/>
        <w:rPr>
          <w:rFonts w:hint="eastAsia" w:ascii="宋体" w:hAnsi="宋体" w:eastAsia="宋体" w:cs="宋体"/>
          <w:color w:val="auto"/>
          <w:sz w:val="24"/>
          <w:szCs w:val="24"/>
          <w:highlight w:val="none"/>
        </w:rPr>
      </w:pPr>
    </w:p>
    <w:p w14:paraId="41AEDF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p>
    <w:p w14:paraId="017569A4">
      <w:pPr>
        <w:spacing w:line="360" w:lineRule="auto"/>
        <w:ind w:firstLine="480" w:firstLineChars="200"/>
        <w:rPr>
          <w:rFonts w:hint="eastAsia" w:ascii="宋体" w:hAnsi="宋体" w:eastAsia="宋体" w:cs="宋体"/>
          <w:color w:val="auto"/>
          <w:sz w:val="24"/>
          <w:szCs w:val="24"/>
          <w:highlight w:val="none"/>
        </w:rPr>
      </w:pPr>
    </w:p>
    <w:p w14:paraId="473F5B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签字或盖章</w:t>
      </w:r>
      <w:r>
        <w:rPr>
          <w:rFonts w:hint="eastAsia" w:ascii="宋体" w:hAnsi="宋体" w:eastAsia="宋体" w:cs="宋体"/>
          <w:color w:val="auto"/>
          <w:sz w:val="24"/>
          <w:szCs w:val="24"/>
          <w:highlight w:val="none"/>
          <w:lang w:val="en-US" w:eastAsia="zh-CN"/>
        </w:rPr>
        <w:t>）</w:t>
      </w:r>
    </w:p>
    <w:p w14:paraId="717DB14D">
      <w:pPr>
        <w:spacing w:line="360" w:lineRule="auto"/>
        <w:rPr>
          <w:rFonts w:hint="eastAsia" w:ascii="宋体" w:hAnsi="宋体" w:eastAsia="宋体" w:cs="宋体"/>
          <w:color w:val="auto"/>
          <w:sz w:val="24"/>
          <w:szCs w:val="24"/>
          <w:highlight w:val="none"/>
        </w:rPr>
      </w:pPr>
    </w:p>
    <w:p w14:paraId="3275A1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 </w:t>
      </w:r>
    </w:p>
    <w:p w14:paraId="1F6FF176">
      <w:pPr>
        <w:spacing w:line="360" w:lineRule="auto"/>
        <w:ind w:firstLine="480" w:firstLineChars="200"/>
        <w:rPr>
          <w:rFonts w:hint="eastAsia" w:ascii="宋体" w:hAnsi="宋体" w:eastAsia="宋体" w:cs="宋体"/>
          <w:color w:val="auto"/>
          <w:sz w:val="24"/>
          <w:szCs w:val="24"/>
          <w:highlight w:val="none"/>
        </w:rPr>
      </w:pPr>
    </w:p>
    <w:p w14:paraId="0A930A35">
      <w:pPr>
        <w:spacing w:line="440" w:lineRule="exact"/>
        <w:rPr>
          <w:rFonts w:hint="eastAsia" w:ascii="宋体" w:hAnsi="宋体" w:eastAsia="宋体" w:cs="宋体"/>
          <w:color w:val="auto"/>
          <w:sz w:val="24"/>
          <w:szCs w:val="24"/>
          <w:highlight w:val="none"/>
        </w:rPr>
      </w:pPr>
    </w:p>
    <w:p w14:paraId="00CAA91E">
      <w:pPr>
        <w:spacing w:line="440" w:lineRule="exact"/>
        <w:ind w:firstLine="2640" w:firstLineChars="11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CAD2E6C">
      <w:pPr>
        <w:spacing w:line="400" w:lineRule="exact"/>
        <w:rPr>
          <w:rFonts w:hint="eastAsia" w:ascii="仿宋" w:hAnsi="仿宋" w:eastAsia="仿宋" w:cs="仿宋"/>
          <w:color w:val="auto"/>
          <w:sz w:val="20"/>
          <w:szCs w:val="20"/>
          <w:highlight w:val="none"/>
        </w:rPr>
      </w:pPr>
    </w:p>
    <w:p w14:paraId="456D9792">
      <w:pPr>
        <w:spacing w:line="400" w:lineRule="exact"/>
        <w:rPr>
          <w:rFonts w:hint="eastAsia" w:ascii="仿宋" w:hAnsi="仿宋" w:eastAsia="仿宋" w:cs="仿宋"/>
          <w:color w:val="auto"/>
          <w:sz w:val="20"/>
          <w:szCs w:val="20"/>
          <w:highlight w:val="none"/>
        </w:rPr>
      </w:pPr>
    </w:p>
    <w:p w14:paraId="07DC30B9">
      <w:pPr>
        <w:spacing w:line="400" w:lineRule="exact"/>
        <w:rPr>
          <w:rFonts w:hint="eastAsia" w:ascii="仿宋" w:hAnsi="仿宋" w:eastAsia="仿宋" w:cs="仿宋"/>
          <w:color w:val="auto"/>
          <w:sz w:val="20"/>
          <w:szCs w:val="20"/>
          <w:highlight w:val="none"/>
        </w:rPr>
      </w:pPr>
    </w:p>
    <w:p w14:paraId="3C4D54EF">
      <w:pPr>
        <w:spacing w:line="400" w:lineRule="exact"/>
        <w:rPr>
          <w:rFonts w:hint="eastAsia" w:ascii="仿宋" w:hAnsi="仿宋" w:eastAsia="仿宋" w:cs="仿宋"/>
          <w:color w:val="auto"/>
          <w:sz w:val="20"/>
          <w:szCs w:val="20"/>
          <w:highlight w:val="none"/>
        </w:rPr>
      </w:pPr>
    </w:p>
    <w:p w14:paraId="4D54197C">
      <w:pPr>
        <w:spacing w:line="400" w:lineRule="exact"/>
        <w:rPr>
          <w:rFonts w:hint="eastAsia" w:ascii="仿宋" w:hAnsi="仿宋" w:eastAsia="仿宋" w:cs="仿宋"/>
          <w:color w:val="auto"/>
          <w:sz w:val="20"/>
          <w:szCs w:val="20"/>
          <w:highlight w:val="none"/>
        </w:rPr>
      </w:pPr>
    </w:p>
    <w:p w14:paraId="20554E52">
      <w:pPr>
        <w:pStyle w:val="2"/>
        <w:ind w:firstLine="200"/>
        <w:rPr>
          <w:rFonts w:hint="eastAsia" w:ascii="仿宋" w:hAnsi="仿宋" w:eastAsia="仿宋" w:cs="仿宋"/>
          <w:color w:val="auto"/>
          <w:sz w:val="20"/>
          <w:szCs w:val="20"/>
          <w:highlight w:val="none"/>
        </w:rPr>
      </w:pPr>
      <w:r>
        <w:rPr>
          <w:rFonts w:hint="eastAsia" w:ascii="宋体" w:hAnsi="宋体" w:eastAsia="宋体" w:cs="宋体"/>
          <w:b/>
          <w:bCs/>
          <w:color w:val="auto"/>
          <w:kern w:val="0"/>
          <w:sz w:val="22"/>
          <w:szCs w:val="22"/>
          <w:highlight w:val="none"/>
          <w:lang w:val="en-US" w:eastAsia="zh-CN" w:bidi="ar"/>
        </w:rPr>
        <w:t>注：</w:t>
      </w:r>
      <w:r>
        <w:rPr>
          <w:rFonts w:hint="eastAsia" w:ascii="宋体" w:hAnsi="宋体" w:cs="宋体"/>
          <w:b/>
          <w:bCs/>
          <w:color w:val="auto"/>
          <w:kern w:val="0"/>
          <w:sz w:val="22"/>
          <w:szCs w:val="22"/>
          <w:highlight w:val="none"/>
          <w:lang w:val="en-US" w:eastAsia="zh-CN" w:bidi="ar"/>
        </w:rPr>
        <w:t>投标单位</w:t>
      </w:r>
      <w:r>
        <w:rPr>
          <w:rFonts w:hint="eastAsia" w:ascii="宋体" w:hAnsi="宋体" w:eastAsia="宋体" w:cs="宋体"/>
          <w:b/>
          <w:bCs/>
          <w:color w:val="auto"/>
          <w:kern w:val="0"/>
          <w:sz w:val="22"/>
          <w:szCs w:val="22"/>
          <w:highlight w:val="none"/>
          <w:lang w:val="en-US" w:eastAsia="zh-CN" w:bidi="ar"/>
        </w:rPr>
        <w:t>法定代表人参加投标的，可以不提供法定代表人授权委托书，但必须提供上述法定代表人身份证明书，否则将按无效投标处理。</w:t>
      </w:r>
      <w:r>
        <w:br w:type="page"/>
      </w:r>
    </w:p>
    <w:p w14:paraId="27DABFB1">
      <w:pPr>
        <w:pStyle w:val="6"/>
        <w:jc w:val="center"/>
        <w:rPr>
          <w:rFonts w:hint="eastAsia" w:ascii="宋体" w:hAnsi="宋体" w:eastAsia="宋体" w:cs="宋体"/>
          <w:b/>
          <w:bCs w:val="0"/>
          <w:color w:val="auto"/>
          <w:kern w:val="2"/>
          <w:sz w:val="28"/>
          <w:szCs w:val="28"/>
          <w:highlight w:val="none"/>
          <w:lang w:val="en-US" w:eastAsia="zh-CN" w:bidi="ar-SA"/>
        </w:rPr>
      </w:pPr>
      <w:bookmarkStart w:id="91" w:name="_Toc144974862"/>
      <w:bookmarkStart w:id="92" w:name="_Toc443572895"/>
      <w:bookmarkStart w:id="93" w:name="_Toc152042583"/>
      <w:bookmarkStart w:id="94" w:name="_Toc464375167"/>
      <w:bookmarkStart w:id="95" w:name="_Toc152045794"/>
      <w:bookmarkStart w:id="96" w:name="_Toc8509"/>
      <w:bookmarkStart w:id="97" w:name="_Toc7560"/>
      <w:r>
        <w:rPr>
          <w:rFonts w:hint="eastAsia" w:ascii="宋体" w:hAnsi="宋体" w:eastAsia="宋体" w:cs="宋体"/>
          <w:b/>
          <w:bCs w:val="0"/>
          <w:color w:val="auto"/>
          <w:kern w:val="2"/>
          <w:sz w:val="28"/>
          <w:szCs w:val="28"/>
          <w:highlight w:val="none"/>
          <w:lang w:val="en-US" w:eastAsia="zh-CN" w:bidi="ar-SA"/>
        </w:rPr>
        <w:t>三、投标保证金</w:t>
      </w:r>
      <w:bookmarkEnd w:id="91"/>
      <w:bookmarkEnd w:id="92"/>
      <w:bookmarkEnd w:id="93"/>
      <w:bookmarkEnd w:id="94"/>
      <w:bookmarkEnd w:id="95"/>
      <w:r>
        <w:rPr>
          <w:rFonts w:hint="eastAsia" w:ascii="宋体" w:hAnsi="宋体" w:eastAsia="宋体" w:cs="宋体"/>
          <w:b/>
          <w:bCs w:val="0"/>
          <w:color w:val="auto"/>
          <w:kern w:val="2"/>
          <w:sz w:val="28"/>
          <w:szCs w:val="28"/>
          <w:highlight w:val="none"/>
          <w:lang w:val="en-US" w:eastAsia="zh-CN" w:bidi="ar-SA"/>
        </w:rPr>
        <w:t>缴纳凭证</w:t>
      </w:r>
      <w:bookmarkEnd w:id="96"/>
      <w:bookmarkEnd w:id="97"/>
    </w:p>
    <w:p w14:paraId="5DA4C3C2">
      <w:pPr>
        <w:spacing w:line="440" w:lineRule="exact"/>
        <w:jc w:val="left"/>
        <w:rPr>
          <w:rFonts w:hint="eastAsia" w:ascii="仿宋" w:hAnsi="仿宋" w:eastAsia="仿宋" w:cs="仿宋"/>
          <w:color w:val="auto"/>
          <w:sz w:val="24"/>
          <w:highlight w:val="none"/>
        </w:rPr>
      </w:pPr>
    </w:p>
    <w:p w14:paraId="2D41C736">
      <w:pPr>
        <w:spacing w:line="440" w:lineRule="exact"/>
        <w:jc w:val="left"/>
        <w:rPr>
          <w:rFonts w:hint="eastAsia" w:ascii="宋体" w:hAnsi="宋体" w:eastAsia="宋体" w:cs="宋体"/>
          <w:color w:val="auto"/>
          <w:sz w:val="24"/>
          <w:szCs w:val="24"/>
          <w:highlight w:val="none"/>
          <w:lang w:val="en-US"/>
        </w:rPr>
      </w:pPr>
    </w:p>
    <w:p w14:paraId="65055EF8">
      <w:pPr>
        <w:spacing w:line="440" w:lineRule="exact"/>
        <w:jc w:val="left"/>
        <w:rPr>
          <w:rFonts w:hint="eastAsia" w:ascii="仿宋" w:hAnsi="仿宋" w:eastAsia="仿宋" w:cs="仿宋"/>
          <w:color w:val="auto"/>
          <w:sz w:val="24"/>
          <w:highlight w:val="none"/>
        </w:rPr>
      </w:pPr>
    </w:p>
    <w:p w14:paraId="21DAF56B">
      <w:pPr>
        <w:spacing w:line="440" w:lineRule="exact"/>
        <w:jc w:val="left"/>
        <w:rPr>
          <w:rFonts w:hint="eastAsia" w:ascii="仿宋" w:hAnsi="仿宋" w:eastAsia="仿宋" w:cs="仿宋"/>
          <w:color w:val="auto"/>
          <w:sz w:val="24"/>
          <w:highlight w:val="none"/>
        </w:rPr>
      </w:pPr>
    </w:p>
    <w:p w14:paraId="5376F431">
      <w:pPr>
        <w:spacing w:line="440" w:lineRule="exact"/>
        <w:jc w:val="left"/>
        <w:rPr>
          <w:rFonts w:hint="eastAsia" w:ascii="仿宋" w:hAnsi="仿宋" w:eastAsia="仿宋" w:cs="仿宋"/>
          <w:color w:val="auto"/>
          <w:sz w:val="24"/>
          <w:highlight w:val="none"/>
        </w:rPr>
      </w:pPr>
    </w:p>
    <w:p w14:paraId="5D37A174">
      <w:pPr>
        <w:spacing w:line="440" w:lineRule="exact"/>
        <w:jc w:val="left"/>
        <w:rPr>
          <w:rFonts w:hint="eastAsia" w:ascii="仿宋" w:hAnsi="仿宋" w:eastAsia="仿宋" w:cs="仿宋"/>
          <w:color w:val="auto"/>
          <w:sz w:val="24"/>
          <w:highlight w:val="none"/>
        </w:rPr>
      </w:pPr>
    </w:p>
    <w:p w14:paraId="4FE98693">
      <w:pPr>
        <w:spacing w:line="440" w:lineRule="exact"/>
        <w:jc w:val="left"/>
        <w:rPr>
          <w:rFonts w:hint="eastAsia" w:ascii="仿宋" w:hAnsi="仿宋" w:eastAsia="仿宋" w:cs="仿宋"/>
          <w:color w:val="auto"/>
          <w:sz w:val="24"/>
          <w:highlight w:val="none"/>
        </w:rPr>
        <w:sectPr>
          <w:headerReference r:id="rId12" w:type="default"/>
          <w:footerReference r:id="rId13" w:type="default"/>
          <w:pgSz w:w="11905" w:h="16838"/>
          <w:pgMar w:top="1327" w:right="1406" w:bottom="1327" w:left="1406" w:header="567" w:footer="992" w:gutter="0"/>
          <w:pgBorders>
            <w:top w:val="none" w:sz="0" w:space="0"/>
            <w:left w:val="none" w:sz="0" w:space="0"/>
            <w:bottom w:val="none" w:sz="0" w:space="0"/>
            <w:right w:val="none" w:sz="0" w:space="0"/>
          </w:pgBorders>
          <w:pgNumType w:fmt="decimal"/>
          <w:cols w:space="720" w:num="1"/>
          <w:titlePg/>
          <w:docGrid w:type="lines" w:linePitch="315" w:charSpace="0"/>
        </w:sectPr>
      </w:pPr>
    </w:p>
    <w:p w14:paraId="02366F77">
      <w:pPr>
        <w:pStyle w:val="6"/>
        <w:jc w:val="center"/>
        <w:rPr>
          <w:rFonts w:hint="eastAsia" w:ascii="宋体" w:hAnsi="宋体" w:eastAsia="宋体" w:cs="宋体"/>
          <w:b/>
          <w:bCs w:val="0"/>
          <w:color w:val="auto"/>
          <w:kern w:val="2"/>
          <w:sz w:val="28"/>
          <w:szCs w:val="28"/>
          <w:highlight w:val="none"/>
          <w:lang w:val="en-US" w:eastAsia="zh-CN" w:bidi="ar-SA"/>
        </w:rPr>
      </w:pPr>
      <w:bookmarkStart w:id="98" w:name="_Toc16926"/>
      <w:bookmarkStart w:id="99" w:name="_Toc21256"/>
      <w:r>
        <w:rPr>
          <w:rFonts w:hint="eastAsia" w:ascii="宋体" w:hAnsi="宋体" w:eastAsia="宋体" w:cs="宋体"/>
          <w:b/>
          <w:bCs w:val="0"/>
          <w:color w:val="auto"/>
          <w:kern w:val="2"/>
          <w:sz w:val="28"/>
          <w:szCs w:val="28"/>
          <w:highlight w:val="none"/>
          <w:lang w:val="en-US" w:eastAsia="zh-CN" w:bidi="ar-SA"/>
        </w:rPr>
        <w:t>四、企业基本情况表</w:t>
      </w:r>
      <w:bookmarkEnd w:id="98"/>
      <w:bookmarkEnd w:id="99"/>
    </w:p>
    <w:p w14:paraId="5934B3AC">
      <w:pPr>
        <w:spacing w:line="148" w:lineRule="exact"/>
        <w:rPr>
          <w:rFonts w:hint="eastAsia" w:ascii="仿宋" w:hAnsi="仿宋" w:eastAsia="仿宋" w:cs="仿宋"/>
          <w:color w:val="auto"/>
          <w:szCs w:val="21"/>
          <w:highlight w:val="none"/>
        </w:rPr>
      </w:pPr>
    </w:p>
    <w:tbl>
      <w:tblPr>
        <w:tblStyle w:val="25"/>
        <w:tblW w:w="9113" w:type="dxa"/>
        <w:tblInd w:w="0" w:type="dxa"/>
        <w:tblLayout w:type="fixed"/>
        <w:tblCellMar>
          <w:top w:w="0" w:type="dxa"/>
          <w:left w:w="0" w:type="dxa"/>
          <w:bottom w:w="0" w:type="dxa"/>
          <w:right w:w="0" w:type="dxa"/>
        </w:tblCellMar>
      </w:tblPr>
      <w:tblGrid>
        <w:gridCol w:w="1884"/>
        <w:gridCol w:w="2212"/>
        <w:gridCol w:w="1863"/>
        <w:gridCol w:w="3154"/>
      </w:tblGrid>
      <w:tr w14:paraId="6C935DFD">
        <w:tblPrEx>
          <w:tblCellMar>
            <w:top w:w="0" w:type="dxa"/>
            <w:left w:w="0" w:type="dxa"/>
            <w:bottom w:w="0" w:type="dxa"/>
            <w:right w:w="0" w:type="dxa"/>
          </w:tblCellMar>
        </w:tblPrEx>
        <w:trPr>
          <w:trHeight w:val="839"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7DEDB2E2">
            <w:pPr>
              <w:spacing w:line="274" w:lineRule="exact"/>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名称</w:t>
            </w:r>
          </w:p>
        </w:tc>
        <w:tc>
          <w:tcPr>
            <w:tcW w:w="722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3C91FBB">
            <w:pPr>
              <w:spacing w:line="0" w:lineRule="atLeast"/>
              <w:jc w:val="center"/>
              <w:rPr>
                <w:rFonts w:hint="eastAsia" w:ascii="宋体" w:hAnsi="宋体" w:eastAsia="宋体" w:cs="宋体"/>
                <w:color w:val="auto"/>
                <w:sz w:val="24"/>
                <w:szCs w:val="24"/>
                <w:highlight w:val="none"/>
              </w:rPr>
            </w:pPr>
          </w:p>
        </w:tc>
      </w:tr>
      <w:tr w14:paraId="1FF00185">
        <w:tblPrEx>
          <w:tblCellMar>
            <w:top w:w="0" w:type="dxa"/>
            <w:left w:w="0" w:type="dxa"/>
            <w:bottom w:w="0" w:type="dxa"/>
            <w:right w:w="0" w:type="dxa"/>
          </w:tblCellMar>
        </w:tblPrEx>
        <w:trPr>
          <w:trHeight w:val="788"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683668C1">
            <w:pPr>
              <w:spacing w:line="274" w:lineRule="exact"/>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722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1949D0BF">
            <w:pPr>
              <w:spacing w:line="0" w:lineRule="atLeast"/>
              <w:jc w:val="center"/>
              <w:rPr>
                <w:rFonts w:hint="eastAsia" w:ascii="宋体" w:hAnsi="宋体" w:eastAsia="宋体" w:cs="宋体"/>
                <w:color w:val="auto"/>
                <w:sz w:val="24"/>
                <w:szCs w:val="24"/>
                <w:highlight w:val="none"/>
              </w:rPr>
            </w:pPr>
          </w:p>
        </w:tc>
      </w:tr>
      <w:tr w14:paraId="5DCA613A">
        <w:tblPrEx>
          <w:tblCellMar>
            <w:top w:w="0" w:type="dxa"/>
            <w:left w:w="0" w:type="dxa"/>
            <w:bottom w:w="0" w:type="dxa"/>
            <w:right w:w="0" w:type="dxa"/>
          </w:tblCellMar>
        </w:tblPrEx>
        <w:trPr>
          <w:trHeight w:val="856"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350F8F1A">
            <w:pPr>
              <w:spacing w:line="274" w:lineRule="exact"/>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详细地址</w:t>
            </w:r>
          </w:p>
        </w:tc>
        <w:tc>
          <w:tcPr>
            <w:tcW w:w="722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AFC5F94">
            <w:pPr>
              <w:spacing w:line="0" w:lineRule="atLeast"/>
              <w:jc w:val="center"/>
              <w:rPr>
                <w:rFonts w:hint="eastAsia" w:ascii="宋体" w:hAnsi="宋体" w:eastAsia="宋体" w:cs="宋体"/>
                <w:color w:val="auto"/>
                <w:sz w:val="24"/>
                <w:szCs w:val="24"/>
                <w:highlight w:val="none"/>
              </w:rPr>
            </w:pPr>
          </w:p>
        </w:tc>
      </w:tr>
      <w:tr w14:paraId="0F7CDFA9">
        <w:tblPrEx>
          <w:tblCellMar>
            <w:top w:w="0" w:type="dxa"/>
            <w:left w:w="0" w:type="dxa"/>
            <w:bottom w:w="0" w:type="dxa"/>
            <w:right w:w="0" w:type="dxa"/>
          </w:tblCellMar>
        </w:tblPrEx>
        <w:trPr>
          <w:trHeight w:val="849"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1187BE19">
            <w:pPr>
              <w:spacing w:line="274" w:lineRule="exact"/>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722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F07A9CD">
            <w:pPr>
              <w:spacing w:line="0" w:lineRule="atLeast"/>
              <w:jc w:val="center"/>
              <w:rPr>
                <w:rFonts w:hint="eastAsia" w:ascii="宋体" w:hAnsi="宋体" w:eastAsia="宋体" w:cs="宋体"/>
                <w:color w:val="auto"/>
                <w:sz w:val="24"/>
                <w:szCs w:val="24"/>
                <w:highlight w:val="none"/>
              </w:rPr>
            </w:pPr>
          </w:p>
        </w:tc>
      </w:tr>
      <w:tr w14:paraId="2B843CF3">
        <w:tblPrEx>
          <w:tblCellMar>
            <w:top w:w="0" w:type="dxa"/>
            <w:left w:w="0" w:type="dxa"/>
            <w:bottom w:w="0" w:type="dxa"/>
            <w:right w:w="0" w:type="dxa"/>
          </w:tblCellMar>
        </w:tblPrEx>
        <w:trPr>
          <w:trHeight w:val="849"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2B3791E9">
            <w:pPr>
              <w:spacing w:line="274" w:lineRule="exact"/>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722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2AD3ED51">
            <w:pPr>
              <w:spacing w:line="0" w:lineRule="atLeast"/>
              <w:jc w:val="center"/>
              <w:rPr>
                <w:rFonts w:hint="eastAsia" w:ascii="宋体" w:hAnsi="宋体" w:eastAsia="宋体" w:cs="宋体"/>
                <w:color w:val="auto"/>
                <w:sz w:val="24"/>
                <w:szCs w:val="24"/>
                <w:highlight w:val="none"/>
              </w:rPr>
            </w:pPr>
          </w:p>
        </w:tc>
      </w:tr>
      <w:tr w14:paraId="4FBBF204">
        <w:tblPrEx>
          <w:tblCellMar>
            <w:top w:w="0" w:type="dxa"/>
            <w:left w:w="0" w:type="dxa"/>
            <w:bottom w:w="0" w:type="dxa"/>
            <w:right w:w="0" w:type="dxa"/>
          </w:tblCellMar>
        </w:tblPrEx>
        <w:trPr>
          <w:trHeight w:val="842"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4231E8FC">
            <w:pPr>
              <w:spacing w:line="274" w:lineRule="exact"/>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722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A8BA15B">
            <w:pPr>
              <w:spacing w:line="0" w:lineRule="atLeast"/>
              <w:jc w:val="center"/>
              <w:rPr>
                <w:rFonts w:hint="eastAsia" w:ascii="宋体" w:hAnsi="宋体" w:eastAsia="宋体" w:cs="宋体"/>
                <w:color w:val="auto"/>
                <w:sz w:val="24"/>
                <w:szCs w:val="24"/>
                <w:highlight w:val="none"/>
              </w:rPr>
            </w:pPr>
          </w:p>
        </w:tc>
      </w:tr>
      <w:tr w14:paraId="03E27A0B">
        <w:tblPrEx>
          <w:tblCellMar>
            <w:top w:w="0" w:type="dxa"/>
            <w:left w:w="0" w:type="dxa"/>
            <w:bottom w:w="0" w:type="dxa"/>
            <w:right w:w="0" w:type="dxa"/>
          </w:tblCellMar>
        </w:tblPrEx>
        <w:trPr>
          <w:trHeight w:val="839"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56409410">
            <w:pPr>
              <w:spacing w:line="274" w:lineRule="exact"/>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7229" w:type="dxa"/>
            <w:gridSpan w:val="3"/>
            <w:tcBorders>
              <w:top w:val="single" w:color="auto" w:sz="4" w:space="0"/>
              <w:left w:val="single" w:color="auto" w:sz="4" w:space="0"/>
              <w:bottom w:val="single" w:color="auto" w:sz="4" w:space="0"/>
              <w:right w:val="single" w:color="auto" w:sz="4" w:space="0"/>
            </w:tcBorders>
            <w:noWrap w:val="0"/>
            <w:vAlign w:val="center"/>
          </w:tcPr>
          <w:p w14:paraId="262D5861">
            <w:pPr>
              <w:spacing w:line="0" w:lineRule="atLeast"/>
              <w:jc w:val="center"/>
              <w:rPr>
                <w:rFonts w:hint="eastAsia" w:ascii="宋体" w:hAnsi="宋体" w:eastAsia="宋体" w:cs="宋体"/>
                <w:color w:val="auto"/>
                <w:sz w:val="24"/>
                <w:szCs w:val="24"/>
                <w:highlight w:val="none"/>
              </w:rPr>
            </w:pPr>
          </w:p>
        </w:tc>
      </w:tr>
      <w:tr w14:paraId="1F145B15">
        <w:tblPrEx>
          <w:tblCellMar>
            <w:top w:w="0" w:type="dxa"/>
            <w:left w:w="0" w:type="dxa"/>
            <w:bottom w:w="0" w:type="dxa"/>
            <w:right w:w="0" w:type="dxa"/>
          </w:tblCellMar>
        </w:tblPrEx>
        <w:trPr>
          <w:trHeight w:val="839"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4F7ADDBD">
            <w:pPr>
              <w:spacing w:line="274" w:lineRule="exact"/>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0DBC9761">
            <w:pPr>
              <w:spacing w:line="0" w:lineRule="atLeast"/>
              <w:jc w:val="center"/>
              <w:rPr>
                <w:rFonts w:hint="eastAsia" w:ascii="宋体" w:hAnsi="宋体" w:eastAsia="宋体" w:cs="宋体"/>
                <w:color w:val="auto"/>
                <w:sz w:val="24"/>
                <w:szCs w:val="24"/>
                <w:highlight w:val="none"/>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775B68F4">
            <w:pPr>
              <w:spacing w:line="274" w:lineRule="exact"/>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电话（含手机）</w:t>
            </w:r>
          </w:p>
        </w:tc>
        <w:tc>
          <w:tcPr>
            <w:tcW w:w="3154" w:type="dxa"/>
            <w:tcBorders>
              <w:top w:val="single" w:color="auto" w:sz="4" w:space="0"/>
              <w:left w:val="single" w:color="auto" w:sz="4" w:space="0"/>
              <w:bottom w:val="single" w:color="auto" w:sz="4" w:space="0"/>
              <w:right w:val="single" w:color="auto" w:sz="4" w:space="0"/>
            </w:tcBorders>
            <w:noWrap w:val="0"/>
            <w:vAlign w:val="center"/>
          </w:tcPr>
          <w:p w14:paraId="1283D221">
            <w:pPr>
              <w:spacing w:line="0" w:lineRule="atLeast"/>
              <w:jc w:val="center"/>
              <w:rPr>
                <w:rFonts w:hint="eastAsia" w:ascii="宋体" w:hAnsi="宋体" w:eastAsia="宋体" w:cs="宋体"/>
                <w:color w:val="auto"/>
                <w:sz w:val="24"/>
                <w:szCs w:val="24"/>
                <w:highlight w:val="none"/>
              </w:rPr>
            </w:pPr>
          </w:p>
        </w:tc>
      </w:tr>
      <w:tr w14:paraId="1425CC5D">
        <w:tblPrEx>
          <w:tblCellMar>
            <w:top w:w="0" w:type="dxa"/>
            <w:left w:w="0" w:type="dxa"/>
            <w:bottom w:w="0" w:type="dxa"/>
            <w:right w:w="0" w:type="dxa"/>
          </w:tblCellMar>
        </w:tblPrEx>
        <w:trPr>
          <w:trHeight w:val="842"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2A242B3C">
            <w:pPr>
              <w:spacing w:line="274" w:lineRule="exact"/>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公司类型</w:t>
            </w:r>
          </w:p>
        </w:tc>
        <w:tc>
          <w:tcPr>
            <w:tcW w:w="722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717C3115">
            <w:pPr>
              <w:spacing w:line="0" w:lineRule="atLeast"/>
              <w:jc w:val="center"/>
              <w:rPr>
                <w:rFonts w:hint="eastAsia" w:ascii="宋体" w:hAnsi="宋体" w:eastAsia="宋体" w:cs="宋体"/>
                <w:color w:val="auto"/>
                <w:sz w:val="24"/>
                <w:szCs w:val="24"/>
                <w:highlight w:val="none"/>
              </w:rPr>
            </w:pPr>
          </w:p>
        </w:tc>
      </w:tr>
      <w:tr w14:paraId="7132D1A7">
        <w:tblPrEx>
          <w:tblCellMar>
            <w:top w:w="0" w:type="dxa"/>
            <w:left w:w="0" w:type="dxa"/>
            <w:bottom w:w="0" w:type="dxa"/>
            <w:right w:w="0" w:type="dxa"/>
          </w:tblCellMar>
        </w:tblPrEx>
        <w:trPr>
          <w:trHeight w:val="839"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274100BD">
            <w:pPr>
              <w:spacing w:line="274" w:lineRule="exact"/>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p>
        </w:tc>
        <w:tc>
          <w:tcPr>
            <w:tcW w:w="722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AF8C747">
            <w:pPr>
              <w:spacing w:line="0" w:lineRule="atLeast"/>
              <w:jc w:val="center"/>
              <w:rPr>
                <w:rFonts w:hint="eastAsia" w:ascii="宋体" w:hAnsi="宋体" w:eastAsia="宋体" w:cs="宋体"/>
                <w:color w:val="auto"/>
                <w:sz w:val="24"/>
                <w:szCs w:val="24"/>
                <w:highlight w:val="none"/>
              </w:rPr>
            </w:pPr>
          </w:p>
        </w:tc>
      </w:tr>
      <w:tr w14:paraId="660833DF">
        <w:tblPrEx>
          <w:tblCellMar>
            <w:top w:w="0" w:type="dxa"/>
            <w:left w:w="0" w:type="dxa"/>
            <w:bottom w:w="0" w:type="dxa"/>
            <w:right w:w="0" w:type="dxa"/>
          </w:tblCellMar>
        </w:tblPrEx>
        <w:trPr>
          <w:trHeight w:val="1451"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5E7A4D5B">
            <w:pPr>
              <w:spacing w:line="274" w:lineRule="exact"/>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229" w:type="dxa"/>
            <w:gridSpan w:val="3"/>
            <w:tcBorders>
              <w:top w:val="single" w:color="auto" w:sz="4" w:space="0"/>
              <w:left w:val="single" w:color="auto" w:sz="4" w:space="0"/>
              <w:bottom w:val="single" w:color="auto" w:sz="4" w:space="0"/>
              <w:right w:val="single" w:color="auto" w:sz="4" w:space="0"/>
            </w:tcBorders>
            <w:noWrap w:val="0"/>
            <w:vAlign w:val="center"/>
          </w:tcPr>
          <w:p w14:paraId="5ED8AF5C">
            <w:pPr>
              <w:spacing w:line="0" w:lineRule="atLeast"/>
              <w:jc w:val="center"/>
              <w:rPr>
                <w:rFonts w:hint="eastAsia" w:ascii="宋体" w:hAnsi="宋体" w:eastAsia="宋体" w:cs="宋体"/>
                <w:color w:val="auto"/>
                <w:sz w:val="24"/>
                <w:szCs w:val="24"/>
                <w:highlight w:val="none"/>
              </w:rPr>
            </w:pPr>
          </w:p>
        </w:tc>
      </w:tr>
      <w:tr w14:paraId="2B8ACDFE">
        <w:tblPrEx>
          <w:tblCellMar>
            <w:top w:w="0" w:type="dxa"/>
            <w:left w:w="0" w:type="dxa"/>
            <w:bottom w:w="0" w:type="dxa"/>
            <w:right w:w="0" w:type="dxa"/>
          </w:tblCellMar>
        </w:tblPrEx>
        <w:trPr>
          <w:trHeight w:val="1144"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71346746">
            <w:pPr>
              <w:spacing w:line="274" w:lineRule="exact"/>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业务开始时间</w:t>
            </w:r>
          </w:p>
        </w:tc>
        <w:tc>
          <w:tcPr>
            <w:tcW w:w="7229" w:type="dxa"/>
            <w:gridSpan w:val="3"/>
            <w:tcBorders>
              <w:top w:val="single" w:color="auto" w:sz="4" w:space="0"/>
              <w:left w:val="single" w:color="auto" w:sz="4" w:space="0"/>
              <w:bottom w:val="single" w:color="auto" w:sz="4" w:space="0"/>
              <w:right w:val="single" w:color="auto" w:sz="4" w:space="0"/>
            </w:tcBorders>
            <w:noWrap w:val="0"/>
            <w:vAlign w:val="center"/>
          </w:tcPr>
          <w:p w14:paraId="33EE626C">
            <w:pPr>
              <w:spacing w:line="0" w:lineRule="atLeast"/>
              <w:jc w:val="center"/>
              <w:rPr>
                <w:rFonts w:hint="eastAsia" w:ascii="宋体" w:hAnsi="宋体" w:eastAsia="宋体" w:cs="宋体"/>
                <w:color w:val="auto"/>
                <w:sz w:val="24"/>
                <w:szCs w:val="24"/>
                <w:highlight w:val="none"/>
              </w:rPr>
            </w:pPr>
          </w:p>
        </w:tc>
      </w:tr>
      <w:tr w14:paraId="753F6F5A">
        <w:tblPrEx>
          <w:tblCellMar>
            <w:top w:w="0" w:type="dxa"/>
            <w:left w:w="0" w:type="dxa"/>
            <w:bottom w:w="0" w:type="dxa"/>
            <w:right w:w="0" w:type="dxa"/>
          </w:tblCellMar>
        </w:tblPrEx>
        <w:trPr>
          <w:trHeight w:val="846"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6FE8C003">
            <w:pPr>
              <w:spacing w:line="274" w:lineRule="exact"/>
              <w:ind w:left="1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公司人员情况</w:t>
            </w:r>
          </w:p>
        </w:tc>
        <w:tc>
          <w:tcPr>
            <w:tcW w:w="7229" w:type="dxa"/>
            <w:gridSpan w:val="3"/>
            <w:tcBorders>
              <w:top w:val="single" w:color="auto" w:sz="4" w:space="0"/>
              <w:left w:val="single" w:color="auto" w:sz="4" w:space="0"/>
              <w:bottom w:val="single" w:color="auto" w:sz="4" w:space="0"/>
              <w:right w:val="single" w:color="auto" w:sz="4" w:space="0"/>
            </w:tcBorders>
            <w:noWrap w:val="0"/>
            <w:vAlign w:val="center"/>
          </w:tcPr>
          <w:p w14:paraId="4A7E182A">
            <w:pPr>
              <w:spacing w:line="0" w:lineRule="atLeast"/>
              <w:jc w:val="center"/>
              <w:rPr>
                <w:rFonts w:hint="eastAsia" w:ascii="宋体" w:hAnsi="宋体" w:eastAsia="宋体" w:cs="宋体"/>
                <w:color w:val="auto"/>
                <w:sz w:val="24"/>
                <w:szCs w:val="24"/>
                <w:highlight w:val="none"/>
              </w:rPr>
            </w:pPr>
          </w:p>
        </w:tc>
      </w:tr>
    </w:tbl>
    <w:p w14:paraId="5EA9FCBC">
      <w:pPr>
        <w:rPr>
          <w:rFonts w:hint="eastAsia" w:ascii="仿宋" w:hAnsi="仿宋" w:eastAsia="仿宋" w:cs="仿宋"/>
          <w:color w:val="auto"/>
          <w:szCs w:val="21"/>
          <w:highlight w:val="none"/>
        </w:rPr>
        <w:sectPr>
          <w:pgSz w:w="11905" w:h="16838"/>
          <w:pgMar w:top="1327" w:right="1406" w:bottom="1327" w:left="1406" w:header="850" w:footer="992" w:gutter="0"/>
          <w:pgBorders>
            <w:top w:val="none" w:sz="0" w:space="0"/>
            <w:left w:val="none" w:sz="0" w:space="0"/>
            <w:bottom w:val="none" w:sz="0" w:space="0"/>
            <w:right w:val="none" w:sz="0" w:space="0"/>
          </w:pgBorders>
          <w:pgNumType w:fmt="decimal"/>
          <w:cols w:space="720" w:num="1"/>
          <w:titlePg/>
          <w:docGrid w:type="lines" w:linePitch="315" w:charSpace="0"/>
        </w:sectPr>
      </w:pPr>
    </w:p>
    <w:p w14:paraId="1E92EB89">
      <w:pPr>
        <w:spacing w:line="200" w:lineRule="exact"/>
        <w:rPr>
          <w:rFonts w:hint="eastAsia" w:ascii="仿宋" w:hAnsi="仿宋" w:eastAsia="仿宋" w:cs="仿宋"/>
          <w:color w:val="auto"/>
          <w:szCs w:val="21"/>
          <w:highlight w:val="none"/>
        </w:rPr>
      </w:pPr>
    </w:p>
    <w:p w14:paraId="773979B8">
      <w:pPr>
        <w:spacing w:line="0" w:lineRule="atLeast"/>
        <w:jc w:val="center"/>
        <w:rPr>
          <w:rFonts w:hint="eastAsia" w:ascii="仿宋" w:hAnsi="仿宋" w:eastAsia="仿宋" w:cs="仿宋"/>
          <w:color w:val="auto"/>
          <w:szCs w:val="21"/>
          <w:highlight w:val="none"/>
        </w:rPr>
        <w:sectPr>
          <w:type w:val="continuous"/>
          <w:pgSz w:w="11905" w:h="16838"/>
          <w:pgMar w:top="1327" w:right="1406" w:bottom="1327" w:left="1406" w:header="850" w:footer="992" w:gutter="0"/>
          <w:pgBorders>
            <w:top w:val="none" w:sz="0" w:space="0"/>
            <w:left w:val="none" w:sz="0" w:space="0"/>
            <w:bottom w:val="none" w:sz="0" w:space="0"/>
            <w:right w:val="none" w:sz="0" w:space="0"/>
          </w:pgBorders>
          <w:pgNumType w:fmt="decimal"/>
          <w:cols w:space="720" w:num="1"/>
          <w:titlePg/>
          <w:docGrid w:type="lines" w:linePitch="315" w:charSpace="0"/>
        </w:sectPr>
      </w:pPr>
    </w:p>
    <w:p w14:paraId="2165D13F">
      <w:pPr>
        <w:spacing w:line="360" w:lineRule="auto"/>
        <w:ind w:right="-39" w:firstLine="1968" w:firstLineChars="700"/>
        <w:rPr>
          <w:rFonts w:ascii="仿宋" w:hAnsi="仿宋" w:eastAsia="仿宋" w:cs="仿宋"/>
          <w:b/>
          <w:color w:val="auto"/>
          <w:sz w:val="28"/>
          <w:szCs w:val="28"/>
          <w:highlight w:val="none"/>
        </w:rPr>
      </w:pPr>
    </w:p>
    <w:p w14:paraId="5D1D33A0">
      <w:pPr>
        <w:pStyle w:val="6"/>
        <w:jc w:val="center"/>
        <w:rPr>
          <w:rFonts w:hint="eastAsia" w:ascii="宋体" w:hAnsi="宋体" w:eastAsia="宋体" w:cs="宋体"/>
          <w:b/>
          <w:bCs w:val="0"/>
          <w:color w:val="auto"/>
          <w:kern w:val="2"/>
          <w:sz w:val="28"/>
          <w:szCs w:val="28"/>
          <w:highlight w:val="none"/>
          <w:lang w:val="en-US" w:eastAsia="zh-CN" w:bidi="ar-SA"/>
        </w:rPr>
      </w:pPr>
      <w:bookmarkStart w:id="100" w:name="_Toc18912"/>
      <w:bookmarkStart w:id="101" w:name="_Toc13362"/>
      <w:r>
        <w:rPr>
          <w:rFonts w:hint="eastAsia" w:ascii="宋体" w:hAnsi="宋体" w:eastAsia="宋体" w:cs="宋体"/>
          <w:b/>
          <w:bCs w:val="0"/>
          <w:color w:val="auto"/>
          <w:kern w:val="2"/>
          <w:sz w:val="28"/>
          <w:szCs w:val="28"/>
          <w:highlight w:val="none"/>
          <w:lang w:val="en-US" w:eastAsia="zh-CN" w:bidi="ar-SA"/>
        </w:rPr>
        <w:t>五、开标一览表</w:t>
      </w:r>
    </w:p>
    <w:p w14:paraId="31D17217">
      <w:pPr>
        <w:numPr>
          <w:ilvl w:val="0"/>
          <w:numId w:val="0"/>
        </w:numPr>
        <w:rPr>
          <w:rFonts w:hint="eastAsia"/>
          <w:color w:val="auto"/>
          <w:highlight w:val="none"/>
        </w:rPr>
      </w:pP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14:paraId="6FBA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2410" w:type="dxa"/>
            <w:tcBorders>
              <w:bottom w:val="single" w:color="auto" w:sz="4" w:space="0"/>
            </w:tcBorders>
            <w:noWrap w:val="0"/>
            <w:vAlign w:val="center"/>
          </w:tcPr>
          <w:p w14:paraId="69D7869F">
            <w:pPr>
              <w:pStyle w:val="79"/>
              <w:tabs>
                <w:tab w:val="left" w:pos="1337"/>
              </w:tabs>
              <w:spacing w:line="500" w:lineRule="atLeast"/>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项目名称</w:t>
            </w:r>
          </w:p>
        </w:tc>
        <w:tc>
          <w:tcPr>
            <w:tcW w:w="6770" w:type="dxa"/>
            <w:tcBorders>
              <w:bottom w:val="single" w:color="auto" w:sz="4" w:space="0"/>
            </w:tcBorders>
            <w:noWrap w:val="0"/>
            <w:vAlign w:val="center"/>
          </w:tcPr>
          <w:p w14:paraId="3C7AC603">
            <w:pPr>
              <w:pStyle w:val="79"/>
              <w:tabs>
                <w:tab w:val="left" w:pos="1337"/>
              </w:tabs>
              <w:spacing w:line="500" w:lineRule="atLeast"/>
              <w:jc w:val="center"/>
              <w:rPr>
                <w:rFonts w:hint="eastAsia" w:ascii="宋体" w:hAnsi="宋体" w:eastAsia="宋体" w:cs="宋体"/>
                <w:bCs/>
                <w:color w:val="auto"/>
                <w:sz w:val="24"/>
                <w:szCs w:val="24"/>
                <w:highlight w:val="none"/>
              </w:rPr>
            </w:pPr>
          </w:p>
        </w:tc>
      </w:tr>
      <w:tr w14:paraId="7B38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14:paraId="52AE1EEC">
            <w:pPr>
              <w:pStyle w:val="79"/>
              <w:tabs>
                <w:tab w:val="left" w:pos="1337"/>
              </w:tabs>
              <w:spacing w:line="500" w:lineRule="atLeast"/>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投标报价</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元</w:t>
            </w:r>
            <w:r>
              <w:rPr>
                <w:rFonts w:hint="eastAsia" w:ascii="宋体" w:hAnsi="宋体" w:cs="宋体"/>
                <w:bCs/>
                <w:color w:val="auto"/>
                <w:sz w:val="24"/>
                <w:szCs w:val="24"/>
                <w:highlight w:val="none"/>
                <w:lang w:eastAsia="zh-CN"/>
              </w:rPr>
              <w:t>）</w:t>
            </w:r>
          </w:p>
        </w:tc>
        <w:tc>
          <w:tcPr>
            <w:tcW w:w="6770" w:type="dxa"/>
            <w:noWrap w:val="0"/>
            <w:vAlign w:val="center"/>
          </w:tcPr>
          <w:p w14:paraId="71A671E8">
            <w:pPr>
              <w:pStyle w:val="79"/>
              <w:tabs>
                <w:tab w:val="left" w:pos="1337"/>
              </w:tabs>
              <w:spacing w:line="500" w:lineRule="atLeas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小写：                               </w:t>
            </w:r>
          </w:p>
          <w:p w14:paraId="08A12136">
            <w:pPr>
              <w:pStyle w:val="79"/>
              <w:tabs>
                <w:tab w:val="left" w:pos="1337"/>
              </w:tabs>
              <w:spacing w:line="500" w:lineRule="atLeas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大写：                               </w:t>
            </w:r>
          </w:p>
        </w:tc>
      </w:tr>
      <w:tr w14:paraId="3B52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2410" w:type="dxa"/>
            <w:noWrap w:val="0"/>
            <w:vAlign w:val="center"/>
          </w:tcPr>
          <w:p w14:paraId="7C858D5D">
            <w:pPr>
              <w:pStyle w:val="79"/>
              <w:tabs>
                <w:tab w:val="left" w:pos="1337"/>
              </w:tabs>
              <w:spacing w:line="50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项目负责人</w:t>
            </w:r>
          </w:p>
        </w:tc>
        <w:tc>
          <w:tcPr>
            <w:tcW w:w="6770" w:type="dxa"/>
            <w:noWrap w:val="0"/>
            <w:vAlign w:val="top"/>
          </w:tcPr>
          <w:p w14:paraId="3C8C4616">
            <w:pPr>
              <w:pStyle w:val="79"/>
              <w:tabs>
                <w:tab w:val="left" w:pos="1337"/>
              </w:tabs>
              <w:spacing w:line="500" w:lineRule="atLeast"/>
              <w:jc w:val="center"/>
              <w:rPr>
                <w:rFonts w:hint="eastAsia" w:ascii="宋体" w:hAnsi="宋体" w:eastAsia="宋体" w:cs="宋体"/>
                <w:bCs/>
                <w:color w:val="auto"/>
                <w:sz w:val="24"/>
                <w:szCs w:val="24"/>
                <w:highlight w:val="none"/>
              </w:rPr>
            </w:pPr>
          </w:p>
        </w:tc>
      </w:tr>
      <w:tr w14:paraId="4CC3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410" w:type="dxa"/>
            <w:noWrap w:val="0"/>
            <w:vAlign w:val="center"/>
          </w:tcPr>
          <w:p w14:paraId="67E1264A">
            <w:pPr>
              <w:pStyle w:val="79"/>
              <w:tabs>
                <w:tab w:val="left" w:pos="1337"/>
              </w:tabs>
              <w:spacing w:line="500" w:lineRule="atLeast"/>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监理服务期</w:t>
            </w:r>
          </w:p>
        </w:tc>
        <w:tc>
          <w:tcPr>
            <w:tcW w:w="6770" w:type="dxa"/>
            <w:noWrap w:val="0"/>
            <w:vAlign w:val="top"/>
          </w:tcPr>
          <w:p w14:paraId="20F2C3E2">
            <w:pPr>
              <w:pStyle w:val="79"/>
              <w:tabs>
                <w:tab w:val="left" w:pos="1337"/>
              </w:tabs>
              <w:spacing w:line="500" w:lineRule="atLeast"/>
              <w:jc w:val="center"/>
              <w:rPr>
                <w:rFonts w:hint="eastAsia" w:ascii="宋体" w:hAnsi="宋体" w:eastAsia="宋体" w:cs="宋体"/>
                <w:bCs/>
                <w:color w:val="auto"/>
                <w:sz w:val="24"/>
                <w:szCs w:val="24"/>
                <w:highlight w:val="none"/>
              </w:rPr>
            </w:pPr>
          </w:p>
        </w:tc>
      </w:tr>
      <w:tr w14:paraId="1C45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410" w:type="dxa"/>
            <w:noWrap w:val="0"/>
            <w:vAlign w:val="center"/>
          </w:tcPr>
          <w:p w14:paraId="756AC47D">
            <w:pPr>
              <w:pStyle w:val="79"/>
              <w:tabs>
                <w:tab w:val="left" w:pos="1337"/>
              </w:tabs>
              <w:spacing w:line="500" w:lineRule="atLeas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lang w:val="en-US" w:eastAsia="zh-CN"/>
              </w:rPr>
              <w:t>质量标准</w:t>
            </w:r>
          </w:p>
        </w:tc>
        <w:tc>
          <w:tcPr>
            <w:tcW w:w="6770" w:type="dxa"/>
            <w:noWrap w:val="0"/>
            <w:vAlign w:val="top"/>
          </w:tcPr>
          <w:p w14:paraId="23432B89">
            <w:pPr>
              <w:pStyle w:val="79"/>
              <w:tabs>
                <w:tab w:val="left" w:pos="1337"/>
              </w:tabs>
              <w:spacing w:line="500" w:lineRule="atLeast"/>
              <w:jc w:val="center"/>
              <w:rPr>
                <w:rFonts w:hint="eastAsia" w:ascii="宋体" w:hAnsi="宋体" w:eastAsia="宋体" w:cs="宋体"/>
                <w:bCs/>
                <w:color w:val="auto"/>
                <w:sz w:val="24"/>
                <w:szCs w:val="24"/>
                <w:highlight w:val="none"/>
              </w:rPr>
            </w:pPr>
          </w:p>
        </w:tc>
      </w:tr>
      <w:tr w14:paraId="1E22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14:paraId="0181684B">
            <w:pPr>
              <w:pStyle w:val="79"/>
              <w:keepNext w:val="0"/>
              <w:keepLines w:val="0"/>
              <w:pageBreakBefore w:val="0"/>
              <w:tabs>
                <w:tab w:val="left" w:pos="1337"/>
              </w:tabs>
              <w:kinsoku/>
              <w:wordWrap/>
              <w:overflowPunct/>
              <w:topLinePunct w:val="0"/>
              <w:autoSpaceDE/>
              <w:autoSpaceDN/>
              <w:bidi w:val="0"/>
              <w:adjustRightInd/>
              <w:snapToGrid w:val="0"/>
              <w:spacing w:line="36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1"/>
                <w:szCs w:val="21"/>
                <w:highlight w:val="none"/>
              </w:rPr>
              <w:t>备注</w:t>
            </w:r>
          </w:p>
        </w:tc>
      </w:tr>
    </w:tbl>
    <w:p w14:paraId="154E4FAF">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 xml:space="preserve">说明：投标单位严格按照规定的格式填写，并加盖公章，否则，投标无效。 </w:t>
      </w:r>
    </w:p>
    <w:p w14:paraId="6DC8A6AB">
      <w:pPr>
        <w:pStyle w:val="2"/>
        <w:rPr>
          <w:rFonts w:hint="eastAsia"/>
        </w:rPr>
      </w:pPr>
    </w:p>
    <w:p w14:paraId="0C766E81">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投标单位（</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lang w:val="en-US" w:eastAsia="zh-CN"/>
        </w:rPr>
        <w:t xml:space="preserve">）： </w:t>
      </w:r>
    </w:p>
    <w:p w14:paraId="02549A78">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p>
    <w:p w14:paraId="6BD1E68A">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7B2E294">
      <w:pPr>
        <w:pStyle w:val="6"/>
        <w:jc w:val="center"/>
        <w:rPr>
          <w:rFonts w:hint="eastAsia" w:ascii="仿宋" w:hAnsi="仿宋" w:eastAsia="仿宋" w:cs="仿宋"/>
          <w:color w:val="auto"/>
          <w:sz w:val="24"/>
          <w:szCs w:val="24"/>
          <w:highlight w:val="none"/>
        </w:rPr>
      </w:pPr>
    </w:p>
    <w:p w14:paraId="33B58569">
      <w:pPr>
        <w:rPr>
          <w:rFonts w:hint="eastAsia" w:ascii="仿宋" w:hAnsi="仿宋" w:eastAsia="仿宋" w:cs="仿宋"/>
          <w:color w:val="auto"/>
          <w:sz w:val="30"/>
          <w:szCs w:val="30"/>
          <w:highlight w:val="none"/>
        </w:rPr>
      </w:pPr>
    </w:p>
    <w:p w14:paraId="750BAAF2">
      <w:pPr>
        <w:rPr>
          <w:rFonts w:hint="eastAsia" w:ascii="仿宋" w:hAnsi="仿宋" w:eastAsia="仿宋" w:cs="仿宋"/>
          <w:color w:val="auto"/>
          <w:sz w:val="30"/>
          <w:szCs w:val="30"/>
          <w:highlight w:val="none"/>
        </w:rPr>
      </w:pPr>
    </w:p>
    <w:p w14:paraId="175EFC84">
      <w:pPr>
        <w:pStyle w:val="37"/>
        <w:rPr>
          <w:rFonts w:hint="eastAsia" w:ascii="仿宋" w:hAnsi="仿宋" w:eastAsia="仿宋" w:cs="仿宋"/>
          <w:color w:val="auto"/>
          <w:sz w:val="30"/>
          <w:szCs w:val="30"/>
          <w:highlight w:val="none"/>
        </w:rPr>
      </w:pPr>
    </w:p>
    <w:p w14:paraId="48480693">
      <w:pPr>
        <w:pStyle w:val="37"/>
        <w:rPr>
          <w:rFonts w:hint="eastAsia" w:ascii="仿宋" w:hAnsi="仿宋" w:eastAsia="仿宋" w:cs="仿宋"/>
          <w:color w:val="auto"/>
          <w:sz w:val="30"/>
          <w:szCs w:val="30"/>
          <w:highlight w:val="none"/>
        </w:rPr>
      </w:pPr>
    </w:p>
    <w:p w14:paraId="20C9B6BA">
      <w:pPr>
        <w:rPr>
          <w:rFonts w:hint="eastAsia" w:ascii="仿宋" w:hAnsi="仿宋" w:eastAsia="仿宋" w:cs="仿宋"/>
          <w:color w:val="auto"/>
          <w:sz w:val="30"/>
          <w:szCs w:val="30"/>
          <w:highlight w:val="none"/>
        </w:rPr>
      </w:pPr>
    </w:p>
    <w:p w14:paraId="3D21FA65">
      <w:pPr>
        <w:numPr>
          <w:ilvl w:val="0"/>
          <w:numId w:val="0"/>
        </w:numPr>
        <w:ind w:leftChars="0" w:firstLine="2249" w:firstLineChars="800"/>
        <w:jc w:val="both"/>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六、拟派往本项目的项目人员情况</w:t>
      </w:r>
      <w:bookmarkEnd w:id="100"/>
      <w:bookmarkEnd w:id="101"/>
    </w:p>
    <w:p w14:paraId="3A2E1470">
      <w:pPr>
        <w:spacing w:line="148" w:lineRule="exact"/>
        <w:rPr>
          <w:rFonts w:hint="eastAsia" w:ascii="仿宋" w:hAnsi="仿宋" w:eastAsia="仿宋" w:cs="仿宋"/>
          <w:color w:val="auto"/>
          <w:szCs w:val="21"/>
          <w:highlight w:val="none"/>
        </w:rPr>
      </w:pPr>
    </w:p>
    <w:tbl>
      <w:tblPr>
        <w:tblStyle w:val="25"/>
        <w:tblW w:w="9113" w:type="dxa"/>
        <w:tblInd w:w="0" w:type="dxa"/>
        <w:tblLayout w:type="fixed"/>
        <w:tblCellMar>
          <w:top w:w="0" w:type="dxa"/>
          <w:left w:w="0" w:type="dxa"/>
          <w:bottom w:w="0" w:type="dxa"/>
          <w:right w:w="0" w:type="dxa"/>
        </w:tblCellMar>
      </w:tblPr>
      <w:tblGrid>
        <w:gridCol w:w="1122"/>
        <w:gridCol w:w="1542"/>
        <w:gridCol w:w="982"/>
        <w:gridCol w:w="1121"/>
        <w:gridCol w:w="1401"/>
        <w:gridCol w:w="1544"/>
        <w:gridCol w:w="1401"/>
      </w:tblGrid>
      <w:tr w14:paraId="5B85E9B9">
        <w:tblPrEx>
          <w:tblCellMar>
            <w:top w:w="0" w:type="dxa"/>
            <w:left w:w="0" w:type="dxa"/>
            <w:bottom w:w="0" w:type="dxa"/>
            <w:right w:w="0" w:type="dxa"/>
          </w:tblCellMar>
        </w:tblPrEx>
        <w:trPr>
          <w:trHeight w:val="655" w:hRule="atLeast"/>
        </w:trPr>
        <w:tc>
          <w:tcPr>
            <w:tcW w:w="1122" w:type="dxa"/>
            <w:tcBorders>
              <w:top w:val="single" w:color="auto" w:sz="4" w:space="0"/>
              <w:left w:val="single" w:color="auto" w:sz="4" w:space="0"/>
              <w:bottom w:val="single" w:color="auto" w:sz="4" w:space="0"/>
              <w:right w:val="single" w:color="auto" w:sz="4" w:space="0"/>
            </w:tcBorders>
            <w:noWrap w:val="0"/>
            <w:vAlign w:val="center"/>
          </w:tcPr>
          <w:p w14:paraId="7C39081F">
            <w:pPr>
              <w:spacing w:line="274"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978342C">
            <w:pPr>
              <w:spacing w:line="274"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2F579C9">
            <w:pPr>
              <w:spacing w:line="274"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3D8B79AB">
            <w:pPr>
              <w:spacing w:line="274"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28EAFEEC">
            <w:pPr>
              <w:spacing w:line="274"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E327944">
            <w:pPr>
              <w:spacing w:line="274"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35E93C99">
            <w:pPr>
              <w:spacing w:line="274"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5E68D13">
        <w:tblPrEx>
          <w:tblCellMar>
            <w:top w:w="0" w:type="dxa"/>
            <w:left w:w="0" w:type="dxa"/>
            <w:bottom w:w="0" w:type="dxa"/>
            <w:right w:w="0" w:type="dxa"/>
          </w:tblCellMar>
        </w:tblPrEx>
        <w:trPr>
          <w:trHeight w:val="506" w:hRule="atLeast"/>
        </w:trPr>
        <w:tc>
          <w:tcPr>
            <w:tcW w:w="1122" w:type="dxa"/>
            <w:tcBorders>
              <w:top w:val="single" w:color="auto" w:sz="4" w:space="0"/>
              <w:left w:val="single" w:color="auto" w:sz="8" w:space="0"/>
              <w:bottom w:val="single" w:color="auto" w:sz="8" w:space="0"/>
              <w:right w:val="single" w:color="auto" w:sz="8" w:space="0"/>
            </w:tcBorders>
            <w:noWrap w:val="0"/>
            <w:vAlign w:val="center"/>
          </w:tcPr>
          <w:p w14:paraId="739D60DC">
            <w:pPr>
              <w:spacing w:line="0" w:lineRule="atLeast"/>
              <w:jc w:val="center"/>
              <w:rPr>
                <w:rFonts w:hint="eastAsia" w:ascii="宋体" w:hAnsi="宋体" w:eastAsia="宋体" w:cs="宋体"/>
                <w:color w:val="auto"/>
                <w:sz w:val="24"/>
                <w:szCs w:val="24"/>
                <w:highlight w:val="none"/>
              </w:rPr>
            </w:pPr>
          </w:p>
        </w:tc>
        <w:tc>
          <w:tcPr>
            <w:tcW w:w="1542" w:type="dxa"/>
            <w:tcBorders>
              <w:top w:val="single" w:color="auto" w:sz="4" w:space="0"/>
              <w:bottom w:val="single" w:color="auto" w:sz="8" w:space="0"/>
              <w:right w:val="single" w:color="auto" w:sz="8" w:space="0"/>
            </w:tcBorders>
            <w:noWrap w:val="0"/>
            <w:vAlign w:val="center"/>
          </w:tcPr>
          <w:p w14:paraId="6CD80FA2">
            <w:pPr>
              <w:spacing w:line="0" w:lineRule="atLeast"/>
              <w:jc w:val="center"/>
              <w:rPr>
                <w:rFonts w:hint="eastAsia" w:ascii="宋体" w:hAnsi="宋体" w:eastAsia="宋体" w:cs="宋体"/>
                <w:color w:val="auto"/>
                <w:sz w:val="24"/>
                <w:szCs w:val="24"/>
                <w:highlight w:val="none"/>
              </w:rPr>
            </w:pPr>
          </w:p>
        </w:tc>
        <w:tc>
          <w:tcPr>
            <w:tcW w:w="982" w:type="dxa"/>
            <w:tcBorders>
              <w:top w:val="single" w:color="auto" w:sz="4" w:space="0"/>
              <w:bottom w:val="single" w:color="auto" w:sz="8" w:space="0"/>
              <w:right w:val="single" w:color="auto" w:sz="8" w:space="0"/>
            </w:tcBorders>
            <w:noWrap w:val="0"/>
            <w:vAlign w:val="center"/>
          </w:tcPr>
          <w:p w14:paraId="03DDD84C">
            <w:pPr>
              <w:spacing w:line="0" w:lineRule="atLeast"/>
              <w:jc w:val="center"/>
              <w:rPr>
                <w:rFonts w:hint="eastAsia" w:ascii="宋体" w:hAnsi="宋体" w:eastAsia="宋体" w:cs="宋体"/>
                <w:color w:val="auto"/>
                <w:sz w:val="24"/>
                <w:szCs w:val="24"/>
                <w:highlight w:val="none"/>
              </w:rPr>
            </w:pPr>
          </w:p>
        </w:tc>
        <w:tc>
          <w:tcPr>
            <w:tcW w:w="1121" w:type="dxa"/>
            <w:tcBorders>
              <w:top w:val="single" w:color="auto" w:sz="4" w:space="0"/>
              <w:bottom w:val="single" w:color="auto" w:sz="8" w:space="0"/>
              <w:right w:val="single" w:color="auto" w:sz="8" w:space="0"/>
            </w:tcBorders>
            <w:noWrap w:val="0"/>
            <w:vAlign w:val="center"/>
          </w:tcPr>
          <w:p w14:paraId="0794E62F">
            <w:pPr>
              <w:spacing w:line="0" w:lineRule="atLeast"/>
              <w:jc w:val="center"/>
              <w:rPr>
                <w:rFonts w:hint="eastAsia" w:ascii="宋体" w:hAnsi="宋体" w:eastAsia="宋体" w:cs="宋体"/>
                <w:color w:val="auto"/>
                <w:sz w:val="24"/>
                <w:szCs w:val="24"/>
                <w:highlight w:val="none"/>
              </w:rPr>
            </w:pPr>
          </w:p>
        </w:tc>
        <w:tc>
          <w:tcPr>
            <w:tcW w:w="1401" w:type="dxa"/>
            <w:tcBorders>
              <w:top w:val="single" w:color="auto" w:sz="4" w:space="0"/>
              <w:bottom w:val="single" w:color="auto" w:sz="8" w:space="0"/>
              <w:right w:val="single" w:color="auto" w:sz="8" w:space="0"/>
            </w:tcBorders>
            <w:noWrap w:val="0"/>
            <w:vAlign w:val="center"/>
          </w:tcPr>
          <w:p w14:paraId="6D4DC4B0">
            <w:pPr>
              <w:spacing w:line="0" w:lineRule="atLeast"/>
              <w:jc w:val="center"/>
              <w:rPr>
                <w:rFonts w:hint="eastAsia" w:ascii="宋体" w:hAnsi="宋体" w:eastAsia="宋体" w:cs="宋体"/>
                <w:color w:val="auto"/>
                <w:sz w:val="24"/>
                <w:szCs w:val="24"/>
                <w:highlight w:val="none"/>
              </w:rPr>
            </w:pPr>
          </w:p>
        </w:tc>
        <w:tc>
          <w:tcPr>
            <w:tcW w:w="1544" w:type="dxa"/>
            <w:tcBorders>
              <w:top w:val="single" w:color="auto" w:sz="4" w:space="0"/>
              <w:bottom w:val="single" w:color="auto" w:sz="8" w:space="0"/>
              <w:right w:val="single" w:color="auto" w:sz="8" w:space="0"/>
            </w:tcBorders>
            <w:noWrap w:val="0"/>
            <w:vAlign w:val="center"/>
          </w:tcPr>
          <w:p w14:paraId="11347329">
            <w:pPr>
              <w:spacing w:line="0" w:lineRule="atLeast"/>
              <w:jc w:val="center"/>
              <w:rPr>
                <w:rFonts w:hint="eastAsia" w:ascii="宋体" w:hAnsi="宋体" w:eastAsia="宋体" w:cs="宋体"/>
                <w:color w:val="auto"/>
                <w:sz w:val="24"/>
                <w:szCs w:val="24"/>
                <w:highlight w:val="none"/>
              </w:rPr>
            </w:pPr>
          </w:p>
        </w:tc>
        <w:tc>
          <w:tcPr>
            <w:tcW w:w="1401" w:type="dxa"/>
            <w:tcBorders>
              <w:top w:val="single" w:color="auto" w:sz="4" w:space="0"/>
              <w:bottom w:val="single" w:color="auto" w:sz="8" w:space="0"/>
              <w:right w:val="single" w:color="auto" w:sz="8" w:space="0"/>
            </w:tcBorders>
            <w:noWrap w:val="0"/>
            <w:vAlign w:val="center"/>
          </w:tcPr>
          <w:p w14:paraId="59A47B4D">
            <w:pPr>
              <w:spacing w:line="0" w:lineRule="atLeast"/>
              <w:jc w:val="center"/>
              <w:rPr>
                <w:rFonts w:hint="eastAsia" w:ascii="宋体" w:hAnsi="宋体" w:eastAsia="宋体" w:cs="宋体"/>
                <w:color w:val="auto"/>
                <w:sz w:val="24"/>
                <w:szCs w:val="24"/>
                <w:highlight w:val="none"/>
              </w:rPr>
            </w:pPr>
          </w:p>
        </w:tc>
      </w:tr>
      <w:tr w14:paraId="569210BE">
        <w:tblPrEx>
          <w:tblCellMar>
            <w:top w:w="0" w:type="dxa"/>
            <w:left w:w="0" w:type="dxa"/>
            <w:bottom w:w="0" w:type="dxa"/>
            <w:right w:w="0" w:type="dxa"/>
          </w:tblCellMar>
        </w:tblPrEx>
        <w:trPr>
          <w:trHeight w:val="506" w:hRule="atLeast"/>
        </w:trPr>
        <w:tc>
          <w:tcPr>
            <w:tcW w:w="1122" w:type="dxa"/>
            <w:tcBorders>
              <w:left w:val="single" w:color="auto" w:sz="8" w:space="0"/>
              <w:bottom w:val="single" w:color="auto" w:sz="8" w:space="0"/>
              <w:right w:val="single" w:color="auto" w:sz="8" w:space="0"/>
            </w:tcBorders>
            <w:noWrap w:val="0"/>
            <w:vAlign w:val="center"/>
          </w:tcPr>
          <w:p w14:paraId="002CF3B1">
            <w:pPr>
              <w:spacing w:line="0" w:lineRule="atLeast"/>
              <w:jc w:val="center"/>
              <w:rPr>
                <w:rFonts w:hint="eastAsia" w:ascii="宋体" w:hAnsi="宋体" w:eastAsia="宋体" w:cs="宋体"/>
                <w:color w:val="auto"/>
                <w:sz w:val="24"/>
                <w:szCs w:val="24"/>
                <w:highlight w:val="none"/>
              </w:rPr>
            </w:pPr>
          </w:p>
        </w:tc>
        <w:tc>
          <w:tcPr>
            <w:tcW w:w="1542" w:type="dxa"/>
            <w:tcBorders>
              <w:bottom w:val="single" w:color="auto" w:sz="8" w:space="0"/>
              <w:right w:val="single" w:color="auto" w:sz="8" w:space="0"/>
            </w:tcBorders>
            <w:noWrap w:val="0"/>
            <w:vAlign w:val="center"/>
          </w:tcPr>
          <w:p w14:paraId="5340F081">
            <w:pPr>
              <w:spacing w:line="0" w:lineRule="atLeast"/>
              <w:jc w:val="center"/>
              <w:rPr>
                <w:rFonts w:hint="eastAsia" w:ascii="宋体" w:hAnsi="宋体" w:eastAsia="宋体" w:cs="宋体"/>
                <w:color w:val="auto"/>
                <w:sz w:val="24"/>
                <w:szCs w:val="24"/>
                <w:highlight w:val="none"/>
              </w:rPr>
            </w:pPr>
          </w:p>
        </w:tc>
        <w:tc>
          <w:tcPr>
            <w:tcW w:w="982" w:type="dxa"/>
            <w:tcBorders>
              <w:bottom w:val="single" w:color="auto" w:sz="8" w:space="0"/>
              <w:right w:val="single" w:color="auto" w:sz="8" w:space="0"/>
            </w:tcBorders>
            <w:noWrap w:val="0"/>
            <w:vAlign w:val="center"/>
          </w:tcPr>
          <w:p w14:paraId="1E21F380">
            <w:pPr>
              <w:spacing w:line="0" w:lineRule="atLeast"/>
              <w:jc w:val="center"/>
              <w:rPr>
                <w:rFonts w:hint="eastAsia" w:ascii="宋体" w:hAnsi="宋体" w:eastAsia="宋体" w:cs="宋体"/>
                <w:color w:val="auto"/>
                <w:sz w:val="24"/>
                <w:szCs w:val="24"/>
                <w:highlight w:val="none"/>
              </w:rPr>
            </w:pPr>
          </w:p>
        </w:tc>
        <w:tc>
          <w:tcPr>
            <w:tcW w:w="1121" w:type="dxa"/>
            <w:tcBorders>
              <w:bottom w:val="single" w:color="auto" w:sz="8" w:space="0"/>
              <w:right w:val="single" w:color="auto" w:sz="8" w:space="0"/>
            </w:tcBorders>
            <w:noWrap w:val="0"/>
            <w:vAlign w:val="center"/>
          </w:tcPr>
          <w:p w14:paraId="2D274B52">
            <w:pPr>
              <w:spacing w:line="0" w:lineRule="atLeast"/>
              <w:jc w:val="center"/>
              <w:rPr>
                <w:rFonts w:hint="eastAsia" w:ascii="宋体" w:hAnsi="宋体" w:eastAsia="宋体" w:cs="宋体"/>
                <w:color w:val="auto"/>
                <w:sz w:val="24"/>
                <w:szCs w:val="24"/>
                <w:highlight w:val="none"/>
              </w:rPr>
            </w:pPr>
          </w:p>
        </w:tc>
        <w:tc>
          <w:tcPr>
            <w:tcW w:w="1401" w:type="dxa"/>
            <w:tcBorders>
              <w:bottom w:val="single" w:color="auto" w:sz="8" w:space="0"/>
              <w:right w:val="single" w:color="auto" w:sz="8" w:space="0"/>
            </w:tcBorders>
            <w:noWrap w:val="0"/>
            <w:vAlign w:val="center"/>
          </w:tcPr>
          <w:p w14:paraId="091E41C0">
            <w:pPr>
              <w:spacing w:line="0" w:lineRule="atLeast"/>
              <w:jc w:val="center"/>
              <w:rPr>
                <w:rFonts w:hint="eastAsia" w:ascii="宋体" w:hAnsi="宋体" w:eastAsia="宋体" w:cs="宋体"/>
                <w:color w:val="auto"/>
                <w:sz w:val="24"/>
                <w:szCs w:val="24"/>
                <w:highlight w:val="none"/>
              </w:rPr>
            </w:pPr>
          </w:p>
        </w:tc>
        <w:tc>
          <w:tcPr>
            <w:tcW w:w="1544" w:type="dxa"/>
            <w:tcBorders>
              <w:bottom w:val="single" w:color="auto" w:sz="8" w:space="0"/>
              <w:right w:val="single" w:color="auto" w:sz="8" w:space="0"/>
            </w:tcBorders>
            <w:noWrap w:val="0"/>
            <w:vAlign w:val="center"/>
          </w:tcPr>
          <w:p w14:paraId="60E0DD43">
            <w:pPr>
              <w:spacing w:line="0" w:lineRule="atLeast"/>
              <w:jc w:val="center"/>
              <w:rPr>
                <w:rFonts w:hint="eastAsia" w:ascii="宋体" w:hAnsi="宋体" w:eastAsia="宋体" w:cs="宋体"/>
                <w:color w:val="auto"/>
                <w:sz w:val="24"/>
                <w:szCs w:val="24"/>
                <w:highlight w:val="none"/>
              </w:rPr>
            </w:pPr>
          </w:p>
        </w:tc>
        <w:tc>
          <w:tcPr>
            <w:tcW w:w="1401" w:type="dxa"/>
            <w:tcBorders>
              <w:bottom w:val="single" w:color="auto" w:sz="8" w:space="0"/>
              <w:right w:val="single" w:color="auto" w:sz="8" w:space="0"/>
            </w:tcBorders>
            <w:noWrap w:val="0"/>
            <w:vAlign w:val="center"/>
          </w:tcPr>
          <w:p w14:paraId="191799D9">
            <w:pPr>
              <w:spacing w:line="0" w:lineRule="atLeast"/>
              <w:jc w:val="center"/>
              <w:rPr>
                <w:rFonts w:hint="eastAsia" w:ascii="宋体" w:hAnsi="宋体" w:eastAsia="宋体" w:cs="宋体"/>
                <w:color w:val="auto"/>
                <w:sz w:val="24"/>
                <w:szCs w:val="24"/>
                <w:highlight w:val="none"/>
              </w:rPr>
            </w:pPr>
          </w:p>
        </w:tc>
      </w:tr>
      <w:tr w14:paraId="524A149B">
        <w:tblPrEx>
          <w:tblCellMar>
            <w:top w:w="0" w:type="dxa"/>
            <w:left w:w="0" w:type="dxa"/>
            <w:bottom w:w="0" w:type="dxa"/>
            <w:right w:w="0" w:type="dxa"/>
          </w:tblCellMar>
        </w:tblPrEx>
        <w:trPr>
          <w:trHeight w:val="506" w:hRule="atLeast"/>
        </w:trPr>
        <w:tc>
          <w:tcPr>
            <w:tcW w:w="1122" w:type="dxa"/>
            <w:tcBorders>
              <w:left w:val="single" w:color="auto" w:sz="8" w:space="0"/>
              <w:bottom w:val="single" w:color="auto" w:sz="8" w:space="0"/>
              <w:right w:val="single" w:color="auto" w:sz="8" w:space="0"/>
            </w:tcBorders>
            <w:noWrap w:val="0"/>
            <w:vAlign w:val="center"/>
          </w:tcPr>
          <w:p w14:paraId="5549D10E">
            <w:pPr>
              <w:spacing w:line="0" w:lineRule="atLeast"/>
              <w:jc w:val="center"/>
              <w:rPr>
                <w:rFonts w:hint="eastAsia" w:ascii="宋体" w:hAnsi="宋体" w:eastAsia="宋体" w:cs="宋体"/>
                <w:color w:val="auto"/>
                <w:sz w:val="24"/>
                <w:szCs w:val="24"/>
                <w:highlight w:val="none"/>
              </w:rPr>
            </w:pPr>
          </w:p>
        </w:tc>
        <w:tc>
          <w:tcPr>
            <w:tcW w:w="1542" w:type="dxa"/>
            <w:tcBorders>
              <w:bottom w:val="single" w:color="auto" w:sz="8" w:space="0"/>
              <w:right w:val="single" w:color="auto" w:sz="8" w:space="0"/>
            </w:tcBorders>
            <w:noWrap w:val="0"/>
            <w:vAlign w:val="center"/>
          </w:tcPr>
          <w:p w14:paraId="6D4DE07C">
            <w:pPr>
              <w:spacing w:line="0" w:lineRule="atLeast"/>
              <w:jc w:val="center"/>
              <w:rPr>
                <w:rFonts w:hint="eastAsia" w:ascii="宋体" w:hAnsi="宋体" w:eastAsia="宋体" w:cs="宋体"/>
                <w:color w:val="auto"/>
                <w:sz w:val="24"/>
                <w:szCs w:val="24"/>
                <w:highlight w:val="none"/>
              </w:rPr>
            </w:pPr>
          </w:p>
        </w:tc>
        <w:tc>
          <w:tcPr>
            <w:tcW w:w="982" w:type="dxa"/>
            <w:tcBorders>
              <w:bottom w:val="single" w:color="auto" w:sz="8" w:space="0"/>
              <w:right w:val="single" w:color="auto" w:sz="8" w:space="0"/>
            </w:tcBorders>
            <w:noWrap w:val="0"/>
            <w:vAlign w:val="center"/>
          </w:tcPr>
          <w:p w14:paraId="2F6ABF8C">
            <w:pPr>
              <w:spacing w:line="0" w:lineRule="atLeast"/>
              <w:jc w:val="center"/>
              <w:rPr>
                <w:rFonts w:hint="eastAsia" w:ascii="宋体" w:hAnsi="宋体" w:eastAsia="宋体" w:cs="宋体"/>
                <w:color w:val="auto"/>
                <w:sz w:val="24"/>
                <w:szCs w:val="24"/>
                <w:highlight w:val="none"/>
              </w:rPr>
            </w:pPr>
          </w:p>
        </w:tc>
        <w:tc>
          <w:tcPr>
            <w:tcW w:w="1121" w:type="dxa"/>
            <w:tcBorders>
              <w:bottom w:val="single" w:color="auto" w:sz="8" w:space="0"/>
              <w:right w:val="single" w:color="auto" w:sz="8" w:space="0"/>
            </w:tcBorders>
            <w:noWrap w:val="0"/>
            <w:vAlign w:val="center"/>
          </w:tcPr>
          <w:p w14:paraId="086AC26B">
            <w:pPr>
              <w:spacing w:line="0" w:lineRule="atLeast"/>
              <w:jc w:val="center"/>
              <w:rPr>
                <w:rFonts w:hint="eastAsia" w:ascii="宋体" w:hAnsi="宋体" w:eastAsia="宋体" w:cs="宋体"/>
                <w:color w:val="auto"/>
                <w:sz w:val="24"/>
                <w:szCs w:val="24"/>
                <w:highlight w:val="none"/>
              </w:rPr>
            </w:pPr>
          </w:p>
        </w:tc>
        <w:tc>
          <w:tcPr>
            <w:tcW w:w="1401" w:type="dxa"/>
            <w:tcBorders>
              <w:bottom w:val="single" w:color="auto" w:sz="8" w:space="0"/>
              <w:right w:val="single" w:color="auto" w:sz="8" w:space="0"/>
            </w:tcBorders>
            <w:noWrap w:val="0"/>
            <w:vAlign w:val="center"/>
          </w:tcPr>
          <w:p w14:paraId="73B564EC">
            <w:pPr>
              <w:spacing w:line="0" w:lineRule="atLeast"/>
              <w:jc w:val="center"/>
              <w:rPr>
                <w:rFonts w:hint="eastAsia" w:ascii="宋体" w:hAnsi="宋体" w:eastAsia="宋体" w:cs="宋体"/>
                <w:color w:val="auto"/>
                <w:sz w:val="24"/>
                <w:szCs w:val="24"/>
                <w:highlight w:val="none"/>
              </w:rPr>
            </w:pPr>
          </w:p>
        </w:tc>
        <w:tc>
          <w:tcPr>
            <w:tcW w:w="1544" w:type="dxa"/>
            <w:tcBorders>
              <w:bottom w:val="single" w:color="auto" w:sz="8" w:space="0"/>
              <w:right w:val="single" w:color="auto" w:sz="8" w:space="0"/>
            </w:tcBorders>
            <w:noWrap w:val="0"/>
            <w:vAlign w:val="center"/>
          </w:tcPr>
          <w:p w14:paraId="376DEE19">
            <w:pPr>
              <w:spacing w:line="0" w:lineRule="atLeast"/>
              <w:jc w:val="center"/>
              <w:rPr>
                <w:rFonts w:hint="eastAsia" w:ascii="宋体" w:hAnsi="宋体" w:eastAsia="宋体" w:cs="宋体"/>
                <w:color w:val="auto"/>
                <w:sz w:val="24"/>
                <w:szCs w:val="24"/>
                <w:highlight w:val="none"/>
              </w:rPr>
            </w:pPr>
          </w:p>
        </w:tc>
        <w:tc>
          <w:tcPr>
            <w:tcW w:w="1401" w:type="dxa"/>
            <w:tcBorders>
              <w:bottom w:val="single" w:color="auto" w:sz="8" w:space="0"/>
              <w:right w:val="single" w:color="auto" w:sz="8" w:space="0"/>
            </w:tcBorders>
            <w:noWrap w:val="0"/>
            <w:vAlign w:val="center"/>
          </w:tcPr>
          <w:p w14:paraId="535D71AB">
            <w:pPr>
              <w:spacing w:line="0" w:lineRule="atLeast"/>
              <w:jc w:val="center"/>
              <w:rPr>
                <w:rFonts w:hint="eastAsia" w:ascii="宋体" w:hAnsi="宋体" w:eastAsia="宋体" w:cs="宋体"/>
                <w:color w:val="auto"/>
                <w:sz w:val="24"/>
                <w:szCs w:val="24"/>
                <w:highlight w:val="none"/>
              </w:rPr>
            </w:pPr>
          </w:p>
        </w:tc>
      </w:tr>
      <w:tr w14:paraId="42517EA5">
        <w:tblPrEx>
          <w:tblCellMar>
            <w:top w:w="0" w:type="dxa"/>
            <w:left w:w="0" w:type="dxa"/>
            <w:bottom w:w="0" w:type="dxa"/>
            <w:right w:w="0" w:type="dxa"/>
          </w:tblCellMar>
        </w:tblPrEx>
        <w:trPr>
          <w:trHeight w:val="506" w:hRule="atLeast"/>
        </w:trPr>
        <w:tc>
          <w:tcPr>
            <w:tcW w:w="1122" w:type="dxa"/>
            <w:tcBorders>
              <w:left w:val="single" w:color="auto" w:sz="8" w:space="0"/>
              <w:bottom w:val="single" w:color="auto" w:sz="8" w:space="0"/>
              <w:right w:val="single" w:color="auto" w:sz="8" w:space="0"/>
            </w:tcBorders>
            <w:noWrap w:val="0"/>
            <w:vAlign w:val="center"/>
          </w:tcPr>
          <w:p w14:paraId="485FB333">
            <w:pPr>
              <w:spacing w:line="0" w:lineRule="atLeast"/>
              <w:jc w:val="center"/>
              <w:rPr>
                <w:rFonts w:hint="eastAsia" w:ascii="宋体" w:hAnsi="宋体" w:eastAsia="宋体" w:cs="宋体"/>
                <w:color w:val="auto"/>
                <w:sz w:val="24"/>
                <w:szCs w:val="24"/>
                <w:highlight w:val="none"/>
              </w:rPr>
            </w:pPr>
          </w:p>
        </w:tc>
        <w:tc>
          <w:tcPr>
            <w:tcW w:w="1542" w:type="dxa"/>
            <w:tcBorders>
              <w:bottom w:val="single" w:color="auto" w:sz="8" w:space="0"/>
              <w:right w:val="single" w:color="auto" w:sz="8" w:space="0"/>
            </w:tcBorders>
            <w:noWrap w:val="0"/>
            <w:vAlign w:val="center"/>
          </w:tcPr>
          <w:p w14:paraId="41185346">
            <w:pPr>
              <w:spacing w:line="0" w:lineRule="atLeast"/>
              <w:jc w:val="center"/>
              <w:rPr>
                <w:rFonts w:hint="eastAsia" w:ascii="宋体" w:hAnsi="宋体" w:eastAsia="宋体" w:cs="宋体"/>
                <w:color w:val="auto"/>
                <w:sz w:val="24"/>
                <w:szCs w:val="24"/>
                <w:highlight w:val="none"/>
              </w:rPr>
            </w:pPr>
          </w:p>
        </w:tc>
        <w:tc>
          <w:tcPr>
            <w:tcW w:w="982" w:type="dxa"/>
            <w:tcBorders>
              <w:bottom w:val="single" w:color="auto" w:sz="8" w:space="0"/>
              <w:right w:val="single" w:color="auto" w:sz="8" w:space="0"/>
            </w:tcBorders>
            <w:noWrap w:val="0"/>
            <w:vAlign w:val="center"/>
          </w:tcPr>
          <w:p w14:paraId="27D4D72E">
            <w:pPr>
              <w:spacing w:line="0" w:lineRule="atLeast"/>
              <w:jc w:val="center"/>
              <w:rPr>
                <w:rFonts w:hint="eastAsia" w:ascii="宋体" w:hAnsi="宋体" w:eastAsia="宋体" w:cs="宋体"/>
                <w:color w:val="auto"/>
                <w:sz w:val="24"/>
                <w:szCs w:val="24"/>
                <w:highlight w:val="none"/>
              </w:rPr>
            </w:pPr>
          </w:p>
        </w:tc>
        <w:tc>
          <w:tcPr>
            <w:tcW w:w="1121" w:type="dxa"/>
            <w:tcBorders>
              <w:bottom w:val="single" w:color="auto" w:sz="8" w:space="0"/>
              <w:right w:val="single" w:color="auto" w:sz="8" w:space="0"/>
            </w:tcBorders>
            <w:noWrap w:val="0"/>
            <w:vAlign w:val="center"/>
          </w:tcPr>
          <w:p w14:paraId="00E25C95">
            <w:pPr>
              <w:spacing w:line="0" w:lineRule="atLeast"/>
              <w:jc w:val="center"/>
              <w:rPr>
                <w:rFonts w:hint="eastAsia" w:ascii="宋体" w:hAnsi="宋体" w:eastAsia="宋体" w:cs="宋体"/>
                <w:color w:val="auto"/>
                <w:sz w:val="24"/>
                <w:szCs w:val="24"/>
                <w:highlight w:val="none"/>
              </w:rPr>
            </w:pPr>
          </w:p>
        </w:tc>
        <w:tc>
          <w:tcPr>
            <w:tcW w:w="1401" w:type="dxa"/>
            <w:tcBorders>
              <w:bottom w:val="single" w:color="auto" w:sz="8" w:space="0"/>
              <w:right w:val="single" w:color="auto" w:sz="8" w:space="0"/>
            </w:tcBorders>
            <w:noWrap w:val="0"/>
            <w:vAlign w:val="center"/>
          </w:tcPr>
          <w:p w14:paraId="091BDBE0">
            <w:pPr>
              <w:spacing w:line="0" w:lineRule="atLeast"/>
              <w:jc w:val="center"/>
              <w:rPr>
                <w:rFonts w:hint="eastAsia" w:ascii="宋体" w:hAnsi="宋体" w:eastAsia="宋体" w:cs="宋体"/>
                <w:color w:val="auto"/>
                <w:sz w:val="24"/>
                <w:szCs w:val="24"/>
                <w:highlight w:val="none"/>
              </w:rPr>
            </w:pPr>
          </w:p>
        </w:tc>
        <w:tc>
          <w:tcPr>
            <w:tcW w:w="1544" w:type="dxa"/>
            <w:tcBorders>
              <w:bottom w:val="single" w:color="auto" w:sz="8" w:space="0"/>
              <w:right w:val="single" w:color="auto" w:sz="8" w:space="0"/>
            </w:tcBorders>
            <w:noWrap w:val="0"/>
            <w:vAlign w:val="center"/>
          </w:tcPr>
          <w:p w14:paraId="3D177166">
            <w:pPr>
              <w:spacing w:line="0" w:lineRule="atLeast"/>
              <w:jc w:val="center"/>
              <w:rPr>
                <w:rFonts w:hint="eastAsia" w:ascii="宋体" w:hAnsi="宋体" w:eastAsia="宋体" w:cs="宋体"/>
                <w:color w:val="auto"/>
                <w:sz w:val="24"/>
                <w:szCs w:val="24"/>
                <w:highlight w:val="none"/>
              </w:rPr>
            </w:pPr>
          </w:p>
        </w:tc>
        <w:tc>
          <w:tcPr>
            <w:tcW w:w="1401" w:type="dxa"/>
            <w:tcBorders>
              <w:bottom w:val="single" w:color="auto" w:sz="8" w:space="0"/>
              <w:right w:val="single" w:color="auto" w:sz="8" w:space="0"/>
            </w:tcBorders>
            <w:noWrap w:val="0"/>
            <w:vAlign w:val="center"/>
          </w:tcPr>
          <w:p w14:paraId="4980ECA5">
            <w:pPr>
              <w:spacing w:line="0" w:lineRule="atLeast"/>
              <w:jc w:val="center"/>
              <w:rPr>
                <w:rFonts w:hint="eastAsia" w:ascii="宋体" w:hAnsi="宋体" w:eastAsia="宋体" w:cs="宋体"/>
                <w:color w:val="auto"/>
                <w:sz w:val="24"/>
                <w:szCs w:val="24"/>
                <w:highlight w:val="none"/>
              </w:rPr>
            </w:pPr>
          </w:p>
        </w:tc>
      </w:tr>
      <w:tr w14:paraId="5023B633">
        <w:tblPrEx>
          <w:tblCellMar>
            <w:top w:w="0" w:type="dxa"/>
            <w:left w:w="0" w:type="dxa"/>
            <w:bottom w:w="0" w:type="dxa"/>
            <w:right w:w="0" w:type="dxa"/>
          </w:tblCellMar>
        </w:tblPrEx>
        <w:trPr>
          <w:trHeight w:val="506" w:hRule="atLeast"/>
        </w:trPr>
        <w:tc>
          <w:tcPr>
            <w:tcW w:w="1122" w:type="dxa"/>
            <w:tcBorders>
              <w:left w:val="single" w:color="auto" w:sz="8" w:space="0"/>
              <w:bottom w:val="single" w:color="auto" w:sz="8" w:space="0"/>
              <w:right w:val="single" w:color="auto" w:sz="8" w:space="0"/>
            </w:tcBorders>
            <w:noWrap w:val="0"/>
            <w:vAlign w:val="center"/>
          </w:tcPr>
          <w:p w14:paraId="343F8B56">
            <w:pPr>
              <w:spacing w:line="0" w:lineRule="atLeast"/>
              <w:jc w:val="center"/>
              <w:rPr>
                <w:rFonts w:hint="eastAsia" w:ascii="宋体" w:hAnsi="宋体" w:eastAsia="宋体" w:cs="宋体"/>
                <w:color w:val="auto"/>
                <w:sz w:val="24"/>
                <w:szCs w:val="24"/>
                <w:highlight w:val="none"/>
              </w:rPr>
            </w:pPr>
          </w:p>
        </w:tc>
        <w:tc>
          <w:tcPr>
            <w:tcW w:w="1542" w:type="dxa"/>
            <w:tcBorders>
              <w:bottom w:val="single" w:color="auto" w:sz="8" w:space="0"/>
              <w:right w:val="single" w:color="auto" w:sz="8" w:space="0"/>
            </w:tcBorders>
            <w:noWrap w:val="0"/>
            <w:vAlign w:val="center"/>
          </w:tcPr>
          <w:p w14:paraId="00DBA730">
            <w:pPr>
              <w:spacing w:line="0" w:lineRule="atLeast"/>
              <w:jc w:val="center"/>
              <w:rPr>
                <w:rFonts w:hint="eastAsia" w:ascii="宋体" w:hAnsi="宋体" w:eastAsia="宋体" w:cs="宋体"/>
                <w:color w:val="auto"/>
                <w:sz w:val="24"/>
                <w:szCs w:val="24"/>
                <w:highlight w:val="none"/>
              </w:rPr>
            </w:pPr>
          </w:p>
        </w:tc>
        <w:tc>
          <w:tcPr>
            <w:tcW w:w="982" w:type="dxa"/>
            <w:tcBorders>
              <w:bottom w:val="single" w:color="auto" w:sz="8" w:space="0"/>
              <w:right w:val="single" w:color="auto" w:sz="8" w:space="0"/>
            </w:tcBorders>
            <w:noWrap w:val="0"/>
            <w:vAlign w:val="center"/>
          </w:tcPr>
          <w:p w14:paraId="558CB60C">
            <w:pPr>
              <w:spacing w:line="0" w:lineRule="atLeast"/>
              <w:jc w:val="center"/>
              <w:rPr>
                <w:rFonts w:hint="eastAsia" w:ascii="宋体" w:hAnsi="宋体" w:eastAsia="宋体" w:cs="宋体"/>
                <w:color w:val="auto"/>
                <w:sz w:val="24"/>
                <w:szCs w:val="24"/>
                <w:highlight w:val="none"/>
              </w:rPr>
            </w:pPr>
          </w:p>
        </w:tc>
        <w:tc>
          <w:tcPr>
            <w:tcW w:w="1121" w:type="dxa"/>
            <w:tcBorders>
              <w:bottom w:val="single" w:color="auto" w:sz="8" w:space="0"/>
              <w:right w:val="single" w:color="auto" w:sz="8" w:space="0"/>
            </w:tcBorders>
            <w:noWrap w:val="0"/>
            <w:vAlign w:val="center"/>
          </w:tcPr>
          <w:p w14:paraId="54CFDA29">
            <w:pPr>
              <w:spacing w:line="0" w:lineRule="atLeast"/>
              <w:jc w:val="center"/>
              <w:rPr>
                <w:rFonts w:hint="eastAsia" w:ascii="宋体" w:hAnsi="宋体" w:eastAsia="宋体" w:cs="宋体"/>
                <w:color w:val="auto"/>
                <w:sz w:val="24"/>
                <w:szCs w:val="24"/>
                <w:highlight w:val="none"/>
              </w:rPr>
            </w:pPr>
          </w:p>
        </w:tc>
        <w:tc>
          <w:tcPr>
            <w:tcW w:w="1401" w:type="dxa"/>
            <w:tcBorders>
              <w:bottom w:val="single" w:color="auto" w:sz="8" w:space="0"/>
              <w:right w:val="single" w:color="auto" w:sz="8" w:space="0"/>
            </w:tcBorders>
            <w:noWrap w:val="0"/>
            <w:vAlign w:val="center"/>
          </w:tcPr>
          <w:p w14:paraId="70CC4182">
            <w:pPr>
              <w:spacing w:line="0" w:lineRule="atLeast"/>
              <w:jc w:val="center"/>
              <w:rPr>
                <w:rFonts w:hint="eastAsia" w:ascii="宋体" w:hAnsi="宋体" w:eastAsia="宋体" w:cs="宋体"/>
                <w:color w:val="auto"/>
                <w:sz w:val="24"/>
                <w:szCs w:val="24"/>
                <w:highlight w:val="none"/>
              </w:rPr>
            </w:pPr>
          </w:p>
        </w:tc>
        <w:tc>
          <w:tcPr>
            <w:tcW w:w="1544" w:type="dxa"/>
            <w:tcBorders>
              <w:bottom w:val="single" w:color="auto" w:sz="8" w:space="0"/>
              <w:right w:val="single" w:color="auto" w:sz="8" w:space="0"/>
            </w:tcBorders>
            <w:noWrap w:val="0"/>
            <w:vAlign w:val="center"/>
          </w:tcPr>
          <w:p w14:paraId="4D9F9DFC">
            <w:pPr>
              <w:spacing w:line="0" w:lineRule="atLeast"/>
              <w:jc w:val="center"/>
              <w:rPr>
                <w:rFonts w:hint="eastAsia" w:ascii="宋体" w:hAnsi="宋体" w:eastAsia="宋体" w:cs="宋体"/>
                <w:color w:val="auto"/>
                <w:sz w:val="24"/>
                <w:szCs w:val="24"/>
                <w:highlight w:val="none"/>
              </w:rPr>
            </w:pPr>
          </w:p>
        </w:tc>
        <w:tc>
          <w:tcPr>
            <w:tcW w:w="1401" w:type="dxa"/>
            <w:tcBorders>
              <w:bottom w:val="single" w:color="auto" w:sz="8" w:space="0"/>
              <w:right w:val="single" w:color="auto" w:sz="8" w:space="0"/>
            </w:tcBorders>
            <w:noWrap w:val="0"/>
            <w:vAlign w:val="center"/>
          </w:tcPr>
          <w:p w14:paraId="6667262C">
            <w:pPr>
              <w:spacing w:line="0" w:lineRule="atLeast"/>
              <w:jc w:val="center"/>
              <w:rPr>
                <w:rFonts w:hint="eastAsia" w:ascii="宋体" w:hAnsi="宋体" w:eastAsia="宋体" w:cs="宋体"/>
                <w:color w:val="auto"/>
                <w:sz w:val="24"/>
                <w:szCs w:val="24"/>
                <w:highlight w:val="none"/>
              </w:rPr>
            </w:pPr>
          </w:p>
        </w:tc>
      </w:tr>
      <w:tr w14:paraId="605FA572">
        <w:tblPrEx>
          <w:tblCellMar>
            <w:top w:w="0" w:type="dxa"/>
            <w:left w:w="0" w:type="dxa"/>
            <w:bottom w:w="0" w:type="dxa"/>
            <w:right w:w="0" w:type="dxa"/>
          </w:tblCellMar>
        </w:tblPrEx>
        <w:trPr>
          <w:trHeight w:val="506" w:hRule="atLeast"/>
        </w:trPr>
        <w:tc>
          <w:tcPr>
            <w:tcW w:w="1122" w:type="dxa"/>
            <w:tcBorders>
              <w:left w:val="single" w:color="auto" w:sz="8" w:space="0"/>
              <w:bottom w:val="single" w:color="auto" w:sz="8" w:space="0"/>
              <w:right w:val="single" w:color="auto" w:sz="8" w:space="0"/>
            </w:tcBorders>
            <w:noWrap w:val="0"/>
            <w:vAlign w:val="center"/>
          </w:tcPr>
          <w:p w14:paraId="78D9FB60">
            <w:pPr>
              <w:spacing w:line="0" w:lineRule="atLeast"/>
              <w:jc w:val="center"/>
              <w:rPr>
                <w:rFonts w:hint="eastAsia" w:ascii="宋体" w:hAnsi="宋体" w:eastAsia="宋体" w:cs="宋体"/>
                <w:color w:val="auto"/>
                <w:sz w:val="24"/>
                <w:szCs w:val="24"/>
                <w:highlight w:val="none"/>
              </w:rPr>
            </w:pPr>
          </w:p>
        </w:tc>
        <w:tc>
          <w:tcPr>
            <w:tcW w:w="1542" w:type="dxa"/>
            <w:tcBorders>
              <w:bottom w:val="single" w:color="auto" w:sz="8" w:space="0"/>
              <w:right w:val="single" w:color="auto" w:sz="8" w:space="0"/>
            </w:tcBorders>
            <w:noWrap w:val="0"/>
            <w:vAlign w:val="center"/>
          </w:tcPr>
          <w:p w14:paraId="1B72FFBE">
            <w:pPr>
              <w:spacing w:line="0" w:lineRule="atLeast"/>
              <w:jc w:val="center"/>
              <w:rPr>
                <w:rFonts w:hint="eastAsia" w:ascii="宋体" w:hAnsi="宋体" w:eastAsia="宋体" w:cs="宋体"/>
                <w:color w:val="auto"/>
                <w:sz w:val="24"/>
                <w:szCs w:val="24"/>
                <w:highlight w:val="none"/>
              </w:rPr>
            </w:pPr>
          </w:p>
        </w:tc>
        <w:tc>
          <w:tcPr>
            <w:tcW w:w="982" w:type="dxa"/>
            <w:tcBorders>
              <w:bottom w:val="single" w:color="auto" w:sz="8" w:space="0"/>
              <w:right w:val="single" w:color="auto" w:sz="8" w:space="0"/>
            </w:tcBorders>
            <w:noWrap w:val="0"/>
            <w:vAlign w:val="center"/>
          </w:tcPr>
          <w:p w14:paraId="1095E6AC">
            <w:pPr>
              <w:spacing w:line="0" w:lineRule="atLeast"/>
              <w:jc w:val="center"/>
              <w:rPr>
                <w:rFonts w:hint="eastAsia" w:ascii="宋体" w:hAnsi="宋体" w:eastAsia="宋体" w:cs="宋体"/>
                <w:color w:val="auto"/>
                <w:sz w:val="24"/>
                <w:szCs w:val="24"/>
                <w:highlight w:val="none"/>
              </w:rPr>
            </w:pPr>
          </w:p>
        </w:tc>
        <w:tc>
          <w:tcPr>
            <w:tcW w:w="1121" w:type="dxa"/>
            <w:tcBorders>
              <w:bottom w:val="single" w:color="auto" w:sz="8" w:space="0"/>
              <w:right w:val="single" w:color="auto" w:sz="8" w:space="0"/>
            </w:tcBorders>
            <w:noWrap w:val="0"/>
            <w:vAlign w:val="center"/>
          </w:tcPr>
          <w:p w14:paraId="482E2E64">
            <w:pPr>
              <w:spacing w:line="0" w:lineRule="atLeast"/>
              <w:jc w:val="center"/>
              <w:rPr>
                <w:rFonts w:hint="eastAsia" w:ascii="宋体" w:hAnsi="宋体" w:eastAsia="宋体" w:cs="宋体"/>
                <w:color w:val="auto"/>
                <w:sz w:val="24"/>
                <w:szCs w:val="24"/>
                <w:highlight w:val="none"/>
              </w:rPr>
            </w:pPr>
          </w:p>
        </w:tc>
        <w:tc>
          <w:tcPr>
            <w:tcW w:w="1401" w:type="dxa"/>
            <w:tcBorders>
              <w:bottom w:val="single" w:color="auto" w:sz="8" w:space="0"/>
              <w:right w:val="single" w:color="auto" w:sz="8" w:space="0"/>
            </w:tcBorders>
            <w:noWrap w:val="0"/>
            <w:vAlign w:val="center"/>
          </w:tcPr>
          <w:p w14:paraId="564B3931">
            <w:pPr>
              <w:spacing w:line="0" w:lineRule="atLeast"/>
              <w:jc w:val="center"/>
              <w:rPr>
                <w:rFonts w:hint="eastAsia" w:ascii="宋体" w:hAnsi="宋体" w:eastAsia="宋体" w:cs="宋体"/>
                <w:color w:val="auto"/>
                <w:sz w:val="24"/>
                <w:szCs w:val="24"/>
                <w:highlight w:val="none"/>
              </w:rPr>
            </w:pPr>
          </w:p>
        </w:tc>
        <w:tc>
          <w:tcPr>
            <w:tcW w:w="1544" w:type="dxa"/>
            <w:tcBorders>
              <w:bottom w:val="single" w:color="auto" w:sz="8" w:space="0"/>
              <w:right w:val="single" w:color="auto" w:sz="8" w:space="0"/>
            </w:tcBorders>
            <w:noWrap w:val="0"/>
            <w:vAlign w:val="center"/>
          </w:tcPr>
          <w:p w14:paraId="65A1A607">
            <w:pPr>
              <w:spacing w:line="0" w:lineRule="atLeast"/>
              <w:jc w:val="center"/>
              <w:rPr>
                <w:rFonts w:hint="eastAsia" w:ascii="宋体" w:hAnsi="宋体" w:eastAsia="宋体" w:cs="宋体"/>
                <w:color w:val="auto"/>
                <w:sz w:val="24"/>
                <w:szCs w:val="24"/>
                <w:highlight w:val="none"/>
              </w:rPr>
            </w:pPr>
          </w:p>
        </w:tc>
        <w:tc>
          <w:tcPr>
            <w:tcW w:w="1401" w:type="dxa"/>
            <w:tcBorders>
              <w:bottom w:val="single" w:color="auto" w:sz="8" w:space="0"/>
              <w:right w:val="single" w:color="auto" w:sz="8" w:space="0"/>
            </w:tcBorders>
            <w:noWrap w:val="0"/>
            <w:vAlign w:val="center"/>
          </w:tcPr>
          <w:p w14:paraId="4FCE0D93">
            <w:pPr>
              <w:spacing w:line="0" w:lineRule="atLeast"/>
              <w:jc w:val="center"/>
              <w:rPr>
                <w:rFonts w:hint="eastAsia" w:ascii="宋体" w:hAnsi="宋体" w:eastAsia="宋体" w:cs="宋体"/>
                <w:color w:val="auto"/>
                <w:sz w:val="24"/>
                <w:szCs w:val="24"/>
                <w:highlight w:val="none"/>
              </w:rPr>
            </w:pPr>
          </w:p>
        </w:tc>
      </w:tr>
      <w:tr w14:paraId="56B79D1F">
        <w:tblPrEx>
          <w:tblCellMar>
            <w:top w:w="0" w:type="dxa"/>
            <w:left w:w="0" w:type="dxa"/>
            <w:bottom w:w="0" w:type="dxa"/>
            <w:right w:w="0" w:type="dxa"/>
          </w:tblCellMar>
        </w:tblPrEx>
        <w:trPr>
          <w:trHeight w:val="506" w:hRule="atLeast"/>
        </w:trPr>
        <w:tc>
          <w:tcPr>
            <w:tcW w:w="1122" w:type="dxa"/>
            <w:tcBorders>
              <w:left w:val="single" w:color="auto" w:sz="8" w:space="0"/>
              <w:bottom w:val="single" w:color="auto" w:sz="8" w:space="0"/>
              <w:right w:val="single" w:color="auto" w:sz="8" w:space="0"/>
            </w:tcBorders>
            <w:noWrap w:val="0"/>
            <w:vAlign w:val="center"/>
          </w:tcPr>
          <w:p w14:paraId="4948E460">
            <w:pPr>
              <w:spacing w:line="0" w:lineRule="atLeast"/>
              <w:jc w:val="center"/>
              <w:rPr>
                <w:rFonts w:hint="eastAsia" w:ascii="宋体" w:hAnsi="宋体" w:eastAsia="宋体" w:cs="宋体"/>
                <w:color w:val="auto"/>
                <w:sz w:val="24"/>
                <w:szCs w:val="24"/>
                <w:highlight w:val="none"/>
              </w:rPr>
            </w:pPr>
          </w:p>
        </w:tc>
        <w:tc>
          <w:tcPr>
            <w:tcW w:w="1542" w:type="dxa"/>
            <w:tcBorders>
              <w:bottom w:val="single" w:color="auto" w:sz="8" w:space="0"/>
              <w:right w:val="single" w:color="auto" w:sz="8" w:space="0"/>
            </w:tcBorders>
            <w:noWrap w:val="0"/>
            <w:vAlign w:val="center"/>
          </w:tcPr>
          <w:p w14:paraId="0B46A468">
            <w:pPr>
              <w:spacing w:line="0" w:lineRule="atLeast"/>
              <w:jc w:val="center"/>
              <w:rPr>
                <w:rFonts w:hint="eastAsia" w:ascii="宋体" w:hAnsi="宋体" w:eastAsia="宋体" w:cs="宋体"/>
                <w:color w:val="auto"/>
                <w:sz w:val="24"/>
                <w:szCs w:val="24"/>
                <w:highlight w:val="none"/>
              </w:rPr>
            </w:pPr>
          </w:p>
        </w:tc>
        <w:tc>
          <w:tcPr>
            <w:tcW w:w="982" w:type="dxa"/>
            <w:tcBorders>
              <w:bottom w:val="single" w:color="auto" w:sz="8" w:space="0"/>
              <w:right w:val="single" w:color="auto" w:sz="8" w:space="0"/>
            </w:tcBorders>
            <w:noWrap w:val="0"/>
            <w:vAlign w:val="center"/>
          </w:tcPr>
          <w:p w14:paraId="6796733F">
            <w:pPr>
              <w:spacing w:line="0" w:lineRule="atLeast"/>
              <w:jc w:val="center"/>
              <w:rPr>
                <w:rFonts w:hint="eastAsia" w:ascii="宋体" w:hAnsi="宋体" w:eastAsia="宋体" w:cs="宋体"/>
                <w:color w:val="auto"/>
                <w:sz w:val="24"/>
                <w:szCs w:val="24"/>
                <w:highlight w:val="none"/>
              </w:rPr>
            </w:pPr>
          </w:p>
        </w:tc>
        <w:tc>
          <w:tcPr>
            <w:tcW w:w="1121" w:type="dxa"/>
            <w:tcBorders>
              <w:bottom w:val="single" w:color="auto" w:sz="8" w:space="0"/>
              <w:right w:val="single" w:color="auto" w:sz="8" w:space="0"/>
            </w:tcBorders>
            <w:noWrap w:val="0"/>
            <w:vAlign w:val="center"/>
          </w:tcPr>
          <w:p w14:paraId="4B0E4044">
            <w:pPr>
              <w:spacing w:line="0" w:lineRule="atLeast"/>
              <w:jc w:val="center"/>
              <w:rPr>
                <w:rFonts w:hint="eastAsia" w:ascii="宋体" w:hAnsi="宋体" w:eastAsia="宋体" w:cs="宋体"/>
                <w:color w:val="auto"/>
                <w:sz w:val="24"/>
                <w:szCs w:val="24"/>
                <w:highlight w:val="none"/>
              </w:rPr>
            </w:pPr>
          </w:p>
        </w:tc>
        <w:tc>
          <w:tcPr>
            <w:tcW w:w="1401" w:type="dxa"/>
            <w:tcBorders>
              <w:bottom w:val="single" w:color="auto" w:sz="8" w:space="0"/>
              <w:right w:val="single" w:color="auto" w:sz="8" w:space="0"/>
            </w:tcBorders>
            <w:noWrap w:val="0"/>
            <w:vAlign w:val="center"/>
          </w:tcPr>
          <w:p w14:paraId="28F45F55">
            <w:pPr>
              <w:spacing w:line="0" w:lineRule="atLeast"/>
              <w:jc w:val="center"/>
              <w:rPr>
                <w:rFonts w:hint="eastAsia" w:ascii="宋体" w:hAnsi="宋体" w:eastAsia="宋体" w:cs="宋体"/>
                <w:color w:val="auto"/>
                <w:sz w:val="24"/>
                <w:szCs w:val="24"/>
                <w:highlight w:val="none"/>
              </w:rPr>
            </w:pPr>
          </w:p>
        </w:tc>
        <w:tc>
          <w:tcPr>
            <w:tcW w:w="1544" w:type="dxa"/>
            <w:tcBorders>
              <w:bottom w:val="single" w:color="auto" w:sz="8" w:space="0"/>
              <w:right w:val="single" w:color="auto" w:sz="8" w:space="0"/>
            </w:tcBorders>
            <w:noWrap w:val="0"/>
            <w:vAlign w:val="center"/>
          </w:tcPr>
          <w:p w14:paraId="6D5823B5">
            <w:pPr>
              <w:spacing w:line="0" w:lineRule="atLeast"/>
              <w:jc w:val="center"/>
              <w:rPr>
                <w:rFonts w:hint="eastAsia" w:ascii="宋体" w:hAnsi="宋体" w:eastAsia="宋体" w:cs="宋体"/>
                <w:color w:val="auto"/>
                <w:sz w:val="24"/>
                <w:szCs w:val="24"/>
                <w:highlight w:val="none"/>
              </w:rPr>
            </w:pPr>
          </w:p>
        </w:tc>
        <w:tc>
          <w:tcPr>
            <w:tcW w:w="1401" w:type="dxa"/>
            <w:tcBorders>
              <w:bottom w:val="single" w:color="auto" w:sz="8" w:space="0"/>
              <w:right w:val="single" w:color="auto" w:sz="8" w:space="0"/>
            </w:tcBorders>
            <w:noWrap w:val="0"/>
            <w:vAlign w:val="center"/>
          </w:tcPr>
          <w:p w14:paraId="3B9D4C9F">
            <w:pPr>
              <w:spacing w:line="0" w:lineRule="atLeast"/>
              <w:jc w:val="center"/>
              <w:rPr>
                <w:rFonts w:hint="eastAsia" w:ascii="宋体" w:hAnsi="宋体" w:eastAsia="宋体" w:cs="宋体"/>
                <w:color w:val="auto"/>
                <w:sz w:val="24"/>
                <w:szCs w:val="24"/>
                <w:highlight w:val="none"/>
              </w:rPr>
            </w:pPr>
          </w:p>
        </w:tc>
      </w:tr>
    </w:tbl>
    <w:p w14:paraId="487703D4">
      <w:pPr>
        <w:pStyle w:val="7"/>
        <w:keepNext w:val="0"/>
        <w:tabs>
          <w:tab w:val="left" w:pos="540"/>
        </w:tabs>
        <w:jc w:val="both"/>
        <w:outlineLvl w:val="9"/>
        <w:rPr>
          <w:rFonts w:hint="eastAsia" w:ascii="仿宋" w:hAnsi="仿宋" w:eastAsia="仿宋" w:cs="仿宋"/>
          <w:bCs w:val="0"/>
          <w:color w:val="auto"/>
          <w:sz w:val="28"/>
          <w:szCs w:val="28"/>
          <w:highlight w:val="none"/>
        </w:rPr>
      </w:pPr>
    </w:p>
    <w:p w14:paraId="58AF94B3">
      <w:pPr>
        <w:pStyle w:val="7"/>
        <w:keepNext w:val="0"/>
        <w:tabs>
          <w:tab w:val="left" w:pos="540"/>
        </w:tabs>
        <w:jc w:val="both"/>
        <w:outlineLvl w:val="9"/>
        <w:rPr>
          <w:rFonts w:hint="eastAsia" w:ascii="仿宋" w:hAnsi="仿宋" w:eastAsia="仿宋" w:cs="仿宋"/>
          <w:bCs w:val="0"/>
          <w:color w:val="auto"/>
          <w:sz w:val="28"/>
          <w:szCs w:val="28"/>
          <w:highlight w:val="none"/>
        </w:rPr>
      </w:pPr>
    </w:p>
    <w:p w14:paraId="253A088E">
      <w:pPr>
        <w:pStyle w:val="7"/>
        <w:keepNext w:val="0"/>
        <w:tabs>
          <w:tab w:val="left" w:pos="540"/>
        </w:tabs>
        <w:jc w:val="both"/>
        <w:outlineLvl w:val="9"/>
        <w:rPr>
          <w:rFonts w:hint="eastAsia" w:ascii="仿宋" w:hAnsi="仿宋" w:eastAsia="仿宋" w:cs="仿宋"/>
          <w:bCs w:val="0"/>
          <w:color w:val="auto"/>
          <w:sz w:val="28"/>
          <w:szCs w:val="28"/>
          <w:highlight w:val="none"/>
        </w:rPr>
      </w:pPr>
    </w:p>
    <w:p w14:paraId="7CDCBD44">
      <w:pPr>
        <w:pStyle w:val="7"/>
        <w:keepNext w:val="0"/>
        <w:tabs>
          <w:tab w:val="left" w:pos="540"/>
        </w:tabs>
        <w:outlineLvl w:val="9"/>
        <w:rPr>
          <w:rFonts w:hint="eastAsia" w:ascii="仿宋" w:hAnsi="仿宋" w:eastAsia="仿宋" w:cs="仿宋"/>
          <w:bCs w:val="0"/>
          <w:color w:val="auto"/>
          <w:sz w:val="28"/>
          <w:szCs w:val="28"/>
          <w:highlight w:val="none"/>
        </w:rPr>
      </w:pPr>
    </w:p>
    <w:p w14:paraId="439F75C8">
      <w:pPr>
        <w:pStyle w:val="7"/>
        <w:keepNext w:val="0"/>
        <w:tabs>
          <w:tab w:val="left" w:pos="540"/>
        </w:tabs>
        <w:outlineLvl w:val="9"/>
        <w:rPr>
          <w:rFonts w:hint="eastAsia" w:ascii="仿宋" w:hAnsi="仿宋" w:eastAsia="仿宋" w:cs="仿宋"/>
          <w:bCs w:val="0"/>
          <w:color w:val="auto"/>
          <w:sz w:val="28"/>
          <w:szCs w:val="28"/>
          <w:highlight w:val="none"/>
        </w:rPr>
      </w:pPr>
    </w:p>
    <w:p w14:paraId="49790F36">
      <w:pPr>
        <w:pStyle w:val="7"/>
        <w:keepNext w:val="0"/>
        <w:tabs>
          <w:tab w:val="left" w:pos="540"/>
        </w:tabs>
        <w:outlineLvl w:val="9"/>
        <w:rPr>
          <w:rFonts w:hint="eastAsia" w:ascii="仿宋" w:hAnsi="仿宋" w:eastAsia="仿宋" w:cs="仿宋"/>
          <w:bCs w:val="0"/>
          <w:color w:val="auto"/>
          <w:sz w:val="28"/>
          <w:szCs w:val="28"/>
          <w:highlight w:val="none"/>
        </w:rPr>
      </w:pPr>
    </w:p>
    <w:p w14:paraId="534C8D22">
      <w:pPr>
        <w:pStyle w:val="7"/>
        <w:keepNext w:val="0"/>
        <w:tabs>
          <w:tab w:val="left" w:pos="540"/>
        </w:tabs>
        <w:outlineLvl w:val="9"/>
        <w:rPr>
          <w:rFonts w:ascii="仿宋" w:hAnsi="仿宋" w:eastAsia="仿宋" w:cs="仿宋"/>
          <w:bCs w:val="0"/>
          <w:color w:val="auto"/>
          <w:sz w:val="28"/>
          <w:szCs w:val="28"/>
          <w:highlight w:val="none"/>
        </w:rPr>
      </w:pPr>
    </w:p>
    <w:p w14:paraId="64DCE525">
      <w:pPr>
        <w:rPr>
          <w:rFonts w:hint="eastAsia"/>
          <w:color w:val="auto"/>
          <w:highlight w:val="none"/>
        </w:rPr>
      </w:pPr>
    </w:p>
    <w:p w14:paraId="542F288E">
      <w:pPr>
        <w:pStyle w:val="7"/>
        <w:keepNext w:val="0"/>
        <w:tabs>
          <w:tab w:val="left" w:pos="540"/>
        </w:tabs>
        <w:jc w:val="both"/>
        <w:outlineLvl w:val="9"/>
        <w:rPr>
          <w:rFonts w:hint="eastAsia" w:ascii="仿宋" w:hAnsi="仿宋" w:eastAsia="仿宋" w:cs="仿宋"/>
          <w:bCs w:val="0"/>
          <w:color w:val="auto"/>
          <w:sz w:val="28"/>
          <w:szCs w:val="28"/>
          <w:highlight w:val="none"/>
        </w:rPr>
      </w:pPr>
    </w:p>
    <w:p w14:paraId="4EA93CCC">
      <w:pPr>
        <w:rPr>
          <w:rFonts w:hint="eastAsia" w:ascii="仿宋" w:hAnsi="仿宋" w:eastAsia="仿宋" w:cs="仿宋"/>
          <w:bCs w:val="0"/>
          <w:color w:val="auto"/>
          <w:sz w:val="28"/>
          <w:szCs w:val="28"/>
          <w:highlight w:val="none"/>
        </w:rPr>
      </w:pPr>
    </w:p>
    <w:p w14:paraId="74E4D3C2">
      <w:pPr>
        <w:pStyle w:val="6"/>
        <w:outlineLvl w:val="9"/>
        <w:rPr>
          <w:rFonts w:hint="eastAsia" w:ascii="仿宋" w:hAnsi="仿宋" w:eastAsia="仿宋" w:cs="仿宋"/>
          <w:bCs w:val="0"/>
          <w:color w:val="auto"/>
          <w:sz w:val="28"/>
          <w:szCs w:val="28"/>
          <w:highlight w:val="none"/>
        </w:rPr>
      </w:pPr>
    </w:p>
    <w:p w14:paraId="49E91450">
      <w:pPr>
        <w:rPr>
          <w:rFonts w:hint="eastAsia" w:ascii="仿宋" w:hAnsi="仿宋" w:eastAsia="仿宋" w:cs="仿宋"/>
          <w:bCs w:val="0"/>
          <w:color w:val="auto"/>
          <w:sz w:val="28"/>
          <w:szCs w:val="28"/>
          <w:highlight w:val="none"/>
        </w:rPr>
      </w:pPr>
    </w:p>
    <w:p w14:paraId="26E02D2A">
      <w:pPr>
        <w:spacing w:line="0" w:lineRule="atLeast"/>
        <w:jc w:val="both"/>
        <w:rPr>
          <w:rFonts w:hint="eastAsia" w:ascii="仿宋" w:hAnsi="仿宋" w:eastAsia="仿宋" w:cs="仿宋"/>
          <w:color w:val="auto"/>
          <w:szCs w:val="21"/>
          <w:highlight w:val="none"/>
        </w:rPr>
        <w:sectPr>
          <w:type w:val="continuous"/>
          <w:pgSz w:w="11905" w:h="16838"/>
          <w:pgMar w:top="1327" w:right="1406" w:bottom="1327" w:left="1406" w:header="850" w:footer="992" w:gutter="0"/>
          <w:pgBorders>
            <w:top w:val="none" w:sz="0" w:space="0"/>
            <w:left w:val="none" w:sz="0" w:space="0"/>
            <w:bottom w:val="none" w:sz="0" w:space="0"/>
            <w:right w:val="none" w:sz="0" w:space="0"/>
          </w:pgBorders>
          <w:pgNumType w:fmt="decimal"/>
          <w:cols w:space="720" w:num="1"/>
          <w:titlePg/>
          <w:docGrid w:type="lines" w:linePitch="315" w:charSpace="0"/>
        </w:sectPr>
      </w:pPr>
    </w:p>
    <w:p w14:paraId="75FB6FD0">
      <w:pPr>
        <w:pStyle w:val="83"/>
        <w:numPr>
          <w:ilvl w:val="0"/>
          <w:numId w:val="0"/>
        </w:numPr>
        <w:jc w:val="center"/>
        <w:outlineLvl w:val="2"/>
        <w:rPr>
          <w:rFonts w:hint="eastAsia"/>
        </w:rPr>
      </w:pPr>
      <w:bookmarkStart w:id="102" w:name="_Toc11842"/>
      <w:bookmarkStart w:id="103" w:name="_Toc63519689"/>
      <w:bookmarkStart w:id="104" w:name="_Toc10059"/>
      <w:r>
        <w:rPr>
          <w:rFonts w:hint="eastAsia" w:ascii="宋体" w:hAnsi="宋体" w:eastAsia="宋体" w:cs="宋体"/>
          <w:b/>
          <w:bCs w:val="0"/>
          <w:color w:val="auto"/>
          <w:kern w:val="2"/>
          <w:sz w:val="28"/>
          <w:szCs w:val="28"/>
          <w:highlight w:val="none"/>
          <w:lang w:val="en-US" w:eastAsia="zh-CN" w:bidi="ar-SA"/>
        </w:rPr>
        <w:t>七、</w:t>
      </w:r>
      <w:bookmarkStart w:id="105" w:name="_Toc16093"/>
      <w:bookmarkStart w:id="106" w:name="_Toc18423"/>
      <w:bookmarkStart w:id="107" w:name="_Toc27516"/>
      <w:r>
        <w:rPr>
          <w:rFonts w:hint="eastAsia"/>
        </w:rPr>
        <w:t>承担过类似项目业绩表</w:t>
      </w:r>
      <w:bookmarkEnd w:id="105"/>
      <w:bookmarkEnd w:id="106"/>
      <w:bookmarkEnd w:id="107"/>
    </w:p>
    <w:p w14:paraId="0043BAE1">
      <w:pPr>
        <w:pStyle w:val="84"/>
        <w:adjustRightInd w:val="0"/>
        <w:snapToGrid w:val="0"/>
        <w:spacing w:line="500" w:lineRule="exact"/>
        <w:rPr>
          <w:rFonts w:hint="default" w:ascii="宋体" w:hAnsi="宋体" w:eastAsia="等线"/>
          <w:sz w:val="24"/>
          <w:szCs w:val="24"/>
          <w:lang w:val="en-US" w:eastAsia="zh-CN"/>
        </w:rPr>
      </w:pPr>
      <w:r>
        <w:rPr>
          <w:rFonts w:hint="eastAsia" w:ascii="宋体" w:hAnsi="宋体"/>
          <w:sz w:val="24"/>
          <w:szCs w:val="24"/>
        </w:rPr>
        <w:t>附：类似项目业绩表</w:t>
      </w:r>
    </w:p>
    <w:p w14:paraId="19587518">
      <w:pPr>
        <w:pStyle w:val="84"/>
        <w:adjustRightInd w:val="0"/>
        <w:snapToGrid w:val="0"/>
        <w:spacing w:line="500" w:lineRule="exact"/>
        <w:rPr>
          <w:rFonts w:hint="eastAsia" w:ascii="宋体" w:hAnsi="宋体"/>
          <w:sz w:val="24"/>
          <w:szCs w:val="24"/>
        </w:rPr>
      </w:pPr>
    </w:p>
    <w:tbl>
      <w:tblPr>
        <w:tblStyle w:val="2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200"/>
      </w:tblGrid>
      <w:tr w14:paraId="5865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14:paraId="301F8319">
            <w:pPr>
              <w:pStyle w:val="84"/>
              <w:jc w:val="center"/>
              <w:rPr>
                <w:rFonts w:ascii="宋体" w:hAnsi="宋体"/>
                <w:sz w:val="24"/>
                <w:szCs w:val="24"/>
              </w:rPr>
            </w:pPr>
            <w:r>
              <w:rPr>
                <w:rFonts w:hint="eastAsia" w:ascii="宋体" w:hAnsi="宋体"/>
                <w:sz w:val="24"/>
                <w:szCs w:val="24"/>
              </w:rPr>
              <w:t>项目名称</w:t>
            </w:r>
          </w:p>
        </w:tc>
        <w:tc>
          <w:tcPr>
            <w:tcW w:w="7200" w:type="dxa"/>
            <w:noWrap w:val="0"/>
            <w:vAlign w:val="top"/>
          </w:tcPr>
          <w:p w14:paraId="23F02AD2">
            <w:pPr>
              <w:pStyle w:val="84"/>
              <w:tabs>
                <w:tab w:val="left" w:pos="2265"/>
              </w:tabs>
              <w:rPr>
                <w:rFonts w:ascii="宋体" w:hAnsi="宋体"/>
                <w:sz w:val="24"/>
                <w:szCs w:val="24"/>
              </w:rPr>
            </w:pPr>
            <w:r>
              <w:rPr>
                <w:rFonts w:ascii="宋体" w:hAnsi="宋体"/>
                <w:sz w:val="24"/>
                <w:szCs w:val="24"/>
              </w:rPr>
              <w:tab/>
            </w:r>
          </w:p>
        </w:tc>
      </w:tr>
      <w:tr w14:paraId="3D68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14:paraId="0C80B0BA">
            <w:pPr>
              <w:pStyle w:val="84"/>
              <w:jc w:val="center"/>
              <w:rPr>
                <w:rFonts w:ascii="宋体" w:hAnsi="宋体"/>
                <w:sz w:val="24"/>
                <w:szCs w:val="24"/>
              </w:rPr>
            </w:pPr>
            <w:r>
              <w:rPr>
                <w:rFonts w:hint="eastAsia" w:ascii="宋体" w:hAnsi="宋体"/>
                <w:sz w:val="24"/>
                <w:szCs w:val="24"/>
              </w:rPr>
              <w:t>项目单位名称</w:t>
            </w:r>
          </w:p>
        </w:tc>
        <w:tc>
          <w:tcPr>
            <w:tcW w:w="7200" w:type="dxa"/>
            <w:noWrap w:val="0"/>
            <w:vAlign w:val="top"/>
          </w:tcPr>
          <w:p w14:paraId="5A6DC01D">
            <w:pPr>
              <w:pStyle w:val="84"/>
              <w:jc w:val="center"/>
              <w:rPr>
                <w:rFonts w:ascii="宋体" w:hAnsi="宋体"/>
                <w:sz w:val="24"/>
                <w:szCs w:val="24"/>
              </w:rPr>
            </w:pPr>
          </w:p>
        </w:tc>
      </w:tr>
      <w:tr w14:paraId="0D8F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14:paraId="3A9E0BDB">
            <w:pPr>
              <w:pStyle w:val="84"/>
              <w:jc w:val="center"/>
              <w:rPr>
                <w:rFonts w:ascii="宋体" w:hAnsi="宋体"/>
                <w:sz w:val="24"/>
                <w:szCs w:val="24"/>
              </w:rPr>
            </w:pPr>
            <w:r>
              <w:rPr>
                <w:rFonts w:hint="eastAsia" w:ascii="宋体" w:hAnsi="宋体"/>
                <w:sz w:val="24"/>
                <w:szCs w:val="24"/>
              </w:rPr>
              <w:t>项目单位联系人姓名及联系方式</w:t>
            </w:r>
          </w:p>
        </w:tc>
        <w:tc>
          <w:tcPr>
            <w:tcW w:w="7200" w:type="dxa"/>
            <w:noWrap w:val="0"/>
            <w:vAlign w:val="top"/>
          </w:tcPr>
          <w:p w14:paraId="336E70EA">
            <w:pPr>
              <w:pStyle w:val="84"/>
              <w:jc w:val="center"/>
              <w:rPr>
                <w:rFonts w:ascii="宋体" w:hAnsi="宋体"/>
                <w:sz w:val="24"/>
                <w:szCs w:val="24"/>
              </w:rPr>
            </w:pPr>
          </w:p>
        </w:tc>
      </w:tr>
      <w:tr w14:paraId="0FCE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14:paraId="12CEDBA9">
            <w:pPr>
              <w:pStyle w:val="84"/>
              <w:jc w:val="center"/>
              <w:rPr>
                <w:rFonts w:ascii="宋体" w:hAnsi="宋体"/>
                <w:sz w:val="24"/>
                <w:szCs w:val="24"/>
              </w:rPr>
            </w:pPr>
            <w:r>
              <w:rPr>
                <w:rFonts w:hint="eastAsia" w:ascii="宋体" w:hAnsi="宋体"/>
                <w:sz w:val="24"/>
                <w:szCs w:val="24"/>
              </w:rPr>
              <w:t>合同金额</w:t>
            </w:r>
          </w:p>
        </w:tc>
        <w:tc>
          <w:tcPr>
            <w:tcW w:w="7200" w:type="dxa"/>
            <w:noWrap w:val="0"/>
            <w:vAlign w:val="top"/>
          </w:tcPr>
          <w:p w14:paraId="52E413AC">
            <w:pPr>
              <w:pStyle w:val="84"/>
              <w:jc w:val="center"/>
              <w:rPr>
                <w:rFonts w:ascii="宋体" w:hAnsi="宋体"/>
                <w:sz w:val="24"/>
                <w:szCs w:val="24"/>
              </w:rPr>
            </w:pPr>
          </w:p>
        </w:tc>
      </w:tr>
      <w:tr w14:paraId="52C8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noWrap w:val="0"/>
            <w:vAlign w:val="center"/>
          </w:tcPr>
          <w:p w14:paraId="200F3EC5">
            <w:pPr>
              <w:pStyle w:val="84"/>
              <w:jc w:val="center"/>
              <w:rPr>
                <w:rFonts w:ascii="宋体" w:hAnsi="宋体"/>
                <w:sz w:val="24"/>
                <w:szCs w:val="24"/>
              </w:rPr>
            </w:pPr>
            <w:r>
              <w:rPr>
                <w:rFonts w:hint="eastAsia" w:ascii="宋体" w:hAnsi="宋体"/>
                <w:sz w:val="24"/>
                <w:szCs w:val="24"/>
              </w:rPr>
              <w:t>项目负责人</w:t>
            </w:r>
          </w:p>
          <w:p w14:paraId="2ED82D66">
            <w:pPr>
              <w:pStyle w:val="84"/>
              <w:jc w:val="center"/>
              <w:rPr>
                <w:rFonts w:ascii="宋体" w:hAnsi="宋体"/>
                <w:sz w:val="24"/>
                <w:szCs w:val="24"/>
              </w:rPr>
            </w:pPr>
            <w:r>
              <w:rPr>
                <w:rFonts w:hint="eastAsia" w:ascii="宋体" w:hAnsi="宋体"/>
                <w:sz w:val="24"/>
                <w:szCs w:val="24"/>
              </w:rPr>
              <w:t>姓名</w:t>
            </w:r>
          </w:p>
        </w:tc>
        <w:tc>
          <w:tcPr>
            <w:tcW w:w="7200" w:type="dxa"/>
            <w:noWrap w:val="0"/>
            <w:vAlign w:val="top"/>
          </w:tcPr>
          <w:p w14:paraId="189CED2D">
            <w:pPr>
              <w:pStyle w:val="84"/>
              <w:jc w:val="center"/>
              <w:rPr>
                <w:rFonts w:ascii="宋体" w:hAnsi="宋体"/>
                <w:sz w:val="24"/>
                <w:szCs w:val="24"/>
              </w:rPr>
            </w:pPr>
          </w:p>
        </w:tc>
      </w:tr>
      <w:tr w14:paraId="485F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noWrap w:val="0"/>
            <w:vAlign w:val="center"/>
          </w:tcPr>
          <w:p w14:paraId="5FEFF7AA">
            <w:pPr>
              <w:pStyle w:val="84"/>
              <w:jc w:val="center"/>
              <w:rPr>
                <w:rFonts w:ascii="宋体" w:hAnsi="宋体"/>
                <w:sz w:val="24"/>
                <w:szCs w:val="24"/>
              </w:rPr>
            </w:pPr>
            <w:r>
              <w:rPr>
                <w:rFonts w:hint="eastAsia" w:ascii="宋体" w:hAnsi="宋体"/>
                <w:sz w:val="24"/>
                <w:szCs w:val="24"/>
              </w:rPr>
              <w:t>项目实施时间</w:t>
            </w:r>
          </w:p>
        </w:tc>
        <w:tc>
          <w:tcPr>
            <w:tcW w:w="7200" w:type="dxa"/>
            <w:noWrap w:val="0"/>
            <w:vAlign w:val="top"/>
          </w:tcPr>
          <w:p w14:paraId="4399B01B">
            <w:pPr>
              <w:pStyle w:val="84"/>
              <w:jc w:val="center"/>
              <w:rPr>
                <w:rFonts w:ascii="宋体" w:hAnsi="宋体"/>
                <w:sz w:val="24"/>
                <w:szCs w:val="24"/>
              </w:rPr>
            </w:pPr>
          </w:p>
        </w:tc>
      </w:tr>
      <w:tr w14:paraId="0F6F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14:paraId="754ABDF1">
            <w:pPr>
              <w:pStyle w:val="84"/>
              <w:jc w:val="center"/>
              <w:rPr>
                <w:rFonts w:ascii="宋体" w:hAnsi="宋体"/>
                <w:sz w:val="24"/>
                <w:szCs w:val="24"/>
              </w:rPr>
            </w:pPr>
            <w:r>
              <w:rPr>
                <w:rFonts w:hint="eastAsia" w:ascii="宋体" w:hAnsi="宋体"/>
                <w:sz w:val="24"/>
                <w:szCs w:val="24"/>
              </w:rPr>
              <w:t>项目内容说明</w:t>
            </w:r>
          </w:p>
        </w:tc>
        <w:tc>
          <w:tcPr>
            <w:tcW w:w="7200" w:type="dxa"/>
            <w:noWrap w:val="0"/>
            <w:vAlign w:val="top"/>
          </w:tcPr>
          <w:p w14:paraId="01A9267B">
            <w:pPr>
              <w:pStyle w:val="84"/>
              <w:jc w:val="center"/>
              <w:rPr>
                <w:rFonts w:ascii="宋体" w:hAnsi="宋体"/>
                <w:sz w:val="24"/>
                <w:szCs w:val="24"/>
              </w:rPr>
            </w:pPr>
          </w:p>
        </w:tc>
      </w:tr>
    </w:tbl>
    <w:p w14:paraId="57733B82">
      <w:pPr>
        <w:pStyle w:val="84"/>
        <w:spacing w:line="360" w:lineRule="auto"/>
        <w:ind w:firstLine="720" w:firstLineChars="300"/>
        <w:rPr>
          <w:rFonts w:hint="default" w:ascii="宋体" w:hAnsi="宋体" w:eastAsia="等线"/>
          <w:sz w:val="24"/>
          <w:szCs w:val="24"/>
          <w:lang w:val="en-US" w:eastAsia="zh-CN"/>
        </w:rPr>
      </w:pPr>
      <w:r>
        <w:rPr>
          <w:rFonts w:hint="eastAsia" w:ascii="宋体" w:hAnsi="宋体"/>
          <w:sz w:val="24"/>
          <w:szCs w:val="24"/>
        </w:rPr>
        <w:t>说明：提供中标/成交通知书及合同扫描件（包含首页、合同标的、合同金额、签订时间等关键页必须清晰可见）</w:t>
      </w:r>
      <w:r>
        <w:rPr>
          <w:rFonts w:hint="eastAsia" w:ascii="宋体" w:hAnsi="宋体"/>
          <w:sz w:val="24"/>
          <w:szCs w:val="24"/>
          <w:lang w:eastAsia="zh-CN"/>
        </w:rPr>
        <w:t>，</w:t>
      </w:r>
      <w:r>
        <w:rPr>
          <w:rFonts w:hint="eastAsia" w:ascii="宋体" w:hAnsi="宋体"/>
          <w:sz w:val="24"/>
          <w:szCs w:val="24"/>
          <w:lang w:val="en-US" w:eastAsia="zh-CN"/>
        </w:rPr>
        <w:t>以合同签订日期为准。</w:t>
      </w:r>
    </w:p>
    <w:p w14:paraId="07BF557C">
      <w:pPr>
        <w:pStyle w:val="84"/>
        <w:adjustRightInd w:val="0"/>
        <w:snapToGrid w:val="0"/>
        <w:spacing w:line="500" w:lineRule="exact"/>
        <w:rPr>
          <w:rFonts w:hint="eastAsia" w:ascii="宋体" w:hAnsi="宋体"/>
          <w:sz w:val="24"/>
          <w:szCs w:val="24"/>
          <w:lang w:eastAsia="zh-CN"/>
        </w:rPr>
      </w:pPr>
    </w:p>
    <w:p w14:paraId="6BB02C67">
      <w:pPr>
        <w:pStyle w:val="84"/>
        <w:adjustRightInd w:val="0"/>
        <w:snapToGrid w:val="0"/>
        <w:spacing w:line="500" w:lineRule="exact"/>
        <w:ind w:firstLine="5520" w:firstLineChars="2300"/>
        <w:jc w:val="both"/>
        <w:rPr>
          <w:rFonts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eastAsia="宋体" w:cs="Times New Roman"/>
          <w:sz w:val="24"/>
          <w:szCs w:val="24"/>
          <w:lang w:val="en-US" w:eastAsia="zh-CN"/>
        </w:rPr>
        <w:t>盖章</w:t>
      </w:r>
      <w:r>
        <w:rPr>
          <w:rFonts w:hint="eastAsia" w:ascii="宋体" w:hAnsi="宋体"/>
          <w:sz w:val="24"/>
          <w:szCs w:val="24"/>
        </w:rPr>
        <w:t>）：</w:t>
      </w:r>
    </w:p>
    <w:p w14:paraId="765AB124">
      <w:pPr>
        <w:numPr>
          <w:ilvl w:val="0"/>
          <w:numId w:val="0"/>
        </w:numPr>
        <w:ind w:leftChars="0" w:firstLine="7200" w:firstLineChars="3000"/>
        <w:jc w:val="both"/>
        <w:rPr>
          <w:rFonts w:hint="eastAsia" w:ascii="宋体" w:hAnsi="宋体"/>
          <w:sz w:val="24"/>
          <w:szCs w:val="24"/>
        </w:rPr>
      </w:pPr>
      <w:r>
        <w:rPr>
          <w:rFonts w:hint="eastAsia" w:ascii="宋体" w:hAnsi="宋体"/>
          <w:sz w:val="24"/>
          <w:szCs w:val="24"/>
        </w:rPr>
        <w:t>日期：年 月 日</w:t>
      </w:r>
    </w:p>
    <w:p w14:paraId="194B619F">
      <w:pPr>
        <w:numPr>
          <w:ilvl w:val="0"/>
          <w:numId w:val="0"/>
        </w:numPr>
        <w:ind w:leftChars="0" w:firstLine="1920" w:firstLineChars="800"/>
        <w:jc w:val="both"/>
        <w:rPr>
          <w:rFonts w:hint="eastAsia" w:ascii="宋体" w:hAnsi="宋体"/>
          <w:sz w:val="24"/>
          <w:szCs w:val="24"/>
        </w:rPr>
      </w:pPr>
    </w:p>
    <w:p w14:paraId="7C54CAB4">
      <w:pPr>
        <w:numPr>
          <w:ilvl w:val="0"/>
          <w:numId w:val="0"/>
        </w:numPr>
        <w:ind w:leftChars="0" w:firstLine="1920" w:firstLineChars="800"/>
        <w:jc w:val="both"/>
        <w:rPr>
          <w:rFonts w:hint="eastAsia" w:ascii="宋体" w:hAnsi="宋体"/>
          <w:sz w:val="24"/>
          <w:szCs w:val="24"/>
        </w:rPr>
      </w:pPr>
    </w:p>
    <w:p w14:paraId="741DDDFC">
      <w:pPr>
        <w:numPr>
          <w:ilvl w:val="0"/>
          <w:numId w:val="0"/>
        </w:numPr>
        <w:ind w:leftChars="0" w:firstLine="1920" w:firstLineChars="800"/>
        <w:jc w:val="both"/>
        <w:rPr>
          <w:rFonts w:hint="eastAsia" w:ascii="宋体" w:hAnsi="宋体"/>
          <w:sz w:val="24"/>
          <w:szCs w:val="24"/>
        </w:rPr>
      </w:pPr>
    </w:p>
    <w:p w14:paraId="777F618B">
      <w:pPr>
        <w:numPr>
          <w:ilvl w:val="0"/>
          <w:numId w:val="0"/>
        </w:numPr>
        <w:ind w:leftChars="0" w:firstLine="1920" w:firstLineChars="800"/>
        <w:jc w:val="both"/>
        <w:rPr>
          <w:rFonts w:hint="eastAsia" w:ascii="宋体" w:hAnsi="宋体"/>
          <w:sz w:val="24"/>
          <w:szCs w:val="24"/>
        </w:rPr>
      </w:pPr>
    </w:p>
    <w:p w14:paraId="6FEB11EC">
      <w:pPr>
        <w:numPr>
          <w:ilvl w:val="0"/>
          <w:numId w:val="0"/>
        </w:numPr>
        <w:ind w:leftChars="0" w:firstLine="1920" w:firstLineChars="800"/>
        <w:jc w:val="both"/>
        <w:rPr>
          <w:rFonts w:hint="eastAsia" w:ascii="宋体" w:hAnsi="宋体"/>
          <w:sz w:val="24"/>
          <w:szCs w:val="24"/>
        </w:rPr>
      </w:pPr>
    </w:p>
    <w:p w14:paraId="6CCF502B">
      <w:pPr>
        <w:numPr>
          <w:ilvl w:val="0"/>
          <w:numId w:val="0"/>
        </w:numPr>
        <w:ind w:leftChars="0" w:firstLine="1920" w:firstLineChars="800"/>
        <w:jc w:val="both"/>
        <w:rPr>
          <w:rFonts w:hint="eastAsia" w:ascii="宋体" w:hAnsi="宋体"/>
          <w:sz w:val="24"/>
          <w:szCs w:val="24"/>
        </w:rPr>
      </w:pPr>
    </w:p>
    <w:p w14:paraId="5FED9D61">
      <w:pPr>
        <w:numPr>
          <w:ilvl w:val="0"/>
          <w:numId w:val="0"/>
        </w:numPr>
        <w:ind w:leftChars="0" w:firstLine="1920" w:firstLineChars="800"/>
        <w:jc w:val="both"/>
        <w:rPr>
          <w:rFonts w:hint="eastAsia" w:ascii="宋体" w:hAnsi="宋体"/>
          <w:sz w:val="24"/>
          <w:szCs w:val="24"/>
        </w:rPr>
      </w:pPr>
    </w:p>
    <w:p w14:paraId="042CD18A">
      <w:pPr>
        <w:numPr>
          <w:ilvl w:val="0"/>
          <w:numId w:val="0"/>
        </w:numPr>
        <w:ind w:leftChars="0" w:firstLine="1920" w:firstLineChars="800"/>
        <w:jc w:val="both"/>
        <w:rPr>
          <w:rFonts w:hint="eastAsia" w:ascii="宋体" w:hAnsi="宋体"/>
          <w:sz w:val="24"/>
          <w:szCs w:val="24"/>
        </w:rPr>
      </w:pPr>
    </w:p>
    <w:p w14:paraId="0E649F14">
      <w:pPr>
        <w:numPr>
          <w:ilvl w:val="0"/>
          <w:numId w:val="0"/>
        </w:numPr>
        <w:ind w:leftChars="0" w:firstLine="1920" w:firstLineChars="800"/>
        <w:jc w:val="both"/>
        <w:rPr>
          <w:rFonts w:hint="eastAsia" w:ascii="宋体" w:hAnsi="宋体"/>
          <w:sz w:val="24"/>
          <w:szCs w:val="24"/>
        </w:rPr>
      </w:pPr>
    </w:p>
    <w:p w14:paraId="74CC40C4">
      <w:pPr>
        <w:numPr>
          <w:ilvl w:val="0"/>
          <w:numId w:val="0"/>
        </w:numPr>
        <w:ind w:leftChars="0" w:firstLine="1920" w:firstLineChars="800"/>
        <w:jc w:val="both"/>
        <w:rPr>
          <w:rFonts w:hint="eastAsia" w:ascii="宋体" w:hAnsi="宋体"/>
          <w:sz w:val="24"/>
          <w:szCs w:val="24"/>
        </w:rPr>
      </w:pPr>
    </w:p>
    <w:p w14:paraId="45AC9092">
      <w:pPr>
        <w:numPr>
          <w:ilvl w:val="0"/>
          <w:numId w:val="0"/>
        </w:numPr>
        <w:ind w:leftChars="0" w:firstLine="1920" w:firstLineChars="800"/>
        <w:jc w:val="both"/>
        <w:rPr>
          <w:rFonts w:hint="eastAsia" w:ascii="宋体" w:hAnsi="宋体"/>
          <w:sz w:val="24"/>
          <w:szCs w:val="24"/>
        </w:rPr>
      </w:pPr>
    </w:p>
    <w:p w14:paraId="69275F59">
      <w:pPr>
        <w:numPr>
          <w:ilvl w:val="0"/>
          <w:numId w:val="0"/>
        </w:numPr>
        <w:ind w:leftChars="0" w:firstLine="1920" w:firstLineChars="800"/>
        <w:jc w:val="both"/>
        <w:rPr>
          <w:rFonts w:hint="eastAsia" w:ascii="宋体" w:hAnsi="宋体"/>
          <w:sz w:val="24"/>
          <w:szCs w:val="24"/>
        </w:rPr>
      </w:pPr>
    </w:p>
    <w:p w14:paraId="17E1C0E4">
      <w:pPr>
        <w:numPr>
          <w:ilvl w:val="0"/>
          <w:numId w:val="0"/>
        </w:numPr>
        <w:ind w:leftChars="0" w:firstLine="1920" w:firstLineChars="800"/>
        <w:jc w:val="both"/>
        <w:rPr>
          <w:rFonts w:hint="eastAsia" w:ascii="宋体" w:hAnsi="宋体"/>
          <w:sz w:val="24"/>
          <w:szCs w:val="24"/>
        </w:rPr>
      </w:pPr>
    </w:p>
    <w:p w14:paraId="135D653F">
      <w:pPr>
        <w:numPr>
          <w:ilvl w:val="0"/>
          <w:numId w:val="0"/>
        </w:numPr>
        <w:ind w:leftChars="0" w:firstLine="1920" w:firstLineChars="800"/>
        <w:jc w:val="both"/>
        <w:rPr>
          <w:rFonts w:hint="eastAsia" w:ascii="宋体" w:hAnsi="宋体"/>
          <w:sz w:val="24"/>
          <w:szCs w:val="24"/>
        </w:rPr>
      </w:pPr>
    </w:p>
    <w:p w14:paraId="3030602E">
      <w:pPr>
        <w:numPr>
          <w:ilvl w:val="0"/>
          <w:numId w:val="0"/>
        </w:numPr>
        <w:ind w:leftChars="0" w:firstLine="1928" w:firstLineChars="800"/>
        <w:jc w:val="both"/>
        <w:rPr>
          <w:rFonts w:hint="eastAsia" w:ascii="宋体" w:hAnsi="宋体" w:eastAsia="宋体" w:cs="宋体"/>
          <w:b/>
          <w:bCs w:val="0"/>
          <w:color w:val="auto"/>
          <w:kern w:val="2"/>
          <w:sz w:val="28"/>
          <w:szCs w:val="28"/>
          <w:highlight w:val="none"/>
          <w:lang w:val="en-US" w:eastAsia="zh-CN" w:bidi="ar-SA"/>
        </w:rPr>
      </w:pPr>
      <w:r>
        <w:rPr>
          <w:rFonts w:hint="eastAsia" w:ascii="宋体" w:hAnsi="宋体" w:cs="Times New Roman"/>
          <w:b/>
          <w:bCs/>
          <w:sz w:val="24"/>
          <w:szCs w:val="24"/>
          <w:lang w:val="en-US" w:eastAsia="zh-CN"/>
        </w:rPr>
        <w:t>八、</w:t>
      </w:r>
      <w:r>
        <w:rPr>
          <w:rFonts w:hint="eastAsia" w:ascii="宋体" w:hAnsi="宋体" w:eastAsia="宋体" w:cs="宋体"/>
          <w:b/>
          <w:bCs w:val="0"/>
          <w:color w:val="auto"/>
          <w:kern w:val="2"/>
          <w:sz w:val="28"/>
          <w:szCs w:val="28"/>
          <w:highlight w:val="none"/>
          <w:lang w:val="en-US" w:eastAsia="zh-CN" w:bidi="ar-SA"/>
        </w:rPr>
        <w:t>商务、技术条款偏离表</w:t>
      </w:r>
    </w:p>
    <w:p w14:paraId="3975CAC8">
      <w:pPr>
        <w:numPr>
          <w:ilvl w:val="0"/>
          <w:numId w:val="0"/>
        </w:numPr>
        <w:ind w:leftChars="0" w:firstLine="240" w:firstLineChars="100"/>
        <w:rPr>
          <w:rFonts w:hint="eastAsia" w:ascii="宋体" w:hAnsi="宋体" w:eastAsia="宋体" w:cs="宋体"/>
          <w:color w:val="auto"/>
          <w:sz w:val="24"/>
          <w:szCs w:val="24"/>
          <w:highlight w:val="none"/>
          <w:u w:val="single"/>
          <w:lang w:val="en-US"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3678"/>
        <w:gridCol w:w="2307"/>
        <w:gridCol w:w="2307"/>
      </w:tblGrid>
      <w:tr w14:paraId="2AE9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946" w:type="dxa"/>
            <w:vAlign w:val="center"/>
          </w:tcPr>
          <w:p w14:paraId="569B7CD8">
            <w:pPr>
              <w:spacing w:line="274"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3678" w:type="dxa"/>
            <w:vAlign w:val="center"/>
          </w:tcPr>
          <w:p w14:paraId="25EEFE17">
            <w:pPr>
              <w:spacing w:line="274"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招标文件章节及具体内容</w:t>
            </w:r>
          </w:p>
        </w:tc>
        <w:tc>
          <w:tcPr>
            <w:tcW w:w="2307" w:type="dxa"/>
            <w:vAlign w:val="center"/>
          </w:tcPr>
          <w:p w14:paraId="4EDF4E1E">
            <w:pPr>
              <w:spacing w:line="274"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投标文件章节及具体内容</w:t>
            </w:r>
          </w:p>
        </w:tc>
        <w:tc>
          <w:tcPr>
            <w:tcW w:w="2307" w:type="dxa"/>
            <w:vAlign w:val="center"/>
          </w:tcPr>
          <w:p w14:paraId="713AEECB">
            <w:pPr>
              <w:spacing w:line="274"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偏离说明</w:t>
            </w:r>
          </w:p>
        </w:tc>
      </w:tr>
      <w:tr w14:paraId="00C8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46" w:type="dxa"/>
            <w:vAlign w:val="center"/>
          </w:tcPr>
          <w:p w14:paraId="5258D500">
            <w:pPr>
              <w:spacing w:line="274"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678" w:type="dxa"/>
            <w:vAlign w:val="center"/>
          </w:tcPr>
          <w:p w14:paraId="7E12C2FA">
            <w:pPr>
              <w:spacing w:line="274" w:lineRule="exact"/>
              <w:jc w:val="center"/>
              <w:rPr>
                <w:rFonts w:hint="eastAsia" w:ascii="宋体" w:hAnsi="宋体" w:eastAsia="宋体" w:cs="宋体"/>
                <w:color w:val="auto"/>
                <w:sz w:val="24"/>
                <w:szCs w:val="24"/>
                <w:highlight w:val="none"/>
                <w:lang w:val="en-US" w:eastAsia="zh-CN"/>
              </w:rPr>
            </w:pPr>
          </w:p>
        </w:tc>
        <w:tc>
          <w:tcPr>
            <w:tcW w:w="2307" w:type="dxa"/>
            <w:vAlign w:val="center"/>
          </w:tcPr>
          <w:p w14:paraId="388A8881">
            <w:pPr>
              <w:spacing w:line="274" w:lineRule="exact"/>
              <w:jc w:val="center"/>
              <w:rPr>
                <w:rFonts w:hint="eastAsia" w:ascii="宋体" w:hAnsi="宋体" w:eastAsia="宋体" w:cs="宋体"/>
                <w:color w:val="auto"/>
                <w:sz w:val="24"/>
                <w:szCs w:val="24"/>
                <w:highlight w:val="none"/>
                <w:lang w:val="en-US" w:eastAsia="zh-CN"/>
              </w:rPr>
            </w:pPr>
          </w:p>
        </w:tc>
        <w:tc>
          <w:tcPr>
            <w:tcW w:w="2307" w:type="dxa"/>
            <w:vAlign w:val="center"/>
          </w:tcPr>
          <w:p w14:paraId="3FE1357B">
            <w:pPr>
              <w:spacing w:line="274" w:lineRule="exact"/>
              <w:jc w:val="center"/>
              <w:rPr>
                <w:rFonts w:hint="eastAsia" w:ascii="宋体" w:hAnsi="宋体" w:eastAsia="宋体" w:cs="宋体"/>
                <w:color w:val="auto"/>
                <w:sz w:val="24"/>
                <w:szCs w:val="24"/>
                <w:highlight w:val="none"/>
                <w:lang w:val="en-US" w:eastAsia="zh-CN"/>
              </w:rPr>
            </w:pPr>
          </w:p>
        </w:tc>
      </w:tr>
      <w:tr w14:paraId="417E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946" w:type="dxa"/>
            <w:vAlign w:val="center"/>
          </w:tcPr>
          <w:p w14:paraId="6D390B64">
            <w:pPr>
              <w:spacing w:line="274"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678" w:type="dxa"/>
            <w:vAlign w:val="center"/>
          </w:tcPr>
          <w:p w14:paraId="7CBF49AA">
            <w:pPr>
              <w:spacing w:line="274" w:lineRule="exact"/>
              <w:jc w:val="center"/>
              <w:rPr>
                <w:rFonts w:hint="eastAsia" w:ascii="宋体" w:hAnsi="宋体" w:eastAsia="宋体" w:cs="宋体"/>
                <w:color w:val="auto"/>
                <w:sz w:val="24"/>
                <w:szCs w:val="24"/>
                <w:highlight w:val="none"/>
                <w:lang w:val="en-US" w:eastAsia="zh-CN"/>
              </w:rPr>
            </w:pPr>
          </w:p>
        </w:tc>
        <w:tc>
          <w:tcPr>
            <w:tcW w:w="2307" w:type="dxa"/>
            <w:vAlign w:val="center"/>
          </w:tcPr>
          <w:p w14:paraId="1AF31851">
            <w:pPr>
              <w:spacing w:line="274" w:lineRule="exact"/>
              <w:jc w:val="center"/>
              <w:rPr>
                <w:rFonts w:hint="eastAsia" w:ascii="宋体" w:hAnsi="宋体" w:eastAsia="宋体" w:cs="宋体"/>
                <w:color w:val="auto"/>
                <w:sz w:val="24"/>
                <w:szCs w:val="24"/>
                <w:highlight w:val="none"/>
                <w:lang w:val="en-US" w:eastAsia="zh-CN"/>
              </w:rPr>
            </w:pPr>
          </w:p>
        </w:tc>
        <w:tc>
          <w:tcPr>
            <w:tcW w:w="2307" w:type="dxa"/>
            <w:vAlign w:val="center"/>
          </w:tcPr>
          <w:p w14:paraId="77DD5301">
            <w:pPr>
              <w:spacing w:line="274" w:lineRule="exact"/>
              <w:jc w:val="center"/>
              <w:rPr>
                <w:rFonts w:hint="eastAsia" w:ascii="宋体" w:hAnsi="宋体" w:eastAsia="宋体" w:cs="宋体"/>
                <w:color w:val="auto"/>
                <w:sz w:val="24"/>
                <w:szCs w:val="24"/>
                <w:highlight w:val="none"/>
                <w:lang w:val="en-US" w:eastAsia="zh-CN"/>
              </w:rPr>
            </w:pPr>
          </w:p>
        </w:tc>
      </w:tr>
      <w:tr w14:paraId="443B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46" w:type="dxa"/>
            <w:vAlign w:val="center"/>
          </w:tcPr>
          <w:p w14:paraId="0006271A">
            <w:pPr>
              <w:spacing w:line="274"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3678" w:type="dxa"/>
            <w:vAlign w:val="center"/>
          </w:tcPr>
          <w:p w14:paraId="2A486AF1">
            <w:pPr>
              <w:spacing w:line="274" w:lineRule="exact"/>
              <w:jc w:val="center"/>
              <w:rPr>
                <w:rFonts w:hint="eastAsia" w:ascii="宋体" w:hAnsi="宋体" w:eastAsia="宋体" w:cs="宋体"/>
                <w:color w:val="auto"/>
                <w:sz w:val="24"/>
                <w:szCs w:val="24"/>
                <w:highlight w:val="none"/>
                <w:lang w:val="en-US" w:eastAsia="zh-CN"/>
              </w:rPr>
            </w:pPr>
          </w:p>
        </w:tc>
        <w:tc>
          <w:tcPr>
            <w:tcW w:w="2307" w:type="dxa"/>
            <w:vAlign w:val="center"/>
          </w:tcPr>
          <w:p w14:paraId="39F06962">
            <w:pPr>
              <w:spacing w:line="274" w:lineRule="exact"/>
              <w:jc w:val="center"/>
              <w:rPr>
                <w:rFonts w:hint="eastAsia" w:ascii="宋体" w:hAnsi="宋体" w:eastAsia="宋体" w:cs="宋体"/>
                <w:color w:val="auto"/>
                <w:sz w:val="24"/>
                <w:szCs w:val="24"/>
                <w:highlight w:val="none"/>
                <w:lang w:val="en-US" w:eastAsia="zh-CN"/>
              </w:rPr>
            </w:pPr>
          </w:p>
        </w:tc>
        <w:tc>
          <w:tcPr>
            <w:tcW w:w="2307" w:type="dxa"/>
            <w:vAlign w:val="center"/>
          </w:tcPr>
          <w:p w14:paraId="5322270C">
            <w:pPr>
              <w:spacing w:line="274" w:lineRule="exact"/>
              <w:jc w:val="center"/>
              <w:rPr>
                <w:rFonts w:hint="eastAsia" w:ascii="宋体" w:hAnsi="宋体" w:eastAsia="宋体" w:cs="宋体"/>
                <w:color w:val="auto"/>
                <w:sz w:val="24"/>
                <w:szCs w:val="24"/>
                <w:highlight w:val="none"/>
                <w:lang w:val="en-US" w:eastAsia="zh-CN"/>
              </w:rPr>
            </w:pPr>
          </w:p>
        </w:tc>
      </w:tr>
    </w:tbl>
    <w:p w14:paraId="5E2172A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投标人保证：除商务技术偏离表列出的偏离外，投标人响应招标文件的全部要求。 </w:t>
      </w:r>
    </w:p>
    <w:p w14:paraId="4B2F41E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注：按本格式和要求提供。</w:t>
      </w:r>
    </w:p>
    <w:p w14:paraId="2C7570EF">
      <w:pPr>
        <w:spacing w:line="620" w:lineRule="exact"/>
        <w:ind w:firstLine="630" w:firstLineChars="196"/>
        <w:jc w:val="center"/>
        <w:outlineLvl w:val="0"/>
        <w:rPr>
          <w:rFonts w:hint="eastAsia" w:ascii="宋体" w:hAnsi="宋体" w:eastAsia="宋体" w:cs="宋体"/>
          <w:b/>
          <w:bCs w:val="0"/>
          <w:color w:val="auto"/>
          <w:kern w:val="2"/>
          <w:sz w:val="32"/>
          <w:szCs w:val="32"/>
          <w:highlight w:val="none"/>
          <w:lang w:val="en-US" w:eastAsia="zh-CN" w:bidi="ar-SA"/>
        </w:rPr>
      </w:pPr>
    </w:p>
    <w:p w14:paraId="65CA9418">
      <w:pPr>
        <w:spacing w:line="620" w:lineRule="exact"/>
        <w:ind w:firstLine="630" w:firstLineChars="196"/>
        <w:jc w:val="center"/>
        <w:outlineLvl w:val="0"/>
        <w:rPr>
          <w:rFonts w:hint="eastAsia" w:ascii="宋体" w:hAnsi="宋体" w:eastAsia="宋体" w:cs="宋体"/>
          <w:b/>
          <w:bCs w:val="0"/>
          <w:color w:val="auto"/>
          <w:kern w:val="2"/>
          <w:sz w:val="32"/>
          <w:szCs w:val="32"/>
          <w:highlight w:val="none"/>
          <w:lang w:val="en-US" w:eastAsia="zh-CN" w:bidi="ar-SA"/>
        </w:rPr>
      </w:pPr>
    </w:p>
    <w:p w14:paraId="37E68C92">
      <w:pPr>
        <w:spacing w:line="620" w:lineRule="exact"/>
        <w:ind w:firstLine="630" w:firstLineChars="196"/>
        <w:jc w:val="center"/>
        <w:outlineLvl w:val="0"/>
        <w:rPr>
          <w:rFonts w:hint="eastAsia" w:ascii="宋体" w:hAnsi="宋体" w:eastAsia="宋体" w:cs="宋体"/>
          <w:b/>
          <w:bCs w:val="0"/>
          <w:color w:val="auto"/>
          <w:kern w:val="2"/>
          <w:sz w:val="32"/>
          <w:szCs w:val="32"/>
          <w:highlight w:val="none"/>
          <w:lang w:val="en-US" w:eastAsia="zh-CN" w:bidi="ar-SA"/>
        </w:rPr>
      </w:pPr>
    </w:p>
    <w:p w14:paraId="52EDBFB6">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投标单位（</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lang w:val="en-US" w:eastAsia="zh-CN"/>
        </w:rPr>
        <w:t xml:space="preserve">）： </w:t>
      </w:r>
    </w:p>
    <w:p w14:paraId="25AA42B8">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p>
    <w:p w14:paraId="2BD3F1D0">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887E88D">
      <w:pPr>
        <w:spacing w:line="620" w:lineRule="exact"/>
        <w:ind w:firstLine="630" w:firstLineChars="196"/>
        <w:jc w:val="center"/>
        <w:outlineLvl w:val="0"/>
        <w:rPr>
          <w:rFonts w:hint="eastAsia" w:ascii="宋体" w:hAnsi="宋体" w:eastAsia="宋体" w:cs="宋体"/>
          <w:b/>
          <w:bCs w:val="0"/>
          <w:color w:val="auto"/>
          <w:kern w:val="2"/>
          <w:sz w:val="32"/>
          <w:szCs w:val="32"/>
          <w:highlight w:val="none"/>
          <w:lang w:val="en-US" w:eastAsia="zh-CN" w:bidi="ar-SA"/>
        </w:rPr>
      </w:pPr>
    </w:p>
    <w:p w14:paraId="02B77900">
      <w:pPr>
        <w:pStyle w:val="37"/>
        <w:rPr>
          <w:rFonts w:hint="eastAsia" w:ascii="宋体" w:hAnsi="宋体" w:eastAsia="宋体" w:cs="宋体"/>
          <w:b/>
          <w:bCs w:val="0"/>
          <w:color w:val="auto"/>
          <w:kern w:val="2"/>
          <w:sz w:val="32"/>
          <w:szCs w:val="32"/>
          <w:highlight w:val="none"/>
          <w:lang w:val="en-US" w:eastAsia="zh-CN" w:bidi="ar-SA"/>
        </w:rPr>
      </w:pPr>
    </w:p>
    <w:p w14:paraId="0B9218CD">
      <w:pPr>
        <w:pStyle w:val="37"/>
        <w:rPr>
          <w:rFonts w:hint="eastAsia" w:ascii="宋体" w:hAnsi="宋体" w:eastAsia="宋体" w:cs="宋体"/>
          <w:b/>
          <w:bCs w:val="0"/>
          <w:color w:val="auto"/>
          <w:kern w:val="2"/>
          <w:sz w:val="32"/>
          <w:szCs w:val="32"/>
          <w:highlight w:val="none"/>
          <w:lang w:val="en-US" w:eastAsia="zh-CN" w:bidi="ar-SA"/>
        </w:rPr>
      </w:pPr>
    </w:p>
    <w:p w14:paraId="41C88AD0">
      <w:pPr>
        <w:pStyle w:val="37"/>
        <w:rPr>
          <w:rFonts w:hint="eastAsia" w:ascii="宋体" w:hAnsi="宋体" w:eastAsia="宋体" w:cs="宋体"/>
          <w:b/>
          <w:bCs w:val="0"/>
          <w:color w:val="auto"/>
          <w:kern w:val="2"/>
          <w:sz w:val="32"/>
          <w:szCs w:val="32"/>
          <w:highlight w:val="none"/>
          <w:lang w:val="en-US" w:eastAsia="zh-CN" w:bidi="ar-SA"/>
        </w:rPr>
      </w:pPr>
    </w:p>
    <w:p w14:paraId="0210FEC0">
      <w:pPr>
        <w:pStyle w:val="37"/>
        <w:rPr>
          <w:rFonts w:hint="eastAsia" w:ascii="宋体" w:hAnsi="宋体" w:eastAsia="宋体" w:cs="宋体"/>
          <w:b/>
          <w:bCs w:val="0"/>
          <w:color w:val="auto"/>
          <w:kern w:val="2"/>
          <w:sz w:val="32"/>
          <w:szCs w:val="32"/>
          <w:highlight w:val="none"/>
          <w:lang w:val="en-US" w:eastAsia="zh-CN" w:bidi="ar-SA"/>
        </w:rPr>
      </w:pPr>
    </w:p>
    <w:p w14:paraId="27BE2B6D">
      <w:pPr>
        <w:pStyle w:val="37"/>
        <w:rPr>
          <w:rFonts w:hint="eastAsia" w:ascii="宋体" w:hAnsi="宋体" w:eastAsia="宋体" w:cs="宋体"/>
          <w:b/>
          <w:bCs w:val="0"/>
          <w:color w:val="auto"/>
          <w:kern w:val="2"/>
          <w:sz w:val="32"/>
          <w:szCs w:val="32"/>
          <w:highlight w:val="none"/>
          <w:lang w:val="en-US" w:eastAsia="zh-CN" w:bidi="ar-SA"/>
        </w:rPr>
      </w:pPr>
    </w:p>
    <w:p w14:paraId="48B9EFC9">
      <w:pPr>
        <w:pStyle w:val="81"/>
        <w:jc w:val="center"/>
        <w:outlineLvl w:val="2"/>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九、</w:t>
      </w:r>
      <w:bookmarkEnd w:id="102"/>
      <w:bookmarkEnd w:id="103"/>
      <w:r>
        <w:rPr>
          <w:rFonts w:hint="eastAsia" w:ascii="宋体" w:hAnsi="宋体" w:eastAsia="宋体" w:cs="宋体"/>
          <w:b/>
          <w:bCs w:val="0"/>
          <w:color w:val="auto"/>
          <w:kern w:val="2"/>
          <w:sz w:val="28"/>
          <w:szCs w:val="28"/>
          <w:highlight w:val="none"/>
          <w:lang w:val="en-US" w:eastAsia="zh-CN" w:bidi="ar-SA"/>
        </w:rPr>
        <w:t>中小企业声明函</w:t>
      </w:r>
      <w:bookmarkEnd w:id="104"/>
    </w:p>
    <w:p w14:paraId="0E911EEF">
      <w:pPr>
        <w:spacing w:line="620" w:lineRule="exact"/>
        <w:ind w:firstLine="551" w:firstLineChars="196"/>
        <w:jc w:val="center"/>
        <w:rPr>
          <w:rFonts w:hint="eastAsia" w:ascii="宋体" w:hAnsi="宋体" w:eastAsia="宋体" w:cs="宋体"/>
          <w:b/>
          <w:bCs w:val="0"/>
          <w:color w:val="auto"/>
          <w:sz w:val="28"/>
          <w:szCs w:val="28"/>
          <w:highlight w:val="none"/>
        </w:rPr>
      </w:pPr>
    </w:p>
    <w:p w14:paraId="5DDF41B3">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49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本公司(联合体)郑重声明，根据《政府采购促进中小企业发展管理办法</w:t>
      </w:r>
      <w:r>
        <w:rPr>
          <w:rFonts w:hint="eastAsia" w:ascii="宋体" w:hAnsi="宋体" w:eastAsia="宋体" w:cs="宋体"/>
          <w:color w:val="auto"/>
          <w:spacing w:val="2"/>
          <w:sz w:val="24"/>
          <w:szCs w:val="24"/>
          <w:highlight w:val="none"/>
        </w:rPr>
        <w:t>》(财库</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2020</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46号)的规定，本公司(联合体)参加</w:t>
      </w:r>
      <w:r>
        <w:rPr>
          <w:rFonts w:hint="eastAsia" w:ascii="宋体" w:hAnsi="宋体" w:eastAsia="宋体" w:cs="宋体"/>
          <w:color w:val="auto"/>
          <w:spacing w:val="57"/>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(单位名称)  </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w:t>
      </w:r>
      <w:r>
        <w:rPr>
          <w:rFonts w:hint="eastAsia" w:ascii="宋体" w:hAnsi="宋体" w:eastAsia="宋体" w:cs="宋体"/>
          <w:color w:val="auto"/>
          <w:spacing w:val="56"/>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(项</w:t>
      </w:r>
      <w:r>
        <w:rPr>
          <w:rFonts w:hint="eastAsia" w:ascii="宋体" w:hAnsi="宋体" w:eastAsia="宋体" w:cs="宋体"/>
          <w:color w:val="auto"/>
          <w:sz w:val="24"/>
          <w:szCs w:val="24"/>
          <w:highlight w:val="none"/>
          <w:u w:val="single" w:color="auto"/>
        </w:rPr>
        <w:t xml:space="preserve">目名称) </w:t>
      </w:r>
      <w:r>
        <w:rPr>
          <w:rFonts w:hint="eastAsia" w:ascii="宋体" w:hAnsi="宋体" w:eastAsia="宋体" w:cs="宋体"/>
          <w:color w:val="auto"/>
          <w:sz w:val="24"/>
          <w:szCs w:val="24"/>
          <w:highlight w:val="none"/>
        </w:rPr>
        <w:t>采购</w:t>
      </w:r>
      <w:r>
        <w:rPr>
          <w:rFonts w:hint="eastAsia" w:ascii="宋体" w:hAnsi="宋体" w:eastAsia="宋体" w:cs="宋体"/>
          <w:color w:val="auto"/>
          <w:spacing w:val="8"/>
          <w:sz w:val="24"/>
          <w:szCs w:val="24"/>
          <w:highlight w:val="none"/>
        </w:rPr>
        <w:t>活动，工程的施工单位全部为符合政策要求的中小企业(或者：服务全部由符合政策要求</w:t>
      </w:r>
      <w:r>
        <w:rPr>
          <w:rFonts w:hint="eastAsia" w:ascii="宋体" w:hAnsi="宋体" w:eastAsia="宋体" w:cs="宋体"/>
          <w:color w:val="auto"/>
          <w:spacing w:val="5"/>
          <w:sz w:val="24"/>
          <w:szCs w:val="24"/>
          <w:highlight w:val="none"/>
        </w:rPr>
        <w:t>的中小企业承接)。相关企业(含联合体中的中小企业、签订分包意向协议的中小企业)的</w:t>
      </w:r>
      <w:r>
        <w:rPr>
          <w:rFonts w:hint="eastAsia" w:ascii="宋体" w:hAnsi="宋体" w:eastAsia="宋体" w:cs="宋体"/>
          <w:color w:val="auto"/>
          <w:spacing w:val="-2"/>
          <w:sz w:val="24"/>
          <w:szCs w:val="24"/>
          <w:highlight w:val="none"/>
        </w:rPr>
        <w:t>具体情况如下：</w:t>
      </w:r>
    </w:p>
    <w:p w14:paraId="0B9C5357">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u w:val="single" w:color="auto"/>
        </w:rPr>
        <w:t xml:space="preserve"> (标的名称)</w:t>
      </w:r>
      <w:r>
        <w:rPr>
          <w:rFonts w:hint="eastAsia" w:ascii="宋体" w:hAnsi="宋体" w:eastAsia="宋体" w:cs="宋体"/>
          <w:color w:val="auto"/>
          <w:spacing w:val="-1"/>
          <w:sz w:val="24"/>
          <w:szCs w:val="24"/>
          <w:highlight w:val="none"/>
        </w:rPr>
        <w:t xml:space="preserve"> ，属于</w:t>
      </w:r>
      <w:r>
        <w:rPr>
          <w:rFonts w:hint="eastAsia" w:ascii="宋体" w:hAnsi="宋体" w:eastAsia="宋体" w:cs="宋体"/>
          <w:color w:val="auto"/>
          <w:spacing w:val="-63"/>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(采购文件中明确的所属行业)</w:t>
      </w:r>
      <w:r>
        <w:rPr>
          <w:rFonts w:hint="eastAsia" w:ascii="宋体" w:hAnsi="宋体" w:eastAsia="宋体" w:cs="宋体"/>
          <w:color w:val="auto"/>
          <w:spacing w:val="-1"/>
          <w:sz w:val="24"/>
          <w:szCs w:val="24"/>
          <w:highlight w:val="none"/>
        </w:rPr>
        <w:t>；承建(承接)企</w:t>
      </w:r>
      <w:r>
        <w:rPr>
          <w:rFonts w:hint="eastAsia" w:ascii="宋体" w:hAnsi="宋体" w:eastAsia="宋体" w:cs="宋体"/>
          <w:color w:val="auto"/>
          <w:spacing w:val="-2"/>
          <w:sz w:val="24"/>
          <w:szCs w:val="24"/>
          <w:highlight w:val="none"/>
        </w:rPr>
        <w:t>业为</w:t>
      </w:r>
      <w:r>
        <w:rPr>
          <w:rFonts w:hint="eastAsia" w:ascii="宋体" w:hAnsi="宋体" w:eastAsia="宋体" w:cs="宋体"/>
          <w:color w:val="auto"/>
          <w:spacing w:val="57"/>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(企业名称)</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从业人员</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5"/>
          <w:sz w:val="24"/>
          <w:szCs w:val="24"/>
          <w:highlight w:val="none"/>
        </w:rPr>
        <w:t>人，营业收入为</w:t>
      </w:r>
      <w:r>
        <w:rPr>
          <w:rFonts w:hint="eastAsia" w:ascii="宋体" w:hAnsi="宋体" w:eastAsia="宋体" w:cs="宋体"/>
          <w:color w:val="auto"/>
          <w:spacing w:val="-115"/>
          <w:sz w:val="24"/>
          <w:szCs w:val="24"/>
          <w:highlight w:val="none"/>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00"/>
          <w:sz w:val="24"/>
          <w:szCs w:val="24"/>
          <w:highlight w:val="none"/>
        </w:rPr>
        <w:t xml:space="preserve"> </w:t>
      </w:r>
      <w:r>
        <w:rPr>
          <w:rFonts w:hint="eastAsia" w:ascii="宋体" w:hAnsi="宋体" w:eastAsia="宋体" w:cs="宋体"/>
          <w:color w:val="auto"/>
          <w:spacing w:val="5"/>
          <w:sz w:val="24"/>
          <w:szCs w:val="24"/>
          <w:highlight w:val="none"/>
        </w:rPr>
        <w:t>万元，资产总额为</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99"/>
          <w:sz w:val="24"/>
          <w:szCs w:val="24"/>
          <w:highlight w:val="none"/>
        </w:rPr>
        <w:t xml:space="preserve"> </w:t>
      </w:r>
      <w:r>
        <w:rPr>
          <w:rFonts w:hint="eastAsia" w:ascii="宋体" w:hAnsi="宋体" w:eastAsia="宋体" w:cs="宋体"/>
          <w:color w:val="auto"/>
          <w:spacing w:val="5"/>
          <w:sz w:val="24"/>
          <w:szCs w:val="24"/>
          <w:highlight w:val="none"/>
        </w:rPr>
        <w:t>万元</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5"/>
          <w:sz w:val="24"/>
          <w:szCs w:val="24"/>
          <w:highlight w:val="none"/>
        </w:rPr>
        <w:t>，属于</w:t>
      </w:r>
      <w:r>
        <w:rPr>
          <w:rFonts w:hint="eastAsia" w:ascii="宋体" w:hAnsi="宋体" w:eastAsia="宋体" w:cs="宋体"/>
          <w:color w:val="auto"/>
          <w:spacing w:val="56"/>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(中型企业、小型企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u w:val="single" w:color="auto"/>
        </w:rPr>
        <w:t>业、微型企业)</w:t>
      </w:r>
      <w:r>
        <w:rPr>
          <w:rFonts w:hint="eastAsia" w:ascii="宋体" w:hAnsi="宋体" w:eastAsia="宋体" w:cs="宋体"/>
          <w:color w:val="auto"/>
          <w:spacing w:val="7"/>
          <w:sz w:val="24"/>
          <w:szCs w:val="24"/>
          <w:highlight w:val="none"/>
        </w:rPr>
        <w:t>；</w:t>
      </w:r>
    </w:p>
    <w:p w14:paraId="381E6D08">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color="auto"/>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pacing w:val="-64"/>
          <w:sz w:val="24"/>
          <w:szCs w:val="24"/>
          <w:highlight w:val="none"/>
          <w:u w:val="single" w:color="auto"/>
        </w:rPr>
        <w:t xml:space="preserve"> </w:t>
      </w:r>
      <w:r>
        <w:rPr>
          <w:rFonts w:hint="eastAsia" w:ascii="宋体" w:hAnsi="宋体" w:eastAsia="宋体" w:cs="宋体"/>
          <w:color w:val="auto"/>
          <w:sz w:val="24"/>
          <w:szCs w:val="24"/>
          <w:highlight w:val="none"/>
          <w:u w:val="single" w:color="auto"/>
        </w:rPr>
        <w:t>(采购文件中明确的所属行</w:t>
      </w:r>
      <w:r>
        <w:rPr>
          <w:rFonts w:hint="eastAsia" w:ascii="宋体" w:hAnsi="宋体" w:eastAsia="宋体" w:cs="宋体"/>
          <w:color w:val="auto"/>
          <w:spacing w:val="-1"/>
          <w:sz w:val="24"/>
          <w:szCs w:val="24"/>
          <w:highlight w:val="none"/>
          <w:u w:val="single" w:color="auto"/>
        </w:rPr>
        <w:t>业)</w:t>
      </w:r>
      <w:r>
        <w:rPr>
          <w:rFonts w:hint="eastAsia" w:ascii="宋体" w:hAnsi="宋体" w:eastAsia="宋体" w:cs="宋体"/>
          <w:color w:val="auto"/>
          <w:spacing w:val="-1"/>
          <w:sz w:val="24"/>
          <w:szCs w:val="24"/>
          <w:highlight w:val="none"/>
        </w:rPr>
        <w:t>；承建(承接)企业为</w:t>
      </w:r>
      <w:r>
        <w:rPr>
          <w:rFonts w:hint="eastAsia" w:ascii="宋体" w:hAnsi="宋体" w:eastAsia="宋体" w:cs="宋体"/>
          <w:color w:val="auto"/>
          <w:spacing w:val="57"/>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(企业名称)</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从业人员</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103"/>
          <w:sz w:val="24"/>
          <w:szCs w:val="24"/>
          <w:highlight w:val="none"/>
        </w:rPr>
        <w:t xml:space="preserve"> </w:t>
      </w:r>
      <w:r>
        <w:rPr>
          <w:rFonts w:hint="eastAsia" w:ascii="宋体" w:hAnsi="宋体" w:eastAsia="宋体" w:cs="宋体"/>
          <w:color w:val="auto"/>
          <w:spacing w:val="2"/>
          <w:sz w:val="24"/>
          <w:szCs w:val="24"/>
          <w:highlight w:val="none"/>
        </w:rPr>
        <w:t>人，营业收入为</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99"/>
          <w:sz w:val="24"/>
          <w:szCs w:val="24"/>
          <w:highlight w:val="none"/>
        </w:rPr>
        <w:t xml:space="preserve"> </w:t>
      </w:r>
      <w:r>
        <w:rPr>
          <w:rFonts w:hint="eastAsia" w:ascii="宋体" w:hAnsi="宋体" w:eastAsia="宋体" w:cs="宋体"/>
          <w:color w:val="auto"/>
          <w:spacing w:val="2"/>
          <w:sz w:val="24"/>
          <w:szCs w:val="24"/>
          <w:highlight w:val="none"/>
        </w:rPr>
        <w:t>万元，资产总额为</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99"/>
          <w:sz w:val="24"/>
          <w:szCs w:val="24"/>
          <w:highlight w:val="none"/>
        </w:rPr>
        <w:t xml:space="preserve"> </w:t>
      </w:r>
      <w:r>
        <w:rPr>
          <w:rFonts w:hint="eastAsia" w:ascii="宋体" w:hAnsi="宋体" w:eastAsia="宋体" w:cs="宋体"/>
          <w:color w:val="auto"/>
          <w:spacing w:val="2"/>
          <w:sz w:val="24"/>
          <w:szCs w:val="24"/>
          <w:highlight w:val="none"/>
        </w:rPr>
        <w:t>万元，属于</w:t>
      </w:r>
      <w:r>
        <w:rPr>
          <w:rFonts w:hint="eastAsia" w:ascii="宋体" w:hAnsi="宋体" w:eastAsia="宋体" w:cs="宋体"/>
          <w:color w:val="auto"/>
          <w:spacing w:val="56"/>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(中</w:t>
      </w:r>
      <w:r>
        <w:rPr>
          <w:rFonts w:hint="eastAsia" w:ascii="宋体" w:hAnsi="宋体" w:eastAsia="宋体" w:cs="宋体"/>
          <w:color w:val="auto"/>
          <w:spacing w:val="1"/>
          <w:sz w:val="24"/>
          <w:szCs w:val="24"/>
          <w:highlight w:val="none"/>
          <w:u w:val="single" w:color="auto"/>
        </w:rPr>
        <w:t>型企业、</w:t>
      </w:r>
      <w:r>
        <w:rPr>
          <w:rFonts w:hint="eastAsia" w:ascii="宋体" w:hAnsi="宋体" w:eastAsia="宋体" w:cs="宋体"/>
          <w:color w:val="auto"/>
          <w:spacing w:val="-20"/>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小型企业、</w:t>
      </w:r>
      <w:r>
        <w:rPr>
          <w:rFonts w:hint="eastAsia" w:ascii="宋体" w:hAnsi="宋体" w:eastAsia="宋体" w:cs="宋体"/>
          <w:color w:val="auto"/>
          <w:spacing w:val="5"/>
          <w:sz w:val="24"/>
          <w:szCs w:val="24"/>
          <w:highlight w:val="none"/>
          <w:u w:val="single" w:color="auto"/>
        </w:rPr>
        <w:t>微型企业)</w:t>
      </w:r>
      <w:r>
        <w:rPr>
          <w:rFonts w:hint="eastAsia" w:ascii="宋体" w:hAnsi="宋体" w:eastAsia="宋体" w:cs="宋体"/>
          <w:color w:val="auto"/>
          <w:spacing w:val="5"/>
          <w:sz w:val="24"/>
          <w:szCs w:val="24"/>
          <w:highlight w:val="none"/>
        </w:rPr>
        <w:t>；</w:t>
      </w:r>
    </w:p>
    <w:p w14:paraId="03239A4F">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46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position w:val="3"/>
          <w:sz w:val="24"/>
          <w:szCs w:val="24"/>
          <w:highlight w:val="none"/>
        </w:rPr>
        <w:t>……</w:t>
      </w:r>
    </w:p>
    <w:p w14:paraId="5D8384A3">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492" w:firstLineChars="200"/>
        <w:jc w:val="left"/>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以上企业，不属于大企业的分支机构，不存在控股股东为大企业的情形，也不存在与大企业的负责人为同一人的情形。</w:t>
      </w:r>
    </w:p>
    <w:p w14:paraId="77D62496">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51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本企业对上述声明内容的真实性负责。如有虚假，将依法承担相应责任。</w:t>
      </w:r>
    </w:p>
    <w:p w14:paraId="7737D2F2">
      <w:pPr>
        <w:pStyle w:val="3"/>
        <w:keepNext w:val="0"/>
        <w:keepLines w:val="0"/>
        <w:pageBreakBefore w:val="0"/>
        <w:widowControl w:val="0"/>
        <w:kinsoku/>
        <w:wordWrap/>
        <w:overflowPunct/>
        <w:topLinePunct w:val="0"/>
        <w:autoSpaceDE/>
        <w:autoSpaceDN/>
        <w:bidi w:val="0"/>
        <w:adjustRightInd w:val="0"/>
        <w:snapToGrid w:val="0"/>
        <w:spacing w:beforeLines="0" w:after="0" w:afterLines="0" w:line="360" w:lineRule="auto"/>
        <w:ind w:left="0" w:right="0" w:firstLine="480" w:firstLineChars="200"/>
        <w:jc w:val="left"/>
        <w:textAlignment w:val="auto"/>
        <w:rPr>
          <w:rFonts w:hint="eastAsia" w:ascii="宋体" w:hAnsi="宋体" w:eastAsia="宋体" w:cs="宋体"/>
          <w:color w:val="auto"/>
          <w:sz w:val="24"/>
          <w:szCs w:val="24"/>
          <w:highlight w:val="none"/>
        </w:rPr>
      </w:pPr>
    </w:p>
    <w:p w14:paraId="0E7A7AC4">
      <w:pPr>
        <w:spacing w:line="440" w:lineRule="exact"/>
        <w:ind w:firstLine="5280" w:firstLineChars="2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企业名称</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lang w:val="en-US" w:eastAsia="zh-CN"/>
        </w:rPr>
        <w:t xml:space="preserve">）： </w:t>
      </w:r>
    </w:p>
    <w:p w14:paraId="3BF3A3E4">
      <w:pPr>
        <w:spacing w:line="440" w:lineRule="exact"/>
        <w:ind w:firstLine="6720" w:firstLineChars="28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日期</w:t>
      </w:r>
      <w:r>
        <w:rPr>
          <w:rFonts w:hint="eastAsia" w:ascii="宋体" w:hAnsi="宋体" w:eastAsia="宋体" w:cs="宋体"/>
          <w:color w:val="auto"/>
          <w:sz w:val="24"/>
          <w:szCs w:val="24"/>
          <w:highlight w:val="none"/>
          <w:lang w:val="en-US" w:eastAsia="zh-CN"/>
        </w:rPr>
        <w:t xml:space="preserve">： </w:t>
      </w:r>
    </w:p>
    <w:p w14:paraId="769391B7">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492" w:firstLineChars="200"/>
        <w:jc w:val="left"/>
        <w:textAlignment w:val="auto"/>
        <w:rPr>
          <w:rFonts w:hint="default" w:ascii="宋体" w:hAnsi="宋体" w:eastAsia="宋体" w:cs="宋体"/>
          <w:color w:val="auto"/>
          <w:spacing w:val="3"/>
          <w:sz w:val="24"/>
          <w:szCs w:val="24"/>
          <w:highlight w:val="none"/>
          <w:lang w:val="en-US" w:eastAsia="zh-CN"/>
        </w:rPr>
      </w:pPr>
    </w:p>
    <w:p w14:paraId="662F422C">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492" w:firstLineChars="200"/>
        <w:jc w:val="left"/>
        <w:textAlignment w:val="auto"/>
        <w:rPr>
          <w:rFonts w:hint="eastAsia" w:ascii="宋体" w:hAnsi="宋体" w:eastAsia="宋体" w:cs="宋体"/>
          <w:color w:val="auto"/>
          <w:spacing w:val="3"/>
          <w:sz w:val="28"/>
          <w:szCs w:val="28"/>
          <w:highlight w:val="none"/>
          <w:lang w:val="en-US" w:eastAsia="zh-CN"/>
        </w:rPr>
      </w:pPr>
      <w:r>
        <w:rPr>
          <w:rFonts w:hint="eastAsia" w:ascii="宋体" w:hAnsi="宋体" w:eastAsia="宋体" w:cs="宋体"/>
          <w:color w:val="auto"/>
          <w:spacing w:val="3"/>
          <w:sz w:val="24"/>
          <w:szCs w:val="24"/>
          <w:highlight w:val="none"/>
          <w:lang w:val="en-US" w:eastAsia="zh-CN"/>
        </w:rPr>
        <w:t>从业人员、营业收入、资产总额填报上一年度数据，无上一年度数据的新成立企业可不填报。</w:t>
      </w:r>
    </w:p>
    <w:p w14:paraId="34E9EFD3">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572" w:firstLineChars="200"/>
        <w:jc w:val="left"/>
        <w:textAlignment w:val="auto"/>
        <w:rPr>
          <w:rFonts w:hint="eastAsia" w:ascii="宋体" w:hAnsi="宋体" w:eastAsia="宋体" w:cs="宋体"/>
          <w:color w:val="auto"/>
          <w:spacing w:val="3"/>
          <w:sz w:val="28"/>
          <w:szCs w:val="28"/>
          <w:highlight w:val="none"/>
          <w:lang w:val="en-US" w:eastAsia="zh-CN"/>
        </w:rPr>
      </w:pPr>
    </w:p>
    <w:p w14:paraId="10A01296">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572" w:firstLineChars="200"/>
        <w:jc w:val="left"/>
        <w:textAlignment w:val="auto"/>
        <w:rPr>
          <w:rFonts w:hint="eastAsia" w:ascii="宋体" w:hAnsi="宋体" w:eastAsia="宋体" w:cs="宋体"/>
          <w:color w:val="auto"/>
          <w:spacing w:val="3"/>
          <w:sz w:val="28"/>
          <w:szCs w:val="28"/>
          <w:highlight w:val="none"/>
          <w:lang w:val="en-US" w:eastAsia="zh-CN"/>
        </w:rPr>
      </w:pPr>
    </w:p>
    <w:p w14:paraId="2AE70A04">
      <w:pPr>
        <w:pStyle w:val="37"/>
        <w:rPr>
          <w:rFonts w:hint="eastAsia" w:ascii="宋体" w:hAnsi="宋体" w:eastAsia="宋体" w:cs="宋体"/>
          <w:color w:val="auto"/>
          <w:spacing w:val="3"/>
          <w:sz w:val="28"/>
          <w:szCs w:val="28"/>
          <w:highlight w:val="none"/>
          <w:lang w:val="en-US" w:eastAsia="zh-CN"/>
        </w:rPr>
      </w:pPr>
    </w:p>
    <w:p w14:paraId="5DD2C71E">
      <w:pPr>
        <w:pStyle w:val="37"/>
        <w:rPr>
          <w:rFonts w:hint="eastAsia" w:ascii="宋体" w:hAnsi="宋体" w:eastAsia="宋体" w:cs="宋体"/>
          <w:color w:val="auto"/>
          <w:spacing w:val="3"/>
          <w:sz w:val="28"/>
          <w:szCs w:val="28"/>
          <w:highlight w:val="none"/>
          <w:lang w:val="en-US" w:eastAsia="zh-CN"/>
        </w:rPr>
      </w:pPr>
    </w:p>
    <w:p w14:paraId="211E1DB8">
      <w:pPr>
        <w:pStyle w:val="37"/>
        <w:rPr>
          <w:rFonts w:hint="eastAsia" w:ascii="宋体" w:hAnsi="宋体" w:eastAsia="宋体" w:cs="宋体"/>
          <w:color w:val="auto"/>
          <w:spacing w:val="3"/>
          <w:sz w:val="28"/>
          <w:szCs w:val="28"/>
          <w:highlight w:val="none"/>
          <w:lang w:val="en-US" w:eastAsia="zh-CN"/>
        </w:rPr>
      </w:pPr>
    </w:p>
    <w:p w14:paraId="6F5EB2C8">
      <w:pPr>
        <w:pStyle w:val="37"/>
        <w:rPr>
          <w:rFonts w:hint="eastAsia" w:ascii="宋体" w:hAnsi="宋体" w:eastAsia="宋体" w:cs="宋体"/>
          <w:color w:val="auto"/>
          <w:spacing w:val="3"/>
          <w:sz w:val="28"/>
          <w:szCs w:val="28"/>
          <w:highlight w:val="none"/>
          <w:lang w:val="en-US" w:eastAsia="zh-CN"/>
        </w:rPr>
      </w:pPr>
    </w:p>
    <w:p w14:paraId="278E3D45">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494" w:firstLineChars="200"/>
        <w:jc w:val="left"/>
        <w:textAlignment w:val="auto"/>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附件 1：</w:t>
      </w:r>
    </w:p>
    <w:p w14:paraId="09FF7C5F">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574" w:firstLineChars="200"/>
        <w:jc w:val="center"/>
        <w:textAlignment w:val="auto"/>
        <w:rPr>
          <w:rFonts w:hint="default"/>
          <w:b/>
          <w:bCs/>
          <w:color w:val="auto"/>
          <w:sz w:val="21"/>
          <w:szCs w:val="21"/>
          <w:highlight w:val="none"/>
        </w:rPr>
      </w:pPr>
      <w:r>
        <w:rPr>
          <w:rFonts w:hint="eastAsia" w:ascii="宋体" w:hAnsi="宋体" w:eastAsia="宋体" w:cs="宋体"/>
          <w:b/>
          <w:bCs/>
          <w:color w:val="auto"/>
          <w:spacing w:val="3"/>
          <w:sz w:val="28"/>
          <w:szCs w:val="28"/>
          <w:highlight w:val="none"/>
          <w:lang w:val="en-US" w:eastAsia="zh-CN"/>
        </w:rPr>
        <w:t>中小微企业划型标准</w:t>
      </w:r>
    </w:p>
    <w:tbl>
      <w:tblPr>
        <w:tblStyle w:val="25"/>
        <w:tblW w:w="93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4"/>
        <w:gridCol w:w="1659"/>
        <w:gridCol w:w="1073"/>
        <w:gridCol w:w="1890"/>
        <w:gridCol w:w="2095"/>
        <w:gridCol w:w="1091"/>
      </w:tblGrid>
      <w:tr w14:paraId="264A8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57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8C388E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行业名称</w:t>
            </w: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6A1195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指标名称</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A770D9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计量单位</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503A03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中型</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8EABC1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小型</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03F3A4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微型</w:t>
            </w:r>
          </w:p>
        </w:tc>
      </w:tr>
      <w:tr w14:paraId="2FF92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7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ACB3B6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农、林、牧、 渔</w:t>
            </w: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E0631A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营业收入（Y）</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73A85C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万元</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059FC2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500≤Y＜20000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9D26A2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50≤Y＜500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0FB373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Y＜50</w:t>
            </w:r>
          </w:p>
        </w:tc>
      </w:tr>
      <w:tr w14:paraId="13620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restart"/>
            <w:tcBorders>
              <w:top w:val="single" w:color="000000" w:sz="2" w:space="0"/>
              <w:left w:val="single" w:color="000000" w:sz="2" w:space="0"/>
              <w:bottom w:val="nil"/>
              <w:right w:val="single" w:color="000000" w:sz="2" w:space="0"/>
              <w:tl2br w:val="nil"/>
              <w:tr2bl w:val="nil"/>
            </w:tcBorders>
            <w:noWrap w:val="0"/>
            <w:vAlign w:val="center"/>
          </w:tcPr>
          <w:p w14:paraId="6AA1B5A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工业</w:t>
            </w: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1E7E90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从业人员（X）</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AAC940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人</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0A4D04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300≤X＜1000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7AF68F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20≤X＜300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1E6B9F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X＜20</w:t>
            </w:r>
          </w:p>
        </w:tc>
      </w:tr>
      <w:tr w14:paraId="0348F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continue"/>
            <w:tcBorders>
              <w:top w:val="nil"/>
              <w:left w:val="single" w:color="000000" w:sz="2" w:space="0"/>
              <w:bottom w:val="single" w:color="000000" w:sz="2" w:space="0"/>
              <w:right w:val="single" w:color="000000" w:sz="2" w:space="0"/>
              <w:tl2br w:val="nil"/>
              <w:tr2bl w:val="nil"/>
            </w:tcBorders>
            <w:noWrap w:val="0"/>
            <w:vAlign w:val="center"/>
          </w:tcPr>
          <w:p w14:paraId="2AE9B75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default" w:ascii="宋体" w:hAnsi="宋体" w:eastAsia="宋体" w:cs="宋体"/>
                <w:color w:val="auto"/>
                <w:spacing w:val="3"/>
                <w:sz w:val="22"/>
                <w:szCs w:val="22"/>
                <w:highlight w:val="none"/>
                <w:lang w:val="en-US" w:eastAsia="zh-CN"/>
              </w:rPr>
            </w:pP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A7188A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营业收入（Y）</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C4F2CE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万元</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B909CD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2000≤Y＜40000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3279AA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300≤Y＜2000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C60964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Y＜300</w:t>
            </w:r>
          </w:p>
        </w:tc>
      </w:tr>
      <w:tr w14:paraId="266FC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restart"/>
            <w:tcBorders>
              <w:top w:val="single" w:color="000000" w:sz="2" w:space="0"/>
              <w:left w:val="single" w:color="000000" w:sz="2" w:space="0"/>
              <w:bottom w:val="nil"/>
              <w:right w:val="single" w:color="000000" w:sz="2" w:space="0"/>
              <w:tl2br w:val="nil"/>
              <w:tr2bl w:val="nil"/>
            </w:tcBorders>
            <w:noWrap w:val="0"/>
            <w:vAlign w:val="center"/>
          </w:tcPr>
          <w:p w14:paraId="4182340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建筑业</w:t>
            </w: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C17292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营业收入（Y）</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90D9D3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万元</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148B96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6000≤Y＜80000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607309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300≤Y＜6000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C07675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Y＜300</w:t>
            </w:r>
          </w:p>
        </w:tc>
      </w:tr>
      <w:tr w14:paraId="4EE02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continue"/>
            <w:tcBorders>
              <w:top w:val="nil"/>
              <w:left w:val="single" w:color="000000" w:sz="2" w:space="0"/>
              <w:bottom w:val="single" w:color="000000" w:sz="2" w:space="0"/>
              <w:right w:val="single" w:color="000000" w:sz="2" w:space="0"/>
              <w:tl2br w:val="nil"/>
              <w:tr2bl w:val="nil"/>
            </w:tcBorders>
            <w:noWrap w:val="0"/>
            <w:vAlign w:val="center"/>
          </w:tcPr>
          <w:p w14:paraId="69B5254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default" w:ascii="宋体" w:hAnsi="宋体" w:eastAsia="宋体" w:cs="宋体"/>
                <w:color w:val="auto"/>
                <w:spacing w:val="3"/>
                <w:sz w:val="22"/>
                <w:szCs w:val="22"/>
                <w:highlight w:val="none"/>
                <w:lang w:val="en-US" w:eastAsia="zh-CN"/>
              </w:rPr>
            </w:pP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1B98DB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资产总额（Z）</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0FECF8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万元</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546ED8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5000≤Z＜80000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36046F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300≤Z＜5000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86F54E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Z＜300</w:t>
            </w:r>
          </w:p>
        </w:tc>
      </w:tr>
      <w:tr w14:paraId="7CCD7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restart"/>
            <w:tcBorders>
              <w:top w:val="single" w:color="000000" w:sz="2" w:space="0"/>
              <w:left w:val="single" w:color="000000" w:sz="2" w:space="0"/>
              <w:bottom w:val="nil"/>
              <w:right w:val="single" w:color="000000" w:sz="2" w:space="0"/>
              <w:tl2br w:val="nil"/>
              <w:tr2bl w:val="nil"/>
            </w:tcBorders>
            <w:noWrap w:val="0"/>
            <w:vAlign w:val="center"/>
          </w:tcPr>
          <w:p w14:paraId="3847BBC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default" w:ascii="宋体" w:hAnsi="宋体" w:eastAsia="宋体" w:cs="宋体"/>
                <w:color w:val="auto"/>
                <w:spacing w:val="3"/>
                <w:sz w:val="22"/>
                <w:szCs w:val="22"/>
                <w:highlight w:val="none"/>
                <w:lang w:val="en-US" w:eastAsia="zh-CN"/>
              </w:rPr>
            </w:pPr>
          </w:p>
          <w:p w14:paraId="2937693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批发业</w:t>
            </w: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E25904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从业人员（X）</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21C108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人</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972EB5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20≤X＜200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D84254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5≤X＜20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DF1E33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X＜5</w:t>
            </w:r>
          </w:p>
        </w:tc>
      </w:tr>
      <w:tr w14:paraId="73BFC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4" w:type="dxa"/>
            <w:vMerge w:val="continue"/>
            <w:tcBorders>
              <w:top w:val="nil"/>
              <w:left w:val="single" w:color="000000" w:sz="2" w:space="0"/>
              <w:bottom w:val="single" w:color="000000" w:sz="2" w:space="0"/>
              <w:right w:val="single" w:color="000000" w:sz="2" w:space="0"/>
              <w:tl2br w:val="nil"/>
              <w:tr2bl w:val="nil"/>
            </w:tcBorders>
            <w:noWrap w:val="0"/>
            <w:vAlign w:val="center"/>
          </w:tcPr>
          <w:p w14:paraId="14B0CA4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default" w:ascii="宋体" w:hAnsi="宋体" w:eastAsia="宋体" w:cs="宋体"/>
                <w:color w:val="auto"/>
                <w:spacing w:val="3"/>
                <w:sz w:val="22"/>
                <w:szCs w:val="22"/>
                <w:highlight w:val="none"/>
                <w:lang w:val="en-US" w:eastAsia="zh-CN"/>
              </w:rPr>
            </w:pP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8F0647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营业收入（Y）</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6BCBA9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万元</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48CDCA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5000≤Y＜40000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E5B5DB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1000≤Y&lt; 5000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3A7ED1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Y＜1000</w:t>
            </w:r>
          </w:p>
        </w:tc>
      </w:tr>
      <w:tr w14:paraId="0D2B8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restart"/>
            <w:tcBorders>
              <w:top w:val="single" w:color="000000" w:sz="2" w:space="0"/>
              <w:left w:val="single" w:color="000000" w:sz="2" w:space="0"/>
              <w:bottom w:val="nil"/>
              <w:right w:val="single" w:color="000000" w:sz="2" w:space="0"/>
              <w:tl2br w:val="nil"/>
              <w:tr2bl w:val="nil"/>
            </w:tcBorders>
            <w:noWrap w:val="0"/>
            <w:vAlign w:val="center"/>
          </w:tcPr>
          <w:p w14:paraId="6F5F9A5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零售业</w:t>
            </w: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5FF76D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从业人员（X）</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B964E8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人</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B75616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50≤X＜300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3AFCF8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10≤X＜50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9294A9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X＜10</w:t>
            </w:r>
          </w:p>
        </w:tc>
      </w:tr>
      <w:tr w14:paraId="74478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continue"/>
            <w:tcBorders>
              <w:top w:val="nil"/>
              <w:left w:val="single" w:color="000000" w:sz="2" w:space="0"/>
              <w:bottom w:val="single" w:color="000000" w:sz="2" w:space="0"/>
              <w:right w:val="single" w:color="000000" w:sz="2" w:space="0"/>
              <w:tl2br w:val="nil"/>
              <w:tr2bl w:val="nil"/>
            </w:tcBorders>
            <w:noWrap w:val="0"/>
            <w:vAlign w:val="center"/>
          </w:tcPr>
          <w:p w14:paraId="7420A5B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default" w:ascii="宋体" w:hAnsi="宋体" w:eastAsia="宋体" w:cs="宋体"/>
                <w:color w:val="auto"/>
                <w:spacing w:val="3"/>
                <w:sz w:val="22"/>
                <w:szCs w:val="22"/>
                <w:highlight w:val="none"/>
                <w:lang w:val="en-US" w:eastAsia="zh-CN"/>
              </w:rPr>
            </w:pP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21B02C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营业收入（Y）</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79145C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万元</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4E2570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500≤Y＜20000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94D55A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100≤Y＜500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FC7B42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Y＜100</w:t>
            </w:r>
          </w:p>
        </w:tc>
      </w:tr>
      <w:tr w14:paraId="578B7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restart"/>
            <w:tcBorders>
              <w:top w:val="single" w:color="000000" w:sz="2" w:space="0"/>
              <w:left w:val="single" w:color="000000" w:sz="2" w:space="0"/>
              <w:bottom w:val="nil"/>
              <w:right w:val="single" w:color="000000" w:sz="2" w:space="0"/>
              <w:tl2br w:val="nil"/>
              <w:tr2bl w:val="nil"/>
            </w:tcBorders>
            <w:noWrap w:val="0"/>
            <w:vAlign w:val="center"/>
          </w:tcPr>
          <w:p w14:paraId="5FBA4FF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交通运输业</w:t>
            </w: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7518B4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从业人员（X）</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DCA993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人</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4D2CFB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300≤X＜1000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7D73F8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20≤X＜300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09EF0E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X＜20</w:t>
            </w:r>
          </w:p>
        </w:tc>
      </w:tr>
      <w:tr w14:paraId="0F4AD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continue"/>
            <w:tcBorders>
              <w:top w:val="nil"/>
              <w:left w:val="single" w:color="000000" w:sz="2" w:space="0"/>
              <w:bottom w:val="single" w:color="000000" w:sz="2" w:space="0"/>
              <w:right w:val="single" w:color="000000" w:sz="2" w:space="0"/>
              <w:tl2br w:val="nil"/>
              <w:tr2bl w:val="nil"/>
            </w:tcBorders>
            <w:noWrap w:val="0"/>
            <w:vAlign w:val="center"/>
          </w:tcPr>
          <w:p w14:paraId="715A15C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default" w:ascii="宋体" w:hAnsi="宋体" w:eastAsia="宋体" w:cs="宋体"/>
                <w:color w:val="auto"/>
                <w:spacing w:val="3"/>
                <w:sz w:val="22"/>
                <w:szCs w:val="22"/>
                <w:highlight w:val="none"/>
                <w:lang w:val="en-US" w:eastAsia="zh-CN"/>
              </w:rPr>
            </w:pP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903B6B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营业收入（Y）</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93B233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万元</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F2C2F7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3000≤Y＜30000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CE3324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200≤Y＜3000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D73223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Y＜200</w:t>
            </w:r>
          </w:p>
        </w:tc>
      </w:tr>
      <w:tr w14:paraId="4A92D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restart"/>
            <w:tcBorders>
              <w:top w:val="single" w:color="000000" w:sz="2" w:space="0"/>
              <w:left w:val="single" w:color="000000" w:sz="2" w:space="0"/>
              <w:bottom w:val="nil"/>
              <w:right w:val="single" w:color="000000" w:sz="2" w:space="0"/>
              <w:tl2br w:val="nil"/>
              <w:tr2bl w:val="nil"/>
            </w:tcBorders>
            <w:noWrap w:val="0"/>
            <w:vAlign w:val="center"/>
          </w:tcPr>
          <w:p w14:paraId="7054E6C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仓储业</w:t>
            </w: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3D748E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从业人员（X）</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237922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人</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4CAE70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100≤X＜200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2F48CE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20≤X＜100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A99569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X＜20</w:t>
            </w:r>
          </w:p>
        </w:tc>
      </w:tr>
      <w:tr w14:paraId="7688A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continue"/>
            <w:tcBorders>
              <w:top w:val="nil"/>
              <w:left w:val="single" w:color="000000" w:sz="2" w:space="0"/>
              <w:bottom w:val="single" w:color="000000" w:sz="2" w:space="0"/>
              <w:right w:val="single" w:color="000000" w:sz="2" w:space="0"/>
              <w:tl2br w:val="nil"/>
              <w:tr2bl w:val="nil"/>
            </w:tcBorders>
            <w:noWrap w:val="0"/>
            <w:vAlign w:val="center"/>
          </w:tcPr>
          <w:p w14:paraId="29E11EC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default" w:ascii="宋体" w:hAnsi="宋体" w:eastAsia="宋体" w:cs="宋体"/>
                <w:color w:val="auto"/>
                <w:spacing w:val="3"/>
                <w:sz w:val="22"/>
                <w:szCs w:val="22"/>
                <w:highlight w:val="none"/>
                <w:lang w:val="en-US" w:eastAsia="zh-CN"/>
              </w:rPr>
            </w:pP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76387D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营业收入（Y）</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2A9E91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万元</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D51E20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1000≤Y＜30000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05B72F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100≤Y＜1000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07FBEB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Y＜100</w:t>
            </w:r>
          </w:p>
        </w:tc>
      </w:tr>
      <w:tr w14:paraId="3F8BB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restart"/>
            <w:tcBorders>
              <w:top w:val="single" w:color="000000" w:sz="2" w:space="0"/>
              <w:left w:val="single" w:color="000000" w:sz="2" w:space="0"/>
              <w:bottom w:val="nil"/>
              <w:right w:val="single" w:color="000000" w:sz="2" w:space="0"/>
              <w:tl2br w:val="nil"/>
              <w:tr2bl w:val="nil"/>
            </w:tcBorders>
            <w:noWrap w:val="0"/>
            <w:vAlign w:val="center"/>
          </w:tcPr>
          <w:p w14:paraId="556059E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邮政业</w:t>
            </w: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D6C7E1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从业人员（X）</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102B37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人</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157C3C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300≤X＜1000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582148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20≤X＜300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C525BE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X＜20</w:t>
            </w:r>
          </w:p>
        </w:tc>
      </w:tr>
      <w:tr w14:paraId="1D2E9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continue"/>
            <w:tcBorders>
              <w:top w:val="nil"/>
              <w:left w:val="single" w:color="000000" w:sz="2" w:space="0"/>
              <w:bottom w:val="single" w:color="000000" w:sz="2" w:space="0"/>
              <w:right w:val="single" w:color="000000" w:sz="2" w:space="0"/>
              <w:tl2br w:val="nil"/>
              <w:tr2bl w:val="nil"/>
            </w:tcBorders>
            <w:noWrap w:val="0"/>
            <w:vAlign w:val="center"/>
          </w:tcPr>
          <w:p w14:paraId="7C26E75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default" w:ascii="宋体" w:hAnsi="宋体" w:eastAsia="宋体" w:cs="宋体"/>
                <w:color w:val="auto"/>
                <w:spacing w:val="3"/>
                <w:sz w:val="22"/>
                <w:szCs w:val="22"/>
                <w:highlight w:val="none"/>
                <w:lang w:val="en-US" w:eastAsia="zh-CN"/>
              </w:rPr>
            </w:pP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806328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营业收入（Y）</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B44E16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万元</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5BC302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2000≤Y＜30000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107A9D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100≤Y＜2000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6BBADC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Y＜100</w:t>
            </w:r>
          </w:p>
        </w:tc>
      </w:tr>
      <w:tr w14:paraId="5AAB2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restart"/>
            <w:tcBorders>
              <w:top w:val="single" w:color="000000" w:sz="2" w:space="0"/>
              <w:left w:val="single" w:color="000000" w:sz="2" w:space="0"/>
              <w:bottom w:val="nil"/>
              <w:right w:val="single" w:color="000000" w:sz="2" w:space="0"/>
              <w:tl2br w:val="nil"/>
              <w:tr2bl w:val="nil"/>
            </w:tcBorders>
            <w:noWrap w:val="0"/>
            <w:vAlign w:val="center"/>
          </w:tcPr>
          <w:p w14:paraId="614544B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住宿业</w:t>
            </w: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288F8D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从业人员（X）</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C623EB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人</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F9B161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100≤X＜300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3A3515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10≤X＜100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F96A5E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X＜10</w:t>
            </w:r>
          </w:p>
        </w:tc>
      </w:tr>
      <w:tr w14:paraId="57E81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continue"/>
            <w:tcBorders>
              <w:top w:val="nil"/>
              <w:left w:val="single" w:color="000000" w:sz="2" w:space="0"/>
              <w:bottom w:val="single" w:color="000000" w:sz="2" w:space="0"/>
              <w:right w:val="single" w:color="000000" w:sz="2" w:space="0"/>
              <w:tl2br w:val="nil"/>
              <w:tr2bl w:val="nil"/>
            </w:tcBorders>
            <w:noWrap w:val="0"/>
            <w:vAlign w:val="center"/>
          </w:tcPr>
          <w:p w14:paraId="69D8D85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default" w:ascii="宋体" w:hAnsi="宋体" w:eastAsia="宋体" w:cs="宋体"/>
                <w:color w:val="auto"/>
                <w:spacing w:val="3"/>
                <w:sz w:val="22"/>
                <w:szCs w:val="22"/>
                <w:highlight w:val="none"/>
                <w:lang w:val="en-US" w:eastAsia="zh-CN"/>
              </w:rPr>
            </w:pP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426727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营业收入（Y）</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6BA8FE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万元</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101BEC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2000≤Y＜10000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1E2BE4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100≤Y＜2000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BBA09F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Y＜100</w:t>
            </w:r>
          </w:p>
        </w:tc>
      </w:tr>
      <w:tr w14:paraId="02C9B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restart"/>
            <w:tcBorders>
              <w:top w:val="single" w:color="000000" w:sz="2" w:space="0"/>
              <w:left w:val="single" w:color="000000" w:sz="2" w:space="0"/>
              <w:bottom w:val="nil"/>
              <w:right w:val="single" w:color="000000" w:sz="2" w:space="0"/>
              <w:tl2br w:val="nil"/>
              <w:tr2bl w:val="nil"/>
            </w:tcBorders>
            <w:noWrap w:val="0"/>
            <w:vAlign w:val="center"/>
          </w:tcPr>
          <w:p w14:paraId="0E577DC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餐饮业</w:t>
            </w: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B6FA2A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从业人员（X）</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C606E7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人</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02A879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100≤X＜300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28DB8E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10≤X＜100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EFE9A5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X＜10</w:t>
            </w:r>
          </w:p>
        </w:tc>
      </w:tr>
      <w:tr w14:paraId="2072F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continue"/>
            <w:tcBorders>
              <w:top w:val="nil"/>
              <w:left w:val="single" w:color="000000" w:sz="2" w:space="0"/>
              <w:bottom w:val="single" w:color="000000" w:sz="2" w:space="0"/>
              <w:right w:val="single" w:color="000000" w:sz="2" w:space="0"/>
              <w:tl2br w:val="nil"/>
              <w:tr2bl w:val="nil"/>
            </w:tcBorders>
            <w:noWrap w:val="0"/>
            <w:vAlign w:val="center"/>
          </w:tcPr>
          <w:p w14:paraId="46FF62E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default" w:ascii="宋体" w:hAnsi="宋体" w:eastAsia="宋体" w:cs="宋体"/>
                <w:color w:val="auto"/>
                <w:spacing w:val="3"/>
                <w:sz w:val="22"/>
                <w:szCs w:val="22"/>
                <w:highlight w:val="none"/>
                <w:lang w:val="en-US" w:eastAsia="zh-CN"/>
              </w:rPr>
            </w:pP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F5171B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营业收入（Y）</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0F03A9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万元</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008904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2000≤Y＜10000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E472CA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100≤Y＜2000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FE0815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Y＜100</w:t>
            </w:r>
          </w:p>
        </w:tc>
      </w:tr>
      <w:tr w14:paraId="6FAC4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restart"/>
            <w:tcBorders>
              <w:top w:val="single" w:color="000000" w:sz="2" w:space="0"/>
              <w:left w:val="single" w:color="000000" w:sz="2" w:space="0"/>
              <w:bottom w:val="nil"/>
              <w:right w:val="single" w:color="000000" w:sz="2" w:space="0"/>
              <w:tl2br w:val="nil"/>
              <w:tr2bl w:val="nil"/>
            </w:tcBorders>
            <w:noWrap w:val="0"/>
            <w:vAlign w:val="center"/>
          </w:tcPr>
          <w:p w14:paraId="05536A0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default" w:ascii="宋体" w:hAnsi="宋体" w:eastAsia="宋体" w:cs="宋体"/>
                <w:color w:val="auto"/>
                <w:spacing w:val="3"/>
                <w:sz w:val="22"/>
                <w:szCs w:val="22"/>
                <w:highlight w:val="none"/>
                <w:lang w:val="en-US" w:eastAsia="zh-CN"/>
              </w:rPr>
            </w:pPr>
          </w:p>
          <w:p w14:paraId="612A755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信息传输业</w:t>
            </w: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74E02B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从业人员（X）</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42B831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人</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B23B6F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100≤X＜2000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31136D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10≤X＜100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14AB49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X＜10</w:t>
            </w:r>
          </w:p>
        </w:tc>
      </w:tr>
      <w:tr w14:paraId="11FF8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574" w:type="dxa"/>
            <w:vMerge w:val="continue"/>
            <w:tcBorders>
              <w:top w:val="nil"/>
              <w:left w:val="single" w:color="000000" w:sz="2" w:space="0"/>
              <w:bottom w:val="single" w:color="000000" w:sz="2" w:space="0"/>
              <w:right w:val="single" w:color="000000" w:sz="2" w:space="0"/>
              <w:tl2br w:val="nil"/>
              <w:tr2bl w:val="nil"/>
            </w:tcBorders>
            <w:noWrap w:val="0"/>
            <w:vAlign w:val="center"/>
          </w:tcPr>
          <w:p w14:paraId="250D400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default" w:ascii="宋体" w:hAnsi="宋体" w:eastAsia="宋体" w:cs="宋体"/>
                <w:color w:val="auto"/>
                <w:spacing w:val="3"/>
                <w:sz w:val="22"/>
                <w:szCs w:val="22"/>
                <w:highlight w:val="none"/>
                <w:lang w:val="en-US" w:eastAsia="zh-CN"/>
              </w:rPr>
            </w:pP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530469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营业收入（Y）</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111EAC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万元</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E5AC89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both"/>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1000≤Y&lt;100000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286E3F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100≤Y＜1000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B454A6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Y＜100</w:t>
            </w:r>
          </w:p>
        </w:tc>
      </w:tr>
      <w:tr w14:paraId="2CB4D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restart"/>
            <w:tcBorders>
              <w:top w:val="single" w:color="000000" w:sz="2" w:space="0"/>
              <w:left w:val="single" w:color="000000" w:sz="2" w:space="0"/>
              <w:bottom w:val="nil"/>
              <w:right w:val="single" w:color="000000" w:sz="2" w:space="0"/>
              <w:tl2br w:val="nil"/>
              <w:tr2bl w:val="nil"/>
            </w:tcBorders>
            <w:noWrap w:val="0"/>
            <w:vAlign w:val="center"/>
          </w:tcPr>
          <w:p w14:paraId="7A5C1C9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软件和信息技术服务业</w:t>
            </w: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2A976E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从业人员（X）</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0BB49F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人</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C29B27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100≤X＜300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D0B207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10≤X＜100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0186BB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X＜10</w:t>
            </w:r>
          </w:p>
        </w:tc>
      </w:tr>
      <w:tr w14:paraId="3E65A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continue"/>
            <w:tcBorders>
              <w:top w:val="nil"/>
              <w:left w:val="single" w:color="000000" w:sz="2" w:space="0"/>
              <w:bottom w:val="single" w:color="000000" w:sz="2" w:space="0"/>
              <w:right w:val="single" w:color="000000" w:sz="2" w:space="0"/>
              <w:tl2br w:val="nil"/>
              <w:tr2bl w:val="nil"/>
            </w:tcBorders>
            <w:noWrap w:val="0"/>
            <w:vAlign w:val="center"/>
          </w:tcPr>
          <w:p w14:paraId="5612156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default" w:ascii="宋体" w:hAnsi="宋体" w:eastAsia="宋体" w:cs="宋体"/>
                <w:color w:val="auto"/>
                <w:spacing w:val="3"/>
                <w:sz w:val="22"/>
                <w:szCs w:val="22"/>
                <w:highlight w:val="none"/>
                <w:lang w:val="en-US" w:eastAsia="zh-CN"/>
              </w:rPr>
            </w:pP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E27B7E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营业收入（Y）</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A363FB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万元</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9D5DFD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1000≤Y＜10000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C1D11C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50≤Y＜1000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C392FE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Y＜50</w:t>
            </w:r>
          </w:p>
        </w:tc>
      </w:tr>
      <w:tr w14:paraId="76388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4" w:type="dxa"/>
            <w:vMerge w:val="restart"/>
            <w:tcBorders>
              <w:top w:val="single" w:color="000000" w:sz="2" w:space="0"/>
              <w:left w:val="single" w:color="000000" w:sz="2" w:space="0"/>
              <w:bottom w:val="nil"/>
              <w:right w:val="single" w:color="000000" w:sz="2" w:space="0"/>
              <w:tl2br w:val="nil"/>
              <w:tr2bl w:val="nil"/>
            </w:tcBorders>
            <w:noWrap w:val="0"/>
            <w:vAlign w:val="center"/>
          </w:tcPr>
          <w:p w14:paraId="338B509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default" w:ascii="宋体" w:hAnsi="宋体" w:eastAsia="宋体" w:cs="宋体"/>
                <w:color w:val="auto"/>
                <w:spacing w:val="3"/>
                <w:sz w:val="22"/>
                <w:szCs w:val="22"/>
                <w:highlight w:val="none"/>
                <w:lang w:val="en-US" w:eastAsia="zh-CN"/>
              </w:rPr>
            </w:pPr>
          </w:p>
          <w:p w14:paraId="63337A6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房地产开发经营</w:t>
            </w: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B237B1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营业收入（Y）</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2050C2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万元</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EAAED3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both"/>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1000≤Y&lt;200000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6AF516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100≤X＜1000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FD17F1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X＜100</w:t>
            </w:r>
          </w:p>
        </w:tc>
      </w:tr>
      <w:tr w14:paraId="5C558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4" w:type="dxa"/>
            <w:vMerge w:val="continue"/>
            <w:tcBorders>
              <w:top w:val="nil"/>
              <w:left w:val="single" w:color="000000" w:sz="2" w:space="0"/>
              <w:bottom w:val="single" w:color="000000" w:sz="2" w:space="0"/>
              <w:right w:val="single" w:color="000000" w:sz="2" w:space="0"/>
              <w:tl2br w:val="nil"/>
              <w:tr2bl w:val="nil"/>
            </w:tcBorders>
            <w:noWrap w:val="0"/>
            <w:vAlign w:val="center"/>
          </w:tcPr>
          <w:p w14:paraId="5E499D0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default" w:ascii="宋体" w:hAnsi="宋体" w:eastAsia="宋体" w:cs="宋体"/>
                <w:color w:val="auto"/>
                <w:spacing w:val="3"/>
                <w:sz w:val="22"/>
                <w:szCs w:val="22"/>
                <w:highlight w:val="none"/>
                <w:lang w:val="en-US" w:eastAsia="zh-CN"/>
              </w:rPr>
            </w:pP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818CEE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资产总额（Z）</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A6B1F1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万元</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9E1BA4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5000≤Z＜10000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A5D75A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2000≤Y&lt; 5000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A71EA2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Y＜2000</w:t>
            </w:r>
          </w:p>
        </w:tc>
      </w:tr>
      <w:tr w14:paraId="6EADF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restart"/>
            <w:tcBorders>
              <w:top w:val="single" w:color="000000" w:sz="2" w:space="0"/>
              <w:left w:val="single" w:color="000000" w:sz="2" w:space="0"/>
              <w:bottom w:val="nil"/>
              <w:right w:val="single" w:color="000000" w:sz="2" w:space="0"/>
              <w:tl2br w:val="nil"/>
              <w:tr2bl w:val="nil"/>
            </w:tcBorders>
            <w:noWrap w:val="0"/>
            <w:vAlign w:val="center"/>
          </w:tcPr>
          <w:p w14:paraId="3172A8A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物业管理</w:t>
            </w: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45C452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从业人员（X）</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DBCEF7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人</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471211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300≤X＜1000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1F0305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100≤X＜300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FFB864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X＜100</w:t>
            </w:r>
          </w:p>
        </w:tc>
      </w:tr>
      <w:tr w14:paraId="5E5F5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continue"/>
            <w:tcBorders>
              <w:top w:val="nil"/>
              <w:left w:val="single" w:color="000000" w:sz="2" w:space="0"/>
              <w:bottom w:val="single" w:color="000000" w:sz="2" w:space="0"/>
              <w:right w:val="single" w:color="000000" w:sz="2" w:space="0"/>
              <w:tl2br w:val="nil"/>
              <w:tr2bl w:val="nil"/>
            </w:tcBorders>
            <w:noWrap w:val="0"/>
            <w:vAlign w:val="center"/>
          </w:tcPr>
          <w:p w14:paraId="0E6A104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default" w:ascii="宋体" w:hAnsi="宋体" w:eastAsia="宋体" w:cs="宋体"/>
                <w:color w:val="auto"/>
                <w:spacing w:val="3"/>
                <w:sz w:val="22"/>
                <w:szCs w:val="22"/>
                <w:highlight w:val="none"/>
                <w:lang w:val="en-US" w:eastAsia="zh-CN"/>
              </w:rPr>
            </w:pP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F11108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营业收入（Y）</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A1DF0C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万元</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CC0643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1000≤Y＜5000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0EB9EC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500≤Y＜1000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33FE6C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Y＜500</w:t>
            </w:r>
          </w:p>
        </w:tc>
      </w:tr>
      <w:tr w14:paraId="3096D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4" w:type="dxa"/>
            <w:vMerge w:val="restart"/>
            <w:tcBorders>
              <w:top w:val="single" w:color="000000" w:sz="2" w:space="0"/>
              <w:left w:val="single" w:color="000000" w:sz="2" w:space="0"/>
              <w:bottom w:val="nil"/>
              <w:right w:val="single" w:color="000000" w:sz="2" w:space="0"/>
              <w:tl2br w:val="nil"/>
              <w:tr2bl w:val="nil"/>
            </w:tcBorders>
            <w:noWrap w:val="0"/>
            <w:vAlign w:val="center"/>
          </w:tcPr>
          <w:p w14:paraId="798DCE5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租赁和商务服务业</w:t>
            </w: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272AF6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从业人员（X）</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EEEF33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人</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D84FBC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100≤X＜300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AD6698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10≤X＜100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9BFA4F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X＜10</w:t>
            </w:r>
          </w:p>
        </w:tc>
      </w:tr>
      <w:tr w14:paraId="45A1A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4" w:type="dxa"/>
            <w:vMerge w:val="continue"/>
            <w:tcBorders>
              <w:top w:val="nil"/>
              <w:left w:val="single" w:color="000000" w:sz="2" w:space="0"/>
              <w:bottom w:val="single" w:color="000000" w:sz="2" w:space="0"/>
              <w:right w:val="single" w:color="000000" w:sz="2" w:space="0"/>
              <w:tl2br w:val="nil"/>
              <w:tr2bl w:val="nil"/>
            </w:tcBorders>
            <w:noWrap w:val="0"/>
            <w:vAlign w:val="center"/>
          </w:tcPr>
          <w:p w14:paraId="131A5F5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default" w:ascii="宋体" w:hAnsi="宋体" w:eastAsia="宋体" w:cs="宋体"/>
                <w:color w:val="auto"/>
                <w:spacing w:val="3"/>
                <w:sz w:val="22"/>
                <w:szCs w:val="22"/>
                <w:highlight w:val="none"/>
                <w:lang w:val="en-US" w:eastAsia="zh-CN"/>
              </w:rPr>
            </w:pP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F708B9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资产总额（Z）</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2E974C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万元</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8EF396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both"/>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8000≤Z&lt;120000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26458F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100≤Z＜8000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13C876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Y＜100</w:t>
            </w:r>
          </w:p>
        </w:tc>
      </w:tr>
      <w:tr w14:paraId="769F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7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AB34D5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其他未列明行业</w:t>
            </w:r>
          </w:p>
        </w:tc>
        <w:tc>
          <w:tcPr>
            <w:tcW w:w="165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7964C6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从业人员（X）</w:t>
            </w:r>
          </w:p>
        </w:tc>
        <w:tc>
          <w:tcPr>
            <w:tcW w:w="10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23F572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人</w:t>
            </w:r>
          </w:p>
        </w:tc>
        <w:tc>
          <w:tcPr>
            <w:tcW w:w="189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404468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100≤X＜300</w:t>
            </w:r>
          </w:p>
        </w:tc>
        <w:tc>
          <w:tcPr>
            <w:tcW w:w="209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407C71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10≤X＜100</w:t>
            </w:r>
          </w:p>
        </w:tc>
        <w:tc>
          <w:tcPr>
            <w:tcW w:w="109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17E3BB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right="0" w:firstLine="0" w:firstLineChars="0"/>
              <w:jc w:val="center"/>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X＜10</w:t>
            </w:r>
          </w:p>
        </w:tc>
      </w:tr>
    </w:tbl>
    <w:p w14:paraId="1EC051A7">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452" w:firstLineChars="200"/>
        <w:jc w:val="left"/>
        <w:textAlignment w:val="auto"/>
        <w:rPr>
          <w:rFonts w:hint="eastAsia" w:ascii="宋体" w:hAnsi="宋体" w:eastAsia="宋体" w:cs="宋体"/>
          <w:color w:val="auto"/>
          <w:spacing w:val="3"/>
          <w:sz w:val="22"/>
          <w:szCs w:val="22"/>
          <w:highlight w:val="none"/>
          <w:lang w:val="en-US" w:eastAsia="zh-CN"/>
        </w:rPr>
      </w:pPr>
    </w:p>
    <w:p w14:paraId="45005D38">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452" w:firstLineChars="200"/>
        <w:jc w:val="left"/>
        <w:textAlignment w:val="auto"/>
        <w:rPr>
          <w:rFonts w:hint="eastAsia" w:ascii="宋体" w:hAnsi="宋体" w:eastAsia="宋体" w:cs="宋体"/>
          <w:color w:val="auto"/>
          <w:spacing w:val="3"/>
          <w:sz w:val="22"/>
          <w:szCs w:val="22"/>
          <w:highlight w:val="none"/>
          <w:lang w:val="en-US" w:eastAsia="zh-CN"/>
        </w:rPr>
      </w:pPr>
    </w:p>
    <w:p w14:paraId="2A21D2A5">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452"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说明： 上述标准参照《关于印发中小企业划型标准规定的通知》（工信部联企业 [2011]300 号），大型、中型和小型企业须同时满足所列指标的下限，否则下划一档；</w:t>
      </w:r>
    </w:p>
    <w:p w14:paraId="4413BBB6">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452"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微型企业只须满足所列指标中的一项即可。</w:t>
      </w:r>
    </w:p>
    <w:p w14:paraId="3CED2043">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452"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单位提供的货物、工程或者服务符合下列情形的，享受本招标文件规定的中小企业扶持政策：</w:t>
      </w:r>
    </w:p>
    <w:p w14:paraId="271128E5">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452"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（1）在货物采购项目中，货物由中小企业制造，即货物由中小企业生产且使用该中小企业商号或者注册商标，不对其中涉及的工程承建商和服务的承接商作出要求；</w:t>
      </w:r>
    </w:p>
    <w:p w14:paraId="53C9ADBB">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452"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（2）在工程采购项目中，工程由中小企业承建，即工程施工单位为中小企业，不对其中涉及的货物的制造商和服务的承接商作出要求；</w:t>
      </w:r>
    </w:p>
    <w:p w14:paraId="2705BB60">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right="0" w:firstLine="452"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3）在服务采购项目中，服务由中小企业承接，即提供服务的人员为中小企业依照《中华人民共和国劳动合同法》订立劳动合同的从业人员，不对其中涉及的货物的制造商和工程承建商作出要求。在货物采购项目中，投标单位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依据本招标文件规定享受扶持政策获得政府采购合同的，小微企业不得将合同分包给大中型企业，中型企业不得将合同分包给大型企业。</w:t>
      </w:r>
    </w:p>
    <w:p w14:paraId="56564B91">
      <w:pPr>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br w:type="page"/>
      </w:r>
    </w:p>
    <w:p w14:paraId="69B72910">
      <w:pPr>
        <w:pStyle w:val="23"/>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360" w:lineRule="auto"/>
        <w:ind w:left="0" w:right="0"/>
        <w:jc w:val="center"/>
        <w:rPr>
          <w:highlight w:val="none"/>
        </w:rPr>
      </w:pPr>
      <w:r>
        <w:rPr>
          <w:rFonts w:ascii="Times New Roman" w:hAnsi="Times New Roman" w:cs="Times New Roman"/>
          <w:b/>
          <w:bCs/>
          <w:color w:val="000000"/>
          <w:sz w:val="28"/>
          <w:szCs w:val="28"/>
          <w:highlight w:val="none"/>
        </w:rPr>
        <w:t>《关于符合本国产品标准的声明函》</w:t>
      </w:r>
    </w:p>
    <w:p w14:paraId="638BFC62">
      <w:pPr>
        <w:pStyle w:val="23"/>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360" w:lineRule="auto"/>
        <w:jc w:val="center"/>
        <w:rPr>
          <w:highlight w:val="none"/>
        </w:rPr>
      </w:pPr>
      <w:r>
        <w:rPr>
          <w:rFonts w:ascii="Times New Roman" w:hAnsi="Times New Roman" w:cs="Times New Roman"/>
          <w:b/>
          <w:bCs/>
          <w:color w:val="000000"/>
          <w:sz w:val="28"/>
          <w:szCs w:val="28"/>
          <w:highlight w:val="none"/>
        </w:rPr>
        <w:t>或财政部会同有关部门规定的有关证明文件</w:t>
      </w:r>
    </w:p>
    <w:p w14:paraId="5B559002">
      <w:pPr>
        <w:pStyle w:val="23"/>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360" w:lineRule="auto"/>
        <w:ind w:left="0" w:firstLine="480"/>
        <w:rPr>
          <w:rFonts w:hint="eastAsia"/>
          <w:b/>
          <w:bCs/>
          <w:sz w:val="28"/>
          <w:szCs w:val="28"/>
          <w:highlight w:val="none"/>
        </w:rPr>
      </w:pPr>
      <w:r>
        <w:rPr>
          <w:rFonts w:hint="eastAsia" w:ascii="宋体" w:hAnsi="宋体" w:eastAsia="宋体" w:cs="宋体"/>
          <w:color w:val="000000"/>
          <w:sz w:val="24"/>
          <w:szCs w:val="24"/>
          <w:highlight w:val="none"/>
        </w:rPr>
        <w:t>出具符合要求的《关于符合本国产品标准的声明函》或财政部会同有关部门规定的有关证明文件的，该产品视为本国产品。</w:t>
      </w:r>
    </w:p>
    <w:p w14:paraId="6090A0DC">
      <w:pPr>
        <w:keepNext w:val="0"/>
        <w:keepLines w:val="0"/>
        <w:pageBreakBefore w:val="0"/>
        <w:widowControl w:val="0"/>
        <w:kinsoku/>
        <w:wordWrap/>
        <w:overflowPunct/>
        <w:topLinePunct w:val="0"/>
        <w:autoSpaceDE/>
        <w:autoSpaceDN/>
        <w:bidi w:val="0"/>
        <w:ind w:firstLine="562" w:firstLineChars="200"/>
        <w:jc w:val="center"/>
        <w:rPr>
          <w:rFonts w:hint="eastAsia"/>
          <w:b/>
          <w:bCs/>
          <w:sz w:val="28"/>
          <w:szCs w:val="28"/>
          <w:highlight w:val="none"/>
        </w:rPr>
      </w:pPr>
      <w:r>
        <w:rPr>
          <w:rFonts w:hint="eastAsia"/>
          <w:b/>
          <w:bCs/>
          <w:sz w:val="28"/>
          <w:szCs w:val="28"/>
          <w:highlight w:val="none"/>
        </w:rPr>
        <w:t>关于符合本国产品标准的声明函</w:t>
      </w:r>
    </w:p>
    <w:p w14:paraId="0DEF149D">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402210D5">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（产品名称1）</w:t>
      </w:r>
      <w:r>
        <w:rPr>
          <w:rFonts w:hint="eastAsia" w:ascii="宋体" w:hAnsi="宋体" w:eastAsia="宋体" w:cs="宋体"/>
          <w:sz w:val="24"/>
          <w:szCs w:val="24"/>
          <w:highlight w:val="none"/>
        </w:rPr>
        <w:t>1，生产厂为</w:t>
      </w:r>
      <w:r>
        <w:rPr>
          <w:rFonts w:hint="eastAsia" w:ascii="宋体" w:hAnsi="宋体" w:eastAsia="宋体" w:cs="宋体"/>
          <w:sz w:val="24"/>
          <w:szCs w:val="24"/>
          <w:highlight w:val="none"/>
          <w:u w:val="single"/>
        </w:rPr>
        <w:t>（厂名）</w:t>
      </w:r>
      <w:r>
        <w:rPr>
          <w:rFonts w:hint="eastAsia" w:ascii="宋体" w:hAnsi="宋体" w:eastAsia="宋体" w:cs="宋体"/>
          <w:sz w:val="24"/>
          <w:szCs w:val="24"/>
          <w:highlight w:val="none"/>
        </w:rPr>
        <w:t>2，厂址为</w:t>
      </w:r>
      <w:r>
        <w:rPr>
          <w:rFonts w:hint="eastAsia" w:ascii="宋体" w:hAnsi="宋体" w:eastAsia="宋体" w:cs="宋体"/>
          <w:sz w:val="24"/>
          <w:szCs w:val="24"/>
          <w:highlight w:val="none"/>
          <w:u w:val="single"/>
        </w:rPr>
        <w:t>（生产厂址）</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（产品名称1）</w:t>
      </w:r>
      <w:r>
        <w:rPr>
          <w:rFonts w:hint="eastAsia" w:ascii="宋体" w:hAnsi="宋体" w:eastAsia="宋体" w:cs="宋体"/>
          <w:sz w:val="24"/>
          <w:szCs w:val="24"/>
          <w:highlight w:val="none"/>
        </w:rPr>
        <w:t>的中国境内生产的组件成本占比≥（规定比例）3。</w:t>
      </w:r>
      <w:r>
        <w:rPr>
          <w:rFonts w:hint="eastAsia" w:ascii="宋体" w:hAnsi="宋体" w:eastAsia="宋体" w:cs="宋体"/>
          <w:sz w:val="24"/>
          <w:szCs w:val="24"/>
          <w:highlight w:val="none"/>
          <w:u w:val="single"/>
        </w:rPr>
        <w:t>（产品名称1）</w:t>
      </w:r>
      <w:r>
        <w:rPr>
          <w:rFonts w:hint="eastAsia" w:ascii="宋体" w:hAnsi="宋体" w:eastAsia="宋体" w:cs="宋体"/>
          <w:sz w:val="24"/>
          <w:szCs w:val="24"/>
          <w:highlight w:val="none"/>
        </w:rPr>
        <w:t>的（关键组件）4在中国境内生产。</w:t>
      </w:r>
      <w:r>
        <w:rPr>
          <w:rFonts w:hint="eastAsia" w:ascii="宋体" w:hAnsi="宋体" w:eastAsia="宋体" w:cs="宋体"/>
          <w:sz w:val="24"/>
          <w:szCs w:val="24"/>
          <w:highlight w:val="none"/>
          <w:u w:val="single"/>
        </w:rPr>
        <w:t>（产品名称1）</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（关键工序）5</w:t>
      </w:r>
      <w:r>
        <w:rPr>
          <w:rFonts w:hint="eastAsia" w:ascii="宋体" w:hAnsi="宋体" w:eastAsia="宋体" w:cs="宋体"/>
          <w:sz w:val="24"/>
          <w:szCs w:val="24"/>
          <w:highlight w:val="none"/>
        </w:rPr>
        <w:t>在中国境内完成。</w:t>
      </w:r>
    </w:p>
    <w:p w14:paraId="2CE96B0E">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（产品名称2）</w:t>
      </w:r>
      <w:r>
        <w:rPr>
          <w:rFonts w:hint="eastAsia" w:ascii="宋体" w:hAnsi="宋体" w:eastAsia="宋体" w:cs="宋体"/>
          <w:sz w:val="24"/>
          <w:szCs w:val="24"/>
          <w:highlight w:val="none"/>
        </w:rPr>
        <w:t>，生产厂为</w:t>
      </w:r>
      <w:r>
        <w:rPr>
          <w:rFonts w:hint="eastAsia" w:ascii="宋体" w:hAnsi="宋体" w:eastAsia="宋体" w:cs="宋体"/>
          <w:sz w:val="24"/>
          <w:szCs w:val="24"/>
          <w:highlight w:val="none"/>
          <w:u w:val="single"/>
        </w:rPr>
        <w:t>（厂名）</w:t>
      </w:r>
      <w:r>
        <w:rPr>
          <w:rFonts w:hint="eastAsia" w:ascii="宋体" w:hAnsi="宋体" w:eastAsia="宋体" w:cs="宋体"/>
          <w:sz w:val="24"/>
          <w:szCs w:val="24"/>
          <w:highlight w:val="none"/>
        </w:rPr>
        <w:t>，厂址为</w:t>
      </w:r>
      <w:r>
        <w:rPr>
          <w:rFonts w:hint="eastAsia" w:ascii="宋体" w:hAnsi="宋体" w:eastAsia="宋体" w:cs="宋体"/>
          <w:sz w:val="24"/>
          <w:szCs w:val="24"/>
          <w:highlight w:val="none"/>
          <w:u w:val="single"/>
        </w:rPr>
        <w:t>（生产厂址）</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（产品名称2）</w:t>
      </w:r>
      <w:r>
        <w:rPr>
          <w:rFonts w:hint="eastAsia" w:ascii="宋体" w:hAnsi="宋体" w:eastAsia="宋体" w:cs="宋体"/>
          <w:sz w:val="24"/>
          <w:szCs w:val="24"/>
          <w:highlight w:val="none"/>
        </w:rPr>
        <w:t>的中国境内生产的组件成本占比≥（规定比例）。</w:t>
      </w:r>
      <w:r>
        <w:rPr>
          <w:rFonts w:hint="eastAsia" w:ascii="宋体" w:hAnsi="宋体" w:eastAsia="宋体" w:cs="宋体"/>
          <w:sz w:val="24"/>
          <w:szCs w:val="24"/>
          <w:highlight w:val="none"/>
          <w:u w:val="single"/>
        </w:rPr>
        <w:t>（产品名称2）</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（关键组件）</w:t>
      </w:r>
      <w:r>
        <w:rPr>
          <w:rFonts w:hint="eastAsia" w:ascii="宋体" w:hAnsi="宋体" w:eastAsia="宋体" w:cs="宋体"/>
          <w:sz w:val="24"/>
          <w:szCs w:val="24"/>
          <w:highlight w:val="none"/>
        </w:rPr>
        <w:t>在中国境内生产。</w:t>
      </w:r>
      <w:r>
        <w:rPr>
          <w:rFonts w:hint="eastAsia" w:ascii="宋体" w:hAnsi="宋体" w:eastAsia="宋体" w:cs="宋体"/>
          <w:sz w:val="24"/>
          <w:szCs w:val="24"/>
          <w:highlight w:val="none"/>
          <w:u w:val="single"/>
        </w:rPr>
        <w:t>（产品名称2）</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（关键工序）</w:t>
      </w:r>
      <w:r>
        <w:rPr>
          <w:rFonts w:hint="eastAsia" w:ascii="宋体" w:hAnsi="宋体" w:eastAsia="宋体" w:cs="宋体"/>
          <w:sz w:val="24"/>
          <w:szCs w:val="24"/>
          <w:highlight w:val="none"/>
        </w:rPr>
        <w:t>在中国境内完成。</w:t>
      </w:r>
    </w:p>
    <w:p w14:paraId="1C839CA3">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23669332">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本公司（单位）对上述声明内容的真实性负责。如有虚假，愿承担相应法律责任。</w:t>
      </w:r>
    </w:p>
    <w:p w14:paraId="4778FCB1">
      <w:pPr>
        <w:keepNext w:val="0"/>
        <w:keepLines w:val="0"/>
        <w:pageBreakBefore w:val="0"/>
        <w:widowControl w:val="0"/>
        <w:kinsoku/>
        <w:wordWrap/>
        <w:overflowPunct/>
        <w:topLinePunct w:val="0"/>
        <w:autoSpaceDE/>
        <w:autoSpaceDN/>
        <w:bidi w:val="0"/>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公司（单位）名称（盖章）：　        </w:t>
      </w:r>
    </w:p>
    <w:p w14:paraId="7383B261">
      <w:pPr>
        <w:keepNext w:val="0"/>
        <w:keepLines w:val="0"/>
        <w:pageBreakBefore w:val="0"/>
        <w:widowControl w:val="0"/>
        <w:kinsoku/>
        <w:wordWrap/>
        <w:overflowPunct/>
        <w:topLinePunct w:val="0"/>
        <w:autoSpaceDE/>
        <w:autoSpaceDN/>
        <w:bidi w:val="0"/>
        <w:spacing w:line="360" w:lineRule="auto"/>
        <w:jc w:val="right"/>
        <w:rPr>
          <w:rFonts w:hint="eastAsia" w:ascii="宋体" w:hAnsi="宋体" w:eastAsia="宋体" w:cs="宋体"/>
          <w:sz w:val="28"/>
          <w:szCs w:val="28"/>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日期：　     年　  月　  日  </w:t>
      </w:r>
      <w:r>
        <w:rPr>
          <w:rFonts w:hint="eastAsia" w:ascii="宋体" w:hAnsi="宋体" w:eastAsia="宋体" w:cs="宋体"/>
          <w:sz w:val="28"/>
          <w:szCs w:val="28"/>
          <w:highlight w:val="none"/>
        </w:rPr>
        <w:t>       </w:t>
      </w:r>
    </w:p>
    <w:p w14:paraId="1E0B93B1">
      <w:pPr>
        <w:keepNext w:val="0"/>
        <w:keepLines w:val="0"/>
        <w:pageBreakBefore w:val="0"/>
        <w:widowControl w:val="0"/>
        <w:kinsoku/>
        <w:wordWrap/>
        <w:overflowPunct/>
        <w:topLinePunct w:val="0"/>
        <w:autoSpaceDE/>
        <w:autoSpaceDN/>
        <w:bidi w:val="0"/>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__________________</w:t>
      </w:r>
    </w:p>
    <w:p w14:paraId="3CD1E488">
      <w:pPr>
        <w:keepNext w:val="0"/>
        <w:keepLines w:val="0"/>
        <w:pageBreakBefore w:val="0"/>
        <w:widowControl w:val="0"/>
        <w:kinsoku/>
        <w:wordWrap/>
        <w:overflowPunct/>
        <w:topLinePunct w:val="0"/>
        <w:autoSpaceDE/>
        <w:autoSpaceDN/>
        <w:bidi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1.产品如有型号，请在“产品名称”栏一并填写。</w:t>
      </w:r>
    </w:p>
    <w:p w14:paraId="3B3E39A4">
      <w:pPr>
        <w:keepNext w:val="0"/>
        <w:keepLines w:val="0"/>
        <w:pageBreakBefore w:val="0"/>
        <w:widowControl w:val="0"/>
        <w:kinsoku/>
        <w:wordWrap/>
        <w:overflowPunct/>
        <w:topLinePunct w:val="0"/>
        <w:autoSpaceDE/>
        <w:autoSpaceDN/>
        <w:bidi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2.生产厂名与厂址应与生产厂营业执照载明的相关信息保持一致。</w:t>
      </w:r>
    </w:p>
    <w:p w14:paraId="2510E7D5">
      <w:pPr>
        <w:keepNext w:val="0"/>
        <w:keepLines w:val="0"/>
        <w:pageBreakBefore w:val="0"/>
        <w:widowControl w:val="0"/>
        <w:kinsoku/>
        <w:wordWrap/>
        <w:overflowPunct/>
        <w:topLinePunct w:val="0"/>
        <w:autoSpaceDE/>
        <w:autoSpaceDN/>
        <w:bidi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3.该产品的中国境内生产的组件成本占比相关要求实施前，“规定比例”栏可不填，下同。</w:t>
      </w:r>
    </w:p>
    <w:p w14:paraId="1392AAFB">
      <w:pPr>
        <w:keepNext w:val="0"/>
        <w:keepLines w:val="0"/>
        <w:pageBreakBefore w:val="0"/>
        <w:widowControl w:val="0"/>
        <w:kinsoku/>
        <w:wordWrap/>
        <w:overflowPunct/>
        <w:topLinePunct w:val="0"/>
        <w:autoSpaceDE/>
        <w:autoSpaceDN/>
        <w:bidi w:val="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4.该产品的关键组件要求实施前，“关键组件”栏可不填，下同。</w:t>
      </w:r>
    </w:p>
    <w:p w14:paraId="50694531">
      <w:pPr>
        <w:keepNext w:val="0"/>
        <w:keepLines w:val="0"/>
        <w:pageBreakBefore w:val="0"/>
        <w:widowControl w:val="0"/>
        <w:kinsoku/>
        <w:wordWrap/>
        <w:overflowPunct/>
        <w:topLinePunct w:val="0"/>
        <w:autoSpaceDE/>
        <w:autoSpaceDN/>
        <w:bidi w:val="0"/>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5.该产品的关键工序要求实施前，“关键工序”栏可不填，下同</w:t>
      </w:r>
      <w:r>
        <w:rPr>
          <w:rFonts w:hint="eastAsia" w:ascii="宋体" w:hAnsi="宋体" w:eastAsia="宋体" w:cs="宋体"/>
          <w:sz w:val="24"/>
          <w:szCs w:val="24"/>
          <w:highlight w:val="none"/>
          <w:lang w:eastAsia="zh-CN"/>
        </w:rPr>
        <w:t>。</w:t>
      </w:r>
    </w:p>
    <w:p w14:paraId="42D1B78E">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br w:type="page"/>
      </w:r>
    </w:p>
    <w:p w14:paraId="08401E6D">
      <w:pPr>
        <w:pStyle w:val="81"/>
        <w:jc w:val="center"/>
        <w:outlineLvl w:val="2"/>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十、残疾人福利性单位声明函（残疾人福利性单位提供）</w:t>
      </w:r>
    </w:p>
    <w:p w14:paraId="4053AC9C">
      <w:pPr>
        <w:keepNext w:val="0"/>
        <w:keepLines w:val="0"/>
        <w:pageBreakBefore w:val="0"/>
        <w:widowControl w:val="0"/>
        <w:kinsoku/>
        <w:wordWrap/>
        <w:overflowPunct/>
        <w:topLinePunct w:val="0"/>
        <w:autoSpaceDE/>
        <w:autoSpaceDN/>
        <w:bidi w:val="0"/>
        <w:adjustRightInd w:val="0"/>
        <w:snapToGrid w:val="0"/>
        <w:spacing w:beforeLines="0" w:afterLines="0" w:line="480" w:lineRule="auto"/>
        <w:ind w:right="0"/>
        <w:jc w:val="left"/>
        <w:textAlignment w:val="auto"/>
        <w:rPr>
          <w:rFonts w:hint="eastAsia" w:ascii="宋体" w:hAnsi="宋体" w:eastAsia="宋体" w:cs="宋体"/>
          <w:color w:val="auto"/>
          <w:spacing w:val="3"/>
          <w:sz w:val="22"/>
          <w:szCs w:val="22"/>
          <w:highlight w:val="none"/>
          <w:lang w:val="en-US" w:eastAsia="zh-CN"/>
        </w:rPr>
      </w:pPr>
    </w:p>
    <w:p w14:paraId="39D99D10">
      <w:pPr>
        <w:keepNext w:val="0"/>
        <w:keepLines w:val="0"/>
        <w:pageBreakBefore w:val="0"/>
        <w:widowControl w:val="0"/>
        <w:kinsoku/>
        <w:wordWrap/>
        <w:overflowPunct/>
        <w:topLinePunct w:val="0"/>
        <w:autoSpaceDE/>
        <w:autoSpaceDN/>
        <w:bidi w:val="0"/>
        <w:adjustRightInd w:val="0"/>
        <w:snapToGrid w:val="0"/>
        <w:spacing w:beforeLines="0" w:afterLines="0" w:line="480" w:lineRule="auto"/>
        <w:ind w:left="0" w:right="0" w:firstLine="492" w:firstLineChars="200"/>
        <w:jc w:val="left"/>
        <w:textAlignment w:val="auto"/>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本单位郑重声明，根据《财政部民政部中国</w:t>
      </w:r>
      <w:r>
        <w:rPr>
          <w:rFonts w:hint="eastAsia" w:ascii="宋体" w:hAnsi="宋体" w:cs="宋体"/>
          <w:color w:val="auto"/>
          <w:spacing w:val="3"/>
          <w:sz w:val="24"/>
          <w:szCs w:val="24"/>
          <w:highlight w:val="none"/>
          <w:lang w:val="en-US" w:eastAsia="zh-CN"/>
        </w:rPr>
        <w:t>残疾</w:t>
      </w:r>
      <w:r>
        <w:rPr>
          <w:rFonts w:hint="eastAsia" w:ascii="宋体" w:hAnsi="宋体" w:eastAsia="宋体" w:cs="宋体"/>
          <w:color w:val="auto"/>
          <w:spacing w:val="3"/>
          <w:sz w:val="24"/>
          <w:szCs w:val="24"/>
          <w:highlight w:val="none"/>
          <w:lang w:val="en-US" w:eastAsia="zh-CN"/>
        </w:rPr>
        <w:t>人联合会关于促进</w:t>
      </w:r>
      <w:r>
        <w:rPr>
          <w:rFonts w:hint="eastAsia" w:ascii="宋体" w:hAnsi="宋体" w:cs="宋体"/>
          <w:color w:val="auto"/>
          <w:spacing w:val="3"/>
          <w:sz w:val="24"/>
          <w:szCs w:val="24"/>
          <w:highlight w:val="none"/>
          <w:lang w:val="en-US" w:eastAsia="zh-CN"/>
        </w:rPr>
        <w:t>残疾</w:t>
      </w:r>
      <w:r>
        <w:rPr>
          <w:rFonts w:hint="eastAsia" w:ascii="宋体" w:hAnsi="宋体" w:eastAsia="宋体" w:cs="宋体"/>
          <w:color w:val="auto"/>
          <w:spacing w:val="3"/>
          <w:sz w:val="24"/>
          <w:szCs w:val="24"/>
          <w:highlight w:val="none"/>
          <w:lang w:val="en-US" w:eastAsia="zh-CN"/>
        </w:rPr>
        <w:t>人就业政府采购政策的通知》（财库〔2017〕141号）的规定，本单位为符合条件的</w:t>
      </w:r>
      <w:r>
        <w:rPr>
          <w:rFonts w:hint="eastAsia" w:ascii="宋体" w:hAnsi="宋体" w:cs="宋体"/>
          <w:color w:val="auto"/>
          <w:spacing w:val="3"/>
          <w:sz w:val="24"/>
          <w:szCs w:val="24"/>
          <w:highlight w:val="none"/>
          <w:lang w:val="en-US" w:eastAsia="zh-CN"/>
        </w:rPr>
        <w:t>残疾</w:t>
      </w:r>
      <w:r>
        <w:rPr>
          <w:rFonts w:hint="eastAsia" w:ascii="宋体" w:hAnsi="宋体" w:eastAsia="宋体" w:cs="宋体"/>
          <w:color w:val="auto"/>
          <w:spacing w:val="3"/>
          <w:sz w:val="24"/>
          <w:szCs w:val="24"/>
          <w:highlight w:val="none"/>
          <w:lang w:val="en-US" w:eastAsia="zh-CN"/>
        </w:rPr>
        <w:t>人福利性单位，且本单位参加______单位的______项目采购活动提供本单位制造的货物（由本单位承担工程/提供服务），或者提供其他</w:t>
      </w:r>
      <w:r>
        <w:rPr>
          <w:rFonts w:hint="eastAsia" w:ascii="宋体" w:hAnsi="宋体" w:cs="宋体"/>
          <w:color w:val="auto"/>
          <w:spacing w:val="3"/>
          <w:sz w:val="24"/>
          <w:szCs w:val="24"/>
          <w:highlight w:val="none"/>
          <w:lang w:val="en-US" w:eastAsia="zh-CN"/>
        </w:rPr>
        <w:t>残疾</w:t>
      </w:r>
      <w:r>
        <w:rPr>
          <w:rFonts w:hint="eastAsia" w:ascii="宋体" w:hAnsi="宋体" w:eastAsia="宋体" w:cs="宋体"/>
          <w:color w:val="auto"/>
          <w:spacing w:val="3"/>
          <w:sz w:val="24"/>
          <w:szCs w:val="24"/>
          <w:highlight w:val="none"/>
          <w:lang w:val="en-US" w:eastAsia="zh-CN"/>
        </w:rPr>
        <w:t>人福利性单位制造的货物（不包括使用非</w:t>
      </w:r>
      <w:r>
        <w:rPr>
          <w:rFonts w:hint="eastAsia" w:ascii="宋体" w:hAnsi="宋体" w:cs="宋体"/>
          <w:color w:val="auto"/>
          <w:spacing w:val="3"/>
          <w:sz w:val="24"/>
          <w:szCs w:val="24"/>
          <w:highlight w:val="none"/>
          <w:lang w:val="en-US" w:eastAsia="zh-CN"/>
        </w:rPr>
        <w:t>残疾</w:t>
      </w:r>
      <w:r>
        <w:rPr>
          <w:rFonts w:hint="eastAsia" w:ascii="宋体" w:hAnsi="宋体" w:eastAsia="宋体" w:cs="宋体"/>
          <w:color w:val="auto"/>
          <w:spacing w:val="3"/>
          <w:sz w:val="24"/>
          <w:szCs w:val="24"/>
          <w:highlight w:val="none"/>
          <w:lang w:val="en-US" w:eastAsia="zh-CN"/>
        </w:rPr>
        <w:t xml:space="preserve">人福利性单位注册商标的货物）。 </w:t>
      </w:r>
    </w:p>
    <w:p w14:paraId="716D6FE2">
      <w:pPr>
        <w:keepNext w:val="0"/>
        <w:keepLines w:val="0"/>
        <w:pageBreakBefore w:val="0"/>
        <w:widowControl w:val="0"/>
        <w:kinsoku/>
        <w:wordWrap/>
        <w:overflowPunct/>
        <w:topLinePunct w:val="0"/>
        <w:autoSpaceDE/>
        <w:autoSpaceDN/>
        <w:bidi w:val="0"/>
        <w:adjustRightInd w:val="0"/>
        <w:snapToGrid w:val="0"/>
        <w:spacing w:beforeLines="0" w:afterLines="0" w:line="480" w:lineRule="auto"/>
        <w:ind w:left="0" w:right="0" w:firstLine="492" w:firstLineChars="200"/>
        <w:jc w:val="left"/>
        <w:textAlignment w:val="auto"/>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 xml:space="preserve">本单位对上述声明的真实性负责。如有虚假，将依法承担相应责任。 </w:t>
      </w:r>
    </w:p>
    <w:p w14:paraId="606C01CA">
      <w:pPr>
        <w:spacing w:line="440" w:lineRule="exact"/>
        <w:ind w:left="0" w:leftChars="0" w:firstLine="5880" w:firstLineChars="24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投标单位（</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lang w:val="en-US" w:eastAsia="zh-CN"/>
        </w:rPr>
        <w:t xml:space="preserve">）： </w:t>
      </w:r>
    </w:p>
    <w:p w14:paraId="5190F6AD">
      <w:pPr>
        <w:spacing w:line="440" w:lineRule="exact"/>
        <w:ind w:left="0" w:leftChars="0" w:firstLine="5880" w:firstLineChars="24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p>
    <w:p w14:paraId="59DE26F1">
      <w:pPr>
        <w:spacing w:line="440" w:lineRule="exact"/>
        <w:ind w:left="0" w:leftChars="0" w:firstLine="5880" w:firstLineChars="24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C46F17D">
      <w:pPr>
        <w:pStyle w:val="37"/>
        <w:rPr>
          <w:rFonts w:hint="eastAsia"/>
          <w:color w:val="auto"/>
          <w:highlight w:val="none"/>
        </w:rPr>
      </w:pPr>
    </w:p>
    <w:p w14:paraId="6B8B9F64">
      <w:pPr>
        <w:keepNext w:val="0"/>
        <w:keepLines w:val="0"/>
        <w:pageBreakBefore w:val="0"/>
        <w:widowControl w:val="0"/>
        <w:kinsoku/>
        <w:wordWrap/>
        <w:overflowPunct/>
        <w:topLinePunct w:val="0"/>
        <w:autoSpaceDE/>
        <w:autoSpaceDN/>
        <w:bidi w:val="0"/>
        <w:adjustRightInd w:val="0"/>
        <w:snapToGrid w:val="0"/>
        <w:spacing w:beforeLines="0" w:afterLines="0" w:line="480" w:lineRule="auto"/>
        <w:ind w:left="0" w:right="0" w:firstLine="494" w:firstLineChars="200"/>
        <w:jc w:val="left"/>
        <w:textAlignment w:val="auto"/>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说明：按照《关于促进</w:t>
      </w:r>
      <w:r>
        <w:rPr>
          <w:rFonts w:hint="eastAsia" w:ascii="宋体" w:hAnsi="宋体" w:cs="宋体"/>
          <w:b/>
          <w:bCs/>
          <w:color w:val="auto"/>
          <w:spacing w:val="3"/>
          <w:sz w:val="24"/>
          <w:szCs w:val="24"/>
          <w:highlight w:val="none"/>
          <w:lang w:val="en-US" w:eastAsia="zh-CN"/>
        </w:rPr>
        <w:t>残疾</w:t>
      </w:r>
      <w:r>
        <w:rPr>
          <w:rFonts w:hint="eastAsia" w:ascii="宋体" w:hAnsi="宋体" w:eastAsia="宋体" w:cs="宋体"/>
          <w:b/>
          <w:bCs/>
          <w:color w:val="auto"/>
          <w:spacing w:val="3"/>
          <w:sz w:val="24"/>
          <w:szCs w:val="24"/>
          <w:highlight w:val="none"/>
          <w:lang w:val="en-US" w:eastAsia="zh-CN"/>
        </w:rPr>
        <w:t>人就业政府采购政策的通知》（财库〔2017〕141 号）的规定，</w:t>
      </w:r>
      <w:r>
        <w:rPr>
          <w:rFonts w:hint="eastAsia" w:ascii="宋体" w:hAnsi="宋体" w:cs="宋体"/>
          <w:b/>
          <w:bCs/>
          <w:color w:val="auto"/>
          <w:spacing w:val="3"/>
          <w:sz w:val="24"/>
          <w:szCs w:val="24"/>
          <w:highlight w:val="none"/>
          <w:lang w:val="en-US" w:eastAsia="zh-CN"/>
        </w:rPr>
        <w:t>残疾</w:t>
      </w:r>
      <w:r>
        <w:rPr>
          <w:rFonts w:hint="eastAsia" w:ascii="宋体" w:hAnsi="宋体" w:eastAsia="宋体" w:cs="宋体"/>
          <w:b/>
          <w:bCs/>
          <w:color w:val="auto"/>
          <w:spacing w:val="3"/>
          <w:sz w:val="24"/>
          <w:szCs w:val="24"/>
          <w:highlight w:val="none"/>
          <w:lang w:val="en-US" w:eastAsia="zh-CN"/>
        </w:rPr>
        <w:t>人福利性单位需提供声明函。非</w:t>
      </w:r>
      <w:r>
        <w:rPr>
          <w:rFonts w:hint="eastAsia" w:ascii="宋体" w:hAnsi="宋体" w:cs="宋体"/>
          <w:b/>
          <w:bCs/>
          <w:color w:val="auto"/>
          <w:spacing w:val="3"/>
          <w:sz w:val="24"/>
          <w:szCs w:val="24"/>
          <w:highlight w:val="none"/>
          <w:lang w:val="en-US" w:eastAsia="zh-CN"/>
        </w:rPr>
        <w:t>残疾</w:t>
      </w:r>
      <w:r>
        <w:rPr>
          <w:rFonts w:hint="eastAsia" w:ascii="宋体" w:hAnsi="宋体" w:eastAsia="宋体" w:cs="宋体"/>
          <w:b/>
          <w:bCs/>
          <w:color w:val="auto"/>
          <w:spacing w:val="3"/>
          <w:sz w:val="24"/>
          <w:szCs w:val="24"/>
          <w:highlight w:val="none"/>
          <w:lang w:val="en-US" w:eastAsia="zh-CN"/>
        </w:rPr>
        <w:t>人福利性单位，本表可不提供。</w:t>
      </w:r>
    </w:p>
    <w:p w14:paraId="4B7454CA">
      <w:pPr>
        <w:pStyle w:val="86"/>
        <w:spacing w:line="500" w:lineRule="atLeast"/>
        <w:outlineLvl w:val="9"/>
        <w:rPr>
          <w:rFonts w:hint="eastAsia" w:ascii="宋体" w:hAnsi="宋体" w:eastAsia="宋体" w:cs="宋体"/>
          <w:color w:val="auto"/>
          <w:highlight w:val="none"/>
          <w:lang w:val="en-US" w:eastAsia="zh-CN"/>
        </w:rPr>
      </w:pPr>
    </w:p>
    <w:p w14:paraId="5643EDC1">
      <w:pPr>
        <w:pStyle w:val="86"/>
        <w:spacing w:line="500" w:lineRule="atLeast"/>
        <w:outlineLvl w:val="9"/>
        <w:rPr>
          <w:rFonts w:hint="eastAsia" w:ascii="宋体" w:hAnsi="宋体" w:eastAsia="宋体" w:cs="宋体"/>
          <w:color w:val="auto"/>
          <w:highlight w:val="none"/>
          <w:lang w:val="en-US" w:eastAsia="zh-CN"/>
        </w:rPr>
      </w:pPr>
    </w:p>
    <w:p w14:paraId="3600791B">
      <w:pPr>
        <w:pStyle w:val="86"/>
        <w:spacing w:line="500" w:lineRule="atLeast"/>
        <w:outlineLvl w:val="9"/>
        <w:rPr>
          <w:rFonts w:hint="eastAsia" w:ascii="宋体" w:hAnsi="宋体" w:eastAsia="宋体" w:cs="宋体"/>
          <w:color w:val="auto"/>
          <w:highlight w:val="none"/>
          <w:lang w:val="en-US" w:eastAsia="zh-CN"/>
        </w:rPr>
      </w:pPr>
    </w:p>
    <w:p w14:paraId="41721BE9">
      <w:pPr>
        <w:pStyle w:val="86"/>
        <w:spacing w:line="500" w:lineRule="atLeast"/>
        <w:outlineLvl w:val="9"/>
        <w:rPr>
          <w:rFonts w:hint="eastAsia" w:ascii="宋体" w:hAnsi="宋体" w:eastAsia="宋体" w:cs="宋体"/>
          <w:color w:val="auto"/>
          <w:highlight w:val="none"/>
          <w:lang w:val="en-US" w:eastAsia="zh-CN"/>
        </w:rPr>
      </w:pPr>
    </w:p>
    <w:p w14:paraId="0A1AB79C">
      <w:pPr>
        <w:pStyle w:val="86"/>
        <w:spacing w:line="500" w:lineRule="atLeast"/>
        <w:outlineLvl w:val="9"/>
        <w:rPr>
          <w:rFonts w:hint="eastAsia" w:ascii="宋体" w:hAnsi="宋体" w:eastAsia="宋体" w:cs="宋体"/>
          <w:color w:val="auto"/>
          <w:highlight w:val="none"/>
          <w:lang w:val="en-US" w:eastAsia="zh-CN"/>
        </w:rPr>
      </w:pPr>
    </w:p>
    <w:p w14:paraId="325BADE2">
      <w:pPr>
        <w:pStyle w:val="86"/>
        <w:spacing w:line="500" w:lineRule="atLeast"/>
        <w:outlineLvl w:val="9"/>
        <w:rPr>
          <w:rFonts w:hint="eastAsia" w:ascii="宋体" w:hAnsi="宋体" w:eastAsia="宋体" w:cs="宋体"/>
          <w:color w:val="auto"/>
          <w:highlight w:val="none"/>
          <w:lang w:val="en-US" w:eastAsia="zh-CN"/>
        </w:rPr>
      </w:pPr>
    </w:p>
    <w:p w14:paraId="29E1F6DF">
      <w:pPr>
        <w:pStyle w:val="86"/>
        <w:spacing w:line="500" w:lineRule="atLeast"/>
        <w:outlineLvl w:val="9"/>
        <w:rPr>
          <w:rFonts w:hint="eastAsia" w:ascii="宋体" w:hAnsi="宋体" w:eastAsia="宋体" w:cs="宋体"/>
          <w:color w:val="auto"/>
          <w:highlight w:val="none"/>
          <w:lang w:val="en-US" w:eastAsia="zh-CN"/>
        </w:rPr>
      </w:pPr>
    </w:p>
    <w:p w14:paraId="4700C4C6">
      <w:pPr>
        <w:pStyle w:val="86"/>
        <w:spacing w:line="500" w:lineRule="atLeast"/>
        <w:outlineLvl w:val="9"/>
        <w:rPr>
          <w:rFonts w:hint="eastAsia" w:ascii="宋体" w:hAnsi="宋体" w:eastAsia="宋体" w:cs="宋体"/>
          <w:color w:val="auto"/>
          <w:highlight w:val="none"/>
          <w:lang w:val="en-US" w:eastAsia="zh-CN"/>
        </w:rPr>
      </w:pPr>
    </w:p>
    <w:p w14:paraId="14ED924C">
      <w:pPr>
        <w:pStyle w:val="86"/>
        <w:spacing w:line="500" w:lineRule="atLeast"/>
        <w:outlineLvl w:val="9"/>
        <w:rPr>
          <w:rFonts w:hint="eastAsia" w:ascii="宋体" w:hAnsi="宋体" w:eastAsia="宋体" w:cs="宋体"/>
          <w:color w:val="auto"/>
          <w:highlight w:val="none"/>
          <w:lang w:val="en-US" w:eastAsia="zh-CN"/>
        </w:rPr>
      </w:pPr>
    </w:p>
    <w:p w14:paraId="199F782B">
      <w:pPr>
        <w:pStyle w:val="86"/>
        <w:spacing w:line="500" w:lineRule="atLeast"/>
        <w:outlineLvl w:val="9"/>
        <w:rPr>
          <w:rFonts w:hint="eastAsia" w:ascii="宋体" w:hAnsi="宋体" w:eastAsia="宋体" w:cs="宋体"/>
          <w:color w:val="auto"/>
          <w:highlight w:val="none"/>
          <w:lang w:val="en-US" w:eastAsia="zh-CN"/>
        </w:rPr>
      </w:pPr>
    </w:p>
    <w:p w14:paraId="1B2F1C88">
      <w:pPr>
        <w:pStyle w:val="81"/>
        <w:jc w:val="center"/>
        <w:outlineLvl w:val="2"/>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 xml:space="preserve">十一、监狱企业声明函 </w:t>
      </w:r>
    </w:p>
    <w:p w14:paraId="3B395B50">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351AC03D">
      <w:pPr>
        <w:keepNext w:val="0"/>
        <w:keepLines w:val="0"/>
        <w:pageBreakBefore w:val="0"/>
        <w:widowControl w:val="0"/>
        <w:kinsoku/>
        <w:wordWrap/>
        <w:overflowPunct/>
        <w:topLinePunct w:val="0"/>
        <w:autoSpaceDE/>
        <w:autoSpaceDN/>
        <w:bidi w:val="0"/>
        <w:adjustRightInd w:val="0"/>
        <w:snapToGrid w:val="0"/>
        <w:spacing w:beforeLines="0" w:afterLines="0" w:line="480" w:lineRule="auto"/>
        <w:ind w:left="0" w:right="0" w:firstLine="492" w:firstLineChars="200"/>
        <w:jc w:val="left"/>
        <w:textAlignment w:val="auto"/>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 xml:space="preserve">本企业（单位）郑重声明下列事项（按照实际情况填空）： </w:t>
      </w:r>
    </w:p>
    <w:p w14:paraId="616E139C">
      <w:pPr>
        <w:keepNext w:val="0"/>
        <w:keepLines w:val="0"/>
        <w:pageBreakBefore w:val="0"/>
        <w:widowControl w:val="0"/>
        <w:kinsoku/>
        <w:wordWrap/>
        <w:overflowPunct/>
        <w:topLinePunct w:val="0"/>
        <w:autoSpaceDE/>
        <w:autoSpaceDN/>
        <w:bidi w:val="0"/>
        <w:adjustRightInd w:val="0"/>
        <w:snapToGrid w:val="0"/>
        <w:spacing w:beforeLines="0" w:afterLines="0" w:line="480" w:lineRule="auto"/>
        <w:ind w:left="0" w:right="0" w:firstLine="492" w:firstLineChars="200"/>
        <w:jc w:val="left"/>
        <w:textAlignment w:val="auto"/>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 xml:space="preserve">本企业（单位）为直接投标单位，提供本企业（单位）服务。 </w:t>
      </w:r>
    </w:p>
    <w:p w14:paraId="2570AB82">
      <w:pPr>
        <w:keepNext w:val="0"/>
        <w:keepLines w:val="0"/>
        <w:pageBreakBefore w:val="0"/>
        <w:widowControl w:val="0"/>
        <w:kinsoku/>
        <w:wordWrap/>
        <w:overflowPunct/>
        <w:topLinePunct w:val="0"/>
        <w:autoSpaceDE/>
        <w:autoSpaceDN/>
        <w:bidi w:val="0"/>
        <w:adjustRightInd w:val="0"/>
        <w:snapToGrid w:val="0"/>
        <w:spacing w:beforeLines="0" w:afterLines="0" w:line="480" w:lineRule="auto"/>
        <w:ind w:left="239" w:leftChars="114" w:right="0" w:firstLine="246" w:firstLineChars="100"/>
        <w:jc w:val="left"/>
        <w:textAlignment w:val="auto"/>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（1）本企业（单位）（请填写：是、不是）</w:t>
      </w:r>
      <w:r>
        <w:rPr>
          <w:rFonts w:hint="eastAsia" w:ascii="宋体" w:hAnsi="宋体" w:cs="宋体"/>
          <w:color w:val="auto"/>
          <w:spacing w:val="3"/>
          <w:sz w:val="24"/>
          <w:szCs w:val="24"/>
          <w:highlight w:val="none"/>
          <w:lang w:val="en-US" w:eastAsia="zh-CN"/>
        </w:rPr>
        <w:t>监狱</w:t>
      </w:r>
      <w:r>
        <w:rPr>
          <w:rFonts w:hint="eastAsia" w:ascii="宋体" w:hAnsi="宋体" w:eastAsia="宋体" w:cs="宋体"/>
          <w:color w:val="auto"/>
          <w:spacing w:val="3"/>
          <w:sz w:val="24"/>
          <w:szCs w:val="24"/>
          <w:highlight w:val="none"/>
          <w:lang w:val="en-US" w:eastAsia="zh-CN"/>
        </w:rPr>
        <w:t>企业。后附省级以上</w:t>
      </w:r>
      <w:r>
        <w:rPr>
          <w:rFonts w:hint="eastAsia" w:ascii="宋体" w:hAnsi="宋体" w:cs="宋体"/>
          <w:color w:val="auto"/>
          <w:spacing w:val="3"/>
          <w:sz w:val="24"/>
          <w:szCs w:val="24"/>
          <w:highlight w:val="none"/>
          <w:lang w:val="en-US" w:eastAsia="zh-CN"/>
        </w:rPr>
        <w:t>监狱</w:t>
      </w:r>
      <w:r>
        <w:rPr>
          <w:rFonts w:hint="eastAsia" w:ascii="宋体" w:hAnsi="宋体" w:eastAsia="宋体" w:cs="宋体"/>
          <w:color w:val="auto"/>
          <w:spacing w:val="3"/>
          <w:sz w:val="24"/>
          <w:szCs w:val="24"/>
          <w:highlight w:val="none"/>
          <w:lang w:val="en-US" w:eastAsia="zh-CN"/>
        </w:rPr>
        <w:t>管理局、戒</w:t>
      </w:r>
      <w:r>
        <w:rPr>
          <w:rFonts w:hint="eastAsia" w:ascii="宋体" w:hAnsi="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lang w:val="en-US" w:eastAsia="zh-CN"/>
        </w:rPr>
        <w:t>毒管理局（含新疆生产建设兵团）出具的属于</w:t>
      </w:r>
      <w:r>
        <w:rPr>
          <w:rFonts w:hint="eastAsia" w:ascii="宋体" w:hAnsi="宋体" w:cs="宋体"/>
          <w:color w:val="auto"/>
          <w:spacing w:val="3"/>
          <w:sz w:val="24"/>
          <w:szCs w:val="24"/>
          <w:highlight w:val="none"/>
          <w:lang w:val="en-US" w:eastAsia="zh-CN"/>
        </w:rPr>
        <w:t>监狱</w:t>
      </w:r>
      <w:r>
        <w:rPr>
          <w:rFonts w:hint="eastAsia" w:ascii="宋体" w:hAnsi="宋体" w:eastAsia="宋体" w:cs="宋体"/>
          <w:color w:val="auto"/>
          <w:spacing w:val="3"/>
          <w:sz w:val="24"/>
          <w:szCs w:val="24"/>
          <w:highlight w:val="none"/>
          <w:lang w:val="en-US" w:eastAsia="zh-CN"/>
        </w:rPr>
        <w:t xml:space="preserve">企业的证明文件。 </w:t>
      </w:r>
    </w:p>
    <w:p w14:paraId="40BD69AF">
      <w:pPr>
        <w:keepNext w:val="0"/>
        <w:keepLines w:val="0"/>
        <w:pageBreakBefore w:val="0"/>
        <w:widowControl w:val="0"/>
        <w:kinsoku/>
        <w:wordWrap/>
        <w:overflowPunct/>
        <w:topLinePunct w:val="0"/>
        <w:autoSpaceDE/>
        <w:autoSpaceDN/>
        <w:bidi w:val="0"/>
        <w:adjustRightInd w:val="0"/>
        <w:snapToGrid w:val="0"/>
        <w:spacing w:beforeLines="0" w:afterLines="0" w:line="480" w:lineRule="auto"/>
        <w:ind w:left="0" w:right="0" w:firstLine="492" w:firstLineChars="200"/>
        <w:jc w:val="left"/>
        <w:textAlignment w:val="auto"/>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（2）本企业（单位）（请填写：是、不是）为联合体一方，提供本企业（单位）的服务。本企业（单位）提供协议合同金额占到共同投标协议合同总金额的比例为</w:t>
      </w:r>
      <w:r>
        <w:rPr>
          <w:rFonts w:hint="eastAsia" w:ascii="宋体" w:hAnsi="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lang w:val="en-US" w:eastAsia="zh-CN"/>
        </w:rPr>
        <w:t xml:space="preserve">。 </w:t>
      </w:r>
    </w:p>
    <w:p w14:paraId="05F78EC9">
      <w:pPr>
        <w:keepNext w:val="0"/>
        <w:keepLines w:val="0"/>
        <w:pageBreakBefore w:val="0"/>
        <w:widowControl w:val="0"/>
        <w:kinsoku/>
        <w:wordWrap/>
        <w:overflowPunct/>
        <w:topLinePunct w:val="0"/>
        <w:autoSpaceDE/>
        <w:autoSpaceDN/>
        <w:bidi w:val="0"/>
        <w:adjustRightInd w:val="0"/>
        <w:snapToGrid w:val="0"/>
        <w:spacing w:beforeLines="0" w:afterLines="0" w:line="480" w:lineRule="auto"/>
        <w:ind w:left="0" w:right="0" w:firstLine="492" w:firstLineChars="200"/>
        <w:jc w:val="left"/>
        <w:textAlignment w:val="auto"/>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 xml:space="preserve">本企业（单位）对上述声明的真实性负责。如有虚假，将依法承担相应责任。 </w:t>
      </w:r>
    </w:p>
    <w:p w14:paraId="4E21D1D2">
      <w:pPr>
        <w:keepNext w:val="0"/>
        <w:keepLines w:val="0"/>
        <w:pageBreakBefore w:val="0"/>
        <w:widowControl w:val="0"/>
        <w:kinsoku/>
        <w:wordWrap/>
        <w:overflowPunct/>
        <w:topLinePunct w:val="0"/>
        <w:autoSpaceDE/>
        <w:autoSpaceDN/>
        <w:bidi w:val="0"/>
        <w:adjustRightInd w:val="0"/>
        <w:snapToGrid w:val="0"/>
        <w:spacing w:beforeLines="0" w:afterLines="0" w:line="480" w:lineRule="auto"/>
        <w:ind w:left="0" w:right="0" w:firstLine="492" w:firstLineChars="200"/>
        <w:jc w:val="left"/>
        <w:textAlignment w:val="auto"/>
        <w:rPr>
          <w:rFonts w:hint="eastAsia" w:ascii="宋体" w:hAnsi="宋体" w:eastAsia="宋体" w:cs="宋体"/>
          <w:color w:val="auto"/>
          <w:spacing w:val="3"/>
          <w:sz w:val="24"/>
          <w:szCs w:val="24"/>
          <w:highlight w:val="none"/>
          <w:lang w:val="en-US" w:eastAsia="zh-CN"/>
        </w:rPr>
      </w:pPr>
    </w:p>
    <w:p w14:paraId="397383FF">
      <w:pPr>
        <w:keepNext w:val="0"/>
        <w:keepLines w:val="0"/>
        <w:pageBreakBefore w:val="0"/>
        <w:widowControl w:val="0"/>
        <w:kinsoku/>
        <w:wordWrap/>
        <w:overflowPunct/>
        <w:topLinePunct w:val="0"/>
        <w:autoSpaceDE/>
        <w:autoSpaceDN/>
        <w:bidi w:val="0"/>
        <w:adjustRightInd w:val="0"/>
        <w:snapToGrid w:val="0"/>
        <w:spacing w:beforeLines="0" w:afterLines="0" w:line="480" w:lineRule="auto"/>
        <w:ind w:left="0" w:right="0" w:firstLine="492" w:firstLineChars="200"/>
        <w:jc w:val="left"/>
        <w:textAlignment w:val="auto"/>
        <w:rPr>
          <w:rFonts w:hint="eastAsia" w:ascii="宋体" w:hAnsi="宋体" w:eastAsia="宋体" w:cs="宋体"/>
          <w:color w:val="auto"/>
          <w:spacing w:val="3"/>
          <w:sz w:val="24"/>
          <w:szCs w:val="24"/>
          <w:highlight w:val="none"/>
          <w:lang w:val="en-US" w:eastAsia="zh-CN"/>
        </w:rPr>
      </w:pPr>
    </w:p>
    <w:p w14:paraId="5170C534">
      <w:pPr>
        <w:spacing w:line="44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投标单位（</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lang w:val="en-US" w:eastAsia="zh-CN"/>
        </w:rPr>
        <w:t xml:space="preserve">）： </w:t>
      </w:r>
    </w:p>
    <w:p w14:paraId="708EB2D2">
      <w:pPr>
        <w:spacing w:line="44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p>
    <w:p w14:paraId="72EBF7DB">
      <w:pPr>
        <w:spacing w:line="44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03B0558">
      <w:pPr>
        <w:pStyle w:val="37"/>
        <w:rPr>
          <w:rFonts w:hint="eastAsia"/>
          <w:color w:val="auto"/>
          <w:highlight w:val="none"/>
        </w:rPr>
      </w:pPr>
    </w:p>
    <w:p w14:paraId="18452F32">
      <w:pPr>
        <w:keepNext w:val="0"/>
        <w:keepLines w:val="0"/>
        <w:pageBreakBefore w:val="0"/>
        <w:widowControl w:val="0"/>
        <w:kinsoku/>
        <w:wordWrap/>
        <w:overflowPunct/>
        <w:topLinePunct w:val="0"/>
        <w:autoSpaceDE/>
        <w:autoSpaceDN/>
        <w:bidi w:val="0"/>
        <w:adjustRightInd w:val="0"/>
        <w:snapToGrid w:val="0"/>
        <w:spacing w:beforeLines="0" w:afterLines="0" w:line="480" w:lineRule="auto"/>
        <w:ind w:left="0" w:right="0" w:firstLine="494" w:firstLineChars="200"/>
        <w:jc w:val="left"/>
        <w:textAlignment w:val="auto"/>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说明：非</w:t>
      </w:r>
      <w:r>
        <w:rPr>
          <w:rFonts w:hint="eastAsia" w:ascii="宋体" w:hAnsi="宋体" w:cs="宋体"/>
          <w:b/>
          <w:bCs/>
          <w:color w:val="auto"/>
          <w:spacing w:val="3"/>
          <w:sz w:val="24"/>
          <w:szCs w:val="24"/>
          <w:highlight w:val="none"/>
          <w:lang w:val="en-US" w:eastAsia="zh-CN"/>
        </w:rPr>
        <w:t>监狱</w:t>
      </w:r>
      <w:r>
        <w:rPr>
          <w:rFonts w:hint="eastAsia" w:ascii="宋体" w:hAnsi="宋体" w:eastAsia="宋体" w:cs="宋体"/>
          <w:b/>
          <w:bCs/>
          <w:color w:val="auto"/>
          <w:spacing w:val="3"/>
          <w:sz w:val="24"/>
          <w:szCs w:val="24"/>
          <w:highlight w:val="none"/>
          <w:lang w:val="en-US" w:eastAsia="zh-CN"/>
        </w:rPr>
        <w:t>企业，本表可不提供。</w:t>
      </w:r>
    </w:p>
    <w:p w14:paraId="782BFB75">
      <w:pPr>
        <w:pStyle w:val="86"/>
        <w:spacing w:line="500" w:lineRule="atLeast"/>
        <w:outlineLvl w:val="9"/>
        <w:rPr>
          <w:rFonts w:hint="eastAsia" w:ascii="宋体" w:hAnsi="宋体" w:eastAsia="宋体" w:cs="宋体"/>
          <w:color w:val="auto"/>
          <w:highlight w:val="none"/>
          <w:lang w:val="en-US" w:eastAsia="zh-CN"/>
        </w:rPr>
      </w:pPr>
    </w:p>
    <w:p w14:paraId="23922F90">
      <w:pPr>
        <w:pStyle w:val="86"/>
        <w:spacing w:line="500" w:lineRule="atLeast"/>
        <w:outlineLvl w:val="9"/>
        <w:rPr>
          <w:rFonts w:hint="eastAsia" w:ascii="宋体" w:hAnsi="宋体" w:eastAsia="宋体" w:cs="宋体"/>
          <w:color w:val="auto"/>
          <w:highlight w:val="none"/>
          <w:lang w:val="en-US" w:eastAsia="zh-CN"/>
        </w:rPr>
      </w:pPr>
    </w:p>
    <w:p w14:paraId="577FE448">
      <w:pPr>
        <w:spacing w:before="100" w:beforeAutospacing="1" w:after="100" w:afterAutospacing="1" w:line="440" w:lineRule="exact"/>
        <w:jc w:val="center"/>
        <w:outlineLvl w:val="2"/>
        <w:rPr>
          <w:rFonts w:hint="eastAsia" w:ascii="方正仿宋_GB2312" w:hAnsi="方正仿宋_GB2312" w:eastAsia="方正仿宋_GB2312" w:cs="方正仿宋_GB2312"/>
          <w:sz w:val="24"/>
          <w:szCs w:val="24"/>
        </w:rPr>
      </w:pPr>
      <w:r>
        <w:rPr>
          <w:color w:val="auto"/>
          <w:highlight w:val="none"/>
        </w:rPr>
        <w:br w:type="page"/>
      </w:r>
      <w:bookmarkStart w:id="108" w:name="_Toc63519691"/>
      <w:bookmarkStart w:id="109" w:name="_Toc5795"/>
      <w:bookmarkStart w:id="110" w:name="_Toc22587"/>
      <w:r>
        <w:rPr>
          <w:rFonts w:hint="eastAsia" w:ascii="宋体" w:hAnsi="宋体" w:eastAsia="宋体" w:cs="宋体"/>
          <w:b/>
          <w:bCs w:val="0"/>
          <w:color w:val="auto"/>
          <w:kern w:val="2"/>
          <w:sz w:val="28"/>
          <w:szCs w:val="28"/>
          <w:highlight w:val="none"/>
          <w:lang w:val="en-US" w:eastAsia="zh-CN" w:bidi="ar-SA"/>
        </w:rPr>
        <w:t>十二、在经营活动中没有重大违法记录的书面声明</w:t>
      </w:r>
    </w:p>
    <w:p w14:paraId="6C80C3EA">
      <w:pPr>
        <w:spacing w:line="440" w:lineRule="exact"/>
        <w:jc w:val="center"/>
        <w:rPr>
          <w:rFonts w:hint="eastAsia" w:ascii="方正仿宋_GB2312" w:hAnsi="方正仿宋_GB2312" w:eastAsia="方正仿宋_GB2312" w:cs="方正仿宋_GB2312"/>
          <w:sz w:val="24"/>
          <w:szCs w:val="24"/>
        </w:rPr>
      </w:pPr>
    </w:p>
    <w:p w14:paraId="327DF68A">
      <w:pPr>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我方在参加</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（项目名称）政府采购活动前3年内，我方被公开披露或查处的违法违规行为有：</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，但在经营活动中没有重大违法记录（重大违法记录指</w:t>
      </w:r>
      <w:r>
        <w:rPr>
          <w:rFonts w:hint="eastAsia" w:ascii="方正仿宋_GB2312" w:hAnsi="方正仿宋_GB2312" w:eastAsia="方正仿宋_GB2312" w:cs="方正仿宋_GB2312"/>
          <w:kern w:val="0"/>
          <w:sz w:val="24"/>
          <w:szCs w:val="24"/>
        </w:rPr>
        <w:t>投标人因违法经营受到刑事处罚或者责令停产停业、吊销许可证或者执照、较大数额罚款等行政处罚）</w:t>
      </w:r>
      <w:r>
        <w:rPr>
          <w:rFonts w:hint="eastAsia" w:ascii="方正仿宋_GB2312" w:hAnsi="方正仿宋_GB2312" w:eastAsia="方正仿宋_GB2312" w:cs="方正仿宋_GB2312"/>
          <w:sz w:val="24"/>
          <w:szCs w:val="24"/>
        </w:rPr>
        <w:t>。</w:t>
      </w:r>
    </w:p>
    <w:p w14:paraId="5BD6916F">
      <w:pPr>
        <w:spacing w:line="440" w:lineRule="exact"/>
        <w:ind w:firstLine="480" w:firstLineChars="200"/>
        <w:rPr>
          <w:rFonts w:hint="eastAsia" w:ascii="方正仿宋_GB2312" w:hAnsi="方正仿宋_GB2312" w:eastAsia="方正仿宋_GB2312" w:cs="方正仿宋_GB2312"/>
          <w:sz w:val="24"/>
          <w:szCs w:val="24"/>
        </w:rPr>
      </w:pPr>
    </w:p>
    <w:p w14:paraId="707B4318">
      <w:pPr>
        <w:spacing w:line="440" w:lineRule="exact"/>
        <w:ind w:firstLine="480" w:firstLineChars="200"/>
        <w:rPr>
          <w:rFonts w:hint="eastAsia" w:ascii="方正仿宋_GB2312" w:hAnsi="方正仿宋_GB2312" w:eastAsia="方正仿宋_GB2312" w:cs="方正仿宋_GB2312"/>
          <w:sz w:val="24"/>
          <w:szCs w:val="24"/>
        </w:rPr>
      </w:pPr>
    </w:p>
    <w:p w14:paraId="2759F1D5">
      <w:pPr>
        <w:spacing w:line="440" w:lineRule="exact"/>
        <w:ind w:firstLine="4108" w:firstLineChars="1712"/>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投  标  人：</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（盖单位公章）</w:t>
      </w:r>
    </w:p>
    <w:p w14:paraId="43201CE9">
      <w:pPr>
        <w:spacing w:line="440" w:lineRule="exact"/>
        <w:ind w:firstLine="4108" w:firstLineChars="1712"/>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（签字或盖章）</w:t>
      </w:r>
    </w:p>
    <w:p w14:paraId="6D5CB66F">
      <w:pPr>
        <w:spacing w:line="440" w:lineRule="exact"/>
        <w:ind w:firstLine="4108" w:firstLineChars="1712"/>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      期：</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日</w:t>
      </w:r>
    </w:p>
    <w:p w14:paraId="3EB4A348">
      <w:pPr>
        <w:spacing w:line="440" w:lineRule="exact"/>
        <w:ind w:firstLine="480" w:firstLineChars="200"/>
        <w:rPr>
          <w:rFonts w:hint="eastAsia" w:ascii="方正仿宋_GB2312" w:hAnsi="方正仿宋_GB2312" w:eastAsia="方正仿宋_GB2312" w:cs="方正仿宋_GB2312"/>
          <w:sz w:val="24"/>
          <w:szCs w:val="24"/>
        </w:rPr>
      </w:pPr>
    </w:p>
    <w:p w14:paraId="059D59AB">
      <w:pPr>
        <w:spacing w:line="440" w:lineRule="exact"/>
        <w:ind w:firstLine="480" w:firstLineChars="200"/>
        <w:rPr>
          <w:rFonts w:hint="eastAsia" w:ascii="方正仿宋_GB2312" w:hAnsi="方正仿宋_GB2312" w:eastAsia="方正仿宋_GB2312" w:cs="方正仿宋_GB2312"/>
          <w:sz w:val="24"/>
          <w:szCs w:val="24"/>
        </w:rPr>
      </w:pPr>
    </w:p>
    <w:p w14:paraId="345312CE">
      <w:pPr>
        <w:spacing w:line="440" w:lineRule="exact"/>
        <w:ind w:firstLine="480" w:firstLineChars="200"/>
        <w:rPr>
          <w:rFonts w:hint="eastAsia" w:ascii="方正仿宋_GB2312" w:hAnsi="方正仿宋_GB2312" w:eastAsia="方正仿宋_GB2312" w:cs="方正仿宋_GB2312"/>
          <w:sz w:val="24"/>
          <w:szCs w:val="24"/>
        </w:rPr>
      </w:pPr>
    </w:p>
    <w:p w14:paraId="3ADCBBA1">
      <w:pPr>
        <w:pStyle w:val="82"/>
        <w:jc w:val="center"/>
        <w:outlineLvl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备注：投标人没有被公开披露或查处违法违规行为的，注明“无”即可。</w:t>
      </w:r>
    </w:p>
    <w:p w14:paraId="4A2BA94F">
      <w:pPr>
        <w:pStyle w:val="82"/>
        <w:jc w:val="center"/>
        <w:outlineLvl w:val="0"/>
        <w:rPr>
          <w:rFonts w:hint="eastAsia" w:ascii="方正仿宋_GB2312" w:hAnsi="方正仿宋_GB2312" w:eastAsia="方正仿宋_GB2312" w:cs="方正仿宋_GB2312"/>
          <w:sz w:val="24"/>
          <w:szCs w:val="24"/>
        </w:rPr>
      </w:pPr>
    </w:p>
    <w:p w14:paraId="7965948D">
      <w:pPr>
        <w:pStyle w:val="82"/>
        <w:jc w:val="center"/>
        <w:outlineLvl w:val="0"/>
        <w:rPr>
          <w:rFonts w:hint="eastAsia" w:ascii="方正仿宋_GB2312" w:hAnsi="方正仿宋_GB2312" w:eastAsia="方正仿宋_GB2312" w:cs="方正仿宋_GB2312"/>
          <w:sz w:val="24"/>
          <w:szCs w:val="24"/>
        </w:rPr>
      </w:pPr>
    </w:p>
    <w:p w14:paraId="2D73981C">
      <w:pPr>
        <w:pStyle w:val="82"/>
        <w:jc w:val="center"/>
        <w:outlineLvl w:val="0"/>
        <w:rPr>
          <w:rFonts w:hint="eastAsia" w:ascii="方正仿宋_GB2312" w:hAnsi="方正仿宋_GB2312" w:eastAsia="方正仿宋_GB2312" w:cs="方正仿宋_GB2312"/>
          <w:sz w:val="24"/>
          <w:szCs w:val="24"/>
        </w:rPr>
      </w:pPr>
    </w:p>
    <w:p w14:paraId="5B178596">
      <w:pPr>
        <w:pStyle w:val="82"/>
        <w:jc w:val="center"/>
        <w:outlineLvl w:val="0"/>
        <w:rPr>
          <w:rFonts w:hint="eastAsia" w:ascii="方正仿宋_GB2312" w:hAnsi="方正仿宋_GB2312" w:eastAsia="方正仿宋_GB2312" w:cs="方正仿宋_GB2312"/>
          <w:sz w:val="24"/>
          <w:szCs w:val="24"/>
        </w:rPr>
      </w:pPr>
    </w:p>
    <w:p w14:paraId="26A5266B">
      <w:pPr>
        <w:pStyle w:val="82"/>
        <w:jc w:val="center"/>
        <w:outlineLvl w:val="0"/>
        <w:rPr>
          <w:rFonts w:hint="eastAsia" w:ascii="方正仿宋_GB2312" w:hAnsi="方正仿宋_GB2312" w:eastAsia="方正仿宋_GB2312" w:cs="方正仿宋_GB2312"/>
          <w:sz w:val="24"/>
          <w:szCs w:val="24"/>
        </w:rPr>
      </w:pPr>
    </w:p>
    <w:p w14:paraId="77814B19">
      <w:pPr>
        <w:pStyle w:val="82"/>
        <w:jc w:val="center"/>
        <w:outlineLvl w:val="0"/>
        <w:rPr>
          <w:rFonts w:hint="eastAsia" w:ascii="方正仿宋_GB2312" w:hAnsi="方正仿宋_GB2312" w:eastAsia="方正仿宋_GB2312" w:cs="方正仿宋_GB2312"/>
          <w:sz w:val="24"/>
          <w:szCs w:val="24"/>
        </w:rPr>
      </w:pPr>
    </w:p>
    <w:p w14:paraId="7981BEC1">
      <w:pPr>
        <w:pStyle w:val="82"/>
        <w:jc w:val="center"/>
        <w:outlineLvl w:val="0"/>
        <w:rPr>
          <w:rFonts w:hint="eastAsia" w:ascii="方正仿宋_GB2312" w:hAnsi="方正仿宋_GB2312" w:eastAsia="方正仿宋_GB2312" w:cs="方正仿宋_GB2312"/>
          <w:sz w:val="24"/>
          <w:szCs w:val="24"/>
        </w:rPr>
      </w:pPr>
    </w:p>
    <w:p w14:paraId="6CFAF6B0">
      <w:pPr>
        <w:pStyle w:val="82"/>
        <w:jc w:val="center"/>
        <w:outlineLvl w:val="0"/>
        <w:rPr>
          <w:rFonts w:hint="eastAsia" w:ascii="方正仿宋_GB2312" w:hAnsi="方正仿宋_GB2312" w:eastAsia="方正仿宋_GB2312" w:cs="方正仿宋_GB2312"/>
          <w:sz w:val="24"/>
          <w:szCs w:val="24"/>
        </w:rPr>
      </w:pPr>
    </w:p>
    <w:p w14:paraId="2FC23283">
      <w:pPr>
        <w:pStyle w:val="82"/>
        <w:jc w:val="center"/>
        <w:outlineLvl w:val="0"/>
        <w:rPr>
          <w:rFonts w:hint="eastAsia" w:ascii="方正仿宋_GB2312" w:hAnsi="方正仿宋_GB2312" w:eastAsia="方正仿宋_GB2312" w:cs="方正仿宋_GB2312"/>
          <w:sz w:val="24"/>
          <w:szCs w:val="24"/>
        </w:rPr>
      </w:pPr>
    </w:p>
    <w:p w14:paraId="14C320E8">
      <w:pPr>
        <w:pStyle w:val="82"/>
        <w:jc w:val="center"/>
        <w:outlineLvl w:val="0"/>
        <w:rPr>
          <w:rFonts w:hint="eastAsia" w:ascii="方正仿宋_GB2312" w:hAnsi="方正仿宋_GB2312" w:eastAsia="方正仿宋_GB2312" w:cs="方正仿宋_GB2312"/>
          <w:sz w:val="24"/>
          <w:szCs w:val="24"/>
        </w:rPr>
      </w:pPr>
    </w:p>
    <w:p w14:paraId="4F338981">
      <w:pPr>
        <w:pStyle w:val="82"/>
        <w:jc w:val="center"/>
        <w:outlineLvl w:val="0"/>
        <w:rPr>
          <w:rFonts w:hint="eastAsia" w:ascii="方正仿宋_GB2312" w:hAnsi="方正仿宋_GB2312" w:eastAsia="方正仿宋_GB2312" w:cs="方正仿宋_GB2312"/>
          <w:sz w:val="24"/>
          <w:szCs w:val="24"/>
        </w:rPr>
      </w:pPr>
    </w:p>
    <w:p w14:paraId="13C123BE">
      <w:pPr>
        <w:pStyle w:val="82"/>
        <w:jc w:val="center"/>
        <w:outlineLvl w:val="0"/>
        <w:rPr>
          <w:color w:val="auto"/>
          <w:highlight w:val="none"/>
        </w:rPr>
      </w:pPr>
      <w:r>
        <w:rPr>
          <w:rFonts w:hint="eastAsia" w:ascii="宋体" w:hAnsi="宋体" w:eastAsia="宋体" w:cs="宋体"/>
          <w:b/>
          <w:bCs w:val="0"/>
          <w:color w:val="auto"/>
          <w:kern w:val="2"/>
          <w:sz w:val="28"/>
          <w:szCs w:val="28"/>
          <w:highlight w:val="none"/>
          <w:lang w:val="en-US" w:eastAsia="zh-CN" w:bidi="ar-SA"/>
        </w:rPr>
        <w:t>十三、不参与围标串标承诺书</w:t>
      </w:r>
      <w:bookmarkEnd w:id="108"/>
      <w:bookmarkEnd w:id="109"/>
      <w:bookmarkEnd w:id="110"/>
    </w:p>
    <w:p w14:paraId="46706568">
      <w:pPr>
        <w:pStyle w:val="75"/>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本人作为</w:t>
      </w:r>
      <w:r>
        <w:rPr>
          <w:rFonts w:hint="eastAsia" w:ascii="宋体" w:hAnsi="宋体" w:eastAsia="宋体" w:cs="宋体"/>
          <w:b w:val="0"/>
          <w:bCs/>
          <w:color w:val="auto"/>
          <w:sz w:val="24"/>
          <w:highlight w:val="none"/>
          <w:u w:val="single"/>
        </w:rPr>
        <w:t xml:space="preserve">（单位名称）                      </w:t>
      </w:r>
      <w:r>
        <w:rPr>
          <w:rFonts w:hint="eastAsia" w:ascii="宋体" w:hAnsi="宋体" w:eastAsia="宋体" w:cs="宋体"/>
          <w:b w:val="0"/>
          <w:bCs/>
          <w:color w:val="auto"/>
          <w:sz w:val="24"/>
          <w:highlight w:val="none"/>
        </w:rPr>
        <w:t>的法人，清楚知晓我公司本项目投标活动，对以下事项作出承诺：</w:t>
      </w:r>
    </w:p>
    <w:p w14:paraId="27F77B3B">
      <w:pPr>
        <w:pStyle w:val="75"/>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一、我单位遵循公开、公平、公正、诚实守信的原则，依法依规参与本项目竞标。</w:t>
      </w:r>
    </w:p>
    <w:p w14:paraId="2859D2DA">
      <w:pPr>
        <w:pStyle w:val="75"/>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二、我单位在本项目招标投标活动中，未参与围标串标。</w:t>
      </w:r>
    </w:p>
    <w:p w14:paraId="1613E2EA">
      <w:pPr>
        <w:pStyle w:val="75"/>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14:paraId="08ACE9EB">
      <w:pPr>
        <w:pStyle w:val="75"/>
        <w:spacing w:line="640" w:lineRule="exact"/>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w:t>
      </w:r>
    </w:p>
    <w:p w14:paraId="1E188ADD">
      <w:pPr>
        <w:pStyle w:val="75"/>
        <w:spacing w:line="640" w:lineRule="exact"/>
        <w:jc w:val="left"/>
        <w:rPr>
          <w:rFonts w:hint="eastAsia" w:ascii="宋体" w:hAnsi="宋体" w:eastAsia="宋体" w:cs="宋体"/>
          <w:b w:val="0"/>
          <w:bCs/>
          <w:color w:val="auto"/>
          <w:sz w:val="24"/>
          <w:highlight w:val="none"/>
        </w:rPr>
      </w:pPr>
    </w:p>
    <w:p w14:paraId="442BD1FC">
      <w:pPr>
        <w:pStyle w:val="75"/>
        <w:spacing w:line="640" w:lineRule="exact"/>
        <w:jc w:val="left"/>
        <w:rPr>
          <w:rFonts w:hint="eastAsia" w:ascii="宋体" w:hAnsi="宋体" w:eastAsia="宋体" w:cs="宋体"/>
          <w:b w:val="0"/>
          <w:bCs/>
          <w:color w:val="auto"/>
          <w:sz w:val="24"/>
          <w:highlight w:val="none"/>
        </w:rPr>
      </w:pPr>
    </w:p>
    <w:p w14:paraId="4A2E0F82">
      <w:pPr>
        <w:spacing w:line="44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投标单位（</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lang w:val="en-US" w:eastAsia="zh-CN"/>
        </w:rPr>
        <w:t xml:space="preserve">）： </w:t>
      </w:r>
    </w:p>
    <w:p w14:paraId="61FEB0B7">
      <w:pPr>
        <w:spacing w:line="44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w:t>
      </w:r>
      <w:r>
        <w:rPr>
          <w:rFonts w:hint="eastAsia" w:ascii="宋体" w:hAnsi="宋体" w:cs="宋体"/>
          <w:color w:val="auto"/>
          <w:sz w:val="24"/>
          <w:szCs w:val="24"/>
          <w:highlight w:val="none"/>
          <w:lang w:val="en-US" w:eastAsia="zh-CN"/>
        </w:rPr>
        <w:t>签字或盖章</w:t>
      </w:r>
      <w:r>
        <w:rPr>
          <w:rFonts w:hint="eastAsia" w:ascii="宋体" w:hAnsi="宋体" w:eastAsia="宋体" w:cs="宋体"/>
          <w:color w:val="auto"/>
          <w:sz w:val="24"/>
          <w:szCs w:val="24"/>
          <w:highlight w:val="none"/>
          <w:lang w:val="en-US" w:eastAsia="zh-CN"/>
        </w:rPr>
        <w:t xml:space="preserve">）： </w:t>
      </w:r>
    </w:p>
    <w:p w14:paraId="5BD7D269">
      <w:pPr>
        <w:spacing w:line="44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E3374F">
      <w:pPr>
        <w:pStyle w:val="6"/>
        <w:jc w:val="center"/>
        <w:rPr>
          <w:rFonts w:hint="eastAsia" w:ascii="Times New Roman" w:hAnsi="Times New Roman"/>
          <w:color w:val="auto"/>
          <w:sz w:val="24"/>
          <w:szCs w:val="24"/>
          <w:highlight w:val="none"/>
        </w:rPr>
      </w:pPr>
      <w:r>
        <w:rPr>
          <w:color w:val="auto"/>
          <w:highlight w:val="none"/>
        </w:rPr>
        <w:br w:type="page"/>
      </w:r>
      <w:bookmarkStart w:id="111" w:name="_Toc10281"/>
      <w:bookmarkStart w:id="112" w:name="_Toc1126"/>
      <w:bookmarkStart w:id="113" w:name="_Toc5631"/>
      <w:r>
        <w:rPr>
          <w:rFonts w:hint="eastAsia" w:ascii="宋体" w:hAnsi="宋体" w:eastAsia="宋体" w:cs="宋体"/>
          <w:b/>
          <w:bCs w:val="0"/>
          <w:color w:val="auto"/>
          <w:kern w:val="2"/>
          <w:sz w:val="28"/>
          <w:szCs w:val="28"/>
          <w:highlight w:val="none"/>
          <w:lang w:val="en-US" w:eastAsia="zh-CN" w:bidi="ar-SA"/>
        </w:rPr>
        <w:t>十四、投标单位自觉抵制政府采购领域商业贿赂行为承诺书</w:t>
      </w:r>
      <w:bookmarkEnd w:id="111"/>
      <w:bookmarkEnd w:id="112"/>
      <w:bookmarkEnd w:id="113"/>
    </w:p>
    <w:p w14:paraId="50877BED">
      <w:pPr>
        <w:pStyle w:val="8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和政府采购市场环境，维护政府采购制度良好声誉，在参与政府采购活动中，我们庄重承诺： </w:t>
      </w:r>
    </w:p>
    <w:p w14:paraId="1DB42CCB">
      <w:pPr>
        <w:pStyle w:val="8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一、依法参与政府采购活动，遵纪守法，诚信经营，公平竞争。 </w:t>
      </w:r>
    </w:p>
    <w:p w14:paraId="187CE747">
      <w:pPr>
        <w:pStyle w:val="8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二、不向采购单位、采购代理机构和政府采购评审专家提供任何形式的商业贿赂；对索取或接受商业贿赂的单位和个人，及时向财政部门和纪检监察机关举报。 </w:t>
      </w:r>
    </w:p>
    <w:p w14:paraId="3DD50B2E">
      <w:pPr>
        <w:pStyle w:val="8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三、不以提供虚假资质文件等形式参与政府采购活动，不以虚假材料谋取中标或成交。 </w:t>
      </w:r>
    </w:p>
    <w:p w14:paraId="21842A3D">
      <w:pPr>
        <w:pStyle w:val="8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四、不采取不正当手段诋毁、排挤其他</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，与其他参与政府采购活动</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保持良性的竞争关系。 </w:t>
      </w:r>
    </w:p>
    <w:p w14:paraId="099B88D5">
      <w:pPr>
        <w:pStyle w:val="8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五、不与采购单位、采购代理机构和政府采购评审专家恶意串通，自觉维护政府采购公平竞争的市场秩序。 </w:t>
      </w:r>
    </w:p>
    <w:p w14:paraId="78BCC577">
      <w:pPr>
        <w:pStyle w:val="8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六、不与其他</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串通采取围标、陪标等商业欺诈手段谋取中标或成交，积极维护国家利益、社会公共利益和采购单位的合法权益。</w:t>
      </w:r>
    </w:p>
    <w:p w14:paraId="70227374">
      <w:pPr>
        <w:pStyle w:val="8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七、严格履行政府采购合同约定义务，不在政府采购合同执行过程中采取降低质量或标准、减少数量、拖延交付时间等方式损害采购单位的利益，并自觉承担违约责任。</w:t>
      </w:r>
    </w:p>
    <w:p w14:paraId="68C4E9BA">
      <w:pPr>
        <w:pStyle w:val="8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八、自觉接受并积极配合财政部门和纪检监察机关依法实施的监督检查，如实反映情况，及时提供有关证明材料。</w:t>
      </w:r>
    </w:p>
    <w:p w14:paraId="18F74CD3">
      <w:pPr>
        <w:pStyle w:val="84"/>
        <w:adjustRightInd w:val="0"/>
        <w:snapToGrid w:val="0"/>
        <w:spacing w:line="360" w:lineRule="auto"/>
        <w:ind w:firstLine="480" w:firstLineChars="200"/>
        <w:rPr>
          <w:rFonts w:hint="eastAsia" w:ascii="宋体" w:hAnsi="宋体" w:eastAsia="宋体" w:cs="宋体"/>
          <w:color w:val="auto"/>
          <w:sz w:val="24"/>
          <w:szCs w:val="24"/>
          <w:highlight w:val="none"/>
        </w:rPr>
      </w:pPr>
    </w:p>
    <w:p w14:paraId="2ADF3FE4">
      <w:pPr>
        <w:spacing w:line="440" w:lineRule="exact"/>
        <w:ind w:firstLine="480" w:firstLineChars="200"/>
        <w:jc w:val="right"/>
        <w:rPr>
          <w:rFonts w:hint="eastAsia" w:ascii="宋体" w:hAnsi="宋体" w:eastAsia="宋体" w:cs="宋体"/>
          <w:color w:val="auto"/>
          <w:sz w:val="24"/>
          <w:szCs w:val="24"/>
          <w:highlight w:val="none"/>
        </w:rPr>
      </w:pPr>
      <w:bookmarkStart w:id="114" w:name="_Toc23602"/>
      <w:r>
        <w:rPr>
          <w:rFonts w:hint="eastAsia" w:ascii="宋体" w:hAnsi="宋体" w:eastAsia="宋体" w:cs="宋体"/>
          <w:color w:val="auto"/>
          <w:sz w:val="24"/>
          <w:szCs w:val="24"/>
          <w:highlight w:val="none"/>
          <w:lang w:val="en-US" w:eastAsia="zh-CN"/>
        </w:rPr>
        <w:t>投标单位（</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lang w:val="en-US" w:eastAsia="zh-CN"/>
        </w:rPr>
        <w:t xml:space="preserve">）： </w:t>
      </w:r>
    </w:p>
    <w:p w14:paraId="658ADC1E">
      <w:pPr>
        <w:spacing w:line="44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w:t>
      </w:r>
      <w:r>
        <w:rPr>
          <w:rFonts w:hint="eastAsia" w:ascii="宋体" w:hAnsi="宋体" w:cs="宋体"/>
          <w:color w:val="auto"/>
          <w:sz w:val="24"/>
          <w:szCs w:val="24"/>
          <w:highlight w:val="none"/>
          <w:lang w:val="en-US" w:eastAsia="zh-CN"/>
        </w:rPr>
        <w:t>签字或盖章</w:t>
      </w:r>
      <w:r>
        <w:rPr>
          <w:rFonts w:hint="eastAsia" w:ascii="宋体" w:hAnsi="宋体" w:eastAsia="宋体" w:cs="宋体"/>
          <w:color w:val="auto"/>
          <w:sz w:val="24"/>
          <w:szCs w:val="24"/>
          <w:highlight w:val="none"/>
          <w:lang w:val="en-US" w:eastAsia="zh-CN"/>
        </w:rPr>
        <w:t xml:space="preserve">）： </w:t>
      </w:r>
    </w:p>
    <w:p w14:paraId="13939BF4">
      <w:pPr>
        <w:spacing w:line="44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104A16E">
      <w:pPr>
        <w:pStyle w:val="37"/>
        <w:rPr>
          <w:rFonts w:hint="eastAsia" w:ascii="宋体" w:hAnsi="宋体" w:eastAsia="宋体" w:cs="宋体"/>
          <w:color w:val="auto"/>
          <w:sz w:val="24"/>
          <w:szCs w:val="24"/>
          <w:highlight w:val="none"/>
        </w:rPr>
      </w:pPr>
    </w:p>
    <w:p w14:paraId="33A08348">
      <w:pPr>
        <w:pStyle w:val="37"/>
        <w:rPr>
          <w:rFonts w:hint="eastAsia" w:ascii="宋体" w:hAnsi="宋体" w:eastAsia="宋体" w:cs="宋体"/>
          <w:color w:val="auto"/>
          <w:sz w:val="24"/>
          <w:szCs w:val="24"/>
          <w:highlight w:val="none"/>
        </w:rPr>
      </w:pPr>
    </w:p>
    <w:p w14:paraId="15A74EB7">
      <w:pPr>
        <w:pStyle w:val="37"/>
        <w:rPr>
          <w:rFonts w:hint="eastAsia" w:ascii="宋体" w:hAnsi="宋体" w:eastAsia="宋体" w:cs="宋体"/>
          <w:color w:val="auto"/>
          <w:sz w:val="24"/>
          <w:szCs w:val="24"/>
          <w:highlight w:val="none"/>
        </w:rPr>
      </w:pPr>
    </w:p>
    <w:p w14:paraId="366E576D">
      <w:pPr>
        <w:pStyle w:val="37"/>
        <w:rPr>
          <w:rFonts w:hint="eastAsia" w:ascii="宋体" w:hAnsi="宋体" w:eastAsia="宋体" w:cs="宋体"/>
          <w:color w:val="auto"/>
          <w:sz w:val="24"/>
          <w:szCs w:val="24"/>
          <w:highlight w:val="none"/>
        </w:rPr>
      </w:pPr>
    </w:p>
    <w:p w14:paraId="1718B4D5">
      <w:pPr>
        <w:pStyle w:val="37"/>
        <w:rPr>
          <w:rFonts w:hint="eastAsia" w:ascii="宋体" w:hAnsi="宋体" w:eastAsia="宋体" w:cs="宋体"/>
          <w:color w:val="auto"/>
          <w:sz w:val="24"/>
          <w:szCs w:val="24"/>
          <w:highlight w:val="none"/>
        </w:rPr>
      </w:pPr>
    </w:p>
    <w:p w14:paraId="50D4DC93">
      <w:pPr>
        <w:pStyle w:val="81"/>
        <w:jc w:val="center"/>
        <w:outlineLvl w:val="2"/>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十五、其他声明及文件资料</w:t>
      </w:r>
      <w:bookmarkEnd w:id="114"/>
      <w:r>
        <w:rPr>
          <w:rFonts w:hint="eastAsia" w:ascii="宋体" w:hAnsi="宋体" w:eastAsia="宋体" w:cs="宋体"/>
          <w:b/>
          <w:bCs w:val="0"/>
          <w:color w:val="auto"/>
          <w:kern w:val="2"/>
          <w:sz w:val="28"/>
          <w:szCs w:val="28"/>
          <w:highlight w:val="none"/>
          <w:lang w:val="en-US" w:eastAsia="zh-CN" w:bidi="ar-SA"/>
        </w:rPr>
        <w:t>（格式自拟）</w:t>
      </w:r>
    </w:p>
    <w:p w14:paraId="291C0B29">
      <w:pPr>
        <w:pStyle w:val="84"/>
        <w:adjustRightInd w:val="0"/>
        <w:snapToGrid w:val="0"/>
        <w:spacing w:line="360" w:lineRule="auto"/>
        <w:ind w:firstLine="480" w:firstLineChars="200"/>
        <w:rPr>
          <w:rFonts w:ascii="Times New Roman" w:hAnsi="Times New Roman"/>
          <w:color w:val="auto"/>
          <w:sz w:val="24"/>
          <w:szCs w:val="24"/>
          <w:highlight w:val="none"/>
        </w:rPr>
      </w:pPr>
    </w:p>
    <w:p w14:paraId="6322FC26">
      <w:pPr>
        <w:pStyle w:val="82"/>
        <w:ind w:firstLine="482" w:firstLineChars="200"/>
        <w:jc w:val="center"/>
        <w:outlineLvl w:val="1"/>
        <w:rPr>
          <w:rFonts w:hint="eastAsia" w:ascii="宋体" w:hAnsi="宋体" w:eastAsia="宋体" w:cs="宋体"/>
          <w:bCs/>
          <w:color w:val="auto"/>
          <w:highlight w:val="none"/>
        </w:rPr>
      </w:pPr>
      <w:bookmarkStart w:id="115" w:name="_Toc24077"/>
      <w:bookmarkStart w:id="116" w:name="_Toc26094"/>
      <w:bookmarkStart w:id="117" w:name="_Toc27395"/>
      <w:r>
        <w:rPr>
          <w:rFonts w:hint="eastAsia" w:ascii="宋体" w:hAnsi="宋体" w:eastAsia="宋体" w:cs="宋体"/>
          <w:color w:val="auto"/>
          <w:sz w:val="24"/>
          <w:highlight w:val="none"/>
          <w:lang w:val="en-US" w:eastAsia="zh-CN"/>
        </w:rPr>
        <w:t>投标单位</w:t>
      </w:r>
      <w:r>
        <w:rPr>
          <w:rFonts w:hint="eastAsia" w:ascii="宋体" w:hAnsi="宋体" w:eastAsia="宋体" w:cs="宋体"/>
          <w:color w:val="auto"/>
          <w:sz w:val="24"/>
          <w:highlight w:val="none"/>
        </w:rPr>
        <w:t>认为需要提供的其他声明及文件资料。</w:t>
      </w:r>
      <w:bookmarkEnd w:id="115"/>
      <w:bookmarkEnd w:id="116"/>
      <w:bookmarkEnd w:id="117"/>
    </w:p>
    <w:p w14:paraId="5A194A7C">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66738082">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3105C9F5">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4B895F94">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0912DEC3">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7ABC6286">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07831E17">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166E19C2">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6E836B12">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07A255D8">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701A88D2">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389CD423">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0989C6D6">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6BFD0793">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1823351B">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5EEABF99">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0FEFD7B9">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167A1DB1">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34A87FBA">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4EC343BC">
      <w:pPr>
        <w:pStyle w:val="75"/>
        <w:spacing w:line="640" w:lineRule="exact"/>
        <w:jc w:val="center"/>
        <w:rPr>
          <w:rFonts w:hint="eastAsia" w:ascii="宋体" w:hAnsi="宋体" w:eastAsia="宋体" w:cs="宋体"/>
          <w:b/>
          <w:bCs/>
          <w:color w:val="auto"/>
          <w:kern w:val="2"/>
          <w:sz w:val="28"/>
          <w:szCs w:val="28"/>
          <w:highlight w:val="none"/>
          <w:lang w:val="en-US" w:eastAsia="zh-CN" w:bidi="ar-SA"/>
        </w:rPr>
      </w:pPr>
    </w:p>
    <w:p w14:paraId="48E70D20">
      <w:pPr>
        <w:pStyle w:val="81"/>
        <w:jc w:val="center"/>
        <w:outlineLvl w:val="2"/>
        <w:rPr>
          <w:rFonts w:hint="default"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十六、技术文件</w:t>
      </w:r>
    </w:p>
    <w:p w14:paraId="0E0C3B6F">
      <w:pPr>
        <w:pStyle w:val="2"/>
        <w:ind w:firstLine="0" w:firstLineChars="0"/>
        <w:rPr>
          <w:rFonts w:hint="eastAsia"/>
          <w:color w:val="auto"/>
          <w:sz w:val="20"/>
          <w:szCs w:val="22"/>
          <w:highlight w:val="none"/>
        </w:rPr>
      </w:pPr>
    </w:p>
    <w:p w14:paraId="04326D86">
      <w:pPr>
        <w:pStyle w:val="79"/>
        <w:spacing w:line="440" w:lineRule="exact"/>
        <w:ind w:right="-97"/>
        <w:jc w:val="center"/>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参照评标办法（格式内容自拟）</w:t>
      </w:r>
    </w:p>
    <w:p w14:paraId="39D340B3">
      <w:pPr>
        <w:spacing w:line="360" w:lineRule="auto"/>
        <w:jc w:val="center"/>
        <w:rPr>
          <w:rFonts w:hint="eastAsia" w:ascii="仿宋" w:hAnsi="仿宋" w:eastAsia="仿宋" w:cs="仿宋"/>
          <w:b/>
          <w:color w:val="auto"/>
          <w:sz w:val="28"/>
          <w:szCs w:val="28"/>
          <w:highlight w:val="none"/>
        </w:rPr>
      </w:pPr>
    </w:p>
    <w:p w14:paraId="7F7B3366">
      <w:pPr>
        <w:spacing w:line="360" w:lineRule="auto"/>
        <w:jc w:val="center"/>
        <w:rPr>
          <w:rFonts w:hint="eastAsia" w:ascii="仿宋" w:hAnsi="仿宋" w:eastAsia="仿宋" w:cs="仿宋"/>
          <w:b/>
          <w:color w:val="auto"/>
          <w:sz w:val="28"/>
          <w:szCs w:val="28"/>
          <w:highlight w:val="none"/>
        </w:rPr>
      </w:pPr>
    </w:p>
    <w:p w14:paraId="0C412129">
      <w:pPr>
        <w:spacing w:line="360" w:lineRule="auto"/>
        <w:jc w:val="center"/>
        <w:rPr>
          <w:rFonts w:hint="eastAsia" w:ascii="仿宋" w:hAnsi="仿宋" w:eastAsia="仿宋" w:cs="仿宋"/>
          <w:b/>
          <w:color w:val="auto"/>
          <w:sz w:val="28"/>
          <w:szCs w:val="28"/>
          <w:highlight w:val="none"/>
        </w:rPr>
      </w:pPr>
    </w:p>
    <w:p w14:paraId="09F989D2">
      <w:pPr>
        <w:spacing w:line="360" w:lineRule="auto"/>
        <w:jc w:val="center"/>
        <w:rPr>
          <w:rFonts w:hint="eastAsia" w:ascii="仿宋" w:hAnsi="仿宋" w:eastAsia="仿宋" w:cs="仿宋"/>
          <w:b/>
          <w:color w:val="auto"/>
          <w:sz w:val="28"/>
          <w:szCs w:val="28"/>
          <w:highlight w:val="none"/>
        </w:rPr>
      </w:pPr>
    </w:p>
    <w:p w14:paraId="4F1EB97D">
      <w:pPr>
        <w:pageBreakBefore w:val="0"/>
        <w:kinsoku/>
        <w:wordWrap/>
        <w:topLinePunct w:val="0"/>
        <w:bidi w:val="0"/>
        <w:jc w:val="center"/>
        <w:outlineLvl w:val="9"/>
        <w:rPr>
          <w:b w:val="0"/>
          <w:bCs w:val="0"/>
          <w:color w:val="auto"/>
          <w:highlight w:val="none"/>
        </w:rPr>
      </w:pPr>
    </w:p>
    <w:p w14:paraId="70FCD385">
      <w:pPr>
        <w:rPr>
          <w:color w:val="auto"/>
          <w:highlight w:val="none"/>
        </w:rPr>
      </w:pPr>
    </w:p>
    <w:sectPr>
      <w:footerReference r:id="rId17" w:type="first"/>
      <w:headerReference r:id="rId14" w:type="default"/>
      <w:footerReference r:id="rId15" w:type="default"/>
      <w:footerReference r:id="rId16" w:type="even"/>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849582E-4947-45E7-9213-92E10071481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0CD235D9-AD69-4534-B007-3864144E0A3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6948BDD-0C65-406A-9F05-DB223474373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embedRegular r:id="rId4" w:fontKey="{61F7653C-3C51-465B-8EB5-7FFCDD0D27FF}"/>
  </w:font>
  <w:font w:name="仿宋">
    <w:panose1 w:val="02010609060101010101"/>
    <w:charset w:val="86"/>
    <w:family w:val="auto"/>
    <w:pitch w:val="default"/>
    <w:sig w:usb0="800002BF" w:usb1="38CF7CFA" w:usb2="00000016" w:usb3="00000000" w:csb0="00040001" w:csb1="00000000"/>
    <w:embedRegular r:id="rId5" w:fontKey="{2214AF8E-22A3-4099-B9AF-EEC976B52A88}"/>
  </w:font>
  <w:font w:name="Wingdings 2">
    <w:panose1 w:val="05020102010507070707"/>
    <w:charset w:val="02"/>
    <w:family w:val="roman"/>
    <w:pitch w:val="default"/>
    <w:sig w:usb0="00000000" w:usb1="00000000" w:usb2="00000000" w:usb3="00000000" w:csb0="80000000" w:csb1="00000000"/>
    <w:embedRegular r:id="rId6" w:fontKey="{2AC3C5CA-BB8D-4EA4-A8A2-A8CCF566EC75}"/>
  </w:font>
  <w:font w:name="MS Mincho">
    <w:panose1 w:val="02020609040205080304"/>
    <w:charset w:val="80"/>
    <w:family w:val="modern"/>
    <w:pitch w:val="default"/>
    <w:sig w:usb0="A00002BF" w:usb1="68C7FCFB" w:usb2="00000010" w:usb3="00000000" w:csb0="4002009F" w:csb1="DFD70000"/>
    <w:embedRegular r:id="rId7" w:fontKey="{E36A53F8-0AA6-4063-BC96-95811774D53D}"/>
  </w:font>
  <w:font w:name="方正仿宋_GB2312">
    <w:panose1 w:val="02000000000000000000"/>
    <w:charset w:val="86"/>
    <w:family w:val="auto"/>
    <w:pitch w:val="default"/>
    <w:sig w:usb0="A00002BF" w:usb1="184F6CFA" w:usb2="00000012" w:usb3="00000000" w:csb0="00040001" w:csb1="00000000"/>
    <w:embedRegular r:id="rId8" w:fontKey="{4B3CF976-44A9-4E87-8D98-8EE28252271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C8F20">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E7706">
    <w:pPr>
      <w:pStyle w:val="18"/>
      <w:framePr w:wrap="around" w:vAnchor="text" w:hAnchor="margin" w:xAlign="center" w:y="1"/>
      <w:rPr>
        <w:rStyle w:val="29"/>
      </w:rPr>
    </w:pPr>
    <w:r>
      <w:fldChar w:fldCharType="begin"/>
    </w:r>
    <w:r>
      <w:rPr>
        <w:rStyle w:val="29"/>
      </w:rPr>
      <w:instrText xml:space="preserve">PAGE  </w:instrText>
    </w:r>
    <w:r>
      <w:fldChar w:fldCharType="separate"/>
    </w:r>
    <w:r>
      <w:fldChar w:fldCharType="end"/>
    </w:r>
  </w:p>
  <w:p w14:paraId="6DCC6C51">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2B3D8">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00181">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14AA5">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5F14AA5">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DAC60">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DE362">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D5DE362">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CE039">
    <w:pPr>
      <w:pStyle w:val="18"/>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210C5">
                          <w:pPr>
                            <w:pStyle w:val="1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9B210C5">
                    <w:pPr>
                      <w:pStyle w:val="1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871F5">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4B809">
                          <w:pPr>
                            <w:pStyle w:val="1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D54B809">
                    <w:pPr>
                      <w:pStyle w:val="1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4094C">
    <w:pPr>
      <w:pStyle w:val="18"/>
      <w:framePr w:wrap="around" w:vAnchor="text" w:hAnchor="margin" w:xAlign="center" w:y="1"/>
      <w:rPr>
        <w:rStyle w:val="29"/>
      </w:rPr>
    </w:pPr>
    <w:r>
      <w:fldChar w:fldCharType="begin"/>
    </w:r>
    <w:r>
      <w:rPr>
        <w:rStyle w:val="29"/>
      </w:rPr>
      <w:instrText xml:space="preserve">PAGE  </w:instrText>
    </w:r>
    <w:r>
      <w:fldChar w:fldCharType="end"/>
    </w:r>
  </w:p>
  <w:p w14:paraId="06A035A1">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B4C5E">
    <w:pPr>
      <w:pStyle w:val="18"/>
      <w:framePr w:wrap="around" w:vAnchor="text" w:hAnchor="margin" w:xAlign="right" w:y="1"/>
      <w:rPr>
        <w:rStyle w:val="29"/>
      </w:rPr>
    </w:pPr>
    <w:r>
      <w:fldChar w:fldCharType="begin"/>
    </w:r>
    <w:r>
      <w:rPr>
        <w:rStyle w:val="29"/>
      </w:rPr>
      <w:instrText xml:space="preserve">PAGE  </w:instrText>
    </w:r>
    <w:r>
      <w:fldChar w:fldCharType="separate"/>
    </w:r>
    <w:r>
      <w:rPr>
        <w:rStyle w:val="29"/>
      </w:rPr>
      <w:t>122</w:t>
    </w:r>
    <w:r>
      <w:fldChar w:fldCharType="end"/>
    </w:r>
  </w:p>
  <w:p w14:paraId="79D26978">
    <w:pPr>
      <w:pStyle w:val="18"/>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7922D">
    <w:pP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8B314">
    <w:pPr>
      <w:jc w:val="right"/>
      <w:rPr>
        <w:rFonts w:ascii="仿宋" w:hAnsi="仿宋" w:eastAsia="仿宋"/>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38FE3">
    <w:pPr>
      <w:pStyle w:val="19"/>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5B7E">
    <w:pPr>
      <w:pStyle w:val="19"/>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016E">
    <w:pPr>
      <w:pStyle w:val="19"/>
      <w:pBdr>
        <w:bottom w:val="none" w:color="auto" w:sz="0" w:space="1"/>
      </w:pBdr>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C59DD">
    <w:pPr>
      <w:pStyle w:val="19"/>
      <w:widowControl w:val="0"/>
      <w:pBdr>
        <w:top w:val="none" w:color="auto" w:sz="0" w:space="1"/>
        <w:left w:val="none" w:color="auto" w:sz="0" w:space="4"/>
        <w:bottom w:val="none" w:color="auto" w:sz="0" w:space="1"/>
        <w:right w:val="none" w:color="auto" w:sz="0" w:space="4"/>
        <w:between w:val="none" w:color="auto" w:sz="0" w:space="0"/>
      </w:pBdr>
      <w:tabs>
        <w:tab w:val="center" w:pos="0"/>
        <w:tab w:val="clear" w:pos="4153"/>
      </w:tabs>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43205"/>
    <w:multiLevelType w:val="singleLevel"/>
    <w:tmpl w:val="82B43205"/>
    <w:lvl w:ilvl="0" w:tentative="0">
      <w:start w:val="5"/>
      <w:numFmt w:val="chineseCounting"/>
      <w:suff w:val="space"/>
      <w:lvlText w:val="第%1章"/>
      <w:lvlJc w:val="left"/>
      <w:rPr>
        <w:rFonts w:hint="eastAsia"/>
      </w:rPr>
    </w:lvl>
  </w:abstractNum>
  <w:abstractNum w:abstractNumId="1">
    <w:nsid w:val="9F9122BB"/>
    <w:multiLevelType w:val="singleLevel"/>
    <w:tmpl w:val="9F9122BB"/>
    <w:lvl w:ilvl="0" w:tentative="0">
      <w:start w:val="2"/>
      <w:numFmt w:val="chineseCounting"/>
      <w:suff w:val="space"/>
      <w:lvlText w:val="第%1章"/>
      <w:lvlJc w:val="left"/>
      <w:rPr>
        <w:rFonts w:hint="eastAsia"/>
      </w:rPr>
    </w:lvl>
  </w:abstractNum>
  <w:abstractNum w:abstractNumId="2">
    <w:nsid w:val="6430444F"/>
    <w:multiLevelType w:val="multilevel"/>
    <w:tmpl w:val="6430444F"/>
    <w:lvl w:ilvl="0" w:tentative="0">
      <w:start w:val="2"/>
      <w:numFmt w:val="bullet"/>
      <w:lvlText w:val="□"/>
      <w:lvlJc w:val="left"/>
      <w:pPr>
        <w:ind w:left="358" w:hanging="360"/>
      </w:pPr>
      <w:rPr>
        <w:rFonts w:hint="eastAsia" w:ascii="宋体" w:hAnsi="宋体" w:eastAsia="宋体" w:cs="宋体"/>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ZThkYzIzOTUxOWYyN2FjYTYxZTY4YTZlNWIwZjEifQ=="/>
  </w:docVars>
  <w:rsids>
    <w:rsidRoot w:val="33B86297"/>
    <w:rsid w:val="003357D8"/>
    <w:rsid w:val="00661709"/>
    <w:rsid w:val="00732078"/>
    <w:rsid w:val="00BF52BD"/>
    <w:rsid w:val="00F1191B"/>
    <w:rsid w:val="010F3B4F"/>
    <w:rsid w:val="0171343B"/>
    <w:rsid w:val="017165B7"/>
    <w:rsid w:val="01E1016E"/>
    <w:rsid w:val="023C4E17"/>
    <w:rsid w:val="02B26E88"/>
    <w:rsid w:val="02C848FD"/>
    <w:rsid w:val="02E010CC"/>
    <w:rsid w:val="02E4100B"/>
    <w:rsid w:val="03EE25F3"/>
    <w:rsid w:val="040354C1"/>
    <w:rsid w:val="04114082"/>
    <w:rsid w:val="04610B65"/>
    <w:rsid w:val="048C7E01"/>
    <w:rsid w:val="048D195A"/>
    <w:rsid w:val="048E122E"/>
    <w:rsid w:val="05E355AA"/>
    <w:rsid w:val="06021ED4"/>
    <w:rsid w:val="06066A6E"/>
    <w:rsid w:val="06191FF7"/>
    <w:rsid w:val="063B53E6"/>
    <w:rsid w:val="066D0F2F"/>
    <w:rsid w:val="06AB256C"/>
    <w:rsid w:val="06FD18DE"/>
    <w:rsid w:val="072233DD"/>
    <w:rsid w:val="072E6CF9"/>
    <w:rsid w:val="074F675E"/>
    <w:rsid w:val="07524795"/>
    <w:rsid w:val="078132CC"/>
    <w:rsid w:val="07943000"/>
    <w:rsid w:val="07C66F31"/>
    <w:rsid w:val="07D57174"/>
    <w:rsid w:val="08A47272"/>
    <w:rsid w:val="08C43471"/>
    <w:rsid w:val="08DD09D6"/>
    <w:rsid w:val="09105EDD"/>
    <w:rsid w:val="0926412B"/>
    <w:rsid w:val="094C3466"/>
    <w:rsid w:val="096469A0"/>
    <w:rsid w:val="096E162E"/>
    <w:rsid w:val="09736C45"/>
    <w:rsid w:val="09AB4631"/>
    <w:rsid w:val="09E71B0D"/>
    <w:rsid w:val="0A2543E3"/>
    <w:rsid w:val="0A387C03"/>
    <w:rsid w:val="0A481531"/>
    <w:rsid w:val="0A5E1030"/>
    <w:rsid w:val="0A9357F1"/>
    <w:rsid w:val="0AF1462C"/>
    <w:rsid w:val="0B0E30C9"/>
    <w:rsid w:val="0B0E4E77"/>
    <w:rsid w:val="0BC01790"/>
    <w:rsid w:val="0C1C7A68"/>
    <w:rsid w:val="0C5A60ED"/>
    <w:rsid w:val="0C9245D9"/>
    <w:rsid w:val="0D1349C7"/>
    <w:rsid w:val="0D374B59"/>
    <w:rsid w:val="0DDD6D83"/>
    <w:rsid w:val="0DFF66CE"/>
    <w:rsid w:val="0E0B1B42"/>
    <w:rsid w:val="0E7C47EE"/>
    <w:rsid w:val="0EAF6971"/>
    <w:rsid w:val="0ECA4EB3"/>
    <w:rsid w:val="0F19203C"/>
    <w:rsid w:val="0F242EBB"/>
    <w:rsid w:val="0F494529"/>
    <w:rsid w:val="0F59068B"/>
    <w:rsid w:val="0F7861A3"/>
    <w:rsid w:val="0F8B2F3A"/>
    <w:rsid w:val="0FA3073F"/>
    <w:rsid w:val="0FA436B7"/>
    <w:rsid w:val="0FAF1A48"/>
    <w:rsid w:val="1045758D"/>
    <w:rsid w:val="10C475B1"/>
    <w:rsid w:val="11166833"/>
    <w:rsid w:val="114159B8"/>
    <w:rsid w:val="11BD7155"/>
    <w:rsid w:val="11C6418C"/>
    <w:rsid w:val="11D206C6"/>
    <w:rsid w:val="12641821"/>
    <w:rsid w:val="129E5C9F"/>
    <w:rsid w:val="135950FD"/>
    <w:rsid w:val="1393060F"/>
    <w:rsid w:val="13AF016A"/>
    <w:rsid w:val="143C4803"/>
    <w:rsid w:val="143F2D9D"/>
    <w:rsid w:val="14832432"/>
    <w:rsid w:val="14BF71E2"/>
    <w:rsid w:val="14CC5E00"/>
    <w:rsid w:val="14E26D49"/>
    <w:rsid w:val="14FE41AE"/>
    <w:rsid w:val="15686E8D"/>
    <w:rsid w:val="15A75C6A"/>
    <w:rsid w:val="15DB44F0"/>
    <w:rsid w:val="160511CA"/>
    <w:rsid w:val="16066476"/>
    <w:rsid w:val="160C46A9"/>
    <w:rsid w:val="162B0FD3"/>
    <w:rsid w:val="16551BAC"/>
    <w:rsid w:val="16774218"/>
    <w:rsid w:val="168F0E1F"/>
    <w:rsid w:val="16A7095F"/>
    <w:rsid w:val="17045380"/>
    <w:rsid w:val="170D2487"/>
    <w:rsid w:val="175B1444"/>
    <w:rsid w:val="179F3166"/>
    <w:rsid w:val="17A90120"/>
    <w:rsid w:val="17EF2FD7"/>
    <w:rsid w:val="18383533"/>
    <w:rsid w:val="185E02B6"/>
    <w:rsid w:val="18E62F18"/>
    <w:rsid w:val="18F002B2"/>
    <w:rsid w:val="19AE61A3"/>
    <w:rsid w:val="1A036DE3"/>
    <w:rsid w:val="1A6670E8"/>
    <w:rsid w:val="1A7F369B"/>
    <w:rsid w:val="1A846F04"/>
    <w:rsid w:val="1AED2CFB"/>
    <w:rsid w:val="1B18764C"/>
    <w:rsid w:val="1B2B3823"/>
    <w:rsid w:val="1B4A0A55"/>
    <w:rsid w:val="1B527002"/>
    <w:rsid w:val="1B695C0B"/>
    <w:rsid w:val="1BD448F7"/>
    <w:rsid w:val="1BEB1466"/>
    <w:rsid w:val="1BF400B9"/>
    <w:rsid w:val="1BF97A03"/>
    <w:rsid w:val="1C1F5136"/>
    <w:rsid w:val="1C3404B6"/>
    <w:rsid w:val="1C7A236C"/>
    <w:rsid w:val="1C7A5D5E"/>
    <w:rsid w:val="1C7E5655"/>
    <w:rsid w:val="1D0C4F8F"/>
    <w:rsid w:val="1D303373"/>
    <w:rsid w:val="1D905BC0"/>
    <w:rsid w:val="1D9F409D"/>
    <w:rsid w:val="1DBA707B"/>
    <w:rsid w:val="1DD7559C"/>
    <w:rsid w:val="1E116D00"/>
    <w:rsid w:val="1E2A6014"/>
    <w:rsid w:val="1EC43D73"/>
    <w:rsid w:val="1EDB2E6A"/>
    <w:rsid w:val="1F1D0888"/>
    <w:rsid w:val="1F2D7B6A"/>
    <w:rsid w:val="1F2E743E"/>
    <w:rsid w:val="1F6B2440"/>
    <w:rsid w:val="1F7C63FB"/>
    <w:rsid w:val="1F8359DC"/>
    <w:rsid w:val="1FF71F26"/>
    <w:rsid w:val="20071E98"/>
    <w:rsid w:val="202D5948"/>
    <w:rsid w:val="203F704D"/>
    <w:rsid w:val="207672EF"/>
    <w:rsid w:val="20C53DD2"/>
    <w:rsid w:val="212E3725"/>
    <w:rsid w:val="216929AF"/>
    <w:rsid w:val="217E59FC"/>
    <w:rsid w:val="2197576F"/>
    <w:rsid w:val="21D56297"/>
    <w:rsid w:val="220A4192"/>
    <w:rsid w:val="2228286B"/>
    <w:rsid w:val="22726C2F"/>
    <w:rsid w:val="22A75E85"/>
    <w:rsid w:val="22B466E8"/>
    <w:rsid w:val="22BB723B"/>
    <w:rsid w:val="22F17100"/>
    <w:rsid w:val="230A01C2"/>
    <w:rsid w:val="236E24FF"/>
    <w:rsid w:val="23A40917"/>
    <w:rsid w:val="23AA75FC"/>
    <w:rsid w:val="23AD74CB"/>
    <w:rsid w:val="23B720F8"/>
    <w:rsid w:val="241F1A4B"/>
    <w:rsid w:val="243279D1"/>
    <w:rsid w:val="24704055"/>
    <w:rsid w:val="24C04FDC"/>
    <w:rsid w:val="24C30629"/>
    <w:rsid w:val="24E011DB"/>
    <w:rsid w:val="25382DC5"/>
    <w:rsid w:val="261B725F"/>
    <w:rsid w:val="26217CFD"/>
    <w:rsid w:val="265E2CFF"/>
    <w:rsid w:val="26621A49"/>
    <w:rsid w:val="2731714C"/>
    <w:rsid w:val="274547EB"/>
    <w:rsid w:val="27475541"/>
    <w:rsid w:val="274A3283"/>
    <w:rsid w:val="276500BD"/>
    <w:rsid w:val="27856069"/>
    <w:rsid w:val="27C13545"/>
    <w:rsid w:val="27C9064C"/>
    <w:rsid w:val="282C4737"/>
    <w:rsid w:val="286640ED"/>
    <w:rsid w:val="28B430AA"/>
    <w:rsid w:val="291F3BE5"/>
    <w:rsid w:val="29333783"/>
    <w:rsid w:val="29B449F7"/>
    <w:rsid w:val="2A6057FD"/>
    <w:rsid w:val="2A905451"/>
    <w:rsid w:val="2AD01CF1"/>
    <w:rsid w:val="2AD96DF8"/>
    <w:rsid w:val="2B632B65"/>
    <w:rsid w:val="2B9E76FA"/>
    <w:rsid w:val="2BAA2542"/>
    <w:rsid w:val="2BB84C5F"/>
    <w:rsid w:val="2BBD2276"/>
    <w:rsid w:val="2BD30EFE"/>
    <w:rsid w:val="2C7A0167"/>
    <w:rsid w:val="2CCB6492"/>
    <w:rsid w:val="2CFC5020"/>
    <w:rsid w:val="2D691711"/>
    <w:rsid w:val="2D7B23E8"/>
    <w:rsid w:val="2D945258"/>
    <w:rsid w:val="2DE53D06"/>
    <w:rsid w:val="2DFD4BAB"/>
    <w:rsid w:val="2E04418C"/>
    <w:rsid w:val="2E293BF2"/>
    <w:rsid w:val="2E5B0939"/>
    <w:rsid w:val="2EA555A0"/>
    <w:rsid w:val="2EC9121C"/>
    <w:rsid w:val="2EED10C4"/>
    <w:rsid w:val="2EF73CF0"/>
    <w:rsid w:val="2EF91817"/>
    <w:rsid w:val="2FB83480"/>
    <w:rsid w:val="2FD8768A"/>
    <w:rsid w:val="314416DB"/>
    <w:rsid w:val="32562ADC"/>
    <w:rsid w:val="3281224F"/>
    <w:rsid w:val="32DD4FAB"/>
    <w:rsid w:val="333C6176"/>
    <w:rsid w:val="33574D5E"/>
    <w:rsid w:val="33613E2E"/>
    <w:rsid w:val="33B86297"/>
    <w:rsid w:val="34AE4E51"/>
    <w:rsid w:val="34E403D0"/>
    <w:rsid w:val="354E3F3E"/>
    <w:rsid w:val="359555B3"/>
    <w:rsid w:val="35B1289B"/>
    <w:rsid w:val="35ED19A9"/>
    <w:rsid w:val="36370E76"/>
    <w:rsid w:val="363717FF"/>
    <w:rsid w:val="366F23BE"/>
    <w:rsid w:val="368F0CB2"/>
    <w:rsid w:val="36A04C6E"/>
    <w:rsid w:val="36BE50F4"/>
    <w:rsid w:val="36FF1819"/>
    <w:rsid w:val="37021484"/>
    <w:rsid w:val="374C2700"/>
    <w:rsid w:val="37EF1A09"/>
    <w:rsid w:val="389C4471"/>
    <w:rsid w:val="389E6F8B"/>
    <w:rsid w:val="38AE337D"/>
    <w:rsid w:val="39412DD0"/>
    <w:rsid w:val="3958538C"/>
    <w:rsid w:val="39930ABA"/>
    <w:rsid w:val="39B32F0A"/>
    <w:rsid w:val="3A5244D1"/>
    <w:rsid w:val="3A5C0EAC"/>
    <w:rsid w:val="3A742699"/>
    <w:rsid w:val="3AA50AA5"/>
    <w:rsid w:val="3AB40CE8"/>
    <w:rsid w:val="3B225AEB"/>
    <w:rsid w:val="3B714E2B"/>
    <w:rsid w:val="3B7F12F6"/>
    <w:rsid w:val="3BD333EF"/>
    <w:rsid w:val="3C011D0B"/>
    <w:rsid w:val="3C814BF9"/>
    <w:rsid w:val="3D94095C"/>
    <w:rsid w:val="3DE10046"/>
    <w:rsid w:val="3DE90CA8"/>
    <w:rsid w:val="3DF31BB0"/>
    <w:rsid w:val="3E302CB3"/>
    <w:rsid w:val="3E491747"/>
    <w:rsid w:val="3EE37DED"/>
    <w:rsid w:val="3F1955BD"/>
    <w:rsid w:val="3F8C2250"/>
    <w:rsid w:val="3F905A3F"/>
    <w:rsid w:val="3F9E0B64"/>
    <w:rsid w:val="40307062"/>
    <w:rsid w:val="40D505C6"/>
    <w:rsid w:val="40F0234E"/>
    <w:rsid w:val="40F775DF"/>
    <w:rsid w:val="419A40E3"/>
    <w:rsid w:val="41CE6B33"/>
    <w:rsid w:val="41D4251D"/>
    <w:rsid w:val="41FD11C6"/>
    <w:rsid w:val="42115072"/>
    <w:rsid w:val="42291FBB"/>
    <w:rsid w:val="42B75819"/>
    <w:rsid w:val="42B92207"/>
    <w:rsid w:val="430270A7"/>
    <w:rsid w:val="434150E2"/>
    <w:rsid w:val="43EF1957"/>
    <w:rsid w:val="43F06109"/>
    <w:rsid w:val="43F65ECD"/>
    <w:rsid w:val="44022AC4"/>
    <w:rsid w:val="442D1D69"/>
    <w:rsid w:val="452F78E8"/>
    <w:rsid w:val="454B049A"/>
    <w:rsid w:val="456357E4"/>
    <w:rsid w:val="456F3F06"/>
    <w:rsid w:val="459E681C"/>
    <w:rsid w:val="45B85B30"/>
    <w:rsid w:val="45CA5861"/>
    <w:rsid w:val="462C207A"/>
    <w:rsid w:val="465313B5"/>
    <w:rsid w:val="467557CF"/>
    <w:rsid w:val="46F5246C"/>
    <w:rsid w:val="46F85CAE"/>
    <w:rsid w:val="471F573B"/>
    <w:rsid w:val="47312806"/>
    <w:rsid w:val="47482EE3"/>
    <w:rsid w:val="47CC58C3"/>
    <w:rsid w:val="47D429C9"/>
    <w:rsid w:val="47F92430"/>
    <w:rsid w:val="4809447B"/>
    <w:rsid w:val="487227B2"/>
    <w:rsid w:val="48BB1493"/>
    <w:rsid w:val="48C742DC"/>
    <w:rsid w:val="48E22EC4"/>
    <w:rsid w:val="491C4628"/>
    <w:rsid w:val="49557B3A"/>
    <w:rsid w:val="49AA1C33"/>
    <w:rsid w:val="49DC3DB7"/>
    <w:rsid w:val="4A1B043B"/>
    <w:rsid w:val="4A631DE2"/>
    <w:rsid w:val="4A873D23"/>
    <w:rsid w:val="4ACF7478"/>
    <w:rsid w:val="4AE31D46"/>
    <w:rsid w:val="4AEF02E9"/>
    <w:rsid w:val="4AF64A04"/>
    <w:rsid w:val="4B272E10"/>
    <w:rsid w:val="4B315A3D"/>
    <w:rsid w:val="4B985ABC"/>
    <w:rsid w:val="4BC44B03"/>
    <w:rsid w:val="4BC6087B"/>
    <w:rsid w:val="4C9D5A7F"/>
    <w:rsid w:val="4CBA03DF"/>
    <w:rsid w:val="4D0A4797"/>
    <w:rsid w:val="4D1A2C2C"/>
    <w:rsid w:val="4D7F0CE1"/>
    <w:rsid w:val="4D8B1D7C"/>
    <w:rsid w:val="4DA22C22"/>
    <w:rsid w:val="4DE16C1E"/>
    <w:rsid w:val="4DEB39E3"/>
    <w:rsid w:val="4E35420D"/>
    <w:rsid w:val="4E720846"/>
    <w:rsid w:val="4E8B1908"/>
    <w:rsid w:val="4E984750"/>
    <w:rsid w:val="4EA7275F"/>
    <w:rsid w:val="4F010023"/>
    <w:rsid w:val="4F9F38BD"/>
    <w:rsid w:val="4FBD1F95"/>
    <w:rsid w:val="4FF96A27"/>
    <w:rsid w:val="50120532"/>
    <w:rsid w:val="50445253"/>
    <w:rsid w:val="50746AF7"/>
    <w:rsid w:val="51621046"/>
    <w:rsid w:val="51750D79"/>
    <w:rsid w:val="51AC406F"/>
    <w:rsid w:val="52B753C1"/>
    <w:rsid w:val="52D0223A"/>
    <w:rsid w:val="5311062D"/>
    <w:rsid w:val="53C75190"/>
    <w:rsid w:val="53D605D0"/>
    <w:rsid w:val="54041F40"/>
    <w:rsid w:val="54322F51"/>
    <w:rsid w:val="54380327"/>
    <w:rsid w:val="544D1B39"/>
    <w:rsid w:val="548D510C"/>
    <w:rsid w:val="54CA2A22"/>
    <w:rsid w:val="54D00676"/>
    <w:rsid w:val="550146D2"/>
    <w:rsid w:val="55801B46"/>
    <w:rsid w:val="5583158B"/>
    <w:rsid w:val="55A25EB5"/>
    <w:rsid w:val="55B87AE5"/>
    <w:rsid w:val="55C0458D"/>
    <w:rsid w:val="55F12998"/>
    <w:rsid w:val="56334D5F"/>
    <w:rsid w:val="56530F5D"/>
    <w:rsid w:val="565D6CC3"/>
    <w:rsid w:val="567E1F8B"/>
    <w:rsid w:val="56990501"/>
    <w:rsid w:val="56D00BDA"/>
    <w:rsid w:val="5705464A"/>
    <w:rsid w:val="5740242F"/>
    <w:rsid w:val="580C1D0B"/>
    <w:rsid w:val="58504EE1"/>
    <w:rsid w:val="589A12BA"/>
    <w:rsid w:val="58B06B3A"/>
    <w:rsid w:val="58F06F37"/>
    <w:rsid w:val="592731C9"/>
    <w:rsid w:val="59305585"/>
    <w:rsid w:val="59747E24"/>
    <w:rsid w:val="59C669A8"/>
    <w:rsid w:val="5A1530F9"/>
    <w:rsid w:val="5ABA77FD"/>
    <w:rsid w:val="5B210640"/>
    <w:rsid w:val="5B501F0F"/>
    <w:rsid w:val="5B9242D5"/>
    <w:rsid w:val="5C514191"/>
    <w:rsid w:val="5C6739B4"/>
    <w:rsid w:val="5CA43B8B"/>
    <w:rsid w:val="5CA61E20"/>
    <w:rsid w:val="5CC851EC"/>
    <w:rsid w:val="5CF76AE6"/>
    <w:rsid w:val="5D027239"/>
    <w:rsid w:val="5D7C348F"/>
    <w:rsid w:val="5D916F3A"/>
    <w:rsid w:val="5DC8718A"/>
    <w:rsid w:val="5E1D0FB7"/>
    <w:rsid w:val="5E2C0A11"/>
    <w:rsid w:val="5E783C56"/>
    <w:rsid w:val="5E7E6D93"/>
    <w:rsid w:val="5EB17168"/>
    <w:rsid w:val="5F5B0250"/>
    <w:rsid w:val="60270A0A"/>
    <w:rsid w:val="609B00D0"/>
    <w:rsid w:val="60DF1D6B"/>
    <w:rsid w:val="61083617"/>
    <w:rsid w:val="611C2FBF"/>
    <w:rsid w:val="61210BF4"/>
    <w:rsid w:val="619C4100"/>
    <w:rsid w:val="61A235DE"/>
    <w:rsid w:val="61D92C5E"/>
    <w:rsid w:val="61E57855"/>
    <w:rsid w:val="62214605"/>
    <w:rsid w:val="626852C9"/>
    <w:rsid w:val="62C751AC"/>
    <w:rsid w:val="62E573E1"/>
    <w:rsid w:val="62F45876"/>
    <w:rsid w:val="630B32EB"/>
    <w:rsid w:val="631141FF"/>
    <w:rsid w:val="634265E1"/>
    <w:rsid w:val="639332E1"/>
    <w:rsid w:val="641A130C"/>
    <w:rsid w:val="643248A8"/>
    <w:rsid w:val="645111D2"/>
    <w:rsid w:val="645B2050"/>
    <w:rsid w:val="647629E6"/>
    <w:rsid w:val="64B21544"/>
    <w:rsid w:val="64B5748D"/>
    <w:rsid w:val="64BD6867"/>
    <w:rsid w:val="656F1986"/>
    <w:rsid w:val="657B2070"/>
    <w:rsid w:val="658C7FE7"/>
    <w:rsid w:val="65AB2B63"/>
    <w:rsid w:val="65B17A4E"/>
    <w:rsid w:val="65E46075"/>
    <w:rsid w:val="65F641B0"/>
    <w:rsid w:val="66212E26"/>
    <w:rsid w:val="66293A88"/>
    <w:rsid w:val="662E109F"/>
    <w:rsid w:val="67087B42"/>
    <w:rsid w:val="671D35ED"/>
    <w:rsid w:val="672506F4"/>
    <w:rsid w:val="675131F0"/>
    <w:rsid w:val="67966EFB"/>
    <w:rsid w:val="682B3AE8"/>
    <w:rsid w:val="683053CB"/>
    <w:rsid w:val="687C4343"/>
    <w:rsid w:val="68F4037D"/>
    <w:rsid w:val="69083E29"/>
    <w:rsid w:val="69205616"/>
    <w:rsid w:val="692364CA"/>
    <w:rsid w:val="694D729F"/>
    <w:rsid w:val="69825989"/>
    <w:rsid w:val="6A1C5DDE"/>
    <w:rsid w:val="6ACA548D"/>
    <w:rsid w:val="6ACB34FC"/>
    <w:rsid w:val="6AED271B"/>
    <w:rsid w:val="6B1E5B86"/>
    <w:rsid w:val="6B3E1D84"/>
    <w:rsid w:val="6B594E10"/>
    <w:rsid w:val="6B607F4C"/>
    <w:rsid w:val="6BAD0D11"/>
    <w:rsid w:val="6BB85EE0"/>
    <w:rsid w:val="6BD10E4A"/>
    <w:rsid w:val="6BF6265F"/>
    <w:rsid w:val="6C327B3B"/>
    <w:rsid w:val="6C6B2F4A"/>
    <w:rsid w:val="6C924135"/>
    <w:rsid w:val="6CA87DFD"/>
    <w:rsid w:val="6CAE6A95"/>
    <w:rsid w:val="6CE54BAD"/>
    <w:rsid w:val="6CED5810"/>
    <w:rsid w:val="6D561607"/>
    <w:rsid w:val="6DC9002B"/>
    <w:rsid w:val="6E3851B0"/>
    <w:rsid w:val="6E4B4EE4"/>
    <w:rsid w:val="6E6B7334"/>
    <w:rsid w:val="6EC55308"/>
    <w:rsid w:val="6EE113A4"/>
    <w:rsid w:val="6EEA4920"/>
    <w:rsid w:val="6F26325B"/>
    <w:rsid w:val="6F5E0C47"/>
    <w:rsid w:val="6F7A7103"/>
    <w:rsid w:val="6FDE7343"/>
    <w:rsid w:val="701B2694"/>
    <w:rsid w:val="70293003"/>
    <w:rsid w:val="704C4F43"/>
    <w:rsid w:val="70AA3CDC"/>
    <w:rsid w:val="71031AA6"/>
    <w:rsid w:val="71AA1F21"/>
    <w:rsid w:val="71C823A7"/>
    <w:rsid w:val="71D62F0C"/>
    <w:rsid w:val="72D059B7"/>
    <w:rsid w:val="73506AF8"/>
    <w:rsid w:val="739E5AB6"/>
    <w:rsid w:val="73AB7AE6"/>
    <w:rsid w:val="742D6E39"/>
    <w:rsid w:val="745D327B"/>
    <w:rsid w:val="74A90BD5"/>
    <w:rsid w:val="74B85108"/>
    <w:rsid w:val="74DD260E"/>
    <w:rsid w:val="74E25E76"/>
    <w:rsid w:val="74F811F5"/>
    <w:rsid w:val="750202C6"/>
    <w:rsid w:val="752A42E0"/>
    <w:rsid w:val="752E2E69"/>
    <w:rsid w:val="757A2051"/>
    <w:rsid w:val="75A60C51"/>
    <w:rsid w:val="75AC78ED"/>
    <w:rsid w:val="76172CE4"/>
    <w:rsid w:val="76C05D43"/>
    <w:rsid w:val="771A2DAD"/>
    <w:rsid w:val="77901BB9"/>
    <w:rsid w:val="787E75BC"/>
    <w:rsid w:val="78812120"/>
    <w:rsid w:val="78B43685"/>
    <w:rsid w:val="78BA2A7E"/>
    <w:rsid w:val="78FD3DB1"/>
    <w:rsid w:val="794C7D62"/>
    <w:rsid w:val="796436AB"/>
    <w:rsid w:val="797F3840"/>
    <w:rsid w:val="79AC5645"/>
    <w:rsid w:val="79DC7338"/>
    <w:rsid w:val="79F521A7"/>
    <w:rsid w:val="7A0A5C53"/>
    <w:rsid w:val="7A951295"/>
    <w:rsid w:val="7AE91D0C"/>
    <w:rsid w:val="7B1571EB"/>
    <w:rsid w:val="7B5A6BC5"/>
    <w:rsid w:val="7B810197"/>
    <w:rsid w:val="7BB5399C"/>
    <w:rsid w:val="7BB816DF"/>
    <w:rsid w:val="7BBD0AA3"/>
    <w:rsid w:val="7C0B180E"/>
    <w:rsid w:val="7CD2057E"/>
    <w:rsid w:val="7D0D6708"/>
    <w:rsid w:val="7D172435"/>
    <w:rsid w:val="7D3F20B7"/>
    <w:rsid w:val="7D543D38"/>
    <w:rsid w:val="7D673F4F"/>
    <w:rsid w:val="7D7C0DF3"/>
    <w:rsid w:val="7DD547CA"/>
    <w:rsid w:val="7DF67A99"/>
    <w:rsid w:val="7E5C0A47"/>
    <w:rsid w:val="7E9C7095"/>
    <w:rsid w:val="7F233313"/>
    <w:rsid w:val="7F403EC5"/>
    <w:rsid w:val="7F8F2756"/>
    <w:rsid w:val="7F912972"/>
    <w:rsid w:val="7FD3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autoRedefine/>
    <w:qFormat/>
    <w:uiPriority w:val="0"/>
    <w:pPr>
      <w:keepNext/>
      <w:keepLines/>
      <w:spacing w:before="340" w:after="330" w:line="576" w:lineRule="auto"/>
      <w:outlineLvl w:val="0"/>
    </w:pPr>
    <w:rPr>
      <w:kern w:val="44"/>
      <w:sz w:val="44"/>
      <w:szCs w:val="44"/>
    </w:rPr>
  </w:style>
  <w:style w:type="paragraph" w:styleId="6">
    <w:name w:val="heading 2"/>
    <w:basedOn w:val="1"/>
    <w:next w:val="1"/>
    <w:link w:val="74"/>
    <w:autoRedefine/>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line="600" w:lineRule="exact"/>
      <w:ind w:firstLine="643" w:firstLineChars="200"/>
      <w:outlineLvl w:val="2"/>
    </w:pPr>
    <w:rPr>
      <w:b/>
      <w:bCs/>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semiHidden/>
    <w:unhideWhenUsed/>
    <w:qFormat/>
    <w:uiPriority w:val="99"/>
    <w:pPr>
      <w:ind w:firstLine="420" w:firstLineChars="100"/>
    </w:pPr>
  </w:style>
  <w:style w:type="paragraph" w:styleId="3">
    <w:name w:val="Body Text"/>
    <w:basedOn w:val="1"/>
    <w:next w:val="2"/>
    <w:autoRedefine/>
    <w:unhideWhenUsed/>
    <w:qFormat/>
    <w:uiPriority w:val="99"/>
    <w:pPr>
      <w:spacing w:after="120"/>
    </w:pPr>
  </w:style>
  <w:style w:type="paragraph" w:styleId="5">
    <w:name w:val="Title"/>
    <w:basedOn w:val="1"/>
    <w:autoRedefine/>
    <w:qFormat/>
    <w:uiPriority w:val="0"/>
    <w:pPr>
      <w:spacing w:before="240" w:after="60"/>
      <w:jc w:val="center"/>
      <w:outlineLvl w:val="0"/>
    </w:pPr>
    <w:rPr>
      <w:rFonts w:ascii="Cambria" w:hAnsi="Cambria" w:eastAsia="宋体" w:cs="Times New Roman"/>
      <w:b/>
      <w:bCs/>
      <w:sz w:val="32"/>
      <w:szCs w:val="32"/>
    </w:rPr>
  </w:style>
  <w:style w:type="paragraph" w:styleId="9">
    <w:name w:val="Normal Indent"/>
    <w:basedOn w:val="1"/>
    <w:next w:val="1"/>
    <w:autoRedefine/>
    <w:qFormat/>
    <w:uiPriority w:val="99"/>
    <w:pPr>
      <w:ind w:firstLine="420"/>
    </w:pPr>
    <w:rPr>
      <w:szCs w:val="20"/>
    </w:rPr>
  </w:style>
  <w:style w:type="paragraph" w:styleId="10">
    <w:name w:val="index 5"/>
    <w:basedOn w:val="11"/>
    <w:next w:val="11"/>
    <w:autoRedefine/>
    <w:qFormat/>
    <w:uiPriority w:val="0"/>
    <w:pPr>
      <w:ind w:left="1680"/>
    </w:pPr>
  </w:style>
  <w:style w:type="paragraph" w:customStyle="1" w:styleId="11">
    <w:name w:val="Normal"/>
    <w:basedOn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_0"/>
    <w:basedOn w:val="13"/>
    <w:next w:val="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_1"/>
    <w:next w:val="14"/>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
    <w:name w:val="列表_0"/>
    <w:basedOn w:val="13"/>
    <w:autoRedefine/>
    <w:semiHidden/>
    <w:qFormat/>
    <w:locked/>
    <w:uiPriority w:val="0"/>
    <w:pPr>
      <w:ind w:left="200" w:hanging="200" w:hangingChars="200"/>
    </w:pPr>
  </w:style>
  <w:style w:type="paragraph" w:styleId="15">
    <w:name w:val="List"/>
    <w:basedOn w:val="1"/>
    <w:autoRedefine/>
    <w:qFormat/>
    <w:uiPriority w:val="0"/>
    <w:pPr>
      <w:ind w:left="200" w:hanging="200" w:hangingChars="200"/>
    </w:pPr>
    <w:rPr>
      <w:sz w:val="28"/>
    </w:rPr>
  </w:style>
  <w:style w:type="paragraph" w:styleId="16">
    <w:name w:val="Body Text Indent"/>
    <w:basedOn w:val="1"/>
    <w:next w:val="8"/>
    <w:autoRedefine/>
    <w:qFormat/>
    <w:uiPriority w:val="0"/>
    <w:pPr>
      <w:ind w:left="720"/>
    </w:pPr>
    <w:rPr>
      <w:rFonts w:ascii="宋体" w:hAnsi="宋体"/>
      <w:sz w:val="28"/>
    </w:rPr>
  </w:style>
  <w:style w:type="paragraph" w:styleId="17">
    <w:name w:val="Plain Text"/>
    <w:basedOn w:val="1"/>
    <w:autoRedefine/>
    <w:qFormat/>
    <w:uiPriority w:val="0"/>
    <w:rPr>
      <w:rFonts w:ascii="宋体" w:hAnsi="Courier New"/>
      <w:szCs w:val="20"/>
    </w:rPr>
  </w:style>
  <w:style w:type="paragraph" w:styleId="18">
    <w:name w:val="footer"/>
    <w:basedOn w:val="1"/>
    <w:autoRedefine/>
    <w:unhideWhenUsed/>
    <w:qFormat/>
    <w:uiPriority w:val="99"/>
    <w:pPr>
      <w:tabs>
        <w:tab w:val="center" w:pos="4153"/>
        <w:tab w:val="right" w:pos="8306"/>
      </w:tabs>
      <w:snapToGrid w:val="0"/>
      <w:jc w:val="left"/>
    </w:pPr>
    <w:rPr>
      <w:sz w:val="18"/>
      <w:szCs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spacing w:before="360" w:after="360"/>
      <w:jc w:val="left"/>
    </w:pPr>
    <w:rPr>
      <w:rFonts w:ascii="Calibri" w:hAnsi="Calibri"/>
      <w:b/>
      <w:bCs/>
      <w:caps/>
      <w:sz w:val="22"/>
      <w:szCs w:val="22"/>
      <w:u w:val="single"/>
    </w:rPr>
  </w:style>
  <w:style w:type="paragraph" w:styleId="21">
    <w:name w:val="footnote text"/>
    <w:basedOn w:val="1"/>
    <w:next w:val="10"/>
    <w:autoRedefine/>
    <w:qFormat/>
    <w:uiPriority w:val="99"/>
    <w:pPr>
      <w:snapToGrid w:val="0"/>
      <w:jc w:val="left"/>
    </w:pPr>
    <w:rPr>
      <w:sz w:val="18"/>
    </w:rPr>
  </w:style>
  <w:style w:type="paragraph" w:styleId="22">
    <w:name w:val="Body Text 2"/>
    <w:basedOn w:val="1"/>
    <w:autoRedefine/>
    <w:qFormat/>
    <w:uiPriority w:val="0"/>
    <w:pPr>
      <w:spacing w:line="480" w:lineRule="auto"/>
    </w:pPr>
    <w:rPr>
      <w:rFonts w:eastAsia="宋体"/>
    </w:rPr>
  </w:style>
  <w:style w:type="paragraph" w:styleId="23">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24">
    <w:name w:val="Body Text First Indent 2"/>
    <w:basedOn w:val="16"/>
    <w:next w:val="1"/>
    <w:autoRedefine/>
    <w:qFormat/>
    <w:uiPriority w:val="0"/>
    <w:pPr>
      <w:spacing w:line="360" w:lineRule="auto"/>
      <w:ind w:firstLine="420" w:firstLineChars="200"/>
    </w:pPr>
    <w:rPr>
      <w:rFonts w:ascii="宋体" w:hAnsi="宋体" w:eastAsia="宋体"/>
      <w:sz w:val="21"/>
      <w:szCs w:val="20"/>
    </w:rPr>
  </w:style>
  <w:style w:type="table" w:styleId="26">
    <w:name w:val="Table Grid"/>
    <w:basedOn w:val="2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page number"/>
    <w:basedOn w:val="27"/>
    <w:autoRedefine/>
    <w:qFormat/>
    <w:uiPriority w:val="0"/>
  </w:style>
  <w:style w:type="paragraph" w:customStyle="1" w:styleId="30">
    <w:name w:val="正文文本_0"/>
    <w:basedOn w:val="31"/>
    <w:autoRedefine/>
    <w:unhideWhenUsed/>
    <w:qFormat/>
    <w:uiPriority w:val="0"/>
    <w:pPr>
      <w:spacing w:after="120"/>
    </w:pPr>
  </w:style>
  <w:style w:type="paragraph" w:customStyle="1" w:styleId="31">
    <w:name w:val="正文_1_0"/>
    <w:basedOn w:val="32"/>
    <w:next w:val="33"/>
    <w:autoRedefine/>
    <w:qFormat/>
    <w:uiPriority w:val="0"/>
    <w:pPr>
      <w:widowControl w:val="0"/>
      <w:jc w:val="both"/>
    </w:pPr>
    <w:rPr>
      <w:rFonts w:ascii="Times New Roman" w:hAnsi="Times New Roman"/>
      <w:kern w:val="2"/>
      <w:sz w:val="21"/>
      <w:szCs w:val="24"/>
      <w:lang w:val="en-US" w:eastAsia="zh-CN" w:bidi="ar-SA"/>
    </w:rPr>
  </w:style>
  <w:style w:type="paragraph" w:customStyle="1" w:styleId="32">
    <w:name w:val="正文_1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首行缩进1"/>
    <w:basedOn w:val="34"/>
    <w:autoRedefine/>
    <w:unhideWhenUsed/>
    <w:qFormat/>
    <w:uiPriority w:val="99"/>
    <w:pPr>
      <w:ind w:firstLine="420" w:firstLineChars="100"/>
    </w:pPr>
    <w:rPr>
      <w:szCs w:val="22"/>
    </w:rPr>
  </w:style>
  <w:style w:type="paragraph" w:customStyle="1" w:styleId="34">
    <w:name w:val="正文文本_0_0"/>
    <w:basedOn w:val="35"/>
    <w:autoRedefine/>
    <w:qFormat/>
    <w:uiPriority w:val="0"/>
    <w:pPr>
      <w:spacing w:after="120"/>
    </w:pPr>
    <w:rPr>
      <w:rFonts w:ascii="Calibri" w:hAnsi="Calibri"/>
      <w:kern w:val="0"/>
      <w:sz w:val="20"/>
    </w:rPr>
  </w:style>
  <w:style w:type="paragraph" w:customStyle="1" w:styleId="35">
    <w:name w:val="正文_1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Default"/>
    <w:basedOn w:val="5"/>
    <w:autoRedefine/>
    <w:qFormat/>
    <w:uiPriority w:val="0"/>
    <w:pPr>
      <w:widowControl w:val="0"/>
      <w:autoSpaceDE w:val="0"/>
      <w:autoSpaceDN w:val="0"/>
      <w:adjustRightInd w:val="0"/>
    </w:pPr>
    <w:rPr>
      <w:rFonts w:ascii="黑体" w:eastAsia="黑体"/>
      <w:lang w:val="en-US" w:eastAsia="zh-CN" w:bidi="ar-SA"/>
    </w:rPr>
  </w:style>
  <w:style w:type="paragraph" w:customStyle="1" w:styleId="37">
    <w:name w:val="正文首行缩进 2 Char Char"/>
    <w:basedOn w:val="38"/>
    <w:autoRedefine/>
    <w:qFormat/>
    <w:uiPriority w:val="99"/>
    <w:pPr>
      <w:ind w:firstLine="420"/>
    </w:pPr>
  </w:style>
  <w:style w:type="paragraph" w:customStyle="1" w:styleId="38">
    <w:name w:val="正文文本缩进 Char Char"/>
    <w:basedOn w:val="1"/>
    <w:autoRedefine/>
    <w:qFormat/>
    <w:uiPriority w:val="99"/>
    <w:pPr>
      <w:spacing w:after="120"/>
      <w:ind w:left="420" w:leftChars="200"/>
    </w:pPr>
  </w:style>
  <w:style w:type="paragraph" w:customStyle="1" w:styleId="39">
    <w:name w:val="大标题"/>
    <w:basedOn w:val="1"/>
    <w:next w:val="24"/>
    <w:autoRedefine/>
    <w:qFormat/>
    <w:uiPriority w:val="0"/>
    <w:pPr>
      <w:jc w:val="center"/>
    </w:pPr>
    <w:rPr>
      <w:rFonts w:ascii="Arial" w:hAnsi="Arial" w:eastAsia="宋体" w:cs="Times New Roman"/>
      <w:b/>
      <w:sz w:val="28"/>
      <w:szCs w:val="24"/>
    </w:rPr>
  </w:style>
  <w:style w:type="paragraph" w:customStyle="1" w:styleId="40">
    <w:name w:val="正文_2"/>
    <w:basedOn w:val="13"/>
    <w:next w:val="41"/>
    <w:autoRedefine/>
    <w:qFormat/>
    <w:uiPriority w:val="0"/>
    <w:rPr>
      <w:szCs w:val="21"/>
    </w:rPr>
  </w:style>
  <w:style w:type="paragraph" w:customStyle="1" w:styleId="41">
    <w:name w:val="首行缩进"/>
    <w:basedOn w:val="42"/>
    <w:autoRedefine/>
    <w:qFormat/>
    <w:uiPriority w:val="0"/>
    <w:pPr>
      <w:ind w:firstLine="480" w:firstLineChars="200"/>
    </w:pPr>
    <w:rPr>
      <w:rFonts w:ascii="Calibri" w:hAnsi="Calibri"/>
      <w:lang w:val="zh-CN"/>
    </w:rPr>
  </w:style>
  <w:style w:type="paragraph" w:customStyle="1" w:styleId="42">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NormalIndent"/>
    <w:basedOn w:val="1"/>
    <w:autoRedefine/>
    <w:qFormat/>
    <w:uiPriority w:val="0"/>
    <w:pPr>
      <w:spacing w:line="360" w:lineRule="atLeast"/>
      <w:ind w:firstLine="420"/>
      <w:jc w:val="both"/>
      <w:textAlignment w:val="baseline"/>
    </w:pPr>
    <w:rPr>
      <w:rFonts w:ascii="Calibri" w:hAnsi="Calibri" w:eastAsia="宋体"/>
      <w:kern w:val="2"/>
      <w:sz w:val="21"/>
      <w:szCs w:val="20"/>
      <w:lang w:val="en-US" w:eastAsia="zh-CN" w:bidi="ar-SA"/>
    </w:rPr>
  </w:style>
  <w:style w:type="paragraph" w:customStyle="1" w:styleId="44">
    <w:name w:val="正文 A"/>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shd w:val="clear" w:color="auto" w:fill="auto"/>
      <w:vertAlign w:val="baseline"/>
      <w:lang w:val="en-US"/>
    </w:rPr>
  </w:style>
  <w:style w:type="paragraph" w:customStyle="1" w:styleId="45">
    <w:name w:val="_Style 1"/>
    <w:basedOn w:val="1"/>
    <w:next w:val="1"/>
    <w:autoRedefine/>
    <w:qFormat/>
    <w:uiPriority w:val="0"/>
    <w:pPr>
      <w:pBdr>
        <w:bottom w:val="single" w:color="auto" w:sz="6" w:space="1"/>
      </w:pBdr>
      <w:jc w:val="center"/>
    </w:pPr>
    <w:rPr>
      <w:rFonts w:ascii="Arial" w:eastAsia="宋体"/>
      <w:vanish/>
      <w:sz w:val="16"/>
    </w:rPr>
  </w:style>
  <w:style w:type="paragraph" w:customStyle="1" w:styleId="46">
    <w:name w:val="标题 2_0"/>
    <w:basedOn w:val="47"/>
    <w:next w:val="48"/>
    <w:autoRedefine/>
    <w:qFormat/>
    <w:uiPriority w:val="0"/>
    <w:pPr>
      <w:adjustRightInd w:val="0"/>
      <w:snapToGrid w:val="0"/>
      <w:spacing w:line="500" w:lineRule="exact"/>
      <w:ind w:left="-88" w:leftChars="-42"/>
      <w:contextualSpacing/>
      <w:jc w:val="center"/>
      <w:outlineLvl w:val="1"/>
    </w:pPr>
    <w:rPr>
      <w:rFonts w:ascii="宋体" w:hAnsi="宋体"/>
      <w:bCs w:val="0"/>
      <w:szCs w:val="28"/>
    </w:rPr>
  </w:style>
  <w:style w:type="paragraph" w:customStyle="1" w:styleId="47">
    <w:name w:val="标题 3_0"/>
    <w:basedOn w:val="48"/>
    <w:next w:val="48"/>
    <w:autoRedefine/>
    <w:unhideWhenUsed/>
    <w:qFormat/>
    <w:uiPriority w:val="9"/>
    <w:pPr>
      <w:keepNext/>
      <w:keepLines/>
      <w:spacing w:before="260" w:after="260" w:line="416" w:lineRule="auto"/>
      <w:outlineLvl w:val="2"/>
    </w:pPr>
    <w:rPr>
      <w:b/>
      <w:bCs/>
      <w:sz w:val="32"/>
      <w:szCs w:val="32"/>
    </w:rPr>
  </w:style>
  <w:style w:type="paragraph" w:customStyle="1" w:styleId="48">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2_1_0_0"/>
    <w:basedOn w:val="50"/>
    <w:autoRedefine/>
    <w:qFormat/>
    <w:uiPriority w:val="0"/>
    <w:rPr>
      <w:rFonts w:cs="Times New Roman"/>
    </w:rPr>
  </w:style>
  <w:style w:type="paragraph" w:customStyle="1" w:styleId="50">
    <w:name w:val="正文_2_1_0"/>
    <w:basedOn w:val="51"/>
    <w:autoRedefine/>
    <w:qFormat/>
    <w:uiPriority w:val="0"/>
    <w:rPr>
      <w:rFonts w:cs="宋体"/>
    </w:rPr>
  </w:style>
  <w:style w:type="paragraph" w:customStyle="1" w:styleId="51">
    <w:name w:val="正文_2_1"/>
    <w:basedOn w:val="52"/>
    <w:next w:val="53"/>
    <w:autoRedefine/>
    <w:qFormat/>
    <w:uiPriority w:val="0"/>
    <w:rPr>
      <w:rFonts w:cs="Calibri"/>
      <w:szCs w:val="21"/>
    </w:rPr>
  </w:style>
  <w:style w:type="paragraph" w:customStyle="1" w:styleId="52">
    <w:name w:val="正文_1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 Spacing_0"/>
    <w:basedOn w:val="54"/>
    <w:autoRedefine/>
    <w:qFormat/>
    <w:uiPriority w:val="1"/>
  </w:style>
  <w:style w:type="paragraph" w:customStyle="1" w:styleId="54">
    <w:name w:val="正文_5"/>
    <w:basedOn w:val="55"/>
    <w:next w:val="5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6"/>
    <w:next w:val="5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列表_1"/>
    <w:basedOn w:val="55"/>
    <w:autoRedefine/>
    <w:semiHidden/>
    <w:qFormat/>
    <w:locked/>
    <w:uiPriority w:val="0"/>
    <w:pPr>
      <w:ind w:left="200" w:hanging="200" w:hangingChars="200"/>
    </w:pPr>
  </w:style>
  <w:style w:type="paragraph" w:customStyle="1" w:styleId="57">
    <w:name w:val="段_0"/>
    <w:next w:val="54"/>
    <w:autoRedefine/>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58">
    <w:name w:val="正文_2_0_0_0"/>
    <w:basedOn w:val="59"/>
    <w:next w:val="60"/>
    <w:autoRedefine/>
    <w:qFormat/>
    <w:uiPriority w:val="0"/>
  </w:style>
  <w:style w:type="paragraph" w:customStyle="1" w:styleId="59">
    <w:name w:val="正文_2_0_0"/>
    <w:basedOn w:val="51"/>
    <w:autoRedefine/>
    <w:qFormat/>
    <w:uiPriority w:val="0"/>
    <w:rPr>
      <w:rFonts w:cs="宋体"/>
    </w:rPr>
  </w:style>
  <w:style w:type="paragraph" w:customStyle="1" w:styleId="60">
    <w:name w:val="正文文本_1_0"/>
    <w:basedOn w:val="58"/>
    <w:autoRedefine/>
    <w:qFormat/>
    <w:uiPriority w:val="0"/>
    <w:pPr>
      <w:adjustRightInd w:val="0"/>
      <w:spacing w:after="60" w:line="360" w:lineRule="atLeast"/>
      <w:ind w:left="72" w:leftChars="30" w:right="30" w:rightChars="30"/>
      <w:jc w:val="center"/>
      <w:textAlignment w:val="baseline"/>
    </w:pPr>
    <w:rPr>
      <w:rFonts w:eastAsia="宋体"/>
    </w:rPr>
  </w:style>
  <w:style w:type="paragraph" w:customStyle="1" w:styleId="61">
    <w:name w:val="正文缩进_0"/>
    <w:basedOn w:val="40"/>
    <w:autoRedefine/>
    <w:unhideWhenUsed/>
    <w:qFormat/>
    <w:uiPriority w:val="0"/>
    <w:pPr>
      <w:ind w:firstLine="420" w:firstLineChars="200"/>
    </w:pPr>
  </w:style>
  <w:style w:type="paragraph" w:customStyle="1" w:styleId="62">
    <w:name w:val="Normal (Web)"/>
    <w:basedOn w:val="1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63">
    <w:name w:val="正文_0_1"/>
    <w:basedOn w:val="64"/>
    <w:next w:val="66"/>
    <w:autoRedefine/>
    <w:qFormat/>
    <w:uiPriority w:val="0"/>
    <w:pPr>
      <w:widowControl w:val="0"/>
      <w:jc w:val="both"/>
    </w:pPr>
    <w:rPr>
      <w:rFonts w:ascii="Calibri" w:hAnsi="Calibri" w:eastAsia="仿宋_GB2312"/>
      <w:kern w:val="2"/>
      <w:sz w:val="28"/>
      <w:szCs w:val="24"/>
      <w:lang w:val="en-US" w:eastAsia="zh-CN" w:bidi="ar-SA"/>
    </w:rPr>
  </w:style>
  <w:style w:type="paragraph" w:customStyle="1" w:styleId="64">
    <w:name w:val="正文_0_2"/>
    <w:basedOn w:val="51"/>
    <w:next w:val="65"/>
    <w:autoRedefine/>
    <w:qFormat/>
    <w:uiPriority w:val="0"/>
    <w:pPr>
      <w:widowControl w:val="0"/>
      <w:jc w:val="both"/>
    </w:pPr>
    <w:rPr>
      <w:rFonts w:ascii="Times New Roman" w:hAnsi="Times New Roman"/>
      <w:kern w:val="2"/>
      <w:sz w:val="21"/>
      <w:szCs w:val="24"/>
      <w:lang w:val="en-US" w:eastAsia="zh-CN" w:bidi="ar-SA"/>
    </w:rPr>
  </w:style>
  <w:style w:type="paragraph" w:customStyle="1" w:styleId="65">
    <w:name w:val="页脚_0_0"/>
    <w:basedOn w:val="64"/>
    <w:autoRedefine/>
    <w:unhideWhenUsed/>
    <w:qFormat/>
    <w:uiPriority w:val="99"/>
    <w:pPr>
      <w:tabs>
        <w:tab w:val="center" w:pos="4153"/>
        <w:tab w:val="right" w:pos="8306"/>
      </w:tabs>
      <w:snapToGrid w:val="0"/>
      <w:jc w:val="left"/>
    </w:pPr>
    <w:rPr>
      <w:sz w:val="18"/>
      <w:szCs w:val="18"/>
    </w:rPr>
  </w:style>
  <w:style w:type="paragraph" w:customStyle="1" w:styleId="66">
    <w:name w:val="页脚_0"/>
    <w:basedOn w:val="12"/>
    <w:autoRedefine/>
    <w:unhideWhenUsed/>
    <w:qFormat/>
    <w:uiPriority w:val="99"/>
    <w:pPr>
      <w:tabs>
        <w:tab w:val="center" w:pos="4153"/>
        <w:tab w:val="right" w:pos="8306"/>
      </w:tabs>
      <w:snapToGrid w:val="0"/>
      <w:jc w:val="left"/>
    </w:pPr>
    <w:rPr>
      <w:sz w:val="18"/>
      <w:szCs w:val="18"/>
    </w:rPr>
  </w:style>
  <w:style w:type="paragraph" w:customStyle="1" w:styleId="67">
    <w:name w:val="p0"/>
    <w:basedOn w:val="1"/>
    <w:autoRedefine/>
    <w:qFormat/>
    <w:uiPriority w:val="0"/>
    <w:pPr>
      <w:widowControl/>
    </w:pPr>
    <w:rPr>
      <w:kern w:val="0"/>
      <w:szCs w:val="21"/>
    </w:rPr>
  </w:style>
  <w:style w:type="paragraph" w:customStyle="1" w:styleId="68">
    <w:name w:val="正文_3"/>
    <w:basedOn w:val="40"/>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Normal_0"/>
    <w:basedOn w:val="70"/>
    <w:next w:val="21"/>
    <w:autoRedefine/>
    <w:qFormat/>
    <w:uiPriority w:val="0"/>
    <w:rPr>
      <w:rFonts w:ascii="Times New Roman" w:hAnsi="Times New Roman" w:eastAsia="Times New Roman" w:cs="Times New Roman"/>
      <w:sz w:val="24"/>
      <w:szCs w:val="24"/>
      <w:lang w:val="en-US" w:eastAsia="zh-CN" w:bidi="ar-SA"/>
    </w:rPr>
  </w:style>
  <w:style w:type="paragraph" w:customStyle="1" w:styleId="70">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缩进_0_0"/>
    <w:basedOn w:val="59"/>
    <w:autoRedefine/>
    <w:unhideWhenUsed/>
    <w:qFormat/>
    <w:uiPriority w:val="0"/>
    <w:pPr>
      <w:ind w:firstLine="420" w:firstLineChars="200"/>
    </w:pPr>
  </w:style>
  <w:style w:type="paragraph" w:customStyle="1" w:styleId="72">
    <w:name w:val="my正文"/>
    <w:basedOn w:val="1"/>
    <w:autoRedefine/>
    <w:qFormat/>
    <w:uiPriority w:val="0"/>
    <w:pPr>
      <w:ind w:firstLine="200"/>
    </w:pPr>
    <w:rPr>
      <w:rFonts w:cs="Times New Roman"/>
      <w:kern w:val="0"/>
      <w:szCs w:val="20"/>
    </w:rPr>
  </w:style>
  <w:style w:type="paragraph" w:customStyle="1" w:styleId="73">
    <w:name w:val="表格样式 2"/>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PingFang SC Regular" w:hAnsi="PingFang SC Regular" w:eastAsia="PingFang SC Regular" w:cs="PingFang SC Regular"/>
      <w:color w:val="000000"/>
      <w:spacing w:val="0"/>
      <w:w w:val="100"/>
      <w:kern w:val="0"/>
      <w:position w:val="0"/>
      <w:sz w:val="20"/>
      <w:szCs w:val="20"/>
      <w:u w:val="none" w:color="auto"/>
      <w:shd w:val="clear" w:color="auto" w:fill="auto"/>
      <w:vertAlign w:val="baseline"/>
    </w:rPr>
  </w:style>
  <w:style w:type="character" w:customStyle="1" w:styleId="74">
    <w:name w:val="标题 2 字符"/>
    <w:link w:val="6"/>
    <w:autoRedefine/>
    <w:qFormat/>
    <w:uiPriority w:val="0"/>
    <w:rPr>
      <w:rFonts w:ascii="Arial" w:hAnsi="Arial" w:eastAsia="黑体"/>
      <w:b/>
      <w:bCs/>
      <w:sz w:val="32"/>
      <w:szCs w:val="32"/>
    </w:rPr>
  </w:style>
  <w:style w:type="paragraph" w:customStyle="1" w:styleId="75">
    <w:name w:val="Normal_6"/>
    <w:autoRedefine/>
    <w:qFormat/>
    <w:uiPriority w:val="0"/>
    <w:rPr>
      <w:rFonts w:ascii="黑体" w:hAnsi="黑体" w:eastAsia="黑体" w:cs="Times New Roman"/>
      <w:b/>
      <w:sz w:val="32"/>
      <w:szCs w:val="24"/>
      <w:lang w:val="en-US" w:eastAsia="zh-CN" w:bidi="ar-SA"/>
    </w:rPr>
  </w:style>
  <w:style w:type="paragraph" w:customStyle="1" w:styleId="76">
    <w:name w:val="正文_3_0"/>
    <w:basedOn w:val="77"/>
    <w:next w:val="60"/>
    <w:autoRedefine/>
    <w:qFormat/>
    <w:uiPriority w:val="0"/>
    <w:pPr>
      <w:widowControl w:val="0"/>
      <w:jc w:val="both"/>
    </w:pPr>
    <w:rPr>
      <w:kern w:val="2"/>
      <w:sz w:val="21"/>
      <w:szCs w:val="22"/>
      <w:lang w:val="en-US" w:eastAsia="zh-CN" w:bidi="ar-SA"/>
    </w:rPr>
  </w:style>
  <w:style w:type="paragraph" w:customStyle="1" w:styleId="77">
    <w:name w:val="Normal_0_0"/>
    <w:autoRedefine/>
    <w:qFormat/>
    <w:uiPriority w:val="0"/>
    <w:rPr>
      <w:rFonts w:ascii="黑体" w:hAnsi="黑体" w:eastAsia="黑体" w:cs="Times New Roman"/>
      <w:b/>
      <w:sz w:val="32"/>
      <w:szCs w:val="24"/>
      <w:lang w:val="en-US" w:eastAsia="zh-CN" w:bidi="ar-SA"/>
    </w:rPr>
  </w:style>
  <w:style w:type="paragraph" w:customStyle="1" w:styleId="78">
    <w:name w:val="正文文本_1"/>
    <w:basedOn w:val="31"/>
    <w:autoRedefine/>
    <w:unhideWhenUsed/>
    <w:qFormat/>
    <w:uiPriority w:val="0"/>
    <w:pPr>
      <w:spacing w:after="120"/>
    </w:pPr>
    <w:rPr>
      <w:rFonts w:ascii="Calibri" w:hAnsi="Calibri" w:eastAsia="宋体" w:cs="Times New Roman"/>
    </w:rPr>
  </w:style>
  <w:style w:type="paragraph" w:customStyle="1" w:styleId="79">
    <w:name w:val="正文_4_0"/>
    <w:basedOn w:val="68"/>
    <w:autoRedefine/>
    <w:qFormat/>
    <w:uiPriority w:val="0"/>
    <w:pPr>
      <w:widowControl w:val="0"/>
      <w:jc w:val="both"/>
    </w:pPr>
    <w:rPr>
      <w:rFonts w:ascii="Times New Roman" w:hAnsi="Times New Roman"/>
      <w:kern w:val="2"/>
      <w:sz w:val="21"/>
      <w:szCs w:val="22"/>
      <w:lang w:val="en-US" w:eastAsia="zh-CN" w:bidi="ar-SA"/>
    </w:rPr>
  </w:style>
  <w:style w:type="paragraph" w:customStyle="1" w:styleId="80">
    <w:name w:val="正文_5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Normal_4"/>
    <w:autoRedefine/>
    <w:qFormat/>
    <w:uiPriority w:val="0"/>
    <w:rPr>
      <w:rFonts w:ascii="黑体" w:hAnsi="黑体" w:eastAsia="黑体" w:cs="Times New Roman"/>
      <w:b/>
      <w:sz w:val="32"/>
      <w:szCs w:val="24"/>
      <w:lang w:val="en-US" w:eastAsia="zh-CN" w:bidi="ar-SA"/>
    </w:rPr>
  </w:style>
  <w:style w:type="paragraph" w:customStyle="1" w:styleId="82">
    <w:name w:val="Normal_7"/>
    <w:autoRedefine/>
    <w:qFormat/>
    <w:uiPriority w:val="0"/>
    <w:rPr>
      <w:rFonts w:ascii="黑体" w:hAnsi="黑体" w:eastAsia="黑体" w:cs="Times New Roman"/>
      <w:b/>
      <w:sz w:val="32"/>
      <w:szCs w:val="24"/>
      <w:lang w:val="en-US" w:eastAsia="zh-CN" w:bidi="ar-SA"/>
    </w:rPr>
  </w:style>
  <w:style w:type="paragraph" w:customStyle="1" w:styleId="83">
    <w:name w:val="Normal_8"/>
    <w:autoRedefine/>
    <w:qFormat/>
    <w:uiPriority w:val="0"/>
    <w:rPr>
      <w:rFonts w:ascii="黑体" w:hAnsi="黑体" w:eastAsia="黑体" w:cs="Times New Roman"/>
      <w:b/>
      <w:sz w:val="32"/>
      <w:szCs w:val="24"/>
      <w:lang w:val="en-US" w:eastAsia="zh-CN" w:bidi="ar-SA"/>
    </w:rPr>
  </w:style>
  <w:style w:type="paragraph" w:customStyle="1" w:styleId="84">
    <w:name w:val="正文_0_0_1"/>
    <w:autoRedefine/>
    <w:qFormat/>
    <w:uiPriority w:val="0"/>
    <w:pPr>
      <w:widowControl w:val="0"/>
      <w:jc w:val="both"/>
    </w:pPr>
    <w:rPr>
      <w:rFonts w:ascii="等线" w:hAnsi="等线" w:eastAsia="等线" w:cs="Times New Roman"/>
      <w:kern w:val="2"/>
      <w:sz w:val="21"/>
      <w:szCs w:val="22"/>
      <w:lang w:val="en-US" w:eastAsia="zh-CN" w:bidi="ar-SA"/>
    </w:rPr>
  </w:style>
  <w:style w:type="paragraph" w:customStyle="1" w:styleId="85">
    <w:name w:val="Table Text"/>
    <w:basedOn w:val="1"/>
    <w:autoRedefine/>
    <w:unhideWhenUsed/>
    <w:qFormat/>
    <w:uiPriority w:val="0"/>
    <w:pPr>
      <w:spacing w:beforeLines="0" w:afterLines="0"/>
    </w:pPr>
    <w:rPr>
      <w:rFonts w:hint="eastAsia" w:ascii="仿宋" w:hAnsi="仿宋" w:eastAsia="仿宋" w:cs="仿宋"/>
      <w:sz w:val="24"/>
      <w:szCs w:val="24"/>
    </w:rPr>
  </w:style>
  <w:style w:type="paragraph" w:customStyle="1" w:styleId="86">
    <w:name w:val="Normal_19"/>
    <w:autoRedefine/>
    <w:qFormat/>
    <w:uiPriority w:val="0"/>
    <w:rPr>
      <w:rFonts w:ascii="黑体" w:hAnsi="黑体" w:eastAsia="黑体" w:cs="Times New Roman"/>
      <w:b/>
      <w:sz w:val="32"/>
      <w:szCs w:val="24"/>
      <w:lang w:val="en-US" w:eastAsia="zh-CN" w:bidi="ar-SA"/>
    </w:rPr>
  </w:style>
  <w:style w:type="paragraph" w:customStyle="1" w:styleId="87">
    <w:name w:val="WPSOffice手动目录 1"/>
    <w:autoRedefine/>
    <w:qFormat/>
    <w:uiPriority w:val="0"/>
    <w:pPr>
      <w:ind w:leftChars="0"/>
    </w:pPr>
    <w:rPr>
      <w:rFonts w:ascii="Times New Roman" w:hAnsi="Times New Roman" w:eastAsia="宋体" w:cs="Times New Roman"/>
      <w:sz w:val="20"/>
      <w:szCs w:val="20"/>
    </w:rPr>
  </w:style>
  <w:style w:type="paragraph" w:customStyle="1" w:styleId="88">
    <w:name w:val="Table Paragraph"/>
    <w:basedOn w:val="1"/>
    <w:qFormat/>
    <w:uiPriority w:val="1"/>
  </w:style>
  <w:style w:type="table" w:customStyle="1" w:styleId="89">
    <w:name w:val="Table Normal"/>
    <w:semiHidden/>
    <w:unhideWhenUsed/>
    <w:qFormat/>
    <w:uiPriority w:val="0"/>
    <w:tblPr>
      <w:tblCellMar>
        <w:top w:w="0" w:type="dxa"/>
        <w:left w:w="0" w:type="dxa"/>
        <w:bottom w:w="0" w:type="dxa"/>
        <w:right w:w="0" w:type="dxa"/>
      </w:tblCellMar>
    </w:tblPr>
  </w:style>
  <w:style w:type="paragraph" w:styleId="90">
    <w:name w:val="No Spacing"/>
    <w:autoRedefine/>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31067</Words>
  <Characters>33242</Characters>
  <Lines>0</Lines>
  <Paragraphs>0</Paragraphs>
  <TotalTime>24</TotalTime>
  <ScaleCrop>false</ScaleCrop>
  <LinksUpToDate>false</LinksUpToDate>
  <CharactersWithSpaces>37018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2024-04-15T03:11:00Z</dcterms:created>
  <dc:creator>D.</dc:creator>
  <cp:lastModifiedBy>Ttt向南桥</cp:lastModifiedBy>
  <dcterms:modified xsi:type="dcterms:W3CDTF">2026-04-27T10:53:50Z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4A030B60AE164F93AFAE32DE7AF2975C_13</vt:lpwstr>
  </property>
  <property fmtid="{D5CDD505-2E9C-101B-9397-08002B2CF9AE}" pid="4" name="KSOTemplateDocerSaveRecord">
    <vt:lpwstr>eyJoZGlkIjoiNGVlNzE5YTFlNjk3NmIxOGVhYzUxZDE1Yzk2MzQ2MmIiLCJ1c2VySWQiOiIzNDI2MzE3MTUifQ==</vt:lpwstr>
  </property>
</Properties>
</file>