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B4863">
      <w:pPr>
        <w:pStyle w:val="39"/>
        <w:spacing w:line="0" w:lineRule="atLeast"/>
        <w:jc w:val="both"/>
        <w:rPr>
          <w:rFonts w:ascii="宋体" w:hAnsi="宋体" w:cs="宋体"/>
          <w:b/>
          <w:color w:val="auto"/>
          <w:sz w:val="32"/>
          <w:szCs w:val="32"/>
          <w:highlight w:val="none"/>
        </w:rPr>
      </w:pPr>
      <w:bookmarkStart w:id="0" w:name="_Toc98580390"/>
    </w:p>
    <w:p w14:paraId="06F96C40">
      <w:pPr>
        <w:spacing w:line="0" w:lineRule="atLeast"/>
        <w:jc w:val="center"/>
        <w:rPr>
          <w:rFonts w:hint="eastAsia" w:ascii="宋体" w:hAnsi="宋体" w:cs="宋体"/>
          <w:b/>
          <w:color w:val="auto"/>
          <w:sz w:val="52"/>
          <w:szCs w:val="52"/>
          <w:highlight w:val="none"/>
          <w:lang w:eastAsia="zh-CN"/>
        </w:rPr>
      </w:pPr>
    </w:p>
    <w:p w14:paraId="5174759D">
      <w:pPr>
        <w:pStyle w:val="44"/>
        <w:ind w:left="400"/>
        <w:jc w:val="center"/>
        <w:rPr>
          <w:rFonts w:ascii="宋体" w:hAnsi="宋体" w:eastAsia="宋体" w:cs="宋体"/>
          <w:b/>
          <w:color w:val="auto"/>
          <w:sz w:val="48"/>
          <w:szCs w:val="48"/>
          <w:highlight w:val="none"/>
        </w:rPr>
      </w:pPr>
      <w:r>
        <w:rPr>
          <w:rFonts w:hint="eastAsia" w:ascii="宋体" w:hAnsi="宋体" w:cs="宋体"/>
          <w:b/>
          <w:color w:val="auto"/>
          <w:sz w:val="48"/>
          <w:szCs w:val="48"/>
          <w:highlight w:val="none"/>
          <w:lang w:eastAsia="zh-CN"/>
        </w:rPr>
        <w:t>长春工业大学高质量发展-学科建设-吉林省先进高分子功能膜材料及碳纤维复合材料重点实验室建设项目</w:t>
      </w:r>
    </w:p>
    <w:p w14:paraId="53A74B54">
      <w:pPr>
        <w:rPr>
          <w:rFonts w:ascii="宋体" w:hAnsi="宋体" w:eastAsia="宋体" w:cs="宋体"/>
          <w:b/>
          <w:color w:val="auto"/>
          <w:sz w:val="48"/>
          <w:szCs w:val="48"/>
          <w:highlight w:val="none"/>
        </w:rPr>
      </w:pPr>
    </w:p>
    <w:p w14:paraId="07BC90A3">
      <w:pPr>
        <w:pStyle w:val="16"/>
        <w:rPr>
          <w:color w:val="auto"/>
          <w:highlight w:val="none"/>
        </w:rPr>
      </w:pPr>
    </w:p>
    <w:p w14:paraId="4637998A">
      <w:pPr>
        <w:pStyle w:val="26"/>
        <w:ind w:left="400"/>
        <w:rPr>
          <w:color w:val="auto"/>
          <w:highlight w:val="none"/>
        </w:rPr>
      </w:pPr>
    </w:p>
    <w:p w14:paraId="7B7CB8ED">
      <w:pPr>
        <w:spacing w:line="0" w:lineRule="atLeast"/>
        <w:jc w:val="center"/>
        <w:rPr>
          <w:rFonts w:ascii="宋体" w:hAnsi="宋体" w:cs="宋体"/>
          <w:b/>
          <w:color w:val="auto"/>
          <w:sz w:val="170"/>
          <w:szCs w:val="170"/>
          <w:highlight w:val="none"/>
        </w:rPr>
      </w:pPr>
      <w:r>
        <w:rPr>
          <w:rFonts w:hint="eastAsia" w:ascii="宋体" w:hAnsi="宋体" w:cs="宋体"/>
          <w:b/>
          <w:color w:val="auto"/>
          <w:sz w:val="120"/>
          <w:szCs w:val="120"/>
          <w:highlight w:val="none"/>
        </w:rPr>
        <w:t>招标文件</w:t>
      </w:r>
    </w:p>
    <w:p w14:paraId="173E441F">
      <w:pPr>
        <w:jc w:val="center"/>
        <w:rPr>
          <w:rFonts w:ascii="宋体" w:hAnsi="宋体" w:cs="宋体"/>
          <w:b/>
          <w:color w:val="auto"/>
          <w:sz w:val="32"/>
          <w:highlight w:val="none"/>
        </w:rPr>
      </w:pPr>
    </w:p>
    <w:p w14:paraId="2CF20045">
      <w:pPr>
        <w:jc w:val="center"/>
        <w:rPr>
          <w:rFonts w:hint="eastAsia" w:ascii="宋体" w:hAnsi="宋体" w:eastAsia="宋体" w:cs="宋体"/>
          <w:b/>
          <w:color w:val="auto"/>
          <w:sz w:val="32"/>
          <w:highlight w:val="none"/>
          <w:lang w:eastAsia="zh-CN"/>
        </w:rPr>
      </w:pPr>
      <w:r>
        <w:rPr>
          <w:rFonts w:hint="eastAsia" w:ascii="宋体" w:hAnsi="宋体" w:cs="宋体"/>
          <w:b/>
          <w:color w:val="auto"/>
          <w:sz w:val="32"/>
          <w:highlight w:val="none"/>
          <w:lang w:eastAsia="zh-CN"/>
        </w:rPr>
        <w:t>招标编号：采购计划-[2026]-03290号-JLJJ-HWZB-20260405</w:t>
      </w:r>
    </w:p>
    <w:p w14:paraId="1A4953C9">
      <w:pPr>
        <w:jc w:val="center"/>
        <w:rPr>
          <w:rFonts w:ascii="宋体" w:hAnsi="宋体" w:cs="宋体"/>
          <w:b/>
          <w:color w:val="auto"/>
          <w:sz w:val="32"/>
          <w:highlight w:val="none"/>
        </w:rPr>
      </w:pPr>
    </w:p>
    <w:p w14:paraId="5C613FD8">
      <w:pPr>
        <w:jc w:val="center"/>
        <w:rPr>
          <w:rFonts w:ascii="宋体" w:hAnsi="宋体" w:cs="宋体"/>
          <w:color w:val="auto"/>
          <w:sz w:val="32"/>
          <w:highlight w:val="none"/>
        </w:rPr>
      </w:pPr>
    </w:p>
    <w:p w14:paraId="6C5B6313">
      <w:pPr>
        <w:jc w:val="center"/>
        <w:rPr>
          <w:rFonts w:ascii="宋体" w:hAnsi="宋体" w:cs="宋体"/>
          <w:color w:val="auto"/>
          <w:sz w:val="32"/>
          <w:highlight w:val="none"/>
        </w:rPr>
      </w:pPr>
    </w:p>
    <w:p w14:paraId="2A87E390">
      <w:pPr>
        <w:jc w:val="center"/>
        <w:rPr>
          <w:rFonts w:ascii="宋体" w:hAnsi="宋体" w:cs="宋体"/>
          <w:color w:val="auto"/>
          <w:sz w:val="18"/>
          <w:szCs w:val="18"/>
          <w:highlight w:val="none"/>
        </w:rPr>
      </w:pPr>
    </w:p>
    <w:p w14:paraId="76FF1249">
      <w:pPr>
        <w:jc w:val="center"/>
        <w:rPr>
          <w:rFonts w:ascii="宋体" w:hAnsi="宋体" w:cs="宋体"/>
          <w:color w:val="auto"/>
          <w:sz w:val="18"/>
          <w:szCs w:val="18"/>
          <w:highlight w:val="none"/>
        </w:rPr>
      </w:pPr>
    </w:p>
    <w:p w14:paraId="3F8420FF">
      <w:pPr>
        <w:jc w:val="center"/>
        <w:rPr>
          <w:rFonts w:ascii="宋体" w:hAnsi="宋体" w:cs="宋体"/>
          <w:color w:val="auto"/>
          <w:sz w:val="18"/>
          <w:szCs w:val="18"/>
          <w:highlight w:val="none"/>
        </w:rPr>
      </w:pPr>
    </w:p>
    <w:p w14:paraId="0B7E15B7">
      <w:pPr>
        <w:jc w:val="center"/>
        <w:rPr>
          <w:rFonts w:ascii="宋体" w:hAnsi="宋体" w:cs="宋体"/>
          <w:color w:val="auto"/>
          <w:sz w:val="18"/>
          <w:szCs w:val="18"/>
          <w:highlight w:val="none"/>
        </w:rPr>
      </w:pPr>
    </w:p>
    <w:p w14:paraId="560A34BE">
      <w:pPr>
        <w:jc w:val="center"/>
        <w:rPr>
          <w:rFonts w:ascii="宋体" w:hAnsi="宋体" w:cs="宋体"/>
          <w:color w:val="auto"/>
          <w:sz w:val="18"/>
          <w:szCs w:val="18"/>
          <w:highlight w:val="none"/>
        </w:rPr>
      </w:pPr>
    </w:p>
    <w:p w14:paraId="364B54EE">
      <w:pPr>
        <w:jc w:val="center"/>
        <w:rPr>
          <w:rFonts w:ascii="宋体" w:hAnsi="宋体" w:cs="宋体"/>
          <w:color w:val="auto"/>
          <w:sz w:val="18"/>
          <w:szCs w:val="18"/>
          <w:highlight w:val="none"/>
        </w:rPr>
      </w:pPr>
    </w:p>
    <w:p w14:paraId="55EAE9C3">
      <w:pPr>
        <w:rPr>
          <w:color w:val="auto"/>
          <w:highlight w:val="none"/>
        </w:rPr>
      </w:pPr>
    </w:p>
    <w:p w14:paraId="79E586D2">
      <w:pPr>
        <w:pStyle w:val="16"/>
        <w:rPr>
          <w:color w:val="auto"/>
          <w:highlight w:val="none"/>
        </w:rPr>
      </w:pPr>
    </w:p>
    <w:p w14:paraId="224F8CBA">
      <w:pPr>
        <w:spacing w:line="480" w:lineRule="auto"/>
        <w:jc w:val="center"/>
        <w:rPr>
          <w:rFonts w:ascii="宋体" w:hAnsi="宋体" w:cs="宋体"/>
          <w:color w:val="auto"/>
          <w:sz w:val="18"/>
          <w:szCs w:val="18"/>
          <w:highlight w:val="none"/>
        </w:rPr>
      </w:pPr>
    </w:p>
    <w:p w14:paraId="28109DB6">
      <w:pPr>
        <w:ind w:firstLine="1285" w:firstLineChars="400"/>
        <w:jc w:val="both"/>
        <w:rPr>
          <w:rFonts w:hint="eastAsia" w:ascii="宋体" w:hAnsi="宋体" w:eastAsia="宋体" w:cs="宋体"/>
          <w:b/>
          <w:color w:val="auto"/>
          <w:sz w:val="32"/>
          <w:szCs w:val="22"/>
          <w:highlight w:val="none"/>
        </w:rPr>
      </w:pPr>
      <w:bookmarkStart w:id="1" w:name="_Toc98580389"/>
      <w:r>
        <w:rPr>
          <w:rFonts w:hint="eastAsia" w:ascii="宋体" w:hAnsi="宋体" w:eastAsia="宋体" w:cs="宋体"/>
          <w:b/>
          <w:color w:val="auto"/>
          <w:sz w:val="32"/>
          <w:szCs w:val="22"/>
          <w:highlight w:val="none"/>
        </w:rPr>
        <w:t>采   购   人：</w:t>
      </w:r>
      <w:r>
        <w:rPr>
          <w:rFonts w:hint="eastAsia" w:ascii="宋体" w:hAnsi="宋体" w:eastAsia="宋体" w:cs="宋体"/>
          <w:b/>
          <w:color w:val="auto"/>
          <w:sz w:val="32"/>
          <w:szCs w:val="22"/>
          <w:highlight w:val="none"/>
          <w:lang w:val="en-US" w:eastAsia="zh-CN"/>
        </w:rPr>
        <w:t xml:space="preserve">长春工业大学 </w:t>
      </w:r>
    </w:p>
    <w:p w14:paraId="55E9AC65">
      <w:pPr>
        <w:ind w:firstLine="1285" w:firstLineChars="400"/>
        <w:jc w:val="both"/>
        <w:rPr>
          <w:rFonts w:hint="eastAsia" w:ascii="宋体" w:hAnsi="宋体" w:eastAsia="宋体" w:cs="宋体"/>
          <w:b/>
          <w:color w:val="auto"/>
          <w:sz w:val="32"/>
          <w:szCs w:val="22"/>
          <w:highlight w:val="none"/>
        </w:rPr>
      </w:pPr>
      <w:r>
        <w:rPr>
          <w:rFonts w:hint="eastAsia" w:ascii="宋体" w:hAnsi="宋体" w:eastAsia="宋体" w:cs="宋体"/>
          <w:b/>
          <w:color w:val="auto"/>
          <w:sz w:val="32"/>
          <w:szCs w:val="22"/>
          <w:highlight w:val="none"/>
        </w:rPr>
        <w:t xml:space="preserve">    </w:t>
      </w:r>
      <w:r>
        <w:rPr>
          <w:rFonts w:hint="eastAsia" w:ascii="宋体" w:hAnsi="宋体" w:eastAsia="宋体" w:cs="宋体"/>
          <w:b/>
          <w:color w:val="auto"/>
          <w:sz w:val="32"/>
          <w:szCs w:val="22"/>
          <w:highlight w:val="none"/>
          <w:lang w:val="en-US" w:eastAsia="zh-CN"/>
        </w:rPr>
        <w:t xml:space="preserve"> </w:t>
      </w:r>
      <w:r>
        <w:rPr>
          <w:rFonts w:hint="eastAsia" w:ascii="宋体" w:hAnsi="宋体" w:eastAsia="宋体" w:cs="宋体"/>
          <w:b/>
          <w:color w:val="auto"/>
          <w:sz w:val="32"/>
          <w:szCs w:val="22"/>
          <w:highlight w:val="none"/>
        </w:rPr>
        <w:t xml:space="preserve">    </w:t>
      </w:r>
    </w:p>
    <w:p w14:paraId="609034CA">
      <w:pPr>
        <w:ind w:firstLine="1285" w:firstLineChars="400"/>
        <w:jc w:val="both"/>
        <w:rPr>
          <w:rFonts w:hint="eastAsia" w:ascii="宋体" w:hAnsi="宋体" w:eastAsia="宋体" w:cs="宋体"/>
          <w:b/>
          <w:color w:val="auto"/>
          <w:sz w:val="32"/>
          <w:szCs w:val="22"/>
          <w:highlight w:val="none"/>
          <w:lang w:eastAsia="zh-CN"/>
        </w:rPr>
      </w:pPr>
      <w:r>
        <w:rPr>
          <w:rFonts w:hint="eastAsia" w:ascii="宋体" w:hAnsi="宋体" w:eastAsia="宋体" w:cs="宋体"/>
          <w:b/>
          <w:color w:val="auto"/>
          <w:sz w:val="32"/>
          <w:szCs w:val="22"/>
          <w:highlight w:val="none"/>
        </w:rPr>
        <w:t>采购代理机构：</w:t>
      </w:r>
      <w:r>
        <w:rPr>
          <w:rFonts w:hint="eastAsia" w:ascii="宋体" w:hAnsi="宋体" w:cs="宋体"/>
          <w:b/>
          <w:color w:val="auto"/>
          <w:sz w:val="32"/>
          <w:szCs w:val="22"/>
          <w:highlight w:val="none"/>
          <w:lang w:eastAsia="zh-CN"/>
        </w:rPr>
        <w:t>吉林省经建咨询有限公司</w:t>
      </w:r>
    </w:p>
    <w:p w14:paraId="6D6F0B81">
      <w:pPr>
        <w:jc w:val="center"/>
        <w:rPr>
          <w:rFonts w:hint="eastAsia" w:ascii="宋体" w:hAnsi="宋体" w:eastAsia="宋体" w:cs="宋体"/>
          <w:b/>
          <w:color w:val="auto"/>
          <w:sz w:val="32"/>
          <w:highlight w:val="none"/>
        </w:rPr>
      </w:pPr>
    </w:p>
    <w:p w14:paraId="68E3587A">
      <w:pPr>
        <w:ind w:firstLine="1285" w:firstLineChars="400"/>
        <w:jc w:val="both"/>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日    </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 xml:space="preserve"> 期：202</w:t>
      </w:r>
      <w:r>
        <w:rPr>
          <w:rFonts w:hint="eastAsia" w:ascii="宋体" w:hAnsi="宋体" w:cs="宋体"/>
          <w:b/>
          <w:color w:val="auto"/>
          <w:sz w:val="32"/>
          <w:highlight w:val="none"/>
          <w:lang w:val="en-US" w:eastAsia="zh-CN"/>
        </w:rPr>
        <w:t>6</w:t>
      </w:r>
      <w:r>
        <w:rPr>
          <w:rFonts w:hint="eastAsia" w:ascii="宋体" w:hAnsi="宋体" w:eastAsia="宋体" w:cs="宋体"/>
          <w:b/>
          <w:color w:val="auto"/>
          <w:sz w:val="32"/>
          <w:highlight w:val="none"/>
        </w:rPr>
        <w:t>年</w:t>
      </w:r>
      <w:r>
        <w:rPr>
          <w:rFonts w:hint="eastAsia" w:ascii="宋体" w:hAnsi="宋体" w:cs="宋体"/>
          <w:b/>
          <w:color w:val="auto"/>
          <w:sz w:val="32"/>
          <w:highlight w:val="none"/>
          <w:lang w:val="en-US" w:eastAsia="zh-CN"/>
        </w:rPr>
        <w:t>4</w:t>
      </w:r>
      <w:r>
        <w:rPr>
          <w:rFonts w:hint="eastAsia" w:ascii="宋体" w:hAnsi="宋体" w:eastAsia="宋体" w:cs="宋体"/>
          <w:b/>
          <w:color w:val="auto"/>
          <w:sz w:val="32"/>
          <w:highlight w:val="none"/>
        </w:rPr>
        <w:t>月</w:t>
      </w:r>
    </w:p>
    <w:p w14:paraId="1E9D6431">
      <w:pPr>
        <w:jc w:val="center"/>
        <w:rPr>
          <w:rFonts w:ascii="宋体" w:hAnsi="宋体" w:cs="宋体"/>
          <w:b/>
          <w:bCs/>
          <w:color w:val="auto"/>
          <w:sz w:val="36"/>
          <w:highlight w:val="none"/>
        </w:rPr>
        <w:sectPr>
          <w:headerReference r:id="rId4" w:type="first"/>
          <w:headerReference r:id="rId3" w:type="default"/>
          <w:footerReference r:id="rId5" w:type="even"/>
          <w:pgSz w:w="11906" w:h="16838"/>
          <w:pgMar w:top="1418" w:right="1247" w:bottom="1418" w:left="1418" w:header="851" w:footer="992" w:gutter="0"/>
          <w:cols w:space="720" w:num="1"/>
          <w:titlePg/>
          <w:docGrid w:linePitch="312" w:charSpace="0"/>
        </w:sectPr>
      </w:pPr>
    </w:p>
    <w:p w14:paraId="32AC6228">
      <w:pPr>
        <w:pStyle w:val="44"/>
        <w:ind w:left="400"/>
        <w:rPr>
          <w:color w:val="auto"/>
          <w:highlight w:val="green"/>
        </w:rPr>
      </w:pPr>
    </w:p>
    <w:p w14:paraId="0BDEA0B8">
      <w:pPr>
        <w:spacing w:line="360" w:lineRule="auto"/>
        <w:jc w:val="center"/>
        <w:rPr>
          <w:rFonts w:ascii="宋体" w:hAnsi="宋体" w:cs="宋体"/>
          <w:b/>
          <w:bCs/>
          <w:color w:val="auto"/>
          <w:sz w:val="36"/>
          <w:highlight w:val="none"/>
        </w:rPr>
      </w:pPr>
      <w:r>
        <w:rPr>
          <w:rFonts w:hint="eastAsia" w:ascii="宋体" w:hAnsi="宋体" w:cs="宋体"/>
          <w:b/>
          <w:bCs/>
          <w:color w:val="auto"/>
          <w:sz w:val="36"/>
          <w:highlight w:val="none"/>
        </w:rPr>
        <w:t>目　　录</w:t>
      </w:r>
    </w:p>
    <w:p w14:paraId="505CCF0B">
      <w:pPr>
        <w:jc w:val="center"/>
        <w:rPr>
          <w:rFonts w:ascii="宋体" w:hAnsi="宋体" w:cs="宋体"/>
          <w:b/>
          <w:bCs/>
          <w:color w:val="auto"/>
          <w:sz w:val="36"/>
          <w:highlight w:val="none"/>
        </w:rPr>
      </w:pPr>
    </w:p>
    <w:p w14:paraId="13A76B5B">
      <w:pPr>
        <w:pStyle w:val="30"/>
        <w:tabs>
          <w:tab w:val="right" w:leader="dot" w:pos="9241"/>
        </w:tabs>
        <w:spacing w:line="360" w:lineRule="auto"/>
        <w:rPr>
          <w:color w:val="auto"/>
          <w:sz w:val="28"/>
          <w:szCs w:val="28"/>
          <w:highlight w:val="none"/>
        </w:rPr>
      </w:pPr>
      <w:r>
        <w:rPr>
          <w:rFonts w:hint="eastAsia" w:ascii="宋体" w:hAnsi="宋体" w:cs="宋体"/>
          <w:b w:val="0"/>
          <w:color w:val="auto"/>
          <w:sz w:val="48"/>
          <w:szCs w:val="48"/>
          <w:highlight w:val="none"/>
        </w:rPr>
        <w:fldChar w:fldCharType="begin"/>
      </w:r>
      <w:r>
        <w:rPr>
          <w:rFonts w:hint="eastAsia" w:ascii="宋体" w:hAnsi="宋体" w:cs="宋体"/>
          <w:b w:val="0"/>
          <w:color w:val="auto"/>
          <w:sz w:val="48"/>
          <w:szCs w:val="48"/>
          <w:highlight w:val="none"/>
        </w:rPr>
        <w:instrText xml:space="preserve"> TOC \o "1-1" \h \z \u </w:instrText>
      </w:r>
      <w:r>
        <w:rPr>
          <w:rFonts w:hint="eastAsia" w:ascii="宋体" w:hAnsi="宋体" w:cs="宋体"/>
          <w:b w:val="0"/>
          <w:color w:val="auto"/>
          <w:sz w:val="48"/>
          <w:szCs w:val="48"/>
          <w:highlight w:val="none"/>
        </w:rPr>
        <w:fldChar w:fldCharType="separate"/>
      </w:r>
      <w:r>
        <w:rPr>
          <w:rFonts w:hint="eastAsia" w:ascii="宋体" w:hAnsi="宋体" w:cs="宋体"/>
          <w:color w:val="auto"/>
          <w:sz w:val="28"/>
          <w:szCs w:val="48"/>
          <w:highlight w:val="none"/>
        </w:rPr>
        <w:fldChar w:fldCharType="begin"/>
      </w:r>
      <w:r>
        <w:rPr>
          <w:rFonts w:hint="eastAsia" w:ascii="宋体" w:hAnsi="宋体" w:cs="宋体"/>
          <w:color w:val="auto"/>
          <w:sz w:val="28"/>
          <w:szCs w:val="48"/>
          <w:highlight w:val="none"/>
        </w:rPr>
        <w:instrText xml:space="preserve"> HYPERLINK \l _Toc8380 </w:instrText>
      </w:r>
      <w:r>
        <w:rPr>
          <w:rFonts w:hint="eastAsia" w:ascii="宋体" w:hAnsi="宋体" w:cs="宋体"/>
          <w:color w:val="auto"/>
          <w:sz w:val="28"/>
          <w:szCs w:val="48"/>
          <w:highlight w:val="none"/>
        </w:rPr>
        <w:fldChar w:fldCharType="separate"/>
      </w:r>
      <w:r>
        <w:rPr>
          <w:rFonts w:hint="eastAsia" w:ascii="宋体" w:hAnsi="宋体" w:cs="宋体"/>
          <w:color w:val="auto"/>
          <w:sz w:val="28"/>
          <w:szCs w:val="52"/>
          <w:highlight w:val="none"/>
          <w:lang w:val="en-US" w:eastAsia="zh-CN"/>
        </w:rPr>
        <w:t xml:space="preserve">第一部分  </w:t>
      </w:r>
      <w:r>
        <w:rPr>
          <w:rFonts w:hint="eastAsia" w:ascii="宋体" w:hAnsi="宋体" w:cs="宋体"/>
          <w:color w:val="auto"/>
          <w:sz w:val="28"/>
          <w:szCs w:val="52"/>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_Toc8380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ascii="宋体" w:hAnsi="宋体" w:cs="宋体"/>
          <w:color w:val="auto"/>
          <w:sz w:val="28"/>
          <w:szCs w:val="48"/>
          <w:highlight w:val="none"/>
        </w:rPr>
        <w:fldChar w:fldCharType="end"/>
      </w:r>
    </w:p>
    <w:p w14:paraId="45096994">
      <w:pPr>
        <w:pStyle w:val="30"/>
        <w:tabs>
          <w:tab w:val="right" w:leader="dot" w:pos="9241"/>
        </w:tabs>
        <w:spacing w:line="360" w:lineRule="auto"/>
        <w:rPr>
          <w:color w:val="auto"/>
          <w:sz w:val="28"/>
          <w:szCs w:val="28"/>
          <w:highlight w:val="none"/>
        </w:rPr>
      </w:pPr>
      <w:r>
        <w:rPr>
          <w:rFonts w:hint="eastAsia" w:ascii="宋体" w:hAnsi="宋体" w:cs="宋体"/>
          <w:color w:val="auto"/>
          <w:sz w:val="28"/>
          <w:szCs w:val="48"/>
          <w:highlight w:val="none"/>
        </w:rPr>
        <w:fldChar w:fldCharType="begin"/>
      </w:r>
      <w:r>
        <w:rPr>
          <w:rFonts w:hint="eastAsia" w:ascii="宋体" w:hAnsi="宋体" w:cs="宋体"/>
          <w:color w:val="auto"/>
          <w:sz w:val="28"/>
          <w:szCs w:val="48"/>
          <w:highlight w:val="none"/>
        </w:rPr>
        <w:instrText xml:space="preserve"> HYPERLINK \l _Toc11315 </w:instrText>
      </w:r>
      <w:r>
        <w:rPr>
          <w:rFonts w:hint="eastAsia" w:ascii="宋体" w:hAnsi="宋体" w:cs="宋体"/>
          <w:color w:val="auto"/>
          <w:sz w:val="28"/>
          <w:szCs w:val="48"/>
          <w:highlight w:val="none"/>
        </w:rPr>
        <w:fldChar w:fldCharType="separate"/>
      </w:r>
      <w:r>
        <w:rPr>
          <w:rFonts w:hint="eastAsia" w:ascii="宋体" w:hAnsi="宋体" w:cs="宋体"/>
          <w:color w:val="auto"/>
          <w:sz w:val="28"/>
          <w:szCs w:val="52"/>
          <w:highlight w:val="none"/>
        </w:rPr>
        <w:t>第二部分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_Toc11315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ascii="宋体" w:hAnsi="宋体" w:cs="宋体"/>
          <w:color w:val="auto"/>
          <w:sz w:val="28"/>
          <w:szCs w:val="48"/>
          <w:highlight w:val="none"/>
        </w:rPr>
        <w:fldChar w:fldCharType="end"/>
      </w:r>
    </w:p>
    <w:p w14:paraId="4EFE08DB">
      <w:pPr>
        <w:pStyle w:val="30"/>
        <w:tabs>
          <w:tab w:val="right" w:leader="dot" w:pos="9241"/>
        </w:tabs>
        <w:spacing w:line="360" w:lineRule="auto"/>
        <w:rPr>
          <w:color w:val="auto"/>
          <w:sz w:val="28"/>
          <w:szCs w:val="28"/>
          <w:highlight w:val="none"/>
        </w:rPr>
      </w:pPr>
      <w:r>
        <w:rPr>
          <w:rFonts w:hint="eastAsia" w:ascii="宋体" w:hAnsi="宋体" w:cs="宋体"/>
          <w:color w:val="auto"/>
          <w:sz w:val="28"/>
          <w:szCs w:val="48"/>
          <w:highlight w:val="none"/>
        </w:rPr>
        <w:fldChar w:fldCharType="begin"/>
      </w:r>
      <w:r>
        <w:rPr>
          <w:rFonts w:hint="eastAsia" w:ascii="宋体" w:hAnsi="宋体" w:cs="宋体"/>
          <w:color w:val="auto"/>
          <w:sz w:val="28"/>
          <w:szCs w:val="48"/>
          <w:highlight w:val="none"/>
        </w:rPr>
        <w:instrText xml:space="preserve"> HYPERLINK \l _Toc29194 </w:instrText>
      </w:r>
      <w:r>
        <w:rPr>
          <w:rFonts w:hint="eastAsia" w:ascii="宋体" w:hAnsi="宋体" w:cs="宋体"/>
          <w:color w:val="auto"/>
          <w:sz w:val="28"/>
          <w:szCs w:val="48"/>
          <w:highlight w:val="none"/>
        </w:rPr>
        <w:fldChar w:fldCharType="separate"/>
      </w:r>
      <w:r>
        <w:rPr>
          <w:rFonts w:hint="eastAsia" w:ascii="宋体" w:hAnsi="宋体" w:cs="宋体"/>
          <w:color w:val="auto"/>
          <w:sz w:val="28"/>
          <w:szCs w:val="28"/>
          <w:highlight w:val="none"/>
        </w:rPr>
        <w:t>第三部分  评标办法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_Toc29194 \h </w:instrText>
      </w:r>
      <w:r>
        <w:rPr>
          <w:color w:val="auto"/>
          <w:sz w:val="28"/>
          <w:szCs w:val="28"/>
          <w:highlight w:val="none"/>
        </w:rPr>
        <w:fldChar w:fldCharType="separate"/>
      </w:r>
      <w:r>
        <w:rPr>
          <w:color w:val="auto"/>
          <w:sz w:val="28"/>
          <w:szCs w:val="28"/>
          <w:highlight w:val="none"/>
        </w:rPr>
        <w:t>14</w:t>
      </w:r>
      <w:r>
        <w:rPr>
          <w:color w:val="auto"/>
          <w:sz w:val="28"/>
          <w:szCs w:val="28"/>
          <w:highlight w:val="none"/>
        </w:rPr>
        <w:fldChar w:fldCharType="end"/>
      </w:r>
      <w:r>
        <w:rPr>
          <w:rFonts w:hint="eastAsia" w:ascii="宋体" w:hAnsi="宋体" w:cs="宋体"/>
          <w:color w:val="auto"/>
          <w:sz w:val="28"/>
          <w:szCs w:val="48"/>
          <w:highlight w:val="none"/>
        </w:rPr>
        <w:fldChar w:fldCharType="end"/>
      </w:r>
    </w:p>
    <w:p w14:paraId="00C0F60C">
      <w:pPr>
        <w:pStyle w:val="30"/>
        <w:tabs>
          <w:tab w:val="right" w:leader="dot" w:pos="9241"/>
        </w:tabs>
        <w:spacing w:line="360" w:lineRule="auto"/>
        <w:rPr>
          <w:color w:val="auto"/>
          <w:sz w:val="28"/>
          <w:szCs w:val="28"/>
          <w:highlight w:val="none"/>
        </w:rPr>
      </w:pPr>
      <w:r>
        <w:rPr>
          <w:rFonts w:hint="eastAsia" w:ascii="宋体" w:hAnsi="宋体" w:cs="宋体"/>
          <w:color w:val="auto"/>
          <w:sz w:val="28"/>
          <w:szCs w:val="48"/>
          <w:highlight w:val="none"/>
        </w:rPr>
        <w:fldChar w:fldCharType="begin"/>
      </w:r>
      <w:r>
        <w:rPr>
          <w:rFonts w:hint="eastAsia" w:ascii="宋体" w:hAnsi="宋体" w:cs="宋体"/>
          <w:color w:val="auto"/>
          <w:sz w:val="28"/>
          <w:szCs w:val="48"/>
          <w:highlight w:val="none"/>
        </w:rPr>
        <w:instrText xml:space="preserve"> HYPERLINK \l _Toc1731 </w:instrText>
      </w:r>
      <w:r>
        <w:rPr>
          <w:rFonts w:hint="eastAsia" w:ascii="宋体" w:hAnsi="宋体" w:cs="宋体"/>
          <w:color w:val="auto"/>
          <w:sz w:val="28"/>
          <w:szCs w:val="48"/>
          <w:highlight w:val="none"/>
        </w:rPr>
        <w:fldChar w:fldCharType="separate"/>
      </w:r>
      <w:r>
        <w:rPr>
          <w:rFonts w:hint="eastAsia" w:ascii="宋体" w:hAnsi="宋体" w:cs="宋体"/>
          <w:color w:val="auto"/>
          <w:sz w:val="28"/>
          <w:szCs w:val="52"/>
          <w:highlight w:val="none"/>
        </w:rPr>
        <w:t xml:space="preserve">第四部分 </w:t>
      </w:r>
      <w:r>
        <w:rPr>
          <w:rFonts w:hint="eastAsia" w:ascii="宋体" w:hAnsi="宋体" w:cs="宋体"/>
          <w:color w:val="auto"/>
          <w:sz w:val="28"/>
          <w:szCs w:val="52"/>
          <w:highlight w:val="none"/>
          <w:lang w:val="en-US" w:eastAsia="zh-CN"/>
        </w:rPr>
        <w:t xml:space="preserve"> </w:t>
      </w:r>
      <w:r>
        <w:rPr>
          <w:rFonts w:hint="eastAsia" w:ascii="宋体" w:hAnsi="宋体" w:cs="宋体"/>
          <w:color w:val="auto"/>
          <w:sz w:val="28"/>
          <w:szCs w:val="52"/>
          <w:highlight w:val="none"/>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_Toc1731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rFonts w:hint="eastAsia" w:ascii="宋体" w:hAnsi="宋体" w:cs="宋体"/>
          <w:color w:val="auto"/>
          <w:sz w:val="28"/>
          <w:szCs w:val="48"/>
          <w:highlight w:val="none"/>
        </w:rPr>
        <w:fldChar w:fldCharType="end"/>
      </w:r>
    </w:p>
    <w:p w14:paraId="23599703">
      <w:pPr>
        <w:pStyle w:val="30"/>
        <w:tabs>
          <w:tab w:val="right" w:leader="dot" w:pos="9241"/>
        </w:tabs>
        <w:spacing w:line="360" w:lineRule="auto"/>
        <w:rPr>
          <w:rFonts w:hint="eastAsia" w:eastAsia="宋体"/>
          <w:color w:val="auto"/>
          <w:sz w:val="28"/>
          <w:szCs w:val="28"/>
          <w:highlight w:val="none"/>
          <w:lang w:val="en-US" w:eastAsia="zh-CN"/>
        </w:rPr>
      </w:pPr>
      <w:r>
        <w:rPr>
          <w:rFonts w:hint="eastAsia" w:ascii="宋体" w:hAnsi="宋体" w:cs="宋体"/>
          <w:color w:val="auto"/>
          <w:sz w:val="28"/>
          <w:szCs w:val="48"/>
          <w:highlight w:val="none"/>
        </w:rPr>
        <w:fldChar w:fldCharType="begin"/>
      </w:r>
      <w:r>
        <w:rPr>
          <w:rFonts w:hint="eastAsia" w:ascii="宋体" w:hAnsi="宋体" w:cs="宋体"/>
          <w:color w:val="auto"/>
          <w:sz w:val="28"/>
          <w:szCs w:val="48"/>
          <w:highlight w:val="none"/>
        </w:rPr>
        <w:instrText xml:space="preserve"> HYPERLINK \l _Toc30988 </w:instrText>
      </w:r>
      <w:r>
        <w:rPr>
          <w:rFonts w:hint="eastAsia" w:ascii="宋体" w:hAnsi="宋体" w:cs="宋体"/>
          <w:color w:val="auto"/>
          <w:sz w:val="28"/>
          <w:szCs w:val="48"/>
          <w:highlight w:val="none"/>
        </w:rPr>
        <w:fldChar w:fldCharType="separate"/>
      </w:r>
      <w:r>
        <w:rPr>
          <w:rFonts w:hint="eastAsia" w:ascii="宋体" w:hAnsi="宋体" w:cs="宋体"/>
          <w:color w:val="auto"/>
          <w:sz w:val="28"/>
          <w:szCs w:val="52"/>
          <w:highlight w:val="none"/>
        </w:rPr>
        <w:t>第五部分  合同格式</w:t>
      </w:r>
      <w:r>
        <w:rPr>
          <w:color w:val="auto"/>
          <w:sz w:val="28"/>
          <w:szCs w:val="28"/>
          <w:highlight w:val="none"/>
        </w:rPr>
        <w:tab/>
      </w:r>
      <w:r>
        <w:rPr>
          <w:rFonts w:hint="eastAsia"/>
          <w:color w:val="auto"/>
          <w:sz w:val="28"/>
          <w:szCs w:val="28"/>
          <w:highlight w:val="none"/>
          <w:lang w:val="en-US" w:eastAsia="zh-CN"/>
        </w:rPr>
        <w:t>2</w:t>
      </w:r>
      <w:r>
        <w:rPr>
          <w:rFonts w:hint="eastAsia" w:ascii="宋体" w:hAnsi="宋体" w:cs="宋体"/>
          <w:color w:val="auto"/>
          <w:sz w:val="28"/>
          <w:szCs w:val="48"/>
          <w:highlight w:val="none"/>
        </w:rPr>
        <w:fldChar w:fldCharType="end"/>
      </w:r>
      <w:r>
        <w:rPr>
          <w:rFonts w:hint="eastAsia" w:ascii="宋体" w:hAnsi="宋体" w:cs="宋体"/>
          <w:color w:val="auto"/>
          <w:sz w:val="28"/>
          <w:szCs w:val="48"/>
          <w:highlight w:val="none"/>
          <w:lang w:val="en-US" w:eastAsia="zh-CN"/>
        </w:rPr>
        <w:t>5</w:t>
      </w:r>
    </w:p>
    <w:p w14:paraId="7EA2B307">
      <w:pPr>
        <w:pStyle w:val="30"/>
        <w:tabs>
          <w:tab w:val="right" w:leader="dot" w:pos="9241"/>
        </w:tabs>
        <w:spacing w:line="360" w:lineRule="auto"/>
        <w:rPr>
          <w:color w:val="auto"/>
          <w:sz w:val="28"/>
          <w:szCs w:val="28"/>
          <w:highlight w:val="none"/>
        </w:rPr>
      </w:pPr>
      <w:r>
        <w:rPr>
          <w:rFonts w:hint="eastAsia" w:ascii="宋体" w:hAnsi="宋体" w:cs="宋体"/>
          <w:color w:val="auto"/>
          <w:sz w:val="28"/>
          <w:szCs w:val="48"/>
          <w:highlight w:val="none"/>
        </w:rPr>
        <w:fldChar w:fldCharType="begin"/>
      </w:r>
      <w:r>
        <w:rPr>
          <w:rFonts w:hint="eastAsia" w:ascii="宋体" w:hAnsi="宋体" w:cs="宋体"/>
          <w:color w:val="auto"/>
          <w:sz w:val="28"/>
          <w:szCs w:val="48"/>
          <w:highlight w:val="none"/>
        </w:rPr>
        <w:instrText xml:space="preserve"> HYPERLINK \l _Toc10055 </w:instrText>
      </w:r>
      <w:r>
        <w:rPr>
          <w:rFonts w:hint="eastAsia" w:ascii="宋体" w:hAnsi="宋体" w:cs="宋体"/>
          <w:color w:val="auto"/>
          <w:sz w:val="28"/>
          <w:szCs w:val="48"/>
          <w:highlight w:val="none"/>
        </w:rPr>
        <w:fldChar w:fldCharType="separate"/>
      </w:r>
      <w:r>
        <w:rPr>
          <w:rFonts w:hint="eastAsia" w:ascii="宋体" w:hAnsi="宋体" w:cs="宋体"/>
          <w:color w:val="auto"/>
          <w:sz w:val="28"/>
          <w:szCs w:val="52"/>
          <w:highlight w:val="none"/>
        </w:rPr>
        <w:t>第六部分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_Toc10055 \h </w:instrText>
      </w:r>
      <w:r>
        <w:rPr>
          <w:color w:val="auto"/>
          <w:sz w:val="28"/>
          <w:szCs w:val="28"/>
          <w:highlight w:val="none"/>
        </w:rPr>
        <w:fldChar w:fldCharType="separate"/>
      </w:r>
      <w:r>
        <w:rPr>
          <w:color w:val="auto"/>
          <w:sz w:val="28"/>
          <w:szCs w:val="28"/>
          <w:highlight w:val="none"/>
        </w:rPr>
        <w:t>32</w:t>
      </w:r>
      <w:r>
        <w:rPr>
          <w:color w:val="auto"/>
          <w:sz w:val="28"/>
          <w:szCs w:val="28"/>
          <w:highlight w:val="none"/>
        </w:rPr>
        <w:fldChar w:fldCharType="end"/>
      </w:r>
      <w:r>
        <w:rPr>
          <w:rFonts w:hint="eastAsia" w:ascii="宋体" w:hAnsi="宋体" w:cs="宋体"/>
          <w:color w:val="auto"/>
          <w:sz w:val="28"/>
          <w:szCs w:val="48"/>
          <w:highlight w:val="none"/>
        </w:rPr>
        <w:fldChar w:fldCharType="end"/>
      </w:r>
    </w:p>
    <w:p w14:paraId="63B74738">
      <w:pPr>
        <w:spacing w:line="360" w:lineRule="auto"/>
        <w:ind w:left="400" w:leftChars="200" w:right="400" w:rightChars="200"/>
        <w:rPr>
          <w:rFonts w:ascii="宋体" w:hAnsi="宋体" w:cs="宋体"/>
          <w:color w:val="auto"/>
          <w:sz w:val="28"/>
          <w:szCs w:val="28"/>
          <w:highlight w:val="none"/>
        </w:rPr>
      </w:pPr>
      <w:r>
        <w:rPr>
          <w:rFonts w:hint="eastAsia" w:ascii="宋体" w:hAnsi="宋体" w:cs="宋体"/>
          <w:color w:val="auto"/>
          <w:sz w:val="28"/>
          <w:szCs w:val="48"/>
          <w:highlight w:val="none"/>
        </w:rPr>
        <w:fldChar w:fldCharType="end"/>
      </w:r>
    </w:p>
    <w:bookmarkEnd w:id="1"/>
    <w:p w14:paraId="54796C16">
      <w:pPr>
        <w:rPr>
          <w:rFonts w:ascii="宋体" w:hAnsi="宋体" w:cs="宋体"/>
          <w:color w:val="auto"/>
          <w:highlight w:val="none"/>
        </w:rPr>
      </w:pPr>
      <w:r>
        <w:rPr>
          <w:rFonts w:hint="eastAsia" w:ascii="宋体" w:hAnsi="宋体" w:cs="宋体"/>
          <w:color w:val="auto"/>
          <w:highlight w:val="none"/>
        </w:rPr>
        <w:br w:type="page"/>
      </w:r>
    </w:p>
    <w:p w14:paraId="0C9F7370">
      <w:pPr>
        <w:pStyle w:val="2"/>
        <w:pageBreakBefore w:val="0"/>
        <w:kinsoku/>
        <w:wordWrap/>
        <w:overflowPunct/>
        <w:topLinePunct w:val="0"/>
        <w:autoSpaceDE/>
        <w:autoSpaceDN/>
        <w:bidi w:val="0"/>
        <w:adjustRightInd/>
        <w:snapToGrid/>
        <w:spacing w:before="0" w:after="0" w:line="360" w:lineRule="auto"/>
        <w:jc w:val="center"/>
        <w:textAlignment w:val="auto"/>
        <w:rPr>
          <w:rFonts w:ascii="宋体" w:hAnsi="宋体" w:cs="宋体"/>
          <w:color w:val="auto"/>
          <w:sz w:val="36"/>
          <w:szCs w:val="36"/>
          <w:highlight w:val="none"/>
        </w:rPr>
      </w:pPr>
      <w:bookmarkStart w:id="2" w:name="_Toc8380"/>
      <w:r>
        <w:rPr>
          <w:rFonts w:hint="eastAsia" w:ascii="宋体" w:hAnsi="宋体" w:cs="宋体"/>
          <w:color w:val="auto"/>
          <w:sz w:val="36"/>
          <w:szCs w:val="36"/>
          <w:highlight w:val="none"/>
          <w:lang w:val="en-US" w:eastAsia="zh-CN"/>
        </w:rPr>
        <w:t xml:space="preserve">第一部分  </w:t>
      </w:r>
      <w:r>
        <w:rPr>
          <w:rFonts w:hint="eastAsia" w:ascii="宋体" w:hAnsi="宋体" w:cs="宋体"/>
          <w:color w:val="auto"/>
          <w:sz w:val="36"/>
          <w:szCs w:val="36"/>
          <w:highlight w:val="none"/>
        </w:rPr>
        <w:t>招标公告</w:t>
      </w:r>
      <w:bookmarkEnd w:id="2"/>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74C7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482AEE9">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项目概况</w:t>
            </w:r>
          </w:p>
          <w:p w14:paraId="4F9BE180">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长春工业大学高质量发展-学科建设-吉林省先进高分子功能膜材料及碳纤维复合材料重点实验室建设项目</w:t>
            </w:r>
            <w:r>
              <w:rPr>
                <w:rFonts w:hint="eastAsia" w:ascii="宋体" w:hAnsi="宋体" w:cs="宋体"/>
                <w:color w:val="auto"/>
                <w:sz w:val="24"/>
                <w:szCs w:val="24"/>
                <w:highlight w:val="none"/>
              </w:rPr>
              <w:t>的潜在供应商应</w:t>
            </w:r>
            <w:r>
              <w:rPr>
                <w:rFonts w:hint="eastAsia" w:ascii="宋体" w:hAnsi="宋体" w:cs="宋体"/>
                <w:color w:val="auto"/>
                <w:sz w:val="24"/>
                <w:szCs w:val="24"/>
                <w:highlight w:val="none"/>
                <w:lang w:eastAsia="zh-CN"/>
              </w:rPr>
              <w:t>在“政采云”平台（网址：http://www.zcygov.cn）</w:t>
            </w:r>
            <w:r>
              <w:rPr>
                <w:rFonts w:hint="eastAsia" w:ascii="宋体" w:hAnsi="宋体" w:cs="宋体"/>
                <w:color w:val="auto"/>
                <w:sz w:val="24"/>
                <w:szCs w:val="24"/>
                <w:highlight w:val="none"/>
              </w:rPr>
              <w:t>获取招标文件，并于</w:t>
            </w:r>
            <w:r>
              <w:rPr>
                <w:rFonts w:hint="eastAsia" w:ascii="宋体" w:hAnsi="宋体" w:cs="宋体"/>
                <w:color w:val="auto"/>
                <w:sz w:val="24"/>
                <w:szCs w:val="24"/>
                <w:highlight w:val="none"/>
                <w:lang w:eastAsia="zh-CN"/>
              </w:rPr>
              <w:t>2026年5月15日9时30分</w:t>
            </w:r>
            <w:r>
              <w:rPr>
                <w:rFonts w:hint="eastAsia" w:ascii="宋体" w:hAnsi="宋体" w:cs="宋体"/>
                <w:color w:val="auto"/>
                <w:sz w:val="24"/>
                <w:szCs w:val="24"/>
                <w:highlight w:val="none"/>
              </w:rPr>
              <w:t>（北京时间）前提交投标文件。</w:t>
            </w:r>
          </w:p>
        </w:tc>
      </w:tr>
    </w:tbl>
    <w:p w14:paraId="4063057B">
      <w:pPr>
        <w:pageBreakBefore w:val="0"/>
        <w:kinsoku/>
        <w:wordWrap/>
        <w:overflowPunct/>
        <w:topLinePunct w:val="0"/>
        <w:autoSpaceDE/>
        <w:autoSpaceDN/>
        <w:bidi w:val="0"/>
        <w:adjustRightInd/>
        <w:snapToGrid/>
        <w:spacing w:line="360" w:lineRule="auto"/>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14:paraId="5BA7D1B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bookmarkStart w:id="3" w:name="_Toc35393622"/>
      <w:bookmarkStart w:id="4" w:name="_Toc35393791"/>
      <w:bookmarkStart w:id="5" w:name="_Toc28359003"/>
      <w:bookmarkStart w:id="6" w:name="_Toc28359080"/>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采购计划-[2026]-03290号-JLJJ-HWZB-20260405</w:t>
      </w:r>
      <w:r>
        <w:rPr>
          <w:rFonts w:hint="eastAsia" w:ascii="宋体" w:hAnsi="宋体" w:cs="宋体"/>
          <w:color w:val="auto"/>
          <w:sz w:val="24"/>
          <w:szCs w:val="24"/>
          <w:highlight w:val="none"/>
        </w:rPr>
        <w:t>；</w:t>
      </w:r>
    </w:p>
    <w:p w14:paraId="03941CB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采购计划编号：</w:t>
      </w:r>
      <w:r>
        <w:rPr>
          <w:rFonts w:hint="eastAsia" w:ascii="宋体" w:hAnsi="宋体" w:cs="宋体"/>
          <w:color w:val="auto"/>
          <w:sz w:val="24"/>
          <w:szCs w:val="24"/>
          <w:highlight w:val="none"/>
          <w:lang w:eastAsia="zh-CN"/>
        </w:rPr>
        <w:t>采购计划-[2026]-03290号</w:t>
      </w:r>
      <w:r>
        <w:rPr>
          <w:rFonts w:hint="eastAsia" w:ascii="宋体" w:hAnsi="宋体" w:cs="宋体"/>
          <w:color w:val="auto"/>
          <w:sz w:val="24"/>
          <w:szCs w:val="24"/>
          <w:highlight w:val="none"/>
        </w:rPr>
        <w:t>；</w:t>
      </w:r>
    </w:p>
    <w:p w14:paraId="08CBA8A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长春工业大学高质量发展-学科建设-吉林省先进高分子功能膜材料及碳纤维复合材料重点实验室建设项目</w:t>
      </w:r>
      <w:r>
        <w:rPr>
          <w:rFonts w:hint="eastAsia" w:ascii="宋体" w:hAnsi="宋体" w:cs="宋体"/>
          <w:color w:val="auto"/>
          <w:sz w:val="24"/>
          <w:szCs w:val="24"/>
          <w:highlight w:val="none"/>
        </w:rPr>
        <w:t>；</w:t>
      </w:r>
    </w:p>
    <w:p w14:paraId="4403CBB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预算金额（最高限价）：</w:t>
      </w:r>
      <w:r>
        <w:rPr>
          <w:rFonts w:hint="eastAsia" w:ascii="宋体" w:hAnsi="宋体" w:cs="宋体"/>
          <w:color w:val="auto"/>
          <w:sz w:val="24"/>
          <w:szCs w:val="24"/>
          <w:highlight w:val="none"/>
          <w:lang w:val="en-US" w:eastAsia="zh-CN"/>
        </w:rPr>
        <w:t>550</w:t>
      </w:r>
      <w:r>
        <w:rPr>
          <w:rFonts w:hint="eastAsia" w:ascii="宋体" w:hAnsi="宋体" w:cs="宋体"/>
          <w:color w:val="auto"/>
          <w:sz w:val="24"/>
          <w:szCs w:val="24"/>
          <w:highlight w:val="none"/>
          <w:lang w:eastAsia="zh-CN"/>
        </w:rPr>
        <w:t>万元</w:t>
      </w:r>
      <w:r>
        <w:rPr>
          <w:rFonts w:hint="eastAsia" w:ascii="宋体" w:hAnsi="宋体" w:cs="宋体"/>
          <w:color w:val="auto"/>
          <w:sz w:val="24"/>
          <w:szCs w:val="24"/>
          <w:highlight w:val="none"/>
        </w:rPr>
        <w:t>；</w:t>
      </w:r>
    </w:p>
    <w:p w14:paraId="7D389E6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采购需求：</w:t>
      </w:r>
      <w:r>
        <w:rPr>
          <w:rFonts w:hint="eastAsia" w:ascii="宋体" w:hAnsi="宋体" w:cs="宋体"/>
          <w:color w:val="auto"/>
          <w:sz w:val="24"/>
          <w:szCs w:val="24"/>
          <w:highlight w:val="none"/>
          <w:lang w:eastAsia="zh-CN"/>
        </w:rPr>
        <w:t>长春工业大学高质量发展-学科建设-吉林省先进高分子功能膜材料及碳纤维复合材料重点实验室建设项目</w:t>
      </w:r>
      <w:r>
        <w:rPr>
          <w:rFonts w:hint="eastAsia" w:ascii="宋体" w:hAnsi="宋体" w:cs="宋体"/>
          <w:color w:val="auto"/>
          <w:sz w:val="24"/>
          <w:szCs w:val="24"/>
          <w:highlight w:val="none"/>
        </w:rPr>
        <w:t>（具体详见招标文件第四部分采购需求）；</w:t>
      </w:r>
    </w:p>
    <w:p w14:paraId="613756D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合同履行期限（供货期）：</w:t>
      </w:r>
      <w:r>
        <w:rPr>
          <w:rFonts w:hint="eastAsia" w:ascii="宋体" w:hAnsi="宋体" w:cs="宋体"/>
          <w:color w:val="auto"/>
          <w:sz w:val="24"/>
          <w:szCs w:val="24"/>
          <w:highlight w:val="none"/>
          <w:lang w:val="zh-CN"/>
        </w:rPr>
        <w:t>签订合同后240天</w:t>
      </w:r>
      <w:r>
        <w:rPr>
          <w:rFonts w:hint="eastAsia" w:ascii="宋体" w:hAnsi="宋体" w:cs="宋体"/>
          <w:color w:val="auto"/>
          <w:sz w:val="24"/>
          <w:szCs w:val="24"/>
          <w:highlight w:val="none"/>
        </w:rPr>
        <w:t>；</w:t>
      </w:r>
    </w:p>
    <w:p w14:paraId="176F34F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供货地点：</w:t>
      </w:r>
      <w:r>
        <w:rPr>
          <w:rFonts w:hint="eastAsia" w:ascii="宋体" w:hAnsi="宋体" w:cs="宋体"/>
          <w:color w:val="auto"/>
          <w:sz w:val="24"/>
          <w:szCs w:val="24"/>
          <w:highlight w:val="none"/>
          <w:lang w:eastAsia="zh-CN"/>
        </w:rPr>
        <w:t>长春工业大学指定地点</w:t>
      </w:r>
      <w:r>
        <w:rPr>
          <w:rFonts w:hint="eastAsia" w:ascii="宋体" w:hAnsi="宋体" w:cs="宋体"/>
          <w:color w:val="auto"/>
          <w:sz w:val="24"/>
          <w:szCs w:val="24"/>
          <w:highlight w:val="none"/>
        </w:rPr>
        <w:t>；</w:t>
      </w:r>
    </w:p>
    <w:p w14:paraId="60F1DF3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质量标准：符合国家及相关行业合格标准；</w:t>
      </w:r>
    </w:p>
    <w:p w14:paraId="11210F2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本项目不接受联合体投标。</w:t>
      </w:r>
    </w:p>
    <w:p w14:paraId="1DF58149">
      <w:pPr>
        <w:pageBreakBefore w:val="0"/>
        <w:kinsoku/>
        <w:wordWrap/>
        <w:overflowPunct/>
        <w:topLinePunct w:val="0"/>
        <w:autoSpaceDE/>
        <w:autoSpaceDN/>
        <w:bidi w:val="0"/>
        <w:adjustRightInd/>
        <w:snapToGrid/>
        <w:spacing w:line="360" w:lineRule="auto"/>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二、申请人的资格要求：</w:t>
      </w:r>
      <w:bookmarkEnd w:id="3"/>
      <w:bookmarkEnd w:id="4"/>
      <w:bookmarkEnd w:id="5"/>
      <w:bookmarkEnd w:id="6"/>
    </w:p>
    <w:p w14:paraId="517395C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38C6A5C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bookmarkStart w:id="7" w:name="_Toc28359081"/>
      <w:bookmarkStart w:id="8" w:name="_Toc28359004"/>
      <w:r>
        <w:rPr>
          <w:rFonts w:hint="eastAsia" w:ascii="宋体" w:hAnsi="宋体" w:cs="宋体"/>
          <w:color w:val="auto"/>
          <w:sz w:val="24"/>
          <w:szCs w:val="24"/>
          <w:highlight w:val="none"/>
        </w:rPr>
        <w:t>2.落实政府采购政策需满足的资格要求：本项目非专门面向中小企业；</w:t>
      </w:r>
    </w:p>
    <w:p w14:paraId="19150BA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54DB851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3.1供应商须是具有独立法人资格的企业或其他组织，具有有效营业执照；</w:t>
      </w:r>
    </w:p>
    <w:p w14:paraId="6DB4BD1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3.2拒绝列入政府取消投标资格记录期间的企业或个人投标；</w:t>
      </w:r>
    </w:p>
    <w:p w14:paraId="4F57234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w:t>
      </w:r>
      <w:r>
        <w:rPr>
          <w:rFonts w:hint="eastAsia" w:ascii="宋体" w:hAnsi="宋体" w:cs="宋体"/>
          <w:color w:val="auto"/>
          <w:sz w:val="24"/>
          <w:szCs w:val="24"/>
          <w:highlight w:val="none"/>
          <w:lang w:eastAsia="zh-CN"/>
        </w:rPr>
        <w:t>在2023年至今供应商和其法定代表人在“中国裁判文书网”</w:t>
      </w:r>
      <w:r>
        <w:rPr>
          <w:rFonts w:hint="eastAsia" w:ascii="宋体" w:hAnsi="宋体" w:cs="宋体"/>
          <w:color w:val="auto"/>
          <w:sz w:val="24"/>
          <w:szCs w:val="24"/>
          <w:highlight w:val="none"/>
        </w:rPr>
        <w:t>(wenshu.court.gov.cn)上无行贿犯罪行为；</w:t>
      </w:r>
    </w:p>
    <w:p w14:paraId="57C98B7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3.4与采购人存在利害关系可能影响招标公正性的法人、其他组织或者个人，不得参加本项目投标；单位负责人为同一人或者存在直接控股、管理关系的不同供应商，不得参加同一合同项下的政府采购活动；</w:t>
      </w:r>
    </w:p>
    <w:p w14:paraId="289F30A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3.5参加政府采购活动前三年内，在经营活动中没有重大违法记录。</w:t>
      </w:r>
    </w:p>
    <w:bookmarkEnd w:id="7"/>
    <w:bookmarkEnd w:id="8"/>
    <w:p w14:paraId="0C8EAFAB">
      <w:pPr>
        <w:keepNext w:val="0"/>
        <w:keepLines w:val="0"/>
        <w:pageBreakBefore w:val="0"/>
        <w:kinsoku/>
        <w:wordWrap/>
        <w:overflowPunct/>
        <w:topLinePunct w:val="0"/>
        <w:autoSpaceDE/>
        <w:autoSpaceDN/>
        <w:bidi w:val="0"/>
        <w:adjustRightInd/>
        <w:snapToGrid/>
        <w:spacing w:line="312" w:lineRule="auto"/>
        <w:textAlignment w:val="auto"/>
        <w:rPr>
          <w:rFonts w:ascii="宋体" w:hAnsi="宋体" w:cs="宋体"/>
          <w:b/>
          <w:color w:val="auto"/>
          <w:sz w:val="24"/>
          <w:szCs w:val="24"/>
          <w:highlight w:val="none"/>
        </w:rPr>
      </w:pPr>
      <w:bookmarkStart w:id="9" w:name="_Toc35393623"/>
      <w:bookmarkStart w:id="10" w:name="_Toc35393792"/>
      <w:r>
        <w:rPr>
          <w:rFonts w:hint="eastAsia" w:ascii="宋体" w:hAnsi="宋体" w:cs="宋体"/>
          <w:b/>
          <w:color w:val="auto"/>
          <w:sz w:val="24"/>
          <w:szCs w:val="24"/>
          <w:highlight w:val="none"/>
        </w:rPr>
        <w:t>三、获取招标文件</w:t>
      </w:r>
      <w:bookmarkEnd w:id="9"/>
      <w:bookmarkEnd w:id="10"/>
    </w:p>
    <w:p w14:paraId="63F686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cs="宋体"/>
          <w:color w:val="auto"/>
          <w:sz w:val="24"/>
          <w:szCs w:val="24"/>
          <w:highlight w:val="none"/>
          <w:lang w:val="en-US" w:eastAsia="zh-CN"/>
        </w:rPr>
        <w:t>2026年4月21日至2026年4月28日</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每天00时至23时59分</w:t>
      </w:r>
      <w:r>
        <w:rPr>
          <w:rFonts w:hint="eastAsia" w:ascii="宋体" w:hAnsi="宋体" w:eastAsia="宋体" w:cs="宋体"/>
          <w:color w:val="auto"/>
          <w:sz w:val="24"/>
          <w:szCs w:val="24"/>
          <w:highlight w:val="none"/>
        </w:rPr>
        <w:t>；</w:t>
      </w:r>
    </w:p>
    <w:p w14:paraId="6EEDEB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2.方式：潜在投标人自行登录</w:t>
      </w:r>
      <w:r>
        <w:rPr>
          <w:rFonts w:hint="eastAsia" w:ascii="宋体" w:hAnsi="宋体" w:cs="宋体"/>
          <w:color w:val="auto"/>
          <w:sz w:val="24"/>
          <w:szCs w:val="24"/>
          <w:highlight w:val="none"/>
          <w:lang w:eastAsia="zh-CN"/>
        </w:rPr>
        <w:t>“政采云”平台</w:t>
      </w:r>
      <w:r>
        <w:rPr>
          <w:rFonts w:hint="eastAsia" w:ascii="宋体" w:hAnsi="宋体" w:eastAsia="宋体" w:cs="宋体"/>
          <w:color w:val="auto"/>
          <w:sz w:val="24"/>
          <w:szCs w:val="24"/>
          <w:highlight w:val="none"/>
        </w:rPr>
        <w:t>（网址：http:// www.zcygov.cn）按要求下载采购文件（操作路径：登录“政采云”平台-项目采购-获取采购文件-找到本项目-点击“申请获取采购文件”），其他途径获取的采购文件开标时一律按无效投标处理；</w:t>
      </w:r>
    </w:p>
    <w:p w14:paraId="53B4EF0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lang w:val="zh-CN"/>
        </w:rPr>
        <w:t>售价：0元。</w:t>
      </w:r>
    </w:p>
    <w:p w14:paraId="35E11876">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四、</w:t>
      </w:r>
      <w:r>
        <w:rPr>
          <w:rFonts w:hint="eastAsia" w:ascii="宋体" w:hAnsi="宋体" w:eastAsia="宋体" w:cs="宋体"/>
          <w:b/>
          <w:color w:val="auto"/>
          <w:sz w:val="24"/>
          <w:szCs w:val="24"/>
          <w:highlight w:val="none"/>
        </w:rPr>
        <w:t>提交投标文件截止时间、开标时间和地点</w:t>
      </w:r>
    </w:p>
    <w:p w14:paraId="37C5F5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11" w:name="_Toc28359084"/>
      <w:bookmarkStart w:id="12" w:name="_Toc35393625"/>
      <w:bookmarkStart w:id="13" w:name="_Toc35393794"/>
      <w:bookmarkStart w:id="14" w:name="_Toc28359007"/>
      <w:r>
        <w:rPr>
          <w:rFonts w:hint="eastAsia" w:ascii="宋体" w:hAnsi="宋体" w:eastAsia="宋体" w:cs="宋体"/>
          <w:color w:val="auto"/>
          <w:sz w:val="24"/>
          <w:szCs w:val="24"/>
          <w:highlight w:val="none"/>
          <w:lang w:val="en-US" w:eastAsia="zh-CN"/>
        </w:rPr>
        <w:t>1.截止时间：</w:t>
      </w:r>
      <w:r>
        <w:rPr>
          <w:rFonts w:hint="eastAsia" w:ascii="宋体" w:hAnsi="宋体" w:cs="宋体"/>
          <w:color w:val="auto"/>
          <w:sz w:val="24"/>
          <w:szCs w:val="24"/>
          <w:highlight w:val="none"/>
          <w:lang w:val="en-US" w:eastAsia="zh-CN"/>
        </w:rPr>
        <w:t>2026年5月15日9时30分</w:t>
      </w:r>
      <w:r>
        <w:rPr>
          <w:rFonts w:hint="eastAsia" w:ascii="宋体" w:hAnsi="宋体" w:eastAsia="宋体" w:cs="宋体"/>
          <w:color w:val="auto"/>
          <w:sz w:val="24"/>
          <w:szCs w:val="24"/>
          <w:highlight w:val="none"/>
          <w:lang w:val="en-US" w:eastAsia="zh-CN"/>
        </w:rPr>
        <w:t>（北京时间）；</w:t>
      </w:r>
    </w:p>
    <w:p w14:paraId="48B453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2.地点：长春市二道区洋浦大街凯利中心AB栋101室，</w:t>
      </w:r>
      <w:r>
        <w:rPr>
          <w:rFonts w:hint="eastAsia" w:ascii="宋体" w:hAnsi="宋体" w:cs="宋体"/>
          <w:color w:val="auto"/>
          <w:sz w:val="24"/>
          <w:szCs w:val="24"/>
          <w:highlight w:val="none"/>
          <w:lang w:val="en-US" w:eastAsia="zh-CN"/>
        </w:rPr>
        <w:t>开标室二室</w:t>
      </w:r>
      <w:r>
        <w:rPr>
          <w:rFonts w:hint="eastAsia" w:ascii="宋体" w:hAnsi="宋体" w:eastAsia="宋体" w:cs="宋体"/>
          <w:color w:val="auto"/>
          <w:sz w:val="24"/>
          <w:szCs w:val="24"/>
          <w:highlight w:val="none"/>
          <w:lang w:val="en-US" w:eastAsia="zh-CN"/>
        </w:rPr>
        <w:t>；</w:t>
      </w:r>
    </w:p>
    <w:p w14:paraId="5C8C73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提交方式：本项目为全流程电子化项目，通过“政采云”平台（http：//www.zcygov.cn）实行在线电子投标，投标人应先安装“政采云投标客户端”（请自行前往“政采云”平台进行下载），并按照本项目采购文件和“政采云”平台的要求编制、加密后在投标文件截止时间前通过网络上传至“政采云”平台，投标人在“政采云”平台提交电子版投标文件时，请填写参加采购活动经办人联系方式。电子投标文件解密期限及方式：开启时间后30分钟内，由投标人持制作该电子投标文件的同一数字证书（CA锁）及电脑进行远程解密（各投标人在开标前及网上开评标系统公布投标人名单前，不要提前进行远程解密）。</w:t>
      </w:r>
    </w:p>
    <w:p w14:paraId="7A070865">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五、公告期限</w:t>
      </w:r>
      <w:bookmarkEnd w:id="11"/>
      <w:bookmarkEnd w:id="12"/>
      <w:bookmarkEnd w:id="13"/>
      <w:bookmarkEnd w:id="14"/>
    </w:p>
    <w:p w14:paraId="534F23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kern w:val="2"/>
          <w:sz w:val="24"/>
          <w:szCs w:val="24"/>
          <w:highlight w:val="none"/>
        </w:rPr>
        <w:t>自本公告发布之日起5个工作日</w:t>
      </w:r>
      <w:r>
        <w:rPr>
          <w:rFonts w:hint="eastAsia" w:ascii="宋体" w:hAnsi="宋体" w:cs="宋体"/>
          <w:color w:val="auto"/>
          <w:sz w:val="24"/>
          <w:szCs w:val="24"/>
          <w:highlight w:val="none"/>
        </w:rPr>
        <w:t>。</w:t>
      </w:r>
    </w:p>
    <w:p w14:paraId="356E3711">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六、其他补充事宜</w:t>
      </w:r>
    </w:p>
    <w:p w14:paraId="7DEFB9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bookmarkStart w:id="15" w:name="_Toc35393796"/>
      <w:bookmarkStart w:id="16" w:name="_Toc35393627"/>
      <w:bookmarkStart w:id="17" w:name="_Toc28359008"/>
      <w:bookmarkStart w:id="18" w:name="_Toc28359085"/>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采购公告发布媒介</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政采云平台</w:t>
      </w:r>
      <w:r>
        <w:rPr>
          <w:rFonts w:hint="eastAsia" w:ascii="宋体" w:hAnsi="宋体" w:eastAsia="宋体" w:cs="宋体"/>
          <w:color w:val="auto"/>
          <w:sz w:val="24"/>
          <w:szCs w:val="24"/>
          <w:highlight w:val="none"/>
          <w:lang w:val="zh-CN" w:eastAsia="zh-CN"/>
        </w:rPr>
        <w:t>、同步推送至吉林省政府采购网、中国政府采购网。</w:t>
      </w:r>
    </w:p>
    <w:p w14:paraId="682925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电子化平台相关注意事项：</w:t>
      </w:r>
    </w:p>
    <w:p w14:paraId="21519B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（1）供应商在电子化平台参与政府采购项目前，应在电子化平台完成信息注册；</w:t>
      </w:r>
    </w:p>
    <w:p w14:paraId="5D75CD9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 CA 数字证书申请：未进行政采云注册并办理数字证书（CA 认证）的供应商将无法参与本项目政府采购活动。供应商须自行考虑办理时间，由于供应商自身原因导致无法完成办理的，后果自负；（安信 CA 申请流程：</w:t>
      </w:r>
    </w:p>
    <w:p w14:paraId="056D3F0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http://www.anxinca.com/kehu/zcy/kh-zcy-zsshenqing.html；翔晟 CA 申请流程：</w:t>
      </w:r>
    </w:p>
    <w:p w14:paraId="5C3573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http://www.share-sun.com/xsapply/admin/login.aspx?unitname=jilin）</w:t>
      </w:r>
    </w:p>
    <w:p w14:paraId="3B9398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（3）为确保网上操作合法、有效和安全，请供应商确保在电子响应过程中能够对相关数据电文进行加密和使用电子签章，妥善保管 CA 数字证书并使用有效的 CA 数字证书参与整个采购活动；</w:t>
      </w:r>
    </w:p>
    <w:p w14:paraId="302154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（4）若对项目采购电子交易系统操作有疑问，可登录“政采云”平台，点击右侧咨询小采，获取智能服务管家帮助，或拨打政采云服务热线 95763 获取帮助。</w:t>
      </w:r>
    </w:p>
    <w:p w14:paraId="79E010D7">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七、对本次招标提出询问，请按以下方式联系</w:t>
      </w:r>
      <w:bookmarkEnd w:id="15"/>
      <w:bookmarkEnd w:id="16"/>
      <w:bookmarkEnd w:id="17"/>
      <w:bookmarkEnd w:id="18"/>
    </w:p>
    <w:p w14:paraId="34E9FF2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采购人信息</w:t>
      </w:r>
    </w:p>
    <w:p w14:paraId="6F957AC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名    称：长春工业大学</w:t>
      </w:r>
    </w:p>
    <w:p w14:paraId="357C81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    址：长春市延安大路2055号</w:t>
      </w:r>
    </w:p>
    <w:p w14:paraId="55E2FB1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eastAsia="zh-CN"/>
        </w:rPr>
        <w:t>冯若甫</w:t>
      </w:r>
      <w:r>
        <w:rPr>
          <w:rFonts w:hint="eastAsia" w:ascii="宋体" w:hAnsi="宋体" w:cs="宋体"/>
          <w:color w:val="auto"/>
          <w:sz w:val="24"/>
          <w:szCs w:val="24"/>
          <w:highlight w:val="none"/>
        </w:rPr>
        <w:t>0431-85716512</w:t>
      </w:r>
    </w:p>
    <w:p w14:paraId="3A582C5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p>
    <w:p w14:paraId="3E7285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采购代理机构信息</w:t>
      </w:r>
    </w:p>
    <w:p w14:paraId="328A451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名    称：吉林省经建咨询有限公司</w:t>
      </w:r>
    </w:p>
    <w:p w14:paraId="550A26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eastAsia="zh-CN"/>
        </w:rPr>
        <w:t>长春市南关区净月经济技术开发区临河东街与天兴路交叉口东行300米</w:t>
      </w:r>
    </w:p>
    <w:p w14:paraId="4A3359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李双双</w:t>
      </w:r>
      <w:r>
        <w:rPr>
          <w:rFonts w:hint="eastAsia" w:ascii="宋体" w:hAnsi="宋体" w:cs="宋体"/>
          <w:color w:val="auto"/>
          <w:sz w:val="24"/>
          <w:szCs w:val="24"/>
          <w:highlight w:val="none"/>
        </w:rPr>
        <w:t>0431-80744758</w:t>
      </w:r>
    </w:p>
    <w:p w14:paraId="61011B6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p>
    <w:p w14:paraId="668C58C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项目联系方式</w:t>
      </w:r>
    </w:p>
    <w:p w14:paraId="2DE181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项目联系人：</w:t>
      </w:r>
      <w:r>
        <w:rPr>
          <w:rFonts w:hint="eastAsia" w:ascii="宋体" w:hAnsi="宋体" w:cs="宋体"/>
          <w:color w:val="auto"/>
          <w:sz w:val="24"/>
          <w:szCs w:val="24"/>
          <w:highlight w:val="none"/>
          <w:lang w:eastAsia="zh-CN"/>
        </w:rPr>
        <w:t>李双双</w:t>
      </w:r>
    </w:p>
    <w:p w14:paraId="21D7DE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　　  话：0431-80744758</w:t>
      </w:r>
    </w:p>
    <w:p w14:paraId="29B85F8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36"/>
          <w:szCs w:val="36"/>
          <w:highlight w:val="none"/>
        </w:rPr>
      </w:pPr>
      <w:r>
        <w:rPr>
          <w:rFonts w:hint="eastAsia" w:ascii="宋体" w:hAnsi="宋体" w:cs="宋体"/>
          <w:color w:val="auto"/>
          <w:sz w:val="24"/>
          <w:szCs w:val="24"/>
          <w:highlight w:val="none"/>
        </w:rPr>
        <w:t xml:space="preserve">邮    箱：1342112124@qq.com </w:t>
      </w:r>
    </w:p>
    <w:p w14:paraId="24216E9C">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highlight w:val="none"/>
        </w:rPr>
      </w:pPr>
    </w:p>
    <w:p w14:paraId="0B7A442B">
      <w:pPr>
        <w:pStyle w:val="23"/>
        <w:keepNext w:val="0"/>
        <w:keepLines w:val="0"/>
        <w:pageBreakBefore w:val="0"/>
        <w:numPr>
          <w:ilvl w:val="0"/>
          <w:numId w:val="0"/>
        </w:numPr>
        <w:kinsoku/>
        <w:wordWrap/>
        <w:overflowPunct/>
        <w:topLinePunct w:val="0"/>
        <w:autoSpaceDE/>
        <w:autoSpaceDN/>
        <w:bidi w:val="0"/>
        <w:adjustRightInd/>
        <w:snapToGrid/>
        <w:spacing w:line="360" w:lineRule="auto"/>
        <w:textAlignment w:val="auto"/>
        <w:rPr>
          <w:color w:val="auto"/>
          <w:highlight w:val="none"/>
        </w:rPr>
      </w:pPr>
    </w:p>
    <w:p w14:paraId="713618CC">
      <w:pPr>
        <w:pageBreakBefore w:val="0"/>
        <w:kinsoku/>
        <w:wordWrap/>
        <w:overflowPunct/>
        <w:topLinePunct w:val="0"/>
        <w:autoSpaceDE/>
        <w:autoSpaceDN/>
        <w:bidi w:val="0"/>
        <w:adjustRightInd/>
        <w:snapToGrid/>
        <w:spacing w:line="360" w:lineRule="auto"/>
        <w:textAlignment w:val="auto"/>
        <w:rPr>
          <w:rFonts w:ascii="宋体" w:hAnsi="宋体" w:cs="宋体"/>
          <w:color w:val="auto"/>
          <w:highlight w:val="none"/>
        </w:rPr>
      </w:pPr>
    </w:p>
    <w:p w14:paraId="4D00EACD">
      <w:pPr>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 w:val="36"/>
          <w:szCs w:val="36"/>
          <w:highlight w:val="none"/>
        </w:rPr>
      </w:pPr>
      <w:r>
        <w:rPr>
          <w:rFonts w:hint="eastAsia" w:ascii="宋体" w:hAnsi="宋体" w:cs="宋体"/>
          <w:color w:val="auto"/>
          <w:sz w:val="36"/>
          <w:szCs w:val="36"/>
          <w:highlight w:val="none"/>
        </w:rPr>
        <w:br w:type="page"/>
      </w:r>
    </w:p>
    <w:p w14:paraId="127EC7A2">
      <w:pPr>
        <w:pStyle w:val="2"/>
        <w:spacing w:before="0" w:after="0" w:line="360" w:lineRule="auto"/>
        <w:jc w:val="center"/>
        <w:rPr>
          <w:rFonts w:ascii="宋体" w:hAnsi="宋体" w:cs="宋体"/>
          <w:color w:val="auto"/>
          <w:sz w:val="36"/>
          <w:szCs w:val="36"/>
          <w:highlight w:val="none"/>
        </w:rPr>
      </w:pPr>
      <w:bookmarkStart w:id="19" w:name="_Toc11315"/>
      <w:r>
        <w:rPr>
          <w:rFonts w:hint="eastAsia" w:ascii="宋体" w:hAnsi="宋体" w:cs="宋体"/>
          <w:color w:val="auto"/>
          <w:sz w:val="36"/>
          <w:szCs w:val="36"/>
          <w:highlight w:val="none"/>
        </w:rPr>
        <w:t>第二部分  供应商须知</w:t>
      </w:r>
      <w:bookmarkEnd w:id="19"/>
    </w:p>
    <w:p w14:paraId="73BEC527">
      <w:pPr>
        <w:pStyle w:val="9"/>
        <w:spacing w:line="288" w:lineRule="auto"/>
        <w:rPr>
          <w:rFonts w:ascii="宋体" w:hAnsi="宋体" w:cs="宋体"/>
          <w:color w:val="auto"/>
          <w:szCs w:val="24"/>
          <w:highlight w:val="none"/>
        </w:rPr>
      </w:pPr>
      <w:r>
        <w:rPr>
          <w:rFonts w:hint="eastAsia" w:ascii="宋体" w:hAnsi="宋体" w:cs="宋体"/>
          <w:color w:val="auto"/>
          <w:szCs w:val="24"/>
          <w:highlight w:val="none"/>
        </w:rPr>
        <w:t>一、供应商须知前附表</w:t>
      </w:r>
    </w:p>
    <w:tbl>
      <w:tblPr>
        <w:tblStyle w:val="45"/>
        <w:tblW w:w="499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8"/>
        <w:gridCol w:w="2081"/>
        <w:gridCol w:w="7235"/>
      </w:tblGrid>
      <w:tr w14:paraId="22228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8" w:type="pct"/>
            <w:tcBorders>
              <w:top w:val="single" w:color="auto" w:sz="4" w:space="0"/>
              <w:left w:val="single" w:color="auto" w:sz="4" w:space="0"/>
              <w:bottom w:val="single" w:color="auto" w:sz="4" w:space="0"/>
              <w:right w:val="single" w:color="auto" w:sz="4" w:space="0"/>
            </w:tcBorders>
            <w:vAlign w:val="center"/>
          </w:tcPr>
          <w:p w14:paraId="31E67B87">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w:t>
            </w:r>
          </w:p>
          <w:p w14:paraId="098BDAC3">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号</w:t>
            </w:r>
          </w:p>
        </w:tc>
        <w:tc>
          <w:tcPr>
            <w:tcW w:w="1057" w:type="pct"/>
            <w:tcBorders>
              <w:top w:val="single" w:color="auto" w:sz="4" w:space="0"/>
              <w:left w:val="single" w:color="auto" w:sz="4" w:space="0"/>
              <w:bottom w:val="single" w:color="auto" w:sz="4" w:space="0"/>
              <w:right w:val="single" w:color="auto" w:sz="4" w:space="0"/>
            </w:tcBorders>
            <w:vAlign w:val="center"/>
          </w:tcPr>
          <w:p w14:paraId="1BA8BD85">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内    容</w:t>
            </w:r>
          </w:p>
        </w:tc>
        <w:tc>
          <w:tcPr>
            <w:tcW w:w="3673" w:type="pct"/>
            <w:tcBorders>
              <w:top w:val="single" w:color="auto" w:sz="4" w:space="0"/>
              <w:left w:val="single" w:color="auto" w:sz="4" w:space="0"/>
              <w:bottom w:val="single" w:color="auto" w:sz="4" w:space="0"/>
              <w:right w:val="single" w:color="auto" w:sz="4" w:space="0"/>
            </w:tcBorders>
            <w:vAlign w:val="center"/>
          </w:tcPr>
          <w:p w14:paraId="0DCC764D">
            <w:pPr>
              <w:keepNext w:val="0"/>
              <w:keepLines w:val="0"/>
              <w:pageBreakBefore w:val="0"/>
              <w:tabs>
                <w:tab w:val="left" w:pos="118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说明与要求</w:t>
            </w:r>
          </w:p>
        </w:tc>
      </w:tr>
      <w:tr w14:paraId="3F55E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8" w:type="pct"/>
            <w:vMerge w:val="restart"/>
            <w:tcBorders>
              <w:top w:val="single" w:color="auto" w:sz="4" w:space="0"/>
              <w:left w:val="single" w:color="auto" w:sz="4" w:space="0"/>
              <w:right w:val="single" w:color="auto" w:sz="4" w:space="0"/>
            </w:tcBorders>
            <w:vAlign w:val="center"/>
          </w:tcPr>
          <w:p w14:paraId="6D2C6D16">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57" w:type="pct"/>
            <w:tcBorders>
              <w:top w:val="single" w:color="auto" w:sz="4" w:space="0"/>
              <w:left w:val="single" w:color="auto" w:sz="4" w:space="0"/>
              <w:bottom w:val="single" w:color="auto" w:sz="4" w:space="0"/>
              <w:right w:val="single" w:color="auto" w:sz="4" w:space="0"/>
            </w:tcBorders>
            <w:vAlign w:val="center"/>
          </w:tcPr>
          <w:p w14:paraId="4CE1B50D">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采购人</w:t>
            </w:r>
          </w:p>
        </w:tc>
        <w:tc>
          <w:tcPr>
            <w:tcW w:w="3673" w:type="pct"/>
            <w:tcBorders>
              <w:top w:val="single" w:color="auto" w:sz="4" w:space="0"/>
              <w:left w:val="single" w:color="auto" w:sz="4" w:space="0"/>
              <w:bottom w:val="single" w:color="auto" w:sz="4" w:space="0"/>
              <w:right w:val="single" w:color="auto" w:sz="4" w:space="0"/>
            </w:tcBorders>
            <w:vAlign w:val="center"/>
          </w:tcPr>
          <w:p w14:paraId="5AAA2BEC">
            <w:pPr>
              <w:keepNext w:val="0"/>
              <w:keepLines w:val="0"/>
              <w:pageBreakBefore w:val="0"/>
              <w:kinsoku/>
              <w:overflowPunct/>
              <w:topLinePunct w:val="0"/>
              <w:bidi w:val="0"/>
              <w:spacing w:line="312"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名    称：长春工业大学</w:t>
            </w:r>
          </w:p>
          <w:p w14:paraId="2E2EF4DA">
            <w:pPr>
              <w:keepNext w:val="0"/>
              <w:keepLines w:val="0"/>
              <w:pageBreakBefore w:val="0"/>
              <w:kinsoku/>
              <w:overflowPunct/>
              <w:topLinePunct w:val="0"/>
              <w:bidi w:val="0"/>
              <w:spacing w:line="312"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    址：长春市延安大路2055号</w:t>
            </w:r>
          </w:p>
          <w:p w14:paraId="2B9C06FD">
            <w:pPr>
              <w:keepNext w:val="0"/>
              <w:keepLines w:val="0"/>
              <w:pageBreakBefore w:val="0"/>
              <w:kinsoku/>
              <w:overflowPunct/>
              <w:topLinePunct w:val="0"/>
              <w:bidi w:val="0"/>
              <w:spacing w:line="312"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eastAsia="zh-CN"/>
              </w:rPr>
              <w:t>冯若甫</w:t>
            </w:r>
            <w:r>
              <w:rPr>
                <w:rFonts w:hint="eastAsia" w:ascii="宋体" w:hAnsi="宋体" w:cs="宋体"/>
                <w:color w:val="auto"/>
                <w:sz w:val="24"/>
                <w:szCs w:val="24"/>
                <w:highlight w:val="none"/>
              </w:rPr>
              <w:t xml:space="preserve">0431-85716512 </w:t>
            </w:r>
          </w:p>
        </w:tc>
      </w:tr>
      <w:tr w14:paraId="18EE1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8" w:type="pct"/>
            <w:vMerge w:val="continue"/>
            <w:tcBorders>
              <w:left w:val="single" w:color="auto" w:sz="4" w:space="0"/>
              <w:bottom w:val="single" w:color="auto" w:sz="4" w:space="0"/>
              <w:right w:val="single" w:color="auto" w:sz="4" w:space="0"/>
            </w:tcBorders>
            <w:vAlign w:val="center"/>
          </w:tcPr>
          <w:p w14:paraId="74075490">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p>
        </w:tc>
        <w:tc>
          <w:tcPr>
            <w:tcW w:w="1057" w:type="pct"/>
            <w:tcBorders>
              <w:top w:val="single" w:color="auto" w:sz="4" w:space="0"/>
              <w:left w:val="single" w:color="auto" w:sz="4" w:space="0"/>
              <w:bottom w:val="single" w:color="auto" w:sz="4" w:space="0"/>
              <w:right w:val="single" w:color="auto" w:sz="4" w:space="0"/>
            </w:tcBorders>
            <w:vAlign w:val="center"/>
          </w:tcPr>
          <w:p w14:paraId="1BFEA120">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w:t>
            </w:r>
          </w:p>
        </w:tc>
        <w:tc>
          <w:tcPr>
            <w:tcW w:w="3673" w:type="pct"/>
            <w:tcBorders>
              <w:top w:val="single" w:color="auto" w:sz="4" w:space="0"/>
              <w:left w:val="single" w:color="auto" w:sz="4" w:space="0"/>
              <w:bottom w:val="single" w:color="auto" w:sz="4" w:space="0"/>
              <w:right w:val="single" w:color="auto" w:sz="4" w:space="0"/>
            </w:tcBorders>
            <w:vAlign w:val="center"/>
          </w:tcPr>
          <w:p w14:paraId="6476D594">
            <w:pPr>
              <w:keepNext w:val="0"/>
              <w:keepLines w:val="0"/>
              <w:pageBreakBefore w:val="0"/>
              <w:kinsoku/>
              <w:overflowPunct/>
              <w:topLinePunct w:val="0"/>
              <w:bidi w:val="0"/>
              <w:spacing w:line="312"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名    称：吉林省经建咨询有限公司</w:t>
            </w:r>
          </w:p>
          <w:p w14:paraId="408253FB">
            <w:pPr>
              <w:keepNext w:val="0"/>
              <w:keepLines w:val="0"/>
              <w:pageBreakBefore w:val="0"/>
              <w:kinsoku/>
              <w:overflowPunct/>
              <w:topLinePunct w:val="0"/>
              <w:bidi w:val="0"/>
              <w:spacing w:line="312"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eastAsia="zh-CN"/>
              </w:rPr>
              <w:t>长春市南关区净月经济技术开发区临河东街与天兴路交叉口东行300米</w:t>
            </w:r>
          </w:p>
          <w:p w14:paraId="7E97710E">
            <w:pPr>
              <w:keepNext w:val="0"/>
              <w:keepLines w:val="0"/>
              <w:pageBreakBefore w:val="0"/>
              <w:kinsoku/>
              <w:overflowPunct/>
              <w:topLinePunct w:val="0"/>
              <w:bidi w:val="0"/>
              <w:spacing w:line="312"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lang w:eastAsia="zh-CN"/>
              </w:rPr>
              <w:t>李双双</w:t>
            </w:r>
          </w:p>
          <w:p w14:paraId="1046503C">
            <w:pPr>
              <w:keepNext w:val="0"/>
              <w:keepLines w:val="0"/>
              <w:pageBreakBefore w:val="0"/>
              <w:kinsoku/>
              <w:overflowPunct/>
              <w:topLinePunct w:val="0"/>
              <w:bidi w:val="0"/>
              <w:spacing w:line="312"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联系电话：0431-80744758</w:t>
            </w:r>
          </w:p>
          <w:p w14:paraId="58CC138E">
            <w:pPr>
              <w:keepNext w:val="0"/>
              <w:keepLines w:val="0"/>
              <w:pageBreakBefore w:val="0"/>
              <w:kinsoku/>
              <w:overflowPunct/>
              <w:topLinePunct w:val="0"/>
              <w:bidi w:val="0"/>
              <w:spacing w:line="312"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邮  箱：1342112124@qq.com </w:t>
            </w:r>
          </w:p>
        </w:tc>
      </w:tr>
      <w:tr w14:paraId="6B2A9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auto" w:sz="4" w:space="0"/>
              <w:left w:val="single" w:color="auto" w:sz="4" w:space="0"/>
              <w:bottom w:val="single" w:color="auto" w:sz="4" w:space="0"/>
              <w:right w:val="single" w:color="auto" w:sz="4" w:space="0"/>
            </w:tcBorders>
            <w:vAlign w:val="center"/>
          </w:tcPr>
          <w:p w14:paraId="1B7EDAEA">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57" w:type="pct"/>
            <w:tcBorders>
              <w:top w:val="single" w:color="auto" w:sz="4" w:space="0"/>
              <w:left w:val="single" w:color="auto" w:sz="4" w:space="0"/>
              <w:bottom w:val="single" w:color="auto" w:sz="4" w:space="0"/>
              <w:right w:val="single" w:color="auto" w:sz="4" w:space="0"/>
            </w:tcBorders>
            <w:vAlign w:val="center"/>
          </w:tcPr>
          <w:p w14:paraId="517F8AE5">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3673" w:type="pct"/>
            <w:tcBorders>
              <w:top w:val="single" w:color="auto" w:sz="4" w:space="0"/>
              <w:left w:val="single" w:color="auto" w:sz="4" w:space="0"/>
              <w:bottom w:val="single" w:color="auto" w:sz="4" w:space="0"/>
              <w:right w:val="single" w:color="auto" w:sz="4" w:space="0"/>
            </w:tcBorders>
            <w:vAlign w:val="center"/>
          </w:tcPr>
          <w:p w14:paraId="1B2BE5B5">
            <w:pPr>
              <w:keepNext w:val="0"/>
              <w:keepLines w:val="0"/>
              <w:pageBreakBefore w:val="0"/>
              <w:kinsoku/>
              <w:overflowPunct/>
              <w:topLinePunct w:val="0"/>
              <w:bidi w:val="0"/>
              <w:spacing w:line="312"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采购计划-[2026]-03290号-JLJJ-HWZB-20260405</w:t>
            </w:r>
          </w:p>
        </w:tc>
      </w:tr>
      <w:tr w14:paraId="19816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auto" w:sz="4" w:space="0"/>
              <w:left w:val="single" w:color="auto" w:sz="4" w:space="0"/>
              <w:bottom w:val="single" w:color="auto" w:sz="4" w:space="0"/>
              <w:right w:val="single" w:color="auto" w:sz="4" w:space="0"/>
            </w:tcBorders>
            <w:vAlign w:val="center"/>
          </w:tcPr>
          <w:p w14:paraId="1D534823">
            <w:pPr>
              <w:keepNext w:val="0"/>
              <w:keepLines w:val="0"/>
              <w:pageBreakBefore w:val="0"/>
              <w:widowControl w:val="0"/>
              <w:tabs>
                <w:tab w:val="left" w:pos="420"/>
              </w:tabs>
              <w:kinsoku/>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57" w:type="pct"/>
            <w:tcBorders>
              <w:top w:val="single" w:color="auto" w:sz="4" w:space="0"/>
              <w:left w:val="single" w:color="auto" w:sz="4" w:space="0"/>
              <w:bottom w:val="single" w:color="auto" w:sz="4" w:space="0"/>
              <w:right w:val="single" w:color="auto" w:sz="4" w:space="0"/>
            </w:tcBorders>
            <w:vAlign w:val="center"/>
          </w:tcPr>
          <w:p w14:paraId="574E3957">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3673" w:type="pct"/>
            <w:tcBorders>
              <w:top w:val="single" w:color="auto" w:sz="4" w:space="0"/>
              <w:left w:val="single" w:color="auto" w:sz="4" w:space="0"/>
              <w:bottom w:val="single" w:color="auto" w:sz="4" w:space="0"/>
              <w:right w:val="single" w:color="auto" w:sz="4" w:space="0"/>
            </w:tcBorders>
            <w:vAlign w:val="center"/>
          </w:tcPr>
          <w:p w14:paraId="101713E2">
            <w:pPr>
              <w:keepNext w:val="0"/>
              <w:keepLines w:val="0"/>
              <w:pageBreakBefore w:val="0"/>
              <w:kinsoku/>
              <w:overflowPunct/>
              <w:topLinePunct w:val="0"/>
              <w:bidi w:val="0"/>
              <w:spacing w:line="312" w:lineRule="auto"/>
              <w:jc w:val="both"/>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eastAsia="zh-CN"/>
              </w:rPr>
              <w:t>长春工业大学高质量发展-学科建设-吉林省先进高分子功能膜材料及碳纤维复合材料重点实验室建设项目</w:t>
            </w:r>
          </w:p>
        </w:tc>
      </w:tr>
      <w:tr w14:paraId="33799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8" w:type="pct"/>
            <w:tcBorders>
              <w:top w:val="single" w:color="auto" w:sz="4" w:space="0"/>
              <w:left w:val="single" w:color="auto" w:sz="4" w:space="0"/>
              <w:bottom w:val="single" w:color="auto" w:sz="4" w:space="0"/>
              <w:right w:val="single" w:color="auto" w:sz="4" w:space="0"/>
            </w:tcBorders>
            <w:vAlign w:val="center"/>
          </w:tcPr>
          <w:p w14:paraId="6019655A">
            <w:pPr>
              <w:keepNext w:val="0"/>
              <w:keepLines w:val="0"/>
              <w:pageBreakBefore w:val="0"/>
              <w:widowControl w:val="0"/>
              <w:tabs>
                <w:tab w:val="left" w:pos="420"/>
              </w:tabs>
              <w:kinsoku/>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1AEE76D5">
            <w:pPr>
              <w:keepNext w:val="0"/>
              <w:keepLines w:val="0"/>
              <w:pageBreakBefore w:val="0"/>
              <w:kinsoku/>
              <w:overflowPunct/>
              <w:topLinePunct w:val="0"/>
              <w:bidi w:val="0"/>
              <w:spacing w:line="312" w:lineRule="auto"/>
              <w:jc w:val="center"/>
              <w:textAlignment w:val="auto"/>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采购预算</w:t>
            </w:r>
          </w:p>
          <w:p w14:paraId="3C9A1DAC">
            <w:pPr>
              <w:keepNext w:val="0"/>
              <w:keepLines w:val="0"/>
              <w:pageBreakBefore w:val="0"/>
              <w:kinsoku/>
              <w:overflowPunct/>
              <w:topLinePunct w:val="0"/>
              <w:bidi w:val="0"/>
              <w:spacing w:line="312" w:lineRule="auto"/>
              <w:jc w:val="center"/>
              <w:textAlignment w:val="auto"/>
              <w:rPr>
                <w:color w:val="auto"/>
                <w:highlight w:val="none"/>
              </w:rPr>
            </w:pPr>
            <w:r>
              <w:rPr>
                <w:rFonts w:hint="eastAsia" w:ascii="宋体" w:hAnsi="宋体" w:cs="宋体"/>
                <w:bCs/>
                <w:color w:val="auto"/>
                <w:sz w:val="24"/>
                <w:szCs w:val="24"/>
                <w:highlight w:val="none"/>
                <w:lang w:val="zh-CN"/>
              </w:rPr>
              <w:t>（最高限价）</w:t>
            </w:r>
          </w:p>
        </w:tc>
        <w:tc>
          <w:tcPr>
            <w:tcW w:w="3673" w:type="pct"/>
            <w:tcBorders>
              <w:top w:val="single" w:color="auto" w:sz="4" w:space="0"/>
              <w:left w:val="single" w:color="auto" w:sz="4" w:space="0"/>
              <w:bottom w:val="single" w:color="auto" w:sz="4" w:space="0"/>
              <w:right w:val="single" w:color="auto" w:sz="4" w:space="0"/>
            </w:tcBorders>
            <w:shd w:val="clear" w:color="auto" w:fill="auto"/>
            <w:vAlign w:val="center"/>
          </w:tcPr>
          <w:p w14:paraId="7AB40BA9">
            <w:pPr>
              <w:keepNext w:val="0"/>
              <w:keepLines w:val="0"/>
              <w:pageBreakBefore w:val="0"/>
              <w:kinsoku/>
              <w:overflowPunct/>
              <w:topLinePunct w:val="0"/>
              <w:bidi w:val="0"/>
              <w:spacing w:line="312"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550万元</w:t>
            </w:r>
          </w:p>
          <w:p w14:paraId="48CA2D96">
            <w:pPr>
              <w:keepNext w:val="0"/>
              <w:keepLines w:val="0"/>
              <w:pageBreakBefore w:val="0"/>
              <w:kinsoku/>
              <w:overflowPunct/>
              <w:topLinePunct w:val="0"/>
              <w:bidi w:val="0"/>
              <w:spacing w:line="312"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注：投标供应商所报价格不得超过最高限价，否则按废标处理。</w:t>
            </w:r>
          </w:p>
        </w:tc>
      </w:tr>
      <w:tr w14:paraId="448B2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auto" w:sz="4" w:space="0"/>
              <w:left w:val="single" w:color="auto" w:sz="4" w:space="0"/>
              <w:bottom w:val="single" w:color="auto" w:sz="4" w:space="0"/>
              <w:right w:val="single" w:color="auto" w:sz="4" w:space="0"/>
            </w:tcBorders>
            <w:vAlign w:val="center"/>
          </w:tcPr>
          <w:p w14:paraId="7F389A7F">
            <w:pPr>
              <w:keepNext w:val="0"/>
              <w:keepLines w:val="0"/>
              <w:pageBreakBefore w:val="0"/>
              <w:widowControl w:val="0"/>
              <w:tabs>
                <w:tab w:val="left" w:pos="420"/>
              </w:tabs>
              <w:kinsoku/>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1063AF49">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供货地点</w:t>
            </w:r>
          </w:p>
        </w:tc>
        <w:tc>
          <w:tcPr>
            <w:tcW w:w="3673" w:type="pct"/>
            <w:tcBorders>
              <w:top w:val="single" w:color="auto" w:sz="4" w:space="0"/>
              <w:left w:val="single" w:color="auto" w:sz="4" w:space="0"/>
              <w:bottom w:val="single" w:color="auto" w:sz="4" w:space="0"/>
              <w:right w:val="single" w:color="auto" w:sz="4" w:space="0"/>
            </w:tcBorders>
            <w:shd w:val="clear" w:color="auto" w:fill="auto"/>
            <w:vAlign w:val="center"/>
          </w:tcPr>
          <w:p w14:paraId="2DFB6FEE">
            <w:pPr>
              <w:keepNext w:val="0"/>
              <w:keepLines w:val="0"/>
              <w:pageBreakBefore w:val="0"/>
              <w:kinsoku/>
              <w:overflowPunct/>
              <w:topLinePunct w:val="0"/>
              <w:bidi w:val="0"/>
              <w:spacing w:line="312"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lang w:eastAsia="zh-CN"/>
              </w:rPr>
              <w:t>长春工业大学指定地点</w:t>
            </w:r>
          </w:p>
        </w:tc>
      </w:tr>
      <w:tr w14:paraId="0CD9F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auto" w:sz="4" w:space="0"/>
              <w:left w:val="single" w:color="auto" w:sz="4" w:space="0"/>
              <w:bottom w:val="single" w:color="auto" w:sz="4" w:space="0"/>
              <w:right w:val="single" w:color="auto" w:sz="4" w:space="0"/>
            </w:tcBorders>
            <w:vAlign w:val="center"/>
          </w:tcPr>
          <w:p w14:paraId="3260BAD9">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5650B3C3">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3673" w:type="pct"/>
            <w:tcBorders>
              <w:top w:val="single" w:color="auto" w:sz="4" w:space="0"/>
              <w:left w:val="single" w:color="auto" w:sz="4" w:space="0"/>
              <w:bottom w:val="single" w:color="auto" w:sz="4" w:space="0"/>
              <w:right w:val="single" w:color="auto" w:sz="4" w:space="0"/>
            </w:tcBorders>
            <w:shd w:val="clear" w:color="auto" w:fill="auto"/>
            <w:vAlign w:val="center"/>
          </w:tcPr>
          <w:p w14:paraId="3CA4F856">
            <w:pPr>
              <w:pStyle w:val="14"/>
              <w:keepNext w:val="0"/>
              <w:keepLines w:val="0"/>
              <w:pageBreakBefore w:val="0"/>
              <w:kinsoku/>
              <w:overflowPunct/>
              <w:topLinePunct w:val="0"/>
              <w:bidi w:val="0"/>
              <w:spacing w:line="312"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符合国家及相关行业合格标准</w:t>
            </w:r>
          </w:p>
        </w:tc>
      </w:tr>
      <w:tr w14:paraId="7A0CB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auto" w:sz="4" w:space="0"/>
              <w:left w:val="single" w:color="auto" w:sz="4" w:space="0"/>
              <w:bottom w:val="single" w:color="auto" w:sz="4" w:space="0"/>
              <w:right w:val="single" w:color="auto" w:sz="4" w:space="0"/>
            </w:tcBorders>
            <w:vAlign w:val="center"/>
          </w:tcPr>
          <w:p w14:paraId="4CDBBE97">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00667085">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质保期</w:t>
            </w:r>
          </w:p>
        </w:tc>
        <w:tc>
          <w:tcPr>
            <w:tcW w:w="3673" w:type="pct"/>
            <w:tcBorders>
              <w:top w:val="single" w:color="auto" w:sz="4" w:space="0"/>
              <w:left w:val="single" w:color="auto" w:sz="4" w:space="0"/>
              <w:bottom w:val="single" w:color="auto" w:sz="4" w:space="0"/>
              <w:right w:val="single" w:color="auto" w:sz="4" w:space="0"/>
            </w:tcBorders>
            <w:shd w:val="clear" w:color="auto" w:fill="auto"/>
            <w:vAlign w:val="center"/>
          </w:tcPr>
          <w:p w14:paraId="147793D2">
            <w:pPr>
              <w:pStyle w:val="14"/>
              <w:keepNext w:val="0"/>
              <w:keepLines w:val="0"/>
              <w:pageBreakBefore w:val="0"/>
              <w:kinsoku/>
              <w:overflowPunct/>
              <w:topLinePunct w:val="0"/>
              <w:bidi w:val="0"/>
              <w:spacing w:line="312"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年</w:t>
            </w:r>
          </w:p>
        </w:tc>
      </w:tr>
      <w:tr w14:paraId="634A8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auto" w:sz="4" w:space="0"/>
              <w:left w:val="single" w:color="auto" w:sz="4" w:space="0"/>
              <w:bottom w:val="single" w:color="auto" w:sz="4" w:space="0"/>
              <w:right w:val="single" w:color="auto" w:sz="4" w:space="0"/>
            </w:tcBorders>
            <w:vAlign w:val="center"/>
          </w:tcPr>
          <w:p w14:paraId="06EA5A7A">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511E68EF">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采购需求</w:t>
            </w:r>
          </w:p>
        </w:tc>
        <w:tc>
          <w:tcPr>
            <w:tcW w:w="3673" w:type="pct"/>
            <w:tcBorders>
              <w:top w:val="single" w:color="auto" w:sz="4" w:space="0"/>
              <w:left w:val="single" w:color="auto" w:sz="4" w:space="0"/>
              <w:bottom w:val="single" w:color="auto" w:sz="4" w:space="0"/>
              <w:right w:val="single" w:color="auto" w:sz="4" w:space="0"/>
            </w:tcBorders>
            <w:shd w:val="clear" w:color="auto" w:fill="auto"/>
            <w:vAlign w:val="center"/>
          </w:tcPr>
          <w:p w14:paraId="0031D060">
            <w:pPr>
              <w:keepNext w:val="0"/>
              <w:keepLines w:val="0"/>
              <w:pageBreakBefore w:val="0"/>
              <w:kinsoku/>
              <w:overflowPunct/>
              <w:topLinePunct w:val="0"/>
              <w:bidi w:val="0"/>
              <w:spacing w:line="312"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长春工业大学高质量发展-学科建设-吉林省先进高分子功能膜材料及碳纤维复合材料重点实验室建设项目（具体详见招标文件第四部分采购需求）</w:t>
            </w:r>
          </w:p>
        </w:tc>
      </w:tr>
      <w:tr w14:paraId="1BF9D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auto" w:sz="4" w:space="0"/>
              <w:left w:val="single" w:color="auto" w:sz="4" w:space="0"/>
              <w:bottom w:val="single" w:color="auto" w:sz="4" w:space="0"/>
              <w:right w:val="single" w:color="auto" w:sz="4" w:space="0"/>
            </w:tcBorders>
            <w:vAlign w:val="center"/>
          </w:tcPr>
          <w:p w14:paraId="16244060">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5B652191">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合同履行期限</w:t>
            </w:r>
          </w:p>
          <w:p w14:paraId="730890AF">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（供货期）</w:t>
            </w:r>
          </w:p>
        </w:tc>
        <w:tc>
          <w:tcPr>
            <w:tcW w:w="3673" w:type="pct"/>
            <w:tcBorders>
              <w:top w:val="single" w:color="auto" w:sz="4" w:space="0"/>
              <w:left w:val="single" w:color="auto" w:sz="4" w:space="0"/>
              <w:bottom w:val="single" w:color="auto" w:sz="4" w:space="0"/>
              <w:right w:val="single" w:color="auto" w:sz="4" w:space="0"/>
            </w:tcBorders>
            <w:shd w:val="clear" w:color="auto" w:fill="auto"/>
            <w:vAlign w:val="center"/>
          </w:tcPr>
          <w:p w14:paraId="7C7604DF">
            <w:pPr>
              <w:keepNext w:val="0"/>
              <w:keepLines w:val="0"/>
              <w:pageBreakBefore w:val="0"/>
              <w:kinsoku/>
              <w:overflowPunct/>
              <w:topLinePunct w:val="0"/>
              <w:bidi w:val="0"/>
              <w:spacing w:line="312"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签订合同后240天</w:t>
            </w:r>
          </w:p>
        </w:tc>
      </w:tr>
      <w:tr w14:paraId="47B1C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auto" w:sz="4" w:space="0"/>
              <w:left w:val="single" w:color="auto" w:sz="4" w:space="0"/>
              <w:right w:val="single" w:color="auto" w:sz="4" w:space="0"/>
            </w:tcBorders>
            <w:vAlign w:val="center"/>
          </w:tcPr>
          <w:p w14:paraId="71653427">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57" w:type="pct"/>
            <w:tcBorders>
              <w:top w:val="single" w:color="auto" w:sz="4" w:space="0"/>
              <w:left w:val="single" w:color="auto" w:sz="4" w:space="0"/>
              <w:right w:val="single" w:color="auto" w:sz="4" w:space="0"/>
            </w:tcBorders>
            <w:shd w:val="clear" w:color="auto" w:fill="auto"/>
            <w:vAlign w:val="center"/>
          </w:tcPr>
          <w:p w14:paraId="1E7EDFF5">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资金来源</w:t>
            </w:r>
          </w:p>
        </w:tc>
        <w:tc>
          <w:tcPr>
            <w:tcW w:w="3673" w:type="pct"/>
            <w:tcBorders>
              <w:top w:val="single" w:color="auto" w:sz="4" w:space="0"/>
              <w:left w:val="single" w:color="auto" w:sz="4" w:space="0"/>
              <w:bottom w:val="single" w:color="auto" w:sz="4" w:space="0"/>
              <w:right w:val="single" w:color="auto" w:sz="4" w:space="0"/>
            </w:tcBorders>
            <w:shd w:val="clear" w:color="auto" w:fill="auto"/>
            <w:vAlign w:val="center"/>
          </w:tcPr>
          <w:p w14:paraId="195E6616">
            <w:pPr>
              <w:keepNext w:val="0"/>
              <w:keepLines w:val="0"/>
              <w:pageBreakBefore w:val="0"/>
              <w:kinsoku/>
              <w:overflowPunct/>
              <w:topLinePunct w:val="0"/>
              <w:bidi w:val="0"/>
              <w:spacing w:line="312"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财政资金</w:t>
            </w:r>
          </w:p>
        </w:tc>
      </w:tr>
      <w:tr w14:paraId="02187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8" w:type="pct"/>
            <w:tcBorders>
              <w:top w:val="single" w:color="auto" w:sz="4" w:space="0"/>
              <w:left w:val="single" w:color="auto" w:sz="4" w:space="0"/>
              <w:right w:val="single" w:color="auto" w:sz="4" w:space="0"/>
            </w:tcBorders>
            <w:vAlign w:val="center"/>
          </w:tcPr>
          <w:p w14:paraId="5FBC613F">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1057" w:type="pct"/>
            <w:tcBorders>
              <w:top w:val="single" w:color="auto" w:sz="4" w:space="0"/>
              <w:left w:val="single" w:color="auto" w:sz="4" w:space="0"/>
              <w:right w:val="single" w:color="auto" w:sz="4" w:space="0"/>
            </w:tcBorders>
            <w:vAlign w:val="center"/>
          </w:tcPr>
          <w:p w14:paraId="5AD11E13">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供应商资格要求</w:t>
            </w:r>
          </w:p>
        </w:tc>
        <w:tc>
          <w:tcPr>
            <w:tcW w:w="3673" w:type="pct"/>
            <w:tcBorders>
              <w:top w:val="single" w:color="auto" w:sz="4" w:space="0"/>
              <w:left w:val="single" w:color="auto" w:sz="4" w:space="0"/>
              <w:right w:val="single" w:color="auto" w:sz="4" w:space="0"/>
            </w:tcBorders>
            <w:vAlign w:val="center"/>
          </w:tcPr>
          <w:p w14:paraId="106E8BE0">
            <w:pPr>
              <w:keepNext w:val="0"/>
              <w:keepLines w:val="0"/>
              <w:pageBreakBefore w:val="0"/>
              <w:kinsoku/>
              <w:overflowPunct/>
              <w:topLinePunct w:val="0"/>
              <w:bidi w:val="0"/>
              <w:spacing w:line="312"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68E2902C">
            <w:pPr>
              <w:keepNext w:val="0"/>
              <w:keepLines w:val="0"/>
              <w:pageBreakBefore w:val="0"/>
              <w:kinsoku/>
              <w:overflowPunct/>
              <w:topLinePunct w:val="0"/>
              <w:bidi w:val="0"/>
              <w:spacing w:line="312"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2.落实政府采购政策需满足的资格要求：本项目非专门面向中小企业；</w:t>
            </w:r>
          </w:p>
          <w:p w14:paraId="4ACAD3AC">
            <w:pPr>
              <w:keepNext w:val="0"/>
              <w:keepLines w:val="0"/>
              <w:pageBreakBefore w:val="0"/>
              <w:kinsoku/>
              <w:overflowPunct/>
              <w:topLinePunct w:val="0"/>
              <w:bidi w:val="0"/>
              <w:spacing w:line="312"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3A0FB0FF">
            <w:pPr>
              <w:keepNext w:val="0"/>
              <w:keepLines w:val="0"/>
              <w:pageBreakBefore w:val="0"/>
              <w:kinsoku/>
              <w:overflowPunct/>
              <w:topLinePunct w:val="0"/>
              <w:bidi w:val="0"/>
              <w:spacing w:line="312"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3.1供应商须是具有独立法人资格的企业或其他组织，具有有效营业执照；</w:t>
            </w:r>
          </w:p>
          <w:p w14:paraId="4451C30A">
            <w:pPr>
              <w:keepNext w:val="0"/>
              <w:keepLines w:val="0"/>
              <w:pageBreakBefore w:val="0"/>
              <w:kinsoku/>
              <w:overflowPunct/>
              <w:topLinePunct w:val="0"/>
              <w:bidi w:val="0"/>
              <w:spacing w:line="312"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3.2拒绝列入政府取消投标资格记录期间的企业或个人投标；</w:t>
            </w:r>
          </w:p>
          <w:p w14:paraId="396848B8">
            <w:pPr>
              <w:keepNext w:val="0"/>
              <w:keepLines w:val="0"/>
              <w:pageBreakBefore w:val="0"/>
              <w:kinsoku/>
              <w:overflowPunct/>
              <w:topLinePunct w:val="0"/>
              <w:bidi w:val="0"/>
              <w:spacing w:line="312"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w:t>
            </w:r>
            <w:r>
              <w:rPr>
                <w:rFonts w:hint="eastAsia" w:ascii="宋体" w:hAnsi="宋体" w:cs="宋体"/>
                <w:color w:val="auto"/>
                <w:sz w:val="24"/>
                <w:szCs w:val="24"/>
                <w:highlight w:val="none"/>
                <w:lang w:eastAsia="zh-CN"/>
              </w:rPr>
              <w:t>在2023年至今供应商和其法定代表人在“中国裁判文书网”</w:t>
            </w:r>
            <w:r>
              <w:rPr>
                <w:rFonts w:hint="eastAsia" w:ascii="宋体" w:hAnsi="宋体" w:cs="宋体"/>
                <w:color w:val="auto"/>
                <w:sz w:val="24"/>
                <w:szCs w:val="24"/>
                <w:highlight w:val="none"/>
              </w:rPr>
              <w:t>(wenshu.court.gov.cn)上无行贿犯罪行为；</w:t>
            </w:r>
          </w:p>
          <w:p w14:paraId="0916F9C8">
            <w:pPr>
              <w:keepNext w:val="0"/>
              <w:keepLines w:val="0"/>
              <w:pageBreakBefore w:val="0"/>
              <w:kinsoku/>
              <w:overflowPunct/>
              <w:topLinePunct w:val="0"/>
              <w:bidi w:val="0"/>
              <w:spacing w:line="312"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3.4与采购人存在利害关系可能影响招标公正性的法人、其他组织或者个人，不得参加本项目投标；单位负责人为同一人或者存在直接控股、管理关系的不同供应商，不得参加同一合同项下的政府采购活动；</w:t>
            </w:r>
          </w:p>
          <w:p w14:paraId="543AAF29">
            <w:pPr>
              <w:keepNext w:val="0"/>
              <w:keepLines w:val="0"/>
              <w:pageBreakBefore w:val="0"/>
              <w:kinsoku/>
              <w:overflowPunct/>
              <w:topLinePunct w:val="0"/>
              <w:bidi w:val="0"/>
              <w:spacing w:line="312"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3.5参加政府采购活动前三年内，在经营活动中没有重大违法记录。</w:t>
            </w:r>
          </w:p>
        </w:tc>
      </w:tr>
      <w:tr w14:paraId="3FC62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68" w:type="pct"/>
            <w:tcBorders>
              <w:top w:val="single" w:color="auto" w:sz="4" w:space="0"/>
              <w:left w:val="single" w:color="auto" w:sz="4" w:space="0"/>
              <w:bottom w:val="single" w:color="auto" w:sz="4" w:space="0"/>
              <w:right w:val="single" w:color="auto" w:sz="4" w:space="0"/>
            </w:tcBorders>
            <w:vAlign w:val="center"/>
          </w:tcPr>
          <w:p w14:paraId="7E0DB698">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1057" w:type="pct"/>
            <w:tcBorders>
              <w:top w:val="single" w:color="auto" w:sz="4" w:space="0"/>
              <w:left w:val="single" w:color="auto" w:sz="4" w:space="0"/>
              <w:bottom w:val="single" w:color="auto" w:sz="4" w:space="0"/>
              <w:right w:val="single" w:color="auto" w:sz="4" w:space="0"/>
            </w:tcBorders>
            <w:vAlign w:val="center"/>
          </w:tcPr>
          <w:p w14:paraId="6A2E291E">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3673" w:type="pct"/>
            <w:tcBorders>
              <w:top w:val="single" w:color="auto" w:sz="4" w:space="0"/>
              <w:left w:val="single" w:color="auto" w:sz="4" w:space="0"/>
              <w:bottom w:val="single" w:color="auto" w:sz="4" w:space="0"/>
              <w:right w:val="single" w:color="auto" w:sz="4" w:space="0"/>
            </w:tcBorders>
            <w:vAlign w:val="center"/>
          </w:tcPr>
          <w:p w14:paraId="08F76906">
            <w:pPr>
              <w:keepNext w:val="0"/>
              <w:keepLines w:val="0"/>
              <w:pageBreakBefore w:val="0"/>
              <w:kinsoku/>
              <w:overflowPunct/>
              <w:topLinePunct w:val="0"/>
              <w:bidi w:val="0"/>
              <w:spacing w:line="312" w:lineRule="auto"/>
              <w:ind w:left="-8" w:hanging="166"/>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b/>
                <w:bCs/>
                <w:color w:val="auto"/>
                <w:sz w:val="24"/>
                <w:szCs w:val="24"/>
                <w:highlight w:val="none"/>
                <w:u w:val="single"/>
              </w:rPr>
              <w:t>90</w:t>
            </w:r>
            <w:r>
              <w:rPr>
                <w:rFonts w:hint="eastAsia" w:ascii="宋体" w:hAnsi="宋体" w:cs="宋体"/>
                <w:color w:val="auto"/>
                <w:sz w:val="24"/>
                <w:szCs w:val="24"/>
                <w:highlight w:val="none"/>
              </w:rPr>
              <w:t>日历天（从投标截止之日算起）</w:t>
            </w:r>
          </w:p>
        </w:tc>
      </w:tr>
      <w:tr w14:paraId="7C514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68" w:type="pct"/>
            <w:tcBorders>
              <w:top w:val="single" w:color="auto" w:sz="4" w:space="0"/>
              <w:left w:val="single" w:color="auto" w:sz="4" w:space="0"/>
              <w:bottom w:val="single" w:color="auto" w:sz="4" w:space="0"/>
              <w:right w:val="single" w:color="auto" w:sz="4" w:space="0"/>
            </w:tcBorders>
            <w:vAlign w:val="center"/>
          </w:tcPr>
          <w:p w14:paraId="71BD4710">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1997" w:type="dxa"/>
            <w:tcBorders>
              <w:top w:val="single" w:color="auto" w:sz="4" w:space="0"/>
              <w:left w:val="single" w:color="auto" w:sz="4" w:space="0"/>
              <w:bottom w:val="single" w:color="auto" w:sz="4" w:space="0"/>
              <w:right w:val="single" w:color="auto" w:sz="4" w:space="0"/>
            </w:tcBorders>
            <w:vAlign w:val="center"/>
          </w:tcPr>
          <w:p w14:paraId="3E53268E">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6945" w:type="dxa"/>
            <w:tcBorders>
              <w:top w:val="single" w:color="auto" w:sz="4" w:space="0"/>
              <w:left w:val="single" w:color="auto" w:sz="4" w:space="0"/>
              <w:bottom w:val="single" w:color="auto" w:sz="4" w:space="0"/>
              <w:right w:val="single" w:color="auto" w:sz="4" w:space="0"/>
            </w:tcBorders>
            <w:vAlign w:val="center"/>
          </w:tcPr>
          <w:p w14:paraId="0E92F2D3">
            <w:pPr>
              <w:spacing w:line="288"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投标保证金的形式：包括转账、电汇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支票、汇票、本票或者金融机构、担保机构出具的保函等非现金形式提交。投标保证金应当从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的基本账户转出。</w:t>
            </w:r>
          </w:p>
          <w:p w14:paraId="692C2E41">
            <w:pPr>
              <w:spacing w:line="288"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投标人未按照招标文件要求提交投标保证金的，投标无效。投标保证金缴纳以到账时间为准。</w:t>
            </w:r>
          </w:p>
          <w:p w14:paraId="3C491270">
            <w:pPr>
              <w:spacing w:line="288"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投标保证金的金额：</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万元整</w:t>
            </w:r>
          </w:p>
          <w:p w14:paraId="572CF693">
            <w:pPr>
              <w:spacing w:line="288"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要求：</w:t>
            </w:r>
          </w:p>
          <w:p w14:paraId="67ED341A">
            <w:pPr>
              <w:spacing w:line="288"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（1）投标人将基本账户开户许可证（或基本存款账户信息）复印件及投标保证金缴纳凭证复印件装入到投标文件中。 </w:t>
            </w:r>
          </w:p>
          <w:p w14:paraId="4E417778">
            <w:pPr>
              <w:spacing w:line="288"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（2）以保函形式提交投标保证金的，保函扫描件应在投标截止时间前发送至招标代理机构邮箱</w:t>
            </w:r>
            <w:r>
              <w:rPr>
                <w:rFonts w:hint="eastAsia" w:ascii="宋体" w:hAnsi="宋体" w:eastAsia="宋体" w:cs="宋体"/>
                <w:sz w:val="24"/>
                <w:szCs w:val="24"/>
                <w:highlight w:val="none"/>
                <w:lang w:eastAsia="zh-CN"/>
              </w:rPr>
              <w:t>1342112124@qq.com</w:t>
            </w:r>
            <w:r>
              <w:rPr>
                <w:rFonts w:hint="eastAsia" w:ascii="宋体" w:hAnsi="宋体" w:eastAsia="宋体" w:cs="宋体"/>
                <w:sz w:val="24"/>
                <w:szCs w:val="24"/>
                <w:highlight w:val="none"/>
              </w:rPr>
              <w:t>，保函复印件装入投标文件中。</w:t>
            </w:r>
          </w:p>
          <w:p w14:paraId="44A0A5C0">
            <w:pPr>
              <w:pageBreakBefore w:val="0"/>
              <w:kinsoku/>
              <w:overflowPunct/>
              <w:topLinePunct w:val="0"/>
              <w:bidi w:val="0"/>
              <w:spacing w:line="288"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单位名称：吉林省经建咨询有限公司</w:t>
            </w:r>
          </w:p>
          <w:p w14:paraId="380D206C">
            <w:pPr>
              <w:pageBreakBefore w:val="0"/>
              <w:kinsoku/>
              <w:overflowPunct/>
              <w:topLinePunct w:val="0"/>
              <w:bidi w:val="0"/>
              <w:spacing w:line="288"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开户行：中国工商银行股份有限公司长春人民广场支行 </w:t>
            </w:r>
          </w:p>
          <w:p w14:paraId="0E952431">
            <w:pPr>
              <w:pageBreakBefore w:val="0"/>
              <w:kinsoku/>
              <w:overflowPunct/>
              <w:topLinePunct w:val="0"/>
              <w:bidi w:val="0"/>
              <w:spacing w:line="288"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账号：4200220309200035435</w:t>
            </w:r>
          </w:p>
          <w:p w14:paraId="793312AC">
            <w:pPr>
              <w:keepNext w:val="0"/>
              <w:keepLines w:val="0"/>
              <w:pageBreakBefore w:val="0"/>
              <w:tabs>
                <w:tab w:val="center" w:pos="2530"/>
              </w:tabs>
              <w:kinsoku/>
              <w:overflowPunct/>
              <w:topLinePunct w:val="0"/>
              <w:bidi w:val="0"/>
              <w:spacing w:line="312"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投标单位应在汇款凭证上注明投标保证金、项目名称（简写），以便核对查实。</w:t>
            </w:r>
          </w:p>
        </w:tc>
      </w:tr>
      <w:tr w14:paraId="6B1CD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268" w:type="pct"/>
            <w:tcBorders>
              <w:top w:val="single" w:color="auto" w:sz="4" w:space="0"/>
              <w:left w:val="single" w:color="auto" w:sz="4" w:space="0"/>
              <w:bottom w:val="single" w:color="auto" w:sz="4" w:space="0"/>
              <w:right w:val="single" w:color="auto" w:sz="4" w:space="0"/>
            </w:tcBorders>
            <w:vAlign w:val="center"/>
          </w:tcPr>
          <w:p w14:paraId="20BC46E1">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14</w:t>
            </w:r>
          </w:p>
        </w:tc>
        <w:tc>
          <w:tcPr>
            <w:tcW w:w="1057" w:type="pct"/>
            <w:tcBorders>
              <w:top w:val="single" w:color="auto" w:sz="4" w:space="0"/>
              <w:left w:val="single" w:color="auto" w:sz="4" w:space="0"/>
              <w:bottom w:val="single" w:color="auto" w:sz="4" w:space="0"/>
              <w:right w:val="single" w:color="auto" w:sz="4" w:space="0"/>
            </w:tcBorders>
            <w:vAlign w:val="center"/>
          </w:tcPr>
          <w:p w14:paraId="71C9F8E1">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供应商的替代方案</w:t>
            </w:r>
          </w:p>
        </w:tc>
        <w:tc>
          <w:tcPr>
            <w:tcW w:w="3673" w:type="pct"/>
            <w:tcBorders>
              <w:top w:val="single" w:color="auto" w:sz="4" w:space="0"/>
              <w:left w:val="single" w:color="auto" w:sz="4" w:space="0"/>
              <w:bottom w:val="single" w:color="auto" w:sz="4" w:space="0"/>
              <w:right w:val="single" w:color="auto" w:sz="4" w:space="0"/>
            </w:tcBorders>
            <w:vAlign w:val="center"/>
          </w:tcPr>
          <w:p w14:paraId="71E22AB7">
            <w:pPr>
              <w:pStyle w:val="14"/>
              <w:keepNext w:val="0"/>
              <w:keepLines w:val="0"/>
              <w:pageBreakBefore w:val="0"/>
              <w:kinsoku/>
              <w:overflowPunct/>
              <w:topLinePunct w:val="0"/>
              <w:bidi w:val="0"/>
              <w:spacing w:line="312"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不允许</w:t>
            </w:r>
          </w:p>
        </w:tc>
      </w:tr>
      <w:tr w14:paraId="3C0AA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68" w:type="pct"/>
            <w:tcBorders>
              <w:top w:val="single" w:color="auto" w:sz="4" w:space="0"/>
              <w:left w:val="single" w:color="auto" w:sz="4" w:space="0"/>
              <w:bottom w:val="single" w:color="auto" w:sz="4" w:space="0"/>
              <w:right w:val="single" w:color="auto" w:sz="4" w:space="0"/>
            </w:tcBorders>
            <w:vAlign w:val="center"/>
          </w:tcPr>
          <w:p w14:paraId="2C58F0D9">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1057" w:type="pct"/>
            <w:tcBorders>
              <w:top w:val="single" w:color="auto" w:sz="4" w:space="0"/>
              <w:left w:val="single" w:color="auto" w:sz="4" w:space="0"/>
              <w:bottom w:val="single" w:color="auto" w:sz="4" w:space="0"/>
              <w:right w:val="single" w:color="auto" w:sz="4" w:space="0"/>
            </w:tcBorders>
            <w:vAlign w:val="center"/>
          </w:tcPr>
          <w:p w14:paraId="7B67A1CC">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投标文件份数</w:t>
            </w:r>
          </w:p>
        </w:tc>
        <w:tc>
          <w:tcPr>
            <w:tcW w:w="3673" w:type="pct"/>
            <w:tcBorders>
              <w:top w:val="single" w:color="auto" w:sz="4" w:space="0"/>
              <w:left w:val="single" w:color="auto" w:sz="4" w:space="0"/>
              <w:bottom w:val="single" w:color="auto" w:sz="4" w:space="0"/>
              <w:right w:val="single" w:color="auto" w:sz="4" w:space="0"/>
            </w:tcBorders>
            <w:vAlign w:val="center"/>
          </w:tcPr>
          <w:p w14:paraId="247D3F50">
            <w:pPr>
              <w:keepNext w:val="0"/>
              <w:keepLines w:val="0"/>
              <w:pageBreakBefore w:val="0"/>
              <w:kinsoku/>
              <w:overflowPunct/>
              <w:topLinePunct w:val="0"/>
              <w:bidi w:val="0"/>
              <w:spacing w:line="312" w:lineRule="auto"/>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实行政采云电子投标</w:t>
            </w:r>
            <w:r>
              <w:rPr>
                <w:rFonts w:hint="eastAsia" w:ascii="宋体" w:hAnsi="宋体" w:cs="宋体"/>
                <w:color w:val="auto"/>
                <w:sz w:val="24"/>
                <w:szCs w:val="24"/>
                <w:highlight w:val="none"/>
                <w:lang w:val="en-US" w:eastAsia="zh-CN"/>
              </w:rPr>
              <w:t>，无需提供纸质版</w:t>
            </w:r>
          </w:p>
        </w:tc>
      </w:tr>
      <w:tr w14:paraId="16DF7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68" w:type="pct"/>
            <w:tcBorders>
              <w:top w:val="single" w:color="auto" w:sz="4" w:space="0"/>
              <w:left w:val="single" w:color="auto" w:sz="4" w:space="0"/>
              <w:bottom w:val="single" w:color="auto" w:sz="4" w:space="0"/>
              <w:right w:val="single" w:color="auto" w:sz="4" w:space="0"/>
            </w:tcBorders>
            <w:vAlign w:val="center"/>
          </w:tcPr>
          <w:p w14:paraId="57BD1E76">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16</w:t>
            </w:r>
          </w:p>
        </w:tc>
        <w:tc>
          <w:tcPr>
            <w:tcW w:w="1057" w:type="pct"/>
            <w:tcBorders>
              <w:top w:val="single" w:color="auto" w:sz="4" w:space="0"/>
              <w:left w:val="single" w:color="auto" w:sz="4" w:space="0"/>
              <w:bottom w:val="single" w:color="auto" w:sz="4" w:space="0"/>
              <w:right w:val="single" w:color="auto" w:sz="4" w:space="0"/>
            </w:tcBorders>
            <w:vAlign w:val="center"/>
          </w:tcPr>
          <w:p w14:paraId="032336C6">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投标文件提交地点及截止时间</w:t>
            </w:r>
          </w:p>
        </w:tc>
        <w:tc>
          <w:tcPr>
            <w:tcW w:w="3673" w:type="pct"/>
            <w:tcBorders>
              <w:top w:val="single" w:color="auto" w:sz="4" w:space="0"/>
              <w:left w:val="single" w:color="auto" w:sz="4" w:space="0"/>
              <w:bottom w:val="single" w:color="auto" w:sz="4" w:space="0"/>
              <w:right w:val="single" w:color="auto" w:sz="4" w:space="0"/>
            </w:tcBorders>
            <w:vAlign w:val="center"/>
          </w:tcPr>
          <w:p w14:paraId="4BB4E78C">
            <w:pPr>
              <w:keepNext w:val="0"/>
              <w:keepLines w:val="0"/>
              <w:pageBreakBefore w:val="0"/>
              <w:kinsoku/>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2026年5月15日9时30分</w:t>
            </w:r>
            <w:r>
              <w:rPr>
                <w:rFonts w:hint="eastAsia" w:ascii="宋体" w:hAnsi="宋体" w:eastAsia="宋体" w:cs="宋体"/>
                <w:color w:val="auto"/>
                <w:sz w:val="24"/>
                <w:szCs w:val="24"/>
                <w:highlight w:val="none"/>
              </w:rPr>
              <w:t>（北京时间）</w:t>
            </w:r>
          </w:p>
          <w:p w14:paraId="31D24D2D">
            <w:pPr>
              <w:keepNext w:val="0"/>
              <w:keepLines w:val="0"/>
              <w:pageBreakBefore w:val="0"/>
              <w:kinsoku/>
              <w:overflowPunct/>
              <w:topLinePunct w:val="0"/>
              <w:bidi w:val="0"/>
              <w:spacing w:line="312" w:lineRule="auto"/>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zh-CN"/>
              </w:rPr>
              <w:t>“政采云”平台</w:t>
            </w:r>
          </w:p>
        </w:tc>
      </w:tr>
      <w:tr w14:paraId="67B43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8" w:type="pct"/>
            <w:tcBorders>
              <w:top w:val="single" w:color="auto" w:sz="4" w:space="0"/>
              <w:left w:val="single" w:color="auto" w:sz="4" w:space="0"/>
              <w:bottom w:val="single" w:color="auto" w:sz="4" w:space="0"/>
              <w:right w:val="single" w:color="auto" w:sz="4" w:space="0"/>
            </w:tcBorders>
            <w:vAlign w:val="center"/>
          </w:tcPr>
          <w:p w14:paraId="23025457">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17</w:t>
            </w:r>
          </w:p>
        </w:tc>
        <w:tc>
          <w:tcPr>
            <w:tcW w:w="1057" w:type="pct"/>
            <w:tcBorders>
              <w:top w:val="single" w:color="auto" w:sz="4" w:space="0"/>
              <w:left w:val="single" w:color="auto" w:sz="4" w:space="0"/>
              <w:bottom w:val="single" w:color="auto" w:sz="4" w:space="0"/>
              <w:right w:val="single" w:color="auto" w:sz="4" w:space="0"/>
            </w:tcBorders>
            <w:vAlign w:val="center"/>
          </w:tcPr>
          <w:p w14:paraId="59C506F8">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开标</w:t>
            </w:r>
          </w:p>
        </w:tc>
        <w:tc>
          <w:tcPr>
            <w:tcW w:w="3673" w:type="pct"/>
            <w:tcBorders>
              <w:top w:val="single" w:color="auto" w:sz="4" w:space="0"/>
              <w:left w:val="single" w:color="auto" w:sz="4" w:space="0"/>
              <w:bottom w:val="single" w:color="auto" w:sz="4" w:space="0"/>
              <w:right w:val="single" w:color="auto" w:sz="4" w:space="0"/>
            </w:tcBorders>
            <w:vAlign w:val="center"/>
          </w:tcPr>
          <w:p w14:paraId="3E10EE6D">
            <w:pPr>
              <w:keepNext w:val="0"/>
              <w:keepLines w:val="0"/>
              <w:pageBreakBefore w:val="0"/>
              <w:kinsoku/>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2026年5月15日9时30分</w:t>
            </w:r>
            <w:r>
              <w:rPr>
                <w:rFonts w:hint="eastAsia" w:ascii="宋体" w:hAnsi="宋体" w:eastAsia="宋体" w:cs="宋体"/>
                <w:color w:val="auto"/>
                <w:sz w:val="24"/>
                <w:szCs w:val="24"/>
                <w:highlight w:val="none"/>
              </w:rPr>
              <w:t>（北京时间）</w:t>
            </w:r>
          </w:p>
          <w:p w14:paraId="1CBE5744">
            <w:pPr>
              <w:keepNext w:val="0"/>
              <w:keepLines w:val="0"/>
              <w:pageBreakBefore w:val="0"/>
              <w:kinsoku/>
              <w:overflowPunct/>
              <w:topLinePunct w:val="0"/>
              <w:bidi w:val="0"/>
              <w:spacing w:line="312"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长春市二道区洋浦大街凯利中心AB栋101室，</w:t>
            </w:r>
            <w:r>
              <w:rPr>
                <w:rFonts w:hint="eastAsia" w:ascii="宋体" w:hAnsi="宋体" w:cs="宋体"/>
                <w:color w:val="auto"/>
                <w:sz w:val="24"/>
                <w:szCs w:val="24"/>
                <w:highlight w:val="none"/>
                <w:lang w:eastAsia="zh-CN"/>
              </w:rPr>
              <w:t>开标室二室</w:t>
            </w:r>
          </w:p>
        </w:tc>
      </w:tr>
      <w:tr w14:paraId="35933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268" w:type="pct"/>
            <w:tcBorders>
              <w:top w:val="single" w:color="auto" w:sz="4" w:space="0"/>
              <w:left w:val="single" w:color="auto" w:sz="4" w:space="0"/>
              <w:bottom w:val="single" w:color="auto" w:sz="4" w:space="0"/>
              <w:right w:val="single" w:color="auto" w:sz="4" w:space="0"/>
            </w:tcBorders>
            <w:vAlign w:val="center"/>
          </w:tcPr>
          <w:p w14:paraId="78B7F51C">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18</w:t>
            </w:r>
          </w:p>
        </w:tc>
        <w:tc>
          <w:tcPr>
            <w:tcW w:w="1057" w:type="pct"/>
            <w:tcBorders>
              <w:top w:val="single" w:color="auto" w:sz="4" w:space="0"/>
              <w:left w:val="single" w:color="auto" w:sz="4" w:space="0"/>
              <w:bottom w:val="single" w:color="auto" w:sz="4" w:space="0"/>
              <w:right w:val="single" w:color="auto" w:sz="4" w:space="0"/>
            </w:tcBorders>
            <w:vAlign w:val="center"/>
          </w:tcPr>
          <w:p w14:paraId="69748B4C">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评标方法及标准</w:t>
            </w:r>
          </w:p>
        </w:tc>
        <w:tc>
          <w:tcPr>
            <w:tcW w:w="3673" w:type="pct"/>
            <w:tcBorders>
              <w:top w:val="single" w:color="auto" w:sz="4" w:space="0"/>
              <w:left w:val="single" w:color="auto" w:sz="4" w:space="0"/>
              <w:bottom w:val="single" w:color="auto" w:sz="4" w:space="0"/>
              <w:right w:val="single" w:color="auto" w:sz="4" w:space="0"/>
            </w:tcBorders>
            <w:vAlign w:val="center"/>
          </w:tcPr>
          <w:p w14:paraId="047153B3">
            <w:pPr>
              <w:pStyle w:val="135"/>
              <w:keepNext w:val="0"/>
              <w:keepLines w:val="0"/>
              <w:pageBreakBefore w:val="0"/>
              <w:kinsoku/>
              <w:wordWrap w:val="0"/>
              <w:overflowPunct/>
              <w:topLinePunct w:val="0"/>
              <w:bidi w:val="0"/>
              <w:spacing w:line="312"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59098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8" w:type="pct"/>
            <w:tcBorders>
              <w:top w:val="single" w:color="auto" w:sz="4" w:space="0"/>
              <w:left w:val="single" w:color="auto" w:sz="4" w:space="0"/>
              <w:bottom w:val="single" w:color="auto" w:sz="4" w:space="0"/>
              <w:right w:val="single" w:color="auto" w:sz="4" w:space="0"/>
            </w:tcBorders>
            <w:vAlign w:val="center"/>
          </w:tcPr>
          <w:p w14:paraId="14D60FB3">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19</w:t>
            </w:r>
          </w:p>
        </w:tc>
        <w:tc>
          <w:tcPr>
            <w:tcW w:w="1057" w:type="pct"/>
            <w:tcBorders>
              <w:top w:val="single" w:color="auto" w:sz="4" w:space="0"/>
              <w:left w:val="single" w:color="auto" w:sz="4" w:space="0"/>
              <w:bottom w:val="single" w:color="auto" w:sz="4" w:space="0"/>
              <w:right w:val="single" w:color="auto" w:sz="4" w:space="0"/>
            </w:tcBorders>
            <w:vAlign w:val="center"/>
          </w:tcPr>
          <w:p w14:paraId="022DA023">
            <w:pPr>
              <w:keepNext w:val="0"/>
              <w:keepLines w:val="0"/>
              <w:pageBreakBefore w:val="0"/>
              <w:kinsoku/>
              <w:wordWrap w:val="0"/>
              <w:overflowPunct/>
              <w:topLinePunct w:val="0"/>
              <w:autoSpaceDE w:val="0"/>
              <w:autoSpaceDN w:val="0"/>
              <w:bidi w:val="0"/>
              <w:adjustRightInd w:val="0"/>
              <w:spacing w:line="312" w:lineRule="auto"/>
              <w:jc w:val="center"/>
              <w:textAlignment w:val="auto"/>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评标委员会的组建</w:t>
            </w:r>
          </w:p>
        </w:tc>
        <w:tc>
          <w:tcPr>
            <w:tcW w:w="3673" w:type="pct"/>
            <w:tcBorders>
              <w:top w:val="single" w:color="auto" w:sz="4" w:space="0"/>
              <w:left w:val="single" w:color="auto" w:sz="4" w:space="0"/>
              <w:bottom w:val="single" w:color="auto" w:sz="4" w:space="0"/>
              <w:right w:val="single" w:color="auto" w:sz="4" w:space="0"/>
            </w:tcBorders>
            <w:vAlign w:val="center"/>
          </w:tcPr>
          <w:p w14:paraId="3A7E6451">
            <w:pPr>
              <w:pStyle w:val="135"/>
              <w:keepNext w:val="0"/>
              <w:keepLines w:val="0"/>
              <w:pageBreakBefore w:val="0"/>
              <w:kinsoku/>
              <w:wordWrap w:val="0"/>
              <w:overflowPunct/>
              <w:topLinePunct w:val="0"/>
              <w:bidi w:val="0"/>
              <w:spacing w:line="312"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评标委员会构成：采购人代表1人，技术、经济相关专业专家4人；</w:t>
            </w:r>
          </w:p>
          <w:p w14:paraId="7590B354">
            <w:pPr>
              <w:keepNext w:val="0"/>
              <w:keepLines w:val="0"/>
              <w:pageBreakBefore w:val="0"/>
              <w:kinsoku/>
              <w:wordWrap w:val="0"/>
              <w:overflowPunct/>
              <w:topLinePunct w:val="0"/>
              <w:bidi w:val="0"/>
              <w:spacing w:line="312" w:lineRule="auto"/>
              <w:textAlignment w:val="auto"/>
              <w:rPr>
                <w:rFonts w:ascii="宋体" w:hAnsi="宋体" w:cs="宋体"/>
                <w:bCs/>
                <w:color w:val="auto"/>
                <w:sz w:val="24"/>
                <w:szCs w:val="24"/>
                <w:highlight w:val="none"/>
              </w:rPr>
            </w:pPr>
            <w:r>
              <w:rPr>
                <w:rFonts w:hint="eastAsia" w:ascii="宋体" w:hAnsi="宋体" w:cs="宋体"/>
                <w:color w:val="auto"/>
                <w:sz w:val="24"/>
                <w:szCs w:val="24"/>
                <w:highlight w:val="none"/>
              </w:rPr>
              <w:t>评标专家确定方式：从依法成立的评标专家库中随机抽取。</w:t>
            </w:r>
          </w:p>
        </w:tc>
      </w:tr>
      <w:tr w14:paraId="54985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8" w:type="pct"/>
            <w:tcBorders>
              <w:top w:val="single" w:color="auto" w:sz="4" w:space="0"/>
              <w:left w:val="single" w:color="auto" w:sz="4" w:space="0"/>
              <w:bottom w:val="single" w:color="auto" w:sz="4" w:space="0"/>
              <w:right w:val="single" w:color="auto" w:sz="4" w:space="0"/>
            </w:tcBorders>
            <w:vAlign w:val="center"/>
          </w:tcPr>
          <w:p w14:paraId="1BF33972">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20</w:t>
            </w:r>
          </w:p>
        </w:tc>
        <w:tc>
          <w:tcPr>
            <w:tcW w:w="1057" w:type="pct"/>
            <w:tcBorders>
              <w:top w:val="single" w:color="auto" w:sz="4" w:space="0"/>
              <w:left w:val="single" w:color="auto" w:sz="4" w:space="0"/>
              <w:bottom w:val="single" w:color="auto" w:sz="4" w:space="0"/>
              <w:right w:val="single" w:color="auto" w:sz="4" w:space="0"/>
            </w:tcBorders>
            <w:vAlign w:val="center"/>
          </w:tcPr>
          <w:p w14:paraId="37C17C15">
            <w:pPr>
              <w:keepNext w:val="0"/>
              <w:keepLines w:val="0"/>
              <w:pageBreakBefore w:val="0"/>
              <w:kinsoku/>
              <w:wordWrap w:val="0"/>
              <w:overflowPunct/>
              <w:topLinePunct w:val="0"/>
              <w:autoSpaceDE w:val="0"/>
              <w:autoSpaceDN w:val="0"/>
              <w:bidi w:val="0"/>
              <w:adjustRightInd w:val="0"/>
              <w:spacing w:line="312" w:lineRule="auto"/>
              <w:jc w:val="center"/>
              <w:textAlignment w:val="auto"/>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是否授权评标委员会确定中标人</w:t>
            </w:r>
          </w:p>
        </w:tc>
        <w:tc>
          <w:tcPr>
            <w:tcW w:w="3673" w:type="pct"/>
            <w:tcBorders>
              <w:top w:val="single" w:color="auto" w:sz="4" w:space="0"/>
              <w:left w:val="single" w:color="auto" w:sz="4" w:space="0"/>
              <w:bottom w:val="single" w:color="auto" w:sz="4" w:space="0"/>
              <w:right w:val="single" w:color="auto" w:sz="4" w:space="0"/>
            </w:tcBorders>
            <w:vAlign w:val="center"/>
          </w:tcPr>
          <w:p w14:paraId="139BDA6A">
            <w:pPr>
              <w:keepNext w:val="0"/>
              <w:keepLines w:val="0"/>
              <w:pageBreakBefore w:val="0"/>
              <w:kinsoku/>
              <w:wordWrap w:val="0"/>
              <w:overflowPunct/>
              <w:topLinePunct w:val="0"/>
              <w:bidi w:val="0"/>
              <w:spacing w:line="312" w:lineRule="auto"/>
              <w:textAlignment w:val="auto"/>
              <w:rPr>
                <w:rFonts w:ascii="宋体" w:hAnsi="宋体" w:cs="宋体"/>
                <w:bCs/>
                <w:color w:val="auto"/>
                <w:kern w:val="15"/>
                <w:sz w:val="24"/>
                <w:szCs w:val="24"/>
                <w:highlight w:val="none"/>
              </w:rPr>
            </w:pPr>
            <w:r>
              <w:rPr>
                <w:rFonts w:hint="eastAsia" w:ascii="宋体" w:hAnsi="宋体" w:cs="宋体"/>
                <w:bCs/>
                <w:color w:val="auto"/>
                <w:sz w:val="24"/>
                <w:szCs w:val="24"/>
                <w:highlight w:val="none"/>
                <w:lang w:val="zh-CN"/>
              </w:rPr>
              <w:t>否，推荐3名中标候选人</w:t>
            </w:r>
          </w:p>
        </w:tc>
      </w:tr>
      <w:tr w14:paraId="5D492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68" w:type="pct"/>
            <w:tcBorders>
              <w:top w:val="single" w:color="auto" w:sz="4" w:space="0"/>
              <w:left w:val="single" w:color="auto" w:sz="4" w:space="0"/>
              <w:bottom w:val="single" w:color="auto" w:sz="4" w:space="0"/>
              <w:right w:val="single" w:color="auto" w:sz="4" w:space="0"/>
            </w:tcBorders>
            <w:vAlign w:val="center"/>
          </w:tcPr>
          <w:p w14:paraId="778E94DD">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21</w:t>
            </w:r>
          </w:p>
        </w:tc>
        <w:tc>
          <w:tcPr>
            <w:tcW w:w="1057" w:type="pct"/>
            <w:tcBorders>
              <w:top w:val="single" w:color="auto" w:sz="4" w:space="0"/>
              <w:left w:val="single" w:color="auto" w:sz="4" w:space="0"/>
              <w:bottom w:val="single" w:color="auto" w:sz="4" w:space="0"/>
              <w:right w:val="single" w:color="auto" w:sz="4" w:space="0"/>
            </w:tcBorders>
            <w:vAlign w:val="center"/>
          </w:tcPr>
          <w:p w14:paraId="02C14F05">
            <w:pPr>
              <w:keepNext w:val="0"/>
              <w:keepLines w:val="0"/>
              <w:pageBreakBefore w:val="0"/>
              <w:kinsoku/>
              <w:overflowPunct/>
              <w:topLinePunct w:val="0"/>
              <w:bidi w:val="0"/>
              <w:adjustRightInd w:val="0"/>
              <w:snapToGrid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签订合同</w:t>
            </w:r>
          </w:p>
        </w:tc>
        <w:tc>
          <w:tcPr>
            <w:tcW w:w="3673" w:type="pct"/>
            <w:tcBorders>
              <w:top w:val="single" w:color="auto" w:sz="4" w:space="0"/>
              <w:left w:val="single" w:color="auto" w:sz="4" w:space="0"/>
              <w:bottom w:val="single" w:color="auto" w:sz="4" w:space="0"/>
              <w:right w:val="single" w:color="auto" w:sz="4" w:space="0"/>
            </w:tcBorders>
            <w:vAlign w:val="center"/>
          </w:tcPr>
          <w:p w14:paraId="6D58B568">
            <w:pPr>
              <w:keepNext w:val="0"/>
              <w:keepLines w:val="0"/>
              <w:pageBreakBefore w:val="0"/>
              <w:kinsoku/>
              <w:overflowPunct/>
              <w:topLinePunct w:val="0"/>
              <w:bidi w:val="0"/>
              <w:adjustRightInd w:val="0"/>
              <w:snapToGrid w:val="0"/>
              <w:spacing w:line="312" w:lineRule="auto"/>
              <w:textAlignment w:val="auto"/>
              <w:rPr>
                <w:rFonts w:hint="eastAsia" w:ascii="宋体" w:hAnsi="宋体" w:cs="宋体"/>
                <w:bCs/>
                <w:color w:val="auto"/>
                <w:kern w:val="15"/>
                <w:sz w:val="24"/>
                <w:szCs w:val="24"/>
                <w:highlight w:val="none"/>
              </w:rPr>
            </w:pPr>
            <w:r>
              <w:rPr>
                <w:rFonts w:hint="eastAsia" w:ascii="宋体" w:hAnsi="宋体" w:cs="宋体"/>
                <w:bCs/>
                <w:color w:val="auto"/>
                <w:kern w:val="15"/>
                <w:sz w:val="24"/>
                <w:szCs w:val="24"/>
                <w:highlight w:val="none"/>
              </w:rPr>
              <w:t>中标人应在中标结果确定后30天内签订采购合同</w:t>
            </w:r>
          </w:p>
        </w:tc>
      </w:tr>
      <w:tr w14:paraId="41F1B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366552A2">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22</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78F74E7E">
            <w:pPr>
              <w:keepNext w:val="0"/>
              <w:keepLines w:val="0"/>
              <w:pageBreakBefore w:val="0"/>
              <w:kinsoku/>
              <w:overflowPunct/>
              <w:topLinePunct w:val="0"/>
              <w:bidi w:val="0"/>
              <w:spacing w:line="312" w:lineRule="auto"/>
              <w:jc w:val="center"/>
              <w:textAlignment w:val="auto"/>
              <w:rPr>
                <w:rFonts w:ascii="宋体" w:hAnsi="宋体" w:cs="宋体"/>
                <w:bCs/>
                <w:color w:val="auto"/>
                <w:kern w:val="15"/>
                <w:sz w:val="24"/>
                <w:szCs w:val="24"/>
                <w:highlight w:val="none"/>
              </w:rPr>
            </w:pPr>
            <w:r>
              <w:rPr>
                <w:rFonts w:hint="eastAsia" w:ascii="宋体" w:hAnsi="宋体" w:cs="宋体"/>
                <w:bCs/>
                <w:color w:val="auto"/>
                <w:kern w:val="15"/>
                <w:sz w:val="24"/>
                <w:szCs w:val="24"/>
                <w:highlight w:val="none"/>
              </w:rPr>
              <w:t>付款方式</w:t>
            </w:r>
          </w:p>
        </w:tc>
        <w:tc>
          <w:tcPr>
            <w:tcW w:w="3673" w:type="pct"/>
            <w:tcBorders>
              <w:top w:val="single" w:color="auto" w:sz="4" w:space="0"/>
              <w:left w:val="single" w:color="auto" w:sz="4" w:space="0"/>
              <w:bottom w:val="single" w:color="auto" w:sz="4" w:space="0"/>
              <w:right w:val="single" w:color="auto" w:sz="4" w:space="0"/>
            </w:tcBorders>
            <w:shd w:val="clear" w:color="auto" w:fill="auto"/>
            <w:vAlign w:val="center"/>
          </w:tcPr>
          <w:p w14:paraId="4FC96EC2">
            <w:pPr>
              <w:keepNext w:val="0"/>
              <w:keepLines w:val="0"/>
              <w:pageBreakBefore w:val="0"/>
              <w:kinsoku/>
              <w:overflowPunct/>
              <w:topLinePunct w:val="0"/>
              <w:bidi w:val="0"/>
              <w:adjustRightInd w:val="0"/>
              <w:snapToGrid w:val="0"/>
              <w:spacing w:line="312" w:lineRule="auto"/>
              <w:textAlignment w:val="auto"/>
              <w:rPr>
                <w:rFonts w:hint="default" w:ascii="宋体" w:hAnsi="宋体" w:cs="宋体"/>
                <w:bCs/>
                <w:color w:val="auto"/>
                <w:kern w:val="15"/>
                <w:sz w:val="24"/>
                <w:szCs w:val="24"/>
                <w:highlight w:val="none"/>
                <w:lang w:val="en-US" w:eastAsia="zh-CN"/>
              </w:rPr>
            </w:pPr>
            <w:r>
              <w:rPr>
                <w:rFonts w:hint="eastAsia" w:ascii="宋体" w:hAnsi="宋体" w:cs="宋体"/>
                <w:bCs/>
                <w:color w:val="auto"/>
                <w:kern w:val="15"/>
                <w:sz w:val="24"/>
                <w:szCs w:val="24"/>
                <w:highlight w:val="none"/>
              </w:rPr>
              <w:t>政府采购项目资金支付程序，按照国家有关财政资金支付管理的规定执行。</w:t>
            </w:r>
          </w:p>
        </w:tc>
      </w:tr>
      <w:tr w14:paraId="6ADD3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3938CE95">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23</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67BB6732">
            <w:pPr>
              <w:keepNext w:val="0"/>
              <w:keepLines w:val="0"/>
              <w:pageBreakBefore w:val="0"/>
              <w:kinsoku/>
              <w:overflowPunct/>
              <w:topLinePunct w:val="0"/>
              <w:bidi w:val="0"/>
              <w:adjustRightInd w:val="0"/>
              <w:snapToGrid w:val="0"/>
              <w:spacing w:line="312" w:lineRule="auto"/>
              <w:jc w:val="center"/>
              <w:textAlignment w:val="auto"/>
              <w:rPr>
                <w:rFonts w:ascii="宋体" w:hAnsi="宋体" w:cs="宋体"/>
                <w:bCs/>
                <w:color w:val="auto"/>
                <w:kern w:val="15"/>
                <w:sz w:val="24"/>
                <w:szCs w:val="24"/>
                <w:highlight w:val="none"/>
              </w:rPr>
            </w:pPr>
            <w:r>
              <w:rPr>
                <w:rFonts w:hint="eastAsia" w:ascii="宋体" w:hAnsi="宋体" w:cs="宋体"/>
                <w:bCs/>
                <w:color w:val="auto"/>
                <w:kern w:val="15"/>
                <w:sz w:val="24"/>
                <w:szCs w:val="24"/>
                <w:highlight w:val="none"/>
              </w:rPr>
              <w:t>履约担保</w:t>
            </w:r>
          </w:p>
        </w:tc>
        <w:tc>
          <w:tcPr>
            <w:tcW w:w="3673" w:type="pct"/>
            <w:tcBorders>
              <w:top w:val="single" w:color="auto" w:sz="4" w:space="0"/>
              <w:left w:val="single" w:color="auto" w:sz="4" w:space="0"/>
              <w:bottom w:val="single" w:color="auto" w:sz="4" w:space="0"/>
              <w:right w:val="single" w:color="auto" w:sz="4" w:space="0"/>
            </w:tcBorders>
            <w:shd w:val="clear" w:color="auto" w:fill="auto"/>
            <w:vAlign w:val="center"/>
          </w:tcPr>
          <w:p w14:paraId="4C82F757">
            <w:pPr>
              <w:keepNext w:val="0"/>
              <w:keepLines w:val="0"/>
              <w:pageBreakBefore w:val="0"/>
              <w:kinsoku/>
              <w:overflowPunct/>
              <w:topLinePunct w:val="0"/>
              <w:bidi w:val="0"/>
              <w:adjustRightInd w:val="0"/>
              <w:snapToGrid w:val="0"/>
              <w:spacing w:line="312" w:lineRule="auto"/>
              <w:textAlignment w:val="auto"/>
              <w:rPr>
                <w:rFonts w:ascii="宋体" w:hAnsi="宋体" w:cs="宋体"/>
                <w:bCs/>
                <w:color w:val="auto"/>
                <w:kern w:val="15"/>
                <w:sz w:val="24"/>
                <w:szCs w:val="24"/>
                <w:highlight w:val="none"/>
              </w:rPr>
            </w:pPr>
            <w:r>
              <w:rPr>
                <w:rFonts w:hint="eastAsia" w:ascii="宋体" w:hAnsi="宋体" w:cs="宋体"/>
                <w:bCs/>
                <w:color w:val="auto"/>
                <w:kern w:val="15"/>
                <w:sz w:val="24"/>
                <w:szCs w:val="24"/>
                <w:highlight w:val="none"/>
              </w:rPr>
              <w:t>1.履约担保的金额：中标价款的5%；支付方式：按合同约定执行。</w:t>
            </w:r>
          </w:p>
          <w:p w14:paraId="08F1DFE9">
            <w:pPr>
              <w:keepNext w:val="0"/>
              <w:keepLines w:val="0"/>
              <w:pageBreakBefore w:val="0"/>
              <w:kinsoku/>
              <w:overflowPunct/>
              <w:topLinePunct w:val="0"/>
              <w:bidi w:val="0"/>
              <w:adjustRightInd w:val="0"/>
              <w:snapToGrid w:val="0"/>
              <w:spacing w:line="312" w:lineRule="auto"/>
              <w:textAlignment w:val="auto"/>
              <w:rPr>
                <w:rFonts w:ascii="宋体" w:hAnsi="宋体" w:cs="宋体"/>
                <w:bCs/>
                <w:color w:val="auto"/>
                <w:kern w:val="15"/>
                <w:sz w:val="24"/>
                <w:szCs w:val="24"/>
                <w:highlight w:val="none"/>
              </w:rPr>
            </w:pPr>
            <w:r>
              <w:rPr>
                <w:rFonts w:hint="eastAsia" w:ascii="宋体" w:hAnsi="宋体" w:cs="宋体"/>
                <w:bCs/>
                <w:color w:val="auto"/>
                <w:kern w:val="15"/>
                <w:sz w:val="24"/>
                <w:szCs w:val="24"/>
                <w:highlight w:val="none"/>
              </w:rPr>
              <w:t>2.履约担保缴纳（提交）时间：下发中标通知书之日起7日内提交。</w:t>
            </w:r>
          </w:p>
          <w:p w14:paraId="27E1A34E">
            <w:pPr>
              <w:keepNext w:val="0"/>
              <w:keepLines w:val="0"/>
              <w:pageBreakBefore w:val="0"/>
              <w:kinsoku/>
              <w:overflowPunct/>
              <w:topLinePunct w:val="0"/>
              <w:bidi w:val="0"/>
              <w:adjustRightInd w:val="0"/>
              <w:snapToGrid w:val="0"/>
              <w:spacing w:line="312" w:lineRule="auto"/>
              <w:textAlignment w:val="auto"/>
              <w:rPr>
                <w:rFonts w:ascii="宋体" w:hAnsi="宋体" w:cs="宋体"/>
                <w:bCs/>
                <w:color w:val="auto"/>
                <w:kern w:val="15"/>
                <w:sz w:val="24"/>
                <w:szCs w:val="24"/>
                <w:highlight w:val="none"/>
              </w:rPr>
            </w:pPr>
            <w:r>
              <w:rPr>
                <w:rFonts w:hint="eastAsia" w:ascii="宋体" w:hAnsi="宋体" w:cs="宋体"/>
                <w:bCs/>
                <w:color w:val="auto"/>
                <w:kern w:val="15"/>
                <w:sz w:val="24"/>
                <w:szCs w:val="24"/>
                <w:highlight w:val="none"/>
              </w:rPr>
              <w:t>3.履约保证金交纳后持中标通知书与采购人签订供货合同。</w:t>
            </w:r>
          </w:p>
          <w:p w14:paraId="6ED43368">
            <w:pPr>
              <w:keepNext w:val="0"/>
              <w:keepLines w:val="0"/>
              <w:pageBreakBefore w:val="0"/>
              <w:kinsoku/>
              <w:overflowPunct/>
              <w:topLinePunct w:val="0"/>
              <w:bidi w:val="0"/>
              <w:adjustRightInd w:val="0"/>
              <w:snapToGrid w:val="0"/>
              <w:spacing w:line="312" w:lineRule="auto"/>
              <w:textAlignment w:val="auto"/>
              <w:rPr>
                <w:rFonts w:ascii="宋体" w:hAnsi="宋体" w:cs="宋体"/>
                <w:bCs/>
                <w:color w:val="auto"/>
                <w:kern w:val="15"/>
                <w:sz w:val="24"/>
                <w:szCs w:val="24"/>
                <w:highlight w:val="none"/>
              </w:rPr>
            </w:pPr>
            <w:r>
              <w:rPr>
                <w:rFonts w:hint="eastAsia" w:ascii="宋体" w:hAnsi="宋体" w:cs="宋体"/>
                <w:bCs/>
                <w:color w:val="auto"/>
                <w:kern w:val="15"/>
                <w:sz w:val="24"/>
                <w:szCs w:val="24"/>
                <w:highlight w:val="none"/>
              </w:rPr>
              <w:t>4.履约保证金退还：由采购人根据采购合同约定，待供应商履行完合同约定权利义务事项后退还。</w:t>
            </w:r>
          </w:p>
        </w:tc>
      </w:tr>
      <w:tr w14:paraId="7FB85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8" w:type="pct"/>
            <w:tcBorders>
              <w:top w:val="single" w:color="auto" w:sz="4" w:space="0"/>
              <w:left w:val="single" w:color="auto" w:sz="4" w:space="0"/>
              <w:bottom w:val="single" w:color="auto" w:sz="4" w:space="0"/>
              <w:right w:val="single" w:color="auto" w:sz="4" w:space="0"/>
            </w:tcBorders>
            <w:vAlign w:val="center"/>
          </w:tcPr>
          <w:p w14:paraId="47C32225">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24</w:t>
            </w:r>
          </w:p>
        </w:tc>
        <w:tc>
          <w:tcPr>
            <w:tcW w:w="1057" w:type="pct"/>
            <w:tcBorders>
              <w:top w:val="single" w:color="auto" w:sz="4" w:space="0"/>
              <w:left w:val="single" w:color="auto" w:sz="4" w:space="0"/>
              <w:bottom w:val="single" w:color="auto" w:sz="4" w:space="0"/>
              <w:right w:val="single" w:color="auto" w:sz="4" w:space="0"/>
            </w:tcBorders>
            <w:vAlign w:val="center"/>
          </w:tcPr>
          <w:p w14:paraId="04C5742D">
            <w:pPr>
              <w:keepNext w:val="0"/>
              <w:keepLines w:val="0"/>
              <w:pageBreakBefore w:val="0"/>
              <w:kinsoku/>
              <w:overflowPunct/>
              <w:topLinePunct w:val="0"/>
              <w:bidi w:val="0"/>
              <w:spacing w:line="312" w:lineRule="auto"/>
              <w:jc w:val="center"/>
              <w:textAlignment w:val="auto"/>
              <w:rPr>
                <w:rFonts w:ascii="宋体" w:hAnsi="宋体" w:cs="宋体"/>
                <w:bCs/>
                <w:color w:val="auto"/>
                <w:kern w:val="15"/>
                <w:sz w:val="24"/>
                <w:szCs w:val="24"/>
                <w:highlight w:val="none"/>
              </w:rPr>
            </w:pPr>
            <w:r>
              <w:rPr>
                <w:rFonts w:hint="eastAsia" w:ascii="宋体" w:hAnsi="宋体" w:cs="宋体"/>
                <w:bCs/>
                <w:color w:val="auto"/>
                <w:kern w:val="15"/>
                <w:sz w:val="24"/>
                <w:szCs w:val="24"/>
                <w:highlight w:val="none"/>
              </w:rPr>
              <w:t>合同存档</w:t>
            </w:r>
          </w:p>
        </w:tc>
        <w:tc>
          <w:tcPr>
            <w:tcW w:w="3673" w:type="pct"/>
            <w:tcBorders>
              <w:top w:val="single" w:color="auto" w:sz="4" w:space="0"/>
              <w:left w:val="single" w:color="auto" w:sz="4" w:space="0"/>
              <w:bottom w:val="single" w:color="auto" w:sz="4" w:space="0"/>
              <w:right w:val="single" w:color="auto" w:sz="4" w:space="0"/>
            </w:tcBorders>
            <w:vAlign w:val="center"/>
          </w:tcPr>
          <w:p w14:paraId="19797927">
            <w:pPr>
              <w:keepNext w:val="0"/>
              <w:keepLines w:val="0"/>
              <w:pageBreakBefore w:val="0"/>
              <w:kinsoku/>
              <w:overflowPunct/>
              <w:topLinePunct w:val="0"/>
              <w:bidi w:val="0"/>
              <w:spacing w:line="312" w:lineRule="auto"/>
              <w:jc w:val="both"/>
              <w:textAlignment w:val="auto"/>
              <w:rPr>
                <w:rFonts w:ascii="宋体" w:hAnsi="宋体" w:cs="宋体"/>
                <w:bCs/>
                <w:color w:val="auto"/>
                <w:kern w:val="15"/>
                <w:sz w:val="24"/>
                <w:szCs w:val="24"/>
                <w:highlight w:val="none"/>
              </w:rPr>
            </w:pPr>
            <w:r>
              <w:rPr>
                <w:rFonts w:hint="eastAsia" w:ascii="宋体" w:hAnsi="宋体" w:cs="宋体"/>
                <w:bCs/>
                <w:color w:val="auto"/>
                <w:kern w:val="15"/>
                <w:sz w:val="24"/>
                <w:szCs w:val="24"/>
                <w:highlight w:val="none"/>
              </w:rPr>
              <w:t>中标人与采购人签订合同后</w:t>
            </w:r>
            <w:r>
              <w:rPr>
                <w:rFonts w:hint="eastAsia" w:ascii="宋体" w:hAnsi="宋体" w:cs="宋体"/>
                <w:bCs/>
                <w:color w:val="auto"/>
                <w:kern w:val="15"/>
                <w:sz w:val="24"/>
                <w:szCs w:val="24"/>
                <w:highlight w:val="none"/>
                <w:u w:val="single"/>
              </w:rPr>
              <w:t xml:space="preserve"> 2 </w:t>
            </w:r>
            <w:r>
              <w:rPr>
                <w:rFonts w:hint="eastAsia" w:ascii="宋体" w:hAnsi="宋体" w:cs="宋体"/>
                <w:bCs/>
                <w:color w:val="auto"/>
                <w:kern w:val="15"/>
                <w:sz w:val="24"/>
                <w:szCs w:val="24"/>
                <w:highlight w:val="none"/>
              </w:rPr>
              <w:t>个工作日内将采购合同复印件送至采购代理机构存档。</w:t>
            </w:r>
          </w:p>
        </w:tc>
      </w:tr>
      <w:tr w14:paraId="229B2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8" w:type="pct"/>
            <w:tcBorders>
              <w:top w:val="single" w:color="auto" w:sz="4" w:space="0"/>
              <w:left w:val="single" w:color="auto" w:sz="4" w:space="0"/>
              <w:bottom w:val="single" w:color="auto" w:sz="4" w:space="0"/>
              <w:right w:val="single" w:color="auto" w:sz="4" w:space="0"/>
            </w:tcBorders>
            <w:vAlign w:val="center"/>
          </w:tcPr>
          <w:p w14:paraId="4A3D67A6">
            <w:pPr>
              <w:keepNext w:val="0"/>
              <w:keepLines w:val="0"/>
              <w:pageBreakBefore w:val="0"/>
              <w:widowControl w:val="0"/>
              <w:tabs>
                <w:tab w:val="left" w:pos="420"/>
              </w:tabs>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25</w:t>
            </w:r>
          </w:p>
        </w:tc>
        <w:tc>
          <w:tcPr>
            <w:tcW w:w="1057" w:type="pct"/>
            <w:tcBorders>
              <w:top w:val="single" w:color="auto" w:sz="4" w:space="0"/>
              <w:left w:val="single" w:color="auto" w:sz="4" w:space="0"/>
              <w:bottom w:val="single" w:color="auto" w:sz="4" w:space="0"/>
              <w:right w:val="single" w:color="auto" w:sz="4" w:space="0"/>
            </w:tcBorders>
            <w:vAlign w:val="center"/>
          </w:tcPr>
          <w:p w14:paraId="5109926C">
            <w:pPr>
              <w:keepNext w:val="0"/>
              <w:keepLines w:val="0"/>
              <w:pageBreakBefore w:val="0"/>
              <w:kinsoku/>
              <w:overflowPunct/>
              <w:topLinePunct w:val="0"/>
              <w:bidi w:val="0"/>
              <w:adjustRightInd w:val="0"/>
              <w:snapToGrid w:val="0"/>
              <w:spacing w:before="60" w:beforeLines="25" w:after="60" w:afterLines="25" w:line="312" w:lineRule="auto"/>
              <w:jc w:val="center"/>
              <w:textAlignment w:val="auto"/>
              <w:rPr>
                <w:rFonts w:ascii="宋体" w:hAnsi="宋体" w:cs="宋体"/>
                <w:bCs/>
                <w:color w:val="auto"/>
                <w:kern w:val="15"/>
                <w:sz w:val="24"/>
                <w:szCs w:val="24"/>
                <w:highlight w:val="none"/>
              </w:rPr>
            </w:pPr>
            <w:r>
              <w:rPr>
                <w:rFonts w:hint="eastAsia" w:ascii="宋体" w:hAnsi="宋体" w:cs="宋体"/>
                <w:bCs/>
                <w:color w:val="auto"/>
                <w:kern w:val="15"/>
                <w:sz w:val="24"/>
                <w:szCs w:val="24"/>
                <w:highlight w:val="none"/>
              </w:rPr>
              <w:t>招标代理服务费</w:t>
            </w:r>
          </w:p>
        </w:tc>
        <w:tc>
          <w:tcPr>
            <w:tcW w:w="3673" w:type="pct"/>
            <w:tcBorders>
              <w:top w:val="single" w:color="auto" w:sz="4" w:space="0"/>
              <w:left w:val="single" w:color="auto" w:sz="4" w:space="0"/>
              <w:bottom w:val="single" w:color="auto" w:sz="4" w:space="0"/>
              <w:right w:val="single" w:color="auto" w:sz="4" w:space="0"/>
            </w:tcBorders>
            <w:vAlign w:val="center"/>
          </w:tcPr>
          <w:p w14:paraId="097F176A">
            <w:pPr>
              <w:keepNext w:val="0"/>
              <w:keepLines w:val="0"/>
              <w:pageBreakBefore w:val="0"/>
              <w:kinsoku/>
              <w:overflowPunct/>
              <w:topLinePunct w:val="0"/>
              <w:bidi w:val="0"/>
              <w:spacing w:line="312" w:lineRule="auto"/>
              <w:jc w:val="both"/>
              <w:textAlignment w:val="auto"/>
              <w:rPr>
                <w:rFonts w:ascii="宋体" w:hAnsi="宋体" w:cs="宋体"/>
                <w:b/>
                <w:bCs/>
                <w:color w:val="auto"/>
                <w:sz w:val="24"/>
                <w:szCs w:val="24"/>
                <w:highlight w:val="none"/>
              </w:rPr>
            </w:pPr>
            <w:r>
              <w:rPr>
                <w:rFonts w:hint="eastAsia" w:ascii="宋体" w:hAnsi="宋体" w:cs="宋体"/>
                <w:color w:val="auto"/>
                <w:sz w:val="24"/>
                <w:szCs w:val="24"/>
                <w:highlight w:val="none"/>
              </w:rPr>
              <w:t>参照《国家发改委办公厅关于招标代理服务费收费有关问题的通知》（发改办价格[2003]857号）和国家发展计划委员会计价价格[2002]1980号文件，执行《国家发展改革委关于进一步放开建设项目专业服务价格的通知》（发改价格〔2015〕299号）的取费标准向中标人收取招标代理服务费。</w:t>
            </w:r>
          </w:p>
        </w:tc>
      </w:tr>
      <w:tr w14:paraId="5316E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8" w:type="pct"/>
            <w:tcBorders>
              <w:top w:val="single" w:color="auto" w:sz="4" w:space="0"/>
              <w:left w:val="single" w:color="auto" w:sz="4" w:space="0"/>
              <w:bottom w:val="single" w:color="auto" w:sz="4" w:space="0"/>
              <w:right w:val="single" w:color="auto" w:sz="4" w:space="0"/>
            </w:tcBorders>
            <w:vAlign w:val="center"/>
          </w:tcPr>
          <w:p w14:paraId="3F503C94">
            <w:pPr>
              <w:keepNext w:val="0"/>
              <w:keepLines w:val="0"/>
              <w:pageBreakBefore w:val="0"/>
              <w:widowControl w:val="0"/>
              <w:tabs>
                <w:tab w:val="left" w:pos="420"/>
              </w:tabs>
              <w:kinsoku/>
              <w:overflowPunct/>
              <w:topLinePunct w:val="0"/>
              <w:bidi w:val="0"/>
              <w:spacing w:line="312"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26</w:t>
            </w:r>
          </w:p>
        </w:tc>
        <w:tc>
          <w:tcPr>
            <w:tcW w:w="1057" w:type="pct"/>
            <w:tcBorders>
              <w:top w:val="single" w:color="auto" w:sz="4" w:space="0"/>
              <w:left w:val="single" w:color="auto" w:sz="4" w:space="0"/>
              <w:bottom w:val="single" w:color="auto" w:sz="4" w:space="0"/>
              <w:right w:val="single" w:color="auto" w:sz="4" w:space="0"/>
            </w:tcBorders>
            <w:vAlign w:val="center"/>
          </w:tcPr>
          <w:p w14:paraId="4B376187">
            <w:pPr>
              <w:keepNext w:val="0"/>
              <w:keepLines w:val="0"/>
              <w:pageBreakBefore w:val="0"/>
              <w:kinsoku/>
              <w:overflowPunct/>
              <w:topLinePunct w:val="0"/>
              <w:bidi w:val="0"/>
              <w:adjustRightInd w:val="0"/>
              <w:snapToGrid w:val="0"/>
              <w:spacing w:before="60" w:beforeLines="25" w:after="60" w:afterLines="25" w:line="312" w:lineRule="auto"/>
              <w:jc w:val="center"/>
              <w:textAlignment w:val="auto"/>
              <w:rPr>
                <w:rFonts w:hint="eastAsia" w:ascii="宋体" w:hAnsi="宋体" w:cs="宋体"/>
                <w:bCs/>
                <w:color w:val="auto"/>
                <w:kern w:val="15"/>
                <w:sz w:val="24"/>
                <w:szCs w:val="24"/>
                <w:highlight w:val="none"/>
              </w:rPr>
            </w:pPr>
            <w:r>
              <w:rPr>
                <w:rFonts w:hint="eastAsia" w:ascii="宋体" w:hAnsi="宋体" w:cs="宋体"/>
                <w:bCs/>
                <w:color w:val="auto"/>
                <w:kern w:val="15"/>
                <w:sz w:val="24"/>
                <w:szCs w:val="24"/>
                <w:highlight w:val="none"/>
                <w:lang w:val="zh-CN"/>
              </w:rPr>
              <w:t>交货方式</w:t>
            </w:r>
          </w:p>
        </w:tc>
        <w:tc>
          <w:tcPr>
            <w:tcW w:w="3673" w:type="pct"/>
            <w:tcBorders>
              <w:top w:val="single" w:color="auto" w:sz="4" w:space="0"/>
              <w:left w:val="single" w:color="auto" w:sz="4" w:space="0"/>
              <w:bottom w:val="single" w:color="auto" w:sz="4" w:space="0"/>
              <w:right w:val="single" w:color="auto" w:sz="4" w:space="0"/>
            </w:tcBorders>
            <w:vAlign w:val="center"/>
          </w:tcPr>
          <w:p w14:paraId="30943EEB">
            <w:pPr>
              <w:keepNext w:val="0"/>
              <w:keepLines w:val="0"/>
              <w:pageBreakBefore w:val="0"/>
              <w:kinsoku/>
              <w:overflowPunct/>
              <w:topLinePunct w:val="0"/>
              <w:bidi w:val="0"/>
              <w:spacing w:line="312" w:lineRule="auto"/>
              <w:jc w:val="both"/>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t>中标人负责将货物安全完好运抵交货地点、安装调试并保证验收合格。</w:t>
            </w:r>
          </w:p>
        </w:tc>
      </w:tr>
      <w:tr w14:paraId="3A9D9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9C0BBCA">
            <w:pPr>
              <w:keepNext w:val="0"/>
              <w:keepLines w:val="0"/>
              <w:pageBreakBefore w:val="0"/>
              <w:widowControl w:val="0"/>
              <w:tabs>
                <w:tab w:val="left" w:pos="420"/>
              </w:tabs>
              <w:kinsoku/>
              <w:overflowPunct/>
              <w:topLinePunct w:val="0"/>
              <w:bidi w:val="0"/>
              <w:spacing w:line="312"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27</w:t>
            </w:r>
          </w:p>
        </w:tc>
        <w:tc>
          <w:tcPr>
            <w:tcW w:w="1057" w:type="pct"/>
            <w:tcBorders>
              <w:top w:val="single" w:color="auto" w:sz="4" w:space="0"/>
              <w:left w:val="single" w:color="auto" w:sz="4" w:space="0"/>
              <w:bottom w:val="single" w:color="auto" w:sz="4" w:space="0"/>
              <w:right w:val="single" w:color="auto" w:sz="4" w:space="0"/>
            </w:tcBorders>
            <w:shd w:val="clear" w:color="auto" w:fill="auto"/>
            <w:vAlign w:val="center"/>
          </w:tcPr>
          <w:p w14:paraId="56AC8680">
            <w:pPr>
              <w:keepNext w:val="0"/>
              <w:keepLines w:val="0"/>
              <w:pageBreakBefore w:val="0"/>
              <w:kinsoku/>
              <w:overflowPunct/>
              <w:topLinePunct w:val="0"/>
              <w:bidi w:val="0"/>
              <w:adjustRightInd w:val="0"/>
              <w:snapToGrid w:val="0"/>
              <w:spacing w:before="60" w:beforeLines="25" w:after="60" w:afterLines="25" w:line="312" w:lineRule="auto"/>
              <w:jc w:val="center"/>
              <w:textAlignment w:val="auto"/>
              <w:rPr>
                <w:rFonts w:hint="eastAsia" w:ascii="宋体" w:hAnsi="宋体" w:eastAsia="宋体" w:cs="宋体"/>
                <w:bCs/>
                <w:color w:val="auto"/>
                <w:kern w:val="15"/>
                <w:sz w:val="24"/>
                <w:szCs w:val="24"/>
                <w:highlight w:val="none"/>
                <w:lang w:val="zh-CN" w:eastAsia="zh-CN" w:bidi="ar-SA"/>
              </w:rPr>
            </w:pPr>
            <w:r>
              <w:rPr>
                <w:rFonts w:hint="eastAsia" w:ascii="宋体" w:hAnsi="宋体" w:eastAsia="宋体" w:cs="宋体"/>
                <w:color w:val="auto"/>
                <w:sz w:val="24"/>
                <w:szCs w:val="24"/>
                <w:highlight w:val="none"/>
              </w:rPr>
              <w:t>解密方式</w:t>
            </w:r>
          </w:p>
        </w:tc>
        <w:tc>
          <w:tcPr>
            <w:tcW w:w="3673" w:type="pct"/>
            <w:tcBorders>
              <w:top w:val="single" w:color="auto" w:sz="4" w:space="0"/>
              <w:left w:val="single" w:color="auto" w:sz="4" w:space="0"/>
              <w:bottom w:val="single" w:color="auto" w:sz="4" w:space="0"/>
              <w:right w:val="single" w:color="auto" w:sz="4" w:space="0"/>
            </w:tcBorders>
            <w:shd w:val="clear" w:color="auto" w:fill="auto"/>
            <w:vAlign w:val="center"/>
          </w:tcPr>
          <w:p w14:paraId="0672BD0E">
            <w:pPr>
              <w:keepNext w:val="0"/>
              <w:keepLines w:val="0"/>
              <w:pageBreakBefore w:val="0"/>
              <w:kinsoku/>
              <w:overflowPunct/>
              <w:topLinePunct w:val="0"/>
              <w:bidi w:val="0"/>
              <w:spacing w:line="312"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（1）本项目采用全流程电子化招投标，开标方式为远程开标，并按照现场工作人员通知使用CA锁进行投标文件远程解密。</w:t>
            </w:r>
          </w:p>
          <w:p w14:paraId="05DD5A42">
            <w:pPr>
              <w:keepNext w:val="0"/>
              <w:keepLines w:val="0"/>
              <w:pageBreakBefore w:val="0"/>
              <w:kinsoku/>
              <w:overflowPunct/>
              <w:topLinePunct w:val="0"/>
              <w:bidi w:val="0"/>
              <w:spacing w:line="312"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提交方式：本项目为全流程电子化项目，通过“政采云”平台（http：//www.zcygov.cn）实行在线电子投标，投标人应先安装“政采云投标客户端”（请自行前往“政采云”平台进行下载），并按照本项目招标文件和“政采云”平台的要求编制、加密后在提交投标文件截止时间前通过网络将电子投标文件上传至“政采云”平台（http：//www.zcygov.cn），投标人在“政采云”平台（http：//www.zcygov.cn）提交电子投标文件时，请填写参加采购活动经办人联系方式。</w:t>
            </w:r>
          </w:p>
          <w:p w14:paraId="7BA160F8">
            <w:pPr>
              <w:keepNext w:val="0"/>
              <w:keepLines w:val="0"/>
              <w:pageBreakBefore w:val="0"/>
              <w:kinsoku/>
              <w:overflowPunct/>
              <w:topLinePunct w:val="0"/>
              <w:bidi w:val="0"/>
              <w:spacing w:line="312"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解密期限及方式：开标时间后30分钟内，由投标人持制作该电子投标文件的同一数字证书（CA锁）及电脑进行远程解密（各投标人开标前及网上开评标系统公布投标人名单前，不要提前进行远程解密；当采购代理机构开启解密程序后，各投标人再进行解密）。</w:t>
            </w:r>
          </w:p>
          <w:p w14:paraId="181E93B0">
            <w:pPr>
              <w:keepNext w:val="0"/>
              <w:keepLines w:val="0"/>
              <w:pageBreakBefore w:val="0"/>
              <w:kinsoku/>
              <w:overflowPunct/>
              <w:topLinePunct w:val="0"/>
              <w:bidi w:val="0"/>
              <w:spacing w:line="312" w:lineRule="auto"/>
              <w:jc w:val="both"/>
              <w:textAlignment w:val="auto"/>
              <w:rPr>
                <w:rFonts w:hint="eastAsia" w:ascii="宋体" w:hAnsi="宋体" w:eastAsia="宋体" w:cs="宋体"/>
                <w:bCs/>
                <w:color w:val="auto"/>
                <w:sz w:val="24"/>
                <w:szCs w:val="24"/>
                <w:highlight w:val="none"/>
                <w:lang w:val="zh-CN" w:eastAsia="zh-CN" w:bidi="ar-SA"/>
              </w:rPr>
            </w:pPr>
            <w:r>
              <w:rPr>
                <w:rFonts w:hint="eastAsia" w:ascii="宋体" w:hAnsi="宋体" w:eastAsia="宋体" w:cs="宋体"/>
                <w:color w:val="auto"/>
                <w:sz w:val="24"/>
                <w:szCs w:val="24"/>
                <w:highlight w:val="none"/>
              </w:rPr>
              <w:t>（4）投标文件解密截止时间后，“政采云”平台（http：//www.zcygov.cn）公布投标报价信息，投标人持企业数字证书登录“政采云”平台在线查询投标报价信息。因投标投标人自身原因未能按时完成解密的，视为逾期未提交投标文件，其投标无效。</w:t>
            </w:r>
          </w:p>
        </w:tc>
      </w:tr>
      <w:tr w14:paraId="3C613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E50C939">
            <w:pPr>
              <w:keepNext w:val="0"/>
              <w:keepLines w:val="0"/>
              <w:pageBreakBefore w:val="0"/>
              <w:kinsoku/>
              <w:overflowPunct/>
              <w:topLinePunct w:val="0"/>
              <w:bidi w:val="0"/>
              <w:spacing w:line="312" w:lineRule="auto"/>
              <w:jc w:val="center"/>
              <w:textAlignment w:val="auto"/>
              <w:rPr>
                <w:rFonts w:ascii="宋体" w:hAnsi="宋体" w:cs="宋体"/>
                <w:color w:val="auto"/>
                <w:sz w:val="24"/>
                <w:szCs w:val="24"/>
                <w:highlight w:val="none"/>
              </w:rPr>
            </w:pPr>
            <w:r>
              <w:rPr>
                <w:rFonts w:hint="eastAsia" w:ascii="宋体" w:hAnsi="宋体" w:cs="宋体"/>
                <w:bCs/>
                <w:color w:val="auto"/>
                <w:kern w:val="15"/>
                <w:sz w:val="24"/>
                <w:szCs w:val="24"/>
                <w:highlight w:val="none"/>
              </w:rPr>
              <w:t>本项目招标公告与招标文件中内容有不符之处，以本招标文件中内容为准。</w:t>
            </w:r>
          </w:p>
        </w:tc>
      </w:tr>
    </w:tbl>
    <w:p w14:paraId="3E995222">
      <w:pPr>
        <w:spacing w:line="288" w:lineRule="auto"/>
        <w:rPr>
          <w:rFonts w:ascii="宋体" w:hAnsi="宋体" w:cs="宋体"/>
          <w:color w:val="auto"/>
          <w:sz w:val="24"/>
          <w:szCs w:val="24"/>
          <w:highlight w:val="none"/>
        </w:rPr>
      </w:pPr>
    </w:p>
    <w:p w14:paraId="57D8D39A">
      <w:pPr>
        <w:spacing w:line="288" w:lineRule="auto"/>
        <w:rPr>
          <w:rFonts w:ascii="宋体" w:hAnsi="宋体" w:cs="宋体"/>
          <w:b/>
          <w:color w:val="auto"/>
          <w:kern w:val="2"/>
          <w:sz w:val="24"/>
          <w:szCs w:val="24"/>
          <w:highlight w:val="none"/>
        </w:rPr>
      </w:pPr>
      <w:r>
        <w:rPr>
          <w:rFonts w:hint="eastAsia" w:ascii="宋体" w:hAnsi="宋体" w:cs="宋体"/>
          <w:color w:val="auto"/>
          <w:sz w:val="24"/>
          <w:szCs w:val="24"/>
          <w:highlight w:val="none"/>
        </w:rPr>
        <w:br w:type="page"/>
      </w:r>
    </w:p>
    <w:p w14:paraId="2368EC80">
      <w:pPr>
        <w:pStyle w:val="9"/>
        <w:spacing w:line="288" w:lineRule="auto"/>
        <w:rPr>
          <w:rFonts w:ascii="宋体" w:hAnsi="宋体" w:cs="宋体"/>
          <w:color w:val="auto"/>
          <w:szCs w:val="24"/>
          <w:highlight w:val="none"/>
        </w:rPr>
      </w:pPr>
      <w:r>
        <w:rPr>
          <w:rFonts w:hint="eastAsia" w:ascii="宋体" w:hAnsi="宋体" w:cs="宋体"/>
          <w:color w:val="auto"/>
          <w:szCs w:val="24"/>
          <w:highlight w:val="none"/>
        </w:rPr>
        <w:t>二、供应商须知</w:t>
      </w:r>
      <w:bookmarkEnd w:id="0"/>
    </w:p>
    <w:p w14:paraId="6FC31D66">
      <w:pPr>
        <w:pStyle w:val="3"/>
        <w:spacing w:before="0" w:after="0" w:line="288" w:lineRule="auto"/>
        <w:jc w:val="center"/>
        <w:rPr>
          <w:rFonts w:ascii="宋体" w:hAnsi="宋体" w:eastAsia="宋体" w:cs="宋体"/>
          <w:color w:val="auto"/>
          <w:sz w:val="24"/>
          <w:szCs w:val="24"/>
          <w:highlight w:val="none"/>
        </w:rPr>
      </w:pPr>
      <w:bookmarkStart w:id="20" w:name="_Toc98580391"/>
      <w:r>
        <w:rPr>
          <w:rFonts w:hint="eastAsia" w:ascii="宋体" w:hAnsi="宋体" w:eastAsia="宋体" w:cs="宋体"/>
          <w:color w:val="auto"/>
          <w:sz w:val="24"/>
          <w:szCs w:val="24"/>
          <w:highlight w:val="none"/>
        </w:rPr>
        <w:t>A 说明</w:t>
      </w:r>
      <w:bookmarkEnd w:id="20"/>
    </w:p>
    <w:p w14:paraId="6ACF9C20">
      <w:pPr>
        <w:pStyle w:val="4"/>
        <w:spacing w:before="0" w:after="0" w:line="288" w:lineRule="auto"/>
        <w:rPr>
          <w:rFonts w:ascii="宋体" w:hAnsi="宋体" w:cs="宋体"/>
          <w:b w:val="0"/>
          <w:color w:val="auto"/>
          <w:spacing w:val="6"/>
          <w:sz w:val="24"/>
          <w:szCs w:val="24"/>
          <w:highlight w:val="none"/>
        </w:rPr>
      </w:pPr>
      <w:bookmarkStart w:id="21" w:name="_Toc98580392"/>
      <w:r>
        <w:rPr>
          <w:rFonts w:hint="eastAsia" w:ascii="宋体" w:hAnsi="宋体" w:cs="宋体"/>
          <w:color w:val="auto"/>
          <w:sz w:val="24"/>
          <w:szCs w:val="24"/>
          <w:highlight w:val="none"/>
        </w:rPr>
        <w:t>1.适用范围</w:t>
      </w:r>
      <w:bookmarkEnd w:id="21"/>
    </w:p>
    <w:p w14:paraId="29A245B9">
      <w:pPr>
        <w:spacing w:line="288" w:lineRule="auto"/>
        <w:ind w:firstLine="567"/>
        <w:jc w:val="both"/>
        <w:rPr>
          <w:rFonts w:ascii="宋体" w:hAnsi="宋体" w:cs="宋体"/>
          <w:color w:val="auto"/>
          <w:sz w:val="24"/>
          <w:szCs w:val="24"/>
          <w:highlight w:val="none"/>
        </w:rPr>
      </w:pPr>
      <w:r>
        <w:rPr>
          <w:rFonts w:hint="eastAsia" w:ascii="宋体" w:hAnsi="宋体" w:cs="宋体"/>
          <w:color w:val="auto"/>
          <w:sz w:val="24"/>
          <w:szCs w:val="24"/>
          <w:highlight w:val="none"/>
        </w:rPr>
        <w:t>本文件是受</w:t>
      </w:r>
      <w:r>
        <w:rPr>
          <w:rFonts w:hint="eastAsia" w:ascii="宋体" w:hAnsi="宋体" w:cs="宋体"/>
          <w:color w:val="auto"/>
          <w:spacing w:val="6"/>
          <w:sz w:val="24"/>
          <w:szCs w:val="24"/>
          <w:highlight w:val="none"/>
        </w:rPr>
        <w:t>采购人</w:t>
      </w:r>
      <w:r>
        <w:rPr>
          <w:rFonts w:hint="eastAsia" w:ascii="宋体" w:hAnsi="宋体" w:cs="宋体"/>
          <w:color w:val="auto"/>
          <w:sz w:val="24"/>
          <w:szCs w:val="24"/>
          <w:highlight w:val="none"/>
        </w:rPr>
        <w:t>委托</w:t>
      </w:r>
      <w:r>
        <w:rPr>
          <w:rFonts w:hint="eastAsia" w:ascii="宋体" w:hAnsi="宋体" w:cs="宋体"/>
          <w:color w:val="auto"/>
          <w:spacing w:val="6"/>
          <w:sz w:val="24"/>
          <w:szCs w:val="24"/>
          <w:highlight w:val="none"/>
        </w:rPr>
        <w:t>，对采购人</w:t>
      </w:r>
      <w:r>
        <w:rPr>
          <w:rFonts w:hint="eastAsia" w:ascii="宋体" w:hAnsi="宋体" w:cs="宋体"/>
          <w:color w:val="auto"/>
          <w:sz w:val="24"/>
          <w:szCs w:val="24"/>
          <w:highlight w:val="none"/>
        </w:rPr>
        <w:t>委托</w:t>
      </w:r>
      <w:r>
        <w:rPr>
          <w:rFonts w:hint="eastAsia" w:ascii="宋体" w:hAnsi="宋体" w:cs="宋体"/>
          <w:bCs/>
          <w:color w:val="auto"/>
          <w:sz w:val="24"/>
          <w:szCs w:val="24"/>
          <w:highlight w:val="none"/>
          <w:lang w:val="zh-CN"/>
        </w:rPr>
        <w:t>采购项目</w:t>
      </w:r>
      <w:r>
        <w:rPr>
          <w:rFonts w:hint="eastAsia" w:ascii="宋体" w:hAnsi="宋体" w:cs="宋体"/>
          <w:color w:val="auto"/>
          <w:spacing w:val="6"/>
          <w:sz w:val="24"/>
          <w:szCs w:val="24"/>
          <w:highlight w:val="none"/>
        </w:rPr>
        <w:t>的规范性招标</w:t>
      </w:r>
      <w:r>
        <w:rPr>
          <w:rFonts w:hint="eastAsia" w:ascii="宋体" w:hAnsi="宋体" w:cs="宋体"/>
          <w:color w:val="auto"/>
          <w:sz w:val="24"/>
          <w:szCs w:val="24"/>
          <w:highlight w:val="none"/>
        </w:rPr>
        <w:t>文件，适用于本项目招标公告所述的标的采购及服务，是供应商编制投标文件的依据。</w:t>
      </w:r>
    </w:p>
    <w:p w14:paraId="1AA07FE2">
      <w:pPr>
        <w:pStyle w:val="4"/>
        <w:spacing w:before="0" w:after="0" w:line="288" w:lineRule="auto"/>
        <w:rPr>
          <w:rFonts w:ascii="宋体" w:hAnsi="宋体" w:cs="宋体"/>
          <w:color w:val="auto"/>
          <w:sz w:val="24"/>
          <w:szCs w:val="24"/>
          <w:highlight w:val="none"/>
        </w:rPr>
      </w:pPr>
      <w:bookmarkStart w:id="22" w:name="_Toc98580393"/>
      <w:r>
        <w:rPr>
          <w:rFonts w:hint="eastAsia" w:ascii="宋体" w:hAnsi="宋体" w:cs="宋体"/>
          <w:color w:val="auto"/>
          <w:sz w:val="24"/>
          <w:szCs w:val="24"/>
          <w:highlight w:val="none"/>
        </w:rPr>
        <w:t>2.法律适用</w:t>
      </w:r>
      <w:bookmarkEnd w:id="22"/>
    </w:p>
    <w:p w14:paraId="26056CA1">
      <w:pPr>
        <w:spacing w:line="288" w:lineRule="auto"/>
        <w:ind w:firstLine="567"/>
        <w:jc w:val="both"/>
        <w:rPr>
          <w:rFonts w:ascii="宋体" w:hAnsi="宋体" w:cs="宋体"/>
          <w:color w:val="auto"/>
          <w:sz w:val="24"/>
          <w:szCs w:val="24"/>
          <w:highlight w:val="none"/>
        </w:rPr>
      </w:pPr>
      <w:r>
        <w:rPr>
          <w:rFonts w:hint="eastAsia" w:ascii="宋体" w:hAnsi="宋体" w:cs="宋体"/>
          <w:color w:val="auto"/>
          <w:sz w:val="24"/>
          <w:szCs w:val="24"/>
          <w:highlight w:val="none"/>
        </w:rPr>
        <w:t>本招标文件及由本次招标产生的合同适用中华人民共和国法律。</w:t>
      </w:r>
    </w:p>
    <w:p w14:paraId="300B69EC">
      <w:pPr>
        <w:pStyle w:val="4"/>
        <w:spacing w:before="0" w:after="0" w:line="288" w:lineRule="auto"/>
        <w:rPr>
          <w:rFonts w:ascii="宋体" w:hAnsi="宋体" w:cs="宋体"/>
          <w:color w:val="auto"/>
          <w:sz w:val="24"/>
          <w:szCs w:val="24"/>
          <w:highlight w:val="none"/>
        </w:rPr>
      </w:pPr>
      <w:bookmarkStart w:id="23" w:name="_Toc98580394"/>
      <w:r>
        <w:rPr>
          <w:rFonts w:hint="eastAsia" w:ascii="宋体" w:hAnsi="宋体" w:cs="宋体"/>
          <w:color w:val="auto"/>
          <w:sz w:val="24"/>
          <w:szCs w:val="24"/>
          <w:highlight w:val="none"/>
        </w:rPr>
        <w:t>3.定义</w:t>
      </w:r>
      <w:bookmarkEnd w:id="23"/>
    </w:p>
    <w:p w14:paraId="126CB003">
      <w:pPr>
        <w:spacing w:line="288" w:lineRule="auto"/>
        <w:ind w:firstLine="351"/>
        <w:jc w:val="both"/>
        <w:rPr>
          <w:rFonts w:ascii="宋体" w:hAnsi="宋体" w:cs="宋体"/>
          <w:color w:val="auto"/>
          <w:sz w:val="24"/>
          <w:szCs w:val="24"/>
          <w:highlight w:val="none"/>
        </w:rPr>
      </w:pPr>
      <w:r>
        <w:rPr>
          <w:rFonts w:hint="eastAsia" w:ascii="宋体" w:hAnsi="宋体" w:cs="宋体"/>
          <w:color w:val="auto"/>
          <w:sz w:val="24"/>
          <w:szCs w:val="24"/>
          <w:highlight w:val="none"/>
        </w:rPr>
        <w:t>“招标机构”系指组织本次招标的代理机构；</w:t>
      </w:r>
    </w:p>
    <w:p w14:paraId="51E20880">
      <w:pPr>
        <w:spacing w:line="288" w:lineRule="auto"/>
        <w:ind w:firstLine="351"/>
        <w:jc w:val="both"/>
        <w:rPr>
          <w:rFonts w:ascii="宋体" w:hAnsi="宋体" w:cs="宋体"/>
          <w:color w:val="auto"/>
          <w:sz w:val="24"/>
          <w:szCs w:val="24"/>
          <w:highlight w:val="none"/>
        </w:rPr>
      </w:pPr>
      <w:r>
        <w:rPr>
          <w:rFonts w:hint="eastAsia" w:ascii="宋体" w:hAnsi="宋体" w:cs="宋体"/>
          <w:color w:val="auto"/>
          <w:sz w:val="24"/>
          <w:szCs w:val="24"/>
          <w:highlight w:val="none"/>
        </w:rPr>
        <w:t>“供应商”系指向招标机构提交投标文件的投标商；</w:t>
      </w:r>
    </w:p>
    <w:p w14:paraId="70E74411">
      <w:pPr>
        <w:spacing w:line="288" w:lineRule="auto"/>
        <w:ind w:firstLine="351"/>
        <w:jc w:val="both"/>
        <w:rPr>
          <w:rFonts w:ascii="宋体" w:hAnsi="宋体" w:cs="宋体"/>
          <w:color w:val="auto"/>
          <w:sz w:val="24"/>
          <w:szCs w:val="24"/>
          <w:highlight w:val="none"/>
        </w:rPr>
      </w:pPr>
      <w:r>
        <w:rPr>
          <w:rFonts w:hint="eastAsia" w:ascii="宋体" w:hAnsi="宋体" w:cs="宋体"/>
          <w:color w:val="auto"/>
          <w:sz w:val="24"/>
          <w:szCs w:val="24"/>
          <w:highlight w:val="none"/>
        </w:rPr>
        <w:t>“买方”系指采购人，合同一方当事人；</w:t>
      </w:r>
    </w:p>
    <w:p w14:paraId="47F59ED5">
      <w:pPr>
        <w:spacing w:line="288" w:lineRule="auto"/>
        <w:ind w:firstLine="351"/>
        <w:jc w:val="both"/>
        <w:rPr>
          <w:rFonts w:ascii="宋体" w:hAnsi="宋体" w:cs="宋体"/>
          <w:color w:val="auto"/>
          <w:sz w:val="24"/>
          <w:szCs w:val="24"/>
          <w:highlight w:val="none"/>
        </w:rPr>
      </w:pPr>
      <w:r>
        <w:rPr>
          <w:rFonts w:hint="eastAsia" w:ascii="宋体" w:hAnsi="宋体" w:cs="宋体"/>
          <w:color w:val="auto"/>
          <w:sz w:val="24"/>
          <w:szCs w:val="24"/>
          <w:highlight w:val="none"/>
        </w:rPr>
        <w:t>“服务”系指招标文件规定须完成的服务和其他的类似义务；</w:t>
      </w:r>
    </w:p>
    <w:p w14:paraId="1D3EB836">
      <w:pPr>
        <w:spacing w:line="288" w:lineRule="auto"/>
        <w:ind w:firstLine="351"/>
        <w:jc w:val="both"/>
        <w:rPr>
          <w:rFonts w:ascii="宋体" w:hAnsi="宋体" w:cs="宋体"/>
          <w:color w:val="auto"/>
          <w:sz w:val="24"/>
          <w:szCs w:val="24"/>
          <w:highlight w:val="none"/>
        </w:rPr>
      </w:pPr>
      <w:r>
        <w:rPr>
          <w:rFonts w:hint="eastAsia" w:ascii="宋体" w:hAnsi="宋体" w:cs="宋体"/>
          <w:color w:val="auto"/>
          <w:sz w:val="24"/>
          <w:szCs w:val="24"/>
          <w:highlight w:val="none"/>
        </w:rPr>
        <w:t>“日”、“天”系指日历日；</w:t>
      </w:r>
    </w:p>
    <w:p w14:paraId="6C08CC69">
      <w:pPr>
        <w:pStyle w:val="122"/>
        <w:spacing w:before="0" w:beforeAutospacing="0" w:after="0" w:afterAutospacing="0" w:line="288" w:lineRule="auto"/>
        <w:ind w:firstLine="240"/>
        <w:rPr>
          <w:rFonts w:cs="宋体"/>
          <w:color w:val="auto"/>
          <w:highlight w:val="none"/>
        </w:rPr>
      </w:pPr>
      <w:r>
        <w:rPr>
          <w:rFonts w:hint="eastAsia" w:cs="宋体"/>
          <w:color w:val="auto"/>
          <w:highlight w:val="none"/>
        </w:rPr>
        <w:t xml:space="preserve"> “合同”是买方与中标人共同以招标文件、投标文件为依据，经过协商签订的具备法律效力的文件。招标文件、投标文件及其共同确定的补充文件是合同的有效组成部分，与合同具备同等的法律效力。</w:t>
      </w:r>
    </w:p>
    <w:p w14:paraId="78C87101">
      <w:pPr>
        <w:pStyle w:val="4"/>
        <w:spacing w:before="0" w:after="0" w:line="288" w:lineRule="auto"/>
        <w:rPr>
          <w:rFonts w:ascii="宋体" w:hAnsi="宋体" w:cs="宋体"/>
          <w:color w:val="auto"/>
          <w:sz w:val="24"/>
          <w:szCs w:val="24"/>
          <w:highlight w:val="none"/>
        </w:rPr>
      </w:pPr>
      <w:bookmarkStart w:id="24" w:name="_Toc98580395"/>
      <w:r>
        <w:rPr>
          <w:rFonts w:hint="eastAsia" w:ascii="宋体" w:hAnsi="宋体" w:cs="宋体"/>
          <w:color w:val="auto"/>
          <w:sz w:val="24"/>
          <w:szCs w:val="24"/>
          <w:highlight w:val="none"/>
        </w:rPr>
        <w:t>4.合格的供应商</w:t>
      </w:r>
      <w:bookmarkEnd w:id="24"/>
    </w:p>
    <w:p w14:paraId="73F074D9">
      <w:pPr>
        <w:spacing w:line="288"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4.1合格供应商必须符合供应商须知前附表第10项下各项要求；</w:t>
      </w:r>
    </w:p>
    <w:p w14:paraId="2C00C654">
      <w:pPr>
        <w:spacing w:line="288"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4.2供应商应仔细阅读招标文件的所有内容，按招标文件的要求提供投标文件，并保证所提供的全部资料的真实性，使其投标对招标文件做出实质性响应，否则，其投标将被拒绝。招标机构保留进一步要求供应商补充提供有关材料的权利，拒绝补充材料或提供材料不真实，将被视为自动放弃投标资格。</w:t>
      </w:r>
    </w:p>
    <w:p w14:paraId="41D93C69">
      <w:pPr>
        <w:spacing w:line="288" w:lineRule="auto"/>
        <w:jc w:val="both"/>
        <w:rPr>
          <w:rFonts w:ascii="宋体" w:hAnsi="宋体" w:cs="宋体"/>
          <w:b/>
          <w:color w:val="auto"/>
          <w:sz w:val="24"/>
          <w:szCs w:val="24"/>
          <w:highlight w:val="none"/>
        </w:rPr>
      </w:pPr>
      <w:bookmarkStart w:id="25" w:name="_Toc98580402"/>
      <w:r>
        <w:rPr>
          <w:rFonts w:hint="eastAsia" w:ascii="宋体" w:hAnsi="宋体" w:cs="宋体"/>
          <w:b/>
          <w:color w:val="auto"/>
          <w:sz w:val="24"/>
          <w:szCs w:val="24"/>
          <w:highlight w:val="none"/>
        </w:rPr>
        <w:t>5．投标费用</w:t>
      </w:r>
    </w:p>
    <w:p w14:paraId="60B72FF9">
      <w:pPr>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供应商应承担其在投标准备、编制、递交投标文件和签订合同协议书的整个过程中发生的一切费用而不论其投标结果如何。</w:t>
      </w:r>
    </w:p>
    <w:p w14:paraId="59FC536B">
      <w:pPr>
        <w:pStyle w:val="3"/>
        <w:spacing w:before="0" w:after="0" w:line="288" w:lineRule="auto"/>
        <w:jc w:val="center"/>
        <w:rPr>
          <w:rFonts w:ascii="宋体" w:hAnsi="宋体" w:eastAsia="宋体" w:cs="宋体"/>
          <w:color w:val="auto"/>
          <w:sz w:val="24"/>
          <w:szCs w:val="24"/>
          <w:highlight w:val="none"/>
        </w:rPr>
      </w:pPr>
      <w:bookmarkStart w:id="26" w:name="_Toc98580396"/>
      <w:r>
        <w:rPr>
          <w:rFonts w:hint="eastAsia" w:ascii="宋体" w:hAnsi="宋体" w:eastAsia="宋体" w:cs="宋体"/>
          <w:color w:val="auto"/>
          <w:sz w:val="24"/>
          <w:szCs w:val="24"/>
          <w:highlight w:val="none"/>
        </w:rPr>
        <w:t>B.招标文件说明</w:t>
      </w:r>
      <w:bookmarkEnd w:id="26"/>
    </w:p>
    <w:p w14:paraId="483857DB">
      <w:pPr>
        <w:pStyle w:val="4"/>
        <w:spacing w:before="0" w:after="0" w:line="288" w:lineRule="auto"/>
        <w:rPr>
          <w:rFonts w:ascii="宋体" w:hAnsi="宋体" w:cs="宋体"/>
          <w:color w:val="auto"/>
          <w:sz w:val="24"/>
          <w:szCs w:val="24"/>
          <w:highlight w:val="none"/>
        </w:rPr>
      </w:pPr>
      <w:bookmarkStart w:id="27" w:name="_Toc98580397"/>
      <w:r>
        <w:rPr>
          <w:rFonts w:hint="eastAsia" w:ascii="宋体" w:hAnsi="宋体" w:cs="宋体"/>
          <w:color w:val="auto"/>
          <w:sz w:val="24"/>
          <w:szCs w:val="24"/>
          <w:highlight w:val="none"/>
        </w:rPr>
        <w:t>6.招标文件</w:t>
      </w:r>
      <w:bookmarkEnd w:id="27"/>
    </w:p>
    <w:p w14:paraId="013C4A12">
      <w:pPr>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招标文件用以阐明所需货物及服务、招标投标程序和投标文件格式。招标文件由以下部分组成：</w:t>
      </w:r>
    </w:p>
    <w:p w14:paraId="73855D2F">
      <w:pPr>
        <w:spacing w:line="288" w:lineRule="auto"/>
        <w:ind w:firstLine="709"/>
        <w:jc w:val="both"/>
        <w:rPr>
          <w:rFonts w:ascii="宋体" w:hAnsi="宋体" w:cs="宋体"/>
          <w:color w:val="auto"/>
          <w:sz w:val="24"/>
          <w:szCs w:val="24"/>
          <w:highlight w:val="none"/>
        </w:rPr>
      </w:pPr>
      <w:bookmarkStart w:id="28" w:name="_Toc98580398"/>
      <w:r>
        <w:rPr>
          <w:rFonts w:hint="eastAsia" w:ascii="宋体" w:hAnsi="宋体" w:cs="宋体"/>
          <w:color w:val="auto"/>
          <w:sz w:val="24"/>
          <w:szCs w:val="24"/>
          <w:highlight w:val="none"/>
        </w:rPr>
        <w:t>第一部分   招标公告</w:t>
      </w:r>
    </w:p>
    <w:p w14:paraId="45F22526">
      <w:pPr>
        <w:spacing w:line="288" w:lineRule="auto"/>
        <w:ind w:firstLine="709"/>
        <w:jc w:val="both"/>
        <w:rPr>
          <w:rFonts w:ascii="宋体" w:hAnsi="宋体" w:cs="宋体"/>
          <w:color w:val="auto"/>
          <w:sz w:val="24"/>
          <w:szCs w:val="24"/>
          <w:highlight w:val="none"/>
        </w:rPr>
      </w:pPr>
      <w:r>
        <w:rPr>
          <w:rFonts w:hint="eastAsia" w:ascii="宋体" w:hAnsi="宋体" w:cs="宋体"/>
          <w:color w:val="auto"/>
          <w:sz w:val="24"/>
          <w:szCs w:val="24"/>
          <w:highlight w:val="none"/>
        </w:rPr>
        <w:t>第二部分   供应商须知</w:t>
      </w:r>
    </w:p>
    <w:p w14:paraId="73CB2E4E">
      <w:pPr>
        <w:spacing w:line="288" w:lineRule="auto"/>
        <w:ind w:firstLine="709"/>
        <w:jc w:val="both"/>
        <w:rPr>
          <w:rFonts w:ascii="宋体" w:hAnsi="宋体" w:cs="宋体"/>
          <w:color w:val="auto"/>
          <w:sz w:val="24"/>
          <w:szCs w:val="24"/>
          <w:highlight w:val="none"/>
        </w:rPr>
      </w:pPr>
      <w:r>
        <w:rPr>
          <w:rFonts w:hint="eastAsia" w:ascii="宋体" w:hAnsi="宋体" w:cs="宋体"/>
          <w:color w:val="auto"/>
          <w:sz w:val="24"/>
          <w:szCs w:val="24"/>
          <w:highlight w:val="none"/>
        </w:rPr>
        <w:t>第三部分   评标办法</w:t>
      </w:r>
    </w:p>
    <w:p w14:paraId="32258CAA">
      <w:pPr>
        <w:spacing w:line="288" w:lineRule="auto"/>
        <w:ind w:firstLine="709"/>
        <w:jc w:val="both"/>
        <w:rPr>
          <w:rFonts w:ascii="宋体" w:hAnsi="宋体" w:cs="宋体"/>
          <w:color w:val="auto"/>
          <w:sz w:val="24"/>
          <w:szCs w:val="24"/>
          <w:highlight w:val="none"/>
        </w:rPr>
      </w:pPr>
      <w:r>
        <w:rPr>
          <w:rFonts w:hint="eastAsia" w:ascii="宋体" w:hAnsi="宋体" w:cs="宋体"/>
          <w:color w:val="auto"/>
          <w:sz w:val="24"/>
          <w:szCs w:val="24"/>
          <w:highlight w:val="none"/>
        </w:rPr>
        <w:t>第四部分   采购需求</w:t>
      </w:r>
    </w:p>
    <w:p w14:paraId="63FACA8F">
      <w:pPr>
        <w:spacing w:line="288" w:lineRule="auto"/>
        <w:ind w:firstLine="709"/>
        <w:jc w:val="both"/>
        <w:rPr>
          <w:rFonts w:ascii="宋体" w:hAnsi="宋体" w:cs="宋体"/>
          <w:color w:val="auto"/>
          <w:sz w:val="24"/>
          <w:szCs w:val="24"/>
          <w:highlight w:val="none"/>
        </w:rPr>
      </w:pPr>
      <w:r>
        <w:rPr>
          <w:rFonts w:hint="eastAsia" w:ascii="宋体" w:hAnsi="宋体" w:cs="宋体"/>
          <w:color w:val="auto"/>
          <w:sz w:val="24"/>
          <w:szCs w:val="24"/>
          <w:highlight w:val="none"/>
        </w:rPr>
        <w:t>第五部分   合同格式</w:t>
      </w:r>
    </w:p>
    <w:p w14:paraId="00C975D2">
      <w:pPr>
        <w:spacing w:line="288" w:lineRule="auto"/>
        <w:ind w:firstLine="709"/>
        <w:jc w:val="both"/>
        <w:rPr>
          <w:rFonts w:ascii="宋体" w:hAnsi="宋体" w:cs="宋体"/>
          <w:color w:val="auto"/>
          <w:sz w:val="24"/>
          <w:szCs w:val="24"/>
          <w:highlight w:val="none"/>
        </w:rPr>
      </w:pPr>
      <w:r>
        <w:rPr>
          <w:rFonts w:hint="eastAsia" w:ascii="宋体" w:hAnsi="宋体" w:cs="宋体"/>
          <w:color w:val="auto"/>
          <w:sz w:val="24"/>
          <w:szCs w:val="24"/>
          <w:highlight w:val="none"/>
        </w:rPr>
        <w:t>第六部分   投标文件格式</w:t>
      </w:r>
    </w:p>
    <w:p w14:paraId="138104D3">
      <w:pPr>
        <w:pStyle w:val="4"/>
        <w:spacing w:before="0" w:after="0" w:line="288" w:lineRule="auto"/>
        <w:rPr>
          <w:rFonts w:ascii="宋体" w:hAnsi="宋体" w:cs="宋体"/>
          <w:color w:val="auto"/>
          <w:sz w:val="24"/>
          <w:szCs w:val="24"/>
          <w:highlight w:val="none"/>
        </w:rPr>
      </w:pPr>
      <w:r>
        <w:rPr>
          <w:rFonts w:hint="eastAsia" w:ascii="宋体" w:hAnsi="宋体" w:cs="宋体"/>
          <w:color w:val="auto"/>
          <w:sz w:val="24"/>
          <w:szCs w:val="24"/>
          <w:highlight w:val="none"/>
        </w:rPr>
        <w:t>7.招标文件的澄清</w:t>
      </w:r>
      <w:bookmarkEnd w:id="28"/>
    </w:p>
    <w:p w14:paraId="0142E995">
      <w:pPr>
        <w:pStyle w:val="4"/>
        <w:spacing w:before="0" w:after="0" w:line="288" w:lineRule="auto"/>
        <w:ind w:firstLine="480" w:firstLineChars="200"/>
        <w:rPr>
          <w:rFonts w:hint="eastAsia" w:ascii="宋体" w:hAnsi="宋体" w:eastAsia="宋体" w:cs="宋体"/>
          <w:b w:val="0"/>
          <w:color w:val="auto"/>
          <w:sz w:val="24"/>
          <w:szCs w:val="24"/>
          <w:highlight w:val="none"/>
          <w:lang w:val="en-US" w:eastAsia="zh-CN" w:bidi="ar-SA"/>
        </w:rPr>
      </w:pPr>
      <w:bookmarkStart w:id="29" w:name="_Toc98580399"/>
      <w:r>
        <w:rPr>
          <w:rFonts w:hint="eastAsia" w:ascii="宋体" w:hAnsi="宋体" w:eastAsia="宋体" w:cs="宋体"/>
          <w:b w:val="0"/>
          <w:color w:val="auto"/>
          <w:sz w:val="24"/>
          <w:szCs w:val="24"/>
          <w:highlight w:val="none"/>
          <w:lang w:val="en-US" w:eastAsia="zh-CN" w:bidi="ar-SA"/>
        </w:rPr>
        <w:t>供应商对本次招标文件的内容有疑问时，可要求澄清，但应在距投标截止日10日前，在“政采云”平台上提交，</w:t>
      </w:r>
      <w:r>
        <w:rPr>
          <w:rFonts w:hint="eastAsia" w:ascii="宋体" w:hAnsi="宋体" w:eastAsia="宋体" w:cs="宋体"/>
          <w:b w:val="0"/>
          <w:color w:val="auto"/>
          <w:sz w:val="24"/>
          <w:szCs w:val="24"/>
          <w:highlight w:val="none"/>
          <w:lang w:val="en-US" w:eastAsia="zh-CN" w:bidi="ar-SA"/>
        </w:rPr>
        <w:fldChar w:fldCharType="begin"/>
      </w:r>
      <w:r>
        <w:rPr>
          <w:rFonts w:hint="eastAsia" w:ascii="宋体" w:hAnsi="宋体" w:eastAsia="宋体" w:cs="宋体"/>
          <w:b w:val="0"/>
          <w:color w:val="auto"/>
          <w:sz w:val="24"/>
          <w:szCs w:val="24"/>
          <w:highlight w:val="none"/>
          <w:lang w:val="en-US" w:eastAsia="zh-CN" w:bidi="ar-SA"/>
        </w:rPr>
        <w:instrText xml:space="preserve"> HYPERLINK "mailto:同时将电子档疑问发至我公司信箱:HTZB0509@163.com" </w:instrText>
      </w:r>
      <w:r>
        <w:rPr>
          <w:rFonts w:hint="eastAsia" w:ascii="宋体" w:hAnsi="宋体" w:eastAsia="宋体" w:cs="宋体"/>
          <w:b w:val="0"/>
          <w:color w:val="auto"/>
          <w:sz w:val="24"/>
          <w:szCs w:val="24"/>
          <w:highlight w:val="none"/>
          <w:lang w:val="en-US" w:eastAsia="zh-CN" w:bidi="ar-SA"/>
        </w:rPr>
        <w:fldChar w:fldCharType="separate"/>
      </w:r>
      <w:r>
        <w:rPr>
          <w:rFonts w:hint="eastAsia" w:ascii="宋体" w:hAnsi="宋体" w:eastAsia="宋体" w:cs="宋体"/>
          <w:b w:val="0"/>
          <w:color w:val="auto"/>
          <w:sz w:val="24"/>
          <w:szCs w:val="24"/>
          <w:highlight w:val="none"/>
          <w:lang w:val="en-US" w:eastAsia="zh-CN" w:bidi="ar-SA"/>
        </w:rPr>
        <w:t>同时将电子文本疑问发至我公司信箱：</w:t>
      </w:r>
      <w:r>
        <w:rPr>
          <w:rFonts w:hint="eastAsia" w:ascii="宋体" w:hAnsi="宋体" w:eastAsia="宋体" w:cs="宋体"/>
          <w:b w:val="0"/>
          <w:color w:val="auto"/>
          <w:sz w:val="24"/>
          <w:szCs w:val="24"/>
          <w:highlight w:val="none"/>
          <w:lang w:val="en-US" w:eastAsia="zh-CN" w:bidi="ar-SA"/>
        </w:rPr>
        <w:fldChar w:fldCharType="end"/>
      </w:r>
      <w:r>
        <w:rPr>
          <w:rFonts w:hint="eastAsia" w:ascii="宋体" w:hAnsi="宋体" w:eastAsia="宋体" w:cs="宋体"/>
          <w:b w:val="0"/>
          <w:color w:val="auto"/>
          <w:sz w:val="24"/>
          <w:szCs w:val="24"/>
          <w:highlight w:val="none"/>
          <w:lang w:val="en-US" w:eastAsia="zh-CN" w:bidi="ar-SA"/>
        </w:rPr>
        <w:t>1342112124@qq.com，并电话通知采购代理机构，投标人逾期所提问题，不予解答。招标文件澄清在“政采云”平台发布，请潜在供应商在参加与本项目活动期间关注网站信息，所有有意愿的供应商有义务在网上自行查询。</w:t>
      </w:r>
    </w:p>
    <w:p w14:paraId="1D92C6A5">
      <w:pPr>
        <w:pStyle w:val="4"/>
        <w:spacing w:before="0" w:after="0" w:line="288" w:lineRule="auto"/>
        <w:rPr>
          <w:rFonts w:ascii="宋体" w:hAnsi="宋体" w:cs="宋体"/>
          <w:color w:val="auto"/>
          <w:sz w:val="24"/>
          <w:szCs w:val="24"/>
          <w:highlight w:val="none"/>
        </w:rPr>
      </w:pPr>
      <w:r>
        <w:rPr>
          <w:rFonts w:hint="eastAsia" w:ascii="宋体" w:hAnsi="宋体" w:cs="宋体"/>
          <w:color w:val="auto"/>
          <w:sz w:val="24"/>
          <w:szCs w:val="24"/>
          <w:highlight w:val="none"/>
        </w:rPr>
        <w:t>8.招标文件的修改</w:t>
      </w:r>
      <w:bookmarkEnd w:id="29"/>
    </w:p>
    <w:p w14:paraId="06AB9F0A">
      <w:pPr>
        <w:spacing w:line="288" w:lineRule="auto"/>
        <w:ind w:firstLine="480" w:firstLineChars="200"/>
        <w:jc w:val="both"/>
        <w:rPr>
          <w:rFonts w:ascii="宋体" w:hAnsi="宋体" w:cs="宋体"/>
          <w:color w:val="auto"/>
          <w:sz w:val="24"/>
          <w:szCs w:val="24"/>
          <w:highlight w:val="none"/>
        </w:rPr>
      </w:pPr>
      <w:bookmarkStart w:id="30" w:name="_Toc98580400"/>
      <w:r>
        <w:rPr>
          <w:rFonts w:hint="eastAsia" w:ascii="宋体" w:hAnsi="宋体" w:cs="宋体"/>
          <w:color w:val="auto"/>
          <w:sz w:val="24"/>
          <w:szCs w:val="24"/>
          <w:highlight w:val="none"/>
        </w:rPr>
        <w:t>8.1在</w:t>
      </w:r>
      <w:r>
        <w:rPr>
          <w:rFonts w:hint="eastAsia" w:ascii="宋体" w:hAnsi="宋体" w:cs="宋体"/>
          <w:color w:val="auto"/>
          <w:sz w:val="24"/>
          <w:szCs w:val="24"/>
          <w:highlight w:val="none"/>
          <w:lang w:val="zh-CN"/>
        </w:rPr>
        <w:t>投标截止时间15日前</w:t>
      </w:r>
      <w:r>
        <w:rPr>
          <w:rFonts w:hint="eastAsia" w:ascii="宋体" w:hAnsi="宋体" w:cs="宋体"/>
          <w:color w:val="auto"/>
          <w:sz w:val="24"/>
          <w:szCs w:val="24"/>
          <w:highlight w:val="none"/>
        </w:rPr>
        <w:t>，招标机构可根据需要和（或）依据供应商要求澄清的问题而修改招标文件，并在</w:t>
      </w:r>
      <w:r>
        <w:rPr>
          <w:rFonts w:hint="eastAsia" w:ascii="宋体" w:hAnsi="宋体" w:cs="宋体"/>
          <w:color w:val="auto"/>
          <w:sz w:val="24"/>
          <w:szCs w:val="24"/>
          <w:highlight w:val="none"/>
          <w:lang w:eastAsia="zh-CN"/>
        </w:rPr>
        <w:t>“政采云”平台</w:t>
      </w:r>
      <w:r>
        <w:rPr>
          <w:rFonts w:hint="eastAsia" w:ascii="宋体" w:hAnsi="宋体" w:cs="宋体"/>
          <w:color w:val="auto"/>
          <w:sz w:val="24"/>
          <w:szCs w:val="24"/>
          <w:highlight w:val="none"/>
        </w:rPr>
        <w:t>上发布，请潜在供应商在参加与本项目活动期间关注网站信息，所有有意愿的供应商有义务在网上自行查询。</w:t>
      </w:r>
    </w:p>
    <w:p w14:paraId="62094F41">
      <w:pPr>
        <w:spacing w:line="288"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8.2 招标文件的修改书将构成招标文件的一部分，对供应商具有同样的约束力。</w:t>
      </w:r>
    </w:p>
    <w:p w14:paraId="5DC9DC1B">
      <w:pPr>
        <w:pStyle w:val="3"/>
        <w:spacing w:before="0" w:after="0" w:line="288"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C投标文件的编写</w:t>
      </w:r>
      <w:bookmarkEnd w:id="30"/>
    </w:p>
    <w:p w14:paraId="20CCFD5E">
      <w:pPr>
        <w:pStyle w:val="4"/>
        <w:spacing w:before="0" w:after="0" w:line="288" w:lineRule="auto"/>
        <w:rPr>
          <w:rFonts w:ascii="宋体" w:hAnsi="宋体" w:cs="宋体"/>
          <w:color w:val="auto"/>
          <w:sz w:val="24"/>
          <w:szCs w:val="24"/>
          <w:highlight w:val="none"/>
        </w:rPr>
      </w:pPr>
      <w:bookmarkStart w:id="31" w:name="_Toc98580401"/>
      <w:r>
        <w:rPr>
          <w:rFonts w:hint="eastAsia" w:ascii="宋体" w:hAnsi="宋体" w:cs="宋体"/>
          <w:color w:val="auto"/>
          <w:sz w:val="24"/>
          <w:szCs w:val="24"/>
          <w:highlight w:val="none"/>
        </w:rPr>
        <w:t>9.投标语言及计量单位</w:t>
      </w:r>
      <w:bookmarkEnd w:id="31"/>
    </w:p>
    <w:p w14:paraId="51AEE4A8">
      <w:pPr>
        <w:spacing w:line="288"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9.1投标文件及供应商和招标机构就投标交换的文件和来往信件，以中文书写（专有名词除外）；</w:t>
      </w:r>
    </w:p>
    <w:p w14:paraId="1EA36205">
      <w:pPr>
        <w:spacing w:line="288"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9.2除在招标文件的“技术要求”中另有规定外， 计量单位应使用中华人民共和国法定计量单位（国际单位制和国家选定的其他计量单位）。</w:t>
      </w:r>
    </w:p>
    <w:p w14:paraId="3167F60E">
      <w:pPr>
        <w:pStyle w:val="4"/>
        <w:spacing w:before="0" w:after="0" w:line="288" w:lineRule="auto"/>
        <w:rPr>
          <w:rFonts w:ascii="宋体" w:hAnsi="宋体" w:cs="宋体"/>
          <w:color w:val="auto"/>
          <w:sz w:val="24"/>
          <w:szCs w:val="24"/>
          <w:highlight w:val="none"/>
        </w:rPr>
      </w:pPr>
      <w:r>
        <w:rPr>
          <w:rFonts w:hint="eastAsia" w:ascii="宋体" w:hAnsi="宋体" w:cs="宋体"/>
          <w:color w:val="auto"/>
          <w:sz w:val="24"/>
          <w:szCs w:val="24"/>
          <w:highlight w:val="none"/>
        </w:rPr>
        <w:t>10．投标文件的组成</w:t>
      </w:r>
      <w:bookmarkEnd w:id="25"/>
    </w:p>
    <w:p w14:paraId="5F976E02">
      <w:pPr>
        <w:spacing w:line="288" w:lineRule="auto"/>
        <w:ind w:left="567"/>
        <w:jc w:val="both"/>
        <w:rPr>
          <w:rFonts w:ascii="宋体" w:hAnsi="宋体" w:cs="宋体"/>
          <w:color w:val="auto"/>
          <w:sz w:val="24"/>
          <w:szCs w:val="24"/>
          <w:highlight w:val="none"/>
        </w:rPr>
      </w:pPr>
      <w:r>
        <w:rPr>
          <w:rFonts w:hint="eastAsia" w:ascii="宋体" w:hAnsi="宋体" w:cs="宋体"/>
          <w:color w:val="auto"/>
          <w:sz w:val="24"/>
          <w:szCs w:val="24"/>
          <w:highlight w:val="none"/>
        </w:rPr>
        <w:t>详见第六部分：投标文件格式。</w:t>
      </w:r>
    </w:p>
    <w:p w14:paraId="20148D3A">
      <w:pPr>
        <w:pStyle w:val="4"/>
        <w:spacing w:before="0" w:after="0" w:line="288" w:lineRule="auto"/>
        <w:rPr>
          <w:rFonts w:ascii="宋体" w:hAnsi="宋体" w:cs="宋体"/>
          <w:color w:val="auto"/>
          <w:sz w:val="24"/>
          <w:szCs w:val="24"/>
          <w:highlight w:val="none"/>
        </w:rPr>
      </w:pPr>
      <w:bookmarkStart w:id="32" w:name="_Toc98580403"/>
      <w:r>
        <w:rPr>
          <w:rFonts w:hint="eastAsia" w:ascii="宋体" w:hAnsi="宋体" w:cs="宋体"/>
          <w:color w:val="auto"/>
          <w:sz w:val="24"/>
          <w:szCs w:val="24"/>
          <w:highlight w:val="none"/>
        </w:rPr>
        <w:t>11.投标文件内容填写说明</w:t>
      </w:r>
      <w:bookmarkEnd w:id="32"/>
    </w:p>
    <w:p w14:paraId="25AF4495">
      <w:pPr>
        <w:spacing w:line="288" w:lineRule="auto"/>
        <w:ind w:left="1"/>
        <w:jc w:val="both"/>
        <w:rPr>
          <w:rFonts w:ascii="宋体" w:hAnsi="宋体" w:cs="宋体"/>
          <w:color w:val="auto"/>
          <w:sz w:val="24"/>
          <w:szCs w:val="24"/>
          <w:highlight w:val="none"/>
        </w:rPr>
      </w:pPr>
      <w:r>
        <w:rPr>
          <w:rFonts w:hint="eastAsia" w:ascii="宋体" w:hAnsi="宋体" w:cs="宋体"/>
          <w:color w:val="auto"/>
          <w:sz w:val="24"/>
          <w:szCs w:val="24"/>
          <w:highlight w:val="none"/>
        </w:rPr>
        <w:t>11.1供应商应严格按招标文件要求的内容逐项填写编制投标文件，有规定格式的按规定格式填写，无规定格式的由供应商自拟，</w:t>
      </w:r>
      <w:r>
        <w:rPr>
          <w:rFonts w:hint="eastAsia" w:ascii="宋体" w:hAnsi="宋体" w:cs="宋体"/>
          <w:b/>
          <w:color w:val="auto"/>
          <w:sz w:val="24"/>
          <w:szCs w:val="24"/>
          <w:highlight w:val="none"/>
        </w:rPr>
        <w:t>并胶装成册。</w:t>
      </w:r>
    </w:p>
    <w:p w14:paraId="2087B03F">
      <w:pPr>
        <w:spacing w:line="288"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11.2开标一览表为在开标仪式上唱标的内容，要求按格式填写、统一规范，不得自行增减内容。投标文件不得漏项或虚报，否则将可能导致其投标被拒绝。</w:t>
      </w:r>
    </w:p>
    <w:p w14:paraId="17B6E2F6">
      <w:pPr>
        <w:spacing w:line="288" w:lineRule="auto"/>
        <w:ind w:left="-14"/>
        <w:jc w:val="both"/>
        <w:rPr>
          <w:rFonts w:ascii="宋体" w:hAnsi="宋体" w:cs="宋体"/>
          <w:color w:val="auto"/>
          <w:sz w:val="24"/>
          <w:szCs w:val="24"/>
          <w:highlight w:val="none"/>
        </w:rPr>
      </w:pPr>
      <w:r>
        <w:rPr>
          <w:rFonts w:hint="eastAsia" w:ascii="宋体" w:hAnsi="宋体" w:cs="宋体"/>
          <w:color w:val="auto"/>
          <w:sz w:val="24"/>
          <w:szCs w:val="24"/>
          <w:highlight w:val="none"/>
        </w:rPr>
        <w:t>11.3 供应商应保证其所提供文件的真实性，并应对招标文件的实质性要求作出完全响应，否则其投标可能被拒绝。</w:t>
      </w:r>
    </w:p>
    <w:p w14:paraId="597CD129">
      <w:pPr>
        <w:pStyle w:val="4"/>
        <w:spacing w:before="0" w:after="0" w:line="288" w:lineRule="auto"/>
        <w:rPr>
          <w:rFonts w:ascii="宋体" w:hAnsi="宋体" w:cs="宋体"/>
          <w:color w:val="auto"/>
          <w:sz w:val="24"/>
          <w:szCs w:val="24"/>
          <w:highlight w:val="none"/>
        </w:rPr>
      </w:pPr>
      <w:bookmarkStart w:id="33" w:name="_Toc98580404"/>
      <w:r>
        <w:rPr>
          <w:rFonts w:hint="eastAsia" w:ascii="宋体" w:hAnsi="宋体" w:cs="宋体"/>
          <w:color w:val="auto"/>
          <w:sz w:val="24"/>
          <w:szCs w:val="24"/>
          <w:highlight w:val="none"/>
        </w:rPr>
        <w:t>12.投标报价</w:t>
      </w:r>
      <w:bookmarkEnd w:id="33"/>
    </w:p>
    <w:p w14:paraId="29B1E8DE">
      <w:pPr>
        <w:spacing w:line="288"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12.1 所有投标均以人民币报价；</w:t>
      </w:r>
    </w:p>
    <w:p w14:paraId="1A6D6F81">
      <w:pPr>
        <w:spacing w:line="288" w:lineRule="auto"/>
        <w:ind w:left="1"/>
        <w:jc w:val="both"/>
        <w:rPr>
          <w:rFonts w:ascii="宋体" w:hAnsi="宋体" w:cs="宋体"/>
          <w:color w:val="auto"/>
          <w:sz w:val="24"/>
          <w:szCs w:val="24"/>
          <w:highlight w:val="none"/>
        </w:rPr>
      </w:pPr>
      <w:r>
        <w:rPr>
          <w:rFonts w:hint="eastAsia" w:ascii="宋体" w:hAnsi="宋体" w:cs="宋体"/>
          <w:color w:val="auto"/>
          <w:sz w:val="24"/>
          <w:szCs w:val="24"/>
          <w:highlight w:val="none"/>
        </w:rPr>
        <w:t>12.2供应商应在填写分项报价表时注明各项单价、总价。如果单价与总价有出入，以单价为准。招标机构不接受有任何选择的报价；报价须有法人代表或授权代表签署。</w:t>
      </w:r>
    </w:p>
    <w:p w14:paraId="4F8913FD">
      <w:pPr>
        <w:spacing w:line="288"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12.3供应商应按上述12.1-12.3条款要求填写投标报价，以供评标委员会比较评价。</w:t>
      </w:r>
    </w:p>
    <w:p w14:paraId="05043221">
      <w:pPr>
        <w:spacing w:line="288"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供应商因承包本项目需支付的一切费用如：制作、拼装、检验、税金、运费、安装费、保险费、调试验收等费用均由供应商承担，并包含在所报的单价或总额价内。</w:t>
      </w:r>
    </w:p>
    <w:p w14:paraId="68EF0600">
      <w:pPr>
        <w:spacing w:line="288" w:lineRule="auto"/>
        <w:rPr>
          <w:rFonts w:ascii="宋体" w:hAnsi="宋体" w:cs="宋体"/>
          <w:b/>
          <w:color w:val="auto"/>
          <w:sz w:val="24"/>
          <w:szCs w:val="24"/>
          <w:highlight w:val="none"/>
        </w:rPr>
      </w:pPr>
      <w:bookmarkStart w:id="34" w:name="_Toc98580405"/>
      <w:r>
        <w:rPr>
          <w:rFonts w:hint="eastAsia" w:ascii="宋体" w:hAnsi="宋体" w:cs="宋体"/>
          <w:b/>
          <w:color w:val="auto"/>
          <w:sz w:val="24"/>
          <w:szCs w:val="24"/>
          <w:highlight w:val="none"/>
        </w:rPr>
        <w:t>13.投标保证金</w:t>
      </w:r>
      <w:bookmarkEnd w:id="34"/>
    </w:p>
    <w:p w14:paraId="1C73E101">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13.1投标保证金的形式：支票、汇票、本票或者金融机构、担保机构出具的保函等非现金形式提交。以支票、电汇等形式提交的投标保证金应当从供应商的基本账户转出，并以到账时间为准。</w:t>
      </w:r>
    </w:p>
    <w:p w14:paraId="2CB5F0D6">
      <w:pPr>
        <w:spacing w:line="288" w:lineRule="auto"/>
        <w:rPr>
          <w:rFonts w:ascii="宋体" w:hAnsi="宋体" w:cs="宋体"/>
          <w:bCs/>
          <w:color w:val="auto"/>
          <w:kern w:val="15"/>
          <w:sz w:val="24"/>
          <w:szCs w:val="24"/>
          <w:highlight w:val="none"/>
        </w:rPr>
      </w:pPr>
      <w:r>
        <w:rPr>
          <w:rFonts w:hint="eastAsia" w:ascii="宋体" w:hAnsi="宋体" w:cs="宋体"/>
          <w:bCs/>
          <w:color w:val="auto"/>
          <w:kern w:val="15"/>
          <w:sz w:val="24"/>
          <w:szCs w:val="24"/>
          <w:highlight w:val="none"/>
        </w:rPr>
        <w:t>13.2投标保证金的金额：见</w:t>
      </w:r>
      <w:r>
        <w:rPr>
          <w:rFonts w:hint="eastAsia" w:ascii="宋体" w:hAnsi="宋体" w:cs="宋体"/>
          <w:color w:val="auto"/>
          <w:sz w:val="24"/>
          <w:szCs w:val="24"/>
          <w:highlight w:val="none"/>
        </w:rPr>
        <w:t>供应商须知前附表第13项</w:t>
      </w:r>
      <w:r>
        <w:rPr>
          <w:rFonts w:hint="eastAsia" w:ascii="宋体" w:hAnsi="宋体" w:cs="宋体"/>
          <w:bCs/>
          <w:color w:val="auto"/>
          <w:kern w:val="15"/>
          <w:sz w:val="24"/>
          <w:szCs w:val="24"/>
          <w:highlight w:val="none"/>
        </w:rPr>
        <w:t xml:space="preserve">； </w:t>
      </w:r>
    </w:p>
    <w:p w14:paraId="52FEAFA9">
      <w:pPr>
        <w:spacing w:line="288" w:lineRule="auto"/>
        <w:rPr>
          <w:rFonts w:ascii="宋体" w:hAnsi="宋体" w:cs="宋体"/>
          <w:bCs/>
          <w:color w:val="auto"/>
          <w:kern w:val="15"/>
          <w:sz w:val="24"/>
          <w:szCs w:val="24"/>
          <w:highlight w:val="none"/>
        </w:rPr>
      </w:pPr>
      <w:r>
        <w:rPr>
          <w:rFonts w:hint="eastAsia" w:ascii="宋体" w:hAnsi="宋体" w:cs="宋体"/>
          <w:bCs/>
          <w:color w:val="auto"/>
          <w:kern w:val="15"/>
          <w:sz w:val="24"/>
          <w:szCs w:val="24"/>
          <w:highlight w:val="none"/>
        </w:rPr>
        <w:t>13.3递交方式：见</w:t>
      </w:r>
      <w:r>
        <w:rPr>
          <w:rFonts w:hint="eastAsia" w:ascii="宋体" w:hAnsi="宋体" w:cs="宋体"/>
          <w:color w:val="auto"/>
          <w:sz w:val="24"/>
          <w:szCs w:val="24"/>
          <w:highlight w:val="none"/>
        </w:rPr>
        <w:t>供应商须知前附表第13项</w:t>
      </w:r>
      <w:r>
        <w:rPr>
          <w:rFonts w:hint="eastAsia" w:ascii="宋体" w:hAnsi="宋体" w:cs="宋体"/>
          <w:bCs/>
          <w:color w:val="auto"/>
          <w:kern w:val="15"/>
          <w:sz w:val="24"/>
          <w:szCs w:val="24"/>
          <w:highlight w:val="none"/>
        </w:rPr>
        <w:t>；</w:t>
      </w:r>
    </w:p>
    <w:p w14:paraId="63FFDEBC">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13.4投标保证金用于保护本次招标免受因供应商不履行投标承诺及合同等行为而引起的风险；</w:t>
      </w:r>
    </w:p>
    <w:p w14:paraId="67979694">
      <w:pPr>
        <w:spacing w:line="288"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13.5未按13.1和13.2条款要求提交投标保证金的投标将被视为投标无效；</w:t>
      </w:r>
    </w:p>
    <w:p w14:paraId="741F07BB">
      <w:pPr>
        <w:spacing w:line="288"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13.6未中标投标人的投标保证金将在中标通知书发出之日暨中标结果公告公布之日起5个工作日内，及时联系采购人或采购代理机构办理无息退还投标保证金手续因投标人自身原因导致无法及时退还的，采购人或采购代理机构将不承担资金占用费。；</w:t>
      </w:r>
    </w:p>
    <w:p w14:paraId="238A51BC">
      <w:pPr>
        <w:spacing w:line="288"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13.7中标人应在与采购人签订合同之日起5个工作日内及时联系采购代理机构办理投标保证金无息退还手续；</w:t>
      </w:r>
    </w:p>
    <w:p w14:paraId="31AEA34A">
      <w:pPr>
        <w:spacing w:line="288"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13.8 发生下列情况之一，投标保证金将被没收：</w:t>
      </w:r>
    </w:p>
    <w:p w14:paraId="5EA5F46F">
      <w:pPr>
        <w:spacing w:line="288"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（1）开标后在投标有效期间，供应商撤回其投标文件；</w:t>
      </w:r>
    </w:p>
    <w:p w14:paraId="706EBCED">
      <w:pPr>
        <w:spacing w:line="288"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（2）中标人不按本须知第26条规定签约；</w:t>
      </w:r>
    </w:p>
    <w:p w14:paraId="768B64E9">
      <w:pPr>
        <w:spacing w:line="288"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（3）中标人不按本须知第28条规定缴付中标服务费。</w:t>
      </w:r>
    </w:p>
    <w:p w14:paraId="3C1F114B">
      <w:pPr>
        <w:pStyle w:val="4"/>
        <w:spacing w:before="0" w:after="0" w:line="288" w:lineRule="auto"/>
        <w:rPr>
          <w:rFonts w:ascii="宋体" w:hAnsi="宋体" w:cs="宋体"/>
          <w:color w:val="auto"/>
          <w:sz w:val="24"/>
          <w:szCs w:val="24"/>
          <w:highlight w:val="none"/>
        </w:rPr>
      </w:pPr>
      <w:bookmarkStart w:id="35" w:name="_Toc98580406"/>
      <w:r>
        <w:rPr>
          <w:rFonts w:hint="eastAsia" w:ascii="宋体" w:hAnsi="宋体" w:cs="宋体"/>
          <w:color w:val="auto"/>
          <w:sz w:val="24"/>
          <w:szCs w:val="24"/>
          <w:highlight w:val="none"/>
        </w:rPr>
        <w:t>14.投标有效期</w:t>
      </w:r>
      <w:bookmarkEnd w:id="35"/>
    </w:p>
    <w:p w14:paraId="19DF1581">
      <w:pPr>
        <w:spacing w:line="288"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14.1从开标之日起，投标有效期为90天。不能满足投标有效期的投标，将被拒绝；</w:t>
      </w:r>
    </w:p>
    <w:p w14:paraId="0E488599">
      <w:pPr>
        <w:spacing w:line="288" w:lineRule="auto"/>
        <w:ind w:left="530" w:hanging="530" w:hangingChars="221"/>
        <w:jc w:val="both"/>
        <w:rPr>
          <w:rFonts w:ascii="宋体" w:hAnsi="宋体" w:cs="宋体"/>
          <w:color w:val="auto"/>
          <w:sz w:val="24"/>
          <w:szCs w:val="24"/>
          <w:highlight w:val="none"/>
        </w:rPr>
      </w:pPr>
      <w:r>
        <w:rPr>
          <w:rFonts w:hint="eastAsia" w:ascii="宋体" w:hAnsi="宋体" w:cs="宋体"/>
          <w:color w:val="auto"/>
          <w:sz w:val="24"/>
          <w:szCs w:val="24"/>
          <w:highlight w:val="none"/>
        </w:rPr>
        <w:t>14.2特殊情况下，招标机构可于投标有效期满之前要求供应商延长投标有效期，这种要求和答复都应以书面、传真的形式进行。供应商可以拒绝接受延期要求。同意延长有效期的供应商不能修改投标文件。</w:t>
      </w:r>
    </w:p>
    <w:p w14:paraId="6603684F">
      <w:pPr>
        <w:pStyle w:val="4"/>
        <w:spacing w:before="0" w:after="0" w:line="288" w:lineRule="auto"/>
        <w:rPr>
          <w:rFonts w:ascii="宋体" w:hAnsi="宋体" w:cs="宋体"/>
          <w:color w:val="auto"/>
          <w:sz w:val="24"/>
          <w:szCs w:val="24"/>
          <w:highlight w:val="none"/>
        </w:rPr>
      </w:pPr>
      <w:bookmarkStart w:id="36" w:name="_Toc98580407"/>
      <w:r>
        <w:rPr>
          <w:rFonts w:hint="eastAsia" w:ascii="宋体" w:hAnsi="宋体" w:cs="宋体"/>
          <w:color w:val="auto"/>
          <w:sz w:val="24"/>
          <w:szCs w:val="24"/>
          <w:highlight w:val="none"/>
        </w:rPr>
        <w:t>15.投标文件的签署及规定</w:t>
      </w:r>
      <w:bookmarkEnd w:id="36"/>
    </w:p>
    <w:p w14:paraId="42663E1F">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15.1 组成投标文件的各项资料均应遵守本须知第10条中所规定的内容。</w:t>
      </w:r>
    </w:p>
    <w:p w14:paraId="1997CE8E">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15.2 供应商应填写单位全称，同时加盖印章。</w:t>
      </w:r>
    </w:p>
    <w:p w14:paraId="740E7FC3">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15.3 投标文件必须由法人代表或法人授权代表签署。</w:t>
      </w:r>
    </w:p>
    <w:p w14:paraId="6139C49C">
      <w:pPr>
        <w:pStyle w:val="4"/>
        <w:spacing w:before="0" w:after="0" w:line="288" w:lineRule="auto"/>
        <w:jc w:val="center"/>
        <w:rPr>
          <w:rFonts w:ascii="宋体" w:hAnsi="宋体" w:eastAsia="宋体" w:cs="宋体"/>
          <w:color w:val="auto"/>
          <w:sz w:val="24"/>
          <w:szCs w:val="24"/>
          <w:highlight w:val="none"/>
        </w:rPr>
      </w:pPr>
      <w:bookmarkStart w:id="37" w:name="_Toc98580408"/>
      <w:r>
        <w:rPr>
          <w:rFonts w:hint="eastAsia" w:ascii="宋体" w:hAnsi="宋体" w:eastAsia="宋体" w:cs="宋体"/>
          <w:color w:val="auto"/>
          <w:sz w:val="24"/>
          <w:szCs w:val="24"/>
          <w:highlight w:val="none"/>
        </w:rPr>
        <w:t>D投标文件的递交</w:t>
      </w:r>
      <w:bookmarkEnd w:id="37"/>
    </w:p>
    <w:p w14:paraId="73D52FD0">
      <w:pPr>
        <w:pStyle w:val="4"/>
        <w:numPr>
          <w:ilvl w:val="0"/>
          <w:numId w:val="1"/>
        </w:numPr>
        <w:spacing w:before="0" w:after="0" w:line="288" w:lineRule="auto"/>
        <w:rPr>
          <w:rFonts w:hint="eastAsia" w:ascii="宋体" w:hAnsi="宋体" w:cs="宋体"/>
          <w:color w:val="auto"/>
          <w:sz w:val="24"/>
          <w:szCs w:val="24"/>
          <w:highlight w:val="none"/>
          <w:lang w:eastAsia="zh-CN"/>
        </w:rPr>
      </w:pPr>
      <w:bookmarkStart w:id="38" w:name="_Toc98580409"/>
      <w:r>
        <w:rPr>
          <w:rFonts w:hint="eastAsia" w:ascii="宋体" w:hAnsi="宋体" w:cs="宋体"/>
          <w:color w:val="auto"/>
          <w:sz w:val="24"/>
          <w:szCs w:val="24"/>
          <w:highlight w:val="none"/>
        </w:rPr>
        <w:t>投标文件的密封和标记</w:t>
      </w:r>
      <w:bookmarkEnd w:id="38"/>
      <w:bookmarkStart w:id="39" w:name="_Toc98580410"/>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lang w:eastAsia="zh-CN"/>
        </w:rPr>
        <w:t>采用电子招标）</w:t>
      </w:r>
    </w:p>
    <w:bookmarkEnd w:id="39"/>
    <w:p w14:paraId="2559F0BC">
      <w:pPr>
        <w:pStyle w:val="4"/>
        <w:spacing w:before="0" w:after="0" w:line="288" w:lineRule="auto"/>
        <w:rPr>
          <w:rFonts w:ascii="宋体" w:hAnsi="宋体" w:cs="宋体"/>
          <w:color w:val="auto"/>
          <w:sz w:val="24"/>
          <w:szCs w:val="24"/>
          <w:highlight w:val="none"/>
        </w:rPr>
      </w:pPr>
      <w:r>
        <w:rPr>
          <w:rFonts w:hint="eastAsia" w:ascii="宋体" w:hAnsi="宋体" w:cs="宋体"/>
          <w:color w:val="auto"/>
          <w:sz w:val="24"/>
          <w:szCs w:val="24"/>
          <w:highlight w:val="none"/>
        </w:rPr>
        <w:t>17.递交投标文件的截止时间</w:t>
      </w:r>
    </w:p>
    <w:p w14:paraId="4571EE86">
      <w:pPr>
        <w:spacing w:line="288" w:lineRule="auto"/>
        <w:ind w:left="516" w:hanging="516" w:hangingChars="215"/>
        <w:jc w:val="both"/>
        <w:rPr>
          <w:rFonts w:ascii="宋体" w:hAnsi="宋体" w:cs="宋体"/>
          <w:color w:val="auto"/>
          <w:sz w:val="24"/>
          <w:szCs w:val="24"/>
          <w:highlight w:val="none"/>
        </w:rPr>
      </w:pPr>
      <w:r>
        <w:rPr>
          <w:rFonts w:hint="eastAsia" w:ascii="宋体" w:hAnsi="宋体" w:cs="宋体"/>
          <w:color w:val="auto"/>
          <w:sz w:val="24"/>
          <w:szCs w:val="24"/>
          <w:highlight w:val="none"/>
        </w:rPr>
        <w:t>17.1投标截止时间之前</w:t>
      </w:r>
      <w:r>
        <w:rPr>
          <w:rFonts w:hint="eastAsia" w:ascii="宋体" w:hAnsi="宋体" w:cs="宋体"/>
          <w:color w:val="auto"/>
          <w:sz w:val="24"/>
          <w:szCs w:val="24"/>
          <w:highlight w:val="none"/>
          <w:lang w:val="en-US" w:eastAsia="zh-CN"/>
        </w:rPr>
        <w:t>上传至</w:t>
      </w:r>
      <w:r>
        <w:rPr>
          <w:rFonts w:hint="eastAsia" w:ascii="宋体" w:hAnsi="宋体" w:eastAsia="宋体" w:cs="宋体"/>
          <w:color w:val="auto"/>
          <w:sz w:val="24"/>
          <w:szCs w:val="24"/>
          <w:highlight w:val="none"/>
          <w:lang w:val="zh-CN"/>
        </w:rPr>
        <w:t>“政采云”平台</w:t>
      </w:r>
      <w:r>
        <w:rPr>
          <w:rFonts w:hint="eastAsia" w:ascii="宋体" w:hAnsi="宋体" w:cs="宋体"/>
          <w:color w:val="auto"/>
          <w:sz w:val="24"/>
          <w:szCs w:val="24"/>
          <w:highlight w:val="none"/>
        </w:rPr>
        <w:t>。</w:t>
      </w:r>
    </w:p>
    <w:p w14:paraId="582A829F">
      <w:pPr>
        <w:spacing w:line="288" w:lineRule="auto"/>
        <w:ind w:left="504" w:hanging="504" w:hangingChars="210"/>
        <w:rPr>
          <w:rFonts w:ascii="宋体" w:hAnsi="宋体" w:cs="宋体"/>
          <w:color w:val="auto"/>
          <w:sz w:val="24"/>
          <w:szCs w:val="24"/>
          <w:highlight w:val="none"/>
        </w:rPr>
      </w:pPr>
      <w:r>
        <w:rPr>
          <w:rFonts w:hint="eastAsia" w:ascii="宋体" w:hAnsi="宋体" w:cs="宋体"/>
          <w:color w:val="auto"/>
          <w:sz w:val="24"/>
          <w:szCs w:val="24"/>
          <w:highlight w:val="none"/>
        </w:rPr>
        <w:t>17.2 招标机构推迟投标截止时间时，在</w:t>
      </w:r>
      <w:r>
        <w:rPr>
          <w:rFonts w:hint="eastAsia" w:ascii="宋体" w:hAnsi="宋体" w:cs="宋体"/>
          <w:color w:val="auto"/>
          <w:sz w:val="24"/>
          <w:szCs w:val="24"/>
          <w:highlight w:val="none"/>
          <w:lang w:eastAsia="zh-CN"/>
        </w:rPr>
        <w:t>“政采云”平台</w:t>
      </w:r>
      <w:r>
        <w:rPr>
          <w:rFonts w:hint="eastAsia" w:ascii="宋体" w:hAnsi="宋体" w:cs="宋体"/>
          <w:color w:val="auto"/>
          <w:sz w:val="24"/>
          <w:szCs w:val="24"/>
          <w:highlight w:val="none"/>
        </w:rPr>
        <w:t>上发布推迟信息。在这种情况下，招标机构和供应商的权利和义务将受到新的截止期的约束。</w:t>
      </w:r>
    </w:p>
    <w:p w14:paraId="556BA1F6">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 </w:t>
      </w:r>
      <w:r>
        <w:rPr>
          <w:rFonts w:hint="eastAsia" w:ascii="宋体" w:hAnsi="宋体" w:eastAsia="宋体" w:cs="宋体"/>
          <w:color w:val="auto"/>
          <w:sz w:val="24"/>
          <w:szCs w:val="24"/>
          <w:highlight w:val="none"/>
        </w:rPr>
        <w:t>因投标投标人自身原因未能按时完成解密的，视为逾期未提交投标文件，其投标无效</w:t>
      </w:r>
      <w:r>
        <w:rPr>
          <w:rFonts w:hint="eastAsia" w:ascii="宋体" w:hAnsi="宋体" w:cs="宋体"/>
          <w:color w:val="auto"/>
          <w:sz w:val="24"/>
          <w:szCs w:val="24"/>
          <w:highlight w:val="none"/>
        </w:rPr>
        <w:t>。</w:t>
      </w:r>
    </w:p>
    <w:p w14:paraId="5B1DB980">
      <w:pPr>
        <w:spacing w:line="288"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18.投标文件修改和撤消</w:t>
      </w:r>
    </w:p>
    <w:p w14:paraId="1DD32D0C">
      <w:pPr>
        <w:spacing w:line="288" w:lineRule="auto"/>
        <w:ind w:left="588" w:hanging="588" w:hangingChars="245"/>
        <w:rPr>
          <w:rFonts w:ascii="宋体" w:hAnsi="宋体" w:cs="宋体"/>
          <w:color w:val="auto"/>
          <w:sz w:val="24"/>
          <w:szCs w:val="24"/>
          <w:highlight w:val="none"/>
        </w:rPr>
      </w:pPr>
      <w:r>
        <w:rPr>
          <w:rFonts w:hint="eastAsia" w:ascii="宋体" w:hAnsi="宋体" w:cs="宋体"/>
          <w:color w:val="auto"/>
          <w:sz w:val="24"/>
          <w:szCs w:val="24"/>
          <w:highlight w:val="none"/>
        </w:rPr>
        <w:t>18.1 投标以后，如果供应商提出书面修改和撤标要求，在投标截止时间前送达招标机构者，招标机构可以予以接受。但不退还投标文件。</w:t>
      </w:r>
    </w:p>
    <w:p w14:paraId="64D0C661">
      <w:pPr>
        <w:spacing w:line="288" w:lineRule="auto"/>
        <w:ind w:left="530" w:hanging="530" w:hangingChars="221"/>
        <w:rPr>
          <w:rFonts w:ascii="宋体" w:hAnsi="宋体" w:cs="宋体"/>
          <w:color w:val="auto"/>
          <w:sz w:val="24"/>
          <w:szCs w:val="24"/>
          <w:highlight w:val="none"/>
        </w:rPr>
      </w:pPr>
      <w:r>
        <w:rPr>
          <w:rFonts w:hint="eastAsia" w:ascii="宋体" w:hAnsi="宋体" w:cs="宋体"/>
          <w:color w:val="auto"/>
          <w:sz w:val="24"/>
          <w:szCs w:val="24"/>
          <w:highlight w:val="none"/>
        </w:rPr>
        <w:t>18.2 供应商修改投标文件的书面材料，须密封送达招标机构，同时应在封套上标明“修改投标文件(并注明招标编号)”和“开标时启封”字样。</w:t>
      </w:r>
    </w:p>
    <w:p w14:paraId="55961B14">
      <w:pPr>
        <w:spacing w:line="288" w:lineRule="auto"/>
        <w:ind w:left="516" w:hanging="516" w:hangingChars="215"/>
        <w:rPr>
          <w:rFonts w:ascii="宋体" w:hAnsi="宋体" w:cs="宋体"/>
          <w:color w:val="auto"/>
          <w:sz w:val="24"/>
          <w:szCs w:val="24"/>
          <w:highlight w:val="none"/>
        </w:rPr>
      </w:pPr>
      <w:r>
        <w:rPr>
          <w:rFonts w:hint="eastAsia" w:ascii="宋体" w:hAnsi="宋体" w:cs="宋体"/>
          <w:color w:val="auto"/>
          <w:sz w:val="24"/>
          <w:szCs w:val="24"/>
          <w:highlight w:val="none"/>
        </w:rPr>
        <w:t>18.3 撤消投标应以书面(或传真)的形式通知招标机构。如采取传真形式撤回投标，随后必须补充有法人代表或授权代表签署的要求撤消投标的正式文件。撤消投标的时间以送达招标机构或邮电到达日戳为准。</w:t>
      </w:r>
    </w:p>
    <w:p w14:paraId="22859924">
      <w:pPr>
        <w:spacing w:line="288"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18.4投标截止时间以后不得修改投标文件；</w:t>
      </w:r>
    </w:p>
    <w:p w14:paraId="018CD9E9">
      <w:pPr>
        <w:spacing w:line="288"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18.5开标后供应商不得撤回投标。</w:t>
      </w:r>
    </w:p>
    <w:p w14:paraId="6CAA9B21">
      <w:pPr>
        <w:pStyle w:val="3"/>
        <w:spacing w:before="0" w:after="0" w:line="288" w:lineRule="auto"/>
        <w:jc w:val="center"/>
        <w:rPr>
          <w:rFonts w:ascii="宋体" w:hAnsi="宋体" w:eastAsia="宋体" w:cs="宋体"/>
          <w:color w:val="auto"/>
          <w:sz w:val="24"/>
          <w:szCs w:val="24"/>
          <w:highlight w:val="none"/>
        </w:rPr>
      </w:pPr>
      <w:bookmarkStart w:id="40" w:name="_Toc98580411"/>
      <w:r>
        <w:rPr>
          <w:rFonts w:hint="eastAsia" w:ascii="宋体" w:hAnsi="宋体" w:eastAsia="宋体" w:cs="宋体"/>
          <w:color w:val="auto"/>
          <w:sz w:val="24"/>
          <w:szCs w:val="24"/>
          <w:highlight w:val="none"/>
        </w:rPr>
        <w:t>E开标及评标</w:t>
      </w:r>
      <w:bookmarkEnd w:id="40"/>
    </w:p>
    <w:p w14:paraId="3B75C0EA">
      <w:pPr>
        <w:pStyle w:val="4"/>
        <w:spacing w:before="0" w:after="0" w:line="288" w:lineRule="auto"/>
        <w:rPr>
          <w:rFonts w:ascii="宋体" w:hAnsi="宋体" w:cs="宋体"/>
          <w:color w:val="auto"/>
          <w:sz w:val="24"/>
          <w:szCs w:val="24"/>
          <w:highlight w:val="none"/>
        </w:rPr>
      </w:pPr>
      <w:bookmarkStart w:id="41" w:name="_Toc98580412"/>
      <w:bookmarkStart w:id="42" w:name="_Toc98580413"/>
      <w:r>
        <w:rPr>
          <w:rFonts w:hint="eastAsia" w:ascii="宋体" w:hAnsi="宋体" w:cs="宋体"/>
          <w:color w:val="auto"/>
          <w:sz w:val="24"/>
          <w:szCs w:val="24"/>
          <w:highlight w:val="none"/>
        </w:rPr>
        <w:t>19.开标</w:t>
      </w:r>
      <w:bookmarkEnd w:id="41"/>
    </w:p>
    <w:p w14:paraId="3CEEE3D2">
      <w:pPr>
        <w:spacing w:line="288" w:lineRule="auto"/>
        <w:ind w:left="545" w:hanging="544" w:hangingChars="227"/>
        <w:rPr>
          <w:rFonts w:ascii="宋体" w:hAnsi="宋体" w:cs="宋体"/>
          <w:color w:val="auto"/>
          <w:sz w:val="24"/>
          <w:szCs w:val="24"/>
          <w:highlight w:val="none"/>
        </w:rPr>
      </w:pPr>
      <w:r>
        <w:rPr>
          <w:rFonts w:hint="eastAsia" w:ascii="宋体" w:hAnsi="宋体" w:cs="宋体"/>
          <w:color w:val="auto"/>
          <w:sz w:val="24"/>
          <w:szCs w:val="24"/>
          <w:highlight w:val="none"/>
        </w:rPr>
        <w:t>19.1 采购代理机构按招标文件规定的时间、地点主持公开开标。开标仪式由采购代理机构主持，采购人代表及有关工作人员参加。</w:t>
      </w:r>
    </w:p>
    <w:p w14:paraId="0B4ED4F6">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19.2 供应商派代表</w:t>
      </w:r>
      <w:r>
        <w:rPr>
          <w:rFonts w:hint="eastAsia" w:ascii="宋体" w:hAnsi="宋体" w:cs="宋体"/>
          <w:color w:val="auto"/>
          <w:sz w:val="24"/>
          <w:szCs w:val="24"/>
          <w:highlight w:val="none"/>
          <w:lang w:val="en-US" w:eastAsia="zh-CN"/>
        </w:rPr>
        <w:t>线上</w:t>
      </w:r>
      <w:r>
        <w:rPr>
          <w:rFonts w:hint="eastAsia" w:ascii="宋体" w:hAnsi="宋体" w:cs="宋体"/>
          <w:color w:val="auto"/>
          <w:sz w:val="24"/>
          <w:szCs w:val="24"/>
          <w:highlight w:val="none"/>
        </w:rPr>
        <w:t>参加开标仪式。</w:t>
      </w:r>
    </w:p>
    <w:p w14:paraId="046BF138">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19.3 采购代理机构在开标仪式上，将公开唱出所有供应商的“开标一览表”内容及投标声明，以及采购机构认为合适的其它内容并记录。</w:t>
      </w:r>
    </w:p>
    <w:p w14:paraId="5E258D60">
      <w:pPr>
        <w:pStyle w:val="4"/>
        <w:spacing w:before="0" w:after="0" w:line="288" w:lineRule="auto"/>
        <w:rPr>
          <w:rFonts w:ascii="宋体" w:hAnsi="宋体" w:cs="宋体"/>
          <w:color w:val="auto"/>
          <w:sz w:val="24"/>
          <w:szCs w:val="24"/>
          <w:highlight w:val="none"/>
        </w:rPr>
      </w:pPr>
      <w:r>
        <w:rPr>
          <w:rFonts w:hint="eastAsia" w:ascii="宋体" w:hAnsi="宋体" w:cs="宋体"/>
          <w:color w:val="auto"/>
          <w:sz w:val="24"/>
          <w:szCs w:val="24"/>
          <w:highlight w:val="none"/>
        </w:rPr>
        <w:t>20.对投标文件的初审</w:t>
      </w:r>
      <w:bookmarkEnd w:id="42"/>
    </w:p>
    <w:p w14:paraId="12E6AE18">
      <w:pPr>
        <w:spacing w:line="288" w:lineRule="auto"/>
        <w:ind w:left="1"/>
        <w:rPr>
          <w:rFonts w:ascii="宋体" w:hAnsi="宋体" w:cs="宋体"/>
          <w:color w:val="auto"/>
          <w:sz w:val="24"/>
          <w:szCs w:val="24"/>
          <w:highlight w:val="none"/>
        </w:rPr>
      </w:pPr>
      <w:r>
        <w:rPr>
          <w:rFonts w:hint="eastAsia" w:ascii="宋体" w:hAnsi="宋体" w:cs="宋体"/>
          <w:color w:val="auto"/>
          <w:sz w:val="24"/>
          <w:szCs w:val="24"/>
          <w:highlight w:val="none"/>
        </w:rPr>
        <w:t xml:space="preserve">20.1 采购人根据招标项目特点组建评标委员会，采购人代表和技术经济及其他有关方面的专家组成。 </w:t>
      </w:r>
    </w:p>
    <w:p w14:paraId="1994C559">
      <w:pPr>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评标委员会对投标文件进行初审，初审内容为投标文件是否符合招标文件的要求、内容是否完整、价格构成有无计算错误、文件签署是否齐全及验证保证金以及投标文件是否具有实质响应性。</w:t>
      </w:r>
    </w:p>
    <w:p w14:paraId="12B3832C">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20.2 初审中，对价格的计算错误按下述原则修正：</w:t>
      </w:r>
    </w:p>
    <w:p w14:paraId="6D0F7526">
      <w:pPr>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如果单价乘数量不等于总价，应以单价为准修正总价。</w:t>
      </w:r>
    </w:p>
    <w:p w14:paraId="21BFEFB2">
      <w:pPr>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如果以文字表示的数据与数字表示的有差别，应以文字为准修正数字。</w:t>
      </w:r>
    </w:p>
    <w:p w14:paraId="3C0CCCBC">
      <w:pPr>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供应商不同意以上修正，则其投标将被拒绝。</w:t>
      </w:r>
    </w:p>
    <w:p w14:paraId="3A53FDD7">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20.3 与招标文件有重大偏离的投标文件将被视为具有非实质响应性的投标文件而被拒绝。</w:t>
      </w:r>
    </w:p>
    <w:p w14:paraId="11CADE91">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重大偏离系指投标项目的服务范围、质量、数量及交货期明显不能满足招标文件的要求，或限制了采购人的权力和供应商的义务的规定，而纠正这些偏离将影响到其它提交实质性响应投标的供应商的公平竞争地位。这些偏离不允许在开标后修正。但招标机构将允许修改投标中不构成重大偏离的、微小的、非正规的、不一致或不规则的地方。评委会对投标文件的判定，只依据投标内容本身，不依据开标后的任何外来证明。</w:t>
      </w:r>
    </w:p>
    <w:p w14:paraId="7FC530B9">
      <w:pPr>
        <w:spacing w:line="288" w:lineRule="auto"/>
        <w:rPr>
          <w:rFonts w:ascii="宋体" w:hAnsi="宋体" w:cs="宋体"/>
          <w:b/>
          <w:color w:val="auto"/>
          <w:sz w:val="24"/>
          <w:szCs w:val="24"/>
          <w:highlight w:val="none"/>
        </w:rPr>
      </w:pPr>
      <w:r>
        <w:rPr>
          <w:rFonts w:hint="eastAsia" w:ascii="宋体" w:hAnsi="宋体" w:cs="宋体"/>
          <w:color w:val="auto"/>
          <w:sz w:val="24"/>
          <w:szCs w:val="24"/>
          <w:highlight w:val="none"/>
        </w:rPr>
        <w:t>20.4 投标有下列情况之一者，</w:t>
      </w:r>
      <w:r>
        <w:rPr>
          <w:rFonts w:hint="eastAsia" w:ascii="宋体" w:hAnsi="宋体" w:cs="宋体"/>
          <w:b/>
          <w:color w:val="auto"/>
          <w:sz w:val="24"/>
          <w:szCs w:val="24"/>
          <w:highlight w:val="none"/>
        </w:rPr>
        <w:t>将被视为非实质性响应的投标而被拒绝：</w:t>
      </w:r>
    </w:p>
    <w:p w14:paraId="22C5F05E">
      <w:pPr>
        <w:numPr>
          <w:ilvl w:val="0"/>
          <w:numId w:val="2"/>
        </w:numPr>
        <w:tabs>
          <w:tab w:val="left" w:pos="686"/>
          <w:tab w:val="clear" w:pos="1080"/>
        </w:tabs>
        <w:spacing w:line="288" w:lineRule="auto"/>
        <w:ind w:left="480" w:hanging="480" w:hangingChars="200"/>
        <w:rPr>
          <w:rFonts w:ascii="宋体" w:hAnsi="宋体" w:cs="宋体"/>
          <w:color w:val="auto"/>
          <w:sz w:val="24"/>
          <w:szCs w:val="24"/>
          <w:highlight w:val="none"/>
        </w:rPr>
      </w:pPr>
      <w:r>
        <w:rPr>
          <w:rFonts w:hint="eastAsia" w:ascii="宋体" w:hAnsi="宋体" w:cs="宋体"/>
          <w:color w:val="auto"/>
          <w:sz w:val="24"/>
          <w:szCs w:val="24"/>
          <w:highlight w:val="none"/>
        </w:rPr>
        <w:t>资格条件及证明文件不符合招标文件要求的；</w:t>
      </w:r>
    </w:p>
    <w:p w14:paraId="323273F6">
      <w:pPr>
        <w:numPr>
          <w:ilvl w:val="0"/>
          <w:numId w:val="2"/>
        </w:numPr>
        <w:tabs>
          <w:tab w:val="left" w:pos="686"/>
          <w:tab w:val="clear" w:pos="1080"/>
        </w:tabs>
        <w:spacing w:line="288" w:lineRule="auto"/>
        <w:ind w:left="0" w:firstLine="0"/>
        <w:rPr>
          <w:rFonts w:ascii="宋体" w:hAnsi="宋体" w:cs="宋体"/>
          <w:color w:val="auto"/>
          <w:sz w:val="24"/>
          <w:szCs w:val="24"/>
          <w:highlight w:val="none"/>
        </w:rPr>
      </w:pPr>
      <w:r>
        <w:rPr>
          <w:rFonts w:hint="eastAsia" w:ascii="宋体" w:hAnsi="宋体" w:cs="宋体"/>
          <w:color w:val="auto"/>
          <w:sz w:val="24"/>
          <w:szCs w:val="24"/>
          <w:highlight w:val="none"/>
        </w:rPr>
        <w:t>投标文件无公章或无法定代表人签字，或签字人无法定代表人有效授权书的，或未按要求签字、盖公章的；</w:t>
      </w:r>
    </w:p>
    <w:p w14:paraId="0833463A">
      <w:pPr>
        <w:numPr>
          <w:ilvl w:val="0"/>
          <w:numId w:val="2"/>
        </w:numPr>
        <w:tabs>
          <w:tab w:val="left" w:pos="700"/>
          <w:tab w:val="clear" w:pos="1080"/>
        </w:tabs>
        <w:spacing w:line="288" w:lineRule="auto"/>
        <w:ind w:left="480" w:hanging="480" w:hangingChars="200"/>
        <w:rPr>
          <w:rFonts w:ascii="宋体" w:hAnsi="宋体" w:cs="宋体"/>
          <w:color w:val="auto"/>
          <w:sz w:val="24"/>
          <w:szCs w:val="24"/>
          <w:highlight w:val="none"/>
        </w:rPr>
      </w:pPr>
      <w:r>
        <w:rPr>
          <w:rFonts w:hint="eastAsia" w:ascii="宋体" w:hAnsi="宋体" w:cs="宋体"/>
          <w:color w:val="auto"/>
          <w:sz w:val="24"/>
          <w:szCs w:val="24"/>
          <w:highlight w:val="none"/>
        </w:rPr>
        <w:t>不能满足投标有效期的；</w:t>
      </w:r>
    </w:p>
    <w:p w14:paraId="5A50C8C6">
      <w:pPr>
        <w:numPr>
          <w:ilvl w:val="0"/>
          <w:numId w:val="2"/>
        </w:numPr>
        <w:tabs>
          <w:tab w:val="left" w:pos="700"/>
          <w:tab w:val="clear" w:pos="1080"/>
        </w:tabs>
        <w:spacing w:line="288" w:lineRule="auto"/>
        <w:ind w:left="480" w:hanging="480" w:hangingChars="200"/>
        <w:rPr>
          <w:rFonts w:ascii="宋体" w:hAnsi="宋体" w:cs="宋体"/>
          <w:color w:val="auto"/>
          <w:sz w:val="24"/>
          <w:szCs w:val="24"/>
          <w:highlight w:val="none"/>
        </w:rPr>
      </w:pPr>
      <w:r>
        <w:rPr>
          <w:rFonts w:hint="eastAsia" w:ascii="宋体" w:hAnsi="宋体" w:cs="宋体"/>
          <w:color w:val="auto"/>
          <w:sz w:val="24"/>
          <w:szCs w:val="24"/>
          <w:highlight w:val="none"/>
        </w:rPr>
        <w:t>投标明显不符合技术规格、技术标准的要求；</w:t>
      </w:r>
    </w:p>
    <w:p w14:paraId="5B2EB8C7">
      <w:pPr>
        <w:numPr>
          <w:ilvl w:val="0"/>
          <w:numId w:val="2"/>
        </w:numPr>
        <w:tabs>
          <w:tab w:val="left" w:pos="714"/>
          <w:tab w:val="clear" w:pos="1080"/>
        </w:tabs>
        <w:spacing w:line="288" w:lineRule="auto"/>
        <w:ind w:left="480" w:hanging="480" w:hangingChars="200"/>
        <w:rPr>
          <w:rFonts w:ascii="宋体" w:hAnsi="宋体" w:cs="宋体"/>
          <w:color w:val="auto"/>
          <w:sz w:val="24"/>
          <w:szCs w:val="24"/>
          <w:highlight w:val="none"/>
        </w:rPr>
      </w:pPr>
      <w:r>
        <w:rPr>
          <w:rFonts w:hint="eastAsia" w:ascii="宋体" w:hAnsi="宋体" w:cs="宋体"/>
          <w:color w:val="auto"/>
          <w:sz w:val="24"/>
          <w:szCs w:val="24"/>
          <w:highlight w:val="none"/>
        </w:rPr>
        <w:t>投标文件附有买方不能接受的条件；</w:t>
      </w:r>
    </w:p>
    <w:p w14:paraId="4020418A">
      <w:pPr>
        <w:numPr>
          <w:ilvl w:val="0"/>
          <w:numId w:val="2"/>
        </w:numPr>
        <w:tabs>
          <w:tab w:val="left" w:pos="714"/>
          <w:tab w:val="clear" w:pos="1080"/>
        </w:tabs>
        <w:spacing w:line="288" w:lineRule="auto"/>
        <w:ind w:left="480" w:hanging="480" w:hangingChars="200"/>
        <w:rPr>
          <w:rFonts w:ascii="宋体" w:hAnsi="宋体" w:cs="宋体"/>
          <w:color w:val="auto"/>
          <w:sz w:val="24"/>
          <w:szCs w:val="24"/>
          <w:highlight w:val="none"/>
        </w:rPr>
      </w:pPr>
      <w:r>
        <w:rPr>
          <w:rFonts w:hint="eastAsia" w:ascii="宋体" w:hAnsi="宋体" w:cs="宋体"/>
          <w:color w:val="auto"/>
          <w:sz w:val="24"/>
          <w:szCs w:val="24"/>
          <w:highlight w:val="none"/>
        </w:rPr>
        <w:t>投标报价超过采购预算的；</w:t>
      </w:r>
    </w:p>
    <w:p w14:paraId="0A638C48">
      <w:pPr>
        <w:numPr>
          <w:ilvl w:val="0"/>
          <w:numId w:val="2"/>
        </w:numPr>
        <w:tabs>
          <w:tab w:val="left" w:pos="714"/>
          <w:tab w:val="clear" w:pos="1080"/>
        </w:tabs>
        <w:spacing w:line="288" w:lineRule="auto"/>
        <w:ind w:left="480" w:hanging="480" w:hangingChars="200"/>
        <w:rPr>
          <w:rFonts w:ascii="宋体" w:hAnsi="宋体" w:cs="宋体"/>
          <w:color w:val="auto"/>
          <w:sz w:val="24"/>
          <w:szCs w:val="24"/>
          <w:highlight w:val="none"/>
        </w:rPr>
      </w:pPr>
      <w:r>
        <w:rPr>
          <w:rFonts w:hint="eastAsia" w:ascii="宋体" w:hAnsi="宋体" w:cs="宋体"/>
          <w:color w:val="auto"/>
          <w:sz w:val="24"/>
          <w:szCs w:val="24"/>
          <w:highlight w:val="none"/>
        </w:rPr>
        <w:t>未响应招标文件规定的其它实质性条款。</w:t>
      </w:r>
    </w:p>
    <w:p w14:paraId="2FD8AB2F">
      <w:pPr>
        <w:pStyle w:val="4"/>
        <w:spacing w:before="0" w:after="0" w:line="288" w:lineRule="auto"/>
        <w:rPr>
          <w:rFonts w:ascii="宋体" w:hAnsi="宋体" w:cs="宋体"/>
          <w:color w:val="auto"/>
          <w:sz w:val="24"/>
          <w:szCs w:val="24"/>
          <w:highlight w:val="none"/>
        </w:rPr>
      </w:pPr>
      <w:bookmarkStart w:id="43" w:name="_Toc98580414"/>
      <w:r>
        <w:rPr>
          <w:rFonts w:hint="eastAsia" w:ascii="宋体" w:hAnsi="宋体" w:cs="宋体"/>
          <w:color w:val="auto"/>
          <w:sz w:val="24"/>
          <w:szCs w:val="24"/>
          <w:highlight w:val="none"/>
        </w:rPr>
        <w:t>21.投标的澄清</w:t>
      </w:r>
      <w:bookmarkEnd w:id="43"/>
    </w:p>
    <w:p w14:paraId="0A3CDCF2">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21.1 招标机构有权就投标文件中含混之处向供应商提出询问或澄清要求，或要求其补充某些材料。供应商必须按照招标机构通知的时间、地点派技术和商务人员进行答疑和澄清。</w:t>
      </w:r>
    </w:p>
    <w:p w14:paraId="11D357FE">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21.2 必要时招标机构可要求供应商就澄清的问题作书面回答，该书面回答应有投标全权代表的签章，并将作为投标内容的一部分。</w:t>
      </w:r>
    </w:p>
    <w:p w14:paraId="5B3C06B9">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21.3 供应商对投标文件的澄清不得改变投标价格及实质内容。</w:t>
      </w:r>
    </w:p>
    <w:p w14:paraId="65163D02">
      <w:pPr>
        <w:pStyle w:val="4"/>
        <w:spacing w:before="0" w:after="0" w:line="288" w:lineRule="auto"/>
        <w:rPr>
          <w:rFonts w:ascii="宋体" w:hAnsi="宋体" w:cs="宋体"/>
          <w:color w:val="auto"/>
          <w:sz w:val="24"/>
          <w:szCs w:val="24"/>
          <w:highlight w:val="none"/>
        </w:rPr>
      </w:pPr>
      <w:bookmarkStart w:id="44" w:name="_Toc98580415"/>
      <w:bookmarkStart w:id="45" w:name="_Toc98580416"/>
      <w:r>
        <w:rPr>
          <w:rFonts w:hint="eastAsia" w:ascii="宋体" w:hAnsi="宋体" w:cs="宋体"/>
          <w:color w:val="auto"/>
          <w:sz w:val="24"/>
          <w:szCs w:val="24"/>
          <w:highlight w:val="none"/>
        </w:rPr>
        <w:t>22.评标</w:t>
      </w:r>
      <w:bookmarkEnd w:id="44"/>
    </w:p>
    <w:p w14:paraId="7D4A0F41">
      <w:pPr>
        <w:autoSpaceDE w:val="0"/>
        <w:autoSpaceDN w:val="0"/>
        <w:spacing w:line="288" w:lineRule="auto"/>
        <w:textAlignment w:val="bottom"/>
        <w:rPr>
          <w:rFonts w:ascii="宋体" w:hAnsi="宋体" w:cs="宋体"/>
          <w:bCs/>
          <w:color w:val="auto"/>
          <w:sz w:val="24"/>
          <w:szCs w:val="24"/>
          <w:highlight w:val="none"/>
        </w:rPr>
      </w:pPr>
      <w:r>
        <w:rPr>
          <w:rFonts w:hint="eastAsia" w:ascii="宋体" w:hAnsi="宋体" w:cs="宋体"/>
          <w:bCs/>
          <w:color w:val="auto"/>
          <w:sz w:val="24"/>
          <w:szCs w:val="24"/>
          <w:highlight w:val="none"/>
        </w:rPr>
        <w:t>22.1 原则：对所有供应商的投标评估，都采用相同的程序和标准。</w:t>
      </w:r>
    </w:p>
    <w:p w14:paraId="43935399">
      <w:pPr>
        <w:autoSpaceDE w:val="0"/>
        <w:autoSpaceDN w:val="0"/>
        <w:spacing w:line="288" w:lineRule="auto"/>
        <w:textAlignment w:val="bottom"/>
        <w:rPr>
          <w:rFonts w:ascii="宋体" w:hAnsi="宋体" w:cs="宋体"/>
          <w:bCs/>
          <w:color w:val="auto"/>
          <w:sz w:val="24"/>
          <w:szCs w:val="24"/>
          <w:highlight w:val="none"/>
        </w:rPr>
      </w:pPr>
      <w:r>
        <w:rPr>
          <w:rFonts w:hint="eastAsia" w:ascii="宋体" w:hAnsi="宋体" w:cs="宋体"/>
          <w:color w:val="auto"/>
          <w:sz w:val="24"/>
          <w:szCs w:val="24"/>
          <w:highlight w:val="none"/>
        </w:rPr>
        <w:t>22.2 标准：评标严格按照招标文件的要求和条件进行。</w:t>
      </w:r>
    </w:p>
    <w:p w14:paraId="174767B5">
      <w:pPr>
        <w:pStyle w:val="4"/>
        <w:spacing w:before="0" w:after="0" w:line="288" w:lineRule="auto"/>
        <w:rPr>
          <w:rFonts w:ascii="宋体" w:hAnsi="宋体" w:cs="宋体"/>
          <w:color w:val="auto"/>
          <w:sz w:val="24"/>
          <w:szCs w:val="24"/>
          <w:highlight w:val="none"/>
        </w:rPr>
      </w:pPr>
      <w:r>
        <w:rPr>
          <w:rFonts w:hint="eastAsia" w:ascii="宋体" w:hAnsi="宋体" w:cs="宋体"/>
          <w:color w:val="auto"/>
          <w:sz w:val="24"/>
          <w:szCs w:val="24"/>
          <w:highlight w:val="none"/>
        </w:rPr>
        <w:t>23.评标过程保密</w:t>
      </w:r>
      <w:bookmarkEnd w:id="45"/>
    </w:p>
    <w:p w14:paraId="0DB5A298">
      <w:pPr>
        <w:spacing w:line="288" w:lineRule="auto"/>
        <w:ind w:left="516" w:hanging="516" w:hangingChars="215"/>
        <w:jc w:val="both"/>
        <w:rPr>
          <w:rFonts w:ascii="宋体" w:hAnsi="宋体" w:cs="宋体"/>
          <w:color w:val="auto"/>
          <w:sz w:val="24"/>
          <w:szCs w:val="24"/>
          <w:highlight w:val="none"/>
        </w:rPr>
      </w:pPr>
      <w:r>
        <w:rPr>
          <w:rFonts w:hint="eastAsia" w:ascii="宋体" w:hAnsi="宋体" w:cs="宋体"/>
          <w:color w:val="auto"/>
          <w:sz w:val="24"/>
          <w:szCs w:val="24"/>
          <w:highlight w:val="none"/>
        </w:rPr>
        <w:t>23.1有关投标文件的审查、澄清、评估和比较以及有关授予合同意向的一切情况均不得透露给任一供应商或与上述评标工作无关的人员；</w:t>
      </w:r>
    </w:p>
    <w:p w14:paraId="202EF3BC">
      <w:pPr>
        <w:spacing w:line="288" w:lineRule="auto"/>
        <w:ind w:left="516" w:hanging="516" w:hangingChars="215"/>
        <w:rPr>
          <w:rFonts w:ascii="宋体" w:hAnsi="宋体" w:cs="宋体"/>
          <w:b/>
          <w:color w:val="auto"/>
          <w:sz w:val="24"/>
          <w:szCs w:val="24"/>
          <w:highlight w:val="none"/>
        </w:rPr>
      </w:pPr>
      <w:r>
        <w:rPr>
          <w:rFonts w:hint="eastAsia" w:ascii="宋体" w:hAnsi="宋体" w:cs="宋体"/>
          <w:color w:val="auto"/>
          <w:sz w:val="24"/>
          <w:szCs w:val="24"/>
          <w:highlight w:val="none"/>
        </w:rPr>
        <w:t>23.2在评标期间，供应商企图影响招标方的任何活动，将导致投标被拒绝，并承担相应的法律责任。</w:t>
      </w:r>
    </w:p>
    <w:p w14:paraId="6414397B">
      <w:pPr>
        <w:spacing w:line="288"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F  确定中标</w:t>
      </w:r>
    </w:p>
    <w:p w14:paraId="2E0E9B40">
      <w:pPr>
        <w:pStyle w:val="4"/>
        <w:spacing w:before="0" w:after="0" w:line="288" w:lineRule="auto"/>
        <w:rPr>
          <w:rFonts w:ascii="宋体" w:hAnsi="宋体" w:cs="宋体"/>
          <w:color w:val="auto"/>
          <w:sz w:val="24"/>
          <w:szCs w:val="24"/>
          <w:highlight w:val="none"/>
        </w:rPr>
      </w:pPr>
      <w:bookmarkStart w:id="46" w:name="_Toc98580417"/>
      <w:r>
        <w:rPr>
          <w:rFonts w:hint="eastAsia" w:ascii="宋体" w:hAnsi="宋体" w:cs="宋体"/>
          <w:color w:val="auto"/>
          <w:sz w:val="24"/>
          <w:szCs w:val="24"/>
          <w:highlight w:val="none"/>
        </w:rPr>
        <w:t>24.最终审查</w:t>
      </w:r>
      <w:bookmarkEnd w:id="46"/>
    </w:p>
    <w:p w14:paraId="5D74670D">
      <w:pPr>
        <w:spacing w:line="288" w:lineRule="auto"/>
        <w:ind w:left="572" w:leftChars="14" w:hanging="544" w:hangingChars="227"/>
        <w:jc w:val="both"/>
        <w:rPr>
          <w:rFonts w:ascii="宋体" w:hAnsi="宋体" w:cs="宋体"/>
          <w:color w:val="auto"/>
          <w:sz w:val="24"/>
          <w:szCs w:val="24"/>
          <w:highlight w:val="none"/>
        </w:rPr>
      </w:pPr>
      <w:r>
        <w:rPr>
          <w:rFonts w:hint="eastAsia" w:ascii="宋体" w:hAnsi="宋体" w:cs="宋体"/>
          <w:color w:val="auto"/>
          <w:sz w:val="24"/>
          <w:szCs w:val="24"/>
          <w:highlight w:val="none"/>
        </w:rPr>
        <w:t xml:space="preserve">24.1评标委员会按照招标文件确定的评标标准和方法，对投标文件进行评审，并提出书面评标报告，确定中标人。最终审查的对象是招标项目的合格的供应商。 </w:t>
      </w:r>
    </w:p>
    <w:p w14:paraId="0CA768DB">
      <w:pPr>
        <w:spacing w:line="288" w:lineRule="auto"/>
        <w:ind w:left="545" w:hanging="544" w:hangingChars="227"/>
        <w:rPr>
          <w:rFonts w:ascii="宋体" w:hAnsi="宋体" w:cs="宋体"/>
          <w:color w:val="auto"/>
          <w:sz w:val="24"/>
          <w:szCs w:val="24"/>
          <w:highlight w:val="none"/>
        </w:rPr>
      </w:pPr>
      <w:r>
        <w:rPr>
          <w:rFonts w:hint="eastAsia" w:ascii="宋体" w:hAnsi="宋体" w:cs="宋体"/>
          <w:color w:val="auto"/>
          <w:sz w:val="24"/>
          <w:szCs w:val="24"/>
          <w:highlight w:val="none"/>
        </w:rPr>
        <w:t xml:space="preserve">24.2 最终审查的内容是对合格的供应商的产品进行产品性能、技术状况、生产条件、产品质量、财务状况、资格、信誉以及采购人认为有必要了解的其他问题作进一步的审查。  </w:t>
      </w:r>
    </w:p>
    <w:p w14:paraId="1013EC8F">
      <w:pPr>
        <w:spacing w:line="288" w:lineRule="auto"/>
        <w:ind w:left="545" w:hanging="544" w:hangingChars="227"/>
        <w:jc w:val="both"/>
        <w:rPr>
          <w:rFonts w:ascii="宋体" w:hAnsi="宋体" w:cs="宋体"/>
          <w:color w:val="auto"/>
          <w:sz w:val="24"/>
          <w:szCs w:val="24"/>
          <w:highlight w:val="none"/>
        </w:rPr>
      </w:pPr>
      <w:r>
        <w:rPr>
          <w:rFonts w:hint="eastAsia" w:ascii="宋体" w:hAnsi="宋体" w:cs="宋体"/>
          <w:color w:val="auto"/>
          <w:sz w:val="24"/>
          <w:szCs w:val="24"/>
          <w:highlight w:val="none"/>
        </w:rPr>
        <w:t>24.3 接受最终审查的合格的供应商，必须如实回答和受理采购人的询问或考查，并提供所需的有关资料。</w:t>
      </w:r>
    </w:p>
    <w:p w14:paraId="667F2515">
      <w:pPr>
        <w:spacing w:line="288"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24.4评标委员会从合格的供应商中评出中标人，并写出完整的评标报告。</w:t>
      </w:r>
    </w:p>
    <w:p w14:paraId="1B466CA1">
      <w:pPr>
        <w:pStyle w:val="4"/>
        <w:spacing w:before="0" w:after="0" w:line="288" w:lineRule="auto"/>
        <w:rPr>
          <w:rFonts w:ascii="宋体" w:hAnsi="宋体" w:cs="宋体"/>
          <w:color w:val="auto"/>
          <w:sz w:val="24"/>
          <w:szCs w:val="24"/>
          <w:highlight w:val="none"/>
        </w:rPr>
      </w:pPr>
      <w:bookmarkStart w:id="47" w:name="_Toc98580418"/>
      <w:r>
        <w:rPr>
          <w:rFonts w:hint="eastAsia" w:ascii="宋体" w:hAnsi="宋体" w:cs="宋体"/>
          <w:color w:val="auto"/>
          <w:sz w:val="24"/>
          <w:szCs w:val="24"/>
          <w:highlight w:val="none"/>
        </w:rPr>
        <w:t>25.中标通知</w:t>
      </w:r>
      <w:bookmarkEnd w:id="47"/>
    </w:p>
    <w:p w14:paraId="5059B999">
      <w:pPr>
        <w:pStyle w:val="5"/>
        <w:spacing w:line="288" w:lineRule="auto"/>
        <w:ind w:left="530" w:hanging="530" w:hangingChars="221"/>
        <w:rPr>
          <w:rFonts w:ascii="宋体" w:hAnsi="宋体" w:cs="宋体"/>
          <w:color w:val="auto"/>
          <w:sz w:val="24"/>
          <w:szCs w:val="24"/>
          <w:highlight w:val="none"/>
        </w:rPr>
      </w:pPr>
      <w:r>
        <w:rPr>
          <w:rFonts w:hint="eastAsia" w:ascii="宋体" w:hAnsi="宋体" w:cs="宋体"/>
          <w:color w:val="auto"/>
          <w:sz w:val="24"/>
          <w:szCs w:val="24"/>
          <w:highlight w:val="none"/>
        </w:rPr>
        <w:t>25.1在投标有效期内，采购机构以书面形式通知所选定的中标人。通知也可以以传真的形式发出，但需要随以书面形式最终确认。</w:t>
      </w:r>
    </w:p>
    <w:p w14:paraId="325686DE">
      <w:pPr>
        <w:pStyle w:val="5"/>
        <w:spacing w:line="288" w:lineRule="auto"/>
        <w:ind w:left="545" w:hanging="544" w:hangingChars="227"/>
        <w:rPr>
          <w:rFonts w:ascii="宋体" w:hAnsi="宋体" w:cs="宋体"/>
          <w:color w:val="auto"/>
          <w:sz w:val="24"/>
          <w:szCs w:val="24"/>
          <w:highlight w:val="none"/>
        </w:rPr>
      </w:pPr>
      <w:r>
        <w:rPr>
          <w:rFonts w:hint="eastAsia" w:ascii="宋体" w:hAnsi="宋体" w:cs="宋体"/>
          <w:color w:val="auto"/>
          <w:sz w:val="24"/>
          <w:szCs w:val="24"/>
          <w:highlight w:val="none"/>
        </w:rPr>
        <w:t>25.2当中标人按第26条规定与买方签定合同后，采购人将向其他供应商发出招标结果通知，并在5个工作日内退还投标保证金。采购人对未中标的供应商不作落标原因的解释。</w:t>
      </w:r>
    </w:p>
    <w:p w14:paraId="7985A45A">
      <w:pPr>
        <w:pStyle w:val="5"/>
        <w:spacing w:line="288" w:lineRule="auto"/>
        <w:ind w:firstLine="0"/>
        <w:rPr>
          <w:rFonts w:ascii="宋体" w:hAnsi="宋体" w:cs="宋体"/>
          <w:b/>
          <w:color w:val="auto"/>
          <w:sz w:val="24"/>
          <w:szCs w:val="24"/>
          <w:highlight w:val="none"/>
        </w:rPr>
      </w:pPr>
      <w:r>
        <w:rPr>
          <w:rFonts w:hint="eastAsia" w:ascii="宋体" w:hAnsi="宋体" w:cs="宋体"/>
          <w:b/>
          <w:color w:val="auto"/>
          <w:sz w:val="24"/>
          <w:szCs w:val="24"/>
          <w:highlight w:val="none"/>
        </w:rPr>
        <w:t>26.签定合同</w:t>
      </w:r>
    </w:p>
    <w:p w14:paraId="7CAB03AA">
      <w:pPr>
        <w:pStyle w:val="5"/>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中标人应按中标通知书中规定的时间、地点与买方签定合同，否则按开标后撤回投标处理。</w:t>
      </w:r>
    </w:p>
    <w:p w14:paraId="6084FC32">
      <w:pPr>
        <w:pStyle w:val="5"/>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供货合同采用工商管理部门制定的标准格式合同。招标文件、中标人的投标文件及评标过程中有关澄清文件均应作为合同组成部分。</w:t>
      </w:r>
    </w:p>
    <w:p w14:paraId="1D698D1B">
      <w:pPr>
        <w:spacing w:line="288" w:lineRule="auto"/>
        <w:rPr>
          <w:rFonts w:ascii="宋体" w:hAnsi="宋体" w:cs="宋体"/>
          <w:b/>
          <w:color w:val="auto"/>
          <w:sz w:val="24"/>
          <w:szCs w:val="24"/>
          <w:highlight w:val="none"/>
        </w:rPr>
      </w:pPr>
      <w:r>
        <w:rPr>
          <w:rFonts w:hint="eastAsia" w:ascii="宋体" w:hAnsi="宋体" w:cs="宋体"/>
          <w:b/>
          <w:color w:val="auto"/>
          <w:sz w:val="24"/>
          <w:szCs w:val="24"/>
          <w:highlight w:val="none"/>
        </w:rPr>
        <w:t>27.数量变更</w:t>
      </w:r>
    </w:p>
    <w:p w14:paraId="11848451">
      <w:pPr>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采购人有权根据项目实际需要部分变更数量和服务的内容。</w:t>
      </w:r>
    </w:p>
    <w:p w14:paraId="3658D88D">
      <w:pPr>
        <w:pStyle w:val="3"/>
        <w:spacing w:before="0" w:after="0" w:line="288" w:lineRule="auto"/>
        <w:jc w:val="center"/>
        <w:rPr>
          <w:rFonts w:ascii="宋体" w:hAnsi="宋体" w:eastAsia="宋体" w:cs="宋体"/>
          <w:color w:val="auto"/>
          <w:sz w:val="24"/>
          <w:szCs w:val="24"/>
          <w:highlight w:val="none"/>
        </w:rPr>
      </w:pPr>
      <w:bookmarkStart w:id="48" w:name="_Toc98580419"/>
      <w:r>
        <w:rPr>
          <w:rFonts w:hint="eastAsia" w:ascii="宋体" w:hAnsi="宋体" w:eastAsia="宋体" w:cs="宋体"/>
          <w:color w:val="auto"/>
          <w:sz w:val="24"/>
          <w:szCs w:val="24"/>
          <w:highlight w:val="none"/>
        </w:rPr>
        <w:t>G中标服务费</w:t>
      </w:r>
      <w:bookmarkEnd w:id="48"/>
    </w:p>
    <w:p w14:paraId="7AD2082A">
      <w:pPr>
        <w:pStyle w:val="4"/>
        <w:spacing w:before="0" w:after="0" w:line="288" w:lineRule="auto"/>
        <w:rPr>
          <w:rFonts w:ascii="宋体" w:hAnsi="宋体" w:cs="宋体"/>
          <w:color w:val="auto"/>
          <w:sz w:val="24"/>
          <w:szCs w:val="24"/>
          <w:highlight w:val="none"/>
        </w:rPr>
      </w:pPr>
      <w:bookmarkStart w:id="49" w:name="_Toc98580420"/>
      <w:r>
        <w:rPr>
          <w:rFonts w:hint="eastAsia" w:ascii="宋体" w:hAnsi="宋体" w:cs="宋体"/>
          <w:color w:val="auto"/>
          <w:sz w:val="24"/>
          <w:szCs w:val="24"/>
          <w:highlight w:val="none"/>
        </w:rPr>
        <w:t>28.中标服务费</w:t>
      </w:r>
      <w:bookmarkEnd w:id="49"/>
    </w:p>
    <w:p w14:paraId="5AD52FBD">
      <w:pPr>
        <w:spacing w:line="288"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28.1中标人须按招标文件中标服务费收取规定的标准向代理机构缴纳中标服务费。</w:t>
      </w:r>
    </w:p>
    <w:p w14:paraId="2A886BBB">
      <w:pPr>
        <w:spacing w:line="288" w:lineRule="auto"/>
        <w:ind w:left="1"/>
        <w:jc w:val="both"/>
        <w:rPr>
          <w:rFonts w:ascii="宋体" w:hAnsi="宋体" w:cs="宋体"/>
          <w:color w:val="auto"/>
          <w:sz w:val="24"/>
          <w:szCs w:val="24"/>
          <w:highlight w:val="none"/>
        </w:rPr>
      </w:pPr>
      <w:r>
        <w:rPr>
          <w:rFonts w:hint="eastAsia" w:ascii="宋体" w:hAnsi="宋体" w:cs="宋体"/>
          <w:color w:val="auto"/>
          <w:sz w:val="24"/>
          <w:szCs w:val="24"/>
          <w:highlight w:val="none"/>
        </w:rPr>
        <w:t>28.2中标人在收到《中标通知书》前向招标机构一次性缴纳中标服务费。可采用以下方式之一交付中标服务</w:t>
      </w:r>
      <w:r>
        <w:rPr>
          <w:rFonts w:hint="eastAsia" w:ascii="宋体" w:hAnsi="宋体" w:cs="宋体"/>
          <w:b w:val="0"/>
          <w:bCs w:val="0"/>
          <w:color w:val="auto"/>
          <w:sz w:val="24"/>
          <w:szCs w:val="24"/>
          <w:highlight w:val="none"/>
        </w:rPr>
        <w:t>费：现金、汇票及电汇。</w:t>
      </w:r>
    </w:p>
    <w:p w14:paraId="1D453A2E">
      <w:pPr>
        <w:spacing w:line="288"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28.3 其他费用遵照国家、地方有关规定执行。</w:t>
      </w:r>
    </w:p>
    <w:p w14:paraId="0E0F0238">
      <w:pPr>
        <w:rPr>
          <w:rFonts w:ascii="宋体" w:hAnsi="宋体" w:cs="宋体"/>
          <w:color w:val="auto"/>
          <w:highlight w:val="none"/>
        </w:rPr>
      </w:pPr>
      <w:bookmarkStart w:id="50" w:name="_Toc98580422"/>
      <w:bookmarkStart w:id="51" w:name="_Toc24696155"/>
      <w:r>
        <w:rPr>
          <w:rFonts w:hint="eastAsia" w:ascii="宋体" w:hAnsi="宋体" w:cs="宋体"/>
          <w:color w:val="auto"/>
          <w:sz w:val="21"/>
          <w:szCs w:val="21"/>
          <w:highlight w:val="none"/>
        </w:rPr>
        <w:br w:type="page"/>
      </w:r>
    </w:p>
    <w:p w14:paraId="60C9CAC0">
      <w:pPr>
        <w:rPr>
          <w:rFonts w:ascii="宋体" w:hAnsi="宋体" w:cs="宋体"/>
          <w:color w:val="auto"/>
          <w:highlight w:val="none"/>
        </w:rPr>
      </w:pPr>
    </w:p>
    <w:p w14:paraId="353B0B02">
      <w:pPr>
        <w:pStyle w:val="2"/>
        <w:spacing w:before="0" w:after="0" w:line="360" w:lineRule="auto"/>
        <w:jc w:val="center"/>
        <w:rPr>
          <w:rFonts w:ascii="宋体" w:hAnsi="宋体" w:cs="宋体"/>
          <w:color w:val="auto"/>
          <w:sz w:val="30"/>
          <w:szCs w:val="30"/>
          <w:highlight w:val="none"/>
        </w:rPr>
      </w:pPr>
      <w:bookmarkStart w:id="52" w:name="_Toc29194"/>
      <w:r>
        <w:rPr>
          <w:rFonts w:hint="eastAsia" w:ascii="宋体" w:hAnsi="宋体" w:cs="宋体"/>
          <w:color w:val="auto"/>
          <w:highlight w:val="none"/>
        </w:rPr>
        <w:t>第三部分  评标办法</w:t>
      </w:r>
      <w:bookmarkEnd w:id="52"/>
    </w:p>
    <w:p w14:paraId="3A97BFC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按照国家相关部门的规定，遵循公开、公平、公正和诚实信用的原则，结合本招标项目的实际情况，制定本招标项目评标办法。</w:t>
      </w:r>
    </w:p>
    <w:p w14:paraId="48192388">
      <w:pPr>
        <w:spacing w:line="440" w:lineRule="exact"/>
        <w:jc w:val="both"/>
        <w:rPr>
          <w:rFonts w:ascii="宋体" w:hAnsi="宋体" w:cs="宋体"/>
          <w:b/>
          <w:color w:val="auto"/>
          <w:sz w:val="28"/>
          <w:szCs w:val="28"/>
          <w:highlight w:val="none"/>
        </w:rPr>
      </w:pPr>
      <w:r>
        <w:rPr>
          <w:rFonts w:hint="eastAsia" w:ascii="宋体" w:hAnsi="宋体" w:cs="宋体"/>
          <w:b/>
          <w:color w:val="auto"/>
          <w:sz w:val="28"/>
          <w:szCs w:val="28"/>
          <w:highlight w:val="none"/>
        </w:rPr>
        <w:t>一、评标程序</w:t>
      </w:r>
    </w:p>
    <w:p w14:paraId="07AA5B16">
      <w:pPr>
        <w:spacing w:line="44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（一）组成评标委员会</w:t>
      </w:r>
    </w:p>
    <w:p w14:paraId="2D0D7E5D">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按照国家有关部委及省、市的相关规定，从依法成立的专家库中随机抽取技术、经济等方面的专家4人，采购人代表1人，共5人组成评标委员会（以下简称“评委会”）。为保证评标工作的顺利进行，推荐一名评委担任评委会主任，负责评标全面工作。</w:t>
      </w:r>
    </w:p>
    <w:p w14:paraId="225D8503">
      <w:pPr>
        <w:pStyle w:val="88"/>
        <w:spacing w:line="44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（二）评审方法：综合评分法</w:t>
      </w:r>
    </w:p>
    <w:p w14:paraId="7BCA95A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综合评分法，是指投标文件满足招标文件全部实质性要求，且按照评审因素的量化指标评审得分最高的供应商为中标候选人的评标方法。</w:t>
      </w:r>
    </w:p>
    <w:p w14:paraId="39C91D3A">
      <w:pPr>
        <w:pStyle w:val="88"/>
        <w:spacing w:line="44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（三）评标工作</w:t>
      </w:r>
    </w:p>
    <w:p w14:paraId="0A94611C">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评标本着客观公正、公平竞争、择优推荐、规范合法的原则进行。评标工作分为资格审查、符合性审查和详细评审三个步骤。</w:t>
      </w:r>
    </w:p>
    <w:p w14:paraId="15F3F35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1.资格审查。采购人或代理机构对各供应商的资格进行审查。资格审查合格的供应商方可进入符合性审查。</w:t>
      </w:r>
      <w:r>
        <w:rPr>
          <w:rFonts w:hint="eastAsia" w:ascii="宋体" w:hAnsi="宋体" w:cs="宋体"/>
          <w:color w:val="auto"/>
          <w:sz w:val="24"/>
          <w:highlight w:val="none"/>
        </w:rPr>
        <w:t>不具备招标文件中规定的资格要求的，投标无效。合格供应商不足3家的，不得评标。</w:t>
      </w:r>
    </w:p>
    <w:p w14:paraId="6C462C7C">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2.符合性审查。评委会对供应商的投标文件进行符合性审查。符合性审查合格的供应商方可进入详细评审。</w:t>
      </w:r>
      <w:r>
        <w:rPr>
          <w:rFonts w:hint="eastAsia" w:ascii="宋体" w:hAnsi="宋体" w:cs="宋体"/>
          <w:color w:val="auto"/>
          <w:sz w:val="24"/>
          <w:highlight w:val="none"/>
        </w:rPr>
        <w:t>有一项不符合的，投标无效。</w:t>
      </w:r>
    </w:p>
    <w:p w14:paraId="71D0157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bCs/>
          <w:color w:val="auto"/>
          <w:sz w:val="24"/>
          <w:highlight w:val="none"/>
        </w:rPr>
        <w:t>政府采购应当采购本国货物。按照财政部《政府采购进口产品管理办法》规定确需采购进口产品的，实行审核管理。经审核允许采购进口产品的，不得排斥符合要求的本国产品。在</w:t>
      </w:r>
      <w:r>
        <w:rPr>
          <w:rFonts w:hint="eastAsia" w:ascii="宋体" w:hAnsi="宋体" w:cs="宋体"/>
          <w:color w:val="auto"/>
          <w:sz w:val="24"/>
          <w:highlight w:val="none"/>
        </w:rPr>
        <w:t>招标文件</w:t>
      </w:r>
      <w:r>
        <w:rPr>
          <w:rFonts w:hint="eastAsia" w:ascii="宋体" w:hAnsi="宋体" w:cs="宋体"/>
          <w:bCs/>
          <w:color w:val="auto"/>
          <w:sz w:val="24"/>
          <w:highlight w:val="none"/>
        </w:rPr>
        <w:t>中未标明采购进口产品的，均为采购本国产品。供应商必须投标本国产品，投标进口产品的，投标无效。进口产品是指通过中国海关报关验放进入中国境内且产自关境外的产品。</w:t>
      </w:r>
    </w:p>
    <w:p w14:paraId="6710223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2.2提供相同品牌、相同型号的产品且通过资格审查、符合性审查的不同投标供应商参加同一合同项下投标的，按一家投标供应商计算，评审后得分最高的同品牌、同型号投标供应商获得中标人推荐资格；评审得分相同的，参照5.1规定确定一个投标供应商获得中标人推荐资格，其他同品牌、同型号投标供应商不作为中标候选人。符合性审查后，因提供相同品牌、相同型号产品的不同投标供应商按一家计算而导致有效投标供应商不足3家的，应予废标。</w:t>
      </w:r>
    </w:p>
    <w:p w14:paraId="2DF457D2">
      <w:pPr>
        <w:spacing w:line="44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3.详细评审。详细评审采用综合评分法。评委依据评标办法分别对各供应商的投标文件进行评审、赋分。如果通过资格审查和符合性审查的供应商不足三家，则采购人重新招标。</w:t>
      </w:r>
    </w:p>
    <w:p w14:paraId="1292E70E">
      <w:pPr>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rPr>
        <w:t>（四）询标（必要时）</w:t>
      </w:r>
    </w:p>
    <w:p w14:paraId="3A8A55BC">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评标委员会对投标文件需要澄清的问题，采用集体询标方式进行。</w:t>
      </w:r>
    </w:p>
    <w:p w14:paraId="0FC0BE3C">
      <w:pPr>
        <w:spacing w:line="44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（五）推荐中标候选人</w:t>
      </w:r>
    </w:p>
    <w:p w14:paraId="259C9A9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汇总各评委得分,投标供应商最终得分按各位评委打分平均值计取,保留小数点后两位。评标结果按评审后得分由高到低顺序排列。得分相同的，按投标报价由低到高顺序排列。得分且投标报价相同的，以技术部分得分高的优先；如果技术部分还相等的，由评标委员会以随机方式确定。投标文件满足招标文件全部实质性要求，且按照评审因素的量化指标评审得分最高的投标供应商为排名第一的中标候选人。评标委员会根据综合评审结果，按照综合得分由高到低的顺序，推荐三名中标候选人，由采购人确定排名第一的供应商为中标人</w:t>
      </w:r>
      <w:r>
        <w:rPr>
          <w:rFonts w:hint="eastAsia" w:ascii="宋体" w:hAnsi="宋体" w:cs="宋体"/>
          <w:color w:val="auto"/>
          <w:sz w:val="24"/>
          <w:highlight w:val="none"/>
          <w:lang w:val="zh-CN"/>
        </w:rPr>
        <w:t>，</w:t>
      </w:r>
      <w:r>
        <w:rPr>
          <w:rFonts w:hint="eastAsia" w:ascii="宋体" w:hAnsi="宋体" w:eastAsia="宋体" w:cs="宋体"/>
          <w:color w:val="auto"/>
          <w:sz w:val="24"/>
          <w:szCs w:val="24"/>
          <w:highlight w:val="none"/>
        </w:rPr>
        <w:t>排名第一的中标候选人放弃中标、因不可抗力提出不能履行合同或者招标文件规定应当提交履约保证担保而在规定的期限内未能提交的，或者被查实存在影响中标结果的违法行为等情形，不符合中标条件的，招标人可以按照评标委员会提出的中标候选人名单排序依次确定其他中标候选人为中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也可以重新组织招标</w:t>
      </w:r>
      <w:r>
        <w:rPr>
          <w:rFonts w:hint="eastAsia" w:ascii="宋体" w:hAnsi="宋体" w:cs="宋体"/>
          <w:color w:val="auto"/>
          <w:sz w:val="24"/>
          <w:highlight w:val="none"/>
        </w:rPr>
        <w:t>。</w:t>
      </w:r>
    </w:p>
    <w:p w14:paraId="292DD9A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5.2评标委员会成员对需要共同认定的事项存在争议的，应当按照少数服从多数的原则作出结论。持不同意见的评标委员会成员应当在评标报告上签署不同意见及理由，否则视为同意评标报告。</w:t>
      </w:r>
    </w:p>
    <w:p w14:paraId="55D03855">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4FBDA718">
      <w:pPr>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rPr>
        <w:t>二、评标办法和标准</w:t>
      </w:r>
    </w:p>
    <w:p w14:paraId="22747B12">
      <w:pPr>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rPr>
        <w:t>（一）资格审查</w:t>
      </w:r>
    </w:p>
    <w:tbl>
      <w:tblPr>
        <w:tblStyle w:val="4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571"/>
        <w:gridCol w:w="7712"/>
      </w:tblGrid>
      <w:tr w14:paraId="0FDB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5" w:type="pct"/>
            <w:vMerge w:val="restart"/>
            <w:vAlign w:val="center"/>
          </w:tcPr>
          <w:p w14:paraId="3826F1CC">
            <w:pPr>
              <w:autoSpaceDE w:val="0"/>
              <w:autoSpaceDN w:val="0"/>
              <w:adjustRightInd w:val="0"/>
              <w:spacing w:line="288"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序号</w:t>
            </w:r>
          </w:p>
        </w:tc>
        <w:tc>
          <w:tcPr>
            <w:tcW w:w="798" w:type="pct"/>
            <w:vMerge w:val="restart"/>
            <w:vAlign w:val="center"/>
          </w:tcPr>
          <w:p w14:paraId="60D79757">
            <w:pPr>
              <w:autoSpaceDE w:val="0"/>
              <w:autoSpaceDN w:val="0"/>
              <w:adjustRightInd w:val="0"/>
              <w:spacing w:line="288"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评审因素</w:t>
            </w:r>
          </w:p>
        </w:tc>
        <w:tc>
          <w:tcPr>
            <w:tcW w:w="3916" w:type="pct"/>
            <w:vMerge w:val="restart"/>
            <w:vAlign w:val="center"/>
          </w:tcPr>
          <w:p w14:paraId="1748F4F7">
            <w:pPr>
              <w:autoSpaceDE w:val="0"/>
              <w:autoSpaceDN w:val="0"/>
              <w:adjustRightInd w:val="0"/>
              <w:spacing w:line="288"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评审标准</w:t>
            </w:r>
          </w:p>
        </w:tc>
      </w:tr>
      <w:tr w14:paraId="5CE4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5" w:type="pct"/>
            <w:vMerge w:val="continue"/>
            <w:vAlign w:val="center"/>
          </w:tcPr>
          <w:p w14:paraId="350FC664">
            <w:pPr>
              <w:autoSpaceDE w:val="0"/>
              <w:autoSpaceDN w:val="0"/>
              <w:adjustRightInd w:val="0"/>
              <w:spacing w:line="288" w:lineRule="auto"/>
              <w:jc w:val="center"/>
              <w:rPr>
                <w:rFonts w:ascii="宋体" w:hAnsi="宋体" w:cs="宋体"/>
                <w:color w:val="auto"/>
                <w:sz w:val="24"/>
                <w:szCs w:val="24"/>
                <w:highlight w:val="none"/>
                <w:lang w:val="zh-CN"/>
              </w:rPr>
            </w:pPr>
          </w:p>
        </w:tc>
        <w:tc>
          <w:tcPr>
            <w:tcW w:w="798" w:type="pct"/>
            <w:vMerge w:val="continue"/>
            <w:vAlign w:val="center"/>
          </w:tcPr>
          <w:p w14:paraId="16DDBE77">
            <w:pPr>
              <w:autoSpaceDE w:val="0"/>
              <w:autoSpaceDN w:val="0"/>
              <w:adjustRightInd w:val="0"/>
              <w:spacing w:line="288" w:lineRule="auto"/>
              <w:jc w:val="center"/>
              <w:rPr>
                <w:rFonts w:ascii="宋体" w:hAnsi="宋体" w:cs="宋体"/>
                <w:color w:val="auto"/>
                <w:sz w:val="24"/>
                <w:szCs w:val="24"/>
                <w:highlight w:val="none"/>
                <w:lang w:val="zh-CN"/>
              </w:rPr>
            </w:pPr>
          </w:p>
        </w:tc>
        <w:tc>
          <w:tcPr>
            <w:tcW w:w="3916" w:type="pct"/>
            <w:vMerge w:val="continue"/>
            <w:vAlign w:val="center"/>
          </w:tcPr>
          <w:p w14:paraId="5C0A0025">
            <w:pPr>
              <w:autoSpaceDE w:val="0"/>
              <w:autoSpaceDN w:val="0"/>
              <w:adjustRightInd w:val="0"/>
              <w:spacing w:line="288" w:lineRule="auto"/>
              <w:jc w:val="center"/>
              <w:rPr>
                <w:rFonts w:ascii="宋体" w:hAnsi="宋体" w:cs="宋体"/>
                <w:color w:val="auto"/>
                <w:sz w:val="24"/>
                <w:szCs w:val="24"/>
                <w:highlight w:val="none"/>
                <w:lang w:val="zh-CN"/>
              </w:rPr>
            </w:pPr>
          </w:p>
        </w:tc>
      </w:tr>
      <w:tr w14:paraId="5AE6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 w:type="pct"/>
            <w:vAlign w:val="center"/>
          </w:tcPr>
          <w:p w14:paraId="506FC31B">
            <w:pPr>
              <w:autoSpaceDE w:val="0"/>
              <w:autoSpaceDN w:val="0"/>
              <w:adjustRightInd w:val="0"/>
              <w:spacing w:line="288"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p>
        </w:tc>
        <w:tc>
          <w:tcPr>
            <w:tcW w:w="798" w:type="pct"/>
            <w:vAlign w:val="center"/>
          </w:tcPr>
          <w:p w14:paraId="24127810">
            <w:pPr>
              <w:spacing w:line="288"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w:t>
            </w:r>
          </w:p>
        </w:tc>
        <w:tc>
          <w:tcPr>
            <w:tcW w:w="3916" w:type="pct"/>
            <w:vAlign w:val="center"/>
          </w:tcPr>
          <w:p w14:paraId="560A683D">
            <w:pPr>
              <w:jc w:val="both"/>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供应商须是具有独立法人资格的企业或其他组织，具有有效营业执照。</w:t>
            </w:r>
          </w:p>
          <w:p w14:paraId="14C9C0F7">
            <w:pPr>
              <w:jc w:val="both"/>
              <w:rPr>
                <w:rFonts w:ascii="宋体" w:hAnsi="宋体" w:cs="宋体"/>
                <w:color w:val="auto"/>
                <w:sz w:val="24"/>
                <w:szCs w:val="24"/>
                <w:highlight w:val="none"/>
              </w:rPr>
            </w:pPr>
            <w:r>
              <w:rPr>
                <w:rFonts w:hint="eastAsia" w:ascii="宋体" w:hAnsi="宋体" w:cs="宋体"/>
                <w:b/>
                <w:bCs/>
                <w:color w:val="auto"/>
                <w:sz w:val="24"/>
                <w:szCs w:val="24"/>
                <w:highlight w:val="none"/>
                <w:lang w:val="zh-CN"/>
              </w:rPr>
              <w:t>投标文件内附营业执照复印件加盖公章。</w:t>
            </w:r>
          </w:p>
        </w:tc>
      </w:tr>
      <w:tr w14:paraId="342F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 w:type="pct"/>
            <w:vAlign w:val="center"/>
          </w:tcPr>
          <w:p w14:paraId="53EF5E83">
            <w:pPr>
              <w:autoSpaceDE w:val="0"/>
              <w:autoSpaceDN w:val="0"/>
              <w:adjustRightInd w:val="0"/>
              <w:spacing w:line="288"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w:t>
            </w:r>
          </w:p>
        </w:tc>
        <w:tc>
          <w:tcPr>
            <w:tcW w:w="798" w:type="pct"/>
            <w:vAlign w:val="center"/>
          </w:tcPr>
          <w:p w14:paraId="19CFFC5A">
            <w:pPr>
              <w:spacing w:line="288"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财务状况</w:t>
            </w:r>
          </w:p>
        </w:tc>
        <w:tc>
          <w:tcPr>
            <w:tcW w:w="3916" w:type="pct"/>
            <w:vAlign w:val="center"/>
          </w:tcPr>
          <w:p w14:paraId="6D8A21A2">
            <w:pPr>
              <w:jc w:val="both"/>
              <w:rPr>
                <w:rFonts w:ascii="宋体" w:hAnsi="宋体" w:cs="宋体"/>
                <w:color w:val="auto"/>
                <w:sz w:val="24"/>
                <w:szCs w:val="24"/>
                <w:highlight w:val="none"/>
              </w:rPr>
            </w:pPr>
            <w:r>
              <w:rPr>
                <w:rFonts w:hint="eastAsia" w:ascii="宋体" w:hAnsi="宋体" w:cs="宋体"/>
                <w:color w:val="auto"/>
                <w:sz w:val="24"/>
                <w:szCs w:val="24"/>
                <w:highlight w:val="none"/>
              </w:rPr>
              <w:t>财务状况良好，具有健全的财务会计制度。</w:t>
            </w:r>
            <w:r>
              <w:rPr>
                <w:rFonts w:hint="eastAsia" w:ascii="宋体" w:hAnsi="宋体" w:cs="宋体"/>
                <w:b/>
                <w:bCs/>
                <w:color w:val="auto"/>
                <w:sz w:val="24"/>
                <w:szCs w:val="24"/>
                <w:highlight w:val="none"/>
                <w:lang w:val="zh-CN"/>
              </w:rPr>
              <w:t>投标文件内附（202</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val="zh-CN"/>
              </w:rPr>
              <w:t>年）经会计师事务所或审计机构审计的财务审计报告（202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val="zh-CN"/>
              </w:rPr>
              <w:t>年以后新成立的公司无审计报告的</w:t>
            </w:r>
            <w:r>
              <w:rPr>
                <w:rFonts w:hint="eastAsia" w:ascii="宋体" w:hAnsi="宋体" w:cs="宋体"/>
                <w:b/>
                <w:bCs/>
                <w:color w:val="auto"/>
                <w:sz w:val="24"/>
                <w:szCs w:val="24"/>
                <w:highlight w:val="none"/>
              </w:rPr>
              <w:t>，提供由法定代表人或授权代表签字或盖章并加盖公章财务状况良好承诺书）</w:t>
            </w:r>
            <w:r>
              <w:rPr>
                <w:rFonts w:hint="eastAsia" w:ascii="宋体" w:hAnsi="宋体" w:cs="宋体"/>
                <w:b/>
                <w:bCs/>
                <w:color w:val="auto"/>
                <w:sz w:val="24"/>
                <w:szCs w:val="24"/>
                <w:highlight w:val="none"/>
                <w:lang w:val="zh-CN"/>
              </w:rPr>
              <w:t>复印件加盖公章。</w:t>
            </w:r>
          </w:p>
        </w:tc>
      </w:tr>
      <w:tr w14:paraId="5A5F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85" w:type="pct"/>
            <w:vAlign w:val="center"/>
          </w:tcPr>
          <w:p w14:paraId="4417199D">
            <w:pPr>
              <w:autoSpaceDE w:val="0"/>
              <w:autoSpaceDN w:val="0"/>
              <w:adjustRightInd w:val="0"/>
              <w:spacing w:line="288"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w:t>
            </w:r>
          </w:p>
        </w:tc>
        <w:tc>
          <w:tcPr>
            <w:tcW w:w="798" w:type="pct"/>
            <w:vAlign w:val="center"/>
          </w:tcPr>
          <w:p w14:paraId="6B7A3F0F">
            <w:pPr>
              <w:spacing w:line="288"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履约能力</w:t>
            </w:r>
          </w:p>
        </w:tc>
        <w:tc>
          <w:tcPr>
            <w:tcW w:w="3916" w:type="pct"/>
            <w:vAlign w:val="center"/>
          </w:tcPr>
          <w:p w14:paraId="1F4863BA">
            <w:pPr>
              <w:jc w:val="both"/>
              <w:rPr>
                <w:rFonts w:ascii="宋体" w:hAnsi="宋体" w:cs="宋体"/>
                <w:color w:val="auto"/>
                <w:sz w:val="24"/>
                <w:szCs w:val="24"/>
                <w:highlight w:val="none"/>
              </w:rPr>
            </w:pPr>
            <w:r>
              <w:rPr>
                <w:rFonts w:hint="eastAsia" w:ascii="宋体" w:hAnsi="宋体" w:cs="宋体"/>
                <w:color w:val="auto"/>
                <w:sz w:val="24"/>
                <w:szCs w:val="24"/>
                <w:highlight w:val="none"/>
              </w:rPr>
              <w:t>具有履行合同所必需的设备和专业技术能力。</w:t>
            </w:r>
          </w:p>
          <w:p w14:paraId="150AEAA7">
            <w:pPr>
              <w:jc w:val="both"/>
              <w:rPr>
                <w:rFonts w:ascii="宋体" w:hAnsi="宋体" w:cs="宋体"/>
                <w:color w:val="auto"/>
                <w:sz w:val="24"/>
                <w:szCs w:val="24"/>
                <w:highlight w:val="none"/>
              </w:rPr>
            </w:pPr>
            <w:r>
              <w:rPr>
                <w:rFonts w:hint="eastAsia" w:ascii="宋体" w:hAnsi="宋体" w:cs="宋体"/>
                <w:b/>
                <w:bCs/>
                <w:color w:val="auto"/>
                <w:sz w:val="24"/>
                <w:szCs w:val="24"/>
                <w:highlight w:val="none"/>
                <w:lang w:val="zh-CN"/>
              </w:rPr>
              <w:t>投标文件内附由法定代表人或授权代表签字或盖章并加盖公章的承诺书。</w:t>
            </w:r>
          </w:p>
        </w:tc>
      </w:tr>
      <w:tr w14:paraId="0B78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 w:type="pct"/>
            <w:vAlign w:val="center"/>
          </w:tcPr>
          <w:p w14:paraId="6AF9CDFC">
            <w:pPr>
              <w:autoSpaceDE w:val="0"/>
              <w:autoSpaceDN w:val="0"/>
              <w:adjustRightInd w:val="0"/>
              <w:spacing w:line="288"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w:t>
            </w:r>
          </w:p>
        </w:tc>
        <w:tc>
          <w:tcPr>
            <w:tcW w:w="798" w:type="pct"/>
            <w:vAlign w:val="center"/>
          </w:tcPr>
          <w:p w14:paraId="4DAD301F">
            <w:pPr>
              <w:spacing w:line="288"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纳税及社保</w:t>
            </w:r>
          </w:p>
        </w:tc>
        <w:tc>
          <w:tcPr>
            <w:tcW w:w="3916" w:type="pct"/>
            <w:vAlign w:val="center"/>
          </w:tcPr>
          <w:p w14:paraId="1E68A2EA">
            <w:pPr>
              <w:jc w:val="both"/>
              <w:rPr>
                <w:rFonts w:ascii="宋体" w:hAnsi="宋体" w:cs="宋体"/>
                <w:color w:val="auto"/>
                <w:sz w:val="24"/>
                <w:szCs w:val="24"/>
                <w:highlight w:val="none"/>
              </w:rPr>
            </w:pPr>
            <w:r>
              <w:rPr>
                <w:rFonts w:hint="eastAsia" w:ascii="宋体" w:hAnsi="宋体" w:cs="宋体"/>
                <w:color w:val="auto"/>
                <w:sz w:val="24"/>
                <w:szCs w:val="24"/>
                <w:highlight w:val="none"/>
              </w:rPr>
              <w:t>具有依法缴纳税收和社会保障金的良好记录。</w:t>
            </w:r>
          </w:p>
          <w:p w14:paraId="168E6CC1">
            <w:pPr>
              <w:jc w:val="both"/>
              <w:rPr>
                <w:rFonts w:ascii="宋体" w:hAnsi="宋体" w:cs="宋体"/>
                <w:color w:val="auto"/>
                <w:sz w:val="24"/>
                <w:szCs w:val="24"/>
                <w:highlight w:val="none"/>
              </w:rPr>
            </w:pPr>
            <w:r>
              <w:rPr>
                <w:rFonts w:hint="eastAsia" w:ascii="宋体" w:hAnsi="宋体" w:cs="宋体"/>
                <w:b/>
                <w:bCs/>
                <w:color w:val="auto"/>
                <w:sz w:val="24"/>
                <w:szCs w:val="24"/>
                <w:highlight w:val="none"/>
                <w:lang w:val="zh-CN"/>
              </w:rPr>
              <w:t>投标文件内附</w:t>
            </w:r>
            <w:r>
              <w:rPr>
                <w:rFonts w:hint="eastAsia" w:ascii="宋体" w:hAnsi="宋体" w:cs="宋体"/>
                <w:b/>
                <w:bCs/>
                <w:color w:val="auto"/>
                <w:sz w:val="24"/>
                <w:szCs w:val="24"/>
                <w:highlight w:val="none"/>
              </w:rPr>
              <w:t>20</w:t>
            </w:r>
            <w:r>
              <w:rPr>
                <w:rFonts w:hint="eastAsia" w:ascii="宋体" w:hAnsi="宋体" w:cs="宋体"/>
                <w:b/>
                <w:bCs/>
                <w:color w:val="auto"/>
                <w:sz w:val="24"/>
                <w:szCs w:val="24"/>
                <w:highlight w:val="none"/>
                <w:lang w:val="zh-CN"/>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val="zh-CN"/>
              </w:rPr>
              <w:t>年至今任意一个月纳税证明及社会保障资金缴纳证明复印件加盖公章（依法免税的或依法不需要缴纳社会保障资金的应提供相应证明材料）。</w:t>
            </w:r>
          </w:p>
        </w:tc>
      </w:tr>
      <w:tr w14:paraId="59B3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 w:type="pct"/>
            <w:vAlign w:val="center"/>
          </w:tcPr>
          <w:p w14:paraId="257E2EC1">
            <w:pPr>
              <w:autoSpaceDE w:val="0"/>
              <w:autoSpaceDN w:val="0"/>
              <w:adjustRightInd w:val="0"/>
              <w:spacing w:line="288"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798" w:type="pct"/>
            <w:shd w:val="clear" w:color="auto" w:fill="auto"/>
            <w:vAlign w:val="center"/>
          </w:tcPr>
          <w:p w14:paraId="30FD9310">
            <w:pPr>
              <w:spacing w:line="288" w:lineRule="auto"/>
              <w:jc w:val="center"/>
              <w:rPr>
                <w:rFonts w:ascii="宋体" w:hAnsi="宋体" w:cs="宋体"/>
                <w:sz w:val="24"/>
                <w:szCs w:val="24"/>
              </w:rPr>
            </w:pPr>
            <w:r>
              <w:rPr>
                <w:rFonts w:hint="eastAsia" w:ascii="宋体" w:hAnsi="宋体" w:cs="宋体"/>
                <w:sz w:val="24"/>
                <w:szCs w:val="24"/>
              </w:rPr>
              <w:t xml:space="preserve">进口产品授 </w:t>
            </w:r>
          </w:p>
          <w:p w14:paraId="4F150F89">
            <w:pPr>
              <w:spacing w:line="288" w:lineRule="auto"/>
              <w:jc w:val="center"/>
              <w:rPr>
                <w:rFonts w:hint="eastAsia" w:ascii="宋体" w:hAnsi="宋体" w:eastAsia="宋体" w:cs="宋体"/>
                <w:sz w:val="24"/>
                <w:szCs w:val="24"/>
                <w:lang w:val="en-US" w:eastAsia="zh-CN" w:bidi="ar-SA"/>
              </w:rPr>
            </w:pPr>
            <w:r>
              <w:rPr>
                <w:rFonts w:hint="eastAsia" w:ascii="宋体" w:hAnsi="宋体" w:cs="宋体"/>
                <w:sz w:val="24"/>
                <w:szCs w:val="24"/>
              </w:rPr>
              <w:t>权</w:t>
            </w:r>
          </w:p>
        </w:tc>
        <w:tc>
          <w:tcPr>
            <w:tcW w:w="3916" w:type="pct"/>
            <w:shd w:val="clear" w:color="auto" w:fill="auto"/>
            <w:vAlign w:val="center"/>
          </w:tcPr>
          <w:p w14:paraId="3F1EA057">
            <w:pPr>
              <w:rPr>
                <w:rFonts w:hint="eastAsia" w:ascii="宋体" w:hAnsi="宋体" w:eastAsia="宋体" w:cs="宋体"/>
                <w:b/>
                <w:bCs/>
                <w:sz w:val="24"/>
                <w:szCs w:val="24"/>
                <w:lang w:val="zh-CN" w:eastAsia="zh-CN" w:bidi="ar-SA"/>
              </w:rPr>
            </w:pPr>
            <w:r>
              <w:rPr>
                <w:rFonts w:hint="eastAsia" w:ascii="宋体" w:hAnsi="宋体" w:cs="宋体"/>
                <w:b/>
                <w:bCs/>
                <w:color w:val="000000"/>
                <w:sz w:val="24"/>
                <w:szCs w:val="24"/>
                <w:lang w:bidi="ar"/>
              </w:rPr>
              <w:t>投标产品如为进口产品的须出具制造商授权书</w:t>
            </w:r>
            <w:r>
              <w:rPr>
                <w:rFonts w:hint="eastAsia" w:ascii="宋体" w:hAnsi="宋体" w:cs="宋体"/>
                <w:b/>
                <w:bCs/>
                <w:color w:val="000000"/>
                <w:sz w:val="24"/>
                <w:szCs w:val="24"/>
                <w:lang w:val="en-US" w:eastAsia="zh-CN" w:bidi="ar"/>
              </w:rPr>
              <w:t>或逐级代理授权书</w:t>
            </w:r>
            <w:r>
              <w:rPr>
                <w:rFonts w:hint="eastAsia" w:ascii="宋体" w:hAnsi="宋体" w:cs="宋体"/>
                <w:b/>
                <w:bCs/>
                <w:color w:val="000000"/>
                <w:sz w:val="24"/>
                <w:szCs w:val="24"/>
                <w:lang w:bidi="ar"/>
              </w:rPr>
              <w:t>，响应文件内附复印件加盖公章。</w:t>
            </w:r>
          </w:p>
        </w:tc>
      </w:tr>
      <w:tr w14:paraId="03E3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5" w:type="pct"/>
            <w:vAlign w:val="center"/>
          </w:tcPr>
          <w:p w14:paraId="55BCF3BF">
            <w:pPr>
              <w:autoSpaceDE w:val="0"/>
              <w:autoSpaceDN w:val="0"/>
              <w:adjustRightInd w:val="0"/>
              <w:spacing w:line="288"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798" w:type="pct"/>
            <w:vAlign w:val="center"/>
          </w:tcPr>
          <w:p w14:paraId="48BD33B9">
            <w:pPr>
              <w:autoSpaceDE w:val="0"/>
              <w:autoSpaceDN w:val="0"/>
              <w:adjustRightInd w:val="0"/>
              <w:spacing w:line="288"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rPr>
              <w:t>信誉要求</w:t>
            </w:r>
          </w:p>
        </w:tc>
        <w:tc>
          <w:tcPr>
            <w:tcW w:w="3916" w:type="pct"/>
            <w:vAlign w:val="center"/>
          </w:tcPr>
          <w:p w14:paraId="47D3EB20">
            <w:pPr>
              <w:adjustRightIn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1.拒绝列入政府取消投标资格记录期间的企业或个人投标；</w:t>
            </w:r>
          </w:p>
          <w:p w14:paraId="0D9864D3">
            <w:pPr>
              <w:adjustRightIn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2.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w:t>
            </w:r>
            <w:r>
              <w:rPr>
                <w:rFonts w:hint="eastAsia" w:ascii="宋体" w:hAnsi="宋体" w:cs="宋体"/>
                <w:color w:val="auto"/>
                <w:sz w:val="24"/>
                <w:szCs w:val="24"/>
                <w:highlight w:val="none"/>
                <w:lang w:eastAsia="zh-CN"/>
              </w:rPr>
              <w:t>在2023年至今供应商和其法定代表人在“中国裁判文书网”</w:t>
            </w:r>
            <w:r>
              <w:rPr>
                <w:rFonts w:hint="eastAsia" w:ascii="宋体" w:hAnsi="宋体" w:cs="宋体"/>
                <w:color w:val="auto"/>
                <w:sz w:val="24"/>
                <w:szCs w:val="24"/>
                <w:highlight w:val="none"/>
              </w:rPr>
              <w:t>(wenshu.court.gov.cn)上无行贿犯罪行为；</w:t>
            </w:r>
          </w:p>
          <w:p w14:paraId="05AED517">
            <w:pPr>
              <w:adjustRightIn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3.与采购人存在利害关系可能影响招标公正性的法人、其他组织或者个人，不得参加本项目投标；单位负责人为同一人或者存在直接控股、管理关系的不同供应商，不得参加同一合同项下的政府采购活动；</w:t>
            </w:r>
          </w:p>
          <w:p w14:paraId="3FBAAF83">
            <w:pPr>
              <w:adjustRightIn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4.参加政府采购活动前三年内，在经营活动中没有重大违法记录。</w:t>
            </w:r>
          </w:p>
          <w:p w14:paraId="1F2661A1">
            <w:pPr>
              <w:adjustRightInd w:val="0"/>
              <w:spacing w:line="288" w:lineRule="auto"/>
              <w:jc w:val="both"/>
              <w:rPr>
                <w:rFonts w:ascii="宋体" w:hAnsi="宋体" w:cs="宋体"/>
                <w:color w:val="auto"/>
                <w:sz w:val="24"/>
                <w:szCs w:val="24"/>
                <w:highlight w:val="none"/>
              </w:rPr>
            </w:pPr>
            <w:r>
              <w:rPr>
                <w:rFonts w:hint="eastAsia" w:ascii="宋体" w:hAnsi="宋体" w:cs="宋体"/>
                <w:b/>
                <w:bCs/>
                <w:color w:val="auto"/>
                <w:sz w:val="24"/>
                <w:szCs w:val="24"/>
                <w:highlight w:val="none"/>
              </w:rPr>
              <w:t>投标文件内附由法定代表人或授权代表签字或盖章并加盖公章的承诺书。</w:t>
            </w:r>
          </w:p>
        </w:tc>
      </w:tr>
    </w:tbl>
    <w:p w14:paraId="24ECC0C6">
      <w:pPr>
        <w:rPr>
          <w:rFonts w:ascii="宋体" w:hAnsi="宋体" w:cs="宋体"/>
          <w:b/>
          <w:color w:val="auto"/>
          <w:szCs w:val="21"/>
          <w:highlight w:val="none"/>
        </w:rPr>
      </w:pPr>
      <w:r>
        <w:rPr>
          <w:rFonts w:hint="eastAsia" w:ascii="宋体" w:hAnsi="宋体" w:cs="宋体"/>
          <w:b/>
          <w:color w:val="auto"/>
          <w:szCs w:val="21"/>
          <w:highlight w:val="none"/>
        </w:rPr>
        <w:br w:type="page"/>
      </w:r>
    </w:p>
    <w:p w14:paraId="6E80AD4B">
      <w:pPr>
        <w:spacing w:line="440" w:lineRule="exact"/>
        <w:jc w:val="both"/>
        <w:rPr>
          <w:rFonts w:hint="eastAsia" w:ascii="宋体" w:hAnsi="宋体" w:cs="宋体"/>
          <w:b/>
          <w:color w:val="auto"/>
          <w:sz w:val="24"/>
          <w:szCs w:val="24"/>
          <w:highlight w:val="none"/>
        </w:rPr>
      </w:pPr>
      <w:r>
        <w:rPr>
          <w:rFonts w:hint="eastAsia" w:ascii="宋体" w:hAnsi="宋体" w:cs="宋体"/>
          <w:b/>
          <w:color w:val="auto"/>
          <w:sz w:val="24"/>
          <w:szCs w:val="24"/>
          <w:highlight w:val="none"/>
        </w:rPr>
        <w:t>（二）符合性审查</w:t>
      </w:r>
    </w:p>
    <w:tbl>
      <w:tblPr>
        <w:tblStyle w:val="45"/>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853"/>
        <w:gridCol w:w="6543"/>
      </w:tblGrid>
      <w:tr w14:paraId="3A45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66" w:type="pct"/>
            <w:noWrap w:val="0"/>
            <w:vAlign w:val="center"/>
          </w:tcPr>
          <w:p w14:paraId="150818ED">
            <w:pPr>
              <w:keepNext w:val="0"/>
              <w:keepLines w:val="0"/>
              <w:pageBreakBefore w:val="0"/>
              <w:kinsoku/>
              <w:wordWrap/>
              <w:overflowPunct/>
              <w:topLinePunct w:val="0"/>
              <w:autoSpaceDE w:val="0"/>
              <w:autoSpaceDN w:val="0"/>
              <w:bidi w:val="0"/>
              <w:adjustRightInd w:val="0"/>
              <w:spacing w:line="240"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序号</w:t>
            </w:r>
          </w:p>
        </w:tc>
        <w:tc>
          <w:tcPr>
            <w:tcW w:w="1000" w:type="pct"/>
            <w:noWrap w:val="0"/>
            <w:vAlign w:val="center"/>
          </w:tcPr>
          <w:p w14:paraId="609E644D">
            <w:pPr>
              <w:keepNext w:val="0"/>
              <w:keepLines w:val="0"/>
              <w:pageBreakBefore w:val="0"/>
              <w:kinsoku/>
              <w:wordWrap/>
              <w:overflowPunct/>
              <w:topLinePunct w:val="0"/>
              <w:autoSpaceDE w:val="0"/>
              <w:autoSpaceDN w:val="0"/>
              <w:bidi w:val="0"/>
              <w:adjustRightInd w:val="0"/>
              <w:spacing w:line="240" w:lineRule="auto"/>
              <w:jc w:val="center"/>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rPr>
              <w:t>项目</w:t>
            </w:r>
            <w:r>
              <w:rPr>
                <w:rFonts w:hint="eastAsia" w:ascii="宋体" w:hAnsi="宋体" w:eastAsia="宋体" w:cs="宋体"/>
                <w:bCs/>
                <w:sz w:val="24"/>
                <w:szCs w:val="24"/>
                <w:highlight w:val="none"/>
                <w:lang w:val="en-US" w:eastAsia="zh-CN"/>
              </w:rPr>
              <w:t>名称</w:t>
            </w:r>
          </w:p>
        </w:tc>
        <w:tc>
          <w:tcPr>
            <w:tcW w:w="3532" w:type="pct"/>
            <w:noWrap w:val="0"/>
            <w:vAlign w:val="center"/>
          </w:tcPr>
          <w:p w14:paraId="332BEE57">
            <w:pPr>
              <w:keepNext w:val="0"/>
              <w:keepLines w:val="0"/>
              <w:pageBreakBefore w:val="0"/>
              <w:kinsoku/>
              <w:wordWrap/>
              <w:overflowPunct/>
              <w:topLinePunct w:val="0"/>
              <w:autoSpaceDE w:val="0"/>
              <w:autoSpaceDN w:val="0"/>
              <w:bidi w:val="0"/>
              <w:adjustRightInd w:val="0"/>
              <w:spacing w:line="240"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en-US" w:eastAsia="zh-CN"/>
              </w:rPr>
              <w:t>审查</w:t>
            </w:r>
            <w:r>
              <w:rPr>
                <w:rFonts w:hint="eastAsia" w:ascii="宋体" w:hAnsi="宋体" w:eastAsia="宋体" w:cs="宋体"/>
                <w:bCs/>
                <w:sz w:val="24"/>
                <w:szCs w:val="24"/>
                <w:highlight w:val="none"/>
                <w:lang w:val="zh-CN"/>
              </w:rPr>
              <w:t>内容</w:t>
            </w:r>
          </w:p>
        </w:tc>
      </w:tr>
      <w:tr w14:paraId="6669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6" w:type="pct"/>
            <w:noWrap w:val="0"/>
            <w:vAlign w:val="center"/>
          </w:tcPr>
          <w:p w14:paraId="24E490AC">
            <w:pPr>
              <w:keepNext w:val="0"/>
              <w:keepLines w:val="0"/>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1</w:t>
            </w:r>
          </w:p>
        </w:tc>
        <w:tc>
          <w:tcPr>
            <w:tcW w:w="1000" w:type="pct"/>
            <w:noWrap w:val="0"/>
            <w:vAlign w:val="center"/>
          </w:tcPr>
          <w:p w14:paraId="3A156015">
            <w:pPr>
              <w:keepNext w:val="0"/>
              <w:keepLines w:val="0"/>
              <w:pageBreakBefore w:val="0"/>
              <w:kinsoku/>
              <w:wordWrap/>
              <w:overflowPunct/>
              <w:topLinePunct w:val="0"/>
              <w:autoSpaceDE w:val="0"/>
              <w:autoSpaceDN w:val="0"/>
              <w:bidi w:val="0"/>
              <w:adjustRightInd w:val="0"/>
              <w:spacing w:line="240"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技术暗标</w:t>
            </w:r>
          </w:p>
          <w:p w14:paraId="691DFEC9">
            <w:pPr>
              <w:keepNext w:val="0"/>
              <w:keepLines w:val="0"/>
              <w:pageBreakBefore w:val="0"/>
              <w:kinsoku/>
              <w:wordWrap/>
              <w:overflowPunct/>
              <w:topLinePunct w:val="0"/>
              <w:autoSpaceDE w:val="0"/>
              <w:autoSpaceDN w:val="0"/>
              <w:bidi w:val="0"/>
              <w:adjustRightInd w:val="0"/>
              <w:spacing w:line="240" w:lineRule="auto"/>
              <w:jc w:val="center"/>
              <w:rPr>
                <w:rFonts w:hint="default" w:ascii="宋体" w:hAnsi="宋体" w:eastAsia="宋体" w:cs="宋体"/>
                <w:bCs/>
                <w:sz w:val="24"/>
                <w:szCs w:val="24"/>
                <w:highlight w:val="none"/>
                <w:lang w:val="en-US"/>
              </w:rPr>
            </w:pPr>
            <w:r>
              <w:rPr>
                <w:rFonts w:hint="eastAsia" w:ascii="宋体" w:hAnsi="宋体" w:eastAsia="宋体" w:cs="宋体"/>
                <w:bCs/>
                <w:sz w:val="24"/>
                <w:szCs w:val="24"/>
                <w:highlight w:val="none"/>
                <w:lang w:val="en-US" w:eastAsia="zh-CN"/>
              </w:rPr>
              <w:t>编制</w:t>
            </w:r>
          </w:p>
        </w:tc>
        <w:tc>
          <w:tcPr>
            <w:tcW w:w="3532" w:type="pct"/>
            <w:noWrap w:val="0"/>
            <w:vAlign w:val="center"/>
          </w:tcPr>
          <w:p w14:paraId="694FB85D">
            <w:pPr>
              <w:keepNext w:val="0"/>
              <w:keepLines w:val="0"/>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bCs/>
                <w:snapToGrid w:val="0"/>
                <w:sz w:val="24"/>
                <w:szCs w:val="24"/>
                <w:highlight w:val="none"/>
                <w:lang w:val="zh-CN" w:eastAsia="zh-CN"/>
              </w:rPr>
            </w:pPr>
            <w:r>
              <w:rPr>
                <w:rFonts w:hint="eastAsia" w:ascii="宋体" w:hAnsi="宋体" w:eastAsia="宋体" w:cs="宋体"/>
                <w:bCs/>
                <w:snapToGrid w:val="0"/>
                <w:sz w:val="24"/>
                <w:szCs w:val="24"/>
                <w:highlight w:val="none"/>
                <w:lang w:val="zh-CN" w:eastAsia="zh-CN"/>
              </w:rPr>
              <w:t>响应文件技术标必须遵守的统一格式和规范。技术标文件（暗标）未按以下“盲评”要求制作的，为无效投标，除下述要求外，不得因暗标格式问题认定为无效投标：</w:t>
            </w:r>
          </w:p>
          <w:p w14:paraId="2D7349CC">
            <w:pPr>
              <w:keepNext w:val="0"/>
              <w:keepLines w:val="0"/>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bCs/>
                <w:snapToGrid w:val="0"/>
                <w:sz w:val="24"/>
                <w:szCs w:val="24"/>
                <w:highlight w:val="none"/>
                <w:lang w:val="zh-CN" w:eastAsia="zh-CN"/>
              </w:rPr>
            </w:pPr>
            <w:r>
              <w:rPr>
                <w:rFonts w:hint="eastAsia" w:ascii="宋体" w:hAnsi="宋体" w:eastAsia="宋体" w:cs="宋体"/>
                <w:bCs/>
                <w:snapToGrid w:val="0"/>
                <w:sz w:val="24"/>
                <w:szCs w:val="24"/>
                <w:highlight w:val="none"/>
                <w:lang w:val="en-US" w:eastAsia="zh-CN"/>
              </w:rPr>
              <w:t>1.</w:t>
            </w:r>
            <w:r>
              <w:rPr>
                <w:rFonts w:hint="eastAsia" w:ascii="宋体" w:hAnsi="宋体" w:eastAsia="宋体" w:cs="宋体"/>
                <w:bCs/>
                <w:snapToGrid w:val="0"/>
                <w:sz w:val="24"/>
                <w:szCs w:val="24"/>
                <w:highlight w:val="none"/>
                <w:lang w:val="zh-CN" w:eastAsia="zh-CN"/>
              </w:rPr>
              <w:t xml:space="preserve">版面要求：A4纸张大小； </w:t>
            </w:r>
          </w:p>
          <w:p w14:paraId="093DABB3">
            <w:pPr>
              <w:keepNext w:val="0"/>
              <w:keepLines w:val="0"/>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bCs/>
                <w:snapToGrid w:val="0"/>
                <w:sz w:val="24"/>
                <w:szCs w:val="24"/>
                <w:highlight w:val="none"/>
                <w:lang w:val="zh-CN" w:eastAsia="zh-CN"/>
              </w:rPr>
            </w:pPr>
            <w:r>
              <w:rPr>
                <w:rFonts w:hint="eastAsia" w:ascii="宋体" w:hAnsi="宋体" w:eastAsia="宋体" w:cs="宋体"/>
                <w:bCs/>
                <w:snapToGrid w:val="0"/>
                <w:sz w:val="24"/>
                <w:szCs w:val="24"/>
                <w:highlight w:val="none"/>
                <w:lang w:val="zh-CN" w:eastAsia="zh-CN"/>
              </w:rPr>
              <w:t xml:space="preserve">2.颜色要求：所有文字、图表均为黑色； </w:t>
            </w:r>
          </w:p>
          <w:p w14:paraId="29513A1F">
            <w:pPr>
              <w:keepNext w:val="0"/>
              <w:keepLines w:val="0"/>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bCs/>
                <w:snapToGrid w:val="0"/>
                <w:sz w:val="24"/>
                <w:szCs w:val="24"/>
                <w:highlight w:val="none"/>
                <w:lang w:val="zh-CN" w:eastAsia="zh-CN"/>
              </w:rPr>
            </w:pPr>
            <w:r>
              <w:rPr>
                <w:rFonts w:hint="eastAsia" w:ascii="宋体" w:hAnsi="宋体" w:eastAsia="宋体" w:cs="宋体"/>
                <w:bCs/>
                <w:snapToGrid w:val="0"/>
                <w:sz w:val="24"/>
                <w:szCs w:val="24"/>
                <w:highlight w:val="none"/>
                <w:lang w:val="zh-CN" w:eastAsia="zh-CN"/>
              </w:rPr>
              <w:t xml:space="preserve">3.字体要求：标题及正文部分所用文字均采用“宋体”四号“常规”字；图、表内的字体及字号不作要求；全部使用中文标点符号；所有字体均不得出现加粗、加色、倾斜、下划线等标记； </w:t>
            </w:r>
          </w:p>
          <w:p w14:paraId="1274E8D0">
            <w:pPr>
              <w:keepNext w:val="0"/>
              <w:keepLines w:val="0"/>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bCs/>
                <w:snapToGrid w:val="0"/>
                <w:sz w:val="24"/>
                <w:szCs w:val="24"/>
                <w:highlight w:val="none"/>
                <w:lang w:val="zh-CN" w:eastAsia="zh-CN"/>
              </w:rPr>
            </w:pPr>
            <w:r>
              <w:rPr>
                <w:rFonts w:hint="eastAsia" w:ascii="宋体" w:hAnsi="宋体" w:eastAsia="宋体" w:cs="宋体"/>
                <w:bCs/>
                <w:snapToGrid w:val="0"/>
                <w:sz w:val="24"/>
                <w:szCs w:val="24"/>
                <w:highlight w:val="none"/>
                <w:lang w:val="zh-CN" w:eastAsia="zh-CN"/>
              </w:rPr>
              <w:t xml:space="preserve">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 </w:t>
            </w:r>
          </w:p>
          <w:p w14:paraId="24A3A505">
            <w:pPr>
              <w:keepNext w:val="0"/>
              <w:keepLines w:val="0"/>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bCs/>
                <w:snapToGrid w:val="0"/>
                <w:sz w:val="24"/>
                <w:szCs w:val="24"/>
                <w:highlight w:val="none"/>
                <w:lang w:eastAsia="zh-CN"/>
              </w:rPr>
            </w:pPr>
            <w:r>
              <w:rPr>
                <w:rFonts w:hint="eastAsia" w:ascii="宋体" w:hAnsi="宋体" w:eastAsia="宋体" w:cs="宋体"/>
                <w:bCs/>
                <w:snapToGrid w:val="0"/>
                <w:sz w:val="24"/>
                <w:szCs w:val="24"/>
                <w:highlight w:val="none"/>
                <w:lang w:val="zh-CN" w:eastAsia="zh-CN"/>
              </w:rPr>
              <w:t>5.其它：除满足上述各项要求外，构成响应文件的“技术暗标”的正文中均不得出现供应商的名称和其它可识别供应商身份的字符、徽标、人员名称以及其他可能被辨别出供应商身份的任何标记。</w:t>
            </w:r>
          </w:p>
        </w:tc>
      </w:tr>
      <w:tr w14:paraId="5F84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66" w:type="pct"/>
            <w:noWrap w:val="0"/>
            <w:vAlign w:val="center"/>
          </w:tcPr>
          <w:p w14:paraId="63E0D8C4">
            <w:pPr>
              <w:keepNext w:val="0"/>
              <w:keepLines w:val="0"/>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bCs/>
                <w:snapToGrid w:val="0"/>
                <w:kern w:val="2"/>
                <w:sz w:val="24"/>
                <w:szCs w:val="24"/>
                <w:highlight w:val="none"/>
                <w:lang w:val="en-US" w:eastAsia="zh-CN" w:bidi="ar-SA"/>
              </w:rPr>
            </w:pPr>
            <w:r>
              <w:rPr>
                <w:rFonts w:hint="eastAsia" w:ascii="宋体" w:hAnsi="宋体" w:eastAsia="宋体" w:cs="宋体"/>
                <w:bCs/>
                <w:snapToGrid w:val="0"/>
                <w:sz w:val="24"/>
                <w:szCs w:val="24"/>
                <w:highlight w:val="none"/>
              </w:rPr>
              <w:t>2</w:t>
            </w:r>
          </w:p>
        </w:tc>
        <w:tc>
          <w:tcPr>
            <w:tcW w:w="1000" w:type="pct"/>
            <w:noWrap w:val="0"/>
            <w:vAlign w:val="center"/>
          </w:tcPr>
          <w:p w14:paraId="4EB5E606">
            <w:pPr>
              <w:keepNext w:val="0"/>
              <w:keepLines w:val="0"/>
              <w:pageBreakBefore w:val="0"/>
              <w:kinsoku/>
              <w:wordWrap/>
              <w:overflowPunct/>
              <w:topLinePunct w:val="0"/>
              <w:autoSpaceDE w:val="0"/>
              <w:autoSpaceDN w:val="0"/>
              <w:bidi w:val="0"/>
              <w:adjustRightInd w:val="0"/>
              <w:spacing w:line="240" w:lineRule="auto"/>
              <w:jc w:val="center"/>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投标人</w:t>
            </w:r>
            <w:r>
              <w:rPr>
                <w:rFonts w:hint="eastAsia" w:ascii="宋体" w:hAnsi="宋体" w:eastAsia="宋体" w:cs="宋体"/>
                <w:bCs/>
                <w:sz w:val="24"/>
                <w:szCs w:val="24"/>
                <w:highlight w:val="none"/>
                <w:lang w:val="zh-CN"/>
              </w:rPr>
              <w:t>名称</w:t>
            </w:r>
          </w:p>
        </w:tc>
        <w:tc>
          <w:tcPr>
            <w:tcW w:w="3532" w:type="pct"/>
            <w:noWrap w:val="0"/>
            <w:vAlign w:val="center"/>
          </w:tcPr>
          <w:p w14:paraId="43BD530B">
            <w:pPr>
              <w:keepNext w:val="0"/>
              <w:keepLines w:val="0"/>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bCs/>
                <w:snapToGrid w:val="0"/>
                <w:sz w:val="24"/>
                <w:szCs w:val="24"/>
                <w:highlight w:val="none"/>
                <w:lang w:eastAsia="zh-CN"/>
              </w:rPr>
            </w:pPr>
            <w:r>
              <w:rPr>
                <w:rFonts w:hint="eastAsia" w:ascii="宋体" w:hAnsi="宋体" w:eastAsia="宋体" w:cs="宋体"/>
                <w:bCs/>
                <w:snapToGrid w:val="0"/>
                <w:sz w:val="24"/>
                <w:szCs w:val="24"/>
                <w:highlight w:val="none"/>
                <w:lang w:eastAsia="zh-CN"/>
              </w:rPr>
              <w:t>投标人</w:t>
            </w:r>
            <w:r>
              <w:rPr>
                <w:rFonts w:hint="eastAsia" w:ascii="宋体" w:hAnsi="宋体" w:eastAsia="宋体" w:cs="宋体"/>
                <w:bCs/>
                <w:snapToGrid w:val="0"/>
                <w:sz w:val="24"/>
                <w:szCs w:val="24"/>
                <w:highlight w:val="none"/>
              </w:rPr>
              <w:t>名称与营业执照名称一致</w:t>
            </w:r>
          </w:p>
        </w:tc>
      </w:tr>
      <w:tr w14:paraId="778B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66" w:type="pct"/>
            <w:noWrap w:val="0"/>
            <w:vAlign w:val="center"/>
          </w:tcPr>
          <w:p w14:paraId="6CA473DB">
            <w:pPr>
              <w:keepNext w:val="0"/>
              <w:keepLines w:val="0"/>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bCs/>
                <w:snapToGrid w:val="0"/>
                <w:kern w:val="2"/>
                <w:sz w:val="24"/>
                <w:szCs w:val="24"/>
                <w:highlight w:val="none"/>
                <w:lang w:val="en-US" w:eastAsia="zh-CN" w:bidi="ar-SA"/>
              </w:rPr>
            </w:pPr>
            <w:r>
              <w:rPr>
                <w:rFonts w:hint="eastAsia" w:ascii="宋体" w:hAnsi="宋体" w:eastAsia="宋体" w:cs="宋体"/>
                <w:bCs/>
                <w:snapToGrid w:val="0"/>
                <w:sz w:val="24"/>
                <w:szCs w:val="24"/>
                <w:highlight w:val="none"/>
              </w:rPr>
              <w:t>3</w:t>
            </w:r>
          </w:p>
        </w:tc>
        <w:tc>
          <w:tcPr>
            <w:tcW w:w="1000" w:type="pct"/>
            <w:noWrap w:val="0"/>
            <w:vAlign w:val="center"/>
          </w:tcPr>
          <w:p w14:paraId="0C02482A">
            <w:pPr>
              <w:keepNext w:val="0"/>
              <w:keepLines w:val="0"/>
              <w:pageBreakBefore w:val="0"/>
              <w:kinsoku/>
              <w:wordWrap/>
              <w:overflowPunct/>
              <w:topLinePunct w:val="0"/>
              <w:autoSpaceDE w:val="0"/>
              <w:autoSpaceDN w:val="0"/>
              <w:bidi w:val="0"/>
              <w:adjustRightInd w:val="0"/>
              <w:spacing w:line="240"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投标文件的签署及填写</w:t>
            </w:r>
          </w:p>
        </w:tc>
        <w:tc>
          <w:tcPr>
            <w:tcW w:w="3532" w:type="pct"/>
            <w:noWrap w:val="0"/>
            <w:vAlign w:val="center"/>
          </w:tcPr>
          <w:p w14:paraId="3103AA88">
            <w:pPr>
              <w:keepNext w:val="0"/>
              <w:keepLines w:val="0"/>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投标文件的签署及填写符合招标文件的要求</w:t>
            </w:r>
          </w:p>
        </w:tc>
      </w:tr>
      <w:tr w14:paraId="50AF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66" w:type="pct"/>
            <w:noWrap w:val="0"/>
            <w:vAlign w:val="center"/>
          </w:tcPr>
          <w:p w14:paraId="7FB33145">
            <w:pPr>
              <w:keepNext w:val="0"/>
              <w:keepLines w:val="0"/>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bCs/>
                <w:snapToGrid w:val="0"/>
                <w:kern w:val="2"/>
                <w:sz w:val="24"/>
                <w:szCs w:val="24"/>
                <w:highlight w:val="none"/>
                <w:lang w:val="en-US" w:eastAsia="zh-CN" w:bidi="ar-SA"/>
              </w:rPr>
            </w:pPr>
            <w:r>
              <w:rPr>
                <w:rFonts w:hint="eastAsia" w:ascii="宋体" w:hAnsi="宋体" w:eastAsia="宋体" w:cs="宋体"/>
                <w:bCs/>
                <w:snapToGrid w:val="0"/>
                <w:sz w:val="24"/>
                <w:szCs w:val="24"/>
                <w:highlight w:val="none"/>
              </w:rPr>
              <w:t>4</w:t>
            </w:r>
          </w:p>
        </w:tc>
        <w:tc>
          <w:tcPr>
            <w:tcW w:w="1000" w:type="pct"/>
            <w:shd w:val="clear" w:color="auto" w:fill="auto"/>
            <w:noWrap w:val="0"/>
            <w:vAlign w:val="center"/>
          </w:tcPr>
          <w:p w14:paraId="085E882A">
            <w:pPr>
              <w:keepNext w:val="0"/>
              <w:keepLines w:val="0"/>
              <w:pageBreakBefore w:val="0"/>
              <w:kinsoku/>
              <w:wordWrap/>
              <w:overflowPunct/>
              <w:topLinePunct w:val="0"/>
              <w:autoSpaceDE w:val="0"/>
              <w:autoSpaceDN w:val="0"/>
              <w:bidi w:val="0"/>
              <w:adjustRightInd w:val="0"/>
              <w:spacing w:line="240" w:lineRule="auto"/>
              <w:jc w:val="center"/>
              <w:rPr>
                <w:rFonts w:hint="eastAsia" w:ascii="宋体" w:hAnsi="宋体" w:eastAsia="宋体" w:cs="宋体"/>
                <w:bCs/>
                <w:sz w:val="24"/>
                <w:szCs w:val="24"/>
                <w:highlight w:val="none"/>
                <w:lang w:val="en-US" w:eastAsia="zh-CN" w:bidi="ar-SA"/>
              </w:rPr>
            </w:pPr>
            <w:r>
              <w:rPr>
                <w:rFonts w:hint="eastAsia" w:ascii="宋体" w:hAnsi="宋体" w:eastAsia="宋体" w:cs="宋体"/>
                <w:bCs/>
                <w:sz w:val="24"/>
                <w:szCs w:val="24"/>
                <w:highlight w:val="none"/>
                <w:lang w:val="zh-CN"/>
              </w:rPr>
              <w:t>投标有效期</w:t>
            </w:r>
          </w:p>
        </w:tc>
        <w:tc>
          <w:tcPr>
            <w:tcW w:w="3532" w:type="pct"/>
            <w:shd w:val="clear" w:color="auto" w:fill="auto"/>
            <w:noWrap w:val="0"/>
            <w:vAlign w:val="center"/>
          </w:tcPr>
          <w:p w14:paraId="3C718524">
            <w:pPr>
              <w:keepNext w:val="0"/>
              <w:keepLines w:val="0"/>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bCs/>
                <w:snapToGrid w:val="0"/>
                <w:sz w:val="24"/>
                <w:szCs w:val="24"/>
                <w:highlight w:val="none"/>
                <w:lang w:val="en-US" w:eastAsia="zh-CN" w:bidi="ar-SA"/>
              </w:rPr>
            </w:pPr>
            <w:r>
              <w:rPr>
                <w:rFonts w:hint="eastAsia" w:ascii="宋体" w:hAnsi="宋体" w:eastAsia="宋体" w:cs="宋体"/>
                <w:bCs/>
                <w:snapToGrid w:val="0"/>
                <w:sz w:val="24"/>
                <w:szCs w:val="24"/>
                <w:highlight w:val="none"/>
              </w:rPr>
              <w:t>投标有效期满足招标文件要求</w:t>
            </w:r>
          </w:p>
        </w:tc>
      </w:tr>
      <w:tr w14:paraId="0C4F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66" w:type="pct"/>
            <w:noWrap w:val="0"/>
            <w:vAlign w:val="center"/>
          </w:tcPr>
          <w:p w14:paraId="6F5F0799">
            <w:pPr>
              <w:keepNext w:val="0"/>
              <w:keepLines w:val="0"/>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bCs/>
                <w:snapToGrid w:val="0"/>
                <w:kern w:val="2"/>
                <w:sz w:val="24"/>
                <w:szCs w:val="24"/>
                <w:highlight w:val="none"/>
                <w:lang w:val="en-US" w:eastAsia="zh-CN" w:bidi="ar-SA"/>
              </w:rPr>
            </w:pPr>
            <w:r>
              <w:rPr>
                <w:rFonts w:hint="eastAsia" w:ascii="宋体" w:hAnsi="宋体" w:eastAsia="宋体" w:cs="宋体"/>
                <w:bCs/>
                <w:snapToGrid w:val="0"/>
                <w:sz w:val="24"/>
                <w:szCs w:val="24"/>
                <w:highlight w:val="none"/>
              </w:rPr>
              <w:t>5</w:t>
            </w:r>
          </w:p>
        </w:tc>
        <w:tc>
          <w:tcPr>
            <w:tcW w:w="1000" w:type="pct"/>
            <w:tcBorders>
              <w:bottom w:val="single" w:color="auto" w:sz="4" w:space="0"/>
            </w:tcBorders>
            <w:shd w:val="clear" w:color="auto" w:fill="auto"/>
            <w:noWrap w:val="0"/>
            <w:vAlign w:val="center"/>
          </w:tcPr>
          <w:p w14:paraId="68A3D389">
            <w:pPr>
              <w:keepNext w:val="0"/>
              <w:keepLines w:val="0"/>
              <w:pageBreakBefore w:val="0"/>
              <w:kinsoku/>
              <w:wordWrap/>
              <w:overflowPunct/>
              <w:topLinePunct w:val="0"/>
              <w:autoSpaceDE w:val="0"/>
              <w:autoSpaceDN w:val="0"/>
              <w:bidi w:val="0"/>
              <w:adjustRightInd w:val="0"/>
              <w:spacing w:line="240" w:lineRule="auto"/>
              <w:jc w:val="center"/>
              <w:rPr>
                <w:rFonts w:hint="eastAsia" w:ascii="宋体" w:hAnsi="宋体" w:eastAsia="宋体" w:cs="宋体"/>
                <w:bCs/>
                <w:sz w:val="24"/>
                <w:szCs w:val="24"/>
                <w:highlight w:val="none"/>
                <w:lang w:val="zh-CN" w:eastAsia="zh-CN" w:bidi="ar-SA"/>
              </w:rPr>
            </w:pPr>
            <w:r>
              <w:rPr>
                <w:rFonts w:hint="eastAsia" w:ascii="宋体" w:hAnsi="宋体" w:eastAsia="宋体" w:cs="宋体"/>
                <w:bCs/>
                <w:sz w:val="24"/>
                <w:szCs w:val="24"/>
                <w:highlight w:val="none"/>
                <w:lang w:val="zh-CN" w:eastAsia="zh-CN"/>
              </w:rPr>
              <w:t>合同履行期限</w:t>
            </w:r>
          </w:p>
        </w:tc>
        <w:tc>
          <w:tcPr>
            <w:tcW w:w="3532" w:type="pct"/>
            <w:tcBorders>
              <w:bottom w:val="single" w:color="auto" w:sz="4" w:space="0"/>
            </w:tcBorders>
            <w:shd w:val="clear" w:color="auto" w:fill="auto"/>
            <w:noWrap w:val="0"/>
            <w:vAlign w:val="center"/>
          </w:tcPr>
          <w:p w14:paraId="1B94B496">
            <w:pPr>
              <w:keepNext w:val="0"/>
              <w:keepLines w:val="0"/>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bCs/>
                <w:snapToGrid w:val="0"/>
                <w:sz w:val="24"/>
                <w:szCs w:val="24"/>
                <w:highlight w:val="none"/>
                <w:lang w:val="en-US" w:eastAsia="zh-CN" w:bidi="ar-SA"/>
              </w:rPr>
            </w:pPr>
            <w:r>
              <w:rPr>
                <w:rFonts w:hint="eastAsia" w:ascii="宋体" w:hAnsi="宋体" w:eastAsia="宋体" w:cs="宋体"/>
                <w:bCs/>
                <w:snapToGrid w:val="0"/>
                <w:sz w:val="24"/>
                <w:szCs w:val="24"/>
                <w:highlight w:val="none"/>
                <w:lang w:eastAsia="zh-CN"/>
              </w:rPr>
              <w:t>合同履行期限</w:t>
            </w:r>
            <w:r>
              <w:rPr>
                <w:rFonts w:hint="eastAsia" w:ascii="宋体" w:hAnsi="宋体" w:eastAsia="宋体" w:cs="宋体"/>
                <w:bCs/>
                <w:snapToGrid w:val="0"/>
                <w:sz w:val="24"/>
                <w:szCs w:val="24"/>
                <w:highlight w:val="none"/>
              </w:rPr>
              <w:t>满足招标文件要求</w:t>
            </w:r>
          </w:p>
        </w:tc>
      </w:tr>
      <w:tr w14:paraId="6176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66" w:type="pct"/>
            <w:tcBorders>
              <w:bottom w:val="single" w:color="auto" w:sz="4" w:space="0"/>
            </w:tcBorders>
            <w:noWrap w:val="0"/>
            <w:vAlign w:val="center"/>
          </w:tcPr>
          <w:p w14:paraId="79329400">
            <w:pPr>
              <w:keepNext w:val="0"/>
              <w:keepLines w:val="0"/>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bCs/>
                <w:snapToGrid w:val="0"/>
                <w:kern w:val="2"/>
                <w:sz w:val="24"/>
                <w:szCs w:val="24"/>
                <w:highlight w:val="none"/>
                <w:lang w:val="en-US" w:eastAsia="zh-CN" w:bidi="ar-SA"/>
              </w:rPr>
            </w:pPr>
            <w:r>
              <w:rPr>
                <w:rFonts w:hint="eastAsia" w:ascii="宋体" w:hAnsi="宋体" w:eastAsia="宋体" w:cs="宋体"/>
                <w:bCs/>
                <w:snapToGrid w:val="0"/>
                <w:sz w:val="24"/>
                <w:szCs w:val="24"/>
                <w:highlight w:val="none"/>
              </w:rPr>
              <w:t>6</w:t>
            </w:r>
          </w:p>
        </w:tc>
        <w:tc>
          <w:tcPr>
            <w:tcW w:w="1000" w:type="pct"/>
            <w:tcBorders>
              <w:bottom w:val="single" w:color="auto" w:sz="4" w:space="0"/>
            </w:tcBorders>
            <w:shd w:val="clear" w:color="auto" w:fill="auto"/>
            <w:noWrap w:val="0"/>
            <w:vAlign w:val="center"/>
          </w:tcPr>
          <w:p w14:paraId="05276218">
            <w:pPr>
              <w:keepNext w:val="0"/>
              <w:keepLines w:val="0"/>
              <w:pageBreakBefore w:val="0"/>
              <w:kinsoku/>
              <w:wordWrap/>
              <w:overflowPunct/>
              <w:topLinePunct w:val="0"/>
              <w:autoSpaceDE w:val="0"/>
              <w:autoSpaceDN w:val="0"/>
              <w:bidi w:val="0"/>
              <w:adjustRightInd w:val="0"/>
              <w:spacing w:line="240" w:lineRule="auto"/>
              <w:jc w:val="center"/>
              <w:rPr>
                <w:rFonts w:hint="eastAsia" w:ascii="宋体" w:hAnsi="宋体" w:eastAsia="宋体" w:cs="宋体"/>
                <w:bCs/>
                <w:sz w:val="24"/>
                <w:szCs w:val="24"/>
                <w:highlight w:val="none"/>
                <w:lang w:val="zh-CN" w:eastAsia="zh-CN" w:bidi="ar-SA"/>
              </w:rPr>
            </w:pPr>
            <w:r>
              <w:rPr>
                <w:rFonts w:hint="eastAsia" w:ascii="宋体" w:hAnsi="宋体" w:eastAsia="宋体" w:cs="宋体"/>
                <w:bCs/>
                <w:sz w:val="24"/>
                <w:szCs w:val="24"/>
                <w:highlight w:val="none"/>
                <w:lang w:val="zh-CN"/>
              </w:rPr>
              <w:t>投标报价</w:t>
            </w:r>
          </w:p>
        </w:tc>
        <w:tc>
          <w:tcPr>
            <w:tcW w:w="3532" w:type="pct"/>
            <w:tcBorders>
              <w:bottom w:val="single" w:color="auto" w:sz="4" w:space="0"/>
            </w:tcBorders>
            <w:shd w:val="clear" w:color="auto" w:fill="auto"/>
            <w:noWrap w:val="0"/>
            <w:vAlign w:val="center"/>
          </w:tcPr>
          <w:p w14:paraId="762C6B62">
            <w:pPr>
              <w:keepNext w:val="0"/>
              <w:keepLines w:val="0"/>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bCs/>
                <w:snapToGrid w:val="0"/>
                <w:sz w:val="24"/>
                <w:szCs w:val="24"/>
                <w:highlight w:val="none"/>
                <w:lang w:val="en-US" w:eastAsia="zh-CN" w:bidi="ar-SA"/>
              </w:rPr>
            </w:pPr>
            <w:r>
              <w:rPr>
                <w:rFonts w:hint="eastAsia" w:ascii="宋体" w:hAnsi="宋体" w:eastAsia="宋体" w:cs="宋体"/>
                <w:bCs/>
                <w:snapToGrid w:val="0"/>
                <w:sz w:val="24"/>
                <w:szCs w:val="24"/>
                <w:highlight w:val="none"/>
              </w:rPr>
              <w:t>投标报价不超过</w:t>
            </w:r>
            <w:r>
              <w:rPr>
                <w:rFonts w:hint="eastAsia" w:ascii="宋体" w:hAnsi="宋体" w:eastAsia="宋体" w:cs="宋体"/>
                <w:bCs/>
                <w:sz w:val="24"/>
                <w:szCs w:val="24"/>
                <w:highlight w:val="none"/>
                <w:lang w:val="zh-CN"/>
              </w:rPr>
              <w:t>预算金额或最高限价</w:t>
            </w:r>
          </w:p>
        </w:tc>
      </w:tr>
      <w:tr w14:paraId="65BD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66" w:type="pct"/>
            <w:tcBorders>
              <w:bottom w:val="single" w:color="auto" w:sz="4" w:space="0"/>
            </w:tcBorders>
            <w:shd w:val="clear" w:color="auto" w:fill="auto"/>
            <w:noWrap w:val="0"/>
            <w:vAlign w:val="center"/>
          </w:tcPr>
          <w:p w14:paraId="5FF819E2">
            <w:pPr>
              <w:keepNext w:val="0"/>
              <w:keepLines w:val="0"/>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bCs/>
                <w:snapToGrid w:val="0"/>
                <w:kern w:val="2"/>
                <w:sz w:val="24"/>
                <w:szCs w:val="24"/>
                <w:highlight w:val="none"/>
                <w:lang w:val="en-US" w:eastAsia="zh-CN" w:bidi="ar-SA"/>
              </w:rPr>
            </w:pPr>
            <w:r>
              <w:rPr>
                <w:rFonts w:hint="eastAsia" w:ascii="宋体" w:hAnsi="宋体" w:eastAsia="宋体" w:cs="宋体"/>
                <w:bCs/>
                <w:snapToGrid w:val="0"/>
                <w:sz w:val="24"/>
                <w:szCs w:val="24"/>
                <w:highlight w:val="none"/>
              </w:rPr>
              <w:t>7</w:t>
            </w:r>
          </w:p>
        </w:tc>
        <w:tc>
          <w:tcPr>
            <w:tcW w:w="1000" w:type="pct"/>
            <w:tcBorders>
              <w:bottom w:val="single" w:color="auto" w:sz="4" w:space="0"/>
            </w:tcBorders>
            <w:shd w:val="clear" w:color="auto" w:fill="auto"/>
            <w:noWrap w:val="0"/>
            <w:vAlign w:val="center"/>
          </w:tcPr>
          <w:p w14:paraId="7A0E918A">
            <w:pPr>
              <w:keepNext w:val="0"/>
              <w:keepLines w:val="0"/>
              <w:pageBreakBefore w:val="0"/>
              <w:kinsoku/>
              <w:wordWrap/>
              <w:overflowPunct/>
              <w:topLinePunct w:val="0"/>
              <w:autoSpaceDE w:val="0"/>
              <w:autoSpaceDN w:val="0"/>
              <w:bidi w:val="0"/>
              <w:adjustRightInd w:val="0"/>
              <w:spacing w:line="240" w:lineRule="auto"/>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投标保证金</w:t>
            </w:r>
          </w:p>
        </w:tc>
        <w:tc>
          <w:tcPr>
            <w:tcW w:w="3532" w:type="pct"/>
            <w:tcBorders>
              <w:bottom w:val="single" w:color="auto" w:sz="4" w:space="0"/>
            </w:tcBorders>
            <w:shd w:val="clear" w:color="auto" w:fill="auto"/>
            <w:noWrap w:val="0"/>
            <w:vAlign w:val="center"/>
          </w:tcPr>
          <w:p w14:paraId="59162EC9">
            <w:pPr>
              <w:keepNext w:val="0"/>
              <w:keepLines w:val="0"/>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符合招标文件的要求</w:t>
            </w:r>
          </w:p>
        </w:tc>
      </w:tr>
      <w:tr w14:paraId="62AA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66" w:type="pct"/>
            <w:shd w:val="clear" w:color="auto" w:fill="auto"/>
            <w:noWrap w:val="0"/>
            <w:vAlign w:val="center"/>
          </w:tcPr>
          <w:p w14:paraId="795BC6DE">
            <w:pPr>
              <w:keepNext w:val="0"/>
              <w:keepLines w:val="0"/>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bCs/>
                <w:snapToGrid w:val="0"/>
                <w:kern w:val="2"/>
                <w:sz w:val="24"/>
                <w:szCs w:val="24"/>
                <w:highlight w:val="none"/>
                <w:lang w:val="en-US" w:eastAsia="zh-CN" w:bidi="ar-SA"/>
              </w:rPr>
            </w:pPr>
            <w:r>
              <w:rPr>
                <w:rFonts w:hint="eastAsia" w:ascii="宋体" w:hAnsi="宋体" w:eastAsia="宋体" w:cs="宋体"/>
                <w:bCs/>
                <w:snapToGrid w:val="0"/>
                <w:sz w:val="24"/>
                <w:szCs w:val="24"/>
                <w:highlight w:val="none"/>
              </w:rPr>
              <w:t>8</w:t>
            </w:r>
          </w:p>
        </w:tc>
        <w:tc>
          <w:tcPr>
            <w:tcW w:w="1000" w:type="pct"/>
            <w:shd w:val="clear" w:color="auto" w:fill="auto"/>
            <w:noWrap w:val="0"/>
            <w:vAlign w:val="center"/>
          </w:tcPr>
          <w:p w14:paraId="09A3BBC9">
            <w:pPr>
              <w:keepNext w:val="0"/>
              <w:keepLines w:val="0"/>
              <w:pageBreakBefore w:val="0"/>
              <w:kinsoku/>
              <w:wordWrap/>
              <w:overflowPunct/>
              <w:topLinePunct w:val="0"/>
              <w:autoSpaceDE w:val="0"/>
              <w:autoSpaceDN w:val="0"/>
              <w:bidi w:val="0"/>
              <w:adjustRightInd w:val="0"/>
              <w:spacing w:line="240" w:lineRule="auto"/>
              <w:jc w:val="center"/>
              <w:rPr>
                <w:rFonts w:hint="eastAsia" w:ascii="宋体" w:hAnsi="宋体" w:eastAsia="宋体" w:cs="宋体"/>
                <w:bCs/>
                <w:sz w:val="24"/>
                <w:szCs w:val="24"/>
                <w:highlight w:val="none"/>
                <w:lang w:val="zh-CN" w:eastAsia="zh-CN" w:bidi="ar-SA"/>
              </w:rPr>
            </w:pPr>
            <w:r>
              <w:rPr>
                <w:rFonts w:hint="eastAsia" w:ascii="宋体" w:hAnsi="宋体" w:eastAsia="宋体" w:cs="宋体"/>
                <w:bCs/>
                <w:sz w:val="24"/>
                <w:szCs w:val="24"/>
                <w:highlight w:val="none"/>
                <w:lang w:val="zh-CN" w:eastAsia="zh-CN"/>
              </w:rPr>
              <w:t>采购人</w:t>
            </w:r>
            <w:r>
              <w:rPr>
                <w:rFonts w:hint="eastAsia" w:ascii="宋体" w:hAnsi="宋体" w:eastAsia="宋体" w:cs="宋体"/>
                <w:bCs/>
                <w:sz w:val="24"/>
                <w:szCs w:val="24"/>
                <w:highlight w:val="none"/>
                <w:lang w:val="zh-CN"/>
              </w:rPr>
              <w:t>不能接受的条件</w:t>
            </w:r>
          </w:p>
        </w:tc>
        <w:tc>
          <w:tcPr>
            <w:tcW w:w="3532" w:type="pct"/>
            <w:shd w:val="clear" w:color="auto" w:fill="auto"/>
            <w:noWrap w:val="0"/>
            <w:vAlign w:val="center"/>
          </w:tcPr>
          <w:p w14:paraId="76EF4750">
            <w:pPr>
              <w:keepNext w:val="0"/>
              <w:keepLines w:val="0"/>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bCs/>
                <w:snapToGrid w:val="0"/>
                <w:sz w:val="24"/>
                <w:szCs w:val="24"/>
                <w:highlight w:val="none"/>
                <w:lang w:val="en-US" w:eastAsia="zh-CN" w:bidi="ar-SA"/>
              </w:rPr>
            </w:pPr>
            <w:r>
              <w:rPr>
                <w:rFonts w:hint="eastAsia" w:ascii="宋体" w:hAnsi="宋体" w:eastAsia="宋体" w:cs="宋体"/>
                <w:bCs/>
                <w:snapToGrid w:val="0"/>
                <w:sz w:val="24"/>
                <w:szCs w:val="24"/>
                <w:highlight w:val="none"/>
              </w:rPr>
              <w:t>投标文件没有</w:t>
            </w:r>
            <w:r>
              <w:rPr>
                <w:rFonts w:hint="eastAsia" w:ascii="宋体" w:hAnsi="宋体" w:eastAsia="宋体" w:cs="宋体"/>
                <w:bCs/>
                <w:snapToGrid w:val="0"/>
                <w:sz w:val="24"/>
                <w:szCs w:val="24"/>
                <w:highlight w:val="none"/>
                <w:lang w:eastAsia="zh-CN"/>
              </w:rPr>
              <w:t>采购人</w:t>
            </w:r>
            <w:r>
              <w:rPr>
                <w:rFonts w:hint="eastAsia" w:ascii="宋体" w:hAnsi="宋体" w:eastAsia="宋体" w:cs="宋体"/>
                <w:bCs/>
                <w:snapToGrid w:val="0"/>
                <w:sz w:val="24"/>
                <w:szCs w:val="24"/>
                <w:highlight w:val="none"/>
              </w:rPr>
              <w:t>不能接受的条件</w:t>
            </w:r>
          </w:p>
        </w:tc>
      </w:tr>
      <w:tr w14:paraId="68D5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66" w:type="pct"/>
            <w:noWrap w:val="0"/>
            <w:vAlign w:val="center"/>
          </w:tcPr>
          <w:p w14:paraId="22BD10AC">
            <w:pPr>
              <w:keepNext w:val="0"/>
              <w:keepLines w:val="0"/>
              <w:pageBreakBefore w:val="0"/>
              <w:widowControl w:val="0"/>
              <w:kinsoku/>
              <w:wordWrap/>
              <w:overflowPunct/>
              <w:topLinePunct w:val="0"/>
              <w:bidi w:val="0"/>
              <w:adjustRightInd w:val="0"/>
              <w:snapToGrid w:val="0"/>
              <w:spacing w:line="240" w:lineRule="auto"/>
              <w:jc w:val="center"/>
              <w:textAlignment w:val="baseline"/>
              <w:rPr>
                <w:rFonts w:hint="default" w:ascii="宋体" w:hAnsi="宋体" w:eastAsia="宋体" w:cs="宋体"/>
                <w:bCs/>
                <w:snapToGrid w:val="0"/>
                <w:kern w:val="2"/>
                <w:sz w:val="24"/>
                <w:szCs w:val="24"/>
                <w:highlight w:val="none"/>
                <w:lang w:val="en-US" w:eastAsia="zh-CN" w:bidi="ar-SA"/>
              </w:rPr>
            </w:pPr>
            <w:r>
              <w:rPr>
                <w:rFonts w:hint="eastAsia" w:ascii="宋体" w:hAnsi="宋体" w:cs="宋体"/>
                <w:bCs/>
                <w:snapToGrid w:val="0"/>
                <w:kern w:val="2"/>
                <w:sz w:val="24"/>
                <w:szCs w:val="24"/>
                <w:highlight w:val="none"/>
                <w:lang w:val="en-US" w:eastAsia="zh-CN" w:bidi="ar-SA"/>
              </w:rPr>
              <w:t>9</w:t>
            </w:r>
          </w:p>
        </w:tc>
        <w:tc>
          <w:tcPr>
            <w:tcW w:w="1000" w:type="pct"/>
            <w:shd w:val="clear" w:color="auto" w:fill="auto"/>
            <w:noWrap w:val="0"/>
            <w:vAlign w:val="center"/>
          </w:tcPr>
          <w:p w14:paraId="0FB5DFEE">
            <w:pPr>
              <w:keepNext w:val="0"/>
              <w:keepLines w:val="0"/>
              <w:pageBreakBefore w:val="0"/>
              <w:kinsoku/>
              <w:wordWrap/>
              <w:overflowPunct/>
              <w:topLinePunct w:val="0"/>
              <w:autoSpaceDE w:val="0"/>
              <w:autoSpaceDN w:val="0"/>
              <w:bidi w:val="0"/>
              <w:adjustRightInd w:val="0"/>
              <w:spacing w:line="240" w:lineRule="auto"/>
              <w:jc w:val="center"/>
              <w:rPr>
                <w:rFonts w:hint="eastAsia" w:ascii="宋体" w:hAnsi="宋体" w:eastAsia="宋体" w:cs="宋体"/>
                <w:bCs/>
                <w:sz w:val="24"/>
                <w:szCs w:val="24"/>
                <w:highlight w:val="none"/>
                <w:lang w:val="zh-CN" w:eastAsia="zh-CN" w:bidi="ar-SA"/>
              </w:rPr>
            </w:pPr>
            <w:r>
              <w:rPr>
                <w:rFonts w:hint="eastAsia" w:ascii="宋体" w:hAnsi="宋体" w:eastAsia="宋体" w:cs="宋体"/>
                <w:bCs/>
                <w:sz w:val="24"/>
                <w:szCs w:val="24"/>
                <w:highlight w:val="none"/>
                <w:lang w:val="en-US" w:eastAsia="zh-CN"/>
              </w:rPr>
              <w:t>实质性响应</w:t>
            </w:r>
          </w:p>
        </w:tc>
        <w:tc>
          <w:tcPr>
            <w:tcW w:w="3532" w:type="pct"/>
            <w:shd w:val="clear" w:color="auto" w:fill="auto"/>
            <w:noWrap w:val="0"/>
            <w:vAlign w:val="center"/>
          </w:tcPr>
          <w:p w14:paraId="31ACF41D">
            <w:pPr>
              <w:keepNext w:val="0"/>
              <w:keepLines w:val="0"/>
              <w:pageBreakBefore w:val="0"/>
              <w:kinsoku/>
              <w:wordWrap/>
              <w:overflowPunct/>
              <w:topLinePunct w:val="0"/>
              <w:autoSpaceDE w:val="0"/>
              <w:autoSpaceDN w:val="0"/>
              <w:bidi w:val="0"/>
              <w:adjustRightInd w:val="0"/>
              <w:spacing w:line="240" w:lineRule="auto"/>
              <w:jc w:val="left"/>
              <w:rPr>
                <w:rFonts w:hint="eastAsia" w:ascii="宋体" w:hAnsi="宋体" w:eastAsia="宋体" w:cs="宋体"/>
                <w:bCs/>
                <w:sz w:val="24"/>
                <w:szCs w:val="24"/>
                <w:highlight w:val="none"/>
                <w:lang w:val="zh-CN" w:eastAsia="zh-CN" w:bidi="ar-SA"/>
              </w:rPr>
            </w:pPr>
            <w:r>
              <w:rPr>
                <w:rFonts w:hint="eastAsia" w:ascii="宋体" w:hAnsi="宋体" w:cs="宋体"/>
                <w:bCs/>
                <w:snapToGrid w:val="0"/>
                <w:color w:val="auto"/>
                <w:sz w:val="24"/>
                <w:szCs w:val="24"/>
                <w:highlight w:val="none"/>
              </w:rPr>
              <w:t>投标文件符合技术规格、技术标准的</w:t>
            </w:r>
            <w:r>
              <w:rPr>
                <w:rFonts w:hint="eastAsia" w:ascii="宋体" w:hAnsi="宋体" w:cs="宋体"/>
                <w:bCs/>
                <w:snapToGrid w:val="0"/>
                <w:color w:val="auto"/>
                <w:sz w:val="24"/>
                <w:szCs w:val="24"/>
                <w:highlight w:val="none"/>
                <w:lang w:val="en-US" w:eastAsia="zh-CN"/>
              </w:rPr>
              <w:t>实质性</w:t>
            </w:r>
            <w:r>
              <w:rPr>
                <w:rFonts w:hint="eastAsia" w:ascii="宋体" w:hAnsi="宋体" w:cs="宋体"/>
                <w:bCs/>
                <w:snapToGrid w:val="0"/>
                <w:color w:val="auto"/>
                <w:sz w:val="24"/>
                <w:szCs w:val="24"/>
                <w:highlight w:val="none"/>
              </w:rPr>
              <w:t>要求</w:t>
            </w:r>
          </w:p>
        </w:tc>
      </w:tr>
    </w:tbl>
    <w:p w14:paraId="2E530AEC">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14:paraId="56C03D4B">
      <w:pPr>
        <w:rPr>
          <w:color w:val="auto"/>
          <w:highlight w:val="none"/>
        </w:rPr>
      </w:pPr>
      <w:r>
        <w:rPr>
          <w:rFonts w:hint="eastAsia" w:ascii="宋体" w:hAnsi="宋体" w:cs="宋体"/>
          <w:b/>
          <w:bCs/>
          <w:color w:val="auto"/>
          <w:sz w:val="24"/>
          <w:szCs w:val="24"/>
          <w:highlight w:val="none"/>
          <w:lang w:bidi="ar"/>
        </w:rPr>
        <w:t>注：上述表中任何一项不合格，审查结论为“不合格”，不进入</w:t>
      </w:r>
      <w:r>
        <w:rPr>
          <w:rFonts w:hint="eastAsia" w:ascii="宋体" w:hAnsi="宋体" w:cs="宋体"/>
          <w:b/>
          <w:bCs/>
          <w:color w:val="auto"/>
          <w:sz w:val="24"/>
          <w:szCs w:val="24"/>
          <w:highlight w:val="none"/>
          <w:lang w:val="en-US" w:eastAsia="zh-CN" w:bidi="ar"/>
        </w:rPr>
        <w:t>详细评审</w:t>
      </w:r>
      <w:r>
        <w:rPr>
          <w:rFonts w:hint="eastAsia" w:ascii="宋体" w:hAnsi="宋体" w:cs="宋体"/>
          <w:b/>
          <w:bCs/>
          <w:color w:val="auto"/>
          <w:sz w:val="24"/>
          <w:szCs w:val="24"/>
          <w:highlight w:val="none"/>
          <w:lang w:bidi="ar"/>
        </w:rPr>
        <w:t>。</w:t>
      </w:r>
    </w:p>
    <w:p w14:paraId="585D0284">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0AD7F4DF">
      <w:pPr>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rPr>
        <w:t>（三）详细评审</w:t>
      </w:r>
    </w:p>
    <w:tbl>
      <w:tblPr>
        <w:tblStyle w:val="45"/>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449"/>
        <w:gridCol w:w="6527"/>
        <w:gridCol w:w="651"/>
      </w:tblGrid>
      <w:tr w14:paraId="54C3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59" w:type="pct"/>
            <w:gridSpan w:val="2"/>
            <w:vMerge w:val="restart"/>
            <w:noWrap w:val="0"/>
            <w:vAlign w:val="center"/>
          </w:tcPr>
          <w:p w14:paraId="32DB2C9A">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3310" w:type="pct"/>
            <w:vMerge w:val="restart"/>
            <w:noWrap w:val="0"/>
            <w:vAlign w:val="center"/>
          </w:tcPr>
          <w:p w14:paraId="70995B86">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330" w:type="pct"/>
            <w:vMerge w:val="restart"/>
            <w:noWrap w:val="0"/>
            <w:vAlign w:val="center"/>
          </w:tcPr>
          <w:p w14:paraId="548850FA">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14:paraId="7115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59" w:type="pct"/>
            <w:gridSpan w:val="2"/>
            <w:vMerge w:val="continue"/>
            <w:noWrap w:val="0"/>
            <w:vAlign w:val="center"/>
          </w:tcPr>
          <w:p w14:paraId="3FB414FA">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textAlignment w:val="auto"/>
              <w:rPr>
                <w:rFonts w:hint="eastAsia" w:ascii="宋体" w:hAnsi="宋体" w:eastAsia="宋体" w:cs="宋体"/>
                <w:color w:val="auto"/>
                <w:sz w:val="24"/>
                <w:szCs w:val="24"/>
                <w:highlight w:val="none"/>
              </w:rPr>
            </w:pPr>
          </w:p>
        </w:tc>
        <w:tc>
          <w:tcPr>
            <w:tcW w:w="3310" w:type="pct"/>
            <w:vMerge w:val="continue"/>
            <w:noWrap w:val="0"/>
            <w:vAlign w:val="center"/>
          </w:tcPr>
          <w:p w14:paraId="2E9310FD">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textAlignment w:val="auto"/>
              <w:rPr>
                <w:rFonts w:hint="eastAsia" w:ascii="宋体" w:hAnsi="宋体" w:eastAsia="宋体" w:cs="宋体"/>
                <w:color w:val="auto"/>
                <w:sz w:val="24"/>
                <w:szCs w:val="24"/>
                <w:highlight w:val="none"/>
              </w:rPr>
            </w:pPr>
          </w:p>
        </w:tc>
        <w:tc>
          <w:tcPr>
            <w:tcW w:w="330" w:type="pct"/>
            <w:vMerge w:val="continue"/>
            <w:noWrap w:val="0"/>
            <w:vAlign w:val="center"/>
          </w:tcPr>
          <w:p w14:paraId="40F2B7C7">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textAlignment w:val="auto"/>
              <w:rPr>
                <w:rFonts w:hint="eastAsia" w:ascii="宋体" w:hAnsi="宋体" w:eastAsia="宋体" w:cs="宋体"/>
                <w:color w:val="auto"/>
                <w:sz w:val="24"/>
                <w:szCs w:val="24"/>
                <w:highlight w:val="none"/>
              </w:rPr>
            </w:pPr>
          </w:p>
        </w:tc>
      </w:tr>
      <w:tr w14:paraId="4A95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359" w:type="pct"/>
            <w:gridSpan w:val="2"/>
            <w:noWrap w:val="0"/>
            <w:vAlign w:val="center"/>
          </w:tcPr>
          <w:p w14:paraId="6492C5CB">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3310" w:type="pct"/>
            <w:noWrap w:val="0"/>
            <w:vAlign w:val="center"/>
          </w:tcPr>
          <w:p w14:paraId="55D3F4FD">
            <w:pPr>
              <w:keepNext w:val="0"/>
              <w:keepLines w:val="0"/>
              <w:pageBreakBefore w:val="0"/>
              <w:widowControl/>
              <w:shd w:val="clear" w:color="auto" w:fill="auto"/>
              <w:tabs>
                <w:tab w:val="left" w:pos="312"/>
              </w:tabs>
              <w:kinsoku/>
              <w:wordWrap/>
              <w:overflowPunct/>
              <w:topLinePunct w:val="0"/>
              <w:autoSpaceDE/>
              <w:autoSpaceDN/>
              <w:bidi w:val="0"/>
              <w:adjustRightInd/>
              <w:snapToGrid/>
              <w:spacing w:line="312" w:lineRule="auto"/>
              <w:ind w:left="20" w:leftChars="10" w:right="20" w:rightChars="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以满足招标文件要求且报价最低的价格为评标基准价，其价格分为满分30分，其他投标人的价格分按照下列公式计算：报价得分=（评标基准价/投标报价）×30，结果保留两位小数。</w:t>
            </w:r>
          </w:p>
          <w:p w14:paraId="791E89DB">
            <w:pPr>
              <w:keepNext w:val="0"/>
              <w:keepLines w:val="0"/>
              <w:pageBreakBefore w:val="0"/>
              <w:widowControl/>
              <w:shd w:val="clear" w:color="auto" w:fill="auto"/>
              <w:tabs>
                <w:tab w:val="left" w:pos="312"/>
              </w:tabs>
              <w:kinsoku/>
              <w:wordWrap/>
              <w:overflowPunct/>
              <w:topLinePunct w:val="0"/>
              <w:autoSpaceDE/>
              <w:autoSpaceDN/>
              <w:bidi w:val="0"/>
              <w:adjustRightInd/>
              <w:snapToGrid/>
              <w:spacing w:line="312" w:lineRule="auto"/>
              <w:ind w:left="20" w:leftChars="10" w:right="20" w:rightChars="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lang w:bidi="ar"/>
              </w:rPr>
              <w:t>最低报价不是中标的唯一依据。因落实政府采购政策进行价格调整的，以调整后的价格计算评标基准价和投标报价。</w:t>
            </w:r>
          </w:p>
        </w:tc>
        <w:tc>
          <w:tcPr>
            <w:tcW w:w="330" w:type="pct"/>
            <w:noWrap w:val="0"/>
            <w:vAlign w:val="center"/>
          </w:tcPr>
          <w:p w14:paraId="5C7CE75D">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r>
      <w:tr w14:paraId="4F7B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atLeast"/>
          <w:jc w:val="center"/>
        </w:trPr>
        <w:tc>
          <w:tcPr>
            <w:tcW w:w="624" w:type="pct"/>
            <w:vMerge w:val="restart"/>
            <w:noWrap w:val="0"/>
            <w:vAlign w:val="center"/>
          </w:tcPr>
          <w:p w14:paraId="0442EACE">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56分</w:t>
            </w:r>
            <w:r>
              <w:rPr>
                <w:rFonts w:hint="eastAsia" w:ascii="宋体" w:hAnsi="宋体" w:eastAsia="宋体" w:cs="宋体"/>
                <w:color w:val="auto"/>
                <w:sz w:val="24"/>
                <w:szCs w:val="24"/>
                <w:highlight w:val="none"/>
                <w:lang w:eastAsia="zh-CN"/>
              </w:rPr>
              <w:t>）</w:t>
            </w:r>
          </w:p>
          <w:p w14:paraId="52CF7138">
            <w:pPr>
              <w:pStyle w:val="30"/>
              <w:keepNext w:val="0"/>
              <w:keepLines w:val="0"/>
              <w:pageBreakBefore w:val="0"/>
              <w:widowControl/>
              <w:kinsoku/>
              <w:wordWrap/>
              <w:overflowPunct/>
              <w:topLinePunct w:val="0"/>
              <w:autoSpaceDE/>
              <w:autoSpaceDN/>
              <w:bidi w:val="0"/>
              <w:adjustRightInd/>
              <w:snapToGrid/>
              <w:spacing w:before="0" w:after="0" w:line="312" w:lineRule="auto"/>
              <w:ind w:left="20" w:leftChars="10" w:right="20" w:rightChars="10"/>
              <w:textAlignment w:val="auto"/>
              <w:rPr>
                <w:rFonts w:hint="eastAsia" w:ascii="宋体" w:hAnsi="宋体" w:eastAsia="宋体" w:cs="宋体"/>
                <w:color w:val="auto"/>
                <w:sz w:val="24"/>
                <w:szCs w:val="24"/>
                <w:highlight w:val="none"/>
              </w:rPr>
            </w:pPr>
          </w:p>
        </w:tc>
        <w:tc>
          <w:tcPr>
            <w:tcW w:w="734" w:type="pct"/>
            <w:noWrap w:val="0"/>
            <w:vAlign w:val="center"/>
          </w:tcPr>
          <w:p w14:paraId="11777297">
            <w:pPr>
              <w:keepNext w:val="0"/>
              <w:keepLines w:val="0"/>
              <w:pageBreakBefore w:val="0"/>
              <w:widowControl/>
              <w:kinsoku/>
              <w:wordWrap/>
              <w:overflowPunct/>
              <w:topLinePunct w:val="0"/>
              <w:autoSpaceDE/>
              <w:autoSpaceDN/>
              <w:bidi w:val="0"/>
              <w:spacing w:line="312" w:lineRule="auto"/>
              <w:ind w:left="20" w:leftChars="10" w:right="20" w:rightChars="10"/>
              <w:jc w:val="center"/>
              <w:textAlignment w:val="center"/>
              <w:rPr>
                <w:rFonts w:hint="eastAsia" w:ascii="宋体" w:hAnsi="宋体" w:eastAsia="宋体" w:cs="宋体"/>
                <w:color w:val="auto"/>
                <w:sz w:val="24"/>
                <w:szCs w:val="24"/>
                <w:highlight w:val="green"/>
              </w:rPr>
            </w:pPr>
            <w:r>
              <w:rPr>
                <w:rFonts w:hint="eastAsia" w:ascii="宋体" w:hAnsi="宋体" w:eastAsia="宋体" w:cs="宋体"/>
                <w:color w:val="auto"/>
                <w:kern w:val="0"/>
                <w:sz w:val="24"/>
                <w:szCs w:val="24"/>
                <w:highlight w:val="none"/>
                <w:lang w:val="en-US" w:eastAsia="zh-CN" w:bidi="ar"/>
              </w:rPr>
              <w:t>设备</w:t>
            </w:r>
            <w:r>
              <w:rPr>
                <w:rFonts w:hint="eastAsia" w:ascii="宋体" w:hAnsi="宋体" w:eastAsia="宋体" w:cs="宋体"/>
                <w:color w:val="auto"/>
                <w:kern w:val="0"/>
                <w:sz w:val="24"/>
                <w:szCs w:val="24"/>
                <w:highlight w:val="none"/>
                <w:lang w:bidi="ar"/>
              </w:rPr>
              <w:t>参数</w:t>
            </w:r>
          </w:p>
        </w:tc>
        <w:tc>
          <w:tcPr>
            <w:tcW w:w="3310" w:type="pct"/>
            <w:noWrap w:val="0"/>
            <w:vAlign w:val="center"/>
          </w:tcPr>
          <w:p w14:paraId="4F4A73B7">
            <w:pPr>
              <w:keepNext w:val="0"/>
              <w:keepLines w:val="0"/>
              <w:pageBreakBefore w:val="0"/>
              <w:widowControl/>
              <w:numPr>
                <w:ilvl w:val="0"/>
                <w:numId w:val="0"/>
              </w:numPr>
              <w:kinsoku/>
              <w:wordWrap/>
              <w:overflowPunct/>
              <w:topLinePunct w:val="0"/>
              <w:autoSpaceDE/>
              <w:autoSpaceDN/>
              <w:bidi w:val="0"/>
              <w:spacing w:line="312" w:lineRule="auto"/>
              <w:ind w:right="20" w:rightChars="10"/>
              <w:textAlignment w:val="center"/>
              <w:rPr>
                <w:rFonts w:hint="eastAsia" w:ascii="宋体" w:hAnsi="宋体" w:eastAsia="宋体" w:cs="宋体"/>
                <w:bCs/>
                <w:color w:val="auto"/>
                <w:sz w:val="24"/>
                <w:szCs w:val="24"/>
                <w:highlight w:val="green"/>
              </w:rPr>
            </w:pPr>
            <w:r>
              <w:rPr>
                <w:rFonts w:hint="eastAsia" w:ascii="宋体" w:hAnsi="宋体" w:eastAsia="宋体" w:cs="宋体"/>
                <w:color w:val="000000"/>
                <w:kern w:val="0"/>
                <w:sz w:val="24"/>
                <w:szCs w:val="24"/>
                <w:lang w:bidi="ar"/>
              </w:rPr>
              <w:t>1</w:t>
            </w:r>
            <w:r>
              <w:rPr>
                <w:rFonts w:hint="eastAsia" w:ascii="宋体" w:hAnsi="宋体" w:eastAsia="宋体" w:cs="宋体"/>
                <w:color w:val="auto"/>
                <w:sz w:val="24"/>
                <w:szCs w:val="24"/>
                <w:highlight w:val="none"/>
              </w:rPr>
              <w:t>.根据技术参数要求进行评审，全部满足文件技术要求得</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标注“▲”条款每有1项满足</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得3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不满足不得分，共14条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满分42分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3.未</w:t>
            </w:r>
            <w:r>
              <w:rPr>
                <w:rFonts w:hint="eastAsia" w:ascii="宋体" w:hAnsi="宋体" w:eastAsia="宋体" w:cs="宋体"/>
                <w:color w:val="auto"/>
                <w:sz w:val="24"/>
                <w:szCs w:val="24"/>
                <w:highlight w:val="none"/>
              </w:rPr>
              <w:t>标注“▲”条款每有1项满足</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得0.3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不满足不得分，共40条未带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满分12分。</w:t>
            </w: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①所有满足技术参数要求的项目都需提供证明材料，</w:t>
            </w:r>
            <w:r>
              <w:rPr>
                <w:rFonts w:hint="eastAsia" w:ascii="宋体" w:hAnsi="宋体" w:eastAsia="宋体" w:cs="宋体"/>
                <w:color w:val="auto"/>
                <w:sz w:val="24"/>
                <w:szCs w:val="24"/>
                <w:highlight w:val="none"/>
              </w:rPr>
              <w:t>应如实提供，不提供或不满足要求的视为负偏离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证明材料应包括生产厂家公开发布的印刷资料或检测机构出具的检验报告或加盖生产厂家公章的技术白皮书。</w:t>
            </w:r>
            <w:r>
              <w:rPr>
                <w:rFonts w:hint="eastAsia" w:ascii="宋体" w:hAnsi="宋体" w:eastAsia="宋体" w:cs="宋体"/>
                <w:color w:val="auto"/>
                <w:sz w:val="24"/>
                <w:szCs w:val="24"/>
                <w:highlight w:val="none"/>
              </w:rPr>
              <w:t>②提供证明材料须真实有效，评审时如发现提供虚假材料，则视为负偏离；③签订供货合同时，中标人应提供投标文件中提供的证明材料的原件备查,不提供或提供虚假材料的，采购人将情况上报采购办处理。</w:t>
            </w:r>
          </w:p>
        </w:tc>
        <w:tc>
          <w:tcPr>
            <w:tcW w:w="330" w:type="pct"/>
            <w:noWrap w:val="0"/>
            <w:vAlign w:val="center"/>
          </w:tcPr>
          <w:p w14:paraId="487992C4">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w:t>
            </w:r>
          </w:p>
        </w:tc>
      </w:tr>
      <w:tr w14:paraId="3B17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624" w:type="pct"/>
            <w:vMerge w:val="continue"/>
            <w:noWrap w:val="0"/>
            <w:vAlign w:val="center"/>
          </w:tcPr>
          <w:p w14:paraId="06578A98">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rPr>
            </w:pPr>
          </w:p>
        </w:tc>
        <w:tc>
          <w:tcPr>
            <w:tcW w:w="734" w:type="pct"/>
            <w:noWrap w:val="0"/>
            <w:vAlign w:val="center"/>
          </w:tcPr>
          <w:p w14:paraId="022B0EF3">
            <w:pPr>
              <w:keepNext w:val="0"/>
              <w:keepLines w:val="0"/>
              <w:pageBreakBefore w:val="0"/>
              <w:widowControl/>
              <w:kinsoku/>
              <w:wordWrap/>
              <w:overflowPunct/>
              <w:topLinePunct w:val="0"/>
              <w:autoSpaceDE/>
              <w:autoSpaceDN/>
              <w:bidi w:val="0"/>
              <w:spacing w:line="312" w:lineRule="auto"/>
              <w:ind w:left="20" w:leftChars="10" w:right="20" w:rightChars="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lang w:bidi="ar"/>
              </w:rPr>
              <w:t>业绩</w:t>
            </w:r>
          </w:p>
        </w:tc>
        <w:tc>
          <w:tcPr>
            <w:tcW w:w="3310" w:type="pct"/>
            <w:noWrap w:val="0"/>
            <w:vAlign w:val="center"/>
          </w:tcPr>
          <w:p w14:paraId="1AAEA526">
            <w:pPr>
              <w:keepNext w:val="0"/>
              <w:keepLines w:val="0"/>
              <w:pageBreakBefore w:val="0"/>
              <w:widowControl/>
              <w:kinsoku/>
              <w:wordWrap/>
              <w:overflowPunct/>
              <w:topLinePunct w:val="0"/>
              <w:autoSpaceDE/>
              <w:autoSpaceDN/>
              <w:bidi w:val="0"/>
              <w:spacing w:line="312" w:lineRule="auto"/>
              <w:ind w:left="20" w:leftChars="10" w:right="20" w:rightChars="10"/>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lang w:bidi="ar"/>
              </w:rPr>
              <w:t>投标人最近三年内成功实施</w:t>
            </w:r>
            <w:bookmarkStart w:id="65" w:name="_GoBack"/>
            <w:bookmarkEnd w:id="65"/>
            <w:r>
              <w:rPr>
                <w:rFonts w:hint="eastAsia" w:ascii="宋体" w:hAnsi="宋体" w:eastAsia="宋体" w:cs="宋体"/>
                <w:color w:val="000000"/>
                <w:kern w:val="0"/>
                <w:sz w:val="24"/>
                <w:szCs w:val="24"/>
                <w:lang w:bidi="ar"/>
              </w:rPr>
              <w:t>的</w:t>
            </w:r>
            <w:r>
              <w:rPr>
                <w:rFonts w:hint="eastAsia" w:ascii="宋体" w:hAnsi="宋体" w:cs="宋体"/>
                <w:color w:val="000000"/>
                <w:kern w:val="0"/>
                <w:sz w:val="24"/>
                <w:szCs w:val="24"/>
                <w:lang w:val="en-US" w:eastAsia="zh-CN" w:bidi="ar"/>
              </w:rPr>
              <w:t>类似</w:t>
            </w:r>
            <w:r>
              <w:rPr>
                <w:rFonts w:hint="eastAsia" w:ascii="宋体" w:hAnsi="宋体" w:eastAsia="宋体" w:cs="宋体"/>
                <w:color w:val="000000"/>
                <w:kern w:val="0"/>
                <w:sz w:val="24"/>
                <w:szCs w:val="24"/>
                <w:lang w:bidi="ar"/>
              </w:rPr>
              <w:t>项目的业绩(即响应文件提交截止之日前三年内):每提供1份得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分，最多得</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分；须提供合同及中标通知书或者中标公告</w:t>
            </w:r>
            <w:r>
              <w:rPr>
                <w:rFonts w:hint="eastAsia" w:ascii="宋体" w:hAnsi="宋体" w:eastAsia="宋体" w:cs="宋体"/>
                <w:color w:val="000000"/>
                <w:kern w:val="0"/>
                <w:sz w:val="24"/>
                <w:szCs w:val="24"/>
                <w:lang w:val="en-US" w:eastAsia="zh-CN" w:bidi="ar"/>
              </w:rPr>
              <w:t>复印件并加盖公章。</w:t>
            </w:r>
          </w:p>
        </w:tc>
        <w:tc>
          <w:tcPr>
            <w:tcW w:w="330" w:type="pct"/>
            <w:noWrap w:val="0"/>
            <w:vAlign w:val="center"/>
          </w:tcPr>
          <w:p w14:paraId="1C5A0D8A">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r>
      <w:tr w14:paraId="0BFA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24" w:type="pct"/>
            <w:vMerge w:val="restart"/>
            <w:noWrap w:val="0"/>
            <w:vAlign w:val="center"/>
          </w:tcPr>
          <w:p w14:paraId="7D1FD070">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部分</w:t>
            </w:r>
          </w:p>
          <w:p w14:paraId="0DFBFB32">
            <w:pPr>
              <w:pStyle w:val="30"/>
              <w:keepNext w:val="0"/>
              <w:keepLines w:val="0"/>
              <w:pageBreakBefore w:val="0"/>
              <w:widowControl/>
              <w:kinsoku/>
              <w:wordWrap/>
              <w:overflowPunct/>
              <w:topLinePunct w:val="0"/>
              <w:autoSpaceDE/>
              <w:autoSpaceDN/>
              <w:bidi w:val="0"/>
              <w:adjustRightInd/>
              <w:snapToGrid/>
              <w:spacing w:before="0" w:after="0" w:line="312" w:lineRule="auto"/>
              <w:ind w:left="20" w:leftChars="10" w:right="20" w:rightChars="1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14分</w:t>
            </w:r>
            <w:r>
              <w:rPr>
                <w:rFonts w:hint="eastAsia" w:ascii="宋体" w:hAnsi="宋体" w:eastAsia="宋体" w:cs="宋体"/>
                <w:b w:val="0"/>
                <w:bCs w:val="0"/>
                <w:color w:val="auto"/>
                <w:sz w:val="24"/>
                <w:szCs w:val="24"/>
                <w:highlight w:val="none"/>
                <w:lang w:eastAsia="zh-CN"/>
              </w:rPr>
              <w:t>）</w:t>
            </w:r>
          </w:p>
        </w:tc>
        <w:tc>
          <w:tcPr>
            <w:tcW w:w="1449" w:type="dxa"/>
            <w:shd w:val="clear" w:color="auto" w:fill="auto"/>
            <w:noWrap w:val="0"/>
            <w:vAlign w:val="center"/>
          </w:tcPr>
          <w:p w14:paraId="568964A6">
            <w:pPr>
              <w:keepNext w:val="0"/>
              <w:keepLines w:val="0"/>
              <w:pageBreakBefore w:val="0"/>
              <w:widowControl/>
              <w:kinsoku/>
              <w:wordWrap/>
              <w:overflowPunct/>
              <w:topLinePunct w:val="0"/>
              <w:autoSpaceDE/>
              <w:autoSpaceDN/>
              <w:bidi w:val="0"/>
              <w:spacing w:line="312" w:lineRule="auto"/>
              <w:ind w:left="20" w:leftChars="10" w:right="20" w:rightChars="1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安装调试方案</w:t>
            </w:r>
          </w:p>
        </w:tc>
        <w:tc>
          <w:tcPr>
            <w:tcW w:w="6527" w:type="dxa"/>
            <w:shd w:val="clear" w:color="auto" w:fill="auto"/>
            <w:noWrap w:val="0"/>
            <w:vAlign w:val="center"/>
          </w:tcPr>
          <w:p w14:paraId="1EBFCBAB">
            <w:pPr>
              <w:keepNext w:val="0"/>
              <w:keepLines w:val="0"/>
              <w:pageBreakBefore w:val="0"/>
              <w:widowControl/>
              <w:kinsoku/>
              <w:wordWrap/>
              <w:overflowPunct/>
              <w:topLinePunct w:val="0"/>
              <w:autoSpaceDE/>
              <w:autoSpaceDN/>
              <w:bidi w:val="0"/>
              <w:spacing w:line="312" w:lineRule="auto"/>
              <w:ind w:left="20" w:leftChars="10" w:right="20" w:rightChars="1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供应商需提供针对本项目的安装、调试、测试方案，内容包含</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1）安装措施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2）安装调试计划</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3）安装调试工期</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共三项，全部满足得</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分，每项内容有缺陷的扣</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分（缺陷是指：凭空编造、内容前后不一致、前后逻辑错误 、涉及的规范及标准错误、地点区域错误、内容缺失、不符合采购需求）。</w:t>
            </w:r>
          </w:p>
        </w:tc>
        <w:tc>
          <w:tcPr>
            <w:tcW w:w="330" w:type="pct"/>
            <w:noWrap w:val="0"/>
            <w:vAlign w:val="center"/>
          </w:tcPr>
          <w:p w14:paraId="406D9380">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r>
      <w:tr w14:paraId="6F3A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24" w:type="pct"/>
            <w:vMerge w:val="continue"/>
            <w:noWrap w:val="0"/>
            <w:vAlign w:val="center"/>
          </w:tcPr>
          <w:p w14:paraId="2091C24C">
            <w:pPr>
              <w:pStyle w:val="30"/>
              <w:keepNext w:val="0"/>
              <w:keepLines w:val="0"/>
              <w:pageBreakBefore w:val="0"/>
              <w:widowControl/>
              <w:kinsoku/>
              <w:wordWrap/>
              <w:overflowPunct/>
              <w:topLinePunct w:val="0"/>
              <w:autoSpaceDE/>
              <w:autoSpaceDN/>
              <w:bidi w:val="0"/>
              <w:adjustRightInd/>
              <w:snapToGrid/>
              <w:spacing w:before="0" w:after="0" w:line="312" w:lineRule="auto"/>
              <w:ind w:left="20" w:leftChars="10" w:right="20" w:rightChars="10"/>
              <w:jc w:val="center"/>
              <w:textAlignment w:val="auto"/>
              <w:rPr>
                <w:rFonts w:hint="eastAsia" w:ascii="宋体" w:hAnsi="宋体" w:eastAsia="宋体" w:cs="宋体"/>
                <w:color w:val="auto"/>
                <w:sz w:val="24"/>
                <w:szCs w:val="24"/>
                <w:highlight w:val="none"/>
                <w:lang w:eastAsia="zh-CN"/>
              </w:rPr>
            </w:pPr>
          </w:p>
        </w:tc>
        <w:tc>
          <w:tcPr>
            <w:tcW w:w="1449" w:type="dxa"/>
            <w:shd w:val="clear" w:color="auto" w:fill="auto"/>
            <w:noWrap w:val="0"/>
            <w:vAlign w:val="center"/>
          </w:tcPr>
          <w:p w14:paraId="647947F6">
            <w:pPr>
              <w:keepNext w:val="0"/>
              <w:keepLines w:val="0"/>
              <w:pageBreakBefore w:val="0"/>
              <w:widowControl/>
              <w:kinsoku/>
              <w:wordWrap/>
              <w:overflowPunct/>
              <w:topLinePunct w:val="0"/>
              <w:autoSpaceDE/>
              <w:autoSpaceDN/>
              <w:bidi w:val="0"/>
              <w:spacing w:line="312" w:lineRule="auto"/>
              <w:ind w:left="20" w:leftChars="10" w:right="20" w:rightChars="10"/>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质量保证措施</w:t>
            </w:r>
            <w:r>
              <w:rPr>
                <w:rFonts w:hint="eastAsia" w:ascii="宋体" w:hAnsi="宋体" w:eastAsia="宋体" w:cs="宋体"/>
                <w:color w:val="000000"/>
                <w:kern w:val="0"/>
                <w:sz w:val="24"/>
                <w:szCs w:val="24"/>
                <w:lang w:bidi="ar"/>
              </w:rPr>
              <w:t>服务方案</w:t>
            </w:r>
          </w:p>
          <w:p w14:paraId="67FA4DC9">
            <w:pPr>
              <w:keepNext w:val="0"/>
              <w:keepLines w:val="0"/>
              <w:pageBreakBefore w:val="0"/>
              <w:widowControl/>
              <w:kinsoku/>
              <w:wordWrap/>
              <w:overflowPunct/>
              <w:topLinePunct w:val="0"/>
              <w:autoSpaceDE/>
              <w:autoSpaceDN/>
              <w:bidi w:val="0"/>
              <w:spacing w:line="312" w:lineRule="auto"/>
              <w:ind w:left="20" w:leftChars="10" w:right="20" w:rightChars="10"/>
              <w:jc w:val="center"/>
              <w:rPr>
                <w:rFonts w:hint="eastAsia" w:ascii="宋体" w:hAnsi="宋体" w:eastAsia="宋体" w:cs="宋体"/>
                <w:color w:val="000000"/>
                <w:kern w:val="0"/>
                <w:sz w:val="24"/>
                <w:szCs w:val="24"/>
                <w:lang w:val="en-US" w:eastAsia="zh-CN" w:bidi="ar"/>
              </w:rPr>
            </w:pPr>
          </w:p>
        </w:tc>
        <w:tc>
          <w:tcPr>
            <w:tcW w:w="6527" w:type="dxa"/>
            <w:shd w:val="clear" w:color="auto" w:fill="auto"/>
            <w:noWrap w:val="0"/>
            <w:vAlign w:val="center"/>
          </w:tcPr>
          <w:p w14:paraId="47C9051F">
            <w:pPr>
              <w:keepNext w:val="0"/>
              <w:keepLines w:val="0"/>
              <w:pageBreakBefore w:val="0"/>
              <w:widowControl/>
              <w:kinsoku/>
              <w:wordWrap/>
              <w:overflowPunct/>
              <w:topLinePunct w:val="0"/>
              <w:autoSpaceDE/>
              <w:autoSpaceDN/>
              <w:bidi w:val="0"/>
              <w:spacing w:line="312" w:lineRule="auto"/>
              <w:ind w:left="20" w:leftChars="10" w:right="20" w:rightChars="1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供应商需提供针对本项目提供</w:t>
            </w:r>
            <w:r>
              <w:rPr>
                <w:rFonts w:hint="eastAsia" w:ascii="宋体" w:hAnsi="宋体" w:eastAsia="宋体" w:cs="宋体"/>
                <w:color w:val="000000"/>
                <w:kern w:val="0"/>
                <w:sz w:val="24"/>
                <w:szCs w:val="24"/>
                <w:lang w:val="en-US" w:eastAsia="zh-CN" w:bidi="ar"/>
              </w:rPr>
              <w:t>质量保证措施</w:t>
            </w:r>
            <w:r>
              <w:rPr>
                <w:rFonts w:hint="eastAsia" w:ascii="宋体" w:hAnsi="宋体" w:eastAsia="宋体" w:cs="宋体"/>
                <w:color w:val="000000"/>
                <w:kern w:val="0"/>
                <w:sz w:val="24"/>
                <w:szCs w:val="24"/>
                <w:lang w:bidi="ar"/>
              </w:rPr>
              <w:t>服务方案，内容包括</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1）质量管理制度体系</w:t>
            </w:r>
          </w:p>
          <w:p w14:paraId="0CF814E2">
            <w:pPr>
              <w:keepNext w:val="0"/>
              <w:keepLines w:val="0"/>
              <w:pageBreakBefore w:val="0"/>
              <w:widowControl/>
              <w:kinsoku/>
              <w:wordWrap/>
              <w:overflowPunct/>
              <w:topLinePunct w:val="0"/>
              <w:autoSpaceDE/>
              <w:autoSpaceDN/>
              <w:bidi w:val="0"/>
              <w:spacing w:line="312" w:lineRule="auto"/>
              <w:ind w:left="20" w:leftChars="10" w:right="20" w:rightChars="1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2）质量检测与过程控制</w:t>
            </w:r>
          </w:p>
          <w:p w14:paraId="5701D832">
            <w:pPr>
              <w:keepNext w:val="0"/>
              <w:keepLines w:val="0"/>
              <w:pageBreakBefore w:val="0"/>
              <w:widowControl/>
              <w:kinsoku/>
              <w:wordWrap/>
              <w:overflowPunct/>
              <w:topLinePunct w:val="0"/>
              <w:autoSpaceDE/>
              <w:autoSpaceDN/>
              <w:bidi w:val="0"/>
              <w:spacing w:line="312" w:lineRule="auto"/>
              <w:ind w:left="20" w:leftChars="10" w:right="20" w:rightChars="1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3）质量事故预防</w:t>
            </w:r>
          </w:p>
          <w:p w14:paraId="2D6D9BBD">
            <w:pPr>
              <w:keepNext w:val="0"/>
              <w:keepLines w:val="0"/>
              <w:pageBreakBefore w:val="0"/>
              <w:widowControl/>
              <w:kinsoku/>
              <w:wordWrap/>
              <w:overflowPunct/>
              <w:topLinePunct w:val="0"/>
              <w:autoSpaceDE/>
              <w:autoSpaceDN/>
              <w:bidi w:val="0"/>
              <w:spacing w:line="312" w:lineRule="auto"/>
              <w:ind w:left="20" w:leftChars="10" w:right="20" w:rightChars="1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共三项，全部满足得</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分，每项内容有缺陷的扣</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分（缺陷是指：凭空编造、内容前后不一致、前后逻辑错误 、涉及的规范及标准错误、地点区域错误、内容缺失、不符合采购需求）</w:t>
            </w:r>
          </w:p>
        </w:tc>
        <w:tc>
          <w:tcPr>
            <w:tcW w:w="330" w:type="pct"/>
            <w:noWrap w:val="0"/>
            <w:vAlign w:val="center"/>
          </w:tcPr>
          <w:p w14:paraId="30299D42">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r>
      <w:tr w14:paraId="1EB5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24" w:type="pct"/>
            <w:vMerge w:val="continue"/>
            <w:noWrap w:val="0"/>
            <w:vAlign w:val="center"/>
          </w:tcPr>
          <w:p w14:paraId="08B7F6E7">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rPr>
            </w:pPr>
          </w:p>
        </w:tc>
        <w:tc>
          <w:tcPr>
            <w:tcW w:w="1449" w:type="dxa"/>
            <w:shd w:val="clear" w:color="auto" w:fill="auto"/>
            <w:noWrap w:val="0"/>
            <w:vAlign w:val="center"/>
          </w:tcPr>
          <w:p w14:paraId="59774C80">
            <w:pPr>
              <w:keepNext w:val="0"/>
              <w:keepLines w:val="0"/>
              <w:pageBreakBefore w:val="0"/>
              <w:widowControl/>
              <w:kinsoku/>
              <w:wordWrap/>
              <w:overflowPunct/>
              <w:topLinePunct w:val="0"/>
              <w:autoSpaceDE/>
              <w:autoSpaceDN/>
              <w:bidi w:val="0"/>
              <w:spacing w:line="312" w:lineRule="auto"/>
              <w:ind w:left="20" w:leftChars="10" w:right="20" w:rightChars="1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应急处理</w:t>
            </w:r>
            <w:r>
              <w:rPr>
                <w:rFonts w:hint="eastAsia" w:ascii="宋体" w:hAnsi="宋体" w:eastAsia="宋体" w:cs="宋体"/>
                <w:color w:val="000000"/>
                <w:kern w:val="0"/>
                <w:sz w:val="24"/>
                <w:szCs w:val="24"/>
                <w:lang w:bidi="ar"/>
              </w:rPr>
              <w:t>服务方案</w:t>
            </w:r>
          </w:p>
        </w:tc>
        <w:tc>
          <w:tcPr>
            <w:tcW w:w="6527" w:type="dxa"/>
            <w:shd w:val="clear" w:color="auto" w:fill="auto"/>
            <w:noWrap w:val="0"/>
            <w:vAlign w:val="center"/>
          </w:tcPr>
          <w:p w14:paraId="73797F1C">
            <w:pPr>
              <w:keepNext w:val="0"/>
              <w:keepLines w:val="0"/>
              <w:pageBreakBefore w:val="0"/>
              <w:widowControl/>
              <w:kinsoku/>
              <w:wordWrap/>
              <w:overflowPunct/>
              <w:topLinePunct w:val="0"/>
              <w:autoSpaceDE/>
              <w:autoSpaceDN/>
              <w:bidi w:val="0"/>
              <w:spacing w:line="312" w:lineRule="auto"/>
              <w:ind w:left="20" w:leftChars="10" w:right="20" w:rightChars="1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供应商需提供针对本项目提供</w:t>
            </w:r>
            <w:r>
              <w:rPr>
                <w:rFonts w:hint="eastAsia" w:ascii="宋体" w:hAnsi="宋体" w:eastAsia="宋体" w:cs="宋体"/>
                <w:color w:val="000000"/>
                <w:kern w:val="0"/>
                <w:sz w:val="24"/>
                <w:szCs w:val="24"/>
                <w:lang w:val="en-US" w:eastAsia="zh-CN" w:bidi="ar"/>
              </w:rPr>
              <w:t>应急处理</w:t>
            </w:r>
            <w:r>
              <w:rPr>
                <w:rFonts w:hint="eastAsia" w:ascii="宋体" w:hAnsi="宋体" w:eastAsia="宋体" w:cs="宋体"/>
                <w:color w:val="000000"/>
                <w:kern w:val="0"/>
                <w:sz w:val="24"/>
                <w:szCs w:val="24"/>
                <w:lang w:bidi="ar"/>
              </w:rPr>
              <w:t>服务方案，内容包括</w:t>
            </w:r>
          </w:p>
          <w:p w14:paraId="0CF81FBA">
            <w:pPr>
              <w:pStyle w:val="16"/>
              <w:keepNext w:val="0"/>
              <w:keepLines w:val="0"/>
              <w:pageBreakBefore w:val="0"/>
              <w:widowControl/>
              <w:numPr>
                <w:ilvl w:val="0"/>
                <w:numId w:val="3"/>
              </w:numPr>
              <w:kinsoku/>
              <w:wordWrap/>
              <w:overflowPunct/>
              <w:topLinePunct w:val="0"/>
              <w:autoSpaceDE/>
              <w:autoSpaceDN/>
              <w:bidi w:val="0"/>
              <w:adjustRightInd/>
              <w:spacing w:after="0" w:line="312" w:lineRule="auto"/>
              <w:ind w:left="20" w:leftChars="10" w:right="20" w:rightChars="10"/>
              <w:textAlignment w:val="auto"/>
              <w:rPr>
                <w:rFonts w:hint="eastAsia" w:ascii="宋体" w:hAnsi="宋体" w:eastAsia="宋体" w:cs="宋体"/>
                <w:sz w:val="24"/>
                <w:szCs w:val="24"/>
              </w:rPr>
            </w:pPr>
            <w:r>
              <w:rPr>
                <w:rFonts w:hint="eastAsia" w:ascii="宋体" w:hAnsi="宋体" w:eastAsia="宋体" w:cs="宋体"/>
                <w:sz w:val="24"/>
                <w:szCs w:val="24"/>
              </w:rPr>
              <w:t>应急处置方法</w:t>
            </w:r>
          </w:p>
          <w:p w14:paraId="2C1EB378">
            <w:pPr>
              <w:pStyle w:val="16"/>
              <w:keepNext w:val="0"/>
              <w:keepLines w:val="0"/>
              <w:pageBreakBefore w:val="0"/>
              <w:widowControl/>
              <w:numPr>
                <w:ilvl w:val="0"/>
                <w:numId w:val="3"/>
              </w:numPr>
              <w:kinsoku/>
              <w:wordWrap/>
              <w:overflowPunct/>
              <w:topLinePunct w:val="0"/>
              <w:autoSpaceDE/>
              <w:autoSpaceDN/>
              <w:bidi w:val="0"/>
              <w:adjustRightInd/>
              <w:spacing w:after="0" w:line="312" w:lineRule="auto"/>
              <w:ind w:left="20" w:leftChars="10" w:right="20" w:rightChars="10"/>
              <w:textAlignment w:val="auto"/>
              <w:rPr>
                <w:rFonts w:hint="eastAsia" w:ascii="宋体" w:hAnsi="宋体" w:eastAsia="宋体" w:cs="宋体"/>
                <w:sz w:val="24"/>
                <w:szCs w:val="24"/>
              </w:rPr>
            </w:pPr>
            <w:r>
              <w:rPr>
                <w:rFonts w:hint="eastAsia" w:ascii="宋体" w:hAnsi="宋体" w:eastAsia="宋体" w:cs="宋体"/>
                <w:sz w:val="24"/>
                <w:szCs w:val="24"/>
              </w:rPr>
              <w:t>应急处理服务流程</w:t>
            </w:r>
          </w:p>
          <w:p w14:paraId="1C99BE22">
            <w:pPr>
              <w:pStyle w:val="16"/>
              <w:keepNext w:val="0"/>
              <w:keepLines w:val="0"/>
              <w:pageBreakBefore w:val="0"/>
              <w:widowControl/>
              <w:numPr>
                <w:ilvl w:val="0"/>
                <w:numId w:val="3"/>
              </w:numPr>
              <w:kinsoku/>
              <w:wordWrap/>
              <w:overflowPunct/>
              <w:topLinePunct w:val="0"/>
              <w:autoSpaceDE/>
              <w:autoSpaceDN/>
              <w:bidi w:val="0"/>
              <w:adjustRightInd/>
              <w:spacing w:after="0" w:line="312" w:lineRule="auto"/>
              <w:ind w:left="20" w:leftChars="10" w:right="20" w:rightChars="10"/>
              <w:textAlignment w:val="auto"/>
              <w:rPr>
                <w:rFonts w:hint="eastAsia" w:ascii="宋体" w:hAnsi="宋体" w:eastAsia="宋体" w:cs="宋体"/>
                <w:sz w:val="24"/>
                <w:szCs w:val="24"/>
              </w:rPr>
            </w:pPr>
            <w:r>
              <w:rPr>
                <w:rFonts w:hint="eastAsia" w:ascii="宋体" w:hAnsi="宋体" w:eastAsia="宋体" w:cs="宋体"/>
                <w:sz w:val="24"/>
                <w:szCs w:val="24"/>
              </w:rPr>
              <w:t>应急处理各阶段方法</w:t>
            </w:r>
          </w:p>
          <w:p w14:paraId="3C986200">
            <w:pPr>
              <w:pStyle w:val="16"/>
              <w:keepNext w:val="0"/>
              <w:keepLines w:val="0"/>
              <w:pageBreakBefore w:val="0"/>
              <w:widowControl/>
              <w:numPr>
                <w:ilvl w:val="0"/>
                <w:numId w:val="3"/>
              </w:numPr>
              <w:kinsoku/>
              <w:wordWrap/>
              <w:overflowPunct/>
              <w:topLinePunct w:val="0"/>
              <w:autoSpaceDE/>
              <w:autoSpaceDN/>
              <w:bidi w:val="0"/>
              <w:adjustRightInd/>
              <w:spacing w:after="0" w:line="312" w:lineRule="auto"/>
              <w:ind w:left="20" w:leftChars="10" w:right="20" w:rightChars="10"/>
              <w:textAlignment w:val="auto"/>
              <w:rPr>
                <w:rFonts w:hint="eastAsia" w:ascii="宋体" w:hAnsi="宋体" w:eastAsia="宋体" w:cs="宋体"/>
                <w:sz w:val="24"/>
                <w:szCs w:val="24"/>
              </w:rPr>
            </w:pPr>
            <w:r>
              <w:rPr>
                <w:rFonts w:hint="eastAsia" w:ascii="宋体" w:hAnsi="宋体" w:eastAsia="宋体" w:cs="宋体"/>
                <w:sz w:val="24"/>
                <w:szCs w:val="24"/>
              </w:rPr>
              <w:t>安全事件分级分类</w:t>
            </w:r>
          </w:p>
          <w:p w14:paraId="08550E41">
            <w:pPr>
              <w:keepNext w:val="0"/>
              <w:keepLines w:val="0"/>
              <w:pageBreakBefore w:val="0"/>
              <w:widowControl/>
              <w:kinsoku/>
              <w:wordWrap/>
              <w:overflowPunct/>
              <w:topLinePunct w:val="0"/>
              <w:autoSpaceDE/>
              <w:autoSpaceDN/>
              <w:bidi w:val="0"/>
              <w:spacing w:line="312" w:lineRule="auto"/>
              <w:ind w:left="20" w:leftChars="10" w:right="20" w:rightChars="1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共</w:t>
            </w:r>
            <w:r>
              <w:rPr>
                <w:rFonts w:hint="eastAsia" w:ascii="宋体" w:hAnsi="宋体" w:eastAsia="宋体" w:cs="宋体"/>
                <w:color w:val="000000"/>
                <w:kern w:val="0"/>
                <w:sz w:val="24"/>
                <w:szCs w:val="24"/>
                <w:lang w:val="en-US" w:eastAsia="zh-CN" w:bidi="ar"/>
              </w:rPr>
              <w:t>四</w:t>
            </w:r>
            <w:r>
              <w:rPr>
                <w:rFonts w:hint="eastAsia" w:ascii="宋体" w:hAnsi="宋体" w:eastAsia="宋体" w:cs="宋体"/>
                <w:color w:val="000000"/>
                <w:kern w:val="0"/>
                <w:sz w:val="24"/>
                <w:szCs w:val="24"/>
                <w:lang w:bidi="ar"/>
              </w:rPr>
              <w:t>项，全部满足得</w:t>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分，每项内容有缺陷的扣</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分（缺陷是指：凭空编造、内容前后不一致、前后逻辑错误 、涉及的规范及标准错误、地点区域错误、内容缺失、不符合采购需求）</w:t>
            </w:r>
          </w:p>
        </w:tc>
        <w:tc>
          <w:tcPr>
            <w:tcW w:w="330" w:type="pct"/>
            <w:noWrap w:val="0"/>
            <w:vAlign w:val="center"/>
          </w:tcPr>
          <w:p w14:paraId="17237244">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r>
      <w:tr w14:paraId="5987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24" w:type="pct"/>
            <w:vMerge w:val="continue"/>
            <w:noWrap w:val="0"/>
            <w:vAlign w:val="center"/>
          </w:tcPr>
          <w:p w14:paraId="6838B3E7">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rPr>
            </w:pPr>
          </w:p>
        </w:tc>
        <w:tc>
          <w:tcPr>
            <w:tcW w:w="1449" w:type="dxa"/>
            <w:shd w:val="clear" w:color="auto" w:fill="auto"/>
            <w:noWrap w:val="0"/>
            <w:vAlign w:val="center"/>
          </w:tcPr>
          <w:p w14:paraId="03EF3C24">
            <w:pPr>
              <w:keepNext w:val="0"/>
              <w:keepLines w:val="0"/>
              <w:pageBreakBefore w:val="0"/>
              <w:widowControl/>
              <w:kinsoku/>
              <w:wordWrap/>
              <w:overflowPunct/>
              <w:topLinePunct w:val="0"/>
              <w:autoSpaceDE/>
              <w:autoSpaceDN/>
              <w:bidi w:val="0"/>
              <w:spacing w:line="312" w:lineRule="auto"/>
              <w:ind w:left="20" w:leftChars="10" w:right="20" w:rightChars="1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售后服务保障方案</w:t>
            </w:r>
          </w:p>
        </w:tc>
        <w:tc>
          <w:tcPr>
            <w:tcW w:w="6527" w:type="dxa"/>
            <w:shd w:val="clear" w:color="auto" w:fill="auto"/>
            <w:noWrap w:val="0"/>
            <w:vAlign w:val="center"/>
          </w:tcPr>
          <w:p w14:paraId="7705C8CF">
            <w:pPr>
              <w:keepNext w:val="0"/>
              <w:keepLines w:val="0"/>
              <w:pageBreakBefore w:val="0"/>
              <w:widowControl/>
              <w:kinsoku/>
              <w:wordWrap/>
              <w:overflowPunct/>
              <w:topLinePunct w:val="0"/>
              <w:autoSpaceDE/>
              <w:autoSpaceDN/>
              <w:bidi w:val="0"/>
              <w:adjustRightInd w:val="0"/>
              <w:snapToGrid w:val="0"/>
              <w:spacing w:line="312" w:lineRule="auto"/>
              <w:ind w:left="20" w:leftChars="10" w:right="20" w:rightChars="1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供应商需提供针对本项目提供售后服务方案，内容包括</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1）服务承诺</w:t>
            </w:r>
          </w:p>
          <w:p w14:paraId="0686DEF4">
            <w:pPr>
              <w:keepNext w:val="0"/>
              <w:keepLines w:val="0"/>
              <w:pageBreakBefore w:val="0"/>
              <w:widowControl/>
              <w:kinsoku/>
              <w:wordWrap/>
              <w:overflowPunct/>
              <w:topLinePunct w:val="0"/>
              <w:autoSpaceDE/>
              <w:autoSpaceDN/>
              <w:bidi w:val="0"/>
              <w:adjustRightInd w:val="0"/>
              <w:snapToGrid w:val="0"/>
              <w:spacing w:line="312" w:lineRule="auto"/>
              <w:ind w:left="20" w:leftChars="10" w:right="20" w:rightChars="1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2）到场解决问题时间</w:t>
            </w:r>
          </w:p>
          <w:p w14:paraId="768D7EC9">
            <w:pPr>
              <w:keepNext w:val="0"/>
              <w:keepLines w:val="0"/>
              <w:pageBreakBefore w:val="0"/>
              <w:widowControl/>
              <w:kinsoku/>
              <w:wordWrap/>
              <w:overflowPunct/>
              <w:topLinePunct w:val="0"/>
              <w:autoSpaceDE/>
              <w:autoSpaceDN/>
              <w:bidi w:val="0"/>
              <w:spacing w:line="312" w:lineRule="auto"/>
              <w:ind w:left="20" w:leftChars="10" w:right="20" w:rightChars="1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3）服务方式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4）售后服务人员配备</w:t>
            </w:r>
          </w:p>
          <w:p w14:paraId="3AB83C1E">
            <w:pPr>
              <w:keepNext w:val="0"/>
              <w:keepLines w:val="0"/>
              <w:pageBreakBefore w:val="0"/>
              <w:widowControl/>
              <w:kinsoku/>
              <w:wordWrap/>
              <w:overflowPunct/>
              <w:topLinePunct w:val="0"/>
              <w:autoSpaceDE/>
              <w:autoSpaceDN/>
              <w:bidi w:val="0"/>
              <w:spacing w:line="312" w:lineRule="auto"/>
              <w:ind w:left="20" w:leftChars="10" w:right="20" w:rightChars="1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共</w:t>
            </w:r>
            <w:r>
              <w:rPr>
                <w:rFonts w:hint="eastAsia" w:ascii="宋体" w:hAnsi="宋体" w:eastAsia="宋体" w:cs="宋体"/>
                <w:color w:val="000000"/>
                <w:kern w:val="0"/>
                <w:sz w:val="24"/>
                <w:szCs w:val="24"/>
                <w:lang w:val="en-US" w:eastAsia="zh-CN" w:bidi="ar"/>
              </w:rPr>
              <w:t>四</w:t>
            </w:r>
            <w:r>
              <w:rPr>
                <w:rFonts w:hint="eastAsia" w:ascii="宋体" w:hAnsi="宋体" w:eastAsia="宋体" w:cs="宋体"/>
                <w:color w:val="000000"/>
                <w:kern w:val="0"/>
                <w:sz w:val="24"/>
                <w:szCs w:val="24"/>
                <w:lang w:bidi="ar"/>
              </w:rPr>
              <w:t>项，全部满足得</w:t>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分，每项内容有缺陷的扣</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分（缺陷是指：凭空编造、内容前后不一致、前后逻辑错误 、涉及的规范及标准错误、地点区域错误、内容缺失、不符合采购需求）</w:t>
            </w:r>
          </w:p>
        </w:tc>
        <w:tc>
          <w:tcPr>
            <w:tcW w:w="330" w:type="pct"/>
            <w:noWrap w:val="0"/>
            <w:vAlign w:val="center"/>
          </w:tcPr>
          <w:p w14:paraId="23C57FB6">
            <w:pPr>
              <w:keepNext w:val="0"/>
              <w:keepLines w:val="0"/>
              <w:pageBreakBefore w:val="0"/>
              <w:widowControl/>
              <w:shd w:val="clear" w:color="auto" w:fill="auto"/>
              <w:kinsoku/>
              <w:wordWrap/>
              <w:overflowPunct/>
              <w:topLinePunct w:val="0"/>
              <w:autoSpaceDE/>
              <w:autoSpaceDN/>
              <w:bidi w:val="0"/>
              <w:adjustRightInd/>
              <w:snapToGrid/>
              <w:spacing w:line="312" w:lineRule="auto"/>
              <w:ind w:left="20" w:leftChars="10" w:right="20" w:rightChars="1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r>
    </w:tbl>
    <w:p w14:paraId="05A14921">
      <w:pPr>
        <w:ind w:firstLine="482" w:firstLineChars="200"/>
        <w:rPr>
          <w:rFonts w:ascii="宋体" w:hAnsi="宋体" w:cs="宋体"/>
          <w:color w:val="auto"/>
          <w:szCs w:val="21"/>
          <w:highlight w:val="none"/>
        </w:rPr>
      </w:pPr>
      <w:r>
        <w:rPr>
          <w:rFonts w:hint="eastAsia" w:ascii="宋体" w:hAnsi="宋体" w:cs="宋体"/>
          <w:b/>
          <w:bCs/>
          <w:color w:val="auto"/>
          <w:sz w:val="24"/>
          <w:szCs w:val="24"/>
          <w:highlight w:val="none"/>
        </w:rPr>
        <w:t xml:space="preserve"> </w:t>
      </w:r>
    </w:p>
    <w:p w14:paraId="00EAE183">
      <w:pPr>
        <w:rPr>
          <w:rFonts w:ascii="宋体" w:hAnsi="宋体" w:cs="宋体"/>
          <w:color w:val="auto"/>
          <w:highlight w:val="none"/>
        </w:rPr>
      </w:pPr>
      <w:r>
        <w:rPr>
          <w:rFonts w:hint="eastAsia" w:ascii="宋体" w:hAnsi="宋体" w:cs="宋体"/>
          <w:color w:val="auto"/>
          <w:highlight w:val="none"/>
        </w:rPr>
        <w:br w:type="page"/>
      </w:r>
    </w:p>
    <w:p w14:paraId="1576C360">
      <w:pPr>
        <w:spacing w:line="440" w:lineRule="exact"/>
        <w:jc w:val="both"/>
        <w:rPr>
          <w:rFonts w:ascii="宋体" w:hAnsi="宋体" w:cs="宋体"/>
          <w:b/>
          <w:color w:val="auto"/>
          <w:sz w:val="24"/>
          <w:szCs w:val="24"/>
          <w:highlight w:val="none"/>
        </w:rPr>
      </w:pPr>
      <w:r>
        <w:rPr>
          <w:rFonts w:hint="eastAsia" w:ascii="宋体" w:hAnsi="宋体" w:cs="宋体"/>
          <w:b/>
          <w:color w:val="auto"/>
          <w:sz w:val="24"/>
          <w:szCs w:val="24"/>
          <w:highlight w:val="none"/>
        </w:rPr>
        <w:t>三、政府采购政策</w:t>
      </w:r>
    </w:p>
    <w:p w14:paraId="6C3A6305">
      <w:pPr>
        <w:autoSpaceDE w:val="0"/>
        <w:autoSpaceDN w:val="0"/>
        <w:adjustRightInd w:val="0"/>
        <w:spacing w:line="288"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1.根据《政府采购促进中小企业发展管理办法》（财库〔2020〕46号）、《关于进一步加大政府采购支持中小企业力度的通知》（财库〔2022〕19号）、《吉林省强化政府采购政策支持中小企业发展落实举措》（吉财采购〔2022〕478号）文件的规定</w:t>
      </w:r>
      <w:r>
        <w:rPr>
          <w:rFonts w:hint="eastAsia" w:ascii="宋体" w:hAnsi="宋体" w:cs="宋体"/>
          <w:b/>
          <w:color w:val="auto"/>
          <w:sz w:val="24"/>
          <w:szCs w:val="24"/>
          <w:highlight w:val="none"/>
        </w:rPr>
        <w:t>，执行价格评审优惠的扶持政策</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对小型和微型企业供应商产品的价格给予10%的扣除，用扣除后的价格参与评审。</w:t>
      </w:r>
      <w:r>
        <w:rPr>
          <w:rFonts w:hint="eastAsia" w:ascii="宋体" w:hAnsi="宋体" w:cs="宋体"/>
          <w:b/>
          <w:color w:val="auto"/>
          <w:sz w:val="24"/>
          <w:szCs w:val="24"/>
          <w:highlight w:val="none"/>
        </w:rPr>
        <w:t>中小企业参加政府采购活动，应当出具本办法规定的《中小企业声明函》。</w:t>
      </w:r>
    </w:p>
    <w:p w14:paraId="1A9296B8">
      <w:pPr>
        <w:autoSpaceDE w:val="0"/>
        <w:autoSpaceDN w:val="0"/>
        <w:adjustRightInd w:val="0"/>
        <w:spacing w:line="288" w:lineRule="auto"/>
        <w:ind w:firstLine="482" w:firstLineChars="200"/>
        <w:rPr>
          <w:rStyle w:val="48"/>
          <w:rFonts w:hint="eastAsia" w:ascii="宋体" w:hAnsi="宋体" w:eastAsia="宋体" w:cs="宋体"/>
          <w:b/>
          <w:bCs/>
          <w:color w:val="1F2329"/>
          <w:sz w:val="24"/>
          <w:szCs w:val="24"/>
          <w:lang w:val="en-US" w:eastAsia="zh-CN"/>
        </w:rPr>
      </w:pPr>
      <w:r>
        <w:rPr>
          <w:rStyle w:val="48"/>
          <w:rFonts w:ascii="宋体" w:hAnsi="宋体" w:eastAsia="宋体" w:cs="宋体"/>
          <w:b/>
          <w:bCs/>
          <w:color w:val="1F2329"/>
          <w:sz w:val="24"/>
          <w:szCs w:val="24"/>
        </w:rPr>
        <w:t>根据 《国务院办公厅关于在政府采购中实施本国产品标准及相关政策的通知》（国办发〔2025〕34 号）</w:t>
      </w:r>
      <w:r>
        <w:rPr>
          <w:rStyle w:val="48"/>
          <w:rFonts w:hint="eastAsia" w:ascii="宋体" w:hAnsi="宋体" w:eastAsia="宋体" w:cs="宋体"/>
          <w:b/>
          <w:bCs/>
          <w:color w:val="1F2329"/>
          <w:sz w:val="24"/>
          <w:szCs w:val="24"/>
          <w:lang w:val="en-US" w:eastAsia="zh-CN"/>
        </w:rPr>
        <w:t>文件规定，</w:t>
      </w:r>
      <w:r>
        <w:rPr>
          <w:rStyle w:val="48"/>
          <w:rFonts w:ascii="宋体" w:hAnsi="宋体" w:eastAsia="宋体" w:cs="宋体"/>
          <w:b/>
          <w:bCs/>
          <w:color w:val="1F2329"/>
          <w:sz w:val="24"/>
          <w:szCs w:val="24"/>
        </w:rPr>
        <w:t>对本国产品的报价给予20%的价格扣除，</w:t>
      </w:r>
      <w:r>
        <w:rPr>
          <w:rStyle w:val="48"/>
          <w:rFonts w:hint="eastAsia" w:ascii="宋体" w:hAnsi="宋体" w:eastAsia="宋体" w:cs="宋体"/>
          <w:b/>
          <w:bCs/>
          <w:color w:val="1F2329"/>
          <w:sz w:val="24"/>
          <w:szCs w:val="24"/>
        </w:rPr>
        <w:t>，用扣除后的价格参与评审。</w:t>
      </w:r>
    </w:p>
    <w:p w14:paraId="47690C60">
      <w:pPr>
        <w:autoSpaceDE w:val="0"/>
        <w:autoSpaceDN w:val="0"/>
        <w:adjustRightInd w:val="0"/>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按照财政部《关于政府采购支持监狱企业发展有关问题的通知》（财库[2014]68号）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 </w:t>
      </w:r>
    </w:p>
    <w:p w14:paraId="5CE0DF2B">
      <w:pPr>
        <w:autoSpaceDE w:val="0"/>
        <w:autoSpaceDN w:val="0"/>
        <w:adjustRightInd w:val="0"/>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按照《三部门联合发布关于促进残疾人就业政府采购政策的通知》（财库〔2017〕141号）的规定，在政府采购活动中，残疾人福利性单位视同小型、微型企业，享受预留份额、评审中价格扣除等促进中小企业发展的政府采购政策。符合条件的残疾人福利性单位在参加政府采购活动时，应当提供财库〔2017〕141号文规定的《残疾人福利性单位声明函》，并对声明的真实性负责。残疾人福利性单位属于小型、微型企业的，不重复享受政策。</w:t>
      </w:r>
    </w:p>
    <w:p w14:paraId="06D770B6">
      <w:pPr>
        <w:autoSpaceDE w:val="0"/>
        <w:autoSpaceDN w:val="0"/>
        <w:adjustRightInd w:val="0"/>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对于列入财政部、生态环境部发布的《环境标志产品政府采购品目清单》要求的产品，对其投标价格给予3%的价格扣除，并按照扣除后的价格参加排序。采购项目或者分包中既包含环境标志产品也包含非环境标志产品的，只对列入《环境标志产品政府采购品目清单》要求的产品按其在总报价中所占的比例给予价格扣除，投标文件中需提供认证证明，认证机构须在市场监管总局公布的名录内《详见市场监管总局关于发布参与实施政府采购节能产品、环境标志产品认证机构名录的公告（2019 年第 16 号文件）》；</w:t>
      </w:r>
    </w:p>
    <w:p w14:paraId="70061E51">
      <w:pPr>
        <w:autoSpaceDE w:val="0"/>
        <w:autoSpaceDN w:val="0"/>
        <w:adjustRightInd w:val="0"/>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3.对财政部、发展改革委发布的《节能产品政府采购品目清单》但不属于国家强制采购的产品，对其投标价格给予3%的价格扣除，并按照扣除后的价格参加排序。采购项目或者分包中既包含节能产品也包含非节能产品的，只对列入《节能产品政府采购品目清单》但不属于国家强制采购的产品按其在总报价中所占的比例给予价格扣除，投标文件中需提供认证证明，认证机构须在市场监管总局公布的名录内《详见市场监管总局关于发布参与实施政府采购节能产品、环境标志产品认证机构名录的公告（2019 年第 16 号文件）》。” </w:t>
      </w:r>
    </w:p>
    <w:p w14:paraId="24A1CA04">
      <w:pPr>
        <w:autoSpaceDE w:val="0"/>
        <w:autoSpaceDN w:val="0"/>
        <w:adjustRightInd w:val="0"/>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对于列入财政部、国家发改委、信息产业部发布的《无线局域网认证产品政府采购清单》的产品，对其投标价格给予3%的价格扣除，并按扣除后的价格参加排序。采购项目或者分包中既包含清单中产品也包含非清单中产品的，只对列入清单的产品按其在总报价中所占的比例给予价格扣除。</w:t>
      </w:r>
    </w:p>
    <w:p w14:paraId="299B498C">
      <w:pPr>
        <w:autoSpaceDE w:val="0"/>
        <w:autoSpaceDN w:val="0"/>
        <w:adjustRightInd w:val="0"/>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5.投标产品同时列入上述多个清单的，将上述规定的价格扣除比例叠加后计算价格扣除。</w:t>
      </w:r>
    </w:p>
    <w:p w14:paraId="57AC065D">
      <w:pPr>
        <w:autoSpaceDE w:val="0"/>
        <w:autoSpaceDN w:val="0"/>
        <w:adjustRightInd w:val="0"/>
        <w:spacing w:line="288" w:lineRule="auto"/>
        <w:ind w:firstLine="482" w:firstLineChars="200"/>
        <w:rPr>
          <w:rFonts w:ascii="宋体" w:hAnsi="宋体" w:cs="宋体"/>
          <w:color w:val="auto"/>
          <w:highlight w:val="none"/>
        </w:rPr>
      </w:pPr>
      <w:r>
        <w:rPr>
          <w:rFonts w:hint="eastAsia" w:ascii="宋体" w:hAnsi="宋体" w:cs="宋体"/>
          <w:b/>
          <w:bCs/>
          <w:color w:val="auto"/>
          <w:sz w:val="24"/>
          <w:szCs w:val="24"/>
          <w:highlight w:val="none"/>
        </w:rPr>
        <w:t>6.本项目所属行业为制造业。</w:t>
      </w:r>
    </w:p>
    <w:p w14:paraId="714DB8ED">
      <w:pPr>
        <w:pStyle w:val="2"/>
        <w:numPr>
          <w:ilvl w:val="0"/>
          <w:numId w:val="4"/>
        </w:numPr>
        <w:spacing w:before="0" w:after="0" w:line="360" w:lineRule="auto"/>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 xml:space="preserve"> </w:t>
      </w:r>
      <w:bookmarkStart w:id="53" w:name="_Toc1731"/>
      <w:r>
        <w:rPr>
          <w:rFonts w:hint="eastAsia" w:ascii="宋体" w:hAnsi="宋体" w:cs="宋体"/>
          <w:color w:val="auto"/>
          <w:sz w:val="36"/>
          <w:szCs w:val="36"/>
          <w:highlight w:val="none"/>
        </w:rPr>
        <w:t>采购需求</w:t>
      </w:r>
      <w:bookmarkEnd w:id="53"/>
      <w:bookmarkStart w:id="54" w:name="_第五部分__"/>
      <w:bookmarkEnd w:id="54"/>
      <w:bookmarkStart w:id="55" w:name="_Toc30988"/>
    </w:p>
    <w:tbl>
      <w:tblPr>
        <w:tblStyle w:val="45"/>
        <w:tblpPr w:leftFromText="180" w:rightFromText="180" w:vertAnchor="page" w:horzAnchor="page" w:tblpXSpec="center" w:tblpY="5406"/>
        <w:tblOverlap w:val="never"/>
        <w:tblW w:w="9594" w:type="dxa"/>
        <w:jc w:val="center"/>
        <w:tblLayout w:type="fixed"/>
        <w:tblCellMar>
          <w:top w:w="0" w:type="dxa"/>
          <w:left w:w="10" w:type="dxa"/>
          <w:bottom w:w="0" w:type="dxa"/>
          <w:right w:w="10" w:type="dxa"/>
        </w:tblCellMar>
      </w:tblPr>
      <w:tblGrid>
        <w:gridCol w:w="708"/>
        <w:gridCol w:w="1418"/>
        <w:gridCol w:w="6643"/>
        <w:gridCol w:w="825"/>
      </w:tblGrid>
      <w:tr w14:paraId="6532A8F0">
        <w:tblPrEx>
          <w:tblCellMar>
            <w:top w:w="0" w:type="dxa"/>
            <w:left w:w="10" w:type="dxa"/>
            <w:bottom w:w="0" w:type="dxa"/>
            <w:right w:w="10" w:type="dxa"/>
          </w:tblCellMar>
        </w:tblPrEx>
        <w:trPr>
          <w:jc w:val="center"/>
        </w:trPr>
        <w:tc>
          <w:tcPr>
            <w:tcW w:w="708" w:type="dxa"/>
            <w:tcBorders>
              <w:top w:val="single" w:color="auto" w:sz="6" w:space="0"/>
              <w:left w:val="single" w:color="auto" w:sz="6" w:space="0"/>
              <w:bottom w:val="single" w:color="auto" w:sz="6" w:space="0"/>
              <w:right w:val="single" w:color="auto" w:sz="6" w:space="0"/>
            </w:tcBorders>
            <w:vAlign w:val="center"/>
          </w:tcPr>
          <w:p w14:paraId="08153F46">
            <w:pPr>
              <w:keepNext w:val="0"/>
              <w:keepLines w:val="0"/>
              <w:pageBreakBefore w:val="0"/>
              <w:widowControl/>
              <w:kinsoku/>
              <w:wordWrap/>
              <w:overflowPunct/>
              <w:topLinePunct w:val="0"/>
              <w:autoSpaceDE/>
              <w:autoSpaceDN/>
              <w:bidi w:val="0"/>
              <w:spacing w:line="288" w:lineRule="auto"/>
              <w:ind w:left="20" w:leftChars="10" w:right="20" w:rightChars="10"/>
              <w:jc w:val="center"/>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序号</w:t>
            </w:r>
          </w:p>
        </w:tc>
        <w:tc>
          <w:tcPr>
            <w:tcW w:w="1418" w:type="dxa"/>
            <w:tcBorders>
              <w:top w:val="single" w:color="auto" w:sz="6" w:space="0"/>
              <w:left w:val="nil"/>
              <w:bottom w:val="single" w:color="auto" w:sz="6" w:space="0"/>
              <w:right w:val="single" w:color="auto" w:sz="6" w:space="0"/>
            </w:tcBorders>
            <w:vAlign w:val="center"/>
          </w:tcPr>
          <w:p w14:paraId="2076B354">
            <w:pPr>
              <w:keepNext w:val="0"/>
              <w:keepLines w:val="0"/>
              <w:pageBreakBefore w:val="0"/>
              <w:widowControl/>
              <w:kinsoku/>
              <w:wordWrap/>
              <w:overflowPunct/>
              <w:topLinePunct w:val="0"/>
              <w:autoSpaceDE/>
              <w:autoSpaceDN/>
              <w:bidi w:val="0"/>
              <w:spacing w:line="288" w:lineRule="auto"/>
              <w:ind w:left="20" w:leftChars="10" w:right="20" w:rightChars="10"/>
              <w:jc w:val="center"/>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货物名称</w:t>
            </w:r>
          </w:p>
        </w:tc>
        <w:tc>
          <w:tcPr>
            <w:tcW w:w="6643" w:type="dxa"/>
            <w:tcBorders>
              <w:top w:val="single" w:color="auto" w:sz="6" w:space="0"/>
              <w:left w:val="nil"/>
              <w:bottom w:val="single" w:color="auto" w:sz="6" w:space="0"/>
              <w:right w:val="single" w:color="auto" w:sz="6" w:space="0"/>
            </w:tcBorders>
            <w:vAlign w:val="center"/>
          </w:tcPr>
          <w:p w14:paraId="2462DAA8">
            <w:pPr>
              <w:keepNext w:val="0"/>
              <w:keepLines w:val="0"/>
              <w:pageBreakBefore w:val="0"/>
              <w:widowControl/>
              <w:kinsoku/>
              <w:wordWrap/>
              <w:overflowPunct/>
              <w:topLinePunct w:val="0"/>
              <w:autoSpaceDE/>
              <w:autoSpaceDN/>
              <w:bidi w:val="0"/>
              <w:spacing w:line="288" w:lineRule="auto"/>
              <w:ind w:left="20" w:leftChars="10" w:right="20" w:rightChars="1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主要功能配置及技术指标要求</w:t>
            </w:r>
          </w:p>
        </w:tc>
        <w:tc>
          <w:tcPr>
            <w:tcW w:w="825" w:type="dxa"/>
            <w:tcBorders>
              <w:top w:val="single" w:color="auto" w:sz="6" w:space="0"/>
              <w:left w:val="single" w:color="auto" w:sz="6" w:space="0"/>
              <w:bottom w:val="single" w:color="auto" w:sz="6" w:space="0"/>
              <w:right w:val="single" w:color="auto" w:sz="6" w:space="0"/>
            </w:tcBorders>
            <w:vAlign w:val="center"/>
          </w:tcPr>
          <w:p w14:paraId="39801D0D">
            <w:pPr>
              <w:keepNext w:val="0"/>
              <w:keepLines w:val="0"/>
              <w:pageBreakBefore w:val="0"/>
              <w:widowControl/>
              <w:kinsoku/>
              <w:wordWrap/>
              <w:overflowPunct/>
              <w:topLinePunct w:val="0"/>
              <w:autoSpaceDE/>
              <w:autoSpaceDN/>
              <w:bidi w:val="0"/>
              <w:spacing w:line="288" w:lineRule="auto"/>
              <w:ind w:left="20" w:leftChars="10" w:right="20" w:rightChars="10"/>
              <w:jc w:val="center"/>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数量</w:t>
            </w:r>
          </w:p>
          <w:p w14:paraId="5AA39EB8">
            <w:pPr>
              <w:keepNext w:val="0"/>
              <w:keepLines w:val="0"/>
              <w:pageBreakBefore w:val="0"/>
              <w:widowControl/>
              <w:kinsoku/>
              <w:wordWrap/>
              <w:overflowPunct/>
              <w:topLinePunct w:val="0"/>
              <w:autoSpaceDE/>
              <w:autoSpaceDN/>
              <w:bidi w:val="0"/>
              <w:spacing w:line="288" w:lineRule="auto"/>
              <w:ind w:left="20" w:leftChars="10" w:right="20" w:rightChars="10"/>
              <w:jc w:val="center"/>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rPr>
              <w:t>单位</w:t>
            </w:r>
            <w:r>
              <w:rPr>
                <w:rFonts w:hint="eastAsia" w:asciiTheme="minorEastAsia" w:hAnsiTheme="minorEastAsia" w:eastAsiaTheme="minorEastAsia" w:cstheme="minorEastAsia"/>
                <w:sz w:val="21"/>
                <w:szCs w:val="21"/>
                <w:lang w:val="zh-CN"/>
              </w:rPr>
              <w:t>）</w:t>
            </w:r>
          </w:p>
        </w:tc>
      </w:tr>
      <w:tr w14:paraId="775E2D56">
        <w:tblPrEx>
          <w:tblCellMar>
            <w:top w:w="0" w:type="dxa"/>
            <w:left w:w="10" w:type="dxa"/>
            <w:bottom w:w="0" w:type="dxa"/>
            <w:right w:w="10" w:type="dxa"/>
          </w:tblCellMar>
        </w:tblPrEx>
        <w:trPr>
          <w:jc w:val="center"/>
        </w:trPr>
        <w:tc>
          <w:tcPr>
            <w:tcW w:w="708" w:type="dxa"/>
            <w:tcBorders>
              <w:top w:val="single" w:color="auto" w:sz="6" w:space="0"/>
              <w:left w:val="single" w:color="auto" w:sz="6" w:space="0"/>
              <w:bottom w:val="single" w:color="auto" w:sz="6" w:space="0"/>
              <w:right w:val="single" w:color="auto" w:sz="6" w:space="0"/>
            </w:tcBorders>
            <w:vAlign w:val="center"/>
          </w:tcPr>
          <w:p w14:paraId="10A0A195">
            <w:pPr>
              <w:keepNext w:val="0"/>
              <w:keepLines w:val="0"/>
              <w:pageBreakBefore w:val="0"/>
              <w:widowControl/>
              <w:kinsoku/>
              <w:wordWrap/>
              <w:overflowPunct/>
              <w:topLinePunct w:val="0"/>
              <w:autoSpaceDE/>
              <w:autoSpaceDN/>
              <w:bidi w:val="0"/>
              <w:spacing w:line="288" w:lineRule="auto"/>
              <w:ind w:left="20" w:leftChars="10" w:right="20" w:rightChars="10"/>
              <w:jc w:val="center"/>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p>
        </w:tc>
        <w:tc>
          <w:tcPr>
            <w:tcW w:w="1418" w:type="dxa"/>
            <w:tcBorders>
              <w:top w:val="single" w:color="auto" w:sz="6" w:space="0"/>
              <w:left w:val="nil"/>
              <w:bottom w:val="single" w:color="auto" w:sz="6" w:space="0"/>
              <w:right w:val="single" w:color="auto" w:sz="6" w:space="0"/>
            </w:tcBorders>
            <w:vAlign w:val="center"/>
          </w:tcPr>
          <w:p w14:paraId="52FA1BB8">
            <w:pPr>
              <w:keepNext w:val="0"/>
              <w:keepLines w:val="0"/>
              <w:pageBreakBefore w:val="0"/>
              <w:widowControl/>
              <w:kinsoku/>
              <w:wordWrap/>
              <w:overflowPunct/>
              <w:topLinePunct w:val="0"/>
              <w:autoSpaceDE/>
              <w:autoSpaceDN/>
              <w:bidi w:val="0"/>
              <w:spacing w:line="288" w:lineRule="auto"/>
              <w:ind w:left="20" w:leftChars="10" w:right="20" w:rightChars="10"/>
              <w:jc w:val="center"/>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超导核磁共振波谱仪</w:t>
            </w:r>
          </w:p>
        </w:tc>
        <w:tc>
          <w:tcPr>
            <w:tcW w:w="6643" w:type="dxa"/>
            <w:tcBorders>
              <w:top w:val="single" w:color="auto" w:sz="6" w:space="0"/>
              <w:left w:val="nil"/>
              <w:bottom w:val="single" w:color="auto" w:sz="6" w:space="0"/>
              <w:right w:val="single" w:color="auto" w:sz="6" w:space="0"/>
            </w:tcBorders>
            <w:vAlign w:val="center"/>
          </w:tcPr>
          <w:p w14:paraId="430B2A8B">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一、工作条件</w:t>
            </w:r>
          </w:p>
          <w:p w14:paraId="7AD537AF">
            <w:pPr>
              <w:keepNext w:val="0"/>
              <w:keepLines w:val="0"/>
              <w:pageBreakBefore w:val="0"/>
              <w:widowControl/>
              <w:kinsoku/>
              <w:wordWrap/>
              <w:overflowPunct/>
              <w:topLinePunct w:val="0"/>
              <w:autoSpaceDE/>
              <w:autoSpaceDN/>
              <w:bidi w:val="0"/>
              <w:spacing w:line="288" w:lineRule="auto"/>
              <w:ind w:left="20" w:leftChars="10" w:right="20" w:rightChars="1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1.电源电压AC 220V，±10％，50Hz，单相</w:t>
            </w:r>
          </w:p>
          <w:p w14:paraId="232AC965">
            <w:pPr>
              <w:keepNext w:val="0"/>
              <w:keepLines w:val="0"/>
              <w:pageBreakBefore w:val="0"/>
              <w:widowControl/>
              <w:kinsoku/>
              <w:wordWrap/>
              <w:overflowPunct/>
              <w:topLinePunct w:val="0"/>
              <w:autoSpaceDE/>
              <w:autoSpaceDN/>
              <w:bidi w:val="0"/>
              <w:spacing w:line="288" w:lineRule="auto"/>
              <w:ind w:left="20" w:leftChars="10" w:right="20" w:rightChars="1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2.环境温度17−25℃</w:t>
            </w:r>
          </w:p>
          <w:p w14:paraId="75D7D34C">
            <w:pPr>
              <w:keepNext w:val="0"/>
              <w:keepLines w:val="0"/>
              <w:pageBreakBefore w:val="0"/>
              <w:widowControl/>
              <w:kinsoku/>
              <w:wordWrap/>
              <w:overflowPunct/>
              <w:topLinePunct w:val="0"/>
              <w:autoSpaceDE/>
              <w:autoSpaceDN/>
              <w:bidi w:val="0"/>
              <w:spacing w:line="288" w:lineRule="auto"/>
              <w:ind w:left="20" w:leftChars="10" w:right="20" w:rightChars="1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3.相对湿度＜70％</w:t>
            </w:r>
          </w:p>
          <w:p w14:paraId="3ED114D4">
            <w:pPr>
              <w:keepNext w:val="0"/>
              <w:keepLines w:val="0"/>
              <w:pageBreakBefore w:val="0"/>
              <w:widowControl/>
              <w:kinsoku/>
              <w:wordWrap/>
              <w:overflowPunct/>
              <w:topLinePunct w:val="0"/>
              <w:autoSpaceDE/>
              <w:autoSpaceDN/>
              <w:bidi w:val="0"/>
              <w:spacing w:line="288" w:lineRule="auto"/>
              <w:ind w:left="20" w:leftChars="10" w:right="20" w:rightChars="1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4.长时间连续工作</w:t>
            </w:r>
          </w:p>
          <w:p w14:paraId="7A1ECE3D">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二、用途</w:t>
            </w:r>
          </w:p>
          <w:p w14:paraId="56B84CD1">
            <w:pPr>
              <w:keepNext w:val="0"/>
              <w:keepLines w:val="0"/>
              <w:pageBreakBefore w:val="0"/>
              <w:widowControl/>
              <w:kinsoku/>
              <w:wordWrap/>
              <w:overflowPunct/>
              <w:topLinePunct w:val="0"/>
              <w:autoSpaceDE/>
              <w:autoSpaceDN/>
              <w:bidi w:val="0"/>
              <w:spacing w:line="288" w:lineRule="auto"/>
              <w:ind w:left="20" w:leftChars="10" w:right="20" w:rightChars="1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满足有机化学、生物化学、药物化学等方面的结构分析和性能研究；可用于可溶性有机物、蛋白质、多糖等物质的分子结构和分子间相互作用研究；</w:t>
            </w:r>
          </w:p>
          <w:p w14:paraId="768D3283">
            <w:pPr>
              <w:keepNext w:val="0"/>
              <w:keepLines w:val="0"/>
              <w:pageBreakBefore w:val="0"/>
              <w:widowControl/>
              <w:numPr>
                <w:ilvl w:val="0"/>
                <w:numId w:val="0"/>
              </w:numPr>
              <w:kinsoku/>
              <w:wordWrap/>
              <w:overflowPunct/>
              <w:topLinePunct w:val="0"/>
              <w:autoSpaceDE/>
              <w:autoSpaceDN/>
              <w:bidi w:val="0"/>
              <w:spacing w:line="288" w:lineRule="auto"/>
              <w:ind w:left="20" w:leftChars="10" w:right="20" w:rightChars="10" w:firstLine="0" w:firstLineChars="0"/>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bidi="ar-SA"/>
              </w:rPr>
              <w:t>三、</w:t>
            </w:r>
            <w:r>
              <w:rPr>
                <w:rFonts w:hint="eastAsia" w:asciiTheme="minorEastAsia" w:hAnsiTheme="minorEastAsia" w:eastAsiaTheme="minorEastAsia" w:cstheme="minorEastAsia"/>
                <w:b/>
                <w:sz w:val="21"/>
                <w:szCs w:val="21"/>
                <w:lang w:val="en-US" w:eastAsia="zh-CN"/>
              </w:rPr>
              <w:t>指标</w:t>
            </w:r>
          </w:p>
          <w:p w14:paraId="3D10B904">
            <w:pPr>
              <w:keepNext w:val="0"/>
              <w:keepLines w:val="0"/>
              <w:pageBreakBefore w:val="0"/>
              <w:widowControl/>
              <w:numPr>
                <w:ilvl w:val="0"/>
                <w:numId w:val="0"/>
              </w:numPr>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1.</w:t>
            </w:r>
            <w:r>
              <w:rPr>
                <w:rFonts w:hint="eastAsia" w:asciiTheme="minorEastAsia" w:hAnsiTheme="minorEastAsia" w:eastAsiaTheme="minorEastAsia" w:cstheme="minorEastAsia"/>
                <w:b/>
                <w:sz w:val="21"/>
                <w:szCs w:val="21"/>
              </w:rPr>
              <w:t>超导磁体</w:t>
            </w:r>
          </w:p>
          <w:p w14:paraId="566795B8">
            <w:pPr>
              <w:keepNext w:val="0"/>
              <w:keepLines w:val="0"/>
              <w:pageBreakBefore w:val="0"/>
              <w:widowControl/>
              <w:kinsoku/>
              <w:wordWrap/>
              <w:overflowPunct/>
              <w:topLinePunct w:val="0"/>
              <w:autoSpaceDE/>
              <w:autoSpaceDN/>
              <w:bidi w:val="0"/>
              <w:spacing w:line="288" w:lineRule="auto"/>
              <w:ind w:left="650" w:leftChars="10" w:right="20" w:rightChars="10" w:hanging="630" w:hangingChars="3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具有低液氦与液氮消耗、高稳定性、高均匀性、</w:t>
            </w:r>
            <w:r>
              <w:rPr>
                <w:rFonts w:hint="eastAsia" w:asciiTheme="minorEastAsia" w:hAnsiTheme="minorEastAsia" w:eastAsiaTheme="minorEastAsia" w:cstheme="minorEastAsia"/>
                <w:color w:val="000000"/>
                <w:sz w:val="21"/>
                <w:szCs w:val="21"/>
              </w:rPr>
              <w:t>抗干扰超屏蔽超导磁体或自屏蔽磁体</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低温匀场线圈：≥14组，室温匀场线圈：≥36组，磁场漂移：≤ 5 Hz／小时</w:t>
            </w:r>
          </w:p>
          <w:p w14:paraId="5E906C35">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1.2液氦维持时间：≥ 365天</w:t>
            </w:r>
          </w:p>
          <w:p w14:paraId="12E1EEC1">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1.3 液氦消耗速率：≤ 13ml／小时</w:t>
            </w:r>
          </w:p>
          <w:p w14:paraId="3CFF17F7">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color w:val="000000"/>
                <w:sz w:val="21"/>
                <w:szCs w:val="21"/>
              </w:rPr>
              <w:t>1.4  5高斯强度处横向距离：＜ 0.6 米</w:t>
            </w:r>
          </w:p>
          <w:p w14:paraId="3F502DC4">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1.5有液氦液面自动监视和最小液面自动报警装置：</w:t>
            </w:r>
          </w:p>
          <w:p w14:paraId="206DC213">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射频发射系统</w:t>
            </w:r>
          </w:p>
          <w:p w14:paraId="36B8D7D0">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2.1射频通道数：2个</w:t>
            </w:r>
          </w:p>
          <w:p w14:paraId="41A3E64F">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 各通道具有的功能：各通道有独立的观测、去偶、信号接收、模数转换功能；</w:t>
            </w:r>
          </w:p>
          <w:p w14:paraId="47C78C8B">
            <w:pPr>
              <w:keepNext w:val="0"/>
              <w:keepLines w:val="0"/>
              <w:pageBreakBefore w:val="0"/>
              <w:widowControl/>
              <w:kinsoku/>
              <w:wordWrap/>
              <w:overflowPunct/>
              <w:topLinePunct w:val="0"/>
              <w:autoSpaceDE/>
              <w:autoSpaceDN/>
              <w:bidi w:val="0"/>
              <w:spacing w:line="288" w:lineRule="auto"/>
              <w:ind w:left="561" w:leftChars="10" w:right="20" w:rightChars="10" w:hanging="541" w:hangingChars="25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2.3双通道频率发生器数字频率合成，每个通道合成频率范围  5-1280 MHz；</w:t>
            </w:r>
          </w:p>
          <w:p w14:paraId="71E4B449">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2.4质子最大输出功率：≥100W</w:t>
            </w:r>
          </w:p>
          <w:p w14:paraId="60645086">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2.5多核最大输出功率：≥500W</w:t>
            </w:r>
          </w:p>
          <w:p w14:paraId="5ACADFD4">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接收及采样</w:t>
            </w:r>
          </w:p>
          <w:p w14:paraId="23DA7ABE">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3.1接收中频≥1.852 GHz</w:t>
            </w:r>
          </w:p>
          <w:p w14:paraId="1F246DF9">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 每个通道独立的高速ADC，采样速率≥240 兆次/秒</w:t>
            </w:r>
          </w:p>
          <w:p w14:paraId="56DB0BDD">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 6KHz谱宽有效动态范围〉23Bit</w:t>
            </w:r>
          </w:p>
          <w:p w14:paraId="1D9ED7D8">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氘数字锁场及梯度匀场系统</w:t>
            </w:r>
          </w:p>
          <w:p w14:paraId="24B5931A">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4.1自动／手动匀场系统</w:t>
            </w:r>
          </w:p>
          <w:p w14:paraId="139E951B">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4.2精确的氘梯度自动匀场</w:t>
            </w:r>
          </w:p>
          <w:p w14:paraId="1D4B4DBB">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 支持多溶剂峰（如吡啶）自动锁场</w:t>
            </w:r>
          </w:p>
          <w:p w14:paraId="3EB35A68">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4.4 Z方向射频脉冲梯度场</w:t>
            </w:r>
          </w:p>
          <w:p w14:paraId="686A8B43">
            <w:pPr>
              <w:keepNext w:val="0"/>
              <w:keepLines w:val="0"/>
              <w:pageBreakBefore w:val="0"/>
              <w:widowControl/>
              <w:kinsoku/>
              <w:wordWrap/>
              <w:overflowPunct/>
              <w:topLinePunct w:val="0"/>
              <w:autoSpaceDE/>
              <w:autoSpaceDN/>
              <w:bidi w:val="0"/>
              <w:spacing w:line="288" w:lineRule="auto"/>
              <w:ind w:left="20" w:leftChars="10" w:right="20" w:rightChars="10" w:firstLine="630" w:firstLineChars="3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梯度场最大电流：≥10A</w:t>
            </w:r>
          </w:p>
          <w:p w14:paraId="09D29D05">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5</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高精度变温控制单元</w:t>
            </w:r>
          </w:p>
          <w:p w14:paraId="7177B98D">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5.1控温范围：-150℃―+600℃ (低温实验可以另配低温附件)</w:t>
            </w:r>
          </w:p>
          <w:p w14:paraId="3DBED91F">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5.2精度＜±0.1℃</w:t>
            </w:r>
          </w:p>
          <w:p w14:paraId="7FB0120A">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 利用核磁共振热电偶功能，准确测量并自动控制样品温度</w:t>
            </w:r>
          </w:p>
          <w:p w14:paraId="7DE2CD9F">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探头</w:t>
            </w:r>
          </w:p>
          <w:p w14:paraId="2AFD2D7B">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6.1 </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H/</w:t>
            </w:r>
            <w:r>
              <w:rPr>
                <w:rFonts w:hint="eastAsia" w:asciiTheme="minorEastAsia" w:hAnsiTheme="minorEastAsia" w:eastAsiaTheme="minorEastAsia" w:cstheme="minorEastAsia"/>
                <w:sz w:val="21"/>
                <w:szCs w:val="21"/>
                <w:vertAlign w:val="superscript"/>
              </w:rPr>
              <w:t>19</w:t>
            </w:r>
            <w:r>
              <w:rPr>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sz w:val="21"/>
                <w:szCs w:val="21"/>
                <w:vertAlign w:val="superscript"/>
              </w:rPr>
              <w:t>15</w:t>
            </w:r>
            <w:r>
              <w:rPr>
                <w:rFonts w:hint="eastAsia" w:asciiTheme="minorEastAsia" w:hAnsiTheme="minorEastAsia" w:eastAsiaTheme="minorEastAsia" w:cstheme="minorEastAsia"/>
                <w:sz w:val="21"/>
                <w:szCs w:val="21"/>
              </w:rPr>
              <w:t>N-</w:t>
            </w:r>
            <w:r>
              <w:rPr>
                <w:rFonts w:hint="eastAsia" w:asciiTheme="minorEastAsia" w:hAnsiTheme="minorEastAsia" w:eastAsiaTheme="minorEastAsia" w:cstheme="minorEastAsia"/>
                <w:sz w:val="21"/>
                <w:szCs w:val="21"/>
                <w:vertAlign w:val="superscript"/>
              </w:rPr>
              <w:t>31</w:t>
            </w:r>
            <w:r>
              <w:rPr>
                <w:rFonts w:hint="eastAsia" w:asciiTheme="minorEastAsia" w:hAnsiTheme="minorEastAsia" w:eastAsiaTheme="minorEastAsia" w:cstheme="minorEastAsia"/>
                <w:sz w:val="21"/>
                <w:szCs w:val="21"/>
              </w:rPr>
              <w:t>P）5mm Z梯度场多核二合一探头</w:t>
            </w:r>
          </w:p>
          <w:p w14:paraId="142070EF">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6.1.1检测核：</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H和</w:t>
            </w:r>
            <w:r>
              <w:rPr>
                <w:rFonts w:hint="eastAsia" w:asciiTheme="minorEastAsia" w:hAnsiTheme="minorEastAsia" w:eastAsiaTheme="minorEastAsia" w:cstheme="minorEastAsia"/>
                <w:sz w:val="21"/>
                <w:szCs w:val="21"/>
                <w:vertAlign w:val="superscript"/>
              </w:rPr>
              <w:t>19</w:t>
            </w:r>
            <w:r>
              <w:rPr>
                <w:rFonts w:hint="eastAsia" w:asciiTheme="minorEastAsia" w:hAnsiTheme="minorEastAsia" w:eastAsiaTheme="minorEastAsia" w:cstheme="minorEastAsia"/>
                <w:sz w:val="21"/>
                <w:szCs w:val="21"/>
              </w:rPr>
              <w:t>F, 共振频率在</w:t>
            </w:r>
            <w:r>
              <w:rPr>
                <w:rFonts w:hint="eastAsia" w:asciiTheme="minorEastAsia" w:hAnsiTheme="minorEastAsia" w:eastAsiaTheme="minorEastAsia" w:cstheme="minorEastAsia"/>
                <w:sz w:val="21"/>
                <w:szCs w:val="21"/>
                <w:vertAlign w:val="superscript"/>
              </w:rPr>
              <w:t>31</w:t>
            </w:r>
            <w:r>
              <w:rPr>
                <w:rFonts w:hint="eastAsia" w:asciiTheme="minorEastAsia" w:hAnsiTheme="minorEastAsia" w:eastAsiaTheme="minorEastAsia" w:cstheme="minorEastAsia"/>
                <w:sz w:val="21"/>
                <w:szCs w:val="21"/>
              </w:rPr>
              <w:t>P-</w:t>
            </w:r>
            <w:r>
              <w:rPr>
                <w:rFonts w:hint="eastAsia" w:asciiTheme="minorEastAsia" w:hAnsiTheme="minorEastAsia" w:eastAsiaTheme="minorEastAsia" w:cstheme="minorEastAsia"/>
                <w:sz w:val="21"/>
                <w:szCs w:val="21"/>
                <w:vertAlign w:val="superscript"/>
              </w:rPr>
              <w:t>199</w:t>
            </w:r>
            <w:r>
              <w:rPr>
                <w:rFonts w:hint="eastAsia" w:asciiTheme="minorEastAsia" w:hAnsiTheme="minorEastAsia" w:eastAsiaTheme="minorEastAsia" w:cstheme="minorEastAsia"/>
                <w:sz w:val="21"/>
                <w:szCs w:val="21"/>
              </w:rPr>
              <w:t>Hg和</w:t>
            </w:r>
            <w:r>
              <w:rPr>
                <w:rFonts w:hint="eastAsia" w:asciiTheme="minorEastAsia" w:hAnsiTheme="minorEastAsia" w:eastAsiaTheme="minorEastAsia" w:cstheme="minorEastAsia"/>
                <w:sz w:val="21"/>
                <w:szCs w:val="21"/>
                <w:vertAlign w:val="superscript"/>
              </w:rPr>
              <w:t>17</w:t>
            </w:r>
            <w:r>
              <w:rPr>
                <w:rFonts w:hint="eastAsia" w:asciiTheme="minorEastAsia" w:hAnsiTheme="minorEastAsia" w:eastAsiaTheme="minorEastAsia" w:cstheme="minorEastAsia"/>
                <w:sz w:val="21"/>
                <w:szCs w:val="21"/>
              </w:rPr>
              <w:t>O-</w:t>
            </w:r>
            <w:r>
              <w:rPr>
                <w:rFonts w:hint="eastAsia" w:asciiTheme="minorEastAsia" w:hAnsiTheme="minorEastAsia" w:eastAsiaTheme="minorEastAsia" w:cstheme="minorEastAsia"/>
                <w:sz w:val="21"/>
                <w:szCs w:val="21"/>
                <w:vertAlign w:val="superscript"/>
              </w:rPr>
              <w:t>109</w:t>
            </w:r>
            <w:r>
              <w:rPr>
                <w:rFonts w:hint="eastAsia" w:asciiTheme="minorEastAsia" w:hAnsiTheme="minorEastAsia" w:eastAsiaTheme="minorEastAsia" w:cstheme="minorEastAsia"/>
                <w:sz w:val="21"/>
                <w:szCs w:val="21"/>
              </w:rPr>
              <w:t>Ag之间的所有核</w:t>
            </w:r>
          </w:p>
          <w:p w14:paraId="68AC5113">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6.1.2 </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H分辨率（旋转）≤ 0.6 Hz (1％ CHCl</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w:t>
            </w:r>
          </w:p>
          <w:p w14:paraId="14BD8C68">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6.1.3 </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H 线型 (旋转) ≤ 6/12 (1% CHCL3)</w:t>
            </w:r>
          </w:p>
          <w:p w14:paraId="23E4043D">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 xml:space="preserve">6.1.4 </w:t>
            </w:r>
            <w:r>
              <w:rPr>
                <w:rFonts w:hint="eastAsia" w:asciiTheme="minorEastAsia" w:hAnsiTheme="minorEastAsia" w:eastAsiaTheme="minorEastAsia" w:cstheme="minorEastAsia"/>
                <w:sz w:val="21"/>
                <w:szCs w:val="21"/>
                <w:vertAlign w:val="superscript"/>
              </w:rPr>
              <w:t>13</w:t>
            </w:r>
            <w:r>
              <w:rPr>
                <w:rFonts w:hint="eastAsia" w:asciiTheme="minorEastAsia" w:hAnsiTheme="minorEastAsia" w:eastAsiaTheme="minorEastAsia" w:cstheme="minorEastAsia"/>
                <w:sz w:val="21"/>
                <w:szCs w:val="21"/>
              </w:rPr>
              <w:t>C分辨率 (旋转)≤ 0.2 Hz （ASTM）</w:t>
            </w:r>
          </w:p>
          <w:p w14:paraId="4102A139">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 xml:space="preserve">6.1.5 </w:t>
            </w:r>
            <w:r>
              <w:rPr>
                <w:rFonts w:hint="eastAsia" w:asciiTheme="minorEastAsia" w:hAnsiTheme="minorEastAsia" w:eastAsiaTheme="minorEastAsia" w:cstheme="minorEastAsia"/>
                <w:sz w:val="21"/>
                <w:szCs w:val="21"/>
                <w:vertAlign w:val="superscript"/>
              </w:rPr>
              <w:t>13</w:t>
            </w:r>
            <w:r>
              <w:rPr>
                <w:rFonts w:hint="eastAsia" w:asciiTheme="minorEastAsia" w:hAnsiTheme="minorEastAsia" w:eastAsiaTheme="minorEastAsia" w:cstheme="minorEastAsia"/>
                <w:sz w:val="21"/>
                <w:szCs w:val="21"/>
              </w:rPr>
              <w:t>C 线型（旋转）≤ 3/5Hz （ASTM）</w:t>
            </w:r>
          </w:p>
          <w:p w14:paraId="472D7C4B">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6.1.6灵敏度</w:t>
            </w:r>
          </w:p>
          <w:p w14:paraId="2DD11831">
            <w:pPr>
              <w:keepNext w:val="0"/>
              <w:keepLines w:val="0"/>
              <w:pageBreakBefore w:val="0"/>
              <w:widowControl/>
              <w:kinsoku/>
              <w:wordWrap/>
              <w:overflowPunct/>
              <w:topLinePunct w:val="0"/>
              <w:autoSpaceDE/>
              <w:autoSpaceDN/>
              <w:bidi w:val="0"/>
              <w:spacing w:line="288" w:lineRule="auto"/>
              <w:ind w:left="20" w:leftChars="10" w:right="20" w:rightChars="1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H灵敏度≥ 850:1(0.1％ EB)</w:t>
            </w:r>
          </w:p>
          <w:p w14:paraId="4C757C91">
            <w:pPr>
              <w:keepNext w:val="0"/>
              <w:keepLines w:val="0"/>
              <w:pageBreakBefore w:val="0"/>
              <w:widowControl/>
              <w:kinsoku/>
              <w:wordWrap/>
              <w:overflowPunct/>
              <w:topLinePunct w:val="0"/>
              <w:autoSpaceDE/>
              <w:autoSpaceDN/>
              <w:bidi w:val="0"/>
              <w:spacing w:line="288" w:lineRule="auto"/>
              <w:ind w:left="20" w:leftChars="10" w:right="20" w:rightChars="1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superscript"/>
              </w:rPr>
              <w:t>13</w:t>
            </w:r>
            <w:r>
              <w:rPr>
                <w:rFonts w:hint="eastAsia" w:asciiTheme="minorEastAsia" w:hAnsiTheme="minorEastAsia" w:eastAsiaTheme="minorEastAsia" w:cstheme="minorEastAsia"/>
                <w:sz w:val="21"/>
                <w:szCs w:val="21"/>
              </w:rPr>
              <w:t>C 灵敏度≥ 300:1(ASTM)</w:t>
            </w:r>
          </w:p>
          <w:p w14:paraId="41A2460E">
            <w:pPr>
              <w:keepNext w:val="0"/>
              <w:keepLines w:val="0"/>
              <w:pageBreakBefore w:val="0"/>
              <w:widowControl/>
              <w:kinsoku/>
              <w:wordWrap/>
              <w:overflowPunct/>
              <w:topLinePunct w:val="0"/>
              <w:autoSpaceDE/>
              <w:autoSpaceDN/>
              <w:bidi w:val="0"/>
              <w:spacing w:line="288" w:lineRule="auto"/>
              <w:ind w:left="20" w:leftChars="10" w:right="20" w:rightChars="1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superscript"/>
              </w:rPr>
              <w:t>31</w:t>
            </w:r>
            <w:r>
              <w:rPr>
                <w:rFonts w:hint="eastAsia" w:asciiTheme="minorEastAsia" w:hAnsiTheme="minorEastAsia" w:eastAsiaTheme="minorEastAsia" w:cstheme="minorEastAsia"/>
                <w:sz w:val="21"/>
                <w:szCs w:val="21"/>
              </w:rPr>
              <w:t>P灵敏度≥ 250:1(TPP)</w:t>
            </w:r>
          </w:p>
          <w:p w14:paraId="67D6690D">
            <w:pPr>
              <w:keepNext w:val="0"/>
              <w:keepLines w:val="0"/>
              <w:pageBreakBefore w:val="0"/>
              <w:widowControl/>
              <w:kinsoku/>
              <w:wordWrap/>
              <w:overflowPunct/>
              <w:topLinePunct w:val="0"/>
              <w:autoSpaceDE/>
              <w:autoSpaceDN/>
              <w:bidi w:val="0"/>
              <w:spacing w:line="288" w:lineRule="auto"/>
              <w:ind w:left="20" w:leftChars="10" w:right="20" w:rightChars="1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superscript"/>
              </w:rPr>
              <w:t>15</w:t>
            </w:r>
            <w:r>
              <w:rPr>
                <w:rFonts w:hint="eastAsia" w:asciiTheme="minorEastAsia" w:hAnsiTheme="minorEastAsia" w:eastAsiaTheme="minorEastAsia" w:cstheme="minorEastAsia"/>
                <w:sz w:val="21"/>
                <w:szCs w:val="21"/>
              </w:rPr>
              <w:t>N灵敏度≥ 40:1 (90% formamide)</w:t>
            </w:r>
          </w:p>
          <w:p w14:paraId="48A5E41A">
            <w:pPr>
              <w:keepNext w:val="0"/>
              <w:keepLines w:val="0"/>
              <w:pageBreakBefore w:val="0"/>
              <w:widowControl/>
              <w:kinsoku/>
              <w:wordWrap/>
              <w:overflowPunct/>
              <w:topLinePunct w:val="0"/>
              <w:autoSpaceDE/>
              <w:autoSpaceDN/>
              <w:bidi w:val="0"/>
              <w:spacing w:line="288" w:lineRule="auto"/>
              <w:ind w:left="20" w:leftChars="10" w:right="20" w:rightChars="1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superscript"/>
              </w:rPr>
              <w:t>19</w:t>
            </w:r>
            <w:r>
              <w:rPr>
                <w:rFonts w:hint="eastAsia" w:asciiTheme="minorEastAsia" w:hAnsiTheme="minorEastAsia" w:eastAsiaTheme="minorEastAsia" w:cstheme="minorEastAsia"/>
                <w:sz w:val="21"/>
                <w:szCs w:val="21"/>
              </w:rPr>
              <w:t>F灵敏度≥ 700:1 (90% TFT)</w:t>
            </w:r>
          </w:p>
          <w:p w14:paraId="108F72B8">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6.1.7 90度脉冲宽度</w:t>
            </w:r>
          </w:p>
          <w:p w14:paraId="1B3ECD1E">
            <w:pPr>
              <w:keepNext w:val="0"/>
              <w:keepLines w:val="0"/>
              <w:pageBreakBefore w:val="0"/>
              <w:widowControl/>
              <w:kinsoku/>
              <w:wordWrap/>
              <w:overflowPunct/>
              <w:topLinePunct w:val="0"/>
              <w:autoSpaceDE/>
              <w:autoSpaceDN/>
              <w:bidi w:val="0"/>
              <w:spacing w:line="288" w:lineRule="auto"/>
              <w:ind w:left="20" w:leftChars="10" w:right="20" w:rightChars="1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 xml:space="preserve">H ≤ 8μs (0.1% EB sample) </w:t>
            </w:r>
            <w:r>
              <w:rPr>
                <w:rFonts w:hint="eastAsia" w:asciiTheme="minorEastAsia" w:hAnsiTheme="minorEastAsia" w:eastAsiaTheme="minorEastAsia" w:cstheme="minorEastAsia"/>
                <w:sz w:val="21"/>
                <w:szCs w:val="21"/>
                <w:vertAlign w:val="superscript"/>
              </w:rPr>
              <w:t>19</w:t>
            </w:r>
            <w:r>
              <w:rPr>
                <w:rFonts w:hint="eastAsia" w:asciiTheme="minorEastAsia" w:hAnsiTheme="minorEastAsia" w:eastAsiaTheme="minorEastAsia" w:cstheme="minorEastAsia"/>
                <w:sz w:val="21"/>
                <w:szCs w:val="21"/>
              </w:rPr>
              <w:t xml:space="preserve">F ≤ 10μs (TFT sample) </w:t>
            </w:r>
          </w:p>
          <w:p w14:paraId="2F6207E2">
            <w:pPr>
              <w:keepNext w:val="0"/>
              <w:keepLines w:val="0"/>
              <w:pageBreakBefore w:val="0"/>
              <w:widowControl/>
              <w:kinsoku/>
              <w:wordWrap/>
              <w:overflowPunct/>
              <w:topLinePunct w:val="0"/>
              <w:autoSpaceDE/>
              <w:autoSpaceDN/>
              <w:bidi w:val="0"/>
              <w:spacing w:line="288" w:lineRule="auto"/>
              <w:ind w:left="20" w:leftChars="10" w:right="20" w:rightChars="1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superscript"/>
              </w:rPr>
              <w:t>13</w:t>
            </w:r>
            <w:r>
              <w:rPr>
                <w:rFonts w:hint="eastAsia" w:asciiTheme="minorEastAsia" w:hAnsiTheme="minorEastAsia" w:eastAsiaTheme="minorEastAsia" w:cstheme="minorEastAsia"/>
                <w:sz w:val="21"/>
                <w:szCs w:val="21"/>
              </w:rPr>
              <w:t xml:space="preserve">C ≤ 9μs (ASTM sample) </w:t>
            </w:r>
            <w:r>
              <w:rPr>
                <w:rFonts w:hint="eastAsia" w:asciiTheme="minorEastAsia" w:hAnsiTheme="minorEastAsia" w:eastAsiaTheme="minorEastAsia" w:cstheme="minorEastAsia"/>
                <w:sz w:val="21"/>
                <w:szCs w:val="21"/>
                <w:vertAlign w:val="superscript"/>
              </w:rPr>
              <w:t>31</w:t>
            </w:r>
            <w:r>
              <w:rPr>
                <w:rFonts w:hint="eastAsia" w:asciiTheme="minorEastAsia" w:hAnsiTheme="minorEastAsia" w:eastAsiaTheme="minorEastAsia" w:cstheme="minorEastAsia"/>
                <w:sz w:val="21"/>
                <w:szCs w:val="21"/>
              </w:rPr>
              <w:t xml:space="preserve">P ≤ 12μs (TPP sample) </w:t>
            </w:r>
          </w:p>
          <w:p w14:paraId="7A4EBAC6">
            <w:pPr>
              <w:keepNext w:val="0"/>
              <w:keepLines w:val="0"/>
              <w:pageBreakBefore w:val="0"/>
              <w:widowControl/>
              <w:kinsoku/>
              <w:wordWrap/>
              <w:overflowPunct/>
              <w:topLinePunct w:val="0"/>
              <w:autoSpaceDE/>
              <w:autoSpaceDN/>
              <w:bidi w:val="0"/>
              <w:spacing w:line="288" w:lineRule="auto"/>
              <w:ind w:left="20" w:leftChars="10" w:right="20" w:rightChars="1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superscript"/>
              </w:rPr>
              <w:t>15</w:t>
            </w:r>
            <w:r>
              <w:rPr>
                <w:rFonts w:hint="eastAsia" w:asciiTheme="minorEastAsia" w:hAnsiTheme="minorEastAsia" w:eastAsiaTheme="minorEastAsia" w:cstheme="minorEastAsia"/>
                <w:sz w:val="21"/>
                <w:szCs w:val="21"/>
              </w:rPr>
              <w:t>N ≤ 15μs (90% formamide sample)</w:t>
            </w:r>
          </w:p>
          <w:p w14:paraId="3B8C41BD">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6.1.8加Z-方向梯度场线圈≥50高斯/cm</w:t>
            </w:r>
          </w:p>
          <w:p w14:paraId="049F2A19">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6.1.9探头变温范围: -150℃— +150℃ (低温实验可另配低温附件)</w:t>
            </w:r>
          </w:p>
          <w:p w14:paraId="0E07486F">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6.1.10探头全自动调谐和匹配附件：配备能调所有观测核的全自动调谐和匹配附件</w:t>
            </w:r>
          </w:p>
          <w:p w14:paraId="6FDB8477">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6.1.11探头具备观测1H去偶后的19F图谱功能</w:t>
            </w:r>
          </w:p>
          <w:p w14:paraId="4B59D5BF">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7 </w:t>
            </w:r>
            <w:r>
              <w:rPr>
                <w:rFonts w:hint="eastAsia" w:asciiTheme="minorEastAsia" w:hAnsiTheme="minorEastAsia" w:eastAsiaTheme="minorEastAsia" w:cstheme="minorEastAsia"/>
                <w:b/>
                <w:bCs/>
                <w:sz w:val="21"/>
                <w:szCs w:val="21"/>
                <w:lang w:val="en-US" w:eastAsia="zh-CN"/>
              </w:rPr>
              <w:t>.信息处理设备及文印设备</w:t>
            </w:r>
          </w:p>
          <w:p w14:paraId="75F1EB5B">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7.1 </w:t>
            </w:r>
            <w:r>
              <w:rPr>
                <w:rFonts w:hint="eastAsia" w:asciiTheme="minorEastAsia" w:hAnsiTheme="minorEastAsia" w:eastAsiaTheme="minorEastAsia" w:cstheme="minorEastAsia"/>
                <w:sz w:val="21"/>
                <w:szCs w:val="21"/>
                <w:lang w:val="en-US" w:eastAsia="zh-CN"/>
              </w:rPr>
              <w:t>信息处理设备</w:t>
            </w:r>
          </w:p>
          <w:p w14:paraId="42B3A106">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CPU：四核高端处理器</w:t>
            </w:r>
          </w:p>
          <w:p w14:paraId="20A22F95">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内存：16GB</w:t>
            </w:r>
          </w:p>
          <w:p w14:paraId="244E53AE">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硬盘：≥ 2 TB</w:t>
            </w:r>
          </w:p>
          <w:p w14:paraId="0FF0A8B5">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独立显卡：1G</w:t>
            </w:r>
          </w:p>
          <w:p w14:paraId="18605419">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显示器：≥24英寸宽屏液晶彩色显示器</w:t>
            </w:r>
          </w:p>
          <w:p w14:paraId="64211267">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网卡、DVD刻录机</w:t>
            </w:r>
          </w:p>
          <w:p w14:paraId="3FABFAAA">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 运行平台： Windows10（64位）系统或Linux系统</w:t>
            </w:r>
          </w:p>
          <w:p w14:paraId="03B7EC29">
            <w:pPr>
              <w:keepNext w:val="0"/>
              <w:keepLines w:val="0"/>
              <w:pageBreakBefore w:val="0"/>
              <w:widowControl/>
              <w:kinsoku/>
              <w:wordWrap/>
              <w:overflowPunct/>
              <w:topLinePunct w:val="0"/>
              <w:autoSpaceDE/>
              <w:autoSpaceDN/>
              <w:bidi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7.3 </w:t>
            </w:r>
            <w:r>
              <w:rPr>
                <w:rFonts w:hint="eastAsia" w:asciiTheme="minorEastAsia" w:hAnsiTheme="minorEastAsia" w:eastAsiaTheme="minorEastAsia" w:cstheme="minorEastAsia"/>
                <w:sz w:val="21"/>
                <w:szCs w:val="21"/>
                <w:lang w:val="en-US" w:eastAsia="zh-CN"/>
              </w:rPr>
              <w:t>文印设备</w:t>
            </w:r>
            <w:r>
              <w:rPr>
                <w:rFonts w:hint="eastAsia" w:asciiTheme="minorEastAsia" w:hAnsiTheme="minorEastAsia" w:eastAsiaTheme="minorEastAsia" w:cstheme="minorEastAsia"/>
                <w:sz w:val="21"/>
                <w:szCs w:val="21"/>
              </w:rPr>
              <w:t>一台</w:t>
            </w:r>
          </w:p>
          <w:p w14:paraId="4343C485">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8 </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sz w:val="21"/>
                <w:szCs w:val="21"/>
              </w:rPr>
              <w:t>NMR软件</w:t>
            </w:r>
          </w:p>
          <w:p w14:paraId="15826960">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在线服务软件：包括在线使用帮助、NMR技术指导、实验手册等，</w:t>
            </w:r>
          </w:p>
          <w:p w14:paraId="79103B78">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 脉冲程序模拟软件</w:t>
            </w:r>
          </w:p>
          <w:p w14:paraId="3AE0E086">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 核磁数据处理软件许可证一个</w:t>
            </w:r>
          </w:p>
          <w:p w14:paraId="112336AA">
            <w:pPr>
              <w:keepNext w:val="0"/>
              <w:keepLines w:val="0"/>
              <w:pageBreakBefore w:val="0"/>
              <w:widowControl/>
              <w:kinsoku/>
              <w:wordWrap/>
              <w:overflowPunct/>
              <w:topLinePunct w:val="0"/>
              <w:autoSpaceDE/>
              <w:autoSpaceDN/>
              <w:bidi w:val="0"/>
              <w:adjustRightInd w:val="0"/>
              <w:snapToGrid w:val="0"/>
              <w:spacing w:line="288" w:lineRule="auto"/>
              <w:ind w:left="736" w:leftChars="10" w:right="20" w:rightChars="10" w:hanging="716"/>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 实验数据（原始数据及分析结果）可存为通用格式，能被其它NMR软件读取，并能导入Microsoft Office 软件。</w:t>
            </w:r>
          </w:p>
          <w:p w14:paraId="2D6BD326">
            <w:pPr>
              <w:keepNext w:val="0"/>
              <w:keepLines w:val="0"/>
              <w:pageBreakBefore w:val="0"/>
              <w:widowControl/>
              <w:kinsoku/>
              <w:wordWrap/>
              <w:overflowPunct/>
              <w:topLinePunct w:val="0"/>
              <w:autoSpaceDE/>
              <w:autoSpaceDN/>
              <w:bidi w:val="0"/>
              <w:adjustRightInd w:val="0"/>
              <w:snapToGrid w:val="0"/>
              <w:spacing w:line="288" w:lineRule="auto"/>
              <w:ind w:left="736" w:leftChars="10" w:right="20" w:rightChars="10" w:hanging="716"/>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 用于自动和远程谱仪状况检查，故障诊断和排除软件</w:t>
            </w:r>
          </w:p>
          <w:p w14:paraId="0FCD70FE">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sz w:val="21"/>
                <w:szCs w:val="21"/>
              </w:rPr>
            </w:pPr>
          </w:p>
          <w:p w14:paraId="525F3DFB">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9.</w:t>
            </w:r>
            <w:r>
              <w:rPr>
                <w:rFonts w:hint="eastAsia" w:asciiTheme="minorEastAsia" w:hAnsiTheme="minorEastAsia" w:eastAsiaTheme="minorEastAsia" w:cstheme="minorEastAsia"/>
                <w:b/>
                <w:sz w:val="21"/>
                <w:szCs w:val="21"/>
              </w:rPr>
              <w:t>附件、零配件及消耗品(包括专用工具)</w:t>
            </w:r>
          </w:p>
          <w:p w14:paraId="7EBED3C7">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.1 随机必备的标准附件专用工具</w:t>
            </w:r>
          </w:p>
          <w:p w14:paraId="2429C3FF">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.2 标准样品 1套</w:t>
            </w:r>
          </w:p>
          <w:p w14:paraId="59B7DEC2">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.3超导磁体用液氦真空输液管1个</w:t>
            </w:r>
          </w:p>
          <w:p w14:paraId="40FD9C3D">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.4 包含24位自动进样器及相应位数的核磁转子，自动进样器放置于磁体腰部，放置样品不需要额外借助梯子</w:t>
            </w:r>
          </w:p>
          <w:p w14:paraId="0DDF6B29">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sz w:val="21"/>
                <w:szCs w:val="21"/>
              </w:rPr>
            </w:pPr>
          </w:p>
          <w:p w14:paraId="30412FD1">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四．</w:t>
            </w:r>
            <w:r>
              <w:rPr>
                <w:rFonts w:hint="eastAsia" w:asciiTheme="minorEastAsia" w:hAnsiTheme="minorEastAsia" w:eastAsiaTheme="minorEastAsia" w:cstheme="minorEastAsia"/>
                <w:b/>
                <w:sz w:val="21"/>
                <w:szCs w:val="21"/>
              </w:rPr>
              <w:t>技术文件</w:t>
            </w:r>
          </w:p>
          <w:p w14:paraId="691F0238">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技术资料：培训教材，操作规程（说明书、光盘）</w:t>
            </w:r>
          </w:p>
          <w:p w14:paraId="5FC10E39">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五．</w:t>
            </w:r>
            <w:r>
              <w:rPr>
                <w:rFonts w:hint="eastAsia" w:asciiTheme="minorEastAsia" w:hAnsiTheme="minorEastAsia" w:eastAsiaTheme="minorEastAsia" w:cstheme="minorEastAsia"/>
                <w:b/>
                <w:bCs/>
                <w:sz w:val="21"/>
                <w:szCs w:val="21"/>
              </w:rPr>
              <w:t>国内提供附件</w:t>
            </w:r>
          </w:p>
          <w:p w14:paraId="1AAB2953">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 xml:space="preserve">1 </w:t>
            </w:r>
            <w:r>
              <w:rPr>
                <w:rFonts w:hint="eastAsia" w:asciiTheme="minorEastAsia" w:hAnsiTheme="minorEastAsia" w:eastAsiaTheme="minorEastAsia" w:cstheme="minorEastAsia"/>
                <w:sz w:val="21"/>
                <w:szCs w:val="21"/>
                <w:lang w:val="en-US" w:eastAsia="zh-CN"/>
              </w:rPr>
              <w:t>实验室净化电压稳定系统</w:t>
            </w:r>
          </w:p>
          <w:p w14:paraId="0C9F8809">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供气系统</w:t>
            </w:r>
          </w:p>
          <w:p w14:paraId="4F0ABDF2">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.3仪器安装时，提供所需正常状态下的液氦，液氮，氦气，氮气</w:t>
            </w:r>
          </w:p>
          <w:p w14:paraId="295AF790">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1"/>
                <w:szCs w:val="21"/>
                <w:lang w:val="en-US" w:eastAsia="zh-CN"/>
              </w:rPr>
              <w:t>5.4实验室改造：实验室整体面积大约45㎡。整合实验室内部结构并合理设计，加装轻钢龙骨+双面石膏板夹岩棉隔断、门。合理优化实验室使用空间，隔断双面批灰及粉刷乳胶漆。</w:t>
            </w:r>
          </w:p>
          <w:p w14:paraId="74CAD459">
            <w:pPr>
              <w:keepNext w:val="0"/>
              <w:keepLines w:val="0"/>
              <w:pageBreakBefore w:val="0"/>
              <w:widowControl/>
              <w:kinsoku/>
              <w:wordWrap/>
              <w:overflowPunct/>
              <w:topLinePunct w:val="0"/>
              <w:autoSpaceDE/>
              <w:autoSpaceDN/>
              <w:bidi w:val="0"/>
              <w:adjustRightInd w:val="0"/>
              <w:snapToGrid w:val="0"/>
              <w:spacing w:line="288" w:lineRule="auto"/>
              <w:ind w:left="20" w:leftChars="10" w:right="20" w:rightChars="10"/>
              <w:textAlignment w:val="auto"/>
              <w:rPr>
                <w:rFonts w:hint="eastAsia" w:asciiTheme="minorEastAsia" w:hAnsiTheme="minorEastAsia" w:eastAsiaTheme="minorEastAsia" w:cstheme="minorEastAsia"/>
                <w:sz w:val="21"/>
                <w:szCs w:val="21"/>
                <w:lang w:val="en-US"/>
              </w:rPr>
            </w:pPr>
          </w:p>
        </w:tc>
        <w:tc>
          <w:tcPr>
            <w:tcW w:w="825" w:type="dxa"/>
            <w:tcBorders>
              <w:top w:val="single" w:color="auto" w:sz="6" w:space="0"/>
              <w:left w:val="single" w:color="auto" w:sz="6" w:space="0"/>
              <w:bottom w:val="single" w:color="auto" w:sz="6" w:space="0"/>
              <w:right w:val="single" w:color="auto" w:sz="6" w:space="0"/>
            </w:tcBorders>
            <w:vAlign w:val="center"/>
          </w:tcPr>
          <w:p w14:paraId="1DE0A0D3">
            <w:pPr>
              <w:keepNext w:val="0"/>
              <w:keepLines w:val="0"/>
              <w:pageBreakBefore w:val="0"/>
              <w:widowControl/>
              <w:kinsoku/>
              <w:wordWrap/>
              <w:overflowPunct/>
              <w:topLinePunct w:val="0"/>
              <w:autoSpaceDE/>
              <w:autoSpaceDN/>
              <w:bidi w:val="0"/>
              <w:spacing w:line="288" w:lineRule="auto"/>
              <w:ind w:left="20" w:leftChars="10" w:right="20" w:rightChars="1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lang w:val="en-US" w:eastAsia="zh-CN"/>
              </w:rPr>
              <w:t>台</w:t>
            </w:r>
          </w:p>
        </w:tc>
      </w:tr>
    </w:tbl>
    <w:p w14:paraId="7E5EECBE">
      <w:pPr>
        <w:rPr>
          <w:rFonts w:hint="eastAsia"/>
        </w:rPr>
      </w:pPr>
    </w:p>
    <w:p w14:paraId="3203A4BD">
      <w:pPr>
        <w:spacing w:line="300" w:lineRule="auto"/>
        <w:rPr>
          <w:rFonts w:hint="eastAsia" w:ascii="宋体" w:hAnsi="宋体"/>
          <w:b/>
          <w:color w:val="auto"/>
          <w:sz w:val="24"/>
          <w:szCs w:val="24"/>
          <w:highlight w:val="none"/>
        </w:rPr>
      </w:pPr>
    </w:p>
    <w:p w14:paraId="2E6C0B9C">
      <w:pPr>
        <w:spacing w:line="300" w:lineRule="auto"/>
        <w:rPr>
          <w:rFonts w:hint="eastAsia" w:ascii="宋体" w:hAnsi="宋体"/>
          <w:b/>
          <w:color w:val="auto"/>
          <w:sz w:val="24"/>
          <w:szCs w:val="24"/>
          <w:highlight w:val="none"/>
        </w:rPr>
      </w:pPr>
    </w:p>
    <w:p w14:paraId="6E987A7C">
      <w:pPr>
        <w:spacing w:line="300" w:lineRule="auto"/>
        <w:rPr>
          <w:rFonts w:hint="eastAsia" w:ascii="宋体" w:hAnsi="宋体"/>
          <w:b/>
          <w:color w:val="auto"/>
          <w:sz w:val="24"/>
          <w:szCs w:val="24"/>
          <w:highlight w:val="none"/>
        </w:rPr>
      </w:pPr>
    </w:p>
    <w:p w14:paraId="3E2049ED">
      <w:pPr>
        <w:spacing w:line="300" w:lineRule="auto"/>
        <w:rPr>
          <w:rFonts w:hint="eastAsia" w:ascii="宋体" w:hAnsi="宋体"/>
          <w:b/>
          <w:color w:val="auto"/>
          <w:sz w:val="24"/>
          <w:szCs w:val="24"/>
          <w:highlight w:val="none"/>
        </w:rPr>
      </w:pPr>
    </w:p>
    <w:p w14:paraId="4026D5C0">
      <w:pPr>
        <w:spacing w:line="300" w:lineRule="auto"/>
        <w:rPr>
          <w:rFonts w:hint="eastAsia" w:ascii="宋体" w:hAnsi="宋体"/>
          <w:b/>
          <w:color w:val="auto"/>
          <w:sz w:val="24"/>
          <w:szCs w:val="24"/>
          <w:highlight w:val="none"/>
        </w:rPr>
      </w:pPr>
    </w:p>
    <w:p w14:paraId="629A6D6F">
      <w:pPr>
        <w:spacing w:line="300" w:lineRule="auto"/>
        <w:rPr>
          <w:rFonts w:hint="eastAsia" w:ascii="宋体" w:hAnsi="宋体"/>
          <w:b/>
          <w:color w:val="auto"/>
          <w:sz w:val="24"/>
          <w:szCs w:val="24"/>
          <w:highlight w:val="none"/>
        </w:rPr>
      </w:pPr>
    </w:p>
    <w:p w14:paraId="63406731">
      <w:pPr>
        <w:spacing w:line="300" w:lineRule="auto"/>
        <w:rPr>
          <w:rFonts w:hint="eastAsia" w:ascii="宋体" w:hAnsi="宋体"/>
          <w:b/>
          <w:color w:val="auto"/>
          <w:sz w:val="24"/>
          <w:szCs w:val="24"/>
          <w:highlight w:val="none"/>
        </w:rPr>
      </w:pPr>
    </w:p>
    <w:p w14:paraId="4F8CD613">
      <w:pPr>
        <w:spacing w:line="300" w:lineRule="auto"/>
        <w:rPr>
          <w:rFonts w:hint="eastAsia" w:ascii="宋体" w:hAnsi="宋体"/>
          <w:b/>
          <w:color w:val="auto"/>
          <w:sz w:val="24"/>
          <w:szCs w:val="24"/>
          <w:highlight w:val="none"/>
        </w:rPr>
      </w:pPr>
    </w:p>
    <w:p w14:paraId="458ED881">
      <w:pPr>
        <w:spacing w:line="300" w:lineRule="auto"/>
        <w:rPr>
          <w:rFonts w:hint="eastAsia" w:ascii="宋体" w:hAnsi="宋体"/>
          <w:b/>
          <w:color w:val="auto"/>
          <w:sz w:val="24"/>
          <w:szCs w:val="24"/>
          <w:highlight w:val="none"/>
        </w:rPr>
      </w:pPr>
    </w:p>
    <w:p w14:paraId="2009F5D4">
      <w:pPr>
        <w:spacing w:line="300" w:lineRule="auto"/>
        <w:rPr>
          <w:rFonts w:hint="eastAsia" w:ascii="宋体" w:hAnsi="宋体"/>
          <w:b/>
          <w:color w:val="auto"/>
          <w:sz w:val="24"/>
          <w:szCs w:val="24"/>
          <w:highlight w:val="none"/>
        </w:rPr>
      </w:pPr>
    </w:p>
    <w:p w14:paraId="1895C0DB">
      <w:pPr>
        <w:spacing w:line="300" w:lineRule="auto"/>
        <w:rPr>
          <w:rFonts w:hint="eastAsia" w:ascii="宋体" w:hAnsi="宋体"/>
          <w:b/>
          <w:color w:val="auto"/>
          <w:sz w:val="24"/>
          <w:szCs w:val="24"/>
          <w:highlight w:val="none"/>
        </w:rPr>
      </w:pPr>
    </w:p>
    <w:p w14:paraId="361FE570">
      <w:pPr>
        <w:spacing w:line="300" w:lineRule="auto"/>
        <w:rPr>
          <w:rFonts w:hint="eastAsia" w:ascii="宋体" w:hAnsi="宋体"/>
          <w:b/>
          <w:color w:val="auto"/>
          <w:sz w:val="24"/>
          <w:szCs w:val="24"/>
          <w:highlight w:val="none"/>
        </w:rPr>
      </w:pPr>
    </w:p>
    <w:p w14:paraId="109BD048">
      <w:pPr>
        <w:spacing w:line="300" w:lineRule="auto"/>
        <w:rPr>
          <w:rFonts w:hint="eastAsia" w:ascii="宋体" w:hAnsi="宋体"/>
          <w:b/>
          <w:color w:val="auto"/>
          <w:sz w:val="24"/>
          <w:szCs w:val="24"/>
          <w:highlight w:val="none"/>
        </w:rPr>
      </w:pPr>
    </w:p>
    <w:p w14:paraId="070D8F3E">
      <w:pPr>
        <w:spacing w:line="300" w:lineRule="auto"/>
        <w:rPr>
          <w:rFonts w:ascii="宋体" w:hAnsi="宋体" w:cs="宋体"/>
          <w:bCs/>
          <w:color w:val="auto"/>
          <w:sz w:val="24"/>
          <w:szCs w:val="24"/>
          <w:highlight w:val="none"/>
          <w:lang w:val="zh-CN"/>
        </w:rPr>
      </w:pPr>
      <w:r>
        <w:rPr>
          <w:rFonts w:hint="eastAsia" w:ascii="宋体" w:hAnsi="宋体"/>
          <w:b/>
          <w:color w:val="auto"/>
          <w:sz w:val="24"/>
          <w:szCs w:val="24"/>
          <w:highlight w:val="none"/>
        </w:rPr>
        <w:t>核心产品(适用于</w:t>
      </w:r>
      <w:r>
        <w:rPr>
          <w:rFonts w:hint="eastAsia" w:ascii="宋体" w:hAnsi="宋体" w:eastAsia="宋体" w:cs="Times New Roman"/>
          <w:b/>
          <w:color w:val="auto"/>
          <w:sz w:val="24"/>
          <w:szCs w:val="24"/>
          <w:highlight w:val="none"/>
        </w:rPr>
        <w:t>非单一产品采购）为：</w:t>
      </w:r>
      <w:r>
        <w:rPr>
          <w:rFonts w:hint="eastAsia" w:ascii="宋体" w:hAnsi="宋体" w:eastAsia="宋体" w:cs="Times New Roman"/>
          <w:b/>
          <w:color w:val="auto"/>
          <w:sz w:val="24"/>
          <w:szCs w:val="24"/>
          <w:highlight w:val="none"/>
          <w:lang w:val="zh-CN"/>
        </w:rPr>
        <w:t>超导核磁共振波谱仪</w:t>
      </w:r>
    </w:p>
    <w:p w14:paraId="222D8D49">
      <w:pPr>
        <w:spacing w:line="300" w:lineRule="auto"/>
        <w:rPr>
          <w:rFonts w:hint="default" w:ascii="宋体" w:hAnsi="宋体" w:eastAsia="宋体" w:cs="宋体"/>
          <w:bCs/>
          <w:color w:val="auto"/>
          <w:sz w:val="24"/>
          <w:szCs w:val="24"/>
          <w:highlight w:val="none"/>
          <w:lang w:val="en-US" w:eastAsia="zh-CN"/>
        </w:rPr>
      </w:pPr>
      <w:r>
        <w:rPr>
          <w:rFonts w:hint="eastAsia" w:ascii="宋体" w:hAnsi="宋体" w:cs="宋体"/>
          <w:b/>
          <w:color w:val="auto"/>
          <w:sz w:val="24"/>
          <w:szCs w:val="24"/>
          <w:highlight w:val="none"/>
          <w:lang w:val="zh-CN"/>
        </w:rPr>
        <w:t>质量保证期：</w:t>
      </w:r>
      <w:r>
        <w:rPr>
          <w:rFonts w:hint="eastAsia" w:ascii="宋体" w:hAnsi="宋体" w:cs="宋体"/>
          <w:b/>
          <w:color w:val="auto"/>
          <w:sz w:val="24"/>
          <w:szCs w:val="24"/>
          <w:highlight w:val="none"/>
          <w:lang w:val="en-US" w:eastAsia="zh-CN"/>
        </w:rPr>
        <w:t>1年</w:t>
      </w:r>
    </w:p>
    <w:p w14:paraId="34AC0329">
      <w:pPr>
        <w:spacing w:line="300" w:lineRule="auto"/>
        <w:rPr>
          <w:rFonts w:hint="default" w:eastAsia="宋体"/>
          <w:color w:val="auto"/>
          <w:highlight w:val="none"/>
          <w:lang w:val="en-US" w:eastAsia="zh-CN"/>
        </w:rPr>
      </w:pPr>
      <w:r>
        <w:rPr>
          <w:rFonts w:hint="eastAsia" w:ascii="宋体" w:hAnsi="宋体" w:cs="宋体"/>
          <w:b/>
          <w:color w:val="auto"/>
          <w:sz w:val="24"/>
          <w:szCs w:val="24"/>
          <w:highlight w:val="none"/>
          <w:lang w:val="zh-CN"/>
        </w:rPr>
        <w:t>交货时间：</w:t>
      </w:r>
      <w:r>
        <w:rPr>
          <w:rFonts w:hint="eastAsia" w:ascii="宋体" w:hAnsi="宋体" w:cs="宋体"/>
          <w:b/>
          <w:color w:val="auto"/>
          <w:sz w:val="24"/>
          <w:szCs w:val="24"/>
          <w:highlight w:val="none"/>
          <w:lang w:val="en-US" w:eastAsia="zh-CN"/>
        </w:rPr>
        <w:t>签订合同后240天</w:t>
      </w:r>
    </w:p>
    <w:p w14:paraId="4C52BAB5">
      <w:pPr>
        <w:autoSpaceDE w:val="0"/>
        <w:autoSpaceDN w:val="0"/>
        <w:adjustRightInd w:val="0"/>
        <w:spacing w:line="300" w:lineRule="auto"/>
        <w:rPr>
          <w:rFonts w:hint="default" w:ascii="宋体" w:hAnsi="宋体" w:eastAsia="宋体" w:cs="宋体"/>
          <w:bCs/>
          <w:color w:val="auto"/>
          <w:sz w:val="24"/>
          <w:szCs w:val="24"/>
          <w:highlight w:val="none"/>
          <w:lang w:val="en-US" w:eastAsia="zh-CN"/>
        </w:rPr>
      </w:pPr>
      <w:r>
        <w:rPr>
          <w:rFonts w:hint="eastAsia" w:ascii="宋体" w:hAnsi="宋体" w:cs="宋体"/>
          <w:b/>
          <w:color w:val="auto"/>
          <w:sz w:val="24"/>
          <w:szCs w:val="24"/>
          <w:highlight w:val="none"/>
          <w:lang w:val="zh-CN"/>
        </w:rPr>
        <w:t>交货地点：</w:t>
      </w:r>
      <w:r>
        <w:rPr>
          <w:rFonts w:hint="eastAsia" w:ascii="宋体" w:hAnsi="宋体" w:cs="宋体"/>
          <w:b/>
          <w:color w:val="auto"/>
          <w:sz w:val="24"/>
          <w:szCs w:val="24"/>
          <w:highlight w:val="none"/>
          <w:lang w:val="en-US" w:eastAsia="zh-CN"/>
        </w:rPr>
        <w:t>长春工业大学指定地点</w:t>
      </w:r>
    </w:p>
    <w:p w14:paraId="6C87FDD6">
      <w:pPr>
        <w:tabs>
          <w:tab w:val="left" w:pos="3120"/>
        </w:tabs>
        <w:autoSpaceDE w:val="0"/>
        <w:autoSpaceDN w:val="0"/>
        <w:adjustRightInd w:val="0"/>
        <w:spacing w:line="360" w:lineRule="auto"/>
        <w:rPr>
          <w:rFonts w:ascii="宋体" w:hAnsi="宋体" w:cs="宋体"/>
          <w:b/>
          <w:bCs w:val="0"/>
          <w:color w:val="auto"/>
          <w:sz w:val="24"/>
          <w:szCs w:val="24"/>
          <w:highlight w:val="none"/>
          <w:lang w:val="zh-CN"/>
        </w:rPr>
      </w:pPr>
      <w:r>
        <w:rPr>
          <w:rFonts w:hint="eastAsia" w:ascii="宋体" w:hAnsi="宋体" w:cs="宋体"/>
          <w:b/>
          <w:color w:val="auto"/>
          <w:sz w:val="24"/>
          <w:szCs w:val="24"/>
          <w:highlight w:val="none"/>
          <w:lang w:val="zh-CN"/>
        </w:rPr>
        <w:t>交货方式：</w:t>
      </w:r>
      <w:r>
        <w:rPr>
          <w:rFonts w:hint="eastAsia" w:ascii="宋体" w:hAnsi="宋体" w:cs="宋体"/>
          <w:b/>
          <w:bCs w:val="0"/>
          <w:color w:val="auto"/>
          <w:sz w:val="24"/>
          <w:szCs w:val="24"/>
          <w:highlight w:val="none"/>
          <w:lang w:val="zh-CN"/>
        </w:rPr>
        <w:t>中标人负责将货物安全完好运抵交货地点、安装调试并保证验收合格。</w:t>
      </w:r>
    </w:p>
    <w:p w14:paraId="1E299F4F">
      <w:pPr>
        <w:rPr>
          <w:rFonts w:hint="eastAsia" w:ascii="宋体" w:hAnsi="宋体" w:cs="宋体"/>
          <w:color w:val="auto"/>
          <w:sz w:val="36"/>
          <w:szCs w:val="36"/>
          <w:highlight w:val="none"/>
        </w:rPr>
      </w:pPr>
      <w:r>
        <w:rPr>
          <w:rFonts w:hint="eastAsia" w:ascii="宋体" w:hAnsi="宋体" w:cs="宋体"/>
          <w:color w:val="auto"/>
          <w:sz w:val="36"/>
          <w:szCs w:val="36"/>
          <w:highlight w:val="none"/>
        </w:rPr>
        <w:br w:type="page"/>
      </w:r>
    </w:p>
    <w:p w14:paraId="17290468">
      <w:pPr>
        <w:pStyle w:val="2"/>
        <w:spacing w:before="0" w:after="0"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第五部分  合同格式</w:t>
      </w:r>
      <w:bookmarkEnd w:id="55"/>
    </w:p>
    <w:p w14:paraId="20F047D9">
      <w:pPr>
        <w:pStyle w:val="2"/>
        <w:spacing w:before="0" w:after="0" w:line="360" w:lineRule="auto"/>
        <w:jc w:val="both"/>
        <w:rPr>
          <w:rFonts w:hint="eastAsia" w:ascii="宋体" w:hAnsi="宋体" w:cs="宋体"/>
          <w:b/>
          <w:color w:val="auto"/>
          <w:kern w:val="44"/>
          <w:sz w:val="32"/>
          <w:szCs w:val="32"/>
          <w:highlight w:val="none"/>
        </w:rPr>
      </w:pPr>
    </w:p>
    <w:p w14:paraId="3B7E0D95">
      <w:pPr>
        <w:pStyle w:val="2"/>
        <w:spacing w:before="0" w:after="0" w:line="360" w:lineRule="auto"/>
        <w:jc w:val="center"/>
        <w:rPr>
          <w:rFonts w:ascii="宋体" w:hAnsi="宋体" w:cs="宋体"/>
          <w:color w:val="auto"/>
          <w:sz w:val="36"/>
          <w:szCs w:val="36"/>
          <w:highlight w:val="none"/>
        </w:rPr>
      </w:pPr>
      <w:r>
        <w:rPr>
          <w:rFonts w:hint="eastAsia" w:ascii="宋体" w:hAnsi="宋体" w:cs="宋体"/>
          <w:b/>
          <w:color w:val="auto"/>
          <w:kern w:val="44"/>
          <w:sz w:val="32"/>
          <w:szCs w:val="32"/>
          <w:highlight w:val="none"/>
        </w:rPr>
        <w:t>具体以双方实际签订为准</w:t>
      </w:r>
    </w:p>
    <w:p w14:paraId="004F141A">
      <w:pPr>
        <w:pStyle w:val="16"/>
        <w:spacing w:after="0"/>
        <w:jc w:val="center"/>
        <w:rPr>
          <w:rFonts w:hint="eastAsia" w:ascii="宋体" w:hAnsi="宋体" w:eastAsia="宋体" w:cs="宋体"/>
          <w:b/>
          <w:bCs/>
          <w:spacing w:val="-20"/>
          <w:kern w:val="44"/>
          <w:sz w:val="48"/>
          <w:szCs w:val="48"/>
          <w:highlight w:val="none"/>
        </w:rPr>
      </w:pPr>
    </w:p>
    <w:p w14:paraId="05E4001B">
      <w:pPr>
        <w:pStyle w:val="16"/>
        <w:spacing w:after="0"/>
        <w:jc w:val="center"/>
        <w:rPr>
          <w:rFonts w:hint="eastAsia" w:ascii="宋体" w:hAnsi="宋体" w:eastAsia="宋体" w:cs="宋体"/>
          <w:b/>
          <w:bCs/>
          <w:spacing w:val="-20"/>
          <w:kern w:val="44"/>
          <w:sz w:val="48"/>
          <w:szCs w:val="48"/>
          <w:highlight w:val="none"/>
        </w:rPr>
      </w:pPr>
    </w:p>
    <w:p w14:paraId="0D300425">
      <w:pPr>
        <w:rPr>
          <w:rFonts w:hint="eastAsia" w:ascii="宋体" w:hAnsi="宋体" w:eastAsia="宋体" w:cs="宋体"/>
          <w:b/>
          <w:bCs/>
          <w:spacing w:val="-20"/>
          <w:kern w:val="44"/>
          <w:sz w:val="48"/>
          <w:szCs w:val="48"/>
          <w:highlight w:val="none"/>
        </w:rPr>
      </w:pPr>
      <w:r>
        <w:rPr>
          <w:rFonts w:hint="eastAsia" w:ascii="宋体" w:hAnsi="宋体" w:eastAsia="宋体" w:cs="宋体"/>
          <w:b/>
          <w:bCs/>
          <w:spacing w:val="-20"/>
          <w:kern w:val="44"/>
          <w:sz w:val="48"/>
          <w:szCs w:val="48"/>
          <w:highlight w:val="none"/>
        </w:rPr>
        <w:br w:type="page"/>
      </w:r>
    </w:p>
    <w:p w14:paraId="06B2F5F0">
      <w:pPr>
        <w:pStyle w:val="16"/>
        <w:spacing w:after="0"/>
        <w:jc w:val="center"/>
        <w:rPr>
          <w:rFonts w:hint="eastAsia" w:ascii="宋体" w:hAnsi="宋体" w:eastAsia="宋体" w:cs="宋体"/>
          <w:b/>
          <w:bCs/>
          <w:spacing w:val="-20"/>
          <w:kern w:val="44"/>
          <w:sz w:val="48"/>
          <w:szCs w:val="48"/>
          <w:highlight w:val="none"/>
        </w:rPr>
      </w:pPr>
    </w:p>
    <w:p w14:paraId="7A0381AA">
      <w:pPr>
        <w:pStyle w:val="16"/>
        <w:spacing w:after="0"/>
        <w:jc w:val="center"/>
        <w:rPr>
          <w:rFonts w:hint="eastAsia" w:ascii="宋体" w:hAnsi="宋体" w:eastAsia="宋体" w:cs="宋体"/>
          <w:b/>
          <w:bCs/>
          <w:spacing w:val="-20"/>
          <w:kern w:val="44"/>
          <w:sz w:val="48"/>
          <w:szCs w:val="48"/>
          <w:highlight w:val="none"/>
        </w:rPr>
      </w:pPr>
    </w:p>
    <w:p w14:paraId="02E60879">
      <w:pPr>
        <w:pStyle w:val="16"/>
        <w:spacing w:after="0"/>
        <w:jc w:val="center"/>
        <w:rPr>
          <w:rFonts w:hint="eastAsia" w:ascii="宋体" w:hAnsi="宋体" w:eastAsia="宋体" w:cs="宋体"/>
          <w:b/>
          <w:bCs/>
          <w:spacing w:val="-20"/>
          <w:kern w:val="44"/>
          <w:sz w:val="48"/>
          <w:szCs w:val="48"/>
          <w:highlight w:val="none"/>
        </w:rPr>
      </w:pPr>
    </w:p>
    <w:p w14:paraId="4BFDE604">
      <w:pPr>
        <w:pStyle w:val="16"/>
        <w:spacing w:after="0"/>
        <w:jc w:val="center"/>
        <w:rPr>
          <w:rFonts w:hint="eastAsia" w:ascii="宋体" w:hAnsi="宋体" w:eastAsia="宋体" w:cs="宋体"/>
          <w:b/>
          <w:bCs/>
          <w:spacing w:val="-20"/>
          <w:kern w:val="44"/>
          <w:sz w:val="48"/>
          <w:szCs w:val="48"/>
          <w:highlight w:val="none"/>
        </w:rPr>
      </w:pPr>
      <w:r>
        <w:rPr>
          <w:rFonts w:hint="eastAsia" w:ascii="宋体" w:hAnsi="宋体" w:eastAsia="宋体" w:cs="宋体"/>
          <w:b/>
          <w:bCs/>
          <w:spacing w:val="-20"/>
          <w:kern w:val="44"/>
          <w:sz w:val="48"/>
          <w:szCs w:val="48"/>
          <w:highlight w:val="none"/>
        </w:rPr>
        <w:t>政府采购</w:t>
      </w:r>
      <w:r>
        <w:rPr>
          <w:rFonts w:hint="eastAsia" w:ascii="宋体" w:hAnsi="宋体" w:eastAsia="宋体" w:cs="宋体"/>
          <w:b/>
          <w:bCs/>
          <w:spacing w:val="-20"/>
          <w:kern w:val="44"/>
          <w:sz w:val="48"/>
          <w:szCs w:val="48"/>
          <w:highlight w:val="none"/>
          <w:lang w:eastAsia="zh-CN"/>
        </w:rPr>
        <w:t>货物买卖</w:t>
      </w:r>
      <w:r>
        <w:rPr>
          <w:rFonts w:hint="eastAsia" w:ascii="宋体" w:hAnsi="宋体" w:eastAsia="宋体" w:cs="宋体"/>
          <w:b/>
          <w:bCs/>
          <w:spacing w:val="-20"/>
          <w:kern w:val="44"/>
          <w:sz w:val="48"/>
          <w:szCs w:val="48"/>
          <w:highlight w:val="none"/>
        </w:rPr>
        <w:t>合同</w:t>
      </w:r>
    </w:p>
    <w:p w14:paraId="233A0978">
      <w:pPr>
        <w:pStyle w:val="16"/>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eastAsia="宋体" w:cs="宋体"/>
          <w:b/>
          <w:bCs/>
          <w:spacing w:val="-20"/>
          <w:kern w:val="44"/>
          <w:sz w:val="48"/>
          <w:szCs w:val="48"/>
          <w:highlight w:val="none"/>
          <w:lang w:eastAsia="zh-CN"/>
        </w:rPr>
        <w:t>（试行）</w:t>
      </w:r>
    </w:p>
    <w:p w14:paraId="2E9FB396">
      <w:pPr>
        <w:rPr>
          <w:rFonts w:hint="eastAsia" w:ascii="宋体" w:hAnsi="宋体" w:eastAsia="宋体" w:cs="宋体"/>
          <w:b/>
          <w:bCs/>
          <w:spacing w:val="-20"/>
          <w:kern w:val="44"/>
          <w:sz w:val="40"/>
          <w:szCs w:val="40"/>
          <w:highlight w:val="none"/>
        </w:rPr>
      </w:pPr>
    </w:p>
    <w:p w14:paraId="53EBB374">
      <w:pPr>
        <w:rPr>
          <w:rFonts w:hint="eastAsia" w:ascii="宋体" w:hAnsi="宋体" w:eastAsia="宋体" w:cs="宋体"/>
          <w:b/>
          <w:bCs/>
          <w:spacing w:val="-20"/>
          <w:kern w:val="44"/>
          <w:sz w:val="40"/>
          <w:szCs w:val="40"/>
          <w:highlight w:val="none"/>
        </w:rPr>
      </w:pPr>
    </w:p>
    <w:p w14:paraId="5477594E">
      <w:pPr>
        <w:rPr>
          <w:rFonts w:hint="eastAsia" w:ascii="宋体" w:hAnsi="宋体" w:eastAsia="宋体" w:cs="宋体"/>
          <w:b/>
          <w:bCs/>
          <w:spacing w:val="-20"/>
          <w:kern w:val="44"/>
          <w:sz w:val="40"/>
          <w:szCs w:val="40"/>
          <w:highlight w:val="none"/>
        </w:rPr>
      </w:pPr>
    </w:p>
    <w:p w14:paraId="7987BF7D">
      <w:pPr>
        <w:spacing w:line="360" w:lineRule="auto"/>
        <w:ind w:left="400" w:leftChars="200"/>
        <w:rPr>
          <w:rFonts w:hint="eastAsia" w:ascii="宋体" w:hAnsi="宋体" w:eastAsia="宋体" w:cs="宋体"/>
          <w:sz w:val="32"/>
          <w:szCs w:val="32"/>
          <w:highlight w:val="none"/>
        </w:rPr>
      </w:pPr>
      <w:r>
        <w:rPr>
          <w:rFonts w:hint="eastAsia" w:ascii="宋体" w:hAnsi="宋体" w:eastAsia="宋体" w:cs="宋体"/>
          <w:kern w:val="0"/>
          <w:sz w:val="32"/>
          <w:szCs w:val="32"/>
          <w:highlight w:val="none"/>
        </w:rPr>
        <w:t>项目名称：</w:t>
      </w:r>
      <w:r>
        <w:rPr>
          <w:rFonts w:hint="eastAsia" w:ascii="宋体" w:hAnsi="宋体" w:eastAsia="宋体" w:cs="宋体"/>
          <w:sz w:val="32"/>
          <w:szCs w:val="32"/>
          <w:highlight w:val="none"/>
          <w:u w:val="single"/>
        </w:rPr>
        <w:t xml:space="preserve">                             </w:t>
      </w:r>
    </w:p>
    <w:p w14:paraId="37F6D7B2">
      <w:pPr>
        <w:spacing w:line="360" w:lineRule="auto"/>
        <w:ind w:left="400" w:left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合同编号：</w:t>
      </w:r>
      <w:r>
        <w:rPr>
          <w:rFonts w:hint="eastAsia" w:ascii="宋体" w:hAnsi="宋体" w:eastAsia="宋体" w:cs="宋体"/>
          <w:sz w:val="32"/>
          <w:szCs w:val="32"/>
          <w:highlight w:val="none"/>
          <w:u w:val="single"/>
        </w:rPr>
        <w:t xml:space="preserve">                             </w:t>
      </w:r>
    </w:p>
    <w:p w14:paraId="32A23A17">
      <w:pPr>
        <w:spacing w:line="360" w:lineRule="auto"/>
        <w:ind w:left="400" w:leftChars="200"/>
        <w:rPr>
          <w:rFonts w:hint="eastAsia" w:ascii="宋体" w:hAnsi="宋体" w:eastAsia="宋体" w:cs="宋体"/>
          <w:sz w:val="32"/>
          <w:szCs w:val="32"/>
          <w:highlight w:val="none"/>
        </w:rPr>
      </w:pPr>
      <w:r>
        <w:rPr>
          <w:rFonts w:hint="eastAsia" w:ascii="宋体" w:hAnsi="宋体" w:eastAsia="宋体" w:cs="宋体"/>
          <w:sz w:val="32"/>
          <w:szCs w:val="32"/>
          <w:highlight w:val="none"/>
        </w:rPr>
        <w:t>甲    方：</w:t>
      </w:r>
      <w:r>
        <w:rPr>
          <w:rFonts w:hint="eastAsia" w:ascii="宋体" w:hAnsi="宋体" w:eastAsia="宋体" w:cs="宋体"/>
          <w:sz w:val="32"/>
          <w:szCs w:val="32"/>
          <w:highlight w:val="none"/>
          <w:u w:val="single"/>
        </w:rPr>
        <w:t xml:space="preserve">                             </w:t>
      </w:r>
    </w:p>
    <w:p w14:paraId="3FB7E4DC">
      <w:pPr>
        <w:spacing w:line="360" w:lineRule="auto"/>
        <w:ind w:left="400" w:left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乙    方：</w:t>
      </w:r>
      <w:r>
        <w:rPr>
          <w:rFonts w:hint="eastAsia" w:ascii="宋体" w:hAnsi="宋体" w:eastAsia="宋体" w:cs="宋体"/>
          <w:sz w:val="32"/>
          <w:szCs w:val="32"/>
          <w:highlight w:val="none"/>
          <w:u w:val="single"/>
        </w:rPr>
        <w:t xml:space="preserve">                             </w:t>
      </w:r>
    </w:p>
    <w:p w14:paraId="66264F4B">
      <w:pPr>
        <w:spacing w:line="360" w:lineRule="auto"/>
        <w:ind w:left="400" w:leftChars="200"/>
        <w:rPr>
          <w:rFonts w:hint="eastAsia" w:ascii="宋体" w:hAnsi="宋体" w:eastAsia="宋体" w:cs="宋体"/>
          <w:sz w:val="32"/>
          <w:szCs w:val="32"/>
          <w:highlight w:val="none"/>
        </w:rPr>
      </w:pPr>
      <w:r>
        <w:rPr>
          <w:rFonts w:hint="eastAsia" w:ascii="宋体" w:hAnsi="宋体" w:eastAsia="宋体" w:cs="宋体"/>
          <w:sz w:val="32"/>
          <w:szCs w:val="32"/>
          <w:highlight w:val="none"/>
        </w:rPr>
        <w:t>签订时间：</w:t>
      </w:r>
      <w:r>
        <w:rPr>
          <w:rFonts w:hint="eastAsia" w:ascii="宋体" w:hAnsi="宋体" w:eastAsia="宋体" w:cs="宋体"/>
          <w:sz w:val="32"/>
          <w:szCs w:val="32"/>
          <w:highlight w:val="none"/>
          <w:u w:val="single"/>
        </w:rPr>
        <w:t xml:space="preserve">                             </w:t>
      </w:r>
    </w:p>
    <w:p w14:paraId="26FFAF97">
      <w:pPr>
        <w:rPr>
          <w:rFonts w:hint="eastAsia" w:ascii="宋体" w:hAnsi="宋体" w:eastAsia="宋体" w:cs="宋体"/>
          <w:highlight w:val="none"/>
        </w:rPr>
      </w:pPr>
    </w:p>
    <w:p w14:paraId="0795A024">
      <w:pP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0A549640">
      <w:pPr>
        <w:rPr>
          <w:rFonts w:hint="eastAsia" w:ascii="宋体" w:hAnsi="宋体" w:eastAsia="宋体" w:cs="宋体"/>
          <w:sz w:val="44"/>
          <w:szCs w:val="44"/>
          <w:highlight w:val="none"/>
        </w:rPr>
      </w:pPr>
    </w:p>
    <w:p w14:paraId="76CFB9F8">
      <w:pPr>
        <w:jc w:val="center"/>
        <w:rPr>
          <w:rFonts w:hint="eastAsia" w:ascii="宋体" w:hAnsi="宋体" w:eastAsia="宋体" w:cs="宋体"/>
          <w:sz w:val="44"/>
          <w:szCs w:val="44"/>
          <w:highlight w:val="none"/>
          <w:lang w:eastAsia="zh-CN"/>
        </w:rPr>
      </w:pPr>
      <w:r>
        <w:rPr>
          <w:rFonts w:hint="eastAsia" w:ascii="宋体" w:hAnsi="宋体" w:eastAsia="宋体" w:cs="宋体"/>
          <w:sz w:val="44"/>
          <w:szCs w:val="44"/>
          <w:highlight w:val="none"/>
          <w:lang w:eastAsia="zh-CN"/>
        </w:rPr>
        <w:t>使</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lang w:eastAsia="zh-CN"/>
        </w:rPr>
        <w:t>用</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lang w:eastAsia="zh-CN"/>
        </w:rPr>
        <w:t>说</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lang w:eastAsia="zh-CN"/>
        </w:rPr>
        <w:t>明</w:t>
      </w:r>
    </w:p>
    <w:p w14:paraId="2176B572">
      <w:pPr>
        <w:ind w:firstLine="640" w:firstLineChars="200"/>
        <w:rPr>
          <w:rFonts w:hint="eastAsia" w:ascii="宋体" w:hAnsi="宋体" w:eastAsia="宋体" w:cs="宋体"/>
          <w:sz w:val="32"/>
          <w:szCs w:val="32"/>
          <w:highlight w:val="none"/>
          <w:lang w:val="en-US" w:eastAsia="zh-CN"/>
        </w:rPr>
      </w:pPr>
    </w:p>
    <w:p w14:paraId="02B503CF">
      <w:pPr>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1.本合同标准文本适用于购买现成货物的采购项目，不包括需要供应商定制开发、创新研发的货物采购项目。</w:t>
      </w:r>
    </w:p>
    <w:p w14:paraId="118D1EF2">
      <w:pPr>
        <w:ind w:firstLine="0" w:firstLineChars="0"/>
        <w:rPr>
          <w:rFonts w:hint="eastAsia" w:ascii="宋体" w:hAnsi="宋体" w:eastAsia="宋体" w:cs="宋体"/>
          <w:sz w:val="44"/>
          <w:szCs w:val="44"/>
          <w:highlight w:val="none"/>
          <w:lang w:val="en-US" w:eastAsia="zh-CN"/>
        </w:rPr>
      </w:pPr>
      <w:r>
        <w:rPr>
          <w:rFonts w:hint="eastAsia" w:ascii="宋体" w:hAnsi="宋体" w:eastAsia="宋体" w:cs="宋体"/>
          <w:sz w:val="44"/>
          <w:szCs w:val="44"/>
          <w:highlight w:val="none"/>
          <w:lang w:val="en-US" w:eastAsia="zh-CN"/>
        </w:rPr>
        <w:t xml:space="preserve">   </w:t>
      </w:r>
      <w:r>
        <w:rPr>
          <w:rFonts w:hint="eastAsia" w:ascii="宋体" w:hAnsi="宋体" w:eastAsia="宋体" w:cs="宋体"/>
          <w:sz w:val="32"/>
          <w:szCs w:val="32"/>
          <w:highlight w:val="none"/>
          <w:lang w:val="en-US" w:eastAsia="zh-CN"/>
        </w:rPr>
        <w:t>2.本合同标准文本为政府采购货物买卖合同编制提供参考，可以结合采购项目具体情况，对文本作必要的调整修订后使用。</w:t>
      </w:r>
    </w:p>
    <w:p w14:paraId="31853F09">
      <w:pPr>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3.本合同标准文本各条款中，如涉及填写多家供应商、制造商，多种采购标的、分包主要内容等信息的，可根据采购项目具体情况添加信息项。</w:t>
      </w:r>
    </w:p>
    <w:p w14:paraId="5CA81044">
      <w:pPr>
        <w:ind w:firstLine="880" w:firstLineChars="200"/>
        <w:jc w:val="both"/>
        <w:rPr>
          <w:rFonts w:hint="eastAsia" w:ascii="宋体" w:hAnsi="宋体" w:eastAsia="宋体" w:cs="宋体"/>
          <w:sz w:val="44"/>
          <w:szCs w:val="44"/>
          <w:highlight w:val="none"/>
        </w:rPr>
        <w:sectPr>
          <w:footerReference r:id="rId7" w:type="first"/>
          <w:footerReference r:id="rId6"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3C4AD706">
      <w:pPr>
        <w:pStyle w:val="3"/>
        <w:adjustRightInd w:val="0"/>
        <w:snapToGrid w:val="0"/>
        <w:spacing w:beforeLines="0" w:line="400" w:lineRule="exact"/>
        <w:jc w:val="center"/>
        <w:rPr>
          <w:rFonts w:hint="eastAsia" w:ascii="宋体" w:hAnsi="宋体" w:eastAsia="宋体" w:cs="宋体"/>
          <w:b w:val="0"/>
          <w:bCs w:val="0"/>
          <w:sz w:val="28"/>
          <w:szCs w:val="28"/>
          <w:highlight w:val="none"/>
        </w:rPr>
      </w:pPr>
      <w:bookmarkStart w:id="56" w:name="_Toc22209"/>
      <w:r>
        <w:rPr>
          <w:rFonts w:hint="eastAsia" w:ascii="宋体" w:hAnsi="宋体" w:eastAsia="宋体" w:cs="宋体"/>
          <w:b w:val="0"/>
          <w:bCs w:val="0"/>
          <w:sz w:val="28"/>
          <w:szCs w:val="28"/>
          <w:highlight w:val="none"/>
        </w:rPr>
        <w:t>第一节 政府采购合同协议书</w:t>
      </w:r>
      <w:bookmarkEnd w:id="56"/>
    </w:p>
    <w:p w14:paraId="1D4DA2DB">
      <w:pPr>
        <w:adjustRightInd w:val="0"/>
        <w:snapToGrid w:val="0"/>
        <w:spacing w:before="0" w:beforeLines="0"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甲方（全称）：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（采购人</w:t>
      </w:r>
      <w:r>
        <w:rPr>
          <w:rFonts w:hint="eastAsia" w:ascii="宋体" w:hAnsi="宋体" w:eastAsia="宋体" w:cs="宋体"/>
          <w:sz w:val="21"/>
          <w:szCs w:val="21"/>
          <w:highlight w:val="none"/>
          <w:lang w:eastAsia="zh-CN"/>
        </w:rPr>
        <w:t>、受采购人委托签订合同的单位</w:t>
      </w:r>
      <w:r>
        <w:rPr>
          <w:rFonts w:hint="eastAsia" w:ascii="宋体" w:hAnsi="宋体" w:eastAsia="宋体" w:cs="宋体"/>
          <w:sz w:val="21"/>
          <w:szCs w:val="21"/>
          <w:highlight w:val="none"/>
        </w:rPr>
        <w:t>或采购</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文件约定的合同甲方）</w:t>
      </w:r>
    </w:p>
    <w:p w14:paraId="45599D7A">
      <w:pPr>
        <w:adjustRightInd w:val="0"/>
        <w:snapToGrid w:val="0"/>
        <w:spacing w:before="0" w:beforeLines="0"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（全称）：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（供应商）</w:t>
      </w:r>
    </w:p>
    <w:p w14:paraId="4021F6F5">
      <w:pPr>
        <w:adjustRightInd w:val="0"/>
        <w:snapToGrid w:val="0"/>
        <w:spacing w:before="0" w:beforeLines="0"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乙方2（全称）：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（联合体成员供应商或其他合同主体）（如有）</w:t>
      </w:r>
    </w:p>
    <w:p w14:paraId="6780B4FA">
      <w:pPr>
        <w:adjustRightInd w:val="0"/>
        <w:snapToGrid w:val="0"/>
        <w:spacing w:before="0" w:beforeLines="0"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lang w:val="en-US" w:eastAsia="zh-CN"/>
        </w:rPr>
        <w:t>3（全称）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（联合体成员供应商或其他合同主体）（如有）</w:t>
      </w:r>
    </w:p>
    <w:p w14:paraId="19941295">
      <w:pPr>
        <w:spacing w:beforeLines="0" w:line="400" w:lineRule="exact"/>
        <w:rPr>
          <w:rFonts w:hint="eastAsia" w:ascii="宋体" w:hAnsi="宋体" w:eastAsia="宋体" w:cs="宋体"/>
          <w:sz w:val="21"/>
          <w:szCs w:val="21"/>
          <w:highlight w:val="none"/>
          <w:lang w:val="en-US" w:eastAsia="zh-CN"/>
        </w:rPr>
      </w:pPr>
    </w:p>
    <w:p w14:paraId="2D263872">
      <w:pPr>
        <w:pStyle w:val="18"/>
        <w:adjustRightInd w:val="0"/>
        <w:snapToGrid w:val="0"/>
        <w:spacing w:before="0" w:beforeLines="0" w:after="0" w:line="400" w:lineRule="exact"/>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依据《中华人民共和国民法典》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《中华人民共和国政府采购法》等有关的法律法规，以及</w:t>
      </w:r>
      <w:r>
        <w:rPr>
          <w:rFonts w:hint="eastAsia" w:ascii="宋体" w:hAnsi="宋体" w:eastAsia="宋体" w:cs="宋体"/>
          <w:i w:val="0"/>
          <w:iCs w:val="0"/>
          <w:sz w:val="21"/>
          <w:szCs w:val="21"/>
          <w:highlight w:val="none"/>
          <w:u w:val="none"/>
          <w:lang w:eastAsia="zh-CN"/>
        </w:rPr>
        <w:t>本采购项目</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招标</w:t>
      </w:r>
      <w:r>
        <w:rPr>
          <w:rFonts w:hint="eastAsia" w:ascii="宋体" w:hAnsi="宋体" w:eastAsia="宋体" w:cs="宋体"/>
          <w:sz w:val="21"/>
          <w:szCs w:val="21"/>
          <w:highlight w:val="none"/>
          <w:lang w:val="en-US" w:eastAsia="zh-CN"/>
        </w:rPr>
        <w:t>/谈判</w:t>
      </w:r>
      <w:r>
        <w:rPr>
          <w:rFonts w:hint="eastAsia" w:ascii="宋体" w:hAnsi="宋体" w:eastAsia="宋体" w:cs="宋体"/>
          <w:sz w:val="21"/>
          <w:szCs w:val="21"/>
          <w:highlight w:val="none"/>
          <w:lang w:eastAsia="zh-CN"/>
        </w:rPr>
        <w:t>文件等</w:t>
      </w:r>
      <w:r>
        <w:rPr>
          <w:rFonts w:hint="eastAsia" w:ascii="宋体" w:hAnsi="宋体" w:eastAsia="宋体" w:cs="宋体"/>
          <w:sz w:val="21"/>
          <w:szCs w:val="21"/>
          <w:highlight w:val="none"/>
        </w:rPr>
        <w:t>采购文件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乙方的《投标（响应）文件》及《中标（成交）通知书》，甲乙双方同意签订本合同。具体情况及要求如下：     </w:t>
      </w:r>
    </w:p>
    <w:p w14:paraId="007EC46D">
      <w:pPr>
        <w:numPr>
          <w:ilvl w:val="0"/>
          <w:numId w:val="5"/>
        </w:numPr>
        <w:adjustRightInd w:val="0"/>
        <w:snapToGrid w:val="0"/>
        <w:spacing w:before="0" w:beforeLines="0" w:line="40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项目信息</w:t>
      </w:r>
    </w:p>
    <w:p w14:paraId="79CBE663">
      <w:pPr>
        <w:pStyle w:val="18"/>
        <w:numPr>
          <w:ilvl w:val="0"/>
          <w:numId w:val="6"/>
        </w:numPr>
        <w:adjustRightInd w:val="0"/>
        <w:snapToGrid w:val="0"/>
        <w:spacing w:before="0" w:beforeLines="0" w:after="0" w:line="400" w:lineRule="exact"/>
        <w:ind w:left="0" w:leftChars="0"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采购项目名称：</w:t>
      </w:r>
      <w:r>
        <w:rPr>
          <w:rFonts w:hint="eastAsia" w:ascii="宋体" w:hAnsi="宋体" w:eastAsia="宋体" w:cs="宋体"/>
          <w:sz w:val="21"/>
          <w:szCs w:val="21"/>
          <w:highlight w:val="none"/>
          <w:u w:val="single"/>
        </w:rPr>
        <w:t xml:space="preserve">                                          </w:t>
      </w:r>
    </w:p>
    <w:p w14:paraId="043EA0E3">
      <w:pPr>
        <w:pStyle w:val="18"/>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 xml:space="preserve">         采购项目编号：</w:t>
      </w:r>
      <w:r>
        <w:rPr>
          <w:rFonts w:hint="eastAsia" w:ascii="宋体" w:hAnsi="宋体" w:eastAsia="宋体" w:cs="宋体"/>
          <w:sz w:val="21"/>
          <w:szCs w:val="21"/>
          <w:highlight w:val="none"/>
          <w:u w:val="single"/>
        </w:rPr>
        <w:t xml:space="preserve">                                          </w:t>
      </w:r>
    </w:p>
    <w:p w14:paraId="330B21CD">
      <w:pPr>
        <w:pStyle w:val="18"/>
        <w:adjustRightInd w:val="0"/>
        <w:snapToGrid w:val="0"/>
        <w:spacing w:before="0" w:beforeLines="0" w:after="0" w:line="400" w:lineRule="exact"/>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（2）采购计划编号：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63442B7C">
      <w:pPr>
        <w:adjustRightInd w:val="0"/>
        <w:snapToGrid w:val="0"/>
        <w:spacing w:before="0" w:before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（3）项目内容：</w:t>
      </w:r>
    </w:p>
    <w:p w14:paraId="6E4AB752">
      <w:pPr>
        <w:adjustRightInd w:val="0"/>
        <w:snapToGrid w:val="0"/>
        <w:spacing w:before="0" w:beforeLines="0"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采购标的及数量</w:t>
      </w:r>
      <w:r>
        <w:rPr>
          <w:rFonts w:hint="eastAsia" w:ascii="宋体" w:hAnsi="宋体" w:eastAsia="宋体" w:cs="宋体"/>
          <w:sz w:val="21"/>
          <w:szCs w:val="21"/>
          <w:highlight w:val="none"/>
          <w:lang w:val="en-US" w:eastAsia="zh-CN"/>
        </w:rPr>
        <w:t>（台/套</w:t>
      </w:r>
      <w:r>
        <w:rPr>
          <w:rFonts w:hint="eastAsia" w:ascii="宋体" w:hAnsi="宋体" w:eastAsia="宋体" w:cs="宋体"/>
          <w:sz w:val="21"/>
          <w:szCs w:val="21"/>
          <w:highlight w:val="none"/>
          <w:lang w:val="en" w:eastAsia="zh-CN"/>
        </w:rPr>
        <w:t>/个/架/组等</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20AA16BD">
      <w:pPr>
        <w:numPr>
          <w:ilvl w:val="0"/>
          <w:numId w:val="0"/>
        </w:numPr>
        <w:adjustRightInd w:val="0"/>
        <w:snapToGrid w:val="0"/>
        <w:spacing w:before="0" w:beforeLines="0" w:line="400" w:lineRule="exact"/>
        <w:ind w:firstLine="420" w:firstLineChars="200"/>
        <w:rPr>
          <w:rFonts w:hint="eastAsia" w:ascii="宋体" w:hAnsi="宋体" w:eastAsia="宋体" w:cs="宋体"/>
          <w:sz w:val="21"/>
          <w:szCs w:val="21"/>
          <w:highlight w:val="none"/>
          <w:lang w:val="en" w:eastAsia="zh-CN"/>
        </w:rPr>
      </w:pP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en"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en"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 w:eastAsia="zh-CN"/>
        </w:rPr>
        <w:t xml:space="preserve">     </w:t>
      </w:r>
      <w:r>
        <w:rPr>
          <w:rFonts w:hint="eastAsia" w:ascii="宋体" w:hAnsi="宋体" w:eastAsia="宋体" w:cs="宋体"/>
          <w:sz w:val="21"/>
          <w:szCs w:val="21"/>
          <w:highlight w:val="none"/>
          <w:lang w:val="en-US" w:eastAsia="zh-CN"/>
        </w:rPr>
        <w:t>规格型号：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en"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en" w:eastAsia="zh-CN"/>
        </w:rPr>
        <w:t xml:space="preserve">   </w:t>
      </w:r>
    </w:p>
    <w:p w14:paraId="6F60462C">
      <w:pPr>
        <w:adjustRightInd w:val="0"/>
        <w:snapToGrid w:val="0"/>
        <w:spacing w:before="0" w:beforeLines="0" w:line="400" w:lineRule="exact"/>
        <w:ind w:firstLine="945" w:firstLineChars="45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采购标的的技术要求、商务要求具体见附件。</w:t>
      </w:r>
    </w:p>
    <w:p w14:paraId="2DD392B9">
      <w:pPr>
        <w:numPr>
          <w:ilvl w:val="0"/>
          <w:numId w:val="0"/>
        </w:numPr>
        <w:adjustRightInd w:val="0"/>
        <w:snapToGrid w:val="0"/>
        <w:spacing w:before="0" w:beforeLines="0" w:line="400" w:lineRule="exact"/>
        <w:ind w:firstLine="945" w:firstLineChars="45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①涉及信息类产品，请填写该产品关键部件的品牌、型号：</w:t>
      </w:r>
    </w:p>
    <w:p w14:paraId="24549637">
      <w:pPr>
        <w:numPr>
          <w:ilvl w:val="0"/>
          <w:numId w:val="0"/>
        </w:numPr>
        <w:adjustRightInd w:val="0"/>
        <w:snapToGrid w:val="0"/>
        <w:spacing w:before="0" w:beforeLines="0" w:line="400" w:lineRule="exact"/>
        <w:ind w:firstLine="420" w:firstLineChars="200"/>
        <w:rPr>
          <w:rFonts w:hint="eastAsia" w:ascii="宋体" w:hAnsi="宋体" w:eastAsia="宋体" w:cs="宋体"/>
          <w:kern w:val="0"/>
          <w:sz w:val="21"/>
          <w:szCs w:val="21"/>
          <w:highlight w:val="none"/>
          <w:u w:val="single"/>
          <w:lang w:val="en-US" w:eastAsia="zh-CN"/>
        </w:rPr>
      </w:pPr>
      <w:r>
        <w:rPr>
          <w:rFonts w:hint="eastAsia" w:ascii="宋体" w:hAnsi="宋体" w:eastAsia="宋体" w:cs="宋体"/>
          <w:sz w:val="21"/>
          <w:szCs w:val="21"/>
          <w:highlight w:val="none"/>
          <w:lang w:val="en-US" w:eastAsia="zh-CN"/>
        </w:rPr>
        <w:t xml:space="preserve">     标的名称：</w:t>
      </w: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u w:val="single"/>
          <w:lang w:val="en" w:eastAsia="zh-CN"/>
        </w:rPr>
        <w:t xml:space="preserve">               </w:t>
      </w:r>
      <w:r>
        <w:rPr>
          <w:rFonts w:hint="eastAsia" w:ascii="宋体" w:hAnsi="宋体" w:eastAsia="宋体" w:cs="宋体"/>
          <w:kern w:val="0"/>
          <w:sz w:val="21"/>
          <w:szCs w:val="21"/>
          <w:highlight w:val="none"/>
          <w:u w:val="single"/>
          <w:lang w:val="en-US" w:eastAsia="zh-CN"/>
        </w:rPr>
        <w:t xml:space="preserve">    </w:t>
      </w:r>
    </w:p>
    <w:p w14:paraId="7B20899F">
      <w:pPr>
        <w:numPr>
          <w:ilvl w:val="0"/>
          <w:numId w:val="0"/>
        </w:numPr>
        <w:adjustRightInd w:val="0"/>
        <w:snapToGrid w:val="0"/>
        <w:spacing w:before="0" w:beforeLines="0"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关键部件：</w:t>
      </w: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286D1531">
      <w:pPr>
        <w:pStyle w:val="151"/>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kern w:val="2"/>
          <w:sz w:val="21"/>
          <w:szCs w:val="21"/>
          <w:highlight w:val="none"/>
          <w:lang w:val="en-US" w:eastAsia="zh-CN"/>
        </w:rPr>
        <w:t>关键部件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552D7952">
      <w:pPr>
        <w:pStyle w:val="151"/>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关键部件：</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p>
    <w:p w14:paraId="7D7A2A32">
      <w:pPr>
        <w:pStyle w:val="151"/>
        <w:numPr>
          <w:ilvl w:val="0"/>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97BD2FF">
      <w:pPr>
        <w:pStyle w:val="151"/>
        <w:numPr>
          <w:ilvl w:val="0"/>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②涉及车辆采购，请填写是否属于新能源汽车：</w:t>
      </w:r>
    </w:p>
    <w:p w14:paraId="5558C7B5">
      <w:pPr>
        <w:pStyle w:val="151"/>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rPr>
        <w:t>是</w:t>
      </w:r>
      <w:r>
        <w:rPr>
          <w:rFonts w:hint="eastAsia" w:ascii="宋体" w:hAnsi="宋体" w:eastAsia="宋体" w:cs="宋体"/>
          <w:iCs w:val="0"/>
          <w:sz w:val="21"/>
          <w:szCs w:val="21"/>
          <w:highlight w:val="none"/>
          <w:lang w:eastAsia="zh-CN"/>
        </w:rPr>
        <w:t>，《政府采购品目分类目录》底级品目名称</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数量：</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金额：</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iCs w:val="0"/>
          <w:sz w:val="21"/>
          <w:szCs w:val="21"/>
          <w:highlight w:val="none"/>
          <w:lang w:val="en-US" w:eastAsia="zh-CN"/>
        </w:rPr>
        <w:t xml:space="preserve"> </w:t>
      </w:r>
    </w:p>
    <w:p w14:paraId="38F25FA6">
      <w:pPr>
        <w:pStyle w:val="151"/>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否</w:t>
      </w:r>
    </w:p>
    <w:p w14:paraId="0CCED6DC">
      <w:pPr>
        <w:pStyle w:val="151"/>
        <w:numPr>
          <w:ilvl w:val="0"/>
          <w:numId w:val="0"/>
        </w:numPr>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lang w:val="en" w:eastAsia="zh-CN"/>
        </w:rPr>
        <w:t>4</w:t>
      </w:r>
      <w:r>
        <w:rPr>
          <w:rFonts w:hint="eastAsia" w:ascii="宋体" w:hAnsi="宋体" w:eastAsia="宋体" w:cs="宋体"/>
          <w:iCs w:val="0"/>
          <w:sz w:val="21"/>
          <w:szCs w:val="21"/>
          <w:highlight w:val="none"/>
          <w:lang w:val="en-US" w:eastAsia="zh-CN"/>
        </w:rPr>
        <w:t>）政府采购组织形式：</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政府集中采购</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val="en-US" w:eastAsia="zh-CN"/>
        </w:rPr>
        <w:t xml:space="preserve">部门集中采购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val="en-US" w:eastAsia="zh-CN"/>
        </w:rPr>
        <w:t>分散采购</w:t>
      </w:r>
    </w:p>
    <w:p w14:paraId="1F8BF3E7">
      <w:pPr>
        <w:pStyle w:val="151"/>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w:t>
      </w:r>
      <w:r>
        <w:rPr>
          <w:rFonts w:hint="eastAsia" w:ascii="宋体" w:hAnsi="宋体" w:eastAsia="宋体" w:cs="宋体"/>
          <w:iCs w:val="0"/>
          <w:sz w:val="21"/>
          <w:szCs w:val="21"/>
          <w:highlight w:val="none"/>
          <w:lang w:val="en" w:eastAsia="zh-CN"/>
        </w:rPr>
        <w:t>5</w:t>
      </w:r>
      <w:r>
        <w:rPr>
          <w:rFonts w:hint="eastAsia" w:ascii="宋体" w:hAnsi="宋体" w:eastAsia="宋体" w:cs="宋体"/>
          <w:iCs w:val="0"/>
          <w:sz w:val="21"/>
          <w:szCs w:val="21"/>
          <w:highlight w:val="none"/>
          <w:lang w:val="en-US" w:eastAsia="zh-CN"/>
        </w:rPr>
        <w:t>）政府采购方式：</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公开招标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邀请招标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竞争性谈判</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竞争性磋商</w:t>
      </w:r>
    </w:p>
    <w:p w14:paraId="3FD90CE7">
      <w:pPr>
        <w:pStyle w:val="151"/>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rPr>
      </w:pP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询价</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单一来源</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框架协议</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其他：</w:t>
      </w:r>
      <w:r>
        <w:rPr>
          <w:rFonts w:hint="eastAsia" w:ascii="宋体" w:hAnsi="宋体" w:eastAsia="宋体" w:cs="宋体"/>
          <w:iCs w:val="0"/>
          <w:sz w:val="21"/>
          <w:szCs w:val="21"/>
          <w:highlight w:val="none"/>
          <w:u w:val="single"/>
          <w:lang w:val="en-US" w:eastAsia="zh-CN"/>
        </w:rPr>
        <w:t xml:space="preserve">          </w:t>
      </w:r>
    </w:p>
    <w:p w14:paraId="1BBD80B4">
      <w:pPr>
        <w:pStyle w:val="151"/>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none"/>
          <w:lang w:val="en-US" w:eastAsia="zh-CN"/>
        </w:rPr>
      </w:pPr>
      <w:r>
        <w:rPr>
          <w:rFonts w:hint="eastAsia" w:ascii="宋体" w:hAnsi="宋体" w:eastAsia="宋体" w:cs="宋体"/>
          <w:iCs w:val="0"/>
          <w:sz w:val="21"/>
          <w:szCs w:val="21"/>
          <w:highlight w:val="none"/>
          <w:u w:val="none"/>
          <w:lang w:val="en-US" w:eastAsia="zh-CN"/>
        </w:rPr>
        <w:t>（注：在框架协议采购的第二阶段，可选择使用该合同文本）</w:t>
      </w:r>
    </w:p>
    <w:p w14:paraId="6A08F3BD">
      <w:pPr>
        <w:pStyle w:val="151"/>
        <w:numPr>
          <w:ilvl w:val="0"/>
          <w:numId w:val="0"/>
        </w:numPr>
        <w:adjustRightInd w:val="0"/>
        <w:snapToGrid w:val="0"/>
        <w:spacing w:before="0" w:beforeLines="0" w:line="400" w:lineRule="exact"/>
        <w:ind w:firstLine="210" w:firstLineChars="100"/>
        <w:rPr>
          <w:rFonts w:hint="eastAsia" w:ascii="宋体" w:hAnsi="宋体" w:eastAsia="宋体" w:cs="宋体"/>
          <w:w w:val="100"/>
          <w:kern w:val="2"/>
          <w:sz w:val="21"/>
          <w:szCs w:val="21"/>
          <w:highlight w:val="none"/>
          <w:lang w:val="en-US" w:eastAsia="zh-CN" w:bidi="ar-SA"/>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val="en" w:eastAsia="zh-CN"/>
        </w:rPr>
        <w:t>6</w:t>
      </w:r>
      <w:r>
        <w:rPr>
          <w:rFonts w:hint="eastAsia" w:ascii="宋体" w:hAnsi="宋体" w:eastAsia="宋体" w:cs="宋体"/>
          <w:sz w:val="21"/>
          <w:szCs w:val="21"/>
          <w:highlight w:val="none"/>
          <w:lang w:val="en-US" w:eastAsia="zh-CN"/>
        </w:rPr>
        <w:t>）</w:t>
      </w:r>
      <w:r>
        <w:rPr>
          <w:rFonts w:hint="eastAsia" w:ascii="宋体" w:hAnsi="宋体" w:eastAsia="宋体" w:cs="宋体"/>
          <w:w w:val="100"/>
          <w:kern w:val="2"/>
          <w:sz w:val="21"/>
          <w:szCs w:val="21"/>
          <w:highlight w:val="none"/>
          <w:lang w:val="en-US" w:eastAsia="zh-CN" w:bidi="ar-SA"/>
        </w:rPr>
        <w:t>中标（成交）采购标的制造商是否为中小企业：</w:t>
      </w:r>
      <w:r>
        <w:rPr>
          <w:rFonts w:hint="eastAsia" w:ascii="宋体" w:hAnsi="宋体" w:eastAsia="宋体" w:cs="宋体"/>
          <w:w w:val="100"/>
          <w:kern w:val="2"/>
          <w:sz w:val="21"/>
          <w:szCs w:val="21"/>
          <w:highlight w:val="none"/>
          <w:lang w:val="en-US" w:eastAsia="zh-CN" w:bidi="ar-SA"/>
        </w:rPr>
        <w:sym w:font="Wingdings" w:char="00A8"/>
      </w:r>
      <w:r>
        <w:rPr>
          <w:rFonts w:hint="eastAsia" w:ascii="宋体" w:hAnsi="宋体" w:eastAsia="宋体" w:cs="宋体"/>
          <w:w w:val="100"/>
          <w:kern w:val="2"/>
          <w:sz w:val="21"/>
          <w:szCs w:val="21"/>
          <w:highlight w:val="none"/>
          <w:lang w:val="en-US" w:eastAsia="zh-CN" w:bidi="ar-SA"/>
        </w:rPr>
        <w:t xml:space="preserve">是      </w:t>
      </w:r>
      <w:r>
        <w:rPr>
          <w:rFonts w:hint="eastAsia" w:ascii="宋体" w:hAnsi="宋体" w:eastAsia="宋体" w:cs="宋体"/>
          <w:w w:val="100"/>
          <w:kern w:val="2"/>
          <w:sz w:val="21"/>
          <w:szCs w:val="21"/>
          <w:highlight w:val="none"/>
          <w:lang w:val="en-US" w:eastAsia="zh-CN" w:bidi="ar-SA"/>
        </w:rPr>
        <w:sym w:font="Wingdings" w:char="00A8"/>
      </w:r>
      <w:r>
        <w:rPr>
          <w:rFonts w:hint="eastAsia" w:ascii="宋体" w:hAnsi="宋体" w:eastAsia="宋体" w:cs="宋体"/>
          <w:w w:val="100"/>
          <w:kern w:val="2"/>
          <w:sz w:val="21"/>
          <w:szCs w:val="21"/>
          <w:highlight w:val="none"/>
          <w:lang w:val="en-US" w:eastAsia="zh-CN" w:bidi="ar-SA"/>
        </w:rPr>
        <w:t>否</w:t>
      </w:r>
    </w:p>
    <w:p w14:paraId="3E4DACE9">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 w:val="21"/>
          <w:szCs w:val="21"/>
          <w:highlight w:val="none"/>
        </w:rPr>
      </w:pPr>
      <w:r>
        <w:rPr>
          <w:rFonts w:hint="eastAsia" w:ascii="宋体" w:hAnsi="宋体" w:eastAsia="宋体" w:cs="宋体"/>
          <w:w w:val="100"/>
          <w:sz w:val="21"/>
          <w:szCs w:val="21"/>
          <w:highlight w:val="none"/>
          <w:lang w:val="en-US" w:eastAsia="zh-CN"/>
        </w:rPr>
        <w:t xml:space="preserve">         本合同</w:t>
      </w:r>
      <w:r>
        <w:rPr>
          <w:rFonts w:hint="eastAsia" w:ascii="宋体" w:hAnsi="宋体" w:eastAsia="宋体" w:cs="宋体"/>
          <w:w w:val="100"/>
          <w:sz w:val="21"/>
          <w:szCs w:val="21"/>
          <w:highlight w:val="none"/>
        </w:rPr>
        <w:t>是否</w:t>
      </w:r>
      <w:r>
        <w:rPr>
          <w:rFonts w:hint="eastAsia" w:ascii="宋体" w:hAnsi="宋体" w:eastAsia="宋体" w:cs="宋体"/>
          <w:w w:val="100"/>
          <w:sz w:val="21"/>
          <w:szCs w:val="21"/>
          <w:highlight w:val="none"/>
          <w:lang w:eastAsia="zh-CN"/>
        </w:rPr>
        <w:t>为专门面向</w:t>
      </w:r>
      <w:r>
        <w:rPr>
          <w:rFonts w:hint="eastAsia" w:ascii="宋体" w:hAnsi="宋体" w:eastAsia="宋体" w:cs="宋体"/>
          <w:w w:val="100"/>
          <w:sz w:val="21"/>
          <w:szCs w:val="21"/>
          <w:highlight w:val="none"/>
        </w:rPr>
        <w:t>中小企业</w:t>
      </w:r>
      <w:r>
        <w:rPr>
          <w:rFonts w:hint="eastAsia" w:ascii="宋体" w:hAnsi="宋体" w:eastAsia="宋体" w:cs="宋体"/>
          <w:w w:val="100"/>
          <w:sz w:val="21"/>
          <w:szCs w:val="21"/>
          <w:highlight w:val="none"/>
          <w:lang w:eastAsia="zh-CN"/>
        </w:rPr>
        <w:t>的采</w:t>
      </w:r>
      <w:r>
        <w:rPr>
          <w:rFonts w:hint="eastAsia" w:ascii="宋体" w:hAnsi="宋体" w:eastAsia="宋体" w:cs="宋体"/>
          <w:w w:val="100"/>
          <w:sz w:val="21"/>
          <w:szCs w:val="21"/>
          <w:highlight w:val="none"/>
          <w:shd w:val="clear" w:color="auto" w:fill="auto"/>
          <w:lang w:eastAsia="zh-CN"/>
        </w:rPr>
        <w:t>购</w:t>
      </w:r>
      <w:r>
        <w:rPr>
          <w:rFonts w:hint="eastAsia" w:ascii="宋体" w:hAnsi="宋体" w:eastAsia="宋体" w:cs="宋体"/>
          <w:w w:val="100"/>
          <w:sz w:val="21"/>
          <w:szCs w:val="21"/>
          <w:highlight w:val="none"/>
          <w:shd w:val="clear" w:color="auto" w:fill="auto"/>
        </w:rPr>
        <w:t>合同</w:t>
      </w:r>
      <w:r>
        <w:rPr>
          <w:rFonts w:hint="eastAsia" w:ascii="宋体" w:hAnsi="宋体" w:eastAsia="宋体" w:cs="宋体"/>
          <w:w w:val="100"/>
          <w:sz w:val="21"/>
          <w:szCs w:val="21"/>
          <w:highlight w:val="none"/>
          <w:shd w:val="clear" w:color="auto" w:fill="auto"/>
          <w:lang w:eastAsia="zh-CN"/>
        </w:rPr>
        <w:t>（中小企业预留合同）</w:t>
      </w:r>
      <w:r>
        <w:rPr>
          <w:rFonts w:hint="eastAsia" w:ascii="宋体" w:hAnsi="宋体" w:eastAsia="宋体" w:cs="宋体"/>
          <w:sz w:val="21"/>
          <w:szCs w:val="21"/>
          <w:highlight w:val="none"/>
          <w:shd w:val="clear" w:color="auto" w:fill="auto"/>
        </w:rPr>
        <w:t>：</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 xml:space="preserve">是 </w:t>
      </w: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sz w:val="21"/>
          <w:szCs w:val="21"/>
          <w:highlight w:val="none"/>
        </w:rPr>
        <w:t xml:space="preserve">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否</w:t>
      </w:r>
    </w:p>
    <w:p w14:paraId="1D9AFADF">
      <w:pPr>
        <w:numPr>
          <w:ilvl w:val="0"/>
          <w:numId w:val="0"/>
        </w:numPr>
        <w:adjustRightInd w:val="0"/>
        <w:snapToGrid w:val="0"/>
        <w:spacing w:before="0" w:beforeLines="0" w:line="400" w:lineRule="exact"/>
        <w:ind w:firstLine="0" w:firstLineChars="0"/>
        <w:rPr>
          <w:rFonts w:hint="eastAsia" w:ascii="宋体" w:hAnsi="宋体" w:eastAsia="宋体" w:cs="宋体"/>
          <w:iCs/>
          <w:sz w:val="21"/>
          <w:szCs w:val="21"/>
          <w:highlight w:val="none"/>
        </w:rPr>
      </w:pPr>
      <w:r>
        <w:rPr>
          <w:rFonts w:hint="eastAsia" w:ascii="宋体" w:hAnsi="宋体" w:eastAsia="宋体" w:cs="宋体"/>
          <w:sz w:val="21"/>
          <w:szCs w:val="21"/>
          <w:highlight w:val="none"/>
          <w:lang w:val="en-US" w:eastAsia="zh-CN"/>
        </w:rPr>
        <w:t xml:space="preserve">         若本项目不专门面向中小企业采购，是否给予小微企业评审优惠：</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 xml:space="preserve">是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否</w:t>
      </w:r>
    </w:p>
    <w:p w14:paraId="42D8048E">
      <w:pPr>
        <w:numPr>
          <w:ilvl w:val="0"/>
          <w:numId w:val="0"/>
        </w:numPr>
        <w:adjustRightInd w:val="0"/>
        <w:snapToGrid w:val="0"/>
        <w:spacing w:before="0" w:beforeLines="0" w:line="400" w:lineRule="exact"/>
        <w:ind w:firstLine="0" w:firstLineChars="0"/>
        <w:rPr>
          <w:rFonts w:hint="eastAsia" w:ascii="宋体" w:hAnsi="宋体" w:eastAsia="宋体" w:cs="宋体"/>
          <w:iCs/>
          <w:sz w:val="21"/>
          <w:szCs w:val="21"/>
          <w:highlight w:val="none"/>
        </w:rPr>
      </w:pPr>
      <w:r>
        <w:rPr>
          <w:rFonts w:hint="eastAsia" w:ascii="宋体" w:hAnsi="宋体" w:eastAsia="宋体" w:cs="宋体"/>
          <w:sz w:val="21"/>
          <w:szCs w:val="21"/>
          <w:highlight w:val="none"/>
          <w:lang w:val="en-US" w:eastAsia="zh-CN"/>
        </w:rPr>
        <w:t xml:space="preserve">         中标（成交）采购标的制造商是否为残疾人福利性单位：</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 xml:space="preserve">是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否</w:t>
      </w:r>
    </w:p>
    <w:p w14:paraId="3A9C053F">
      <w:pPr>
        <w:numPr>
          <w:ilvl w:val="0"/>
          <w:numId w:val="0"/>
        </w:numPr>
        <w:snapToGrid w:val="0"/>
        <w:spacing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中标（成交）采购标的制造商是否为监狱企业：</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 xml:space="preserve">是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否</w:t>
      </w:r>
    </w:p>
    <w:p w14:paraId="3C8FF2D3">
      <w:pPr>
        <w:adjustRightInd w:val="0"/>
        <w:snapToGrid w:val="0"/>
        <w:spacing w:before="0" w:before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 w:eastAsia="zh-CN"/>
        </w:rPr>
        <w:t>7</w:t>
      </w:r>
      <w:r>
        <w:rPr>
          <w:rFonts w:hint="eastAsia" w:ascii="宋体" w:hAnsi="宋体" w:eastAsia="宋体" w:cs="宋体"/>
          <w:sz w:val="21"/>
          <w:szCs w:val="21"/>
          <w:highlight w:val="none"/>
        </w:rPr>
        <w:t>）合同是否分包：</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 xml:space="preserve">是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否</w:t>
      </w:r>
    </w:p>
    <w:p w14:paraId="576601EA">
      <w:pPr>
        <w:adjustRightInd w:val="0"/>
        <w:snapToGrid w:val="0"/>
        <w:spacing w:before="0" w:beforeLines="0" w:line="400" w:lineRule="exact"/>
        <w:ind w:firstLine="840" w:firstLineChars="400"/>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分包主要内容：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53DA8D23">
      <w:pPr>
        <w:adjustRightInd w:val="0"/>
        <w:snapToGrid w:val="0"/>
        <w:spacing w:before="0" w:beforeLines="0" w:line="400" w:lineRule="exact"/>
        <w:ind w:firstLine="840" w:firstLineChars="400"/>
        <w:rPr>
          <w:rFonts w:hint="eastAsia" w:ascii="宋体" w:hAnsi="宋体" w:eastAsia="宋体" w:cs="宋体"/>
          <w:sz w:val="21"/>
          <w:szCs w:val="21"/>
          <w:highlight w:val="none"/>
        </w:rPr>
      </w:pP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rPr>
        <w:t>分包供应商</w:t>
      </w:r>
      <w:r>
        <w:rPr>
          <w:rFonts w:hint="eastAsia" w:ascii="宋体" w:hAnsi="宋体" w:eastAsia="宋体" w:cs="宋体"/>
          <w:sz w:val="21"/>
          <w:szCs w:val="21"/>
          <w:highlight w:val="none"/>
          <w:lang w:eastAsia="zh-CN"/>
        </w:rPr>
        <w:t>/制造商</w:t>
      </w: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eastAsia="zh-CN"/>
        </w:rPr>
        <w:t>（如供应商和制造商不同，请分别填写）</w:t>
      </w:r>
      <w:r>
        <w:rPr>
          <w:rFonts w:hint="eastAsia" w:ascii="宋体" w:hAnsi="宋体" w:eastAsia="宋体" w:cs="宋体"/>
          <w:sz w:val="21"/>
          <w:szCs w:val="21"/>
          <w:highlight w:val="none"/>
        </w:rPr>
        <w:t>：</w:t>
      </w:r>
    </w:p>
    <w:p w14:paraId="12197C3F">
      <w:pPr>
        <w:adjustRightInd w:val="0"/>
        <w:snapToGrid w:val="0"/>
        <w:spacing w:before="0" w:beforeLines="0" w:line="400" w:lineRule="exact"/>
        <w:ind w:firstLine="840" w:firstLineChars="4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p>
    <w:p w14:paraId="16537DA5">
      <w:pPr>
        <w:adjustRightInd w:val="0"/>
        <w:snapToGrid w:val="0"/>
        <w:spacing w:before="0" w:beforeLines="0" w:line="400" w:lineRule="exact"/>
        <w:ind w:firstLine="840" w:firstLineChars="4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分包供应商</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制造商</w:t>
      </w:r>
      <w:r>
        <w:rPr>
          <w:rFonts w:hint="eastAsia" w:ascii="宋体" w:hAnsi="宋体" w:eastAsia="宋体" w:cs="宋体"/>
          <w:sz w:val="21"/>
          <w:szCs w:val="21"/>
          <w:highlight w:val="none"/>
        </w:rPr>
        <w:t>类型</w:t>
      </w:r>
      <w:r>
        <w:rPr>
          <w:rFonts w:hint="eastAsia" w:ascii="宋体" w:hAnsi="宋体" w:eastAsia="宋体" w:cs="宋体"/>
          <w:sz w:val="21"/>
          <w:szCs w:val="21"/>
          <w:highlight w:val="none"/>
          <w:lang w:eastAsia="zh-CN"/>
        </w:rPr>
        <w:t>（如果供应商和制造商不同，只填写制造商类型）</w:t>
      </w:r>
      <w:r>
        <w:rPr>
          <w:rFonts w:hint="eastAsia" w:ascii="宋体" w:hAnsi="宋体" w:eastAsia="宋体" w:cs="宋体"/>
          <w:sz w:val="21"/>
          <w:szCs w:val="21"/>
          <w:highlight w:val="none"/>
        </w:rPr>
        <w:t>：</w:t>
      </w:r>
    </w:p>
    <w:p w14:paraId="54092E91">
      <w:pPr>
        <w:adjustRightInd w:val="0"/>
        <w:snapToGrid w:val="0"/>
        <w:spacing w:beforeLines="0" w:line="400" w:lineRule="exact"/>
        <w:ind w:firstLine="840" w:firstLineChars="400"/>
        <w:rPr>
          <w:rFonts w:hint="eastAsia" w:ascii="宋体" w:hAnsi="宋体" w:eastAsia="宋体" w:cs="宋体"/>
          <w:iCs/>
          <w:sz w:val="21"/>
          <w:szCs w:val="21"/>
          <w:highlight w:val="none"/>
          <w:lang w:val="en-US" w:eastAsia="zh-CN"/>
        </w:rPr>
      </w:pP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 xml:space="preserve">大型企业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 xml:space="preserve">中型企业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小微型企业</w:t>
      </w:r>
      <w:r>
        <w:rPr>
          <w:rFonts w:hint="eastAsia" w:ascii="宋体" w:hAnsi="宋体" w:eastAsia="宋体" w:cs="宋体"/>
          <w:iCs/>
          <w:sz w:val="21"/>
          <w:szCs w:val="21"/>
          <w:highlight w:val="none"/>
          <w:lang w:val="en-US" w:eastAsia="zh-CN"/>
        </w:rPr>
        <w:t xml:space="preserve">  </w:t>
      </w:r>
    </w:p>
    <w:p w14:paraId="2BF527B3">
      <w:pPr>
        <w:adjustRightInd w:val="0"/>
        <w:snapToGrid w:val="0"/>
        <w:spacing w:beforeLines="0" w:line="400" w:lineRule="exact"/>
        <w:ind w:firstLine="840" w:firstLineChars="400"/>
        <w:rPr>
          <w:rFonts w:hint="eastAsia" w:ascii="宋体" w:hAnsi="宋体" w:eastAsia="宋体" w:cs="宋体"/>
          <w:sz w:val="21"/>
          <w:szCs w:val="21"/>
          <w:highlight w:val="none"/>
          <w:u w:val="none"/>
          <w:lang w:val="en-US" w:eastAsia="zh-CN"/>
        </w:rPr>
      </w:pP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eastAsia="zh-CN"/>
        </w:rPr>
        <w:t>残疾人福利性单位</w:t>
      </w: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eastAsia="zh-CN"/>
        </w:rPr>
        <w:t>监狱</w:t>
      </w:r>
      <w:r>
        <w:rPr>
          <w:rFonts w:hint="eastAsia" w:ascii="宋体" w:hAnsi="宋体" w:eastAsia="宋体" w:cs="宋体"/>
          <w:iCs/>
          <w:sz w:val="21"/>
          <w:szCs w:val="21"/>
          <w:highlight w:val="none"/>
        </w:rPr>
        <w:t>企业</w:t>
      </w: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eastAsia="zh-CN"/>
        </w:rPr>
        <w:t>其他</w:t>
      </w:r>
    </w:p>
    <w:p w14:paraId="0EEB55C0">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 w:val="21"/>
          <w:szCs w:val="21"/>
          <w:highlight w:val="none"/>
        </w:rPr>
      </w:pP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u w:val="none"/>
          <w:lang w:val="en" w:eastAsia="zh-CN"/>
        </w:rPr>
        <w:t>8</w:t>
      </w:r>
      <w:r>
        <w:rPr>
          <w:rFonts w:hint="eastAsia" w:ascii="宋体" w:hAnsi="宋体" w:eastAsia="宋体" w:cs="宋体"/>
          <w:sz w:val="21"/>
          <w:szCs w:val="21"/>
          <w:highlight w:val="none"/>
          <w:u w:val="none"/>
          <w:lang w:val="en-US" w:eastAsia="zh-CN"/>
        </w:rPr>
        <w:t>）中标（成交）供应商是否为外商投资企业：</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 xml:space="preserve">是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否</w:t>
      </w:r>
    </w:p>
    <w:p w14:paraId="49CEAC33">
      <w:pPr>
        <w:pStyle w:val="151"/>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1ACD7C8F">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eastAsia"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71804B98">
      <w:pPr>
        <w:numPr>
          <w:ilvl w:val="0"/>
          <w:numId w:val="0"/>
        </w:numPr>
        <w:adjustRightInd w:val="0"/>
        <w:snapToGrid w:val="0"/>
        <w:spacing w:before="0" w:beforeLines="0" w:line="400" w:lineRule="exact"/>
        <w:ind w:firstLine="840" w:firstLineChars="400"/>
        <w:rPr>
          <w:rFonts w:hint="eastAsia" w:ascii="宋体" w:hAnsi="宋体" w:eastAsia="宋体" w:cs="宋体"/>
          <w:sz w:val="21"/>
          <w:szCs w:val="21"/>
          <w:highlight w:val="none"/>
          <w:u w:val="single"/>
          <w:lang w:val="en-US"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rPr>
        <w:t>是</w:t>
      </w:r>
      <w:r>
        <w:rPr>
          <w:rFonts w:hint="eastAsia" w:ascii="宋体" w:hAnsi="宋体" w:eastAsia="宋体" w:cs="宋体"/>
          <w:iCs w:val="0"/>
          <w:sz w:val="21"/>
          <w:szCs w:val="21"/>
          <w:highlight w:val="none"/>
          <w:lang w:eastAsia="zh-CN"/>
        </w:rPr>
        <w:t>，《政府采购品目分类目录》底级品目名称</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金额：</w:t>
      </w:r>
      <w:r>
        <w:rPr>
          <w:rFonts w:hint="eastAsia" w:ascii="宋体" w:hAnsi="宋体" w:eastAsia="宋体" w:cs="宋体"/>
          <w:sz w:val="21"/>
          <w:szCs w:val="21"/>
          <w:highlight w:val="none"/>
          <w:u w:val="single"/>
          <w:lang w:val="en-US" w:eastAsia="zh-CN"/>
        </w:rPr>
        <w:t xml:space="preserve">        </w:t>
      </w:r>
    </w:p>
    <w:p w14:paraId="25CBFAAD">
      <w:pPr>
        <w:numPr>
          <w:ilvl w:val="0"/>
          <w:numId w:val="0"/>
        </w:numPr>
        <w:adjustRightInd w:val="0"/>
        <w:snapToGrid w:val="0"/>
        <w:spacing w:before="0" w:beforeLines="0" w:line="400" w:lineRule="exact"/>
        <w:ind w:firstLine="840" w:firstLineChars="400"/>
        <w:rPr>
          <w:rFonts w:hint="eastAsia" w:ascii="宋体" w:hAnsi="宋体" w:eastAsia="宋体" w:cs="宋体"/>
          <w:iCs w:val="0"/>
          <w:sz w:val="21"/>
          <w:szCs w:val="21"/>
          <w:highlight w:val="none"/>
        </w:rPr>
      </w:pPr>
      <w:r>
        <w:rPr>
          <w:rFonts w:hint="eastAsia" w:ascii="宋体" w:hAnsi="宋体" w:eastAsia="宋体" w:cs="宋体"/>
          <w:sz w:val="21"/>
          <w:szCs w:val="21"/>
          <w:highlight w:val="none"/>
          <w:lang w:val="en-US" w:eastAsia="zh-CN"/>
        </w:rPr>
        <w:t xml:space="preserve">        国别：</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规格型号：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iCs w:val="0"/>
          <w:sz w:val="21"/>
          <w:szCs w:val="21"/>
          <w:highlight w:val="none"/>
        </w:rPr>
        <w:t xml:space="preserve">      </w:t>
      </w:r>
    </w:p>
    <w:p w14:paraId="744F873F">
      <w:pPr>
        <w:adjustRightInd w:val="0"/>
        <w:snapToGrid w:val="0"/>
        <w:spacing w:before="0" w:beforeLines="0" w:line="400" w:lineRule="exact"/>
        <w:ind w:firstLine="840" w:firstLineChars="400"/>
        <w:rPr>
          <w:rFonts w:hint="eastAsia" w:ascii="宋体" w:hAnsi="宋体" w:eastAsia="宋体" w:cs="宋体"/>
          <w:sz w:val="21"/>
          <w:szCs w:val="21"/>
          <w:highlight w:val="none"/>
          <w:u w:val="none"/>
          <w:lang w:val="en-US"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否</w:t>
      </w:r>
    </w:p>
    <w:p w14:paraId="6918EB5B">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（1</w:t>
      </w:r>
      <w:r>
        <w:rPr>
          <w:rFonts w:hint="eastAsia" w:ascii="宋体" w:hAnsi="宋体" w:eastAsia="宋体" w:cs="宋体"/>
          <w:b w:val="0"/>
          <w:bCs w:val="0"/>
          <w:sz w:val="21"/>
          <w:szCs w:val="21"/>
          <w:highlight w:val="none"/>
          <w:u w:val="none"/>
          <w:lang w:val="en" w:eastAsia="zh-CN"/>
        </w:rPr>
        <w:t>0</w:t>
      </w:r>
      <w:r>
        <w:rPr>
          <w:rFonts w:hint="eastAsia" w:ascii="宋体" w:hAnsi="宋体" w:eastAsia="宋体" w:cs="宋体"/>
          <w:b w:val="0"/>
          <w:bCs w:val="0"/>
          <w:sz w:val="21"/>
          <w:szCs w:val="21"/>
          <w:highlight w:val="none"/>
          <w:u w:val="none"/>
          <w:lang w:val="en-US" w:eastAsia="zh-CN"/>
        </w:rPr>
        <w:t>）是否涉及节能产品：</w:t>
      </w:r>
    </w:p>
    <w:p w14:paraId="3DE07E68">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1"/>
          <w:szCs w:val="21"/>
          <w:highlight w:val="none"/>
          <w:lang w:val="en-US"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rPr>
        <w:t>是</w:t>
      </w:r>
      <w:r>
        <w:rPr>
          <w:rFonts w:hint="eastAsia" w:ascii="宋体" w:hAnsi="宋体" w:eastAsia="宋体" w:cs="宋体"/>
          <w:iCs w:val="0"/>
          <w:sz w:val="21"/>
          <w:szCs w:val="21"/>
          <w:highlight w:val="none"/>
          <w:lang w:eastAsia="zh-CN"/>
        </w:rPr>
        <w:t>，《节能产品政府采购品目清单》的底级品目名称：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iCs/>
          <w:sz w:val="21"/>
          <w:szCs w:val="21"/>
          <w:highlight w:val="none"/>
          <w:lang w:val="en-US" w:eastAsia="zh-CN"/>
        </w:rPr>
        <w:t xml:space="preserve">     </w:t>
      </w:r>
    </w:p>
    <w:p w14:paraId="40E24D41">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1"/>
          <w:szCs w:val="21"/>
          <w:highlight w:val="none"/>
          <w:lang w:val="en-US" w:eastAsia="zh-CN"/>
        </w:rPr>
      </w:pP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eastAsia="zh-CN"/>
        </w:rPr>
        <w:t>强制采购</w:t>
      </w: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eastAsia="zh-CN"/>
        </w:rPr>
        <w:t>优先采购</w:t>
      </w:r>
      <w:r>
        <w:rPr>
          <w:rFonts w:hint="eastAsia" w:ascii="宋体" w:hAnsi="宋体" w:eastAsia="宋体" w:cs="宋体"/>
          <w:iCs/>
          <w:sz w:val="21"/>
          <w:szCs w:val="21"/>
          <w:highlight w:val="none"/>
          <w:lang w:val="en-US" w:eastAsia="zh-CN"/>
        </w:rPr>
        <w:t xml:space="preserve">    </w:t>
      </w:r>
    </w:p>
    <w:p w14:paraId="50AF7B7A">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 w:val="21"/>
          <w:szCs w:val="21"/>
          <w:highlight w:val="none"/>
        </w:rPr>
      </w:pP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rPr>
        <w:t>否</w:t>
      </w:r>
    </w:p>
    <w:p w14:paraId="2DCD5C36">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是否涉及环境标志产品：</w:t>
      </w:r>
    </w:p>
    <w:p w14:paraId="28FABE8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 w:val="21"/>
          <w:szCs w:val="21"/>
          <w:highlight w:val="none"/>
          <w:lang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rPr>
        <w:t>是</w:t>
      </w:r>
      <w:r>
        <w:rPr>
          <w:rFonts w:hint="eastAsia" w:ascii="宋体" w:hAnsi="宋体" w:eastAsia="宋体" w:cs="宋体"/>
          <w:iCs w:val="0"/>
          <w:sz w:val="21"/>
          <w:szCs w:val="21"/>
          <w:highlight w:val="none"/>
          <w:lang w:eastAsia="zh-CN"/>
        </w:rPr>
        <w:t>，《环境标志产品政府采购品目清单》的底级品目名称：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iCs/>
          <w:sz w:val="21"/>
          <w:szCs w:val="21"/>
          <w:highlight w:val="none"/>
          <w:lang w:val="en-US" w:eastAsia="zh-CN"/>
        </w:rPr>
        <w:t xml:space="preserve"> </w:t>
      </w:r>
    </w:p>
    <w:p w14:paraId="4B03A3D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1"/>
          <w:szCs w:val="21"/>
          <w:highlight w:val="none"/>
          <w:lang w:val="en-US" w:eastAsia="zh-CN"/>
        </w:rPr>
      </w:pP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eastAsia="zh-CN"/>
        </w:rPr>
        <w:t>强制采购</w:t>
      </w: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eastAsia="zh-CN"/>
        </w:rPr>
        <w:t>优先采购</w:t>
      </w:r>
      <w:r>
        <w:rPr>
          <w:rFonts w:hint="eastAsia" w:ascii="宋体" w:hAnsi="宋体" w:eastAsia="宋体" w:cs="宋体"/>
          <w:iCs/>
          <w:sz w:val="21"/>
          <w:szCs w:val="21"/>
          <w:highlight w:val="none"/>
          <w:lang w:val="en-US" w:eastAsia="zh-CN"/>
        </w:rPr>
        <w:t xml:space="preserve">    </w:t>
      </w:r>
    </w:p>
    <w:p w14:paraId="2F045AEB">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rPr>
        <w:t>否</w:t>
      </w:r>
    </w:p>
    <w:p w14:paraId="3E3C96A5">
      <w:pPr>
        <w:pStyle w:val="151"/>
        <w:numPr>
          <w:ilvl w:val="0"/>
          <w:numId w:val="0"/>
        </w:numPr>
        <w:adjustRightInd w:val="0"/>
        <w:snapToGrid w:val="0"/>
        <w:spacing w:before="0" w:beforeLines="0" w:line="400" w:lineRule="exact"/>
        <w:ind w:firstLine="0" w:firstLineChars="0"/>
        <w:rPr>
          <w:rFonts w:hint="eastAsia" w:ascii="宋体" w:hAnsi="宋体" w:eastAsia="宋体" w:cs="宋体"/>
          <w:iCs w:val="0"/>
          <w:kern w:val="2"/>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b w:val="0"/>
          <w:bCs w:val="0"/>
          <w:kern w:val="2"/>
          <w:sz w:val="21"/>
          <w:szCs w:val="21"/>
          <w:highlight w:val="none"/>
          <w:u w:val="none"/>
          <w:lang w:val="en-US" w:eastAsia="zh-CN"/>
        </w:rPr>
        <w:t>是否涉及绿色产品：</w:t>
      </w:r>
      <w:r>
        <w:rPr>
          <w:rFonts w:hint="eastAsia" w:ascii="宋体" w:hAnsi="宋体" w:eastAsia="宋体" w:cs="宋体"/>
          <w:iCs w:val="0"/>
          <w:kern w:val="2"/>
          <w:sz w:val="21"/>
          <w:szCs w:val="21"/>
          <w:highlight w:val="none"/>
          <w:u w:val="none"/>
          <w:lang w:val="en-US" w:eastAsia="zh-CN"/>
        </w:rPr>
        <w:t xml:space="preserve"> </w:t>
      </w:r>
    </w:p>
    <w:p w14:paraId="6C93B7BE">
      <w:pPr>
        <w:pStyle w:val="151"/>
        <w:spacing w:beforeLines="0"/>
        <w:ind w:firstLine="420" w:firstLineChars="0"/>
        <w:rPr>
          <w:rFonts w:hint="eastAsia" w:ascii="宋体" w:hAnsi="宋体" w:eastAsia="宋体" w:cs="宋体"/>
          <w:sz w:val="21"/>
          <w:szCs w:val="21"/>
          <w:highlight w:val="none"/>
          <w:u w:val="single"/>
          <w:lang w:val="en-US" w:eastAsia="zh-CN"/>
        </w:rPr>
      </w:pPr>
      <w:r>
        <w:rPr>
          <w:rFonts w:hint="eastAsia" w:ascii="宋体" w:hAnsi="宋体" w:eastAsia="宋体" w:cs="宋体"/>
          <w:iCs w:val="0"/>
          <w:kern w:val="2"/>
          <w:sz w:val="21"/>
          <w:szCs w:val="21"/>
          <w:highlight w:val="none"/>
          <w:u w:val="none"/>
          <w:lang w:val="en-US" w:eastAsia="zh-CN"/>
        </w:rPr>
        <w:t xml:space="preserve">     </w:t>
      </w:r>
      <w:r>
        <w:rPr>
          <w:rFonts w:hint="eastAsia" w:ascii="宋体" w:hAnsi="宋体" w:eastAsia="宋体" w:cs="宋体"/>
          <w:iCs w:val="0"/>
          <w:kern w:val="2"/>
          <w:sz w:val="21"/>
          <w:szCs w:val="21"/>
          <w:highlight w:val="none"/>
          <w:u w:val="none"/>
        </w:rPr>
        <w:sym w:font="Wingdings" w:char="00A8"/>
      </w:r>
      <w:r>
        <w:rPr>
          <w:rFonts w:hint="eastAsia" w:ascii="宋体" w:hAnsi="宋体" w:eastAsia="宋体" w:cs="宋体"/>
          <w:iCs w:val="0"/>
          <w:kern w:val="2"/>
          <w:sz w:val="21"/>
          <w:szCs w:val="21"/>
          <w:highlight w:val="none"/>
          <w:u w:val="none"/>
        </w:rPr>
        <w:t>是</w:t>
      </w:r>
      <w:r>
        <w:rPr>
          <w:rFonts w:hint="eastAsia" w:ascii="宋体" w:hAnsi="宋体" w:eastAsia="宋体" w:cs="宋体"/>
          <w:iCs w:val="0"/>
          <w:kern w:val="2"/>
          <w:sz w:val="21"/>
          <w:szCs w:val="21"/>
          <w:highlight w:val="none"/>
          <w:u w:val="none"/>
          <w:lang w:eastAsia="zh-CN"/>
        </w:rPr>
        <w:t>，绿色产品政府采购相关政策确定的底级品目名称：</w:t>
      </w:r>
      <w:r>
        <w:rPr>
          <w:rFonts w:hint="eastAsia" w:ascii="宋体" w:hAnsi="宋体" w:eastAsia="宋体" w:cs="宋体"/>
          <w:sz w:val="21"/>
          <w:szCs w:val="21"/>
          <w:highlight w:val="none"/>
          <w:u w:val="single"/>
          <w:lang w:val="en-US" w:eastAsia="zh-CN"/>
        </w:rPr>
        <w:t xml:space="preserve">         </w:t>
      </w:r>
    </w:p>
    <w:p w14:paraId="2338F6A9">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1"/>
          <w:szCs w:val="21"/>
          <w:highlight w:val="none"/>
          <w:lang w:val="en-US" w:eastAsia="zh-CN"/>
        </w:rPr>
      </w:pP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eastAsia="zh-CN"/>
        </w:rPr>
        <w:t>强制采购</w:t>
      </w: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eastAsia="zh-CN"/>
        </w:rPr>
        <w:t>优先采购</w:t>
      </w:r>
      <w:r>
        <w:rPr>
          <w:rFonts w:hint="eastAsia" w:ascii="宋体" w:hAnsi="宋体" w:eastAsia="宋体" w:cs="宋体"/>
          <w:iCs/>
          <w:sz w:val="21"/>
          <w:szCs w:val="21"/>
          <w:highlight w:val="none"/>
          <w:lang w:val="en-US" w:eastAsia="zh-CN"/>
        </w:rPr>
        <w:t xml:space="preserve">    </w:t>
      </w:r>
    </w:p>
    <w:p w14:paraId="161EBF7C">
      <w:pPr>
        <w:pStyle w:val="151"/>
        <w:spacing w:beforeLines="0"/>
        <w:ind w:firstLine="42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iCs w:val="0"/>
          <w:kern w:val="2"/>
          <w:sz w:val="21"/>
          <w:szCs w:val="21"/>
          <w:highlight w:val="none"/>
          <w:u w:val="none"/>
          <w:lang w:val="en-US" w:eastAsia="zh-CN"/>
        </w:rPr>
        <w:t xml:space="preserve">     </w:t>
      </w:r>
      <w:r>
        <w:rPr>
          <w:rFonts w:hint="eastAsia" w:ascii="宋体" w:hAnsi="宋体" w:eastAsia="宋体" w:cs="宋体"/>
          <w:iCs w:val="0"/>
          <w:kern w:val="2"/>
          <w:sz w:val="21"/>
          <w:szCs w:val="21"/>
          <w:highlight w:val="none"/>
          <w:u w:val="none"/>
        </w:rPr>
        <w:sym w:font="Wingdings" w:char="00A8"/>
      </w:r>
      <w:r>
        <w:rPr>
          <w:rFonts w:hint="eastAsia" w:ascii="宋体" w:hAnsi="宋体" w:eastAsia="宋体" w:cs="宋体"/>
          <w:iCs w:val="0"/>
          <w:kern w:val="2"/>
          <w:sz w:val="21"/>
          <w:szCs w:val="21"/>
          <w:highlight w:val="none"/>
          <w:u w:val="none"/>
        </w:rPr>
        <w:t>否</w:t>
      </w:r>
    </w:p>
    <w:p w14:paraId="1635AB05">
      <w:pPr>
        <w:numPr>
          <w:ilvl w:val="0"/>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（1</w:t>
      </w:r>
      <w:r>
        <w:rPr>
          <w:rFonts w:hint="eastAsia" w:ascii="宋体" w:hAnsi="宋体" w:eastAsia="宋体" w:cs="宋体"/>
          <w:sz w:val="21"/>
          <w:szCs w:val="21"/>
          <w:highlight w:val="none"/>
          <w:lang w:val="en" w:eastAsia="zh-CN"/>
        </w:rPr>
        <w:t>1</w:t>
      </w:r>
      <w:r>
        <w:rPr>
          <w:rFonts w:hint="eastAsia" w:ascii="宋体" w:hAnsi="宋体" w:eastAsia="宋体" w:cs="宋体"/>
          <w:sz w:val="21"/>
          <w:szCs w:val="21"/>
          <w:highlight w:val="none"/>
          <w:lang w:val="en-US" w:eastAsia="zh-CN"/>
        </w:rPr>
        <w:t>）涉及商品包装和快递包装的，是否参考</w:t>
      </w:r>
      <w:r>
        <w:rPr>
          <w:rFonts w:hint="eastAsia" w:ascii="宋体" w:hAnsi="宋体" w:eastAsia="宋体" w:cs="宋体"/>
          <w:sz w:val="21"/>
          <w:szCs w:val="21"/>
          <w:highlight w:val="none"/>
        </w:rPr>
        <w:t>《商品包装政府采购需求标准（试行）》、《快递包装政府采购需求标准（试行）》</w:t>
      </w:r>
      <w:r>
        <w:rPr>
          <w:rFonts w:hint="eastAsia" w:ascii="宋体" w:hAnsi="宋体" w:eastAsia="宋体" w:cs="宋体"/>
          <w:sz w:val="21"/>
          <w:szCs w:val="21"/>
          <w:highlight w:val="none"/>
          <w:lang w:eastAsia="zh-CN"/>
        </w:rPr>
        <w:t>明确产品及相关快递服务的具体包装要求：</w:t>
      </w:r>
    </w:p>
    <w:p w14:paraId="2F9BB91B">
      <w:pPr>
        <w:numPr>
          <w:ilvl w:val="0"/>
          <w:numId w:val="0"/>
        </w:numPr>
        <w:adjustRightInd w:val="0"/>
        <w:snapToGrid w:val="0"/>
        <w:spacing w:before="0" w:beforeLines="0" w:line="400" w:lineRule="exact"/>
        <w:ind w:firstLine="840" w:firstLineChars="400"/>
        <w:rPr>
          <w:rFonts w:hint="eastAsia" w:ascii="宋体" w:hAnsi="宋体" w:eastAsia="宋体" w:cs="宋体"/>
          <w:iCs w:val="0"/>
          <w:sz w:val="21"/>
          <w:szCs w:val="21"/>
          <w:highlight w:val="none"/>
          <w:lang w:val="en-US" w:eastAsia="zh-CN"/>
        </w:rPr>
      </w:pP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rPr>
        <w:t xml:space="preserve">是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rPr>
        <w:t>否</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不涉及</w:t>
      </w:r>
    </w:p>
    <w:p w14:paraId="697060DA">
      <w:pPr>
        <w:numPr>
          <w:ilvl w:val="0"/>
          <w:numId w:val="5"/>
        </w:numPr>
        <w:adjustRightInd w:val="0"/>
        <w:snapToGrid w:val="0"/>
        <w:spacing w:before="0" w:beforeLines="0" w:line="40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合同金额</w:t>
      </w:r>
    </w:p>
    <w:p w14:paraId="5F6C23B1">
      <w:pPr>
        <w:adjustRightInd w:val="0"/>
        <w:snapToGrid w:val="0"/>
        <w:spacing w:before="0" w:before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（1）合同金额小写：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6F7F5FFD">
      <w:pPr>
        <w:adjustRightInd w:val="0"/>
        <w:snapToGrid w:val="0"/>
        <w:spacing w:before="0" w:beforeLines="0" w:line="400" w:lineRule="exact"/>
        <w:ind w:left="0"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448E2C06">
      <w:pPr>
        <w:adjustRightInd w:val="0"/>
        <w:snapToGrid w:val="0"/>
        <w:spacing w:before="0" w:beforeLines="0"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分包金额</w:t>
      </w:r>
      <w:r>
        <w:rPr>
          <w:rFonts w:hint="eastAsia" w:ascii="宋体" w:hAnsi="宋体" w:eastAsia="宋体" w:cs="宋体"/>
          <w:sz w:val="21"/>
          <w:szCs w:val="21"/>
          <w:highlight w:val="none"/>
          <w:lang w:eastAsia="zh-CN"/>
        </w:rPr>
        <w:t>（如有）</w:t>
      </w:r>
      <w:r>
        <w:rPr>
          <w:rFonts w:hint="eastAsia" w:ascii="宋体" w:hAnsi="宋体" w:eastAsia="宋体" w:cs="宋体"/>
          <w:sz w:val="21"/>
          <w:szCs w:val="21"/>
          <w:highlight w:val="none"/>
        </w:rPr>
        <w:t>小写：</w:t>
      </w:r>
      <w:r>
        <w:rPr>
          <w:rFonts w:hint="eastAsia" w:ascii="宋体" w:hAnsi="宋体" w:eastAsia="宋体" w:cs="宋体"/>
          <w:sz w:val="21"/>
          <w:szCs w:val="21"/>
          <w:highlight w:val="none"/>
          <w:u w:val="single"/>
        </w:rPr>
        <w:t xml:space="preserve">                   </w:t>
      </w:r>
    </w:p>
    <w:p w14:paraId="23479096">
      <w:pPr>
        <w:adjustRightInd w:val="0"/>
        <w:snapToGrid w:val="0"/>
        <w:spacing w:before="0" w:beforeLines="0"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796E9DBD">
      <w:p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（注：固定单价合同应填写单价和最高限价）</w:t>
      </w:r>
    </w:p>
    <w:p w14:paraId="1135EEC4">
      <w:pPr>
        <w:numPr>
          <w:ilvl w:val="0"/>
          <w:numId w:val="0"/>
        </w:numPr>
        <w:adjustRightInd w:val="0"/>
        <w:snapToGrid w:val="0"/>
        <w:spacing w:before="0" w:beforeLines="0"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合同定价方式</w:t>
      </w:r>
      <w:r>
        <w:rPr>
          <w:rFonts w:hint="eastAsia" w:ascii="宋体" w:hAnsi="宋体" w:eastAsia="宋体" w:cs="宋体"/>
          <w:sz w:val="21"/>
          <w:szCs w:val="21"/>
          <w:highlight w:val="none"/>
          <w:lang w:eastAsia="zh-CN"/>
        </w:rPr>
        <w:t>（采用组合定价方式的，可以勾选多项）</w:t>
      </w:r>
      <w:r>
        <w:rPr>
          <w:rFonts w:hint="eastAsia" w:ascii="宋体" w:hAnsi="宋体" w:eastAsia="宋体" w:cs="宋体"/>
          <w:sz w:val="21"/>
          <w:szCs w:val="21"/>
          <w:highlight w:val="none"/>
        </w:rPr>
        <w:t>：</w:t>
      </w:r>
    </w:p>
    <w:p w14:paraId="439CD646">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 xml:space="preserve">固定总价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固定单价</w:t>
      </w: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eastAsia="zh-CN"/>
        </w:rPr>
        <w:t>固定费率</w:t>
      </w:r>
      <w:r>
        <w:rPr>
          <w:rFonts w:hint="eastAsia" w:ascii="宋体" w:hAnsi="宋体" w:eastAsia="宋体" w:cs="宋体"/>
          <w:iCs/>
          <w:sz w:val="21"/>
          <w:szCs w:val="21"/>
          <w:highlight w:val="none"/>
        </w:rPr>
        <w:t xml:space="preserve">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 xml:space="preserve">成本补偿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rPr>
        <w:t>绩效激励</w:t>
      </w:r>
      <w:r>
        <w:rPr>
          <w:rFonts w:hint="eastAsia" w:ascii="宋体" w:hAnsi="宋体" w:eastAsia="宋体" w:cs="宋体"/>
          <w:iCs/>
          <w:sz w:val="21"/>
          <w:szCs w:val="21"/>
          <w:highlight w:val="none"/>
          <w:lang w:val="en-US" w:eastAsia="zh-CN"/>
        </w:rPr>
        <w:t xml:space="preserve">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eastAsia="zh-CN"/>
        </w:rPr>
        <w:t>其他</w:t>
      </w:r>
      <w:r>
        <w:rPr>
          <w:rFonts w:hint="eastAsia" w:ascii="宋体" w:hAnsi="宋体" w:eastAsia="宋体" w:cs="宋体"/>
          <w:sz w:val="21"/>
          <w:szCs w:val="21"/>
          <w:highlight w:val="none"/>
          <w:u w:val="single"/>
        </w:rPr>
        <w:t xml:space="preserve">       </w:t>
      </w:r>
    </w:p>
    <w:p w14:paraId="7956E3C4">
      <w:pPr>
        <w:pStyle w:val="133"/>
        <w:spacing w:beforeLines="0"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）付款方式（按项目实际勾选填写）：</w:t>
      </w:r>
    </w:p>
    <w:p w14:paraId="2A0F54E2">
      <w:pPr>
        <w:adjustRightInd w:val="0"/>
        <w:snapToGrid w:val="0"/>
        <w:spacing w:before="0" w:beforeLines="0" w:line="400" w:lineRule="exact"/>
        <w:ind w:firstLine="630" w:firstLineChars="3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全额付款：</w:t>
      </w:r>
      <w:r>
        <w:rPr>
          <w:rFonts w:hint="eastAsia" w:ascii="宋体" w:hAnsi="宋体" w:eastAsia="宋体" w:cs="宋体"/>
          <w:sz w:val="21"/>
          <w:szCs w:val="21"/>
          <w:highlight w:val="none"/>
          <w:u w:val="single"/>
        </w:rPr>
        <w:t xml:space="preserve">     （应</w:t>
      </w:r>
      <w:r>
        <w:rPr>
          <w:rFonts w:hint="eastAsia" w:ascii="宋体" w:hAnsi="宋体" w:eastAsia="宋体" w:cs="宋体"/>
          <w:sz w:val="21"/>
          <w:szCs w:val="21"/>
          <w:highlight w:val="none"/>
          <w:u w:val="single"/>
          <w:lang w:eastAsia="zh-CN"/>
        </w:rPr>
        <w:t>明确</w:t>
      </w:r>
      <w:r>
        <w:rPr>
          <w:rFonts w:hint="eastAsia" w:ascii="宋体" w:hAnsi="宋体" w:eastAsia="宋体" w:cs="宋体"/>
          <w:sz w:val="21"/>
          <w:szCs w:val="21"/>
          <w:highlight w:val="none"/>
          <w:u w:val="single"/>
        </w:rPr>
        <w:t>一次性支付合同款项</w:t>
      </w:r>
      <w:r>
        <w:rPr>
          <w:rFonts w:hint="eastAsia" w:ascii="宋体" w:hAnsi="宋体" w:eastAsia="宋体" w:cs="宋体"/>
          <w:sz w:val="21"/>
          <w:szCs w:val="21"/>
          <w:highlight w:val="none"/>
          <w:u w:val="single"/>
          <w:lang w:eastAsia="zh-CN"/>
        </w:rPr>
        <w:t>的条件</w:t>
      </w:r>
      <w:r>
        <w:rPr>
          <w:rFonts w:hint="eastAsia" w:ascii="宋体" w:hAnsi="宋体" w:eastAsia="宋体" w:cs="宋体"/>
          <w:sz w:val="21"/>
          <w:szCs w:val="21"/>
          <w:highlight w:val="none"/>
          <w:u w:val="single"/>
        </w:rPr>
        <w:t xml:space="preserve">）                    </w:t>
      </w:r>
    </w:p>
    <w:p w14:paraId="51BF70C8">
      <w:pPr>
        <w:snapToGrid w:val="0"/>
        <w:spacing w:beforeLines="0" w:line="400" w:lineRule="exact"/>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分期付款：</w:t>
      </w:r>
      <w:r>
        <w:rPr>
          <w:rFonts w:hint="eastAsia" w:ascii="宋体" w:hAnsi="宋体" w:eastAsia="宋体" w:cs="宋体"/>
          <w:sz w:val="21"/>
          <w:szCs w:val="21"/>
          <w:highlight w:val="none"/>
          <w:u w:val="single"/>
        </w:rPr>
        <w:t xml:space="preserve">  （应明确分期支付合同款项的各期比例和支付条件</w:t>
      </w:r>
      <w:r>
        <w:rPr>
          <w:rFonts w:hint="eastAsia" w:ascii="宋体" w:hAnsi="宋体" w:eastAsia="宋体" w:cs="宋体"/>
          <w:sz w:val="21"/>
          <w:szCs w:val="21"/>
          <w:highlight w:val="none"/>
          <w:u w:val="single"/>
          <w:lang w:eastAsia="zh-CN"/>
        </w:rPr>
        <w:t>，各期支付条件应与分期履约验收情况挂钩</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lang w:eastAsia="zh-CN"/>
        </w:rPr>
        <w:t>其中涉及预付款的</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（应明确预付款的支付比例和支付条件） </w:t>
      </w:r>
    </w:p>
    <w:p w14:paraId="7690C5AC">
      <w:pPr>
        <w:adjustRightInd w:val="0"/>
        <w:snapToGrid w:val="0"/>
        <w:spacing w:before="0" w:beforeLines="0" w:line="400" w:lineRule="exact"/>
        <w:ind w:firstLine="630" w:firstLineChars="3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成本补偿：</w:t>
      </w:r>
      <w:r>
        <w:rPr>
          <w:rFonts w:hint="eastAsia" w:ascii="宋体" w:hAnsi="宋体" w:eastAsia="宋体" w:cs="宋体"/>
          <w:sz w:val="21"/>
          <w:szCs w:val="21"/>
          <w:highlight w:val="none"/>
          <w:u w:val="single"/>
        </w:rPr>
        <w:t xml:space="preserve">      （应明确按照成本补偿方式的支付方式和支付条件）   </w:t>
      </w:r>
    </w:p>
    <w:p w14:paraId="74213D13">
      <w:pPr>
        <w:adjustRightInd w:val="0"/>
        <w:snapToGrid w:val="0"/>
        <w:spacing w:before="0" w:beforeLines="0" w:line="400" w:lineRule="exact"/>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绩效激励：</w:t>
      </w:r>
      <w:r>
        <w:rPr>
          <w:rFonts w:hint="eastAsia" w:ascii="宋体" w:hAnsi="宋体" w:eastAsia="宋体" w:cs="宋体"/>
          <w:sz w:val="21"/>
          <w:szCs w:val="21"/>
          <w:highlight w:val="none"/>
          <w:u w:val="single"/>
        </w:rPr>
        <w:t xml:space="preserve">      （应明确按照绩效激励方式的支付方式和支付条件）   </w:t>
      </w:r>
    </w:p>
    <w:p w14:paraId="768F19CB">
      <w:pPr>
        <w:numPr>
          <w:ilvl w:val="0"/>
          <w:numId w:val="5"/>
        </w:numPr>
        <w:adjustRightInd w:val="0"/>
        <w:snapToGrid w:val="0"/>
        <w:spacing w:before="0" w:beforeLines="0" w:line="400" w:lineRule="exact"/>
        <w:ind w:firstLine="422" w:firstLineChars="200"/>
        <w:rPr>
          <w:rFonts w:hint="eastAsia" w:ascii="宋体" w:hAnsi="宋体" w:eastAsia="宋体" w:cs="宋体"/>
          <w:b/>
          <w:bCs w:val="0"/>
          <w:sz w:val="21"/>
          <w:szCs w:val="21"/>
          <w:highlight w:val="none"/>
          <w:u w:val="single"/>
        </w:rPr>
      </w:pPr>
      <w:r>
        <w:rPr>
          <w:rFonts w:hint="eastAsia" w:ascii="宋体" w:hAnsi="宋体" w:eastAsia="宋体" w:cs="宋体"/>
          <w:b/>
          <w:bCs w:val="0"/>
          <w:sz w:val="21"/>
          <w:szCs w:val="21"/>
          <w:highlight w:val="none"/>
        </w:rPr>
        <w:t>合同履行</w:t>
      </w:r>
    </w:p>
    <w:p w14:paraId="3B0E0C9B">
      <w:pPr>
        <w:adjustRightInd w:val="0"/>
        <w:snapToGrid w:val="0"/>
        <w:spacing w:before="0" w:before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（1）起始日期：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日，完成日期：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24559052">
      <w:pPr>
        <w:adjustRightInd w:val="0"/>
        <w:snapToGrid w:val="0"/>
        <w:spacing w:before="0" w:beforeLines="0" w:line="40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履约</w:t>
      </w:r>
      <w:r>
        <w:rPr>
          <w:rFonts w:hint="eastAsia" w:ascii="宋体" w:hAnsi="宋体" w:eastAsia="宋体" w:cs="宋体"/>
          <w:sz w:val="21"/>
          <w:szCs w:val="21"/>
          <w:highlight w:val="none"/>
        </w:rPr>
        <w:t>地点</w:t>
      </w:r>
      <w:r>
        <w:rPr>
          <w:rFonts w:hint="eastAsia" w:ascii="宋体" w:hAnsi="宋体" w:eastAsia="宋体" w:cs="宋体"/>
          <w:b w:val="0"/>
          <w:bCs/>
          <w:sz w:val="21"/>
          <w:szCs w:val="21"/>
          <w:highlight w:val="none"/>
        </w:rPr>
        <w:t>：</w:t>
      </w:r>
      <w:r>
        <w:rPr>
          <w:rFonts w:hint="eastAsia" w:ascii="宋体" w:hAnsi="宋体" w:eastAsia="宋体" w:cs="宋体"/>
          <w:sz w:val="21"/>
          <w:szCs w:val="21"/>
          <w:highlight w:val="none"/>
          <w:u w:val="single"/>
        </w:rPr>
        <w:t xml:space="preserve">                             </w:t>
      </w:r>
    </w:p>
    <w:p w14:paraId="3EFBD4AE">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 w:val="21"/>
          <w:szCs w:val="21"/>
          <w:highlight w:val="none"/>
        </w:rPr>
        <w:t>（3）履约担保：</w:t>
      </w:r>
      <w:r>
        <w:rPr>
          <w:rFonts w:hint="eastAsia" w:ascii="宋体" w:hAnsi="宋体" w:eastAsia="宋体" w:cs="宋体"/>
          <w:sz w:val="21"/>
          <w:szCs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77B20741">
      <w:pPr>
        <w:pStyle w:val="151"/>
        <w:spacing w:beforeLines="0"/>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u w:val="none"/>
          <w:lang w:val="en-US" w:eastAsia="zh-CN"/>
        </w:rPr>
        <w:t xml:space="preserve">  </w:t>
      </w:r>
      <w:r>
        <w:rPr>
          <w:rFonts w:hint="eastAsia" w:ascii="宋体" w:hAnsi="宋体" w:eastAsia="宋体" w:cs="宋体"/>
          <w:sz w:val="21"/>
          <w:szCs w:val="21"/>
          <w:highlight w:val="none"/>
          <w:lang w:val="en-US" w:eastAsia="zh-CN"/>
        </w:rPr>
        <w:t xml:space="preserve">  收取履约保证金形式：</w:t>
      </w:r>
      <w:r>
        <w:rPr>
          <w:rFonts w:hint="eastAsia" w:ascii="宋体" w:hAnsi="宋体" w:eastAsia="宋体" w:cs="宋体"/>
          <w:bCs/>
          <w:sz w:val="21"/>
          <w:szCs w:val="21"/>
          <w:highlight w:val="none"/>
          <w:u w:val="single"/>
        </w:rPr>
        <w:t xml:space="preserve">                            </w:t>
      </w:r>
    </w:p>
    <w:p w14:paraId="161AF2F4">
      <w:pPr>
        <w:pStyle w:val="151"/>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收取履约保证金金额：</w:t>
      </w:r>
      <w:r>
        <w:rPr>
          <w:rFonts w:hint="eastAsia" w:ascii="宋体" w:hAnsi="宋体" w:eastAsia="宋体" w:cs="宋体"/>
          <w:bCs/>
          <w:sz w:val="21"/>
          <w:szCs w:val="21"/>
          <w:highlight w:val="none"/>
          <w:u w:val="single"/>
        </w:rPr>
        <w:t xml:space="preserve">                            </w:t>
      </w:r>
    </w:p>
    <w:p w14:paraId="046EDC14">
      <w:pPr>
        <w:snapToGrid w:val="0"/>
        <w:spacing w:beforeLines="0"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u w:val="none"/>
          <w:lang w:val="en-US" w:eastAsia="zh-CN"/>
        </w:rPr>
        <w:t xml:space="preserve">    履约担保期限</w:t>
      </w: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0FBF0D45">
      <w:pPr>
        <w:adjustRightInd w:val="0"/>
        <w:snapToGrid w:val="0"/>
        <w:spacing w:before="0" w:beforeLines="0" w:line="40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（4）分期履行要求：</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22061FCE">
      <w:pPr>
        <w:adjustRightInd w:val="0"/>
        <w:snapToGrid w:val="0"/>
        <w:spacing w:before="0" w:beforeLines="0" w:line="40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bCs/>
          <w:sz w:val="21"/>
          <w:szCs w:val="21"/>
          <w:highlight w:val="none"/>
        </w:rPr>
        <w:t>（5）</w:t>
      </w:r>
      <w:r>
        <w:rPr>
          <w:rFonts w:hint="eastAsia" w:ascii="宋体" w:hAnsi="宋体" w:eastAsia="宋体" w:cs="宋体"/>
          <w:bCs/>
          <w:sz w:val="21"/>
          <w:szCs w:val="21"/>
          <w:highlight w:val="none"/>
          <w:lang w:eastAsia="zh-CN"/>
        </w:rPr>
        <w:t>风险处置措施和替代方案</w:t>
      </w:r>
      <w:r>
        <w:rPr>
          <w:rFonts w:hint="eastAsia" w:ascii="宋体" w:hAnsi="宋体" w:eastAsia="宋体" w:cs="宋体"/>
          <w:bCs/>
          <w:sz w:val="21"/>
          <w:szCs w:val="21"/>
          <w:highlight w:val="none"/>
        </w:rPr>
        <w:t>：</w:t>
      </w:r>
      <w:r>
        <w:rPr>
          <w:rFonts w:hint="eastAsia" w:ascii="宋体" w:hAnsi="宋体" w:eastAsia="宋体" w:cs="宋体"/>
          <w:color w:val="0000FF"/>
          <w:sz w:val="21"/>
          <w:szCs w:val="21"/>
          <w:highlight w:val="none"/>
          <w:u w:val="single"/>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sz w:val="21"/>
          <w:szCs w:val="21"/>
          <w:highlight w:val="none"/>
          <w:u w:val="single"/>
        </w:rPr>
        <w:t xml:space="preserve">                                                </w:t>
      </w:r>
    </w:p>
    <w:p w14:paraId="28DD3D0E">
      <w:pPr>
        <w:numPr>
          <w:ilvl w:val="0"/>
          <w:numId w:val="5"/>
        </w:numPr>
        <w:adjustRightInd w:val="0"/>
        <w:snapToGrid w:val="0"/>
        <w:spacing w:before="0" w:beforeLines="0" w:line="40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合同验收</w:t>
      </w:r>
    </w:p>
    <w:p w14:paraId="71A712A6">
      <w:pPr>
        <w:numPr>
          <w:ilvl w:val="0"/>
          <w:numId w:val="7"/>
        </w:numPr>
        <w:adjustRightInd w:val="0"/>
        <w:snapToGrid w:val="0"/>
        <w:spacing w:before="0" w:beforeLines="0" w:line="40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委托第三方组织</w:t>
      </w:r>
    </w:p>
    <w:p w14:paraId="445BDBC9">
      <w:pPr>
        <w:numPr>
          <w:ilvl w:val="0"/>
          <w:numId w:val="0"/>
        </w:numPr>
        <w:adjustRightInd w:val="0"/>
        <w:snapToGrid w:val="0"/>
        <w:spacing w:before="0" w:beforeLines="0" w:line="40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rPr>
        <w:t>验收主体：</w:t>
      </w:r>
      <w:r>
        <w:rPr>
          <w:rFonts w:hint="eastAsia" w:ascii="宋体" w:hAnsi="宋体" w:eastAsia="宋体" w:cs="宋体"/>
          <w:bCs/>
          <w:sz w:val="21"/>
          <w:szCs w:val="21"/>
          <w:highlight w:val="none"/>
          <w:u w:val="single"/>
        </w:rPr>
        <w:t xml:space="preserve">                  </w:t>
      </w:r>
    </w:p>
    <w:p w14:paraId="3793EA53">
      <w:pPr>
        <w:adjustRightInd w:val="0"/>
        <w:snapToGrid w:val="0"/>
        <w:spacing w:before="0" w:beforeLines="0" w:line="400" w:lineRule="exact"/>
        <w:ind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rPr>
        <w:t>是否邀请本项目的其他供应商</w:t>
      </w:r>
      <w:r>
        <w:rPr>
          <w:rFonts w:hint="eastAsia" w:ascii="宋体" w:hAnsi="宋体" w:eastAsia="宋体" w:cs="宋体"/>
          <w:bCs/>
          <w:sz w:val="21"/>
          <w:szCs w:val="21"/>
          <w:highlight w:val="none"/>
          <w:lang w:eastAsia="zh-CN"/>
        </w:rPr>
        <w:t>参加验收</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2379C733">
      <w:pPr>
        <w:adjustRightInd w:val="0"/>
        <w:snapToGrid w:val="0"/>
        <w:spacing w:before="0" w:beforeLines="0" w:line="400" w:lineRule="exact"/>
        <w:ind w:firstLine="840" w:firstLineChars="400"/>
        <w:rPr>
          <w:rFonts w:hint="eastAsia" w:ascii="宋体" w:hAnsi="宋体" w:eastAsia="宋体" w:cs="宋体"/>
          <w:bCs/>
          <w:sz w:val="21"/>
          <w:szCs w:val="21"/>
          <w:highlight w:val="none"/>
        </w:rPr>
      </w:pPr>
      <w:r>
        <w:rPr>
          <w:rFonts w:hint="eastAsia" w:ascii="宋体" w:hAnsi="宋体" w:eastAsia="宋体" w:cs="宋体"/>
          <w:bCs/>
          <w:sz w:val="21"/>
          <w:szCs w:val="21"/>
          <w:highlight w:val="none"/>
        </w:rPr>
        <w:t>是否邀请专家</w:t>
      </w:r>
      <w:r>
        <w:rPr>
          <w:rFonts w:hint="eastAsia" w:ascii="宋体" w:hAnsi="宋体" w:eastAsia="宋体" w:cs="宋体"/>
          <w:bCs/>
          <w:sz w:val="21"/>
          <w:szCs w:val="21"/>
          <w:highlight w:val="none"/>
          <w:lang w:eastAsia="zh-CN"/>
        </w:rPr>
        <w:t>参加验收</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7293B14C">
      <w:pPr>
        <w:adjustRightInd w:val="0"/>
        <w:snapToGrid w:val="0"/>
        <w:spacing w:before="0" w:beforeLines="0" w:line="400" w:lineRule="exact"/>
        <w:ind w:firstLine="840" w:firstLineChars="400"/>
        <w:rPr>
          <w:rFonts w:hint="eastAsia" w:ascii="宋体" w:hAnsi="宋体" w:eastAsia="宋体" w:cs="宋体"/>
          <w:bCs/>
          <w:sz w:val="21"/>
          <w:szCs w:val="21"/>
          <w:highlight w:val="none"/>
        </w:rPr>
      </w:pPr>
      <w:r>
        <w:rPr>
          <w:rFonts w:hint="eastAsia" w:ascii="宋体" w:hAnsi="宋体" w:eastAsia="宋体" w:cs="宋体"/>
          <w:bCs/>
          <w:sz w:val="21"/>
          <w:szCs w:val="21"/>
          <w:highlight w:val="none"/>
        </w:rPr>
        <w:t>是否邀请服务对象</w:t>
      </w:r>
      <w:r>
        <w:rPr>
          <w:rFonts w:hint="eastAsia" w:ascii="宋体" w:hAnsi="宋体" w:eastAsia="宋体" w:cs="宋体"/>
          <w:bCs/>
          <w:sz w:val="21"/>
          <w:szCs w:val="21"/>
          <w:highlight w:val="none"/>
          <w:lang w:eastAsia="zh-CN"/>
        </w:rPr>
        <w:t>参加验收</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02D65A92">
      <w:pPr>
        <w:adjustRightInd w:val="0"/>
        <w:snapToGrid w:val="0"/>
        <w:spacing w:before="0" w:beforeLines="0" w:line="400" w:lineRule="exact"/>
        <w:ind w:firstLine="840" w:firstLineChars="400"/>
        <w:rPr>
          <w:rFonts w:hint="eastAsia" w:ascii="宋体" w:hAnsi="宋体" w:eastAsia="宋体" w:cs="宋体"/>
          <w:bCs/>
          <w:sz w:val="21"/>
          <w:szCs w:val="21"/>
          <w:highlight w:val="none"/>
        </w:rPr>
      </w:pPr>
      <w:r>
        <w:rPr>
          <w:rFonts w:hint="eastAsia" w:ascii="宋体" w:hAnsi="宋体" w:eastAsia="宋体" w:cs="宋体"/>
          <w:bCs/>
          <w:sz w:val="21"/>
          <w:szCs w:val="21"/>
          <w:highlight w:val="none"/>
        </w:rPr>
        <w:t>是否邀请第三方检测机构</w:t>
      </w:r>
      <w:r>
        <w:rPr>
          <w:rFonts w:hint="eastAsia" w:ascii="宋体" w:hAnsi="宋体" w:eastAsia="宋体" w:cs="宋体"/>
          <w:bCs/>
          <w:sz w:val="21"/>
          <w:szCs w:val="21"/>
          <w:highlight w:val="none"/>
          <w:lang w:eastAsia="zh-CN"/>
        </w:rPr>
        <w:t>参加验收</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4E1A0B5A">
      <w:pPr>
        <w:adjustRightInd w:val="0"/>
        <w:snapToGrid w:val="0"/>
        <w:spacing w:before="0" w:beforeLines="0" w:line="400" w:lineRule="exact"/>
        <w:ind w:firstLine="840" w:firstLineChars="400"/>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是</w:t>
      </w:r>
      <w:r>
        <w:rPr>
          <w:rFonts w:hint="eastAsia" w:ascii="宋体" w:hAnsi="宋体" w:eastAsia="宋体" w:cs="宋体"/>
          <w:bCs/>
          <w:sz w:val="21"/>
          <w:szCs w:val="21"/>
          <w:highlight w:val="none"/>
          <w:lang w:eastAsia="zh-CN"/>
        </w:rPr>
        <w:t>，抽查比例：</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10797005">
      <w:pPr>
        <w:adjustRightInd w:val="0"/>
        <w:snapToGrid w:val="0"/>
        <w:spacing w:before="0" w:beforeLines="0" w:line="400" w:lineRule="exact"/>
        <w:ind w:firstLine="840" w:firstLineChars="400"/>
        <w:rPr>
          <w:rFonts w:hint="eastAsia" w:ascii="宋体" w:hAnsi="宋体" w:eastAsia="宋体" w:cs="宋体"/>
          <w:bCs/>
          <w:sz w:val="21"/>
          <w:szCs w:val="21"/>
          <w:highlight w:val="none"/>
          <w:u w:val="single"/>
          <w:lang w:eastAsia="zh-CN"/>
        </w:rPr>
      </w:pPr>
      <w:r>
        <w:rPr>
          <w:rFonts w:hint="eastAsia" w:ascii="宋体" w:hAnsi="宋体" w:eastAsia="宋体" w:cs="宋体"/>
          <w:bCs/>
          <w:sz w:val="21"/>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是</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u w:val="single"/>
          <w:lang w:eastAsia="zh-CN"/>
        </w:rPr>
        <w:t>（应明确对被破坏的检测产品的处理方式）</w:t>
      </w:r>
    </w:p>
    <w:p w14:paraId="2CB75C20">
      <w:pPr>
        <w:adjustRightInd w:val="0"/>
        <w:snapToGrid w:val="0"/>
        <w:spacing w:before="0" w:beforeLines="0" w:line="400" w:lineRule="exact"/>
        <w:ind w:firstLine="840" w:firstLineChars="400"/>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4202D879">
      <w:pPr>
        <w:adjustRightInd w:val="0"/>
        <w:snapToGrid w:val="0"/>
        <w:spacing w:before="0" w:beforeLines="0" w:line="400" w:lineRule="exact"/>
        <w:ind w:firstLine="840" w:firstLineChars="400"/>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rPr>
        <w:t>验收组织的其他事项：</w:t>
      </w:r>
      <w:r>
        <w:rPr>
          <w:rFonts w:hint="eastAsia" w:ascii="宋体" w:hAnsi="宋体" w:eastAsia="宋体" w:cs="宋体"/>
          <w:bCs/>
          <w:sz w:val="21"/>
          <w:szCs w:val="21"/>
          <w:highlight w:val="none"/>
          <w:u w:val="single"/>
        </w:rPr>
        <w:t xml:space="preserve">                </w:t>
      </w:r>
    </w:p>
    <w:p w14:paraId="1C7417FC">
      <w:pPr>
        <w:adjustRightInd w:val="0"/>
        <w:snapToGrid w:val="0"/>
        <w:spacing w:before="0" w:beforeLines="0" w:line="400" w:lineRule="exact"/>
        <w:ind w:firstLine="420" w:firstLineChars="200"/>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rPr>
        <w:t>（2）履约验收时间：</w:t>
      </w:r>
      <w:r>
        <w:rPr>
          <w:rFonts w:hint="eastAsia" w:ascii="宋体" w:hAnsi="宋体" w:eastAsia="宋体" w:cs="宋体"/>
          <w:bCs/>
          <w:sz w:val="21"/>
          <w:szCs w:val="21"/>
          <w:highlight w:val="none"/>
          <w:u w:val="single"/>
        </w:rPr>
        <w:t>（计划于何时验收/供应商提出验收申请之日起   日内组织验收）</w:t>
      </w:r>
      <w:r>
        <w:rPr>
          <w:rFonts w:hint="eastAsia" w:ascii="宋体" w:hAnsi="宋体" w:eastAsia="宋体" w:cs="宋体"/>
          <w:bCs/>
          <w:sz w:val="21"/>
          <w:szCs w:val="21"/>
          <w:highlight w:val="none"/>
          <w:u w:val="single"/>
          <w:lang w:val="en-US" w:eastAsia="zh-CN"/>
        </w:rPr>
        <w:t xml:space="preserve"> </w:t>
      </w:r>
    </w:p>
    <w:p w14:paraId="1DF63A24">
      <w:pPr>
        <w:adjustRightInd w:val="0"/>
        <w:snapToGrid w:val="0"/>
        <w:spacing w:before="0" w:beforeLines="0" w:line="40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一次性验收         </w:t>
      </w:r>
    </w:p>
    <w:p w14:paraId="10ECC716">
      <w:pPr>
        <w:adjustRightInd w:val="0"/>
        <w:snapToGrid w:val="0"/>
        <w:spacing w:before="0" w:beforeLines="0" w:line="400" w:lineRule="exact"/>
        <w:ind w:firstLine="0" w:firstLineChars="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分期/分项验收</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eastAsia="zh-CN"/>
        </w:rPr>
        <w:t>（应明确分期</w:t>
      </w:r>
      <w:r>
        <w:rPr>
          <w:rFonts w:hint="eastAsia" w:ascii="宋体" w:hAnsi="宋体" w:eastAsia="宋体" w:cs="宋体"/>
          <w:bCs/>
          <w:sz w:val="21"/>
          <w:szCs w:val="21"/>
          <w:highlight w:val="none"/>
          <w:u w:val="single"/>
          <w:lang w:val="en" w:eastAsia="zh-CN"/>
        </w:rPr>
        <w:t>/分项验收的工作安排</w:t>
      </w:r>
      <w:r>
        <w:rPr>
          <w:rFonts w:hint="eastAsia" w:ascii="宋体" w:hAnsi="宋体" w:eastAsia="宋体" w:cs="宋体"/>
          <w:bCs/>
          <w:sz w:val="21"/>
          <w:szCs w:val="21"/>
          <w:highlight w:val="none"/>
          <w:u w:val="singl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p>
    <w:p w14:paraId="5CC6B037">
      <w:pPr>
        <w:adjustRightInd w:val="0"/>
        <w:snapToGrid w:val="0"/>
        <w:spacing w:before="0" w:beforeLines="0" w:line="40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（4）履约验收程序：</w:t>
      </w:r>
      <w:r>
        <w:rPr>
          <w:rFonts w:hint="eastAsia" w:ascii="宋体" w:hAnsi="宋体" w:eastAsia="宋体" w:cs="宋体"/>
          <w:bCs/>
          <w:sz w:val="21"/>
          <w:szCs w:val="21"/>
          <w:highlight w:val="none"/>
          <w:u w:val="single"/>
        </w:rPr>
        <w:t xml:space="preserve">                                         </w:t>
      </w:r>
    </w:p>
    <w:p w14:paraId="6E72300E">
      <w:pPr>
        <w:adjustRightInd w:val="0"/>
        <w:snapToGrid w:val="0"/>
        <w:spacing w:before="0" w:beforeLines="0" w:line="400" w:lineRule="exact"/>
        <w:ind w:firstLine="420" w:firstLineChars="200"/>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rPr>
        <w:t>（5）履约验收的内容：</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1"/>
          <w:szCs w:val="21"/>
          <w:highlight w:val="none"/>
          <w:u w:val="single"/>
        </w:rPr>
        <w:t xml:space="preserve">                                      </w:t>
      </w:r>
    </w:p>
    <w:p w14:paraId="0B78497F">
      <w:pPr>
        <w:adjustRightInd w:val="0"/>
        <w:snapToGrid w:val="0"/>
        <w:spacing w:before="0" w:beforeLines="0" w:line="400" w:lineRule="exact"/>
        <w:ind w:firstLine="420" w:firstLineChars="200"/>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rPr>
        <w:t>（6）履约验收标准：</w:t>
      </w:r>
      <w:r>
        <w:rPr>
          <w:rFonts w:hint="eastAsia" w:ascii="宋体" w:hAnsi="宋体" w:eastAsia="宋体" w:cs="宋体"/>
          <w:bCs/>
          <w:sz w:val="21"/>
          <w:szCs w:val="21"/>
          <w:highlight w:val="none"/>
          <w:u w:val="single"/>
        </w:rPr>
        <w:t xml:space="preserve">                                         </w:t>
      </w:r>
    </w:p>
    <w:p w14:paraId="40F73682">
      <w:pPr>
        <w:pStyle w:val="151"/>
        <w:spacing w:beforeLines="0"/>
        <w:rPr>
          <w:rFonts w:hint="eastAsia" w:ascii="宋体" w:hAnsi="宋体" w:eastAsia="宋体" w:cs="宋体"/>
          <w:sz w:val="21"/>
          <w:szCs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22DB91FA">
      <w:pPr>
        <w:adjustRightInd w:val="0"/>
        <w:snapToGrid w:val="0"/>
        <w:spacing w:before="0" w:beforeLines="0" w:line="400" w:lineRule="exact"/>
        <w:ind w:firstLine="420" w:firstLineChars="200"/>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rPr>
        <w:t>（8）履约验收其他事项：</w:t>
      </w:r>
      <w:r>
        <w:rPr>
          <w:rFonts w:hint="eastAsia" w:ascii="宋体" w:hAnsi="宋体" w:eastAsia="宋体" w:cs="宋体"/>
          <w:bCs/>
          <w:sz w:val="21"/>
          <w:szCs w:val="21"/>
          <w:highlight w:val="none"/>
          <w:u w:val="single"/>
        </w:rPr>
        <w:t xml:space="preserve">      </w:t>
      </w:r>
      <w:r>
        <w:rPr>
          <w:rFonts w:hint="eastAsia" w:ascii="宋体" w:hAnsi="宋体" w:eastAsia="宋体" w:cs="宋体"/>
          <w:bCs/>
          <w:i w:val="0"/>
          <w:iCs w:val="0"/>
          <w:sz w:val="21"/>
          <w:szCs w:val="21"/>
          <w:highlight w:val="none"/>
          <w:u w:val="single"/>
        </w:rPr>
        <w:t>（产权过户登记等）</w:t>
      </w:r>
      <w:r>
        <w:rPr>
          <w:rFonts w:hint="eastAsia" w:ascii="宋体" w:hAnsi="宋体" w:eastAsia="宋体" w:cs="宋体"/>
          <w:bCs/>
          <w:sz w:val="21"/>
          <w:szCs w:val="21"/>
          <w:highlight w:val="none"/>
          <w:u w:val="single"/>
        </w:rPr>
        <w:t xml:space="preserve">          </w:t>
      </w:r>
    </w:p>
    <w:p w14:paraId="67BD63CE">
      <w:pPr>
        <w:numPr>
          <w:ilvl w:val="0"/>
          <w:numId w:val="5"/>
        </w:numPr>
        <w:adjustRightInd w:val="0"/>
        <w:snapToGrid w:val="0"/>
        <w:spacing w:before="0" w:beforeLines="0" w:line="40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组成合同的文件</w:t>
      </w:r>
    </w:p>
    <w:p w14:paraId="0848929E">
      <w:pPr>
        <w:adjustRightInd w:val="0"/>
        <w:snapToGrid w:val="0"/>
        <w:spacing w:before="0" w:before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本协议书与下列文件一起构成合同文件，如下述文件之间有任何抵触、矛盾或歧义，应按以下顺序解释：</w:t>
      </w:r>
    </w:p>
    <w:p w14:paraId="33B5B594">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7F07805D">
      <w:pPr>
        <w:adjustRightInd w:val="0"/>
        <w:snapToGrid w:val="0"/>
        <w:spacing w:before="0" w:before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）政府采购合同专用条款</w:t>
      </w:r>
    </w:p>
    <w:p w14:paraId="4C95E0F4">
      <w:pPr>
        <w:adjustRightInd w:val="0"/>
        <w:snapToGrid w:val="0"/>
        <w:spacing w:before="0" w:before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）政府采购合同通用条款</w:t>
      </w:r>
    </w:p>
    <w:p w14:paraId="1191CF8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4907EC82">
      <w:pPr>
        <w:adjustRightInd w:val="0"/>
        <w:snapToGrid w:val="0"/>
        <w:spacing w:before="0" w:before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）投标（响应）文件</w:t>
      </w:r>
    </w:p>
    <w:p w14:paraId="5F754376">
      <w:pPr>
        <w:adjustRightInd w:val="0"/>
        <w:snapToGrid w:val="0"/>
        <w:spacing w:before="0" w:before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（6）采购文件</w:t>
      </w:r>
    </w:p>
    <w:p w14:paraId="15429670">
      <w:pPr>
        <w:adjustRightInd w:val="0"/>
        <w:snapToGrid w:val="0"/>
        <w:spacing w:before="0" w:before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（7）有关技术文件，图纸</w:t>
      </w:r>
    </w:p>
    <w:p w14:paraId="58B1C682">
      <w:pPr>
        <w:pStyle w:val="151"/>
        <w:spacing w:beforeLines="0"/>
        <w:rPr>
          <w:rFonts w:hint="eastAsia" w:ascii="宋体" w:hAnsi="宋体" w:eastAsia="宋体" w:cs="宋体"/>
          <w:kern w:val="2"/>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14:paraId="57DB0338">
      <w:pPr>
        <w:numPr>
          <w:ilvl w:val="0"/>
          <w:numId w:val="5"/>
        </w:numPr>
        <w:adjustRightInd w:val="0"/>
        <w:snapToGrid w:val="0"/>
        <w:spacing w:before="0" w:beforeLines="0" w:line="40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合同生效</w:t>
      </w:r>
    </w:p>
    <w:p w14:paraId="2030F125">
      <w:pPr>
        <w:adjustRightInd w:val="0"/>
        <w:snapToGrid w:val="0"/>
        <w:spacing w:before="0" w:before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本合同自</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生效。</w:t>
      </w:r>
    </w:p>
    <w:p w14:paraId="711BC70E">
      <w:pPr>
        <w:numPr>
          <w:ilvl w:val="0"/>
          <w:numId w:val="5"/>
        </w:numPr>
        <w:adjustRightInd w:val="0"/>
        <w:snapToGrid w:val="0"/>
        <w:spacing w:before="0" w:beforeLines="0" w:line="40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合同份数</w:t>
      </w:r>
    </w:p>
    <w:p w14:paraId="5D0AE0AB">
      <w:pPr>
        <w:adjustRightInd w:val="0"/>
        <w:snapToGrid w:val="0"/>
        <w:spacing w:before="0" w:before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本合同一式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执</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执</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份，均具有同等法律效力。</w:t>
      </w:r>
    </w:p>
    <w:p w14:paraId="2C05620A">
      <w:pPr>
        <w:adjustRightInd w:val="0"/>
        <w:snapToGrid w:val="0"/>
        <w:spacing w:before="0" w:before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合同订立时间：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647DE006">
      <w:pPr>
        <w:adjustRightInd w:val="0"/>
        <w:snapToGrid w:val="0"/>
        <w:spacing w:before="0" w:before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合同订立地点：</w:t>
      </w:r>
      <w:r>
        <w:rPr>
          <w:rFonts w:hint="eastAsia" w:ascii="宋体" w:hAnsi="宋体" w:eastAsia="宋体" w:cs="宋体"/>
          <w:sz w:val="21"/>
          <w:szCs w:val="21"/>
          <w:highlight w:val="none"/>
          <w:u w:val="single"/>
        </w:rPr>
        <w:t xml:space="preserve">                           </w:t>
      </w:r>
    </w:p>
    <w:p w14:paraId="03687492">
      <w:pPr>
        <w:adjustRightInd w:val="0"/>
        <w:snapToGrid w:val="0"/>
        <w:spacing w:before="0" w:before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附件：具体标</w:t>
      </w:r>
      <w:r>
        <w:rPr>
          <w:rFonts w:hint="eastAsia" w:ascii="宋体" w:hAnsi="宋体" w:eastAsia="宋体" w:cs="宋体"/>
          <w:sz w:val="21"/>
          <w:szCs w:val="21"/>
          <w:highlight w:val="none"/>
          <w:lang w:eastAsia="zh-CN"/>
        </w:rPr>
        <w:t>的及其</w:t>
      </w:r>
      <w:r>
        <w:rPr>
          <w:rFonts w:hint="eastAsia" w:ascii="宋体" w:hAnsi="宋体" w:eastAsia="宋体" w:cs="宋体"/>
          <w:sz w:val="21"/>
          <w:szCs w:val="21"/>
          <w:highlight w:val="none"/>
          <w:u w:val="none"/>
          <w:lang w:val="en-US" w:eastAsia="zh-CN"/>
        </w:rPr>
        <w:t>技术要求和商务要求</w:t>
      </w:r>
      <w:r>
        <w:rPr>
          <w:rFonts w:hint="eastAsia" w:ascii="宋体" w:hAnsi="宋体" w:eastAsia="宋体" w:cs="宋体"/>
          <w:sz w:val="21"/>
          <w:szCs w:val="21"/>
          <w:highlight w:val="none"/>
        </w:rPr>
        <w:t>、联合协议、分包</w:t>
      </w:r>
      <w:r>
        <w:rPr>
          <w:rFonts w:hint="eastAsia" w:ascii="宋体" w:hAnsi="宋体" w:eastAsia="宋体" w:cs="宋体"/>
          <w:sz w:val="21"/>
          <w:szCs w:val="21"/>
          <w:highlight w:val="none"/>
          <w:lang w:eastAsia="zh-CN"/>
        </w:rPr>
        <w:t>意向</w:t>
      </w:r>
      <w:r>
        <w:rPr>
          <w:rFonts w:hint="eastAsia" w:ascii="宋体" w:hAnsi="宋体" w:eastAsia="宋体" w:cs="宋体"/>
          <w:sz w:val="21"/>
          <w:szCs w:val="21"/>
          <w:highlight w:val="none"/>
        </w:rPr>
        <w:t>协议等。</w:t>
      </w:r>
    </w:p>
    <w:p w14:paraId="59F4414F">
      <w:pPr>
        <w:pStyle w:val="133"/>
        <w:spacing w:beforeLines="0" w:line="400" w:lineRule="exact"/>
        <w:rPr>
          <w:rFonts w:hint="eastAsia" w:ascii="宋体" w:hAnsi="宋体" w:eastAsia="宋体" w:cs="宋体"/>
          <w:highlight w:val="none"/>
        </w:rPr>
      </w:pPr>
    </w:p>
    <w:p w14:paraId="7B76D5B2">
      <w:pPr>
        <w:pStyle w:val="3"/>
        <w:spacing w:beforeLines="0" w:line="40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highlight w:val="none"/>
          <w:lang w:val="en"/>
        </w:rPr>
        <w:t xml:space="preserve">   </w:t>
      </w:r>
    </w:p>
    <w:p w14:paraId="4B459B53">
      <w:pPr>
        <w:rPr>
          <w:rFonts w:hint="eastAsia" w:ascii="宋体" w:hAnsi="宋体" w:eastAsia="宋体" w:cs="宋体"/>
          <w:highlight w:val="none"/>
        </w:rPr>
      </w:pPr>
      <w:r>
        <w:rPr>
          <w:rFonts w:hint="eastAsia" w:ascii="宋体" w:hAnsi="宋体" w:eastAsia="宋体" w:cs="宋体"/>
          <w:highlight w:val="none"/>
        </w:rPr>
        <w:br w:type="page"/>
      </w:r>
    </w:p>
    <w:p w14:paraId="6B51FE38">
      <w:pPr>
        <w:pStyle w:val="133"/>
        <w:rPr>
          <w:rFonts w:hint="eastAsia" w:ascii="宋体" w:hAnsi="宋体" w:eastAsia="宋体" w:cs="宋体"/>
          <w:highlight w:val="none"/>
        </w:rPr>
      </w:pPr>
    </w:p>
    <w:tbl>
      <w:tblPr>
        <w:tblStyle w:val="4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99"/>
        <w:gridCol w:w="2676"/>
        <w:gridCol w:w="2196"/>
        <w:gridCol w:w="2348"/>
      </w:tblGrid>
      <w:tr w14:paraId="36974C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333A7972">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甲方（采购人</w:t>
            </w:r>
            <w:r>
              <w:rPr>
                <w:rFonts w:hint="eastAsia" w:ascii="宋体" w:hAnsi="宋体" w:eastAsia="宋体" w:cs="宋体"/>
                <w:sz w:val="21"/>
                <w:szCs w:val="21"/>
                <w:highlight w:val="none"/>
                <w:lang w:eastAsia="zh-CN"/>
              </w:rPr>
              <w:t>、受采购人委托签订合同的单位</w:t>
            </w:r>
            <w:r>
              <w:rPr>
                <w:rFonts w:hint="eastAsia" w:ascii="宋体" w:hAnsi="宋体" w:eastAsia="宋体" w:cs="宋体"/>
                <w:sz w:val="21"/>
                <w:szCs w:val="21"/>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02FDB224">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乙方（供应商）</w:t>
            </w:r>
          </w:p>
        </w:tc>
      </w:tr>
      <w:tr w14:paraId="134028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751EBA9E">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单位名称（公章</w:t>
            </w:r>
            <w:r>
              <w:rPr>
                <w:rFonts w:hint="eastAsia" w:ascii="宋体" w:hAnsi="宋体" w:eastAsia="宋体" w:cs="宋体"/>
                <w:sz w:val="21"/>
                <w:szCs w:val="21"/>
                <w:highlight w:val="none"/>
                <w:lang w:eastAsia="zh-CN"/>
              </w:rPr>
              <w:t>或合同章</w:t>
            </w:r>
            <w:r>
              <w:rPr>
                <w:rFonts w:hint="eastAsia" w:ascii="宋体" w:hAnsi="宋体" w:eastAsia="宋体" w:cs="宋体"/>
                <w:sz w:val="21"/>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2C21F0">
            <w:pPr>
              <w:adjustRightInd w:val="0"/>
              <w:snapToGrid w:val="0"/>
              <w:spacing w:line="300" w:lineRule="exact"/>
              <w:jc w:val="center"/>
              <w:rPr>
                <w:rFonts w:hint="eastAsia" w:ascii="宋体" w:hAnsi="宋体" w:eastAsia="宋体" w:cs="宋体"/>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F0BC53">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单位名称（公章</w:t>
            </w:r>
            <w:r>
              <w:rPr>
                <w:rFonts w:hint="eastAsia" w:ascii="宋体" w:hAnsi="宋体" w:eastAsia="宋体" w:cs="宋体"/>
                <w:sz w:val="21"/>
                <w:szCs w:val="21"/>
                <w:highlight w:val="none"/>
                <w:lang w:eastAsia="zh-CN"/>
              </w:rPr>
              <w:t>或合同章</w:t>
            </w:r>
            <w:r>
              <w:rPr>
                <w:rFonts w:hint="eastAsia" w:ascii="宋体" w:hAnsi="宋体" w:eastAsia="宋体" w:cs="宋体"/>
                <w:sz w:val="21"/>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4F004B3D">
            <w:pPr>
              <w:adjustRightInd w:val="0"/>
              <w:snapToGrid w:val="0"/>
              <w:spacing w:line="300" w:lineRule="exact"/>
              <w:jc w:val="center"/>
              <w:rPr>
                <w:rFonts w:hint="eastAsia" w:ascii="宋体" w:hAnsi="宋体" w:eastAsia="宋体" w:cs="宋体"/>
                <w:spacing w:val="20"/>
                <w:sz w:val="21"/>
                <w:szCs w:val="21"/>
                <w:highlight w:val="none"/>
              </w:rPr>
            </w:pPr>
          </w:p>
        </w:tc>
      </w:tr>
      <w:tr w14:paraId="5C0578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741CA1E5">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p w14:paraId="05D7B5DE">
            <w:pPr>
              <w:adjustRightInd w:val="0"/>
              <w:snapToGrid w:val="0"/>
              <w:spacing w:line="300" w:lineRule="exact"/>
              <w:ind w:firstLine="100" w:firstLineChars="4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37D4A305">
            <w:pPr>
              <w:adjustRightInd w:val="0"/>
              <w:snapToGrid w:val="0"/>
              <w:spacing w:line="300" w:lineRule="exact"/>
              <w:jc w:val="center"/>
              <w:rPr>
                <w:rFonts w:hint="eastAsia" w:ascii="宋体" w:hAnsi="宋体" w:eastAsia="宋体" w:cs="宋体"/>
                <w:sz w:val="21"/>
                <w:szCs w:val="21"/>
                <w:highlight w:val="none"/>
              </w:rPr>
            </w:pPr>
          </w:p>
        </w:tc>
        <w:tc>
          <w:tcPr>
            <w:tcW w:w="1178" w:type="pct"/>
            <w:tcBorders>
              <w:top w:val="single" w:color="auto" w:sz="2" w:space="0"/>
              <w:left w:val="single" w:color="auto" w:sz="2" w:space="0"/>
              <w:right w:val="single" w:color="auto" w:sz="2" w:space="0"/>
            </w:tcBorders>
            <w:noWrap w:val="0"/>
            <w:vAlign w:val="center"/>
          </w:tcPr>
          <w:p w14:paraId="4D0B935D">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p w14:paraId="03AAFD51">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657ADEC7">
            <w:pPr>
              <w:adjustRightInd w:val="0"/>
              <w:snapToGrid w:val="0"/>
              <w:spacing w:line="300" w:lineRule="exact"/>
              <w:jc w:val="center"/>
              <w:rPr>
                <w:rFonts w:hint="eastAsia" w:ascii="宋体" w:hAnsi="宋体" w:eastAsia="宋体" w:cs="宋体"/>
                <w:sz w:val="21"/>
                <w:szCs w:val="21"/>
                <w:highlight w:val="none"/>
              </w:rPr>
            </w:pPr>
          </w:p>
        </w:tc>
      </w:tr>
      <w:tr w14:paraId="2697CA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5C9D99F9">
            <w:pPr>
              <w:adjustRightInd w:val="0"/>
              <w:snapToGrid w:val="0"/>
              <w:spacing w:line="300" w:lineRule="exact"/>
              <w:jc w:val="center"/>
              <w:rPr>
                <w:rFonts w:hint="eastAsia" w:ascii="宋体" w:hAnsi="宋体" w:eastAsia="宋体" w:cs="宋体"/>
                <w:sz w:val="21"/>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33D59C5F">
            <w:pPr>
              <w:adjustRightInd w:val="0"/>
              <w:snapToGrid w:val="0"/>
              <w:spacing w:line="300" w:lineRule="exact"/>
              <w:jc w:val="center"/>
              <w:rPr>
                <w:rFonts w:hint="eastAsia" w:ascii="宋体" w:hAnsi="宋体" w:eastAsia="宋体" w:cs="宋体"/>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93604E3">
            <w:pPr>
              <w:adjustRightInd w:val="0"/>
              <w:snapToGrid w:val="0"/>
              <w:spacing w:line="3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1198D256">
            <w:pPr>
              <w:adjustRightInd w:val="0"/>
              <w:snapToGrid w:val="0"/>
              <w:spacing w:line="300" w:lineRule="exact"/>
              <w:jc w:val="center"/>
              <w:rPr>
                <w:rFonts w:hint="eastAsia" w:ascii="宋体" w:hAnsi="宋体" w:eastAsia="宋体" w:cs="宋体"/>
                <w:spacing w:val="20"/>
                <w:sz w:val="21"/>
                <w:szCs w:val="21"/>
                <w:highlight w:val="none"/>
              </w:rPr>
            </w:pPr>
          </w:p>
        </w:tc>
      </w:tr>
      <w:tr w14:paraId="295796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6600552">
            <w:pPr>
              <w:adjustRightInd w:val="0"/>
              <w:snapToGrid w:val="0"/>
              <w:spacing w:line="3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住</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4122B7F">
            <w:pPr>
              <w:adjustRightInd w:val="0"/>
              <w:snapToGrid w:val="0"/>
              <w:spacing w:line="300" w:lineRule="exact"/>
              <w:jc w:val="center"/>
              <w:rPr>
                <w:rFonts w:hint="eastAsia" w:ascii="宋体" w:hAnsi="宋体" w:eastAsia="宋体" w:cs="宋体"/>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1E6E537">
            <w:pPr>
              <w:adjustRightInd w:val="0"/>
              <w:snapToGrid w:val="0"/>
              <w:spacing w:line="3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住</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10F21AF2">
            <w:pPr>
              <w:adjustRightInd w:val="0"/>
              <w:snapToGrid w:val="0"/>
              <w:spacing w:line="300" w:lineRule="exact"/>
              <w:jc w:val="center"/>
              <w:rPr>
                <w:rFonts w:hint="eastAsia" w:ascii="宋体" w:hAnsi="宋体" w:eastAsia="宋体" w:cs="宋体"/>
                <w:spacing w:val="20"/>
                <w:sz w:val="21"/>
                <w:szCs w:val="21"/>
                <w:highlight w:val="none"/>
              </w:rPr>
            </w:pPr>
          </w:p>
        </w:tc>
      </w:tr>
      <w:tr w14:paraId="160810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78939BA">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F255649">
            <w:pPr>
              <w:adjustRightInd w:val="0"/>
              <w:snapToGrid w:val="0"/>
              <w:spacing w:line="300" w:lineRule="exact"/>
              <w:jc w:val="center"/>
              <w:rPr>
                <w:rFonts w:hint="eastAsia" w:ascii="宋体" w:hAnsi="宋体" w:eastAsia="宋体" w:cs="宋体"/>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B0BF385">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15B3541C">
            <w:pPr>
              <w:adjustRightInd w:val="0"/>
              <w:snapToGrid w:val="0"/>
              <w:spacing w:line="300" w:lineRule="exact"/>
              <w:jc w:val="center"/>
              <w:rPr>
                <w:rFonts w:hint="eastAsia" w:ascii="宋体" w:hAnsi="宋体" w:eastAsia="宋体" w:cs="宋体"/>
                <w:spacing w:val="20"/>
                <w:sz w:val="21"/>
                <w:szCs w:val="21"/>
                <w:highlight w:val="none"/>
              </w:rPr>
            </w:pPr>
          </w:p>
        </w:tc>
      </w:tr>
      <w:tr w14:paraId="3A3A37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5B386F0">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0650840">
            <w:pPr>
              <w:adjustRightInd w:val="0"/>
              <w:snapToGrid w:val="0"/>
              <w:spacing w:line="300" w:lineRule="exact"/>
              <w:jc w:val="center"/>
              <w:rPr>
                <w:rFonts w:hint="eastAsia" w:ascii="宋体" w:hAnsi="宋体" w:eastAsia="宋体" w:cs="宋体"/>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CCCAA0C">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08113C1B">
            <w:pPr>
              <w:adjustRightInd w:val="0"/>
              <w:snapToGrid w:val="0"/>
              <w:spacing w:line="300" w:lineRule="exact"/>
              <w:jc w:val="center"/>
              <w:rPr>
                <w:rFonts w:hint="eastAsia" w:ascii="宋体" w:hAnsi="宋体" w:eastAsia="宋体" w:cs="宋体"/>
                <w:spacing w:val="20"/>
                <w:sz w:val="21"/>
                <w:szCs w:val="21"/>
                <w:highlight w:val="none"/>
              </w:rPr>
            </w:pPr>
          </w:p>
        </w:tc>
      </w:tr>
      <w:tr w14:paraId="39B956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82FEC95">
            <w:pPr>
              <w:adjustRightInd w:val="0"/>
              <w:snapToGrid w:val="0"/>
              <w:spacing w:line="3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61A9972">
            <w:pPr>
              <w:adjustRightInd w:val="0"/>
              <w:snapToGrid w:val="0"/>
              <w:spacing w:line="300" w:lineRule="exact"/>
              <w:jc w:val="center"/>
              <w:rPr>
                <w:rFonts w:hint="eastAsia" w:ascii="宋体" w:hAnsi="宋体" w:eastAsia="宋体" w:cs="宋体"/>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0CB8AA">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49A62652">
            <w:pPr>
              <w:adjustRightInd w:val="0"/>
              <w:snapToGrid w:val="0"/>
              <w:spacing w:line="300" w:lineRule="exact"/>
              <w:jc w:val="center"/>
              <w:rPr>
                <w:rFonts w:hint="eastAsia" w:ascii="宋体" w:hAnsi="宋体" w:eastAsia="宋体" w:cs="宋体"/>
                <w:spacing w:val="20"/>
                <w:sz w:val="21"/>
                <w:szCs w:val="21"/>
                <w:highlight w:val="none"/>
              </w:rPr>
            </w:pPr>
          </w:p>
        </w:tc>
      </w:tr>
      <w:tr w14:paraId="591F09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9883122">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E4F1AD">
            <w:pPr>
              <w:adjustRightInd w:val="0"/>
              <w:snapToGrid w:val="0"/>
              <w:spacing w:line="300" w:lineRule="exact"/>
              <w:jc w:val="center"/>
              <w:rPr>
                <w:rFonts w:hint="eastAsia" w:ascii="宋体" w:hAnsi="宋体" w:eastAsia="宋体" w:cs="宋体"/>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CCC56B8">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17E3D280">
            <w:pPr>
              <w:adjustRightInd w:val="0"/>
              <w:snapToGrid w:val="0"/>
              <w:spacing w:line="300" w:lineRule="exact"/>
              <w:jc w:val="center"/>
              <w:rPr>
                <w:rFonts w:hint="eastAsia" w:ascii="宋体" w:hAnsi="宋体" w:eastAsia="宋体" w:cs="宋体"/>
                <w:spacing w:val="20"/>
                <w:sz w:val="21"/>
                <w:szCs w:val="21"/>
                <w:highlight w:val="none"/>
              </w:rPr>
            </w:pPr>
          </w:p>
        </w:tc>
      </w:tr>
      <w:tr w14:paraId="4FF9B6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D506941">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9356E3B">
            <w:pPr>
              <w:adjustRightInd w:val="0"/>
              <w:snapToGrid w:val="0"/>
              <w:spacing w:line="300" w:lineRule="exact"/>
              <w:jc w:val="center"/>
              <w:rPr>
                <w:rFonts w:hint="eastAsia" w:ascii="宋体" w:hAnsi="宋体" w:eastAsia="宋体" w:cs="宋体"/>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C04F35">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10587EA1">
            <w:pPr>
              <w:adjustRightInd w:val="0"/>
              <w:snapToGrid w:val="0"/>
              <w:spacing w:line="300" w:lineRule="exact"/>
              <w:jc w:val="center"/>
              <w:rPr>
                <w:rFonts w:hint="eastAsia" w:ascii="宋体" w:hAnsi="宋体" w:eastAsia="宋体" w:cs="宋体"/>
                <w:spacing w:val="20"/>
                <w:sz w:val="21"/>
                <w:szCs w:val="21"/>
                <w:highlight w:val="none"/>
              </w:rPr>
            </w:pPr>
          </w:p>
        </w:tc>
      </w:tr>
      <w:tr w14:paraId="50013F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4DC7353">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562BEB4">
            <w:pPr>
              <w:adjustRightInd w:val="0"/>
              <w:snapToGrid w:val="0"/>
              <w:spacing w:line="300" w:lineRule="exact"/>
              <w:jc w:val="center"/>
              <w:rPr>
                <w:rFonts w:hint="eastAsia" w:ascii="宋体" w:hAnsi="宋体" w:eastAsia="宋体" w:cs="宋体"/>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3EA434D">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056B6181">
            <w:pPr>
              <w:adjustRightInd w:val="0"/>
              <w:snapToGrid w:val="0"/>
              <w:spacing w:line="300" w:lineRule="exact"/>
              <w:jc w:val="center"/>
              <w:rPr>
                <w:rFonts w:hint="eastAsia" w:ascii="宋体" w:hAnsi="宋体" w:eastAsia="宋体" w:cs="宋体"/>
                <w:spacing w:val="20"/>
                <w:sz w:val="21"/>
                <w:szCs w:val="21"/>
                <w:highlight w:val="none"/>
              </w:rPr>
            </w:pPr>
          </w:p>
        </w:tc>
      </w:tr>
      <w:tr w14:paraId="005774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50C7EC2">
            <w:pPr>
              <w:adjustRightInd w:val="0"/>
              <w:snapToGrid w:val="0"/>
              <w:spacing w:line="300" w:lineRule="exact"/>
              <w:jc w:val="center"/>
              <w:rPr>
                <w:rFonts w:hint="eastAsia" w:ascii="宋体" w:hAnsi="宋体" w:eastAsia="宋体" w:cs="宋体"/>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811BAFC">
            <w:pPr>
              <w:adjustRightInd w:val="0"/>
              <w:snapToGrid w:val="0"/>
              <w:spacing w:line="300" w:lineRule="exact"/>
              <w:jc w:val="center"/>
              <w:rPr>
                <w:rFonts w:hint="eastAsia" w:ascii="宋体" w:hAnsi="宋体" w:eastAsia="宋体" w:cs="宋体"/>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8772001">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22B98666">
            <w:pPr>
              <w:adjustRightInd w:val="0"/>
              <w:snapToGrid w:val="0"/>
              <w:spacing w:line="300" w:lineRule="exact"/>
              <w:jc w:val="center"/>
              <w:rPr>
                <w:rFonts w:hint="eastAsia" w:ascii="宋体" w:hAnsi="宋体" w:eastAsia="宋体" w:cs="宋体"/>
                <w:spacing w:val="20"/>
                <w:sz w:val="21"/>
                <w:szCs w:val="21"/>
                <w:highlight w:val="none"/>
              </w:rPr>
            </w:pPr>
          </w:p>
        </w:tc>
      </w:tr>
      <w:tr w14:paraId="2856C7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CCB2662">
            <w:pPr>
              <w:adjustRightInd w:val="0"/>
              <w:snapToGrid w:val="0"/>
              <w:spacing w:line="300" w:lineRule="exact"/>
              <w:jc w:val="center"/>
              <w:rPr>
                <w:rFonts w:hint="eastAsia" w:ascii="宋体" w:hAnsi="宋体" w:eastAsia="宋体" w:cs="宋体"/>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B22440E">
            <w:pPr>
              <w:adjustRightInd w:val="0"/>
              <w:snapToGrid w:val="0"/>
              <w:spacing w:line="300" w:lineRule="exact"/>
              <w:jc w:val="center"/>
              <w:rPr>
                <w:rFonts w:hint="eastAsia" w:ascii="宋体" w:hAnsi="宋体" w:eastAsia="宋体" w:cs="宋体"/>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0BC3976">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2A058743">
            <w:pPr>
              <w:adjustRightInd w:val="0"/>
              <w:snapToGrid w:val="0"/>
              <w:spacing w:line="300" w:lineRule="exact"/>
              <w:jc w:val="center"/>
              <w:rPr>
                <w:rFonts w:hint="eastAsia" w:ascii="宋体" w:hAnsi="宋体" w:eastAsia="宋体" w:cs="宋体"/>
                <w:spacing w:val="20"/>
                <w:sz w:val="21"/>
                <w:szCs w:val="21"/>
                <w:highlight w:val="none"/>
              </w:rPr>
            </w:pPr>
          </w:p>
        </w:tc>
      </w:tr>
      <w:tr w14:paraId="5DFD03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8DC33FC">
            <w:pPr>
              <w:adjustRightInd w:val="0"/>
              <w:snapToGrid w:val="0"/>
              <w:spacing w:line="300" w:lineRule="exact"/>
              <w:jc w:val="center"/>
              <w:rPr>
                <w:rFonts w:hint="eastAsia" w:ascii="宋体" w:hAnsi="宋体" w:eastAsia="宋体" w:cs="宋体"/>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6AC3990">
            <w:pPr>
              <w:adjustRightInd w:val="0"/>
              <w:snapToGrid w:val="0"/>
              <w:spacing w:line="300" w:lineRule="exact"/>
              <w:jc w:val="center"/>
              <w:rPr>
                <w:rFonts w:hint="eastAsia" w:ascii="宋体" w:hAnsi="宋体" w:eastAsia="宋体" w:cs="宋体"/>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6EFA63B">
            <w:pPr>
              <w:adjustRightInd w:val="0"/>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229DB26C">
            <w:pPr>
              <w:adjustRightInd w:val="0"/>
              <w:snapToGrid w:val="0"/>
              <w:spacing w:line="300" w:lineRule="exact"/>
              <w:jc w:val="center"/>
              <w:rPr>
                <w:rFonts w:hint="eastAsia" w:ascii="宋体" w:hAnsi="宋体" w:eastAsia="宋体" w:cs="宋体"/>
                <w:spacing w:val="20"/>
                <w:sz w:val="21"/>
                <w:szCs w:val="21"/>
                <w:highlight w:val="none"/>
              </w:rPr>
            </w:pPr>
          </w:p>
        </w:tc>
      </w:tr>
      <w:tr w14:paraId="5B84CF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1351CB82">
            <w:pPr>
              <w:pStyle w:val="18"/>
              <w:adjustRightInd w:val="0"/>
              <w:snapToGrid w:val="0"/>
              <w:spacing w:before="156" w:beforeLines="50" w:after="0" w:line="360" w:lineRule="auto"/>
              <w:ind w:left="0" w:leftChars="0"/>
              <w:jc w:val="left"/>
              <w:rPr>
                <w:rFonts w:hint="eastAsia" w:ascii="宋体" w:hAnsi="宋体" w:eastAsia="宋体" w:cs="宋体"/>
                <w:spacing w:val="20"/>
                <w:sz w:val="21"/>
                <w:szCs w:val="21"/>
                <w:highlight w:val="none"/>
              </w:rPr>
            </w:pPr>
            <w:r>
              <w:rPr>
                <w:rFonts w:hint="eastAsia" w:ascii="宋体" w:hAnsi="宋体" w:eastAsia="宋体" w:cs="宋体"/>
                <w:sz w:val="21"/>
                <w:szCs w:val="21"/>
                <w:highlight w:val="none"/>
              </w:rPr>
              <w:t>注：涉及联合体或其他合同主体的信息应按上表格式加列。</w:t>
            </w:r>
          </w:p>
        </w:tc>
      </w:tr>
    </w:tbl>
    <w:p w14:paraId="1615CC8C">
      <w:pPr>
        <w:pStyle w:val="2"/>
        <w:spacing w:before="0" w:after="0" w:line="360" w:lineRule="auto"/>
        <w:jc w:val="center"/>
        <w:rPr>
          <w:rFonts w:ascii="宋体" w:hAnsi="宋体" w:cs="宋体"/>
          <w:color w:val="auto"/>
          <w:sz w:val="36"/>
          <w:szCs w:val="36"/>
          <w:highlight w:val="none"/>
        </w:rPr>
      </w:pPr>
      <w:r>
        <w:rPr>
          <w:rFonts w:hint="eastAsia" w:ascii="宋体" w:hAnsi="宋体" w:eastAsia="宋体" w:cs="宋体"/>
          <w:sz w:val="21"/>
          <w:szCs w:val="21"/>
          <w:highlight w:val="none"/>
          <w:u w:val="single"/>
        </w:rPr>
        <w:br w:type="page"/>
      </w:r>
    </w:p>
    <w:p w14:paraId="6121D49B">
      <w:pPr>
        <w:rPr>
          <w:rFonts w:hint="eastAsia" w:ascii="宋体" w:hAnsi="宋体" w:cs="宋体"/>
          <w:color w:val="auto"/>
          <w:sz w:val="36"/>
          <w:szCs w:val="36"/>
          <w:highlight w:val="none"/>
        </w:rPr>
      </w:pPr>
      <w:bookmarkStart w:id="57" w:name="_Toc10055"/>
    </w:p>
    <w:p w14:paraId="4C8567F0">
      <w:pPr>
        <w:pStyle w:val="2"/>
        <w:spacing w:before="0" w:after="0"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 xml:space="preserve">第六部分  </w:t>
      </w:r>
      <w:bookmarkEnd w:id="50"/>
      <w:r>
        <w:rPr>
          <w:rFonts w:hint="eastAsia" w:ascii="宋体" w:hAnsi="宋体" w:cs="宋体"/>
          <w:color w:val="auto"/>
          <w:sz w:val="36"/>
          <w:szCs w:val="36"/>
          <w:highlight w:val="none"/>
        </w:rPr>
        <w:t>投标文件格式</w:t>
      </w:r>
      <w:bookmarkEnd w:id="57"/>
    </w:p>
    <w:p w14:paraId="29BDE9BA">
      <w:pPr>
        <w:spacing w:line="440" w:lineRule="exact"/>
        <w:rPr>
          <w:rFonts w:ascii="宋体" w:hAnsi="宋体" w:cs="宋体"/>
          <w:color w:val="auto"/>
          <w:highlight w:val="none"/>
        </w:rPr>
      </w:pPr>
    </w:p>
    <w:p w14:paraId="2CAD3094">
      <w:pPr>
        <w:rPr>
          <w:rFonts w:ascii="宋体" w:hAnsi="宋体" w:cs="宋体"/>
          <w:color w:val="auto"/>
          <w:highlight w:val="none"/>
        </w:rPr>
      </w:pPr>
      <w:r>
        <w:rPr>
          <w:rFonts w:hint="eastAsia" w:ascii="宋体" w:hAnsi="宋体" w:cs="宋体"/>
          <w:color w:val="auto"/>
          <w:highlight w:val="none"/>
        </w:rPr>
        <w:br w:type="page"/>
      </w:r>
    </w:p>
    <w:bookmarkEnd w:id="51"/>
    <w:p w14:paraId="0ED2BCD3">
      <w:pPr>
        <w:pStyle w:val="63"/>
        <w:jc w:val="right"/>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eastAsia="zh-CN"/>
        </w:rPr>
        <w:t>正</w:t>
      </w:r>
      <w:r>
        <w:rPr>
          <w:rFonts w:hint="eastAsia" w:ascii="宋体" w:hAnsi="宋体" w:eastAsia="宋体" w:cs="宋体"/>
          <w:b/>
          <w:bCs/>
          <w:color w:val="auto"/>
          <w:sz w:val="36"/>
          <w:szCs w:val="36"/>
          <w:highlight w:val="none"/>
          <w:lang w:val="en-US" w:eastAsia="zh-CN"/>
        </w:rPr>
        <w:t>/副本</w:t>
      </w:r>
    </w:p>
    <w:p w14:paraId="161C12D5">
      <w:pPr>
        <w:pStyle w:val="63"/>
        <w:rPr>
          <w:rFonts w:hint="eastAsia" w:ascii="宋体" w:hAnsi="宋体" w:eastAsia="宋体" w:cs="宋体"/>
          <w:color w:val="auto"/>
          <w:highlight w:val="none"/>
        </w:rPr>
      </w:pPr>
    </w:p>
    <w:p w14:paraId="60B35F10">
      <w:pPr>
        <w:pStyle w:val="63"/>
        <w:rPr>
          <w:rFonts w:hint="eastAsia" w:ascii="宋体" w:hAnsi="宋体" w:eastAsia="宋体" w:cs="宋体"/>
          <w:color w:val="auto"/>
          <w:highlight w:val="none"/>
        </w:rPr>
      </w:pPr>
    </w:p>
    <w:p w14:paraId="73C0CBC8">
      <w:pPr>
        <w:spacing w:line="440" w:lineRule="exact"/>
        <w:rPr>
          <w:rFonts w:hint="eastAsia" w:ascii="宋体" w:hAnsi="宋体" w:eastAsia="宋体" w:cs="宋体"/>
          <w:color w:val="auto"/>
          <w:highlight w:val="none"/>
        </w:rPr>
      </w:pPr>
    </w:p>
    <w:p w14:paraId="1B86998D">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（项目名称）</w:t>
      </w:r>
    </w:p>
    <w:p w14:paraId="5B796AC7">
      <w:pPr>
        <w:jc w:val="center"/>
        <w:rPr>
          <w:rFonts w:hint="eastAsia" w:ascii="宋体" w:hAnsi="宋体" w:eastAsia="宋体" w:cs="宋体"/>
          <w:color w:val="auto"/>
          <w:highlight w:val="none"/>
        </w:rPr>
      </w:pPr>
    </w:p>
    <w:p w14:paraId="7859569B">
      <w:pPr>
        <w:rPr>
          <w:rFonts w:hint="eastAsia" w:ascii="宋体" w:hAnsi="宋体" w:eastAsia="宋体" w:cs="宋体"/>
          <w:color w:val="auto"/>
          <w:highlight w:val="none"/>
        </w:rPr>
      </w:pPr>
    </w:p>
    <w:p w14:paraId="1CF8FE0D">
      <w:pPr>
        <w:pStyle w:val="63"/>
        <w:rPr>
          <w:rFonts w:hint="eastAsia" w:ascii="宋体" w:hAnsi="宋体" w:eastAsia="宋体" w:cs="宋体"/>
          <w:color w:val="auto"/>
          <w:highlight w:val="none"/>
        </w:rPr>
      </w:pPr>
    </w:p>
    <w:p w14:paraId="0D8F989F">
      <w:pPr>
        <w:jc w:val="center"/>
        <w:rPr>
          <w:rFonts w:hint="eastAsia" w:ascii="宋体" w:hAnsi="宋体" w:eastAsia="宋体" w:cs="宋体"/>
          <w:color w:val="auto"/>
          <w:sz w:val="144"/>
          <w:szCs w:val="144"/>
          <w:highlight w:val="none"/>
        </w:rPr>
      </w:pPr>
      <w:r>
        <w:rPr>
          <w:rFonts w:hint="eastAsia" w:ascii="宋体" w:hAnsi="宋体" w:eastAsia="宋体" w:cs="宋体"/>
          <w:color w:val="auto"/>
          <w:sz w:val="144"/>
          <w:szCs w:val="144"/>
          <w:highlight w:val="none"/>
        </w:rPr>
        <w:t>投标文件</w:t>
      </w:r>
    </w:p>
    <w:p w14:paraId="2F944345">
      <w:pPr>
        <w:jc w:val="center"/>
        <w:rPr>
          <w:rFonts w:hint="eastAsia" w:ascii="宋体" w:hAnsi="宋体" w:eastAsia="宋体" w:cs="宋体"/>
          <w:color w:val="auto"/>
          <w:sz w:val="28"/>
          <w:szCs w:val="28"/>
          <w:highlight w:val="none"/>
        </w:rPr>
      </w:pPr>
    </w:p>
    <w:p w14:paraId="497F20F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项目</w:t>
      </w:r>
      <w:r>
        <w:rPr>
          <w:rFonts w:hint="eastAsia" w:ascii="宋体" w:hAnsi="宋体" w:eastAsia="宋体" w:cs="宋体"/>
          <w:color w:val="auto"/>
          <w:sz w:val="28"/>
          <w:szCs w:val="28"/>
          <w:highlight w:val="none"/>
        </w:rPr>
        <w:t>编号：</w:t>
      </w:r>
    </w:p>
    <w:p w14:paraId="08C36490">
      <w:pPr>
        <w:rPr>
          <w:rFonts w:hint="eastAsia" w:ascii="宋体" w:hAnsi="宋体" w:eastAsia="宋体" w:cs="宋体"/>
          <w:color w:val="auto"/>
          <w:sz w:val="28"/>
          <w:szCs w:val="28"/>
          <w:highlight w:val="none"/>
        </w:rPr>
      </w:pPr>
    </w:p>
    <w:p w14:paraId="3D06BC97">
      <w:pPr>
        <w:rPr>
          <w:rFonts w:hint="eastAsia" w:ascii="宋体" w:hAnsi="宋体" w:eastAsia="宋体" w:cs="宋体"/>
          <w:color w:val="auto"/>
          <w:sz w:val="28"/>
          <w:szCs w:val="28"/>
          <w:highlight w:val="none"/>
        </w:rPr>
      </w:pPr>
    </w:p>
    <w:p w14:paraId="031EF3BD">
      <w:pPr>
        <w:rPr>
          <w:rFonts w:hint="eastAsia" w:ascii="宋体" w:hAnsi="宋体" w:eastAsia="宋体" w:cs="宋体"/>
          <w:color w:val="auto"/>
          <w:sz w:val="28"/>
          <w:szCs w:val="28"/>
          <w:highlight w:val="none"/>
        </w:rPr>
      </w:pPr>
    </w:p>
    <w:p w14:paraId="5CF34CAD">
      <w:pPr>
        <w:rPr>
          <w:rFonts w:hint="eastAsia" w:ascii="宋体" w:hAnsi="宋体" w:eastAsia="宋体" w:cs="宋体"/>
          <w:color w:val="auto"/>
          <w:sz w:val="28"/>
          <w:szCs w:val="28"/>
          <w:highlight w:val="none"/>
        </w:rPr>
      </w:pPr>
    </w:p>
    <w:p w14:paraId="29469A49">
      <w:pPr>
        <w:rPr>
          <w:rFonts w:hint="eastAsia" w:ascii="宋体" w:hAnsi="宋体" w:eastAsia="宋体" w:cs="宋体"/>
          <w:color w:val="auto"/>
          <w:sz w:val="28"/>
          <w:szCs w:val="28"/>
          <w:highlight w:val="none"/>
        </w:rPr>
      </w:pPr>
    </w:p>
    <w:p w14:paraId="49053EB2">
      <w:pPr>
        <w:rPr>
          <w:rFonts w:hint="eastAsia" w:ascii="宋体" w:hAnsi="宋体" w:eastAsia="宋体" w:cs="宋体"/>
          <w:color w:val="auto"/>
          <w:sz w:val="28"/>
          <w:szCs w:val="28"/>
          <w:highlight w:val="none"/>
        </w:rPr>
      </w:pPr>
    </w:p>
    <w:p w14:paraId="6CC80D7A">
      <w:pPr>
        <w:rPr>
          <w:rFonts w:hint="eastAsia" w:ascii="宋体" w:hAnsi="宋体" w:eastAsia="宋体" w:cs="宋体"/>
          <w:color w:val="auto"/>
          <w:sz w:val="28"/>
          <w:szCs w:val="28"/>
          <w:highlight w:val="none"/>
        </w:rPr>
      </w:pPr>
    </w:p>
    <w:p w14:paraId="25BFE309">
      <w:pPr>
        <w:rPr>
          <w:rFonts w:hint="eastAsia" w:ascii="宋体" w:hAnsi="宋体" w:eastAsia="宋体" w:cs="宋体"/>
          <w:color w:val="auto"/>
          <w:sz w:val="28"/>
          <w:szCs w:val="28"/>
          <w:highlight w:val="none"/>
        </w:rPr>
      </w:pPr>
    </w:p>
    <w:p w14:paraId="11C6360F">
      <w:pPr>
        <w:rPr>
          <w:rFonts w:hint="eastAsia" w:ascii="宋体" w:hAnsi="宋体" w:eastAsia="宋体" w:cs="宋体"/>
          <w:color w:val="auto"/>
          <w:sz w:val="28"/>
          <w:szCs w:val="28"/>
          <w:highlight w:val="none"/>
        </w:rPr>
      </w:pPr>
    </w:p>
    <w:p w14:paraId="7F0C29FC">
      <w:pPr>
        <w:rPr>
          <w:rFonts w:hint="eastAsia" w:ascii="宋体" w:hAnsi="宋体" w:eastAsia="宋体" w:cs="宋体"/>
          <w:color w:val="auto"/>
          <w:sz w:val="28"/>
          <w:szCs w:val="28"/>
          <w:highlight w:val="none"/>
        </w:rPr>
      </w:pPr>
    </w:p>
    <w:p w14:paraId="02929CF7">
      <w:pPr>
        <w:spacing w:line="360" w:lineRule="auto"/>
        <w:rPr>
          <w:rFonts w:hint="eastAsia" w:ascii="宋体" w:hAnsi="宋体" w:eastAsia="宋体" w:cs="宋体"/>
          <w:color w:val="auto"/>
          <w:sz w:val="28"/>
          <w:szCs w:val="28"/>
          <w:highlight w:val="none"/>
        </w:rPr>
      </w:pPr>
    </w:p>
    <w:p w14:paraId="68BB53B7">
      <w:pPr>
        <w:keepNext w:val="0"/>
        <w:keepLines w:val="0"/>
        <w:pageBreakBefore w:val="0"/>
        <w:widowControl/>
        <w:kinsoku/>
        <w:wordWrap/>
        <w:overflowPunct/>
        <w:topLinePunct w:val="0"/>
        <w:autoSpaceDE/>
        <w:autoSpaceDN/>
        <w:bidi w:val="0"/>
        <w:adjustRightInd/>
        <w:snapToGrid/>
        <w:spacing w:line="480" w:lineRule="auto"/>
        <w:ind w:firstLine="1120" w:firstLineChars="400"/>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53471C3A">
      <w:pPr>
        <w:keepNext w:val="0"/>
        <w:keepLines w:val="0"/>
        <w:pageBreakBefore w:val="0"/>
        <w:widowControl/>
        <w:kinsoku/>
        <w:wordWrap/>
        <w:overflowPunct/>
        <w:topLinePunct w:val="0"/>
        <w:autoSpaceDE/>
        <w:autoSpaceDN/>
        <w:bidi w:val="0"/>
        <w:adjustRightInd/>
        <w:snapToGrid/>
        <w:spacing w:line="480" w:lineRule="auto"/>
        <w:ind w:firstLine="1120" w:firstLineChars="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w:t>
      </w:r>
    </w:p>
    <w:p w14:paraId="0C3195C0">
      <w:pPr>
        <w:keepNext w:val="0"/>
        <w:keepLines w:val="0"/>
        <w:pageBreakBefore w:val="0"/>
        <w:widowControl/>
        <w:kinsoku/>
        <w:wordWrap/>
        <w:overflowPunct/>
        <w:topLinePunct w:val="0"/>
        <w:autoSpaceDE/>
        <w:autoSpaceDN/>
        <w:bidi w:val="0"/>
        <w:adjustRightInd/>
        <w:snapToGrid/>
        <w:spacing w:line="480" w:lineRule="auto"/>
        <w:ind w:firstLine="1120" w:firstLineChars="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none"/>
          <w:lang w:eastAsia="zh-CN"/>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A456C32">
      <w:pPr>
        <w:spacing w:line="36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p>
    <w:p w14:paraId="4BA6EC4F">
      <w:pPr>
        <w:spacing w:line="360" w:lineRule="auto"/>
        <w:jc w:val="center"/>
        <w:rPr>
          <w:rFonts w:hint="eastAsia" w:ascii="宋体" w:hAnsi="宋体" w:eastAsia="宋体" w:cs="宋体"/>
          <w:b/>
          <w:color w:val="auto"/>
          <w:sz w:val="36"/>
          <w:szCs w:val="36"/>
          <w:highlight w:val="none"/>
        </w:rPr>
      </w:pPr>
    </w:p>
    <w:p w14:paraId="100354BF">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目  录</w:t>
      </w:r>
    </w:p>
    <w:p w14:paraId="05CC2569">
      <w:pPr>
        <w:spacing w:line="360" w:lineRule="auto"/>
        <w:ind w:firstLine="480" w:firstLineChars="200"/>
        <w:jc w:val="both"/>
        <w:rPr>
          <w:rFonts w:hint="eastAsia" w:ascii="宋体" w:hAnsi="宋体" w:eastAsia="宋体" w:cs="宋体"/>
          <w:color w:val="auto"/>
          <w:sz w:val="24"/>
          <w:highlight w:val="none"/>
        </w:rPr>
      </w:pPr>
    </w:p>
    <w:p w14:paraId="2D108D5B">
      <w:pPr>
        <w:pStyle w:val="94"/>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p>
    <w:p w14:paraId="38C2C502">
      <w:pPr>
        <w:pStyle w:val="94"/>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476" w:firstLineChars="17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投标明细报价表</w:t>
      </w:r>
    </w:p>
    <w:p w14:paraId="4A0A9219">
      <w:pPr>
        <w:pStyle w:val="136"/>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p w14:paraId="324DC2AE">
      <w:pPr>
        <w:pStyle w:val="136"/>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法定代表人身份证明书</w:t>
      </w:r>
    </w:p>
    <w:p w14:paraId="643DF6E3">
      <w:pPr>
        <w:pStyle w:val="136"/>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14:paraId="011F5A14">
      <w:pPr>
        <w:pStyle w:val="136"/>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供应商基本情况说明</w:t>
      </w:r>
    </w:p>
    <w:p w14:paraId="1EC151AA">
      <w:pPr>
        <w:pStyle w:val="136"/>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承诺书</w:t>
      </w:r>
    </w:p>
    <w:p w14:paraId="55EE32C3">
      <w:pPr>
        <w:pStyle w:val="136"/>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商务偏离表</w:t>
      </w:r>
    </w:p>
    <w:p w14:paraId="5513FD29">
      <w:pPr>
        <w:pStyle w:val="136"/>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企业业绩表</w:t>
      </w:r>
    </w:p>
    <w:p w14:paraId="292122FC">
      <w:pPr>
        <w:pStyle w:val="136"/>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资格声明</w:t>
      </w:r>
    </w:p>
    <w:p w14:paraId="122A32BD">
      <w:pPr>
        <w:pStyle w:val="94"/>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技术参数偏离表</w:t>
      </w:r>
    </w:p>
    <w:p w14:paraId="3E870B81">
      <w:pPr>
        <w:pStyle w:val="94"/>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技术参数承诺书</w:t>
      </w:r>
    </w:p>
    <w:p w14:paraId="30C6330C">
      <w:pPr>
        <w:pStyle w:val="94"/>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528"/>
        <w:textAlignment w:val="auto"/>
        <w:rPr>
          <w:rFonts w:hint="eastAsia" w:ascii="宋体" w:hAnsi="宋体" w:eastAsia="宋体" w:cs="宋体"/>
          <w:color w:val="auto"/>
          <w:sz w:val="24"/>
          <w:szCs w:val="24"/>
          <w:highlight w:val="none"/>
        </w:rPr>
      </w:pPr>
      <w:r>
        <w:rPr>
          <w:rStyle w:val="48"/>
          <w:rFonts w:hint="eastAsia" w:ascii="宋体" w:hAnsi="宋体" w:eastAsia="宋体" w:cs="宋体"/>
          <w:b w:val="0"/>
          <w:color w:val="auto"/>
          <w:spacing w:val="12"/>
          <w:sz w:val="24"/>
          <w:szCs w:val="24"/>
          <w:highlight w:val="none"/>
        </w:rPr>
        <w:t>投标货物详细说明</w:t>
      </w:r>
    </w:p>
    <w:p w14:paraId="7E789BDF">
      <w:pPr>
        <w:pStyle w:val="94"/>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528"/>
        <w:textAlignment w:val="auto"/>
        <w:rPr>
          <w:rFonts w:hint="eastAsia" w:ascii="宋体" w:hAnsi="宋体" w:eastAsia="宋体" w:cs="宋体"/>
          <w:color w:val="auto"/>
          <w:sz w:val="24"/>
          <w:szCs w:val="24"/>
          <w:highlight w:val="none"/>
        </w:rPr>
      </w:pPr>
      <w:r>
        <w:rPr>
          <w:rStyle w:val="48"/>
          <w:rFonts w:hint="eastAsia" w:ascii="宋体" w:hAnsi="宋体" w:cs="宋体"/>
          <w:b w:val="0"/>
          <w:color w:val="auto"/>
          <w:spacing w:val="12"/>
          <w:sz w:val="24"/>
          <w:szCs w:val="24"/>
          <w:highlight w:val="none"/>
          <w:lang w:eastAsia="zh-CN"/>
        </w:rPr>
        <w:t>售后服务承诺书</w:t>
      </w:r>
    </w:p>
    <w:p w14:paraId="2D1BF34F">
      <w:pPr>
        <w:pStyle w:val="94"/>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具备履行合同所必需设备和专业技术能力承诺书</w:t>
      </w:r>
    </w:p>
    <w:p w14:paraId="68B859FD">
      <w:pPr>
        <w:pStyle w:val="94"/>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项目实施方案</w:t>
      </w:r>
      <w:r>
        <w:rPr>
          <w:rFonts w:hint="eastAsia" w:ascii="宋体" w:hAnsi="宋体" w:eastAsia="宋体" w:cs="宋体"/>
          <w:color w:val="auto"/>
          <w:sz w:val="24"/>
          <w:szCs w:val="24"/>
          <w:highlight w:val="none"/>
        </w:rPr>
        <w:t>（供应商自行编写）</w:t>
      </w:r>
    </w:p>
    <w:p w14:paraId="3445F9F3">
      <w:pPr>
        <w:pStyle w:val="94"/>
        <w:keepNext w:val="0"/>
        <w:keepLines w:val="0"/>
        <w:pageBreakBefore w:val="0"/>
        <w:widowControl w:val="0"/>
        <w:numPr>
          <w:ilvl w:val="0"/>
          <w:numId w:val="8"/>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供应商认为有必要提供的其他材料</w:t>
      </w:r>
    </w:p>
    <w:p w14:paraId="4E7AE796">
      <w:pPr>
        <w:spacing w:line="360" w:lineRule="auto"/>
        <w:rPr>
          <w:rFonts w:hint="eastAsia" w:ascii="宋体" w:hAnsi="宋体" w:eastAsia="宋体" w:cs="宋体"/>
          <w:color w:val="auto"/>
          <w:szCs w:val="21"/>
          <w:highlight w:val="none"/>
        </w:rPr>
      </w:pPr>
    </w:p>
    <w:p w14:paraId="16F9E71B">
      <w:pPr>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br w:type="page"/>
      </w:r>
    </w:p>
    <w:p w14:paraId="7A940CE2">
      <w:pPr>
        <w:spacing w:line="360" w:lineRule="auto"/>
        <w:jc w:val="center"/>
        <w:rPr>
          <w:rFonts w:hint="eastAsia" w:ascii="宋体" w:hAnsi="宋体" w:eastAsia="宋体" w:cs="宋体"/>
          <w:b/>
          <w:color w:val="auto"/>
          <w:sz w:val="36"/>
          <w:szCs w:val="36"/>
          <w:highlight w:val="none"/>
          <w:lang w:val="zh-CN"/>
        </w:rPr>
      </w:pPr>
    </w:p>
    <w:p w14:paraId="31204DA8">
      <w:pPr>
        <w:spacing w:line="360" w:lineRule="auto"/>
        <w:jc w:val="center"/>
        <w:rPr>
          <w:rFonts w:hint="eastAsia" w:ascii="宋体" w:hAnsi="宋体" w:eastAsia="宋体" w:cs="宋体"/>
          <w:b/>
          <w:color w:val="auto"/>
          <w:sz w:val="36"/>
          <w:szCs w:val="36"/>
          <w:highlight w:val="none"/>
          <w:lang w:val="zh-CN"/>
        </w:rPr>
      </w:pPr>
      <w:r>
        <w:rPr>
          <w:rFonts w:hint="eastAsia" w:ascii="宋体" w:hAnsi="宋体" w:eastAsia="宋体" w:cs="宋体"/>
          <w:b/>
          <w:color w:val="auto"/>
          <w:sz w:val="36"/>
          <w:szCs w:val="36"/>
          <w:highlight w:val="none"/>
          <w:lang w:val="zh-CN"/>
        </w:rPr>
        <w:t>一、</w:t>
      </w:r>
      <w:r>
        <w:rPr>
          <w:rFonts w:hint="eastAsia" w:ascii="宋体" w:hAnsi="宋体" w:eastAsia="宋体" w:cs="宋体"/>
          <w:b/>
          <w:color w:val="auto"/>
          <w:sz w:val="36"/>
          <w:szCs w:val="36"/>
          <w:highlight w:val="none"/>
        </w:rPr>
        <w:t>开 标 一 览 表</w:t>
      </w:r>
    </w:p>
    <w:p w14:paraId="202EE174">
      <w:pPr>
        <w:rPr>
          <w:rFonts w:hint="eastAsia" w:ascii="宋体" w:hAnsi="宋体" w:eastAsia="宋体" w:cs="宋体"/>
          <w:color w:val="auto"/>
          <w:szCs w:val="21"/>
          <w:highlight w:val="none"/>
        </w:rPr>
      </w:pPr>
    </w:p>
    <w:p w14:paraId="6DB4E8CF">
      <w:pPr>
        <w:ind w:left="152" w:leftChars="-109" w:hanging="370" w:hangingChars="185"/>
        <w:rPr>
          <w:rFonts w:hint="eastAsia" w:ascii="宋体" w:hAnsi="宋体" w:eastAsia="宋体" w:cs="宋体"/>
          <w:color w:val="auto"/>
          <w:szCs w:val="21"/>
          <w:highlight w:val="none"/>
        </w:rPr>
      </w:pPr>
    </w:p>
    <w:p w14:paraId="0D0CAD2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                                                开标时间：</w:t>
      </w:r>
    </w:p>
    <w:tbl>
      <w:tblPr>
        <w:tblStyle w:val="45"/>
        <w:tblW w:w="8711" w:type="dxa"/>
        <w:tblInd w:w="80" w:type="dxa"/>
        <w:tblLayout w:type="fixed"/>
        <w:tblCellMar>
          <w:top w:w="0" w:type="dxa"/>
          <w:left w:w="108" w:type="dxa"/>
          <w:bottom w:w="0" w:type="dxa"/>
          <w:right w:w="108" w:type="dxa"/>
        </w:tblCellMar>
      </w:tblPr>
      <w:tblGrid>
        <w:gridCol w:w="1731"/>
        <w:gridCol w:w="1488"/>
        <w:gridCol w:w="1667"/>
        <w:gridCol w:w="1425"/>
        <w:gridCol w:w="1467"/>
        <w:gridCol w:w="933"/>
      </w:tblGrid>
      <w:tr w14:paraId="50936C39">
        <w:tblPrEx>
          <w:tblCellMar>
            <w:top w:w="0" w:type="dxa"/>
            <w:left w:w="108" w:type="dxa"/>
            <w:bottom w:w="0" w:type="dxa"/>
            <w:right w:w="108" w:type="dxa"/>
          </w:tblCellMar>
        </w:tblPrEx>
        <w:trPr>
          <w:trHeight w:val="724" w:hRule="atLeast"/>
        </w:trPr>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0C28CAA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8C671C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5662D7A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667" w:type="dxa"/>
            <w:tcBorders>
              <w:top w:val="single" w:color="auto" w:sz="4" w:space="0"/>
              <w:left w:val="nil"/>
              <w:bottom w:val="single" w:color="auto" w:sz="4" w:space="0"/>
              <w:right w:val="single" w:color="auto" w:sz="4" w:space="0"/>
            </w:tcBorders>
            <w:shd w:val="clear" w:color="auto" w:fill="auto"/>
            <w:vAlign w:val="center"/>
          </w:tcPr>
          <w:p w14:paraId="79CE8A4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合同履行期限</w:t>
            </w:r>
          </w:p>
          <w:p w14:paraId="5AE696D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（供货期）</w:t>
            </w:r>
          </w:p>
        </w:tc>
        <w:tc>
          <w:tcPr>
            <w:tcW w:w="1425" w:type="dxa"/>
            <w:tcBorders>
              <w:top w:val="single" w:color="auto" w:sz="4" w:space="0"/>
              <w:left w:val="nil"/>
              <w:bottom w:val="single" w:color="auto" w:sz="4" w:space="0"/>
              <w:right w:val="single" w:color="auto" w:sz="4" w:space="0"/>
            </w:tcBorders>
            <w:shd w:val="clear" w:color="auto" w:fill="auto"/>
            <w:vAlign w:val="center"/>
          </w:tcPr>
          <w:p w14:paraId="066DFF6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w:t>
            </w:r>
          </w:p>
          <w:p w14:paraId="6E7ED13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标准</w:t>
            </w:r>
          </w:p>
        </w:tc>
        <w:tc>
          <w:tcPr>
            <w:tcW w:w="1467" w:type="dxa"/>
            <w:tcBorders>
              <w:top w:val="single" w:color="auto" w:sz="4" w:space="0"/>
              <w:left w:val="nil"/>
              <w:bottom w:val="single" w:color="auto" w:sz="4" w:space="0"/>
              <w:right w:val="single" w:color="auto" w:sz="4" w:space="0"/>
            </w:tcBorders>
            <w:shd w:val="clear" w:color="auto" w:fill="auto"/>
            <w:vAlign w:val="center"/>
          </w:tcPr>
          <w:p w14:paraId="278AAEF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服务承诺</w:t>
            </w:r>
          </w:p>
        </w:tc>
        <w:tc>
          <w:tcPr>
            <w:tcW w:w="933" w:type="dxa"/>
            <w:tcBorders>
              <w:top w:val="single" w:color="auto" w:sz="4" w:space="0"/>
              <w:left w:val="nil"/>
              <w:bottom w:val="single" w:color="auto" w:sz="4" w:space="0"/>
              <w:right w:val="single" w:color="auto" w:sz="4" w:space="0"/>
            </w:tcBorders>
            <w:shd w:val="clear" w:color="auto" w:fill="auto"/>
            <w:vAlign w:val="center"/>
          </w:tcPr>
          <w:p w14:paraId="158B28E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09CA49B">
        <w:tblPrEx>
          <w:tblCellMar>
            <w:top w:w="0" w:type="dxa"/>
            <w:left w:w="108" w:type="dxa"/>
            <w:bottom w:w="0" w:type="dxa"/>
            <w:right w:w="108" w:type="dxa"/>
          </w:tblCellMar>
        </w:tblPrEx>
        <w:trPr>
          <w:trHeight w:val="1003" w:hRule="atLeast"/>
        </w:trPr>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35215CA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647FCC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p>
        </w:tc>
        <w:tc>
          <w:tcPr>
            <w:tcW w:w="1667" w:type="dxa"/>
            <w:tcBorders>
              <w:top w:val="single" w:color="auto" w:sz="4" w:space="0"/>
              <w:left w:val="nil"/>
              <w:bottom w:val="single" w:color="auto" w:sz="4" w:space="0"/>
              <w:right w:val="single" w:color="auto" w:sz="4" w:space="0"/>
            </w:tcBorders>
            <w:shd w:val="clear" w:color="auto" w:fill="auto"/>
            <w:noWrap/>
            <w:vAlign w:val="center"/>
          </w:tcPr>
          <w:p w14:paraId="7A87CF3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p>
        </w:tc>
        <w:tc>
          <w:tcPr>
            <w:tcW w:w="1425" w:type="dxa"/>
            <w:tcBorders>
              <w:top w:val="single" w:color="auto" w:sz="4" w:space="0"/>
              <w:left w:val="nil"/>
              <w:bottom w:val="single" w:color="auto" w:sz="4" w:space="0"/>
              <w:right w:val="single" w:color="auto" w:sz="4" w:space="0"/>
            </w:tcBorders>
            <w:shd w:val="clear" w:color="auto" w:fill="auto"/>
            <w:vAlign w:val="center"/>
          </w:tcPr>
          <w:p w14:paraId="523EBF2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p>
        </w:tc>
        <w:tc>
          <w:tcPr>
            <w:tcW w:w="1467" w:type="dxa"/>
            <w:tcBorders>
              <w:top w:val="single" w:color="auto" w:sz="4" w:space="0"/>
              <w:left w:val="nil"/>
              <w:bottom w:val="single" w:color="auto" w:sz="4" w:space="0"/>
              <w:right w:val="single" w:color="auto" w:sz="4" w:space="0"/>
            </w:tcBorders>
            <w:shd w:val="clear" w:color="auto" w:fill="auto"/>
            <w:vAlign w:val="center"/>
          </w:tcPr>
          <w:p w14:paraId="6712667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（有/无）</w:t>
            </w:r>
          </w:p>
        </w:tc>
        <w:tc>
          <w:tcPr>
            <w:tcW w:w="933" w:type="dxa"/>
            <w:tcBorders>
              <w:top w:val="single" w:color="auto" w:sz="4" w:space="0"/>
              <w:left w:val="nil"/>
              <w:bottom w:val="single" w:color="auto" w:sz="4" w:space="0"/>
              <w:right w:val="single" w:color="auto" w:sz="4" w:space="0"/>
            </w:tcBorders>
            <w:shd w:val="clear" w:color="auto" w:fill="auto"/>
            <w:vAlign w:val="center"/>
          </w:tcPr>
          <w:p w14:paraId="41BD95E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p>
        </w:tc>
      </w:tr>
    </w:tbl>
    <w:p w14:paraId="1A8B8C71">
      <w:pPr>
        <w:spacing w:line="288"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注：1、投标报价</w:t>
      </w:r>
      <w:r>
        <w:rPr>
          <w:rFonts w:hint="eastAsia" w:ascii="宋体" w:hAnsi="宋体" w:cs="宋体"/>
          <w:b/>
          <w:color w:val="auto"/>
          <w:sz w:val="24"/>
          <w:szCs w:val="24"/>
          <w:highlight w:val="none"/>
        </w:rPr>
        <w:t>不超过</w:t>
      </w:r>
      <w:r>
        <w:rPr>
          <w:rFonts w:hint="eastAsia" w:ascii="宋体" w:hAnsi="宋体" w:cs="宋体"/>
          <w:b/>
          <w:color w:val="auto"/>
          <w:sz w:val="24"/>
          <w:szCs w:val="24"/>
          <w:highlight w:val="none"/>
          <w:lang w:val="zh-CN"/>
        </w:rPr>
        <w:t>预算金额</w:t>
      </w:r>
      <w:r>
        <w:rPr>
          <w:rFonts w:hint="eastAsia" w:ascii="宋体" w:hAnsi="宋体" w:cs="宋体"/>
          <w:b/>
          <w:color w:val="auto"/>
          <w:sz w:val="24"/>
          <w:szCs w:val="24"/>
          <w:highlight w:val="none"/>
        </w:rPr>
        <w:t>，超过为无效报价。</w:t>
      </w:r>
      <w:r>
        <w:rPr>
          <w:rFonts w:hint="eastAsia" w:ascii="宋体" w:hAnsi="宋体" w:cs="宋体"/>
          <w:b/>
          <w:bCs/>
          <w:color w:val="auto"/>
          <w:sz w:val="24"/>
          <w:szCs w:val="24"/>
          <w:highlight w:val="none"/>
        </w:rPr>
        <w:t>本表中填写的投标报价应与投标函中填写的投标报价相一致，如果不一致以本表为准；</w:t>
      </w:r>
    </w:p>
    <w:p w14:paraId="73C8B729">
      <w:pPr>
        <w:spacing w:line="288" w:lineRule="auto"/>
        <w:ind w:firstLine="408"/>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、投标报价保留至小数点后四位。</w:t>
      </w:r>
    </w:p>
    <w:p w14:paraId="7E88572E">
      <w:pPr>
        <w:pStyle w:val="63"/>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p w14:paraId="39CFA5D9">
      <w:pPr>
        <w:keepNext w:val="0"/>
        <w:keepLines w:val="0"/>
        <w:pageBreakBefore w:val="0"/>
        <w:widowControl/>
        <w:kinsoku/>
        <w:wordWrap/>
        <w:overflowPunct/>
        <w:topLinePunct w:val="0"/>
        <w:autoSpaceDE/>
        <w:autoSpaceDN/>
        <w:bidi w:val="0"/>
        <w:adjustRightInd/>
        <w:snapToGrid/>
        <w:spacing w:line="288"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2F91EE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4"/>
          <w:szCs w:val="24"/>
          <w:highlight w:val="none"/>
        </w:rPr>
      </w:pPr>
    </w:p>
    <w:p w14:paraId="6A436940">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            （公章）                    </w:t>
      </w:r>
    </w:p>
    <w:p w14:paraId="6694CB31">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p>
    <w:p w14:paraId="4AD504E0">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w:t>
      </w:r>
      <w:r>
        <w:rPr>
          <w:rFonts w:hint="eastAsia" w:ascii="宋体" w:hAnsi="宋体" w:eastAsia="宋体" w:cs="宋体"/>
          <w:color w:val="auto"/>
          <w:sz w:val="24"/>
          <w:szCs w:val="24"/>
          <w:highlight w:val="none"/>
          <w:lang w:eastAsia="zh-CN"/>
        </w:rPr>
        <w:t>签字</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p>
    <w:p w14:paraId="561EBFBB">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p>
    <w:p w14:paraId="1248CA56">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            （签字）  </w:t>
      </w:r>
    </w:p>
    <w:p w14:paraId="1D2A972E">
      <w:pPr>
        <w:keepNext w:val="0"/>
        <w:keepLines w:val="0"/>
        <w:pageBreakBefore w:val="0"/>
        <w:widowControl/>
        <w:kinsoku/>
        <w:wordWrap/>
        <w:overflowPunct/>
        <w:topLinePunct w:val="0"/>
        <w:autoSpaceDE/>
        <w:autoSpaceDN/>
        <w:bidi w:val="0"/>
        <w:adjustRightInd/>
        <w:snapToGrid/>
        <w:spacing w:line="288" w:lineRule="auto"/>
        <w:ind w:firstLine="4560" w:firstLineChars="1900"/>
        <w:textAlignment w:val="auto"/>
        <w:rPr>
          <w:rFonts w:hint="eastAsia" w:ascii="宋体" w:hAnsi="宋体" w:eastAsia="宋体" w:cs="宋体"/>
          <w:color w:val="auto"/>
          <w:sz w:val="24"/>
          <w:szCs w:val="24"/>
          <w:highlight w:val="none"/>
        </w:rPr>
      </w:pPr>
    </w:p>
    <w:p w14:paraId="59625EA5">
      <w:pPr>
        <w:keepNext w:val="0"/>
        <w:keepLines w:val="0"/>
        <w:pageBreakBefore w:val="0"/>
        <w:widowControl/>
        <w:kinsoku/>
        <w:wordWrap/>
        <w:overflowPunct/>
        <w:topLinePunct w:val="0"/>
        <w:autoSpaceDE/>
        <w:autoSpaceDN/>
        <w:bidi w:val="0"/>
        <w:adjustRightInd/>
        <w:snapToGrid/>
        <w:spacing w:line="288" w:lineRule="auto"/>
        <w:ind w:firstLine="6480" w:firstLineChars="27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日　　期：</w:t>
      </w:r>
    </w:p>
    <w:p w14:paraId="366B0EDD">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4A6C2C2">
      <w:pPr>
        <w:spacing w:line="360" w:lineRule="auto"/>
        <w:jc w:val="center"/>
        <w:rPr>
          <w:rFonts w:hint="eastAsia" w:ascii="宋体" w:hAnsi="宋体" w:eastAsia="宋体" w:cs="宋体"/>
          <w:b/>
          <w:color w:val="auto"/>
          <w:sz w:val="36"/>
          <w:szCs w:val="36"/>
          <w:highlight w:val="none"/>
        </w:rPr>
      </w:pPr>
    </w:p>
    <w:p w14:paraId="1C78787E">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二、投标明细报价表</w:t>
      </w:r>
    </w:p>
    <w:tbl>
      <w:tblPr>
        <w:tblStyle w:val="45"/>
        <w:tblW w:w="9276"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281"/>
        <w:gridCol w:w="1337"/>
        <w:gridCol w:w="1236"/>
        <w:gridCol w:w="1632"/>
        <w:gridCol w:w="1922"/>
      </w:tblGrid>
      <w:tr w14:paraId="6B4A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276" w:type="dxa"/>
            <w:gridSpan w:val="6"/>
            <w:vAlign w:val="center"/>
          </w:tcPr>
          <w:p w14:paraId="575709CD">
            <w:pPr>
              <w:keepNext w:val="0"/>
              <w:keepLines w:val="0"/>
              <w:pageBreakBefore w:val="0"/>
              <w:kinsoku/>
              <w:wordWrap/>
              <w:topLinePunct w:val="0"/>
              <w:bidi w:val="0"/>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项目名称：                                     </w:t>
            </w:r>
            <w:r>
              <w:rPr>
                <w:rFonts w:hint="eastAsia" w:ascii="宋体" w:hAnsi="宋体" w:eastAsia="宋体" w:cs="宋体"/>
                <w:b/>
                <w:color w:val="auto"/>
                <w:sz w:val="24"/>
                <w:szCs w:val="24"/>
                <w:highlight w:val="none"/>
              </w:rPr>
              <w:t>项目编号：</w:t>
            </w:r>
          </w:p>
        </w:tc>
      </w:tr>
      <w:tr w14:paraId="180E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276" w:type="dxa"/>
            <w:gridSpan w:val="6"/>
            <w:vAlign w:val="center"/>
          </w:tcPr>
          <w:p w14:paraId="43EA757A">
            <w:pPr>
              <w:keepNext w:val="0"/>
              <w:keepLines w:val="0"/>
              <w:pageBreakBefore w:val="0"/>
              <w:kinsoku/>
              <w:wordWrap/>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货物明细表：（单位：元）</w:t>
            </w:r>
          </w:p>
        </w:tc>
      </w:tr>
      <w:tr w14:paraId="66A3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8" w:type="dxa"/>
            <w:vAlign w:val="center"/>
          </w:tcPr>
          <w:p w14:paraId="79915EA4">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81" w:type="dxa"/>
            <w:vAlign w:val="center"/>
          </w:tcPr>
          <w:p w14:paraId="09595A87">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337" w:type="dxa"/>
            <w:vAlign w:val="center"/>
          </w:tcPr>
          <w:p w14:paraId="7619870D">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品牌型号</w:t>
            </w:r>
          </w:p>
        </w:tc>
        <w:tc>
          <w:tcPr>
            <w:tcW w:w="1236" w:type="dxa"/>
            <w:vAlign w:val="center"/>
          </w:tcPr>
          <w:p w14:paraId="40415DED">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632" w:type="dxa"/>
            <w:vAlign w:val="center"/>
          </w:tcPr>
          <w:p w14:paraId="0C25E9F6">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922" w:type="dxa"/>
            <w:vAlign w:val="center"/>
          </w:tcPr>
          <w:p w14:paraId="7541D9EC">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分项总价</w:t>
            </w:r>
          </w:p>
        </w:tc>
      </w:tr>
      <w:tr w14:paraId="0E20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8" w:type="dxa"/>
            <w:vAlign w:val="center"/>
          </w:tcPr>
          <w:p w14:paraId="3D413555">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2281" w:type="dxa"/>
            <w:vAlign w:val="center"/>
          </w:tcPr>
          <w:p w14:paraId="769F135A">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1337" w:type="dxa"/>
            <w:vAlign w:val="center"/>
          </w:tcPr>
          <w:p w14:paraId="137B9166">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1236" w:type="dxa"/>
            <w:vAlign w:val="center"/>
          </w:tcPr>
          <w:p w14:paraId="356276C2">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1632" w:type="dxa"/>
            <w:vAlign w:val="center"/>
          </w:tcPr>
          <w:p w14:paraId="31ECE1F5">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1922" w:type="dxa"/>
            <w:vAlign w:val="center"/>
          </w:tcPr>
          <w:p w14:paraId="14B42432">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r>
      <w:tr w14:paraId="7FBC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8" w:type="dxa"/>
            <w:vAlign w:val="center"/>
          </w:tcPr>
          <w:p w14:paraId="4FBC4D4A">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81" w:type="dxa"/>
            <w:vAlign w:val="center"/>
          </w:tcPr>
          <w:p w14:paraId="2CF2175A">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1337" w:type="dxa"/>
            <w:vAlign w:val="center"/>
          </w:tcPr>
          <w:p w14:paraId="650F6903">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1236" w:type="dxa"/>
            <w:vAlign w:val="center"/>
          </w:tcPr>
          <w:p w14:paraId="5E234892">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1632" w:type="dxa"/>
            <w:vAlign w:val="center"/>
          </w:tcPr>
          <w:p w14:paraId="7F64D5FA">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1922" w:type="dxa"/>
            <w:vAlign w:val="center"/>
          </w:tcPr>
          <w:p w14:paraId="7D4C0A0B">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r>
      <w:tr w14:paraId="5902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8" w:type="dxa"/>
            <w:vAlign w:val="center"/>
          </w:tcPr>
          <w:p w14:paraId="282D6690">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2281" w:type="dxa"/>
            <w:vAlign w:val="center"/>
          </w:tcPr>
          <w:p w14:paraId="528B64B3">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337" w:type="dxa"/>
            <w:vAlign w:val="center"/>
          </w:tcPr>
          <w:p w14:paraId="45D5A2BE">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1236" w:type="dxa"/>
            <w:vAlign w:val="center"/>
          </w:tcPr>
          <w:p w14:paraId="63082ED1">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1632" w:type="dxa"/>
            <w:vAlign w:val="center"/>
          </w:tcPr>
          <w:p w14:paraId="7D2B1F19">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1922" w:type="dxa"/>
            <w:vAlign w:val="center"/>
          </w:tcPr>
          <w:p w14:paraId="37C9B591">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r>
      <w:tr w14:paraId="5A4C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276" w:type="dxa"/>
            <w:gridSpan w:val="6"/>
            <w:vAlign w:val="center"/>
          </w:tcPr>
          <w:p w14:paraId="32E60411">
            <w:pPr>
              <w:keepNext w:val="0"/>
              <w:keepLines w:val="0"/>
              <w:pageBreakBefore w:val="0"/>
              <w:kinsoku/>
              <w:wordWrap/>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其他费用明细表：</w:t>
            </w:r>
          </w:p>
        </w:tc>
      </w:tr>
      <w:tr w14:paraId="37E4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68" w:type="dxa"/>
            <w:vAlign w:val="center"/>
          </w:tcPr>
          <w:p w14:paraId="03F5434A">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81" w:type="dxa"/>
            <w:vAlign w:val="center"/>
          </w:tcPr>
          <w:p w14:paraId="5AFC6567">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573" w:type="dxa"/>
            <w:gridSpan w:val="2"/>
            <w:vAlign w:val="center"/>
          </w:tcPr>
          <w:p w14:paraId="2D5C36AE">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内容和标准</w:t>
            </w:r>
          </w:p>
        </w:tc>
        <w:tc>
          <w:tcPr>
            <w:tcW w:w="1632" w:type="dxa"/>
            <w:vAlign w:val="center"/>
          </w:tcPr>
          <w:p w14:paraId="23699E7F">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1922" w:type="dxa"/>
            <w:vAlign w:val="center"/>
          </w:tcPr>
          <w:p w14:paraId="62E5FF4D">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EA0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68" w:type="dxa"/>
            <w:vAlign w:val="center"/>
          </w:tcPr>
          <w:p w14:paraId="5AB112FB">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2281" w:type="dxa"/>
            <w:vAlign w:val="center"/>
          </w:tcPr>
          <w:p w14:paraId="457224B6">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2573" w:type="dxa"/>
            <w:gridSpan w:val="2"/>
            <w:vAlign w:val="center"/>
          </w:tcPr>
          <w:p w14:paraId="4BCAAF4C">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1632" w:type="dxa"/>
            <w:vAlign w:val="center"/>
          </w:tcPr>
          <w:p w14:paraId="4C093BC3">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1922" w:type="dxa"/>
            <w:vAlign w:val="center"/>
          </w:tcPr>
          <w:p w14:paraId="2DC85972">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r>
      <w:tr w14:paraId="4E68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8" w:type="dxa"/>
            <w:vAlign w:val="center"/>
          </w:tcPr>
          <w:p w14:paraId="24F1A6FA">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81" w:type="dxa"/>
            <w:vAlign w:val="center"/>
          </w:tcPr>
          <w:p w14:paraId="0B90514B">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2573" w:type="dxa"/>
            <w:gridSpan w:val="2"/>
            <w:vAlign w:val="center"/>
          </w:tcPr>
          <w:p w14:paraId="24480026">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1632" w:type="dxa"/>
            <w:vAlign w:val="center"/>
          </w:tcPr>
          <w:p w14:paraId="0870709D">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c>
          <w:tcPr>
            <w:tcW w:w="1922" w:type="dxa"/>
            <w:vAlign w:val="center"/>
          </w:tcPr>
          <w:p w14:paraId="15E7C7C0">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p>
        </w:tc>
      </w:tr>
      <w:tr w14:paraId="5103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276" w:type="dxa"/>
            <w:gridSpan w:val="6"/>
            <w:vAlign w:val="center"/>
          </w:tcPr>
          <w:p w14:paraId="2DFA63BD">
            <w:pPr>
              <w:keepNext w:val="0"/>
              <w:keepLines w:val="0"/>
              <w:pageBreakBefore w:val="0"/>
              <w:kinsoku/>
              <w:wordWrap/>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明细报价汇总表：</w:t>
            </w:r>
          </w:p>
        </w:tc>
      </w:tr>
      <w:tr w14:paraId="34F1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5722" w:type="dxa"/>
            <w:gridSpan w:val="4"/>
            <w:vAlign w:val="center"/>
          </w:tcPr>
          <w:p w14:paraId="20F525C3">
            <w:pPr>
              <w:keepNext w:val="0"/>
              <w:keepLines w:val="0"/>
              <w:pageBreakBefore w:val="0"/>
              <w:kinsoku/>
              <w:wordWrap/>
              <w:topLinePunct w:val="0"/>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报价总计（货物报价合计+其他费用合计）</w:t>
            </w:r>
          </w:p>
        </w:tc>
        <w:tc>
          <w:tcPr>
            <w:tcW w:w="3554" w:type="dxa"/>
            <w:gridSpan w:val="2"/>
            <w:vAlign w:val="center"/>
          </w:tcPr>
          <w:p w14:paraId="6882998A">
            <w:pPr>
              <w:keepNext w:val="0"/>
              <w:keepLines w:val="0"/>
              <w:pageBreakBefore w:val="0"/>
              <w:kinsoku/>
              <w:wordWrap/>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rPr>
              <w:t xml:space="preserve">          元</w:t>
            </w:r>
          </w:p>
          <w:p w14:paraId="2BE1745A">
            <w:pPr>
              <w:keepNext w:val="0"/>
              <w:keepLines w:val="0"/>
              <w:pageBreakBefore w:val="0"/>
              <w:kinsoku/>
              <w:wordWrap/>
              <w:topLinePunct w:val="0"/>
              <w:bidi w:val="0"/>
              <w:snapToGrid/>
              <w:spacing w:line="288"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小写：￥ </w:t>
            </w:r>
            <w:r>
              <w:rPr>
                <w:rFonts w:hint="eastAsia" w:ascii="宋体" w:hAnsi="宋体" w:eastAsia="宋体" w:cs="宋体"/>
                <w:color w:val="auto"/>
                <w:sz w:val="24"/>
                <w:szCs w:val="24"/>
                <w:highlight w:val="none"/>
                <w:u w:val="single"/>
              </w:rPr>
              <w:t xml:space="preserve">             元</w:t>
            </w:r>
          </w:p>
        </w:tc>
      </w:tr>
    </w:tbl>
    <w:p w14:paraId="6CEDC6F1">
      <w:pPr>
        <w:keepNext w:val="0"/>
        <w:keepLines w:val="0"/>
        <w:pageBreakBefore w:val="0"/>
        <w:kinsoku/>
        <w:wordWrap/>
        <w:topLinePunct w:val="0"/>
        <w:bidi w:val="0"/>
        <w:snapToGrid/>
        <w:spacing w:before="240" w:beforeLines="10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注明：</w:t>
      </w:r>
    </w:p>
    <w:p w14:paraId="5C92E7CC">
      <w:pPr>
        <w:pStyle w:val="94"/>
        <w:keepNext w:val="0"/>
        <w:keepLines w:val="0"/>
        <w:pageBreakBefore w:val="0"/>
        <w:numPr>
          <w:ilvl w:val="0"/>
          <w:numId w:val="9"/>
        </w:numPr>
        <w:kinsoku/>
        <w:wordWrap/>
        <w:topLinePunct w:val="0"/>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此表为报价总表的明细表。</w:t>
      </w:r>
    </w:p>
    <w:p w14:paraId="42148F6A">
      <w:pPr>
        <w:pStyle w:val="94"/>
        <w:keepNext w:val="0"/>
        <w:keepLines w:val="0"/>
        <w:pageBreakBefore w:val="0"/>
        <w:numPr>
          <w:ilvl w:val="0"/>
          <w:numId w:val="9"/>
        </w:numPr>
        <w:kinsoku/>
        <w:wordWrap/>
        <w:topLinePunct w:val="0"/>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如果单价和总价不符时，以单价为准，修正总价。</w:t>
      </w:r>
    </w:p>
    <w:p w14:paraId="1E39387C">
      <w:pPr>
        <w:pStyle w:val="94"/>
        <w:keepNext w:val="0"/>
        <w:keepLines w:val="0"/>
        <w:pageBreakBefore w:val="0"/>
        <w:numPr>
          <w:ilvl w:val="0"/>
          <w:numId w:val="9"/>
        </w:numPr>
        <w:kinsoku/>
        <w:wordWrap/>
        <w:topLinePunct w:val="0"/>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供应商应列明按“采购需求”所要求提供的所有报价项的价格明细。</w:t>
      </w:r>
    </w:p>
    <w:p w14:paraId="5587E0E3">
      <w:pPr>
        <w:pStyle w:val="94"/>
        <w:keepNext w:val="0"/>
        <w:keepLines w:val="0"/>
        <w:pageBreakBefore w:val="0"/>
        <w:numPr>
          <w:ilvl w:val="0"/>
          <w:numId w:val="9"/>
        </w:numPr>
        <w:kinsoku/>
        <w:wordWrap/>
        <w:topLinePunct w:val="0"/>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货物名称与产品注册证登记名称保持一致。</w:t>
      </w:r>
    </w:p>
    <w:p w14:paraId="0D296E0F">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5）本表可以根据投标实际情况进行调整。</w:t>
      </w:r>
    </w:p>
    <w:p w14:paraId="338FE588">
      <w:pPr>
        <w:keepNext w:val="0"/>
        <w:keepLines w:val="0"/>
        <w:pageBreakBefore w:val="0"/>
        <w:kinsoku/>
        <w:wordWrap/>
        <w:topLinePunct w:val="0"/>
        <w:bidi w:val="0"/>
        <w:snapToGrid/>
        <w:spacing w:line="288" w:lineRule="auto"/>
        <w:textAlignment w:val="auto"/>
        <w:rPr>
          <w:rFonts w:hint="eastAsia" w:ascii="宋体" w:hAnsi="宋体" w:eastAsia="宋体" w:cs="宋体"/>
          <w:color w:val="auto"/>
          <w:sz w:val="24"/>
          <w:szCs w:val="24"/>
          <w:highlight w:val="none"/>
        </w:rPr>
      </w:pPr>
    </w:p>
    <w:tbl>
      <w:tblPr>
        <w:tblStyle w:val="45"/>
        <w:tblW w:w="9345" w:type="dxa"/>
        <w:tblInd w:w="0" w:type="dxa"/>
        <w:tblLayout w:type="fixed"/>
        <w:tblCellMar>
          <w:top w:w="0" w:type="dxa"/>
          <w:left w:w="108" w:type="dxa"/>
          <w:bottom w:w="0" w:type="dxa"/>
          <w:right w:w="108" w:type="dxa"/>
        </w:tblCellMar>
      </w:tblPr>
      <w:tblGrid>
        <w:gridCol w:w="5353"/>
        <w:gridCol w:w="3992"/>
      </w:tblGrid>
      <w:tr w14:paraId="1B9E5015">
        <w:tblPrEx>
          <w:tblCellMar>
            <w:top w:w="0" w:type="dxa"/>
            <w:left w:w="108" w:type="dxa"/>
            <w:bottom w:w="0" w:type="dxa"/>
            <w:right w:w="108" w:type="dxa"/>
          </w:tblCellMar>
        </w:tblPrEx>
        <w:tc>
          <w:tcPr>
            <w:tcW w:w="5353" w:type="dxa"/>
            <w:shd w:val="clear" w:color="auto" w:fill="auto"/>
          </w:tcPr>
          <w:p w14:paraId="4E74F4C8">
            <w:pPr>
              <w:keepNext w:val="0"/>
              <w:keepLines w:val="0"/>
              <w:pageBreakBefore w:val="0"/>
              <w:kinsoku/>
              <w:wordWrap/>
              <w:overflowPunct w:val="0"/>
              <w:topLinePunct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c>
          <w:tcPr>
            <w:tcW w:w="3992" w:type="dxa"/>
            <w:shd w:val="clear" w:color="auto" w:fill="auto"/>
          </w:tcPr>
          <w:p w14:paraId="722D9C81">
            <w:pPr>
              <w:keepNext w:val="0"/>
              <w:keepLines w:val="0"/>
              <w:pageBreakBefore w:val="0"/>
              <w:kinsoku/>
              <w:wordWrap/>
              <w:topLinePunct w:val="0"/>
              <w:bidi w:val="0"/>
              <w:snapToGrid/>
              <w:spacing w:line="288" w:lineRule="auto"/>
              <w:textAlignment w:val="auto"/>
              <w:rPr>
                <w:rFonts w:hint="eastAsia" w:ascii="宋体" w:hAnsi="宋体" w:eastAsia="宋体" w:cs="宋体"/>
                <w:color w:val="auto"/>
                <w:sz w:val="24"/>
                <w:szCs w:val="24"/>
                <w:highlight w:val="none"/>
              </w:rPr>
            </w:pPr>
          </w:p>
        </w:tc>
      </w:tr>
      <w:tr w14:paraId="4563568C">
        <w:tc>
          <w:tcPr>
            <w:tcW w:w="5353" w:type="dxa"/>
            <w:shd w:val="clear" w:color="auto" w:fill="auto"/>
          </w:tcPr>
          <w:p w14:paraId="16C36640">
            <w:pPr>
              <w:keepNext w:val="0"/>
              <w:keepLines w:val="0"/>
              <w:pageBreakBefore w:val="0"/>
              <w:kinsoku/>
              <w:wordWrap/>
              <w:topLinePunct w:val="0"/>
              <w:bidi w:val="0"/>
              <w:snapToGrid/>
              <w:spacing w:line="288" w:lineRule="auto"/>
              <w:textAlignment w:val="auto"/>
              <w:rPr>
                <w:rFonts w:hint="eastAsia" w:ascii="宋体" w:hAnsi="宋体" w:eastAsia="宋体" w:cs="宋体"/>
                <w:color w:val="auto"/>
                <w:sz w:val="24"/>
                <w:szCs w:val="24"/>
                <w:highlight w:val="none"/>
              </w:rPr>
            </w:pPr>
          </w:p>
          <w:p w14:paraId="4A63F36B">
            <w:pPr>
              <w:keepNext w:val="0"/>
              <w:keepLines w:val="0"/>
              <w:pageBreakBefore w:val="0"/>
              <w:kinsoku/>
              <w:wordWrap/>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c>
          <w:tcPr>
            <w:tcW w:w="3992" w:type="dxa"/>
            <w:shd w:val="clear" w:color="auto" w:fill="auto"/>
          </w:tcPr>
          <w:p w14:paraId="7A8BC241">
            <w:pPr>
              <w:keepNext w:val="0"/>
              <w:keepLines w:val="0"/>
              <w:pageBreakBefore w:val="0"/>
              <w:kinsoku/>
              <w:wordWrap/>
              <w:topLinePunct w:val="0"/>
              <w:bidi w:val="0"/>
              <w:snapToGrid/>
              <w:spacing w:line="288" w:lineRule="auto"/>
              <w:textAlignment w:val="auto"/>
              <w:rPr>
                <w:rFonts w:hint="eastAsia" w:ascii="宋体" w:hAnsi="宋体" w:eastAsia="宋体" w:cs="宋体"/>
                <w:color w:val="auto"/>
                <w:sz w:val="24"/>
                <w:szCs w:val="24"/>
                <w:highlight w:val="none"/>
              </w:rPr>
            </w:pPr>
          </w:p>
        </w:tc>
      </w:tr>
    </w:tbl>
    <w:p w14:paraId="6BA586D2">
      <w:pPr>
        <w:keepNext w:val="0"/>
        <w:keepLines w:val="0"/>
        <w:pageBreakBefore w:val="0"/>
        <w:kinsoku/>
        <w:wordWrap/>
        <w:topLinePunct w:val="0"/>
        <w:autoSpaceDE w:val="0"/>
        <w:autoSpaceDN w:val="0"/>
        <w:bidi w:val="0"/>
        <w:adjustRightInd w:val="0"/>
        <w:snapToGrid/>
        <w:spacing w:before="120" w:beforeLines="50" w:after="120" w:afterLines="50" w:line="288" w:lineRule="auto"/>
        <w:jc w:val="center"/>
        <w:textAlignment w:val="auto"/>
        <w:rPr>
          <w:rFonts w:hint="eastAsia" w:ascii="宋体" w:hAnsi="宋体" w:eastAsia="宋体" w:cs="宋体"/>
          <w:b/>
          <w:color w:val="auto"/>
          <w:sz w:val="24"/>
          <w:szCs w:val="24"/>
          <w:highlight w:val="none"/>
        </w:rPr>
      </w:pPr>
    </w:p>
    <w:p w14:paraId="457F13AA">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7B75916">
      <w:pPr>
        <w:spacing w:line="360" w:lineRule="auto"/>
        <w:jc w:val="center"/>
        <w:rPr>
          <w:rFonts w:hint="eastAsia" w:ascii="宋体" w:hAnsi="宋体" w:eastAsia="宋体" w:cs="宋体"/>
          <w:b/>
          <w:color w:val="auto"/>
          <w:sz w:val="36"/>
          <w:szCs w:val="36"/>
          <w:highlight w:val="none"/>
        </w:rPr>
      </w:pPr>
    </w:p>
    <w:p w14:paraId="27E6607C">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三、投标函</w:t>
      </w:r>
    </w:p>
    <w:p w14:paraId="66904F38">
      <w:pPr>
        <w:keepNext w:val="0"/>
        <w:keepLines w:val="0"/>
        <w:pageBreakBefore w:val="0"/>
        <w:kinsoku/>
        <w:wordWrap/>
        <w:overflowPunct/>
        <w:topLinePunct w:val="0"/>
        <w:bidi w:val="0"/>
        <w:snapToGrid/>
        <w:spacing w:before="120" w:beforeLines="50" w:after="120" w:afterLines="50"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u w:val="single"/>
        </w:rPr>
        <w:t>(采购代理机构名称)</w:t>
      </w:r>
    </w:p>
    <w:p w14:paraId="0F95CACD">
      <w:pPr>
        <w:autoSpaceDE w:val="0"/>
        <w:autoSpaceDN w:val="0"/>
        <w:adjustRightInd w:val="0"/>
        <w:spacing w:line="288" w:lineRule="auto"/>
        <w:ind w:right="26"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依据贵方</w:t>
      </w:r>
      <w:r>
        <w:rPr>
          <w:rFonts w:hint="eastAsia" w:ascii="宋体" w:hAnsi="宋体" w:cs="宋体"/>
          <w:b/>
          <w:bCs/>
          <w:color w:val="auto"/>
          <w:sz w:val="24"/>
          <w:szCs w:val="24"/>
          <w:highlight w:val="none"/>
          <w:u w:val="single"/>
        </w:rPr>
        <w:t xml:space="preserve">项目名称    </w:t>
      </w:r>
      <w:r>
        <w:rPr>
          <w:rFonts w:hint="eastAsia" w:ascii="宋体" w:hAnsi="宋体" w:cs="宋体"/>
          <w:bCs/>
          <w:color w:val="auto"/>
          <w:sz w:val="24"/>
          <w:szCs w:val="24"/>
          <w:highlight w:val="none"/>
          <w:u w:val="single"/>
        </w:rPr>
        <w:t>（</w:t>
      </w:r>
      <w:r>
        <w:rPr>
          <w:rFonts w:hint="eastAsia" w:ascii="宋体" w:hAnsi="宋体" w:cs="宋体"/>
          <w:b/>
          <w:bCs/>
          <w:color w:val="auto"/>
          <w:sz w:val="24"/>
          <w:szCs w:val="24"/>
          <w:highlight w:val="none"/>
          <w:u w:val="single"/>
        </w:rPr>
        <w:t>项目编号：</w:t>
      </w:r>
      <w:r>
        <w:rPr>
          <w:rFonts w:hint="eastAsia"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招标货物及服务的投标，我方代表</w:t>
      </w:r>
      <w:r>
        <w:rPr>
          <w:rFonts w:hint="eastAsia" w:ascii="宋体" w:hAnsi="宋体" w:cs="宋体"/>
          <w:b/>
          <w:bCs/>
          <w:color w:val="auto"/>
          <w:sz w:val="24"/>
          <w:szCs w:val="24"/>
          <w:highlight w:val="none"/>
          <w:u w:val="single"/>
        </w:rPr>
        <w:t>（姓名、职务）</w:t>
      </w:r>
      <w:r>
        <w:rPr>
          <w:rFonts w:hint="eastAsia" w:ascii="宋体" w:hAnsi="宋体" w:cs="宋体"/>
          <w:bCs/>
          <w:color w:val="auto"/>
          <w:sz w:val="24"/>
          <w:szCs w:val="24"/>
          <w:highlight w:val="none"/>
        </w:rPr>
        <w:t>经正式授权并代表</w:t>
      </w:r>
      <w:r>
        <w:rPr>
          <w:rFonts w:hint="eastAsia" w:ascii="宋体" w:hAnsi="宋体" w:cs="宋体"/>
          <w:b/>
          <w:bCs/>
          <w:color w:val="auto"/>
          <w:sz w:val="24"/>
          <w:szCs w:val="24"/>
          <w:highlight w:val="none"/>
          <w:u w:val="single"/>
        </w:rPr>
        <w:t>（供应商名称）</w:t>
      </w:r>
      <w:r>
        <w:rPr>
          <w:rFonts w:hint="eastAsia" w:ascii="宋体" w:hAnsi="宋体" w:cs="宋体"/>
          <w:bCs/>
          <w:color w:val="auto"/>
          <w:sz w:val="24"/>
          <w:szCs w:val="24"/>
          <w:highlight w:val="none"/>
        </w:rPr>
        <w:t>提交</w:t>
      </w:r>
      <w:r>
        <w:rPr>
          <w:rFonts w:hint="eastAsia" w:ascii="宋体" w:hAnsi="宋体" w:cs="宋体"/>
          <w:bCs/>
          <w:color w:val="auto"/>
          <w:sz w:val="24"/>
          <w:szCs w:val="24"/>
          <w:highlight w:val="none"/>
          <w:lang w:val="en-US" w:eastAsia="zh-CN"/>
        </w:rPr>
        <w:t>该项目投标文件</w:t>
      </w:r>
      <w:r>
        <w:rPr>
          <w:rFonts w:hint="eastAsia" w:ascii="宋体" w:hAnsi="宋体" w:cs="宋体"/>
          <w:bCs/>
          <w:color w:val="auto"/>
          <w:sz w:val="24"/>
          <w:szCs w:val="24"/>
          <w:highlight w:val="none"/>
        </w:rPr>
        <w:t>。</w:t>
      </w:r>
    </w:p>
    <w:p w14:paraId="2683AC99">
      <w:pPr>
        <w:keepNext w:val="0"/>
        <w:keepLines w:val="0"/>
        <w:pageBreakBefore w:val="0"/>
        <w:kinsoku/>
        <w:wordWrap/>
        <w:overflowPunct/>
        <w:topLinePunct w:val="0"/>
        <w:autoSpaceDE w:val="0"/>
        <w:autoSpaceDN w:val="0"/>
        <w:bidi w:val="0"/>
        <w:adjustRightInd w:val="0"/>
        <w:snapToGrid/>
        <w:spacing w:line="288" w:lineRule="auto"/>
        <w:ind w:right="24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在此，我方声明如下：</w:t>
      </w:r>
    </w:p>
    <w:p w14:paraId="2E95784B">
      <w:pPr>
        <w:pStyle w:val="94"/>
        <w:keepNext w:val="0"/>
        <w:keepLines w:val="0"/>
        <w:pageBreakBefore w:val="0"/>
        <w:numPr>
          <w:ilvl w:val="0"/>
          <w:numId w:val="0"/>
        </w:numPr>
        <w:kinsoku/>
        <w:wordWrap/>
        <w:overflowPunct/>
        <w:topLinePunct w:val="0"/>
        <w:bidi w:val="0"/>
        <w:snapToGrid/>
        <w:spacing w:line="288" w:lineRule="auto"/>
        <w:ind w:leftChars="0"/>
        <w:textAlignment w:val="auto"/>
        <w:rPr>
          <w:rFonts w:hint="eastAsia" w:ascii="宋体" w:hAnsi="宋体" w:eastAsia="宋体" w:cs="宋体"/>
          <w:color w:val="auto"/>
          <w:sz w:val="24"/>
          <w:szCs w:val="24"/>
          <w:highlight w:val="none"/>
        </w:rPr>
      </w:pPr>
      <w:r>
        <w:rPr>
          <w:rFonts w:hint="eastAsia" w:ascii="宋体" w:hAnsi="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同意并接受招标文件的各项要求，遵守招标文件中的各项规定，按招标文件的要求提供报价</w:t>
      </w:r>
      <w:r>
        <w:rPr>
          <w:rFonts w:hint="eastAsia" w:ascii="宋体" w:hAnsi="宋体" w:cs="宋体"/>
          <w:color w:val="auto"/>
          <w:spacing w:val="-6"/>
          <w:sz w:val="24"/>
          <w:szCs w:val="24"/>
          <w:highlight w:val="none"/>
          <w:lang w:eastAsia="zh-CN"/>
        </w:rPr>
        <w:t>，投标报价为</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lang w:val="en-US" w:eastAsia="zh-CN"/>
        </w:rPr>
        <w:t xml:space="preserve"> 元人民币</w:t>
      </w:r>
      <w:r>
        <w:rPr>
          <w:rFonts w:hint="eastAsia" w:ascii="宋体" w:hAnsi="宋体" w:eastAsia="宋体" w:cs="宋体"/>
          <w:color w:val="auto"/>
          <w:sz w:val="24"/>
          <w:szCs w:val="24"/>
          <w:highlight w:val="none"/>
        </w:rPr>
        <w:t>。</w:t>
      </w:r>
    </w:p>
    <w:p w14:paraId="68BFE0B3">
      <w:pPr>
        <w:pStyle w:val="94"/>
        <w:keepNext w:val="0"/>
        <w:keepLines w:val="0"/>
        <w:pageBreakBefore w:val="0"/>
        <w:numPr>
          <w:ilvl w:val="0"/>
          <w:numId w:val="0"/>
        </w:numPr>
        <w:kinsoku/>
        <w:wordWrap/>
        <w:overflowPunct/>
        <w:topLinePunct w:val="0"/>
        <w:bidi w:val="0"/>
        <w:snapToGrid/>
        <w:spacing w:line="288" w:lineRule="auto"/>
        <w:ind w:left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投标有效期为递交投标文件截止日后90天，中标人投标有效期延至合同验收之日。</w:t>
      </w:r>
    </w:p>
    <w:p w14:paraId="5DEC1275">
      <w:pPr>
        <w:pStyle w:val="94"/>
        <w:keepNext w:val="0"/>
        <w:keepLines w:val="0"/>
        <w:pageBreakBefore w:val="0"/>
        <w:numPr>
          <w:ilvl w:val="0"/>
          <w:numId w:val="0"/>
        </w:numPr>
        <w:kinsoku/>
        <w:wordWrap/>
        <w:overflowPunct/>
        <w:topLinePunct w:val="0"/>
        <w:bidi w:val="0"/>
        <w:snapToGrid/>
        <w:spacing w:line="288" w:lineRule="auto"/>
        <w:ind w:left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如果我方中标，我们保证根据招标文件规定履行合同责任和义务。具体</w:t>
      </w:r>
      <w:r>
        <w:rPr>
          <w:rFonts w:hint="eastAsia" w:ascii="宋体" w:hAnsi="宋体" w:eastAsia="宋体" w:cs="宋体"/>
          <w:color w:val="auto"/>
          <w:sz w:val="24"/>
          <w:szCs w:val="24"/>
          <w:highlight w:val="none"/>
          <w:lang w:val="zh-CN" w:eastAsia="zh-CN"/>
        </w:rPr>
        <w:t>合同履行期限（供货期）</w:t>
      </w:r>
      <w:r>
        <w:rPr>
          <w:rFonts w:hint="eastAsia" w:ascii="宋体" w:hAnsi="宋体" w:eastAsia="宋体" w:cs="宋体"/>
          <w:color w:val="auto"/>
          <w:sz w:val="24"/>
          <w:szCs w:val="24"/>
          <w:highlight w:val="none"/>
          <w:lang w:val="zh-CN"/>
        </w:rPr>
        <w:t>承诺如下：</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w:t>
      </w:r>
    </w:p>
    <w:p w14:paraId="5AE5274F">
      <w:pPr>
        <w:pStyle w:val="94"/>
        <w:spacing w:line="288" w:lineRule="auto"/>
        <w:ind w:left="0" w:firstLine="0" w:firstLineChars="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zh-CN"/>
        </w:rPr>
        <w:t>我方人民币</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zh-CN"/>
        </w:rPr>
        <w:t xml:space="preserve">   </w:t>
      </w:r>
      <w:r>
        <w:rPr>
          <w:rFonts w:hint="eastAsia" w:ascii="宋体" w:hAnsi="宋体" w:cs="宋体"/>
          <w:sz w:val="24"/>
          <w:szCs w:val="24"/>
          <w:lang w:val="zh-CN"/>
        </w:rPr>
        <w:t>元的投标保证金与本投标文件同时提交。</w:t>
      </w:r>
    </w:p>
    <w:p w14:paraId="04FF04F1">
      <w:pPr>
        <w:pStyle w:val="94"/>
        <w:spacing w:line="288" w:lineRule="auto"/>
        <w:ind w:left="0" w:firstLine="0" w:firstLineChars="0"/>
        <w:rPr>
          <w:rFonts w:ascii="宋体" w:hAnsi="宋体" w:cs="宋体"/>
          <w:sz w:val="24"/>
          <w:szCs w:val="24"/>
        </w:rPr>
      </w:pPr>
      <w:r>
        <w:rPr>
          <w:rFonts w:hint="eastAsia" w:ascii="宋体" w:hAnsi="宋体" w:cs="宋体"/>
          <w:sz w:val="24"/>
          <w:szCs w:val="24"/>
        </w:rPr>
        <w:t>5、我方已经详细地阅读了全部招标文件及其附件，包括澄清及参考文件(如果有的话)。我方已完全清晰理解招标文件的要求，不存在任何含糊不清和误解之处，同意放弃对这些文件所提出的异议和质疑的权利。</w:t>
      </w:r>
    </w:p>
    <w:p w14:paraId="0FAA85E6">
      <w:pPr>
        <w:pStyle w:val="94"/>
        <w:spacing w:line="288" w:lineRule="auto"/>
        <w:ind w:left="0" w:firstLine="0" w:firstLineChars="0"/>
        <w:rPr>
          <w:rFonts w:ascii="宋体" w:hAnsi="宋体" w:cs="宋体"/>
          <w:sz w:val="24"/>
          <w:szCs w:val="24"/>
        </w:rPr>
      </w:pPr>
      <w:r>
        <w:rPr>
          <w:rFonts w:hint="eastAsia" w:ascii="宋体" w:hAnsi="宋体" w:cs="宋体"/>
          <w:sz w:val="24"/>
          <w:szCs w:val="24"/>
        </w:rPr>
        <w:t>6、我方已毫无保留地向贵方提供一切所需的证明材料。</w:t>
      </w:r>
    </w:p>
    <w:p w14:paraId="482704F7">
      <w:pPr>
        <w:pStyle w:val="94"/>
        <w:spacing w:line="288" w:lineRule="auto"/>
        <w:ind w:left="0" w:firstLine="0" w:firstLineChars="0"/>
        <w:rPr>
          <w:rFonts w:ascii="宋体" w:hAnsi="宋体" w:cs="宋体"/>
          <w:sz w:val="24"/>
          <w:szCs w:val="24"/>
        </w:rPr>
      </w:pPr>
      <w:r>
        <w:rPr>
          <w:rFonts w:hint="eastAsia" w:ascii="宋体" w:hAnsi="宋体" w:cs="宋体"/>
          <w:sz w:val="24"/>
          <w:szCs w:val="24"/>
        </w:rPr>
        <w:t>7、我方承诺在本次投标文件中提供的一切文件，无论是原件还是复印件均为真实和准确的，绝无任何虚假、伪造和夸大的成份，否则，愿承担相应的后果和法律责任。</w:t>
      </w:r>
    </w:p>
    <w:p w14:paraId="5220C7A5">
      <w:pPr>
        <w:pStyle w:val="94"/>
        <w:spacing w:line="288" w:lineRule="auto"/>
        <w:ind w:left="0" w:firstLine="0" w:firstLineChars="0"/>
        <w:rPr>
          <w:rFonts w:ascii="宋体" w:hAnsi="宋体" w:cs="宋体"/>
          <w:sz w:val="24"/>
          <w:szCs w:val="24"/>
        </w:rPr>
      </w:pPr>
      <w:r>
        <w:rPr>
          <w:rFonts w:hint="eastAsia" w:ascii="宋体" w:hAnsi="宋体" w:cs="宋体"/>
          <w:sz w:val="24"/>
          <w:szCs w:val="24"/>
        </w:rPr>
        <w:t>8、我方完全服从和尊重评委会所作的评定结果。</w:t>
      </w:r>
    </w:p>
    <w:p w14:paraId="4B31FF88">
      <w:pPr>
        <w:pStyle w:val="94"/>
        <w:spacing w:line="288" w:lineRule="auto"/>
        <w:ind w:left="0" w:firstLine="0" w:firstLineChars="0"/>
        <w:rPr>
          <w:rFonts w:ascii="宋体" w:hAnsi="宋体" w:cs="宋体"/>
          <w:sz w:val="24"/>
          <w:szCs w:val="24"/>
        </w:rPr>
      </w:pPr>
      <w:r>
        <w:rPr>
          <w:rFonts w:hint="eastAsia" w:ascii="宋体" w:hAnsi="宋体" w:cs="宋体"/>
          <w:sz w:val="24"/>
          <w:szCs w:val="24"/>
        </w:rPr>
        <w:t>9、我方同意按招标文件规定向采购代理机构缴纳中标服务费。</w:t>
      </w:r>
    </w:p>
    <w:p w14:paraId="238750DB">
      <w:pPr>
        <w:pStyle w:val="94"/>
        <w:keepNext w:val="0"/>
        <w:keepLines w:val="0"/>
        <w:pageBreakBefore w:val="0"/>
        <w:kinsoku/>
        <w:wordWrap/>
        <w:overflowPunct/>
        <w:topLinePunct w:val="0"/>
        <w:bidi w:val="0"/>
        <w:snapToGrid/>
        <w:spacing w:line="288" w:lineRule="auto"/>
        <w:ind w:left="420" w:firstLine="0" w:firstLineChars="0"/>
        <w:textAlignment w:val="auto"/>
        <w:rPr>
          <w:rFonts w:hint="eastAsia" w:ascii="宋体" w:hAnsi="宋体" w:eastAsia="宋体" w:cs="宋体"/>
          <w:color w:val="auto"/>
          <w:sz w:val="24"/>
          <w:szCs w:val="24"/>
          <w:highlight w:val="none"/>
        </w:rPr>
      </w:pPr>
    </w:p>
    <w:tbl>
      <w:tblPr>
        <w:tblStyle w:val="45"/>
        <w:tblW w:w="8528" w:type="dxa"/>
        <w:jc w:val="center"/>
        <w:tblLayout w:type="fixed"/>
        <w:tblCellMar>
          <w:top w:w="0" w:type="dxa"/>
          <w:left w:w="108" w:type="dxa"/>
          <w:bottom w:w="0" w:type="dxa"/>
          <w:right w:w="108" w:type="dxa"/>
        </w:tblCellMar>
      </w:tblPr>
      <w:tblGrid>
        <w:gridCol w:w="4264"/>
        <w:gridCol w:w="4264"/>
      </w:tblGrid>
      <w:tr w14:paraId="601E15F1">
        <w:tblPrEx>
          <w:tblCellMar>
            <w:top w:w="0" w:type="dxa"/>
            <w:left w:w="108" w:type="dxa"/>
            <w:bottom w:w="0" w:type="dxa"/>
            <w:right w:w="108" w:type="dxa"/>
          </w:tblCellMar>
        </w:tblPrEx>
        <w:trPr>
          <w:jc w:val="center"/>
        </w:trPr>
        <w:tc>
          <w:tcPr>
            <w:tcW w:w="4264" w:type="dxa"/>
            <w:shd w:val="clear" w:color="auto" w:fill="auto"/>
          </w:tcPr>
          <w:p w14:paraId="18D5AE80">
            <w:pPr>
              <w:keepNext w:val="0"/>
              <w:keepLines w:val="0"/>
              <w:pageBreakBefore w:val="0"/>
              <w:kinsoku/>
              <w:wordWrap/>
              <w:overflowPunct/>
              <w:topLinePunct w:val="0"/>
              <w:bidi w:val="0"/>
              <w:snapToGrid/>
              <w:spacing w:before="120" w:beforeLines="5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w:t>
            </w:r>
          </w:p>
        </w:tc>
        <w:tc>
          <w:tcPr>
            <w:tcW w:w="4264" w:type="dxa"/>
            <w:shd w:val="clear" w:color="auto" w:fill="auto"/>
          </w:tcPr>
          <w:p w14:paraId="16D941D5">
            <w:pPr>
              <w:keepNext w:val="0"/>
              <w:keepLines w:val="0"/>
              <w:pageBreakBefore w:val="0"/>
              <w:kinsoku/>
              <w:wordWrap/>
              <w:overflowPunct/>
              <w:topLinePunct w:val="0"/>
              <w:bidi w:val="0"/>
              <w:snapToGrid/>
              <w:spacing w:before="120" w:beforeLines="5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tc>
      </w:tr>
      <w:tr w14:paraId="02C0C86E">
        <w:tblPrEx>
          <w:tblCellMar>
            <w:top w:w="0" w:type="dxa"/>
            <w:left w:w="108" w:type="dxa"/>
            <w:bottom w:w="0" w:type="dxa"/>
            <w:right w:w="108" w:type="dxa"/>
          </w:tblCellMar>
        </w:tblPrEx>
        <w:trPr>
          <w:jc w:val="center"/>
        </w:trPr>
        <w:tc>
          <w:tcPr>
            <w:tcW w:w="4264" w:type="dxa"/>
            <w:shd w:val="clear" w:color="auto" w:fill="auto"/>
          </w:tcPr>
          <w:p w14:paraId="135F7DD5">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4264" w:type="dxa"/>
            <w:shd w:val="clear" w:color="auto" w:fill="auto"/>
          </w:tcPr>
          <w:p w14:paraId="7C54D9FE">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r>
      <w:tr w14:paraId="5FB90A4F">
        <w:tblPrEx>
          <w:tblCellMar>
            <w:top w:w="0" w:type="dxa"/>
            <w:left w:w="108" w:type="dxa"/>
            <w:bottom w:w="0" w:type="dxa"/>
            <w:right w:w="108" w:type="dxa"/>
          </w:tblCellMar>
        </w:tblPrEx>
        <w:trPr>
          <w:jc w:val="center"/>
        </w:trPr>
        <w:tc>
          <w:tcPr>
            <w:tcW w:w="4264" w:type="dxa"/>
            <w:shd w:val="clear" w:color="auto" w:fill="auto"/>
          </w:tcPr>
          <w:p w14:paraId="00B7726A">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p>
        </w:tc>
        <w:tc>
          <w:tcPr>
            <w:tcW w:w="4264" w:type="dxa"/>
            <w:shd w:val="clear" w:color="auto" w:fill="auto"/>
          </w:tcPr>
          <w:p w14:paraId="04B188B0">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r>
      <w:tr w14:paraId="7D7F24CF">
        <w:tblPrEx>
          <w:tblCellMar>
            <w:top w:w="0" w:type="dxa"/>
            <w:left w:w="108" w:type="dxa"/>
            <w:bottom w:w="0" w:type="dxa"/>
            <w:right w:w="108" w:type="dxa"/>
          </w:tblCellMar>
        </w:tblPrEx>
        <w:trPr>
          <w:jc w:val="center"/>
        </w:trPr>
        <w:tc>
          <w:tcPr>
            <w:tcW w:w="8528" w:type="dxa"/>
            <w:gridSpan w:val="2"/>
            <w:shd w:val="clear" w:color="auto" w:fill="auto"/>
          </w:tcPr>
          <w:p w14:paraId="48B7B11B">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r>
      <w:tr w14:paraId="797B8D45">
        <w:tblPrEx>
          <w:tblCellMar>
            <w:top w:w="0" w:type="dxa"/>
            <w:left w:w="108" w:type="dxa"/>
            <w:bottom w:w="0" w:type="dxa"/>
            <w:right w:w="108" w:type="dxa"/>
          </w:tblCellMar>
        </w:tblPrEx>
        <w:trPr>
          <w:jc w:val="center"/>
        </w:trPr>
        <w:tc>
          <w:tcPr>
            <w:tcW w:w="8528" w:type="dxa"/>
            <w:gridSpan w:val="2"/>
            <w:shd w:val="clear" w:color="auto" w:fill="auto"/>
          </w:tcPr>
          <w:p w14:paraId="4E1CD2DB">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供应商法定代表人或被授权人（签名或盖章）：</w:t>
            </w:r>
          </w:p>
        </w:tc>
      </w:tr>
      <w:tr w14:paraId="1F55D01D">
        <w:tblPrEx>
          <w:tblCellMar>
            <w:top w:w="0" w:type="dxa"/>
            <w:left w:w="108" w:type="dxa"/>
            <w:bottom w:w="0" w:type="dxa"/>
            <w:right w:w="108" w:type="dxa"/>
          </w:tblCellMar>
        </w:tblPrEx>
        <w:trPr>
          <w:jc w:val="center"/>
        </w:trPr>
        <w:tc>
          <w:tcPr>
            <w:tcW w:w="8528" w:type="dxa"/>
            <w:gridSpan w:val="2"/>
            <w:shd w:val="clear" w:color="auto" w:fill="auto"/>
          </w:tcPr>
          <w:p w14:paraId="4B87D68C">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r>
    </w:tbl>
    <w:p w14:paraId="79CD0D05">
      <w:pPr>
        <w:spacing w:before="120" w:beforeLines="50" w:after="120" w:afterLines="50" w:line="360" w:lineRule="auto"/>
        <w:jc w:val="center"/>
        <w:rPr>
          <w:rFonts w:hint="eastAsia" w:ascii="宋体" w:hAnsi="宋体" w:eastAsia="宋体" w:cs="宋体"/>
          <w:b/>
          <w:color w:val="auto"/>
          <w:spacing w:val="20"/>
          <w:sz w:val="30"/>
          <w:szCs w:val="30"/>
          <w:highlight w:val="none"/>
        </w:rPr>
      </w:pPr>
    </w:p>
    <w:p w14:paraId="6734906F">
      <w:pPr>
        <w:rPr>
          <w:rFonts w:hint="eastAsia" w:ascii="宋体" w:hAnsi="宋体" w:eastAsia="宋体" w:cs="宋体"/>
          <w:b/>
          <w:color w:val="auto"/>
          <w:spacing w:val="20"/>
          <w:sz w:val="30"/>
          <w:szCs w:val="30"/>
          <w:highlight w:val="none"/>
        </w:rPr>
      </w:pPr>
      <w:r>
        <w:rPr>
          <w:rFonts w:hint="eastAsia" w:ascii="宋体" w:hAnsi="宋体" w:eastAsia="宋体" w:cs="宋体"/>
          <w:b/>
          <w:color w:val="auto"/>
          <w:spacing w:val="20"/>
          <w:sz w:val="30"/>
          <w:szCs w:val="30"/>
          <w:highlight w:val="none"/>
        </w:rPr>
        <w:br w:type="page"/>
      </w:r>
    </w:p>
    <w:p w14:paraId="13CF639D">
      <w:pPr>
        <w:spacing w:line="360" w:lineRule="auto"/>
        <w:jc w:val="center"/>
        <w:rPr>
          <w:rFonts w:hint="eastAsia" w:ascii="宋体" w:hAnsi="宋体" w:eastAsia="宋体" w:cs="宋体"/>
          <w:b/>
          <w:color w:val="auto"/>
          <w:sz w:val="36"/>
          <w:szCs w:val="36"/>
          <w:highlight w:val="none"/>
        </w:rPr>
      </w:pPr>
    </w:p>
    <w:p w14:paraId="163A55D1">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四、法定代表人身份证明书</w:t>
      </w:r>
    </w:p>
    <w:p w14:paraId="4F5592C2">
      <w:pPr>
        <w:keepNext w:val="0"/>
        <w:keepLines w:val="0"/>
        <w:pageBreakBefore w:val="0"/>
        <w:kinsoku/>
        <w:wordWrap/>
        <w:overflowPunct/>
        <w:topLinePunct w:val="0"/>
        <w:autoSpaceDE/>
        <w:autoSpaceDN/>
        <w:bidi w:val="0"/>
        <w:adjustRightInd/>
        <w:snapToGrid/>
        <w:spacing w:before="240" w:beforeLines="100" w:after="120" w:afterLines="50"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u w:val="single"/>
        </w:rPr>
        <w:t>(采购代理机构名称)</w:t>
      </w:r>
    </w:p>
    <w:tbl>
      <w:tblPr>
        <w:tblStyle w:val="45"/>
        <w:tblW w:w="8528" w:type="dxa"/>
        <w:jc w:val="center"/>
        <w:tblLayout w:type="fixed"/>
        <w:tblCellMar>
          <w:top w:w="0" w:type="dxa"/>
          <w:left w:w="108" w:type="dxa"/>
          <w:bottom w:w="0" w:type="dxa"/>
          <w:right w:w="108" w:type="dxa"/>
        </w:tblCellMar>
      </w:tblPr>
      <w:tblGrid>
        <w:gridCol w:w="2802"/>
        <w:gridCol w:w="1462"/>
        <w:gridCol w:w="4264"/>
      </w:tblGrid>
      <w:tr w14:paraId="3E465EAE">
        <w:tblPrEx>
          <w:tblCellMar>
            <w:top w:w="0" w:type="dxa"/>
            <w:left w:w="108" w:type="dxa"/>
            <w:bottom w:w="0" w:type="dxa"/>
            <w:right w:w="108" w:type="dxa"/>
          </w:tblCellMar>
        </w:tblPrEx>
        <w:trPr>
          <w:jc w:val="center"/>
        </w:trPr>
        <w:tc>
          <w:tcPr>
            <w:tcW w:w="8528" w:type="dxa"/>
            <w:gridSpan w:val="3"/>
            <w:shd w:val="clear" w:color="auto" w:fill="auto"/>
          </w:tcPr>
          <w:p w14:paraId="0A7796B9">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同志，现任我单位职务，为法定代表人，特此证明。</w:t>
            </w:r>
          </w:p>
        </w:tc>
      </w:tr>
      <w:tr w14:paraId="5475AD32">
        <w:tblPrEx>
          <w:tblCellMar>
            <w:top w:w="0" w:type="dxa"/>
            <w:left w:w="108" w:type="dxa"/>
            <w:bottom w:w="0" w:type="dxa"/>
            <w:right w:w="108" w:type="dxa"/>
          </w:tblCellMar>
        </w:tblPrEx>
        <w:trPr>
          <w:jc w:val="center"/>
        </w:trPr>
        <w:tc>
          <w:tcPr>
            <w:tcW w:w="8528" w:type="dxa"/>
            <w:gridSpan w:val="3"/>
            <w:shd w:val="clear" w:color="auto" w:fill="auto"/>
          </w:tcPr>
          <w:p w14:paraId="189B2774">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r>
      <w:tr w14:paraId="2BAB0EE7">
        <w:tblPrEx>
          <w:tblCellMar>
            <w:top w:w="0" w:type="dxa"/>
            <w:left w:w="108" w:type="dxa"/>
            <w:bottom w:w="0" w:type="dxa"/>
            <w:right w:w="108" w:type="dxa"/>
          </w:tblCellMar>
        </w:tblPrEx>
        <w:trPr>
          <w:jc w:val="center"/>
        </w:trPr>
        <w:tc>
          <w:tcPr>
            <w:tcW w:w="8528" w:type="dxa"/>
            <w:gridSpan w:val="3"/>
            <w:shd w:val="clear" w:color="auto" w:fill="auto"/>
          </w:tcPr>
          <w:p w14:paraId="4065418E">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r>
      <w:tr w14:paraId="75989557">
        <w:tblPrEx>
          <w:tblCellMar>
            <w:top w:w="0" w:type="dxa"/>
            <w:left w:w="108" w:type="dxa"/>
            <w:bottom w:w="0" w:type="dxa"/>
            <w:right w:w="108" w:type="dxa"/>
          </w:tblCellMar>
        </w:tblPrEx>
        <w:trPr>
          <w:jc w:val="center"/>
        </w:trPr>
        <w:tc>
          <w:tcPr>
            <w:tcW w:w="4264" w:type="dxa"/>
            <w:gridSpan w:val="2"/>
            <w:shd w:val="clear" w:color="auto" w:fill="auto"/>
          </w:tcPr>
          <w:p w14:paraId="4088DA0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代表人姓名：</w:t>
            </w:r>
          </w:p>
        </w:tc>
        <w:tc>
          <w:tcPr>
            <w:tcW w:w="4264" w:type="dxa"/>
            <w:shd w:val="clear" w:color="auto" w:fill="auto"/>
          </w:tcPr>
          <w:p w14:paraId="0C8DE638">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代表人联系电话：</w:t>
            </w:r>
          </w:p>
        </w:tc>
      </w:tr>
      <w:tr w14:paraId="57ABB762">
        <w:tblPrEx>
          <w:tblCellMar>
            <w:top w:w="0" w:type="dxa"/>
            <w:left w:w="108" w:type="dxa"/>
            <w:bottom w:w="0" w:type="dxa"/>
            <w:right w:w="108" w:type="dxa"/>
          </w:tblCellMar>
        </w:tblPrEx>
        <w:trPr>
          <w:jc w:val="center"/>
        </w:trPr>
        <w:tc>
          <w:tcPr>
            <w:tcW w:w="4264" w:type="dxa"/>
            <w:gridSpan w:val="2"/>
            <w:shd w:val="clear" w:color="auto" w:fill="auto"/>
          </w:tcPr>
          <w:p w14:paraId="546AEA5B">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代表人性别：</w:t>
            </w:r>
          </w:p>
        </w:tc>
        <w:tc>
          <w:tcPr>
            <w:tcW w:w="4264" w:type="dxa"/>
            <w:shd w:val="clear" w:color="auto" w:fill="auto"/>
          </w:tcPr>
          <w:p w14:paraId="3EE146A8">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代表人年龄：</w:t>
            </w:r>
          </w:p>
        </w:tc>
      </w:tr>
      <w:tr w14:paraId="566467E2">
        <w:tblPrEx>
          <w:tblCellMar>
            <w:top w:w="0" w:type="dxa"/>
            <w:left w:w="108" w:type="dxa"/>
            <w:bottom w:w="0" w:type="dxa"/>
            <w:right w:w="108" w:type="dxa"/>
          </w:tblCellMar>
        </w:tblPrEx>
        <w:trPr>
          <w:jc w:val="center"/>
        </w:trPr>
        <w:tc>
          <w:tcPr>
            <w:tcW w:w="4264" w:type="dxa"/>
            <w:gridSpan w:val="2"/>
            <w:shd w:val="clear" w:color="auto" w:fill="auto"/>
          </w:tcPr>
          <w:p w14:paraId="561BB9E8">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代表人身份证号码：</w:t>
            </w:r>
          </w:p>
        </w:tc>
        <w:tc>
          <w:tcPr>
            <w:tcW w:w="4264" w:type="dxa"/>
            <w:shd w:val="clear" w:color="auto" w:fill="auto"/>
          </w:tcPr>
          <w:p w14:paraId="4A3B27B5">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营业执照或事业单位法人证书号码：</w:t>
            </w:r>
          </w:p>
        </w:tc>
      </w:tr>
      <w:tr w14:paraId="3A02DA2D">
        <w:tblPrEx>
          <w:tblCellMar>
            <w:top w:w="0" w:type="dxa"/>
            <w:left w:w="108" w:type="dxa"/>
            <w:bottom w:w="0" w:type="dxa"/>
            <w:right w:w="108" w:type="dxa"/>
          </w:tblCellMar>
        </w:tblPrEx>
        <w:trPr>
          <w:jc w:val="center"/>
        </w:trPr>
        <w:tc>
          <w:tcPr>
            <w:tcW w:w="4264" w:type="dxa"/>
            <w:gridSpan w:val="2"/>
            <w:shd w:val="clear" w:color="auto" w:fill="auto"/>
          </w:tcPr>
          <w:p w14:paraId="40FFA4B6">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tc>
        <w:tc>
          <w:tcPr>
            <w:tcW w:w="4264" w:type="dxa"/>
            <w:shd w:val="clear" w:color="auto" w:fill="auto"/>
          </w:tcPr>
          <w:p w14:paraId="448377F0">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tc>
      </w:tr>
      <w:tr w14:paraId="0022202F">
        <w:tblPrEx>
          <w:tblCellMar>
            <w:top w:w="0" w:type="dxa"/>
            <w:left w:w="108" w:type="dxa"/>
            <w:bottom w:w="0" w:type="dxa"/>
            <w:right w:w="108" w:type="dxa"/>
          </w:tblCellMar>
        </w:tblPrEx>
        <w:trPr>
          <w:jc w:val="center"/>
        </w:trPr>
        <w:tc>
          <w:tcPr>
            <w:tcW w:w="8528" w:type="dxa"/>
            <w:gridSpan w:val="3"/>
            <w:shd w:val="clear" w:color="auto" w:fill="auto"/>
          </w:tcPr>
          <w:p w14:paraId="5A463EFA">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主营（产）：</w:t>
            </w:r>
          </w:p>
        </w:tc>
      </w:tr>
      <w:tr w14:paraId="2B8D490D">
        <w:tblPrEx>
          <w:tblCellMar>
            <w:top w:w="0" w:type="dxa"/>
            <w:left w:w="108" w:type="dxa"/>
            <w:bottom w:w="0" w:type="dxa"/>
            <w:right w:w="108" w:type="dxa"/>
          </w:tblCellMar>
        </w:tblPrEx>
        <w:trPr>
          <w:jc w:val="center"/>
        </w:trPr>
        <w:tc>
          <w:tcPr>
            <w:tcW w:w="8528" w:type="dxa"/>
            <w:gridSpan w:val="3"/>
            <w:shd w:val="clear" w:color="auto" w:fill="auto"/>
          </w:tcPr>
          <w:p w14:paraId="3035E7CC">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兼营（产）：</w:t>
            </w:r>
          </w:p>
        </w:tc>
      </w:tr>
      <w:tr w14:paraId="49893CF0">
        <w:tblPrEx>
          <w:tblCellMar>
            <w:top w:w="0" w:type="dxa"/>
            <w:left w:w="108" w:type="dxa"/>
            <w:bottom w:w="0" w:type="dxa"/>
            <w:right w:w="108" w:type="dxa"/>
          </w:tblCellMar>
        </w:tblPrEx>
        <w:trPr>
          <w:trHeight w:val="461" w:hRule="atLeast"/>
          <w:jc w:val="center"/>
        </w:trPr>
        <w:tc>
          <w:tcPr>
            <w:tcW w:w="8528" w:type="dxa"/>
            <w:gridSpan w:val="3"/>
            <w:shd w:val="clear" w:color="auto" w:fill="auto"/>
            <w:vAlign w:val="center"/>
          </w:tcPr>
          <w:p w14:paraId="24A967F7">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tc>
      </w:tr>
      <w:tr w14:paraId="59BB08FA">
        <w:tblPrEx>
          <w:tblCellMar>
            <w:top w:w="0" w:type="dxa"/>
            <w:left w:w="108" w:type="dxa"/>
            <w:bottom w:w="0" w:type="dxa"/>
            <w:right w:w="108" w:type="dxa"/>
          </w:tblCellMar>
        </w:tblPrEx>
        <w:trPr>
          <w:jc w:val="center"/>
        </w:trPr>
        <w:tc>
          <w:tcPr>
            <w:tcW w:w="2802" w:type="dxa"/>
            <w:shd w:val="clear" w:color="auto" w:fill="auto"/>
          </w:tcPr>
          <w:p w14:paraId="14CB979D">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c>
        <w:tc>
          <w:tcPr>
            <w:tcW w:w="5726" w:type="dxa"/>
            <w:gridSpan w:val="2"/>
            <w:shd w:val="clear" w:color="auto" w:fill="auto"/>
          </w:tcPr>
          <w:p w14:paraId="5D9FEC34">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r>
      <w:tr w14:paraId="7302DA80">
        <w:tblPrEx>
          <w:tblCellMar>
            <w:top w:w="0" w:type="dxa"/>
            <w:left w:w="108" w:type="dxa"/>
            <w:bottom w:w="0" w:type="dxa"/>
            <w:right w:w="108" w:type="dxa"/>
          </w:tblCellMar>
        </w:tblPrEx>
        <w:trPr>
          <w:jc w:val="center"/>
        </w:trPr>
        <w:tc>
          <w:tcPr>
            <w:tcW w:w="2802" w:type="dxa"/>
            <w:shd w:val="clear" w:color="auto" w:fill="auto"/>
          </w:tcPr>
          <w:p w14:paraId="1C0830E4">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c>
        <w:tc>
          <w:tcPr>
            <w:tcW w:w="5726" w:type="dxa"/>
            <w:gridSpan w:val="2"/>
            <w:shd w:val="clear" w:color="auto" w:fill="auto"/>
          </w:tcPr>
          <w:p w14:paraId="12D61146">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法定代表人（签名或盖章）：</w:t>
            </w:r>
          </w:p>
        </w:tc>
      </w:tr>
      <w:tr w14:paraId="58D36793">
        <w:tblPrEx>
          <w:tblCellMar>
            <w:top w:w="0" w:type="dxa"/>
            <w:left w:w="108" w:type="dxa"/>
            <w:bottom w:w="0" w:type="dxa"/>
            <w:right w:w="108" w:type="dxa"/>
          </w:tblCellMar>
        </w:tblPrEx>
        <w:trPr>
          <w:jc w:val="center"/>
        </w:trPr>
        <w:tc>
          <w:tcPr>
            <w:tcW w:w="2802" w:type="dxa"/>
            <w:shd w:val="clear" w:color="auto" w:fill="auto"/>
          </w:tcPr>
          <w:p w14:paraId="6D99B04B">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c>
        <w:tc>
          <w:tcPr>
            <w:tcW w:w="5726" w:type="dxa"/>
            <w:gridSpan w:val="2"/>
            <w:shd w:val="clear" w:color="auto" w:fill="auto"/>
          </w:tcPr>
          <w:p w14:paraId="1E75D3EE">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r>
    </w:tbl>
    <w:p w14:paraId="4EFBB079">
      <w:pPr>
        <w:keepNext w:val="0"/>
        <w:keepLines w:val="0"/>
        <w:pageBreakBefore w:val="0"/>
        <w:kinsoku/>
        <w:wordWrap/>
        <w:overflowPunct/>
        <w:topLinePunct w:val="0"/>
        <w:autoSpaceDE/>
        <w:autoSpaceDN/>
        <w:bidi w:val="0"/>
        <w:adjustRightInd/>
        <w:snapToGrid/>
        <w:spacing w:before="120" w:beforeLines="50" w:after="72" w:afterLines="3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须附：法定代表人有效期内身份证复印件</w:t>
      </w:r>
    </w:p>
    <w:tbl>
      <w:tblPr>
        <w:tblStyle w:val="45"/>
        <w:tblW w:w="8941"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77"/>
        <w:gridCol w:w="4264"/>
      </w:tblGrid>
      <w:tr w14:paraId="0ECE5CA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833" w:hRule="atLeast"/>
          <w:jc w:val="center"/>
        </w:trPr>
        <w:tc>
          <w:tcPr>
            <w:tcW w:w="4677" w:type="dxa"/>
            <w:vAlign w:val="center"/>
          </w:tcPr>
          <w:p w14:paraId="00932FB6">
            <w:pPr>
              <w:pStyle w:val="136"/>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w:t>
            </w:r>
          </w:p>
        </w:tc>
        <w:tc>
          <w:tcPr>
            <w:tcW w:w="4264" w:type="dxa"/>
            <w:vAlign w:val="center"/>
          </w:tcPr>
          <w:p w14:paraId="4FC590D2">
            <w:pPr>
              <w:pStyle w:val="136"/>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背面</w:t>
            </w:r>
          </w:p>
        </w:tc>
      </w:tr>
    </w:tbl>
    <w:p w14:paraId="0F785127">
      <w:pPr>
        <w:keepNext w:val="0"/>
        <w:keepLines w:val="0"/>
        <w:pageBreakBefore w:val="0"/>
        <w:kinsoku/>
        <w:wordWrap/>
        <w:overflowPunct/>
        <w:topLinePunct w:val="0"/>
        <w:autoSpaceDE/>
        <w:autoSpaceDN/>
        <w:bidi w:val="0"/>
        <w:adjustRightInd/>
        <w:snapToGrid/>
        <w:spacing w:before="120" w:beforeLines="50" w:after="120" w:afterLines="50" w:line="288" w:lineRule="auto"/>
        <w:jc w:val="center"/>
        <w:textAlignment w:val="auto"/>
        <w:rPr>
          <w:rFonts w:hint="eastAsia" w:ascii="宋体" w:hAnsi="宋体" w:eastAsia="宋体" w:cs="宋体"/>
          <w:b/>
          <w:color w:val="auto"/>
          <w:spacing w:val="20"/>
          <w:sz w:val="24"/>
          <w:szCs w:val="24"/>
          <w:highlight w:val="none"/>
        </w:rPr>
      </w:pPr>
    </w:p>
    <w:p w14:paraId="06D89E18">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color w:val="auto"/>
          <w:spacing w:val="20"/>
          <w:sz w:val="30"/>
          <w:szCs w:val="30"/>
          <w:highlight w:val="none"/>
        </w:rPr>
      </w:pPr>
      <w:r>
        <w:rPr>
          <w:rFonts w:hint="eastAsia" w:ascii="宋体" w:hAnsi="宋体" w:eastAsia="宋体" w:cs="宋体"/>
          <w:b/>
          <w:color w:val="auto"/>
          <w:spacing w:val="20"/>
          <w:sz w:val="24"/>
          <w:szCs w:val="24"/>
          <w:highlight w:val="none"/>
        </w:rPr>
        <w:br w:type="page"/>
      </w:r>
    </w:p>
    <w:p w14:paraId="63A2F26B">
      <w:pPr>
        <w:spacing w:line="360" w:lineRule="auto"/>
        <w:jc w:val="center"/>
        <w:rPr>
          <w:rFonts w:hint="eastAsia" w:ascii="宋体" w:hAnsi="宋体" w:eastAsia="宋体" w:cs="宋体"/>
          <w:b/>
          <w:color w:val="auto"/>
          <w:sz w:val="36"/>
          <w:szCs w:val="36"/>
          <w:highlight w:val="none"/>
        </w:rPr>
      </w:pPr>
    </w:p>
    <w:p w14:paraId="5EE2A942">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五、法定代表人授权委托书</w:t>
      </w:r>
    </w:p>
    <w:p w14:paraId="3AF57306">
      <w:pPr>
        <w:keepNext w:val="0"/>
        <w:keepLines w:val="0"/>
        <w:pageBreakBefore w:val="0"/>
        <w:kinsoku/>
        <w:wordWrap/>
        <w:overflowPunct/>
        <w:topLinePunct w:val="0"/>
        <w:autoSpaceDE/>
        <w:autoSpaceDN/>
        <w:bidi w:val="0"/>
        <w:adjustRightInd/>
        <w:snapToGrid/>
        <w:spacing w:before="360" w:beforeLines="150" w:after="240" w:afterLines="100"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u w:val="single"/>
        </w:rPr>
        <w:t>(采购代理机构名称)</w:t>
      </w:r>
    </w:p>
    <w:p w14:paraId="1D1F527F">
      <w:pPr>
        <w:pStyle w:val="136"/>
        <w:keepNext w:val="0"/>
        <w:keepLines w:val="0"/>
        <w:pageBreakBefore w:val="0"/>
        <w:kinsoku/>
        <w:wordWrap/>
        <w:overflowPunct/>
        <w:topLinePunct w:val="0"/>
        <w:autoSpaceDE/>
        <w:autoSpaceDN/>
        <w:bidi w:val="0"/>
        <w:adjustRightInd/>
        <w:snapToGrid/>
        <w:spacing w:line="288" w:lineRule="auto"/>
        <w:ind w:firstLine="4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为我方合法代理人。代理人根据授权，以我方名义签署、澄清、说明、补正、递交、撤回、修改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rPr>
        <w:t>（</w:t>
      </w:r>
      <w:r>
        <w:rPr>
          <w:rFonts w:hint="eastAsia" w:asci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）投标文件、签订合同和处理有关事宜，其法律后果由我方承担。</w:t>
      </w:r>
    </w:p>
    <w:p w14:paraId="6EEEAFBA">
      <w:pPr>
        <w:pStyle w:val="136"/>
        <w:keepNext w:val="0"/>
        <w:keepLines w:val="0"/>
        <w:pageBreakBefore w:val="0"/>
        <w:kinsoku/>
        <w:wordWrap/>
        <w:overflowPunct/>
        <w:topLinePunct w:val="0"/>
        <w:autoSpaceDE/>
        <w:autoSpaceDN/>
        <w:bidi w:val="0"/>
        <w:adjustRightInd/>
        <w:snapToGrid/>
        <w:spacing w:line="288" w:lineRule="auto"/>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本委托书于</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日签字生效，特此证明。</w:t>
      </w:r>
    </w:p>
    <w:p w14:paraId="376203C1">
      <w:pPr>
        <w:pStyle w:val="136"/>
        <w:keepNext w:val="0"/>
        <w:keepLines w:val="0"/>
        <w:pageBreakBefore w:val="0"/>
        <w:kinsoku/>
        <w:wordWrap/>
        <w:overflowPunct/>
        <w:topLinePunct w:val="0"/>
        <w:autoSpaceDE/>
        <w:autoSpaceDN/>
        <w:bidi w:val="0"/>
        <w:adjustRightInd/>
        <w:snapToGrid/>
        <w:spacing w:line="288" w:lineRule="auto"/>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w:t>
      </w:r>
    </w:p>
    <w:p w14:paraId="06C20575">
      <w:pPr>
        <w:pStyle w:val="136"/>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color w:val="auto"/>
          <w:sz w:val="24"/>
          <w:szCs w:val="24"/>
          <w:highlight w:val="none"/>
        </w:rPr>
      </w:pPr>
    </w:p>
    <w:p w14:paraId="0EDCED02">
      <w:pPr>
        <w:pStyle w:val="136"/>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color w:val="auto"/>
          <w:sz w:val="24"/>
          <w:szCs w:val="24"/>
          <w:highlight w:val="none"/>
        </w:rPr>
      </w:pPr>
    </w:p>
    <w:tbl>
      <w:tblPr>
        <w:tblStyle w:val="45"/>
        <w:tblW w:w="5726" w:type="dxa"/>
        <w:tblInd w:w="0" w:type="dxa"/>
        <w:tblLayout w:type="fixed"/>
        <w:tblCellMar>
          <w:top w:w="0" w:type="dxa"/>
          <w:left w:w="108" w:type="dxa"/>
          <w:bottom w:w="0" w:type="dxa"/>
          <w:right w:w="108" w:type="dxa"/>
        </w:tblCellMar>
      </w:tblPr>
      <w:tblGrid>
        <w:gridCol w:w="5726"/>
      </w:tblGrid>
      <w:tr w14:paraId="0761060F">
        <w:tblPrEx>
          <w:tblCellMar>
            <w:top w:w="0" w:type="dxa"/>
            <w:left w:w="108" w:type="dxa"/>
            <w:bottom w:w="0" w:type="dxa"/>
            <w:right w:w="108" w:type="dxa"/>
          </w:tblCellMar>
        </w:tblPrEx>
        <w:tc>
          <w:tcPr>
            <w:tcW w:w="5726" w:type="dxa"/>
            <w:shd w:val="clear" w:color="auto" w:fill="auto"/>
          </w:tcPr>
          <w:p w14:paraId="63AB2930">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r>
      <w:tr w14:paraId="3B2EA947">
        <w:tblPrEx>
          <w:tblCellMar>
            <w:top w:w="0" w:type="dxa"/>
            <w:left w:w="108" w:type="dxa"/>
            <w:bottom w:w="0" w:type="dxa"/>
            <w:right w:w="108" w:type="dxa"/>
          </w:tblCellMar>
        </w:tblPrEx>
        <w:tc>
          <w:tcPr>
            <w:tcW w:w="5726" w:type="dxa"/>
            <w:shd w:val="clear" w:color="auto" w:fill="auto"/>
          </w:tcPr>
          <w:p w14:paraId="309C9DF0">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法定代表人（签名或盖章）：</w:t>
            </w:r>
          </w:p>
        </w:tc>
      </w:tr>
      <w:tr w14:paraId="206DBCA2">
        <w:tblPrEx>
          <w:tblCellMar>
            <w:top w:w="0" w:type="dxa"/>
            <w:left w:w="108" w:type="dxa"/>
            <w:bottom w:w="0" w:type="dxa"/>
            <w:right w:w="108" w:type="dxa"/>
          </w:tblCellMar>
        </w:tblPrEx>
        <w:tc>
          <w:tcPr>
            <w:tcW w:w="5726" w:type="dxa"/>
            <w:shd w:val="clear" w:color="auto" w:fill="auto"/>
          </w:tcPr>
          <w:p w14:paraId="41215EE0">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r>
      <w:tr w14:paraId="7D0B0C9B">
        <w:tblPrEx>
          <w:tblCellMar>
            <w:top w:w="0" w:type="dxa"/>
            <w:left w:w="108" w:type="dxa"/>
            <w:bottom w:w="0" w:type="dxa"/>
            <w:right w:w="108" w:type="dxa"/>
          </w:tblCellMar>
        </w:tblPrEx>
        <w:tc>
          <w:tcPr>
            <w:tcW w:w="5726" w:type="dxa"/>
            <w:shd w:val="clear" w:color="auto" w:fill="auto"/>
          </w:tcPr>
          <w:p w14:paraId="1903EC2E">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被授权人（签名或盖章）：</w:t>
            </w:r>
          </w:p>
        </w:tc>
      </w:tr>
      <w:tr w14:paraId="33664DE8">
        <w:tblPrEx>
          <w:tblCellMar>
            <w:top w:w="0" w:type="dxa"/>
            <w:left w:w="108" w:type="dxa"/>
            <w:bottom w:w="0" w:type="dxa"/>
            <w:right w:w="108" w:type="dxa"/>
          </w:tblCellMar>
        </w:tblPrEx>
        <w:tc>
          <w:tcPr>
            <w:tcW w:w="5726" w:type="dxa"/>
            <w:shd w:val="clear" w:color="auto" w:fill="auto"/>
          </w:tcPr>
          <w:p w14:paraId="3F94DECA">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r>
      <w:tr w14:paraId="7F430400">
        <w:tblPrEx>
          <w:tblCellMar>
            <w:top w:w="0" w:type="dxa"/>
            <w:left w:w="108" w:type="dxa"/>
            <w:bottom w:w="0" w:type="dxa"/>
            <w:right w:w="108" w:type="dxa"/>
          </w:tblCellMar>
        </w:tblPrEx>
        <w:tc>
          <w:tcPr>
            <w:tcW w:w="5726" w:type="dxa"/>
            <w:shd w:val="clear" w:color="auto" w:fill="auto"/>
          </w:tcPr>
          <w:p w14:paraId="55A42C27">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年        月          日</w:t>
            </w:r>
          </w:p>
        </w:tc>
      </w:tr>
    </w:tbl>
    <w:p w14:paraId="144DD0FC">
      <w:pPr>
        <w:pStyle w:val="136"/>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color w:val="auto"/>
          <w:sz w:val="24"/>
          <w:szCs w:val="24"/>
          <w:highlight w:val="none"/>
        </w:rPr>
      </w:pPr>
    </w:p>
    <w:p w14:paraId="19643EA8">
      <w:pPr>
        <w:pStyle w:val="136"/>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color w:val="auto"/>
          <w:sz w:val="24"/>
          <w:szCs w:val="24"/>
          <w:highlight w:val="none"/>
        </w:rPr>
      </w:pPr>
    </w:p>
    <w:p w14:paraId="7B432E11">
      <w:pPr>
        <w:keepNext w:val="0"/>
        <w:keepLines w:val="0"/>
        <w:pageBreakBefore w:val="0"/>
        <w:kinsoku/>
        <w:wordWrap/>
        <w:overflowPunct/>
        <w:topLinePunct w:val="0"/>
        <w:autoSpaceDE/>
        <w:autoSpaceDN/>
        <w:bidi w:val="0"/>
        <w:adjustRightInd/>
        <w:snapToGrid/>
        <w:spacing w:after="120" w:afterLines="5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须附：被授权人有效期内身份证复印件</w:t>
      </w:r>
    </w:p>
    <w:tbl>
      <w:tblPr>
        <w:tblStyle w:val="45"/>
        <w:tblW w:w="879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gridCol w:w="4264"/>
      </w:tblGrid>
      <w:tr w14:paraId="5E36BEB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10" w:hRule="atLeast"/>
          <w:jc w:val="center"/>
        </w:trPr>
        <w:tc>
          <w:tcPr>
            <w:tcW w:w="4535" w:type="dxa"/>
            <w:vAlign w:val="center"/>
          </w:tcPr>
          <w:p w14:paraId="1AC8B7D9">
            <w:pPr>
              <w:pStyle w:val="136"/>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w:t>
            </w:r>
          </w:p>
        </w:tc>
        <w:tc>
          <w:tcPr>
            <w:tcW w:w="4264" w:type="dxa"/>
            <w:vAlign w:val="center"/>
          </w:tcPr>
          <w:p w14:paraId="5C2968A6">
            <w:pPr>
              <w:pStyle w:val="136"/>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背面</w:t>
            </w:r>
          </w:p>
        </w:tc>
      </w:tr>
    </w:tbl>
    <w:p w14:paraId="018684DE">
      <w:pPr>
        <w:keepNext w:val="0"/>
        <w:keepLines w:val="0"/>
        <w:pageBreakBefore w:val="0"/>
        <w:kinsoku/>
        <w:wordWrap/>
        <w:overflowPunct/>
        <w:topLinePunct w:val="0"/>
        <w:autoSpaceDE/>
        <w:autoSpaceDN/>
        <w:bidi w:val="0"/>
        <w:adjustRightInd/>
        <w:snapToGrid/>
        <w:spacing w:before="120" w:beforeLines="50" w:after="120" w:afterLines="50" w:line="288" w:lineRule="auto"/>
        <w:jc w:val="center"/>
        <w:textAlignment w:val="auto"/>
        <w:rPr>
          <w:rFonts w:hint="eastAsia" w:ascii="宋体" w:hAnsi="宋体" w:eastAsia="宋体" w:cs="宋体"/>
          <w:b/>
          <w:color w:val="auto"/>
          <w:spacing w:val="20"/>
          <w:sz w:val="24"/>
          <w:szCs w:val="24"/>
          <w:highlight w:val="none"/>
        </w:rPr>
      </w:pPr>
    </w:p>
    <w:p w14:paraId="369427D3">
      <w:pPr>
        <w:rPr>
          <w:rFonts w:hint="eastAsia" w:ascii="宋体" w:hAnsi="宋体" w:eastAsia="宋体" w:cs="宋体"/>
          <w:b/>
          <w:color w:val="auto"/>
          <w:spacing w:val="20"/>
          <w:sz w:val="30"/>
          <w:szCs w:val="30"/>
          <w:highlight w:val="none"/>
        </w:rPr>
      </w:pPr>
      <w:r>
        <w:rPr>
          <w:rFonts w:hint="eastAsia" w:ascii="宋体" w:hAnsi="宋体" w:eastAsia="宋体" w:cs="宋体"/>
          <w:b/>
          <w:color w:val="auto"/>
          <w:spacing w:val="20"/>
          <w:sz w:val="30"/>
          <w:szCs w:val="30"/>
          <w:highlight w:val="none"/>
        </w:rPr>
        <w:br w:type="page"/>
      </w:r>
    </w:p>
    <w:p w14:paraId="3DDE7FF6">
      <w:pPr>
        <w:spacing w:line="360" w:lineRule="auto"/>
        <w:jc w:val="center"/>
        <w:rPr>
          <w:rFonts w:hint="eastAsia" w:ascii="宋体" w:hAnsi="宋体" w:eastAsia="宋体" w:cs="宋体"/>
          <w:b/>
          <w:color w:val="auto"/>
          <w:sz w:val="36"/>
          <w:szCs w:val="36"/>
          <w:highlight w:val="none"/>
        </w:rPr>
      </w:pPr>
    </w:p>
    <w:p w14:paraId="472CF050">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六、供应商基本情况说明</w:t>
      </w:r>
    </w:p>
    <w:p w14:paraId="7D92211D">
      <w:pPr>
        <w:pStyle w:val="94"/>
        <w:keepNext w:val="0"/>
        <w:keepLines w:val="0"/>
        <w:pageBreakBefore w:val="0"/>
        <w:numPr>
          <w:ilvl w:val="0"/>
          <w:numId w:val="10"/>
        </w:numPr>
        <w:kinsoku/>
        <w:wordWrap/>
        <w:topLinePunct w:val="0"/>
        <w:autoSpaceDE/>
        <w:autoSpaceDN/>
        <w:bidi w:val="0"/>
        <w:snapToGrid/>
        <w:spacing w:after="120" w:afterLines="50"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公司基本情况</w:t>
      </w:r>
    </w:p>
    <w:tbl>
      <w:tblPr>
        <w:tblStyle w:val="45"/>
        <w:tblW w:w="9096" w:type="dxa"/>
        <w:jc w:val="center"/>
        <w:tblLayout w:type="fixed"/>
        <w:tblCellMar>
          <w:top w:w="0" w:type="dxa"/>
          <w:left w:w="108" w:type="dxa"/>
          <w:bottom w:w="0" w:type="dxa"/>
          <w:right w:w="108" w:type="dxa"/>
        </w:tblCellMar>
      </w:tblPr>
      <w:tblGrid>
        <w:gridCol w:w="2114"/>
        <w:gridCol w:w="2372"/>
        <w:gridCol w:w="1039"/>
        <w:gridCol w:w="1371"/>
        <w:gridCol w:w="2200"/>
      </w:tblGrid>
      <w:tr w14:paraId="43064F7B">
        <w:tblPrEx>
          <w:tblCellMar>
            <w:top w:w="0" w:type="dxa"/>
            <w:left w:w="108" w:type="dxa"/>
            <w:bottom w:w="0" w:type="dxa"/>
            <w:right w:w="108" w:type="dxa"/>
          </w:tblCellMar>
        </w:tblPrEx>
        <w:trPr>
          <w:jc w:val="center"/>
        </w:trPr>
        <w:tc>
          <w:tcPr>
            <w:tcW w:w="5525" w:type="dxa"/>
            <w:gridSpan w:val="3"/>
            <w:shd w:val="clear" w:color="auto" w:fill="auto"/>
          </w:tcPr>
          <w:p w14:paraId="6697EF71">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公司名称：</w:t>
            </w:r>
          </w:p>
        </w:tc>
        <w:tc>
          <w:tcPr>
            <w:tcW w:w="3571" w:type="dxa"/>
            <w:gridSpan w:val="2"/>
            <w:shd w:val="clear" w:color="auto" w:fill="auto"/>
          </w:tcPr>
          <w:p w14:paraId="33178A01">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公司固话：</w:t>
            </w:r>
          </w:p>
        </w:tc>
      </w:tr>
      <w:tr w14:paraId="5558547C">
        <w:tblPrEx>
          <w:tblCellMar>
            <w:top w:w="0" w:type="dxa"/>
            <w:left w:w="108" w:type="dxa"/>
            <w:bottom w:w="0" w:type="dxa"/>
            <w:right w:w="108" w:type="dxa"/>
          </w:tblCellMar>
        </w:tblPrEx>
        <w:trPr>
          <w:jc w:val="center"/>
        </w:trPr>
        <w:tc>
          <w:tcPr>
            <w:tcW w:w="5525" w:type="dxa"/>
            <w:gridSpan w:val="3"/>
            <w:shd w:val="clear" w:color="auto" w:fill="auto"/>
          </w:tcPr>
          <w:p w14:paraId="5DF311A6">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3571" w:type="dxa"/>
            <w:gridSpan w:val="2"/>
            <w:shd w:val="clear" w:color="auto" w:fill="auto"/>
          </w:tcPr>
          <w:p w14:paraId="69F8D21F">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公司传真：</w:t>
            </w:r>
          </w:p>
        </w:tc>
      </w:tr>
      <w:tr w14:paraId="067C8822">
        <w:tblPrEx>
          <w:tblCellMar>
            <w:top w:w="0" w:type="dxa"/>
            <w:left w:w="108" w:type="dxa"/>
            <w:bottom w:w="0" w:type="dxa"/>
            <w:right w:w="108" w:type="dxa"/>
          </w:tblCellMar>
        </w:tblPrEx>
        <w:trPr>
          <w:jc w:val="center"/>
        </w:trPr>
        <w:tc>
          <w:tcPr>
            <w:tcW w:w="5525" w:type="dxa"/>
            <w:gridSpan w:val="3"/>
            <w:shd w:val="clear" w:color="auto" w:fill="auto"/>
          </w:tcPr>
          <w:p w14:paraId="147E4145">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3571" w:type="dxa"/>
            <w:gridSpan w:val="2"/>
            <w:shd w:val="clear" w:color="auto" w:fill="auto"/>
          </w:tcPr>
          <w:p w14:paraId="527C9B24">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tc>
      </w:tr>
      <w:tr w14:paraId="4D82CC73">
        <w:tblPrEx>
          <w:tblCellMar>
            <w:top w:w="0" w:type="dxa"/>
            <w:left w:w="108" w:type="dxa"/>
            <w:bottom w:w="0" w:type="dxa"/>
            <w:right w:w="108" w:type="dxa"/>
          </w:tblCellMar>
        </w:tblPrEx>
        <w:trPr>
          <w:jc w:val="center"/>
        </w:trPr>
        <w:tc>
          <w:tcPr>
            <w:tcW w:w="5525" w:type="dxa"/>
            <w:gridSpan w:val="3"/>
            <w:shd w:val="clear" w:color="auto" w:fill="auto"/>
          </w:tcPr>
          <w:p w14:paraId="600979E7">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公司开户银行名称：</w:t>
            </w:r>
          </w:p>
        </w:tc>
        <w:tc>
          <w:tcPr>
            <w:tcW w:w="3571" w:type="dxa"/>
            <w:gridSpan w:val="2"/>
            <w:shd w:val="clear" w:color="auto" w:fill="auto"/>
          </w:tcPr>
          <w:p w14:paraId="3740822C">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p>
        </w:tc>
      </w:tr>
      <w:tr w14:paraId="20FBF0F2">
        <w:tblPrEx>
          <w:tblCellMar>
            <w:top w:w="0" w:type="dxa"/>
            <w:left w:w="108" w:type="dxa"/>
            <w:bottom w:w="0" w:type="dxa"/>
            <w:right w:w="108" w:type="dxa"/>
          </w:tblCellMar>
        </w:tblPrEx>
        <w:trPr>
          <w:jc w:val="center"/>
        </w:trPr>
        <w:tc>
          <w:tcPr>
            <w:tcW w:w="9096" w:type="dxa"/>
            <w:gridSpan w:val="5"/>
            <w:shd w:val="clear" w:color="auto" w:fill="auto"/>
          </w:tcPr>
          <w:p w14:paraId="52D69523">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营业注册执照或事业单位法人证书号：</w:t>
            </w:r>
          </w:p>
        </w:tc>
      </w:tr>
      <w:tr w14:paraId="7ACD1E73">
        <w:tblPrEx>
          <w:tblCellMar>
            <w:top w:w="0" w:type="dxa"/>
            <w:left w:w="108" w:type="dxa"/>
            <w:bottom w:w="0" w:type="dxa"/>
            <w:right w:w="108" w:type="dxa"/>
          </w:tblCellMar>
        </w:tblPrEx>
        <w:trPr>
          <w:trHeight w:val="583" w:hRule="atLeast"/>
          <w:jc w:val="center"/>
        </w:trPr>
        <w:tc>
          <w:tcPr>
            <w:tcW w:w="9096" w:type="dxa"/>
            <w:gridSpan w:val="5"/>
            <w:shd w:val="clear" w:color="auto" w:fill="auto"/>
          </w:tcPr>
          <w:p w14:paraId="6EC17E76">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公司财务状况：（如需）                           【价格单位：（人民币）元】</w:t>
            </w:r>
          </w:p>
        </w:tc>
      </w:tr>
      <w:tr w14:paraId="6656993E">
        <w:tblPrEx>
          <w:tblCellMar>
            <w:top w:w="0" w:type="dxa"/>
            <w:left w:w="108" w:type="dxa"/>
            <w:bottom w:w="0" w:type="dxa"/>
            <w:right w:w="108" w:type="dxa"/>
          </w:tblCellMar>
        </w:tblPrEx>
        <w:trPr>
          <w:jc w:val="center"/>
        </w:trPr>
        <w:tc>
          <w:tcPr>
            <w:tcW w:w="2114" w:type="dxa"/>
            <w:tcBorders>
              <w:top w:val="single" w:color="auto" w:sz="6" w:space="0"/>
              <w:left w:val="single" w:color="auto" w:sz="6" w:space="0"/>
              <w:bottom w:val="single" w:color="auto" w:sz="6" w:space="0"/>
              <w:right w:val="single" w:color="auto" w:sz="6" w:space="0"/>
            </w:tcBorders>
            <w:shd w:val="clear" w:color="auto" w:fill="auto"/>
            <w:vAlign w:val="center"/>
          </w:tcPr>
          <w:p w14:paraId="713B7CFC">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度</w:t>
            </w:r>
          </w:p>
        </w:tc>
        <w:tc>
          <w:tcPr>
            <w:tcW w:w="2372" w:type="dxa"/>
            <w:tcBorders>
              <w:top w:val="single" w:color="auto" w:sz="6" w:space="0"/>
              <w:left w:val="single" w:color="auto" w:sz="6" w:space="0"/>
              <w:bottom w:val="single" w:color="auto" w:sz="6" w:space="0"/>
              <w:right w:val="single" w:color="auto" w:sz="6" w:space="0"/>
            </w:tcBorders>
            <w:shd w:val="clear" w:color="auto" w:fill="auto"/>
            <w:vAlign w:val="center"/>
          </w:tcPr>
          <w:p w14:paraId="48D43292">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总资产（元）</w:t>
            </w:r>
          </w:p>
        </w:tc>
        <w:tc>
          <w:tcPr>
            <w:tcW w:w="241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2209C19">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年营业额（元）</w:t>
            </w:r>
          </w:p>
        </w:tc>
        <w:tc>
          <w:tcPr>
            <w:tcW w:w="2200" w:type="dxa"/>
            <w:tcBorders>
              <w:top w:val="single" w:color="auto" w:sz="6" w:space="0"/>
              <w:left w:val="single" w:color="auto" w:sz="6" w:space="0"/>
              <w:bottom w:val="single" w:color="auto" w:sz="6" w:space="0"/>
              <w:right w:val="single" w:color="auto" w:sz="6" w:space="0"/>
            </w:tcBorders>
            <w:shd w:val="clear" w:color="auto" w:fill="auto"/>
            <w:vAlign w:val="center"/>
          </w:tcPr>
          <w:p w14:paraId="497BC4C2">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年净利润（元）</w:t>
            </w:r>
          </w:p>
        </w:tc>
      </w:tr>
      <w:tr w14:paraId="1BFCD54A">
        <w:tblPrEx>
          <w:tblCellMar>
            <w:top w:w="0" w:type="dxa"/>
            <w:left w:w="108" w:type="dxa"/>
            <w:bottom w:w="0" w:type="dxa"/>
            <w:right w:w="108" w:type="dxa"/>
          </w:tblCellMar>
        </w:tblPrEx>
        <w:trPr>
          <w:jc w:val="center"/>
        </w:trPr>
        <w:tc>
          <w:tcPr>
            <w:tcW w:w="2114" w:type="dxa"/>
            <w:tcBorders>
              <w:top w:val="single" w:color="auto" w:sz="6" w:space="0"/>
              <w:left w:val="single" w:color="auto" w:sz="6" w:space="0"/>
              <w:bottom w:val="single" w:color="auto" w:sz="6" w:space="0"/>
              <w:right w:val="single" w:color="auto" w:sz="6" w:space="0"/>
            </w:tcBorders>
            <w:shd w:val="clear" w:color="auto" w:fill="auto"/>
          </w:tcPr>
          <w:p w14:paraId="551F3BC3">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c>
          <w:tcPr>
            <w:tcW w:w="2372" w:type="dxa"/>
            <w:tcBorders>
              <w:top w:val="single" w:color="auto" w:sz="6" w:space="0"/>
              <w:left w:val="single" w:color="auto" w:sz="6" w:space="0"/>
              <w:bottom w:val="single" w:color="auto" w:sz="6" w:space="0"/>
              <w:right w:val="single" w:color="auto" w:sz="6" w:space="0"/>
            </w:tcBorders>
            <w:shd w:val="clear" w:color="auto" w:fill="auto"/>
          </w:tcPr>
          <w:p w14:paraId="76221FED">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c>
          <w:tcPr>
            <w:tcW w:w="2410" w:type="dxa"/>
            <w:gridSpan w:val="2"/>
            <w:tcBorders>
              <w:top w:val="single" w:color="auto" w:sz="6" w:space="0"/>
              <w:left w:val="single" w:color="auto" w:sz="6" w:space="0"/>
              <w:bottom w:val="single" w:color="auto" w:sz="6" w:space="0"/>
              <w:right w:val="single" w:color="auto" w:sz="6" w:space="0"/>
            </w:tcBorders>
            <w:shd w:val="clear" w:color="auto" w:fill="auto"/>
          </w:tcPr>
          <w:p w14:paraId="657407DC">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c>
          <w:tcPr>
            <w:tcW w:w="2200" w:type="dxa"/>
            <w:tcBorders>
              <w:top w:val="single" w:color="auto" w:sz="6" w:space="0"/>
              <w:left w:val="single" w:color="auto" w:sz="6" w:space="0"/>
              <w:bottom w:val="single" w:color="auto" w:sz="6" w:space="0"/>
              <w:right w:val="single" w:color="auto" w:sz="6" w:space="0"/>
            </w:tcBorders>
            <w:shd w:val="clear" w:color="auto" w:fill="auto"/>
          </w:tcPr>
          <w:p w14:paraId="49E55017">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r w14:paraId="7172F744">
        <w:tblPrEx>
          <w:tblCellMar>
            <w:top w:w="0" w:type="dxa"/>
            <w:left w:w="108" w:type="dxa"/>
            <w:bottom w:w="0" w:type="dxa"/>
            <w:right w:w="108" w:type="dxa"/>
          </w:tblCellMar>
        </w:tblPrEx>
        <w:trPr>
          <w:jc w:val="center"/>
        </w:trPr>
        <w:tc>
          <w:tcPr>
            <w:tcW w:w="2114" w:type="dxa"/>
            <w:tcBorders>
              <w:top w:val="single" w:color="auto" w:sz="6" w:space="0"/>
              <w:left w:val="single" w:color="auto" w:sz="6" w:space="0"/>
              <w:bottom w:val="single" w:color="auto" w:sz="6" w:space="0"/>
              <w:right w:val="single" w:color="auto" w:sz="6" w:space="0"/>
            </w:tcBorders>
            <w:shd w:val="clear" w:color="auto" w:fill="auto"/>
          </w:tcPr>
          <w:p w14:paraId="758F0C8E">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c>
          <w:tcPr>
            <w:tcW w:w="2372" w:type="dxa"/>
            <w:tcBorders>
              <w:top w:val="single" w:color="auto" w:sz="6" w:space="0"/>
              <w:left w:val="single" w:color="auto" w:sz="6" w:space="0"/>
              <w:bottom w:val="single" w:color="auto" w:sz="6" w:space="0"/>
              <w:right w:val="single" w:color="auto" w:sz="6" w:space="0"/>
            </w:tcBorders>
            <w:shd w:val="clear" w:color="auto" w:fill="auto"/>
          </w:tcPr>
          <w:p w14:paraId="44C300C7">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c>
          <w:tcPr>
            <w:tcW w:w="2410" w:type="dxa"/>
            <w:gridSpan w:val="2"/>
            <w:tcBorders>
              <w:top w:val="single" w:color="auto" w:sz="6" w:space="0"/>
              <w:left w:val="single" w:color="auto" w:sz="6" w:space="0"/>
              <w:bottom w:val="single" w:color="auto" w:sz="6" w:space="0"/>
              <w:right w:val="single" w:color="auto" w:sz="6" w:space="0"/>
            </w:tcBorders>
            <w:shd w:val="clear" w:color="auto" w:fill="auto"/>
          </w:tcPr>
          <w:p w14:paraId="02886B56">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c>
          <w:tcPr>
            <w:tcW w:w="2200" w:type="dxa"/>
            <w:tcBorders>
              <w:top w:val="single" w:color="auto" w:sz="6" w:space="0"/>
              <w:left w:val="single" w:color="auto" w:sz="6" w:space="0"/>
              <w:bottom w:val="single" w:color="auto" w:sz="6" w:space="0"/>
              <w:right w:val="single" w:color="auto" w:sz="6" w:space="0"/>
            </w:tcBorders>
            <w:shd w:val="clear" w:color="auto" w:fill="auto"/>
          </w:tcPr>
          <w:p w14:paraId="5F94C24E">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bl>
    <w:p w14:paraId="75668A32">
      <w:pPr>
        <w:keepNext w:val="0"/>
        <w:keepLines w:val="0"/>
        <w:pageBreakBefore w:val="0"/>
        <w:kinsoku/>
        <w:wordWrap/>
        <w:topLinePunct w:val="0"/>
        <w:autoSpaceDE/>
        <w:autoSpaceDN/>
        <w:bidi w:val="0"/>
        <w:snapToGrid/>
        <w:spacing w:before="120" w:beforeLines="50" w:after="120" w:afterLines="50"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备注：需提供证明资料内容详见</w:t>
      </w:r>
      <w:r>
        <w:rPr>
          <w:rFonts w:hint="eastAsia" w:ascii="宋体" w:hAnsi="宋体" w:eastAsia="宋体" w:cs="宋体"/>
          <w:color w:val="auto"/>
          <w:sz w:val="24"/>
          <w:szCs w:val="24"/>
          <w:highlight w:val="none"/>
          <w:u w:val="single"/>
        </w:rPr>
        <w:t>（评标方法）</w:t>
      </w:r>
      <w:r>
        <w:rPr>
          <w:rFonts w:hint="eastAsia" w:ascii="宋体" w:hAnsi="宋体" w:eastAsia="宋体" w:cs="宋体"/>
          <w:color w:val="auto"/>
          <w:sz w:val="24"/>
          <w:szCs w:val="24"/>
          <w:highlight w:val="none"/>
        </w:rPr>
        <w:t>。</w:t>
      </w:r>
    </w:p>
    <w:p w14:paraId="5527BD0B">
      <w:pPr>
        <w:keepNext w:val="0"/>
        <w:keepLines w:val="0"/>
        <w:pageBreakBefore w:val="0"/>
        <w:kinsoku/>
        <w:wordWrap/>
        <w:topLinePunct w:val="0"/>
        <w:autoSpaceDE/>
        <w:autoSpaceDN/>
        <w:bidi w:val="0"/>
        <w:snapToGrid/>
        <w:spacing w:before="120" w:beforeLines="50" w:after="360" w:afterLines="15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兹证明上述声明是真实、正确的，并提供了全部能提供的资料和数据，我方同意遵照贵方要求出示有关证明文件。</w:t>
      </w:r>
    </w:p>
    <w:tbl>
      <w:tblPr>
        <w:tblStyle w:val="45"/>
        <w:tblW w:w="8528" w:type="dxa"/>
        <w:tblInd w:w="0" w:type="dxa"/>
        <w:tblLayout w:type="fixed"/>
        <w:tblCellMar>
          <w:top w:w="0" w:type="dxa"/>
          <w:left w:w="108" w:type="dxa"/>
          <w:bottom w:w="0" w:type="dxa"/>
          <w:right w:w="108" w:type="dxa"/>
        </w:tblCellMar>
      </w:tblPr>
      <w:tblGrid>
        <w:gridCol w:w="5353"/>
        <w:gridCol w:w="3175"/>
      </w:tblGrid>
      <w:tr w14:paraId="4D61FF0F">
        <w:tblPrEx>
          <w:tblCellMar>
            <w:top w:w="0" w:type="dxa"/>
            <w:left w:w="108" w:type="dxa"/>
            <w:bottom w:w="0" w:type="dxa"/>
            <w:right w:w="108" w:type="dxa"/>
          </w:tblCellMar>
        </w:tblPrEx>
        <w:tc>
          <w:tcPr>
            <w:tcW w:w="5353" w:type="dxa"/>
            <w:shd w:val="clear" w:color="auto" w:fill="auto"/>
          </w:tcPr>
          <w:p w14:paraId="4EDF9ADD">
            <w:pPr>
              <w:keepNext w:val="0"/>
              <w:keepLines w:val="0"/>
              <w:pageBreakBefore w:val="0"/>
              <w:kinsoku/>
              <w:wordWrap/>
              <w:overflowPunct w:val="0"/>
              <w:topLinePunct w:val="0"/>
              <w:autoSpaceDE/>
              <w:autoSpaceDN/>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c>
          <w:tcPr>
            <w:tcW w:w="3175" w:type="dxa"/>
            <w:shd w:val="clear" w:color="auto" w:fill="auto"/>
          </w:tcPr>
          <w:p w14:paraId="1456F327">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r w14:paraId="0E8327F4">
        <w:tblPrEx>
          <w:tblCellMar>
            <w:top w:w="0" w:type="dxa"/>
            <w:left w:w="108" w:type="dxa"/>
            <w:bottom w:w="0" w:type="dxa"/>
            <w:right w:w="108" w:type="dxa"/>
          </w:tblCellMar>
        </w:tblPrEx>
        <w:tc>
          <w:tcPr>
            <w:tcW w:w="5353" w:type="dxa"/>
            <w:shd w:val="clear" w:color="auto" w:fill="auto"/>
          </w:tcPr>
          <w:p w14:paraId="69B203CD">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5DB01142">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c>
          <w:tcPr>
            <w:tcW w:w="3175" w:type="dxa"/>
            <w:shd w:val="clear" w:color="auto" w:fill="auto"/>
          </w:tcPr>
          <w:p w14:paraId="4B26F5B4">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bl>
    <w:p w14:paraId="18965D47">
      <w:pPr>
        <w:rPr>
          <w:rFonts w:hint="eastAsia" w:ascii="宋体" w:hAnsi="宋体" w:eastAsia="宋体" w:cs="宋体"/>
          <w:b/>
          <w:color w:val="auto"/>
          <w:spacing w:val="20"/>
          <w:sz w:val="21"/>
          <w:szCs w:val="21"/>
          <w:highlight w:val="none"/>
        </w:rPr>
      </w:pPr>
      <w:r>
        <w:rPr>
          <w:rFonts w:hint="eastAsia" w:ascii="宋体" w:hAnsi="宋体" w:eastAsia="宋体" w:cs="宋体"/>
          <w:b/>
          <w:color w:val="auto"/>
          <w:spacing w:val="20"/>
          <w:sz w:val="21"/>
          <w:szCs w:val="21"/>
          <w:highlight w:val="none"/>
        </w:rPr>
        <w:br w:type="page"/>
      </w:r>
    </w:p>
    <w:p w14:paraId="4B6C9C6D">
      <w:pPr>
        <w:spacing w:line="360" w:lineRule="auto"/>
        <w:jc w:val="center"/>
        <w:rPr>
          <w:rFonts w:hint="eastAsia" w:ascii="宋体" w:hAnsi="宋体" w:eastAsia="宋体" w:cs="宋体"/>
          <w:b/>
          <w:color w:val="auto"/>
          <w:sz w:val="36"/>
          <w:szCs w:val="36"/>
          <w:highlight w:val="none"/>
        </w:rPr>
      </w:pPr>
    </w:p>
    <w:p w14:paraId="299FA698">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七、承诺书</w:t>
      </w:r>
    </w:p>
    <w:p w14:paraId="1EED8D24">
      <w:pPr>
        <w:pStyle w:val="136"/>
        <w:keepNext w:val="0"/>
        <w:keepLines w:val="0"/>
        <w:pageBreakBefore w:val="0"/>
        <w:kinsoku/>
        <w:wordWrap/>
        <w:overflowPunct/>
        <w:topLinePunct w:val="0"/>
        <w:autoSpaceDE/>
        <w:autoSpaceDN/>
        <w:bidi w:val="0"/>
        <w:adjustRightInd/>
        <w:snapToGrid/>
        <w:spacing w:line="288" w:lineRule="auto"/>
        <w:ind w:firstLine="441"/>
        <w:textAlignment w:val="auto"/>
        <w:rPr>
          <w:rFonts w:hint="eastAsia" w:ascii="宋体" w:hAnsi="宋体" w:eastAsia="宋体" w:cs="宋体"/>
          <w:color w:val="auto"/>
          <w:spacing w:val="2"/>
          <w:sz w:val="24"/>
          <w:szCs w:val="24"/>
          <w:highlight w:val="none"/>
        </w:rPr>
      </w:pPr>
      <w:bookmarkStart w:id="58" w:name="_Toc313537922"/>
      <w:r>
        <w:rPr>
          <w:rFonts w:hint="eastAsia" w:ascii="宋体" w:hAnsi="宋体" w:eastAsia="宋体" w:cs="宋体"/>
          <w:color w:val="auto"/>
          <w:spacing w:val="2"/>
          <w:sz w:val="24"/>
          <w:szCs w:val="24"/>
          <w:highlight w:val="none"/>
        </w:rPr>
        <w:t>我方已完整阅读了</w:t>
      </w:r>
      <w:r>
        <w:rPr>
          <w:rFonts w:hint="eastAsia" w:ascii="宋体" w:hAnsi="宋体" w:eastAsia="宋体" w:cs="宋体"/>
          <w:color w:val="auto"/>
          <w:spacing w:val="2"/>
          <w:sz w:val="24"/>
          <w:szCs w:val="24"/>
          <w:highlight w:val="none"/>
          <w:u w:val="single"/>
        </w:rPr>
        <w:t>（</w:t>
      </w:r>
      <w:r>
        <w:rPr>
          <w:rFonts w:hint="eastAsia" w:ascii="宋体" w:hAnsi="宋体" w:eastAsia="宋体" w:cs="宋体"/>
          <w:b/>
          <w:color w:val="auto"/>
          <w:spacing w:val="2"/>
          <w:sz w:val="24"/>
          <w:szCs w:val="24"/>
          <w:highlight w:val="none"/>
          <w:u w:val="single"/>
        </w:rPr>
        <w:t>项目名称</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（项目编号：</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）招标文件的所有内容（包括澄清，以及所有已提供的参考资料和有关附件），并完全理解上述文件所表达的意思，该项目递交投标文件时间截止后，我方承诺不再对上述文件内容进行询问或质疑。</w:t>
      </w:r>
      <w:bookmarkEnd w:id="58"/>
      <w:r>
        <w:rPr>
          <w:rFonts w:hint="eastAsia" w:ascii="宋体" w:hAnsi="宋体" w:eastAsia="宋体" w:cs="宋体"/>
          <w:color w:val="auto"/>
          <w:spacing w:val="2"/>
          <w:sz w:val="24"/>
          <w:szCs w:val="24"/>
          <w:highlight w:val="none"/>
        </w:rPr>
        <w:cr/>
      </w:r>
    </w:p>
    <w:p w14:paraId="588B295C">
      <w:pPr>
        <w:pStyle w:val="136"/>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color w:val="auto"/>
          <w:spacing w:val="2"/>
          <w:sz w:val="24"/>
          <w:szCs w:val="24"/>
          <w:highlight w:val="none"/>
        </w:rPr>
      </w:pPr>
    </w:p>
    <w:p w14:paraId="55B1CE0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bl>
      <w:tblPr>
        <w:tblStyle w:val="45"/>
        <w:tblW w:w="8528" w:type="dxa"/>
        <w:tblInd w:w="0" w:type="dxa"/>
        <w:tblLayout w:type="fixed"/>
        <w:tblCellMar>
          <w:top w:w="0" w:type="dxa"/>
          <w:left w:w="108" w:type="dxa"/>
          <w:bottom w:w="0" w:type="dxa"/>
          <w:right w:w="108" w:type="dxa"/>
        </w:tblCellMar>
      </w:tblPr>
      <w:tblGrid>
        <w:gridCol w:w="2802"/>
        <w:gridCol w:w="5726"/>
      </w:tblGrid>
      <w:tr w14:paraId="02757F01">
        <w:tblPrEx>
          <w:tblCellMar>
            <w:top w:w="0" w:type="dxa"/>
            <w:left w:w="108" w:type="dxa"/>
            <w:bottom w:w="0" w:type="dxa"/>
            <w:right w:w="108" w:type="dxa"/>
          </w:tblCellMar>
        </w:tblPrEx>
        <w:tc>
          <w:tcPr>
            <w:tcW w:w="2802" w:type="dxa"/>
            <w:shd w:val="clear" w:color="auto" w:fill="auto"/>
          </w:tcPr>
          <w:p w14:paraId="1876F4AE">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c>
        <w:tc>
          <w:tcPr>
            <w:tcW w:w="5726" w:type="dxa"/>
            <w:shd w:val="clear" w:color="auto" w:fill="auto"/>
          </w:tcPr>
          <w:p w14:paraId="2D4BC887">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r>
      <w:tr w14:paraId="4B44ACA6">
        <w:tblPrEx>
          <w:tblCellMar>
            <w:top w:w="0" w:type="dxa"/>
            <w:left w:w="108" w:type="dxa"/>
            <w:bottom w:w="0" w:type="dxa"/>
            <w:right w:w="108" w:type="dxa"/>
          </w:tblCellMar>
        </w:tblPrEx>
        <w:tc>
          <w:tcPr>
            <w:tcW w:w="2802" w:type="dxa"/>
            <w:shd w:val="clear" w:color="auto" w:fill="auto"/>
          </w:tcPr>
          <w:p w14:paraId="7CEBDAF9">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c>
        <w:tc>
          <w:tcPr>
            <w:tcW w:w="5726" w:type="dxa"/>
            <w:shd w:val="clear" w:color="auto" w:fill="auto"/>
          </w:tcPr>
          <w:p w14:paraId="29F0D89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p w14:paraId="7EA8AEBD">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法定代表人或被授权人（签名或盖章）：</w:t>
            </w:r>
          </w:p>
        </w:tc>
      </w:tr>
      <w:tr w14:paraId="2CB76DDF">
        <w:tblPrEx>
          <w:tblCellMar>
            <w:top w:w="0" w:type="dxa"/>
            <w:left w:w="108" w:type="dxa"/>
            <w:bottom w:w="0" w:type="dxa"/>
            <w:right w:w="108" w:type="dxa"/>
          </w:tblCellMar>
        </w:tblPrEx>
        <w:tc>
          <w:tcPr>
            <w:tcW w:w="2802" w:type="dxa"/>
            <w:shd w:val="clear" w:color="auto" w:fill="auto"/>
          </w:tcPr>
          <w:p w14:paraId="6FCA0BD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c>
        <w:tc>
          <w:tcPr>
            <w:tcW w:w="5726" w:type="dxa"/>
            <w:shd w:val="clear" w:color="auto" w:fill="auto"/>
          </w:tcPr>
          <w:p w14:paraId="19EB981D">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p w14:paraId="55D95D48">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r>
    </w:tbl>
    <w:p w14:paraId="32FF79A1">
      <w:pPr>
        <w:spacing w:line="360" w:lineRule="auto"/>
        <w:rPr>
          <w:rFonts w:hint="eastAsia" w:ascii="宋体" w:hAnsi="宋体" w:eastAsia="宋体" w:cs="宋体"/>
          <w:color w:val="auto"/>
          <w:szCs w:val="21"/>
          <w:highlight w:val="none"/>
        </w:rPr>
      </w:pPr>
    </w:p>
    <w:p w14:paraId="48E47EE7">
      <w:pPr>
        <w:rPr>
          <w:rFonts w:hint="eastAsia" w:ascii="宋体" w:hAnsi="宋体" w:eastAsia="宋体" w:cs="宋体"/>
          <w:b/>
          <w:color w:val="auto"/>
          <w:spacing w:val="20"/>
          <w:sz w:val="30"/>
          <w:szCs w:val="30"/>
          <w:highlight w:val="none"/>
        </w:rPr>
      </w:pPr>
      <w:r>
        <w:rPr>
          <w:rFonts w:hint="eastAsia" w:ascii="宋体" w:hAnsi="宋体" w:eastAsia="宋体" w:cs="宋体"/>
          <w:b/>
          <w:color w:val="auto"/>
          <w:spacing w:val="20"/>
          <w:sz w:val="30"/>
          <w:szCs w:val="30"/>
          <w:highlight w:val="none"/>
        </w:rPr>
        <w:br w:type="page"/>
      </w:r>
    </w:p>
    <w:p w14:paraId="7477CE72">
      <w:pPr>
        <w:spacing w:line="360" w:lineRule="auto"/>
        <w:jc w:val="center"/>
        <w:rPr>
          <w:rFonts w:hint="eastAsia" w:ascii="宋体" w:hAnsi="宋体" w:eastAsia="宋体" w:cs="宋体"/>
          <w:b/>
          <w:color w:val="auto"/>
          <w:sz w:val="36"/>
          <w:szCs w:val="36"/>
          <w:highlight w:val="none"/>
        </w:rPr>
      </w:pPr>
    </w:p>
    <w:p w14:paraId="0E73AE06">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八、商务偏离表</w:t>
      </w:r>
    </w:p>
    <w:tbl>
      <w:tblPr>
        <w:tblStyle w:val="45"/>
        <w:tblW w:w="9262"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567"/>
        <w:gridCol w:w="2700"/>
        <w:gridCol w:w="1409"/>
        <w:gridCol w:w="1858"/>
      </w:tblGrid>
      <w:tr w14:paraId="288B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262" w:type="dxa"/>
            <w:gridSpan w:val="5"/>
            <w:vAlign w:val="center"/>
          </w:tcPr>
          <w:p w14:paraId="72072886">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项目名称：                              </w:t>
            </w:r>
            <w:r>
              <w:rPr>
                <w:rFonts w:hint="eastAsia" w:ascii="宋体" w:hAnsi="宋体" w:eastAsia="宋体" w:cs="宋体"/>
                <w:b/>
                <w:color w:val="auto"/>
                <w:sz w:val="24"/>
                <w:szCs w:val="24"/>
                <w:highlight w:val="none"/>
              </w:rPr>
              <w:t>项目编号：</w:t>
            </w:r>
          </w:p>
        </w:tc>
      </w:tr>
      <w:tr w14:paraId="13B4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28" w:type="dxa"/>
            <w:vAlign w:val="center"/>
          </w:tcPr>
          <w:p w14:paraId="12D981FC">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567" w:type="dxa"/>
            <w:vAlign w:val="center"/>
          </w:tcPr>
          <w:p w14:paraId="1365837F">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招标文件要求</w:t>
            </w:r>
          </w:p>
        </w:tc>
        <w:tc>
          <w:tcPr>
            <w:tcW w:w="2700" w:type="dxa"/>
            <w:vAlign w:val="center"/>
          </w:tcPr>
          <w:p w14:paraId="4E645358">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投标文件响应内容</w:t>
            </w:r>
          </w:p>
        </w:tc>
        <w:tc>
          <w:tcPr>
            <w:tcW w:w="1409" w:type="dxa"/>
            <w:vAlign w:val="center"/>
          </w:tcPr>
          <w:p w14:paraId="3E3AEB35">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tc>
        <w:tc>
          <w:tcPr>
            <w:tcW w:w="1858" w:type="dxa"/>
            <w:vAlign w:val="center"/>
          </w:tcPr>
          <w:p w14:paraId="149A4ACA">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14:paraId="1FC7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28" w:type="dxa"/>
            <w:vAlign w:val="center"/>
          </w:tcPr>
          <w:p w14:paraId="3856C54E">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567" w:type="dxa"/>
            <w:vAlign w:val="center"/>
          </w:tcPr>
          <w:p w14:paraId="31EEA1CD">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700" w:type="dxa"/>
            <w:vAlign w:val="center"/>
          </w:tcPr>
          <w:p w14:paraId="5E34F691">
            <w:pPr>
              <w:pStyle w:val="30"/>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409" w:type="dxa"/>
            <w:vAlign w:val="center"/>
          </w:tcPr>
          <w:p w14:paraId="4D7191F4">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858" w:type="dxa"/>
            <w:vAlign w:val="center"/>
          </w:tcPr>
          <w:p w14:paraId="466C5391">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2221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8" w:type="dxa"/>
            <w:vAlign w:val="center"/>
          </w:tcPr>
          <w:p w14:paraId="374C19F2">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567" w:type="dxa"/>
            <w:vAlign w:val="center"/>
          </w:tcPr>
          <w:p w14:paraId="69F0CD47">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700" w:type="dxa"/>
            <w:vAlign w:val="center"/>
          </w:tcPr>
          <w:p w14:paraId="77EB00A8">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409" w:type="dxa"/>
            <w:vAlign w:val="center"/>
          </w:tcPr>
          <w:p w14:paraId="52C847C7">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858" w:type="dxa"/>
            <w:vAlign w:val="center"/>
          </w:tcPr>
          <w:p w14:paraId="633FEC1A">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21DC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28" w:type="dxa"/>
            <w:vAlign w:val="center"/>
          </w:tcPr>
          <w:p w14:paraId="0B3CEBAE">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567" w:type="dxa"/>
            <w:vAlign w:val="center"/>
          </w:tcPr>
          <w:p w14:paraId="4E1E5E97">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700" w:type="dxa"/>
            <w:vAlign w:val="center"/>
          </w:tcPr>
          <w:p w14:paraId="7A056187">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409" w:type="dxa"/>
            <w:vAlign w:val="center"/>
          </w:tcPr>
          <w:p w14:paraId="3CB5A547">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858" w:type="dxa"/>
            <w:vAlign w:val="center"/>
          </w:tcPr>
          <w:p w14:paraId="5D7E52E7">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6946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8" w:type="dxa"/>
            <w:vAlign w:val="center"/>
          </w:tcPr>
          <w:p w14:paraId="25448A3D">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567" w:type="dxa"/>
            <w:vAlign w:val="center"/>
          </w:tcPr>
          <w:p w14:paraId="5B2F146C">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700" w:type="dxa"/>
            <w:vAlign w:val="center"/>
          </w:tcPr>
          <w:p w14:paraId="112A032B">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409" w:type="dxa"/>
            <w:vAlign w:val="center"/>
          </w:tcPr>
          <w:p w14:paraId="50CAA765">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858" w:type="dxa"/>
            <w:vAlign w:val="center"/>
          </w:tcPr>
          <w:p w14:paraId="06F92E72">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6942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28" w:type="dxa"/>
            <w:vAlign w:val="center"/>
          </w:tcPr>
          <w:p w14:paraId="0862E07A">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567" w:type="dxa"/>
            <w:vAlign w:val="center"/>
          </w:tcPr>
          <w:p w14:paraId="68691185">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700" w:type="dxa"/>
            <w:vAlign w:val="center"/>
          </w:tcPr>
          <w:p w14:paraId="4DF8E79C">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409" w:type="dxa"/>
            <w:vAlign w:val="center"/>
          </w:tcPr>
          <w:p w14:paraId="5BD2A557">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858" w:type="dxa"/>
            <w:vAlign w:val="center"/>
          </w:tcPr>
          <w:p w14:paraId="503B56C2">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02BF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8" w:type="dxa"/>
            <w:vAlign w:val="center"/>
          </w:tcPr>
          <w:p w14:paraId="7F7CCF83">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567" w:type="dxa"/>
            <w:vAlign w:val="center"/>
          </w:tcPr>
          <w:p w14:paraId="0043498E">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700" w:type="dxa"/>
            <w:vAlign w:val="center"/>
          </w:tcPr>
          <w:p w14:paraId="6E0F67DF">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409" w:type="dxa"/>
            <w:vAlign w:val="center"/>
          </w:tcPr>
          <w:p w14:paraId="50B846DF">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858" w:type="dxa"/>
            <w:vAlign w:val="center"/>
          </w:tcPr>
          <w:p w14:paraId="712F81B8">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bl>
    <w:p w14:paraId="7B0639DC">
      <w:pPr>
        <w:keepNext w:val="0"/>
        <w:keepLines w:val="0"/>
        <w:pageBreakBefore w:val="0"/>
        <w:kinsoku/>
        <w:wordWrap/>
        <w:topLinePunct w:val="0"/>
        <w:autoSpaceDE/>
        <w:autoSpaceDN/>
        <w:bidi w:val="0"/>
        <w:snapToGrid/>
        <w:spacing w:before="120" w:beforeLines="5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注明：</w:t>
      </w:r>
    </w:p>
    <w:p w14:paraId="0A7BDE39">
      <w:pPr>
        <w:pStyle w:val="94"/>
        <w:keepNext w:val="0"/>
        <w:keepLines w:val="0"/>
        <w:pageBreakBefore w:val="0"/>
        <w:numPr>
          <w:ilvl w:val="0"/>
          <w:numId w:val="11"/>
        </w:numPr>
        <w:kinsoku/>
        <w:wordWrap/>
        <w:topLinePunct w:val="0"/>
        <w:autoSpaceDE/>
        <w:autoSpaceDN/>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偏离情况项填写“正”、“负”或“无”，说明项中填写原因。</w:t>
      </w:r>
    </w:p>
    <w:p w14:paraId="3275886B">
      <w:pPr>
        <w:pStyle w:val="94"/>
        <w:keepNext w:val="0"/>
        <w:keepLines w:val="0"/>
        <w:pageBreakBefore w:val="0"/>
        <w:numPr>
          <w:ilvl w:val="0"/>
          <w:numId w:val="11"/>
        </w:numPr>
        <w:kinsoku/>
        <w:wordWrap/>
        <w:topLinePunct w:val="0"/>
        <w:autoSpaceDE/>
        <w:autoSpaceDN/>
        <w:bidi w:val="0"/>
        <w:snapToGrid/>
        <w:spacing w:line="288" w:lineRule="auto"/>
        <w:ind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供应商应按照招标文件要求，对响应有偏离的，则说明偏离的内容，若有要求提供相关证明资料的，须按要求提供，否则视为负偏离。</w:t>
      </w:r>
    </w:p>
    <w:p w14:paraId="5F271219">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61941770">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6B117A62">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bl>
      <w:tblPr>
        <w:tblStyle w:val="45"/>
        <w:tblW w:w="8528" w:type="dxa"/>
        <w:tblInd w:w="0" w:type="dxa"/>
        <w:tblLayout w:type="fixed"/>
        <w:tblCellMar>
          <w:top w:w="0" w:type="dxa"/>
          <w:left w:w="108" w:type="dxa"/>
          <w:bottom w:w="0" w:type="dxa"/>
          <w:right w:w="108" w:type="dxa"/>
        </w:tblCellMar>
      </w:tblPr>
      <w:tblGrid>
        <w:gridCol w:w="5353"/>
        <w:gridCol w:w="3175"/>
      </w:tblGrid>
      <w:tr w14:paraId="16FC1B61">
        <w:tblPrEx>
          <w:tblCellMar>
            <w:top w:w="0" w:type="dxa"/>
            <w:left w:w="108" w:type="dxa"/>
            <w:bottom w:w="0" w:type="dxa"/>
            <w:right w:w="108" w:type="dxa"/>
          </w:tblCellMar>
        </w:tblPrEx>
        <w:tc>
          <w:tcPr>
            <w:tcW w:w="5353" w:type="dxa"/>
            <w:shd w:val="clear" w:color="auto" w:fill="auto"/>
          </w:tcPr>
          <w:p w14:paraId="1443B74F">
            <w:pPr>
              <w:keepNext w:val="0"/>
              <w:keepLines w:val="0"/>
              <w:pageBreakBefore w:val="0"/>
              <w:kinsoku/>
              <w:wordWrap/>
              <w:overflowPunct w:val="0"/>
              <w:topLinePunct w:val="0"/>
              <w:autoSpaceDE/>
              <w:autoSpaceDN/>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c>
          <w:tcPr>
            <w:tcW w:w="3175" w:type="dxa"/>
            <w:shd w:val="clear" w:color="auto" w:fill="auto"/>
          </w:tcPr>
          <w:p w14:paraId="73B69B23">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r w14:paraId="5C3B6911">
        <w:tblPrEx>
          <w:tblCellMar>
            <w:top w:w="0" w:type="dxa"/>
            <w:left w:w="108" w:type="dxa"/>
            <w:bottom w:w="0" w:type="dxa"/>
            <w:right w:w="108" w:type="dxa"/>
          </w:tblCellMar>
        </w:tblPrEx>
        <w:tc>
          <w:tcPr>
            <w:tcW w:w="5353" w:type="dxa"/>
            <w:shd w:val="clear" w:color="auto" w:fill="auto"/>
          </w:tcPr>
          <w:p w14:paraId="549E3CC2">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311F2F87">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0192E7A6">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c>
          <w:tcPr>
            <w:tcW w:w="3175" w:type="dxa"/>
            <w:shd w:val="clear" w:color="auto" w:fill="auto"/>
          </w:tcPr>
          <w:p w14:paraId="745B3BA4">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bl>
    <w:p w14:paraId="71EA916D">
      <w:pPr>
        <w:spacing w:line="360" w:lineRule="auto"/>
        <w:rPr>
          <w:rFonts w:hint="eastAsia" w:ascii="宋体" w:hAnsi="宋体" w:eastAsia="宋体" w:cs="宋体"/>
          <w:color w:val="auto"/>
          <w:sz w:val="21"/>
          <w:szCs w:val="21"/>
          <w:highlight w:val="none"/>
        </w:rPr>
      </w:pPr>
    </w:p>
    <w:p w14:paraId="69204477">
      <w:pPr>
        <w:rPr>
          <w:rFonts w:hint="eastAsia" w:ascii="宋体" w:hAnsi="宋体" w:eastAsia="宋体" w:cs="宋体"/>
          <w:b/>
          <w:color w:val="auto"/>
          <w:spacing w:val="20"/>
          <w:sz w:val="30"/>
          <w:szCs w:val="30"/>
          <w:highlight w:val="none"/>
        </w:rPr>
      </w:pPr>
      <w:r>
        <w:rPr>
          <w:rFonts w:hint="eastAsia" w:ascii="宋体" w:hAnsi="宋体" w:eastAsia="宋体" w:cs="宋体"/>
          <w:b/>
          <w:color w:val="auto"/>
          <w:spacing w:val="20"/>
          <w:sz w:val="30"/>
          <w:szCs w:val="30"/>
          <w:highlight w:val="none"/>
        </w:rPr>
        <w:br w:type="page"/>
      </w:r>
    </w:p>
    <w:p w14:paraId="478D6CEC">
      <w:pPr>
        <w:spacing w:line="360" w:lineRule="auto"/>
        <w:jc w:val="center"/>
        <w:rPr>
          <w:rFonts w:hint="eastAsia" w:ascii="宋体" w:hAnsi="宋体" w:eastAsia="宋体" w:cs="宋体"/>
          <w:b/>
          <w:color w:val="auto"/>
          <w:sz w:val="36"/>
          <w:szCs w:val="36"/>
          <w:highlight w:val="none"/>
        </w:rPr>
      </w:pPr>
    </w:p>
    <w:p w14:paraId="6BC0B868">
      <w:pPr>
        <w:pStyle w:val="16"/>
        <w:spacing w:after="0" w:line="360" w:lineRule="auto"/>
        <w:ind w:firstLine="723" w:firstLineChars="400"/>
        <w:rPr>
          <w:rFonts w:hint="eastAsia" w:ascii="宋体" w:hAnsi="宋体"/>
          <w:b/>
          <w:bCs/>
          <w:color w:val="auto"/>
          <w:sz w:val="18"/>
          <w:highlight w:val="none"/>
        </w:rPr>
      </w:pPr>
    </w:p>
    <w:p w14:paraId="72F66B9A">
      <w:pPr>
        <w:spacing w:line="360" w:lineRule="auto"/>
        <w:jc w:val="center"/>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eastAsia="zh-CN"/>
        </w:rPr>
        <w:t>九</w:t>
      </w:r>
      <w:r>
        <w:rPr>
          <w:rFonts w:hint="eastAsia" w:ascii="宋体" w:hAnsi="宋体" w:eastAsia="宋体" w:cs="宋体"/>
          <w:b/>
          <w:color w:val="auto"/>
          <w:sz w:val="36"/>
          <w:szCs w:val="36"/>
          <w:highlight w:val="none"/>
        </w:rPr>
        <w:t>、近三年企业业绩表</w:t>
      </w:r>
    </w:p>
    <w:tbl>
      <w:tblPr>
        <w:tblStyle w:val="45"/>
        <w:tblW w:w="9071"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094"/>
        <w:gridCol w:w="1562"/>
        <w:gridCol w:w="1557"/>
        <w:gridCol w:w="1842"/>
        <w:gridCol w:w="1288"/>
      </w:tblGrid>
      <w:tr w14:paraId="4C1B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071" w:type="dxa"/>
            <w:gridSpan w:val="6"/>
            <w:vAlign w:val="center"/>
          </w:tcPr>
          <w:p w14:paraId="7928870A">
            <w:pPr>
              <w:keepNext w:val="0"/>
              <w:keepLines w:val="0"/>
              <w:pageBreakBefore w:val="0"/>
              <w:widowControl/>
              <w:kinsoku/>
              <w:wordWrap/>
              <w:topLinePunct w:val="0"/>
              <w:autoSpaceDE/>
              <w:autoSpaceDN/>
              <w:bidi w:val="0"/>
              <w:snapToGrid/>
              <w:spacing w:before="156" w:after="156"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项目名称：                              </w:t>
            </w:r>
            <w:r>
              <w:rPr>
                <w:rFonts w:hint="eastAsia" w:ascii="宋体" w:hAnsi="宋体" w:eastAsia="宋体" w:cs="宋体"/>
                <w:b/>
                <w:color w:val="auto"/>
                <w:sz w:val="24"/>
                <w:szCs w:val="24"/>
                <w:highlight w:val="none"/>
              </w:rPr>
              <w:t>项目编号：</w:t>
            </w:r>
          </w:p>
        </w:tc>
      </w:tr>
      <w:tr w14:paraId="3CB8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28" w:type="dxa"/>
            <w:vAlign w:val="center"/>
          </w:tcPr>
          <w:p w14:paraId="5740D913">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094" w:type="dxa"/>
            <w:vAlign w:val="center"/>
          </w:tcPr>
          <w:p w14:paraId="5BD7DABA">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1562" w:type="dxa"/>
            <w:vAlign w:val="center"/>
          </w:tcPr>
          <w:p w14:paraId="58A74ABF">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合同金额</w:t>
            </w:r>
          </w:p>
        </w:tc>
        <w:tc>
          <w:tcPr>
            <w:tcW w:w="1557" w:type="dxa"/>
            <w:vAlign w:val="center"/>
          </w:tcPr>
          <w:p w14:paraId="4210D4DC">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签约时间</w:t>
            </w:r>
          </w:p>
        </w:tc>
        <w:tc>
          <w:tcPr>
            <w:tcW w:w="1842" w:type="dxa"/>
            <w:vAlign w:val="center"/>
          </w:tcPr>
          <w:p w14:paraId="36EC8C0A">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完成情况</w:t>
            </w:r>
          </w:p>
        </w:tc>
        <w:tc>
          <w:tcPr>
            <w:tcW w:w="1288" w:type="dxa"/>
            <w:vAlign w:val="center"/>
          </w:tcPr>
          <w:p w14:paraId="15D9CE10">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0AD1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7E170520">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2BFFB074">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06CBA3C9">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7B45C508">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28184968">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70204AD9">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1F34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44133BBD">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01C325F5">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11FA8995">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56C541E1">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187678DC">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2545FEC3">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10FE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3CADB858">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18671432">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533E7911">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14E1CDF6">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74A1F1FA">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092E0B5D">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1CE5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516DCA2D">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62024E10">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5429FE62">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2B86D6D1">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3753DD2F">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6F59D732">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46D4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208C1C26">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0A4759D5">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48ADF17D">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280D8E3D">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036DA380">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1223A589">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7FB5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558E0A65">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479575BC">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532C70E0">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1E388929">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50F57326">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6A445D61">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1316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42F64EC2">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16AE1DCB">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66A69D48">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26CAD630">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0F997EA1">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1DC49890">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1DE4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6021F361">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5B1FC837">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24F95445">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44397FEA">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00E14A84">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0B4FB4C6">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2F3C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1B98245D">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72752169">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71073D7C">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02681FD3">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16E4D5C7">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1CFCFEC4">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bl>
    <w:p w14:paraId="280C96E5">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附中标通知书或合同复印件并加盖公章。</w:t>
      </w:r>
    </w:p>
    <w:p w14:paraId="52BEFA0E">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66CC30A6">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bl>
      <w:tblPr>
        <w:tblStyle w:val="45"/>
        <w:tblW w:w="8528" w:type="dxa"/>
        <w:tblInd w:w="0" w:type="dxa"/>
        <w:tblLayout w:type="fixed"/>
        <w:tblCellMar>
          <w:top w:w="0" w:type="dxa"/>
          <w:left w:w="108" w:type="dxa"/>
          <w:bottom w:w="0" w:type="dxa"/>
          <w:right w:w="108" w:type="dxa"/>
        </w:tblCellMar>
      </w:tblPr>
      <w:tblGrid>
        <w:gridCol w:w="5353"/>
        <w:gridCol w:w="3175"/>
      </w:tblGrid>
      <w:tr w14:paraId="04902B0E">
        <w:tblPrEx>
          <w:tblCellMar>
            <w:top w:w="0" w:type="dxa"/>
            <w:left w:w="108" w:type="dxa"/>
            <w:bottom w:w="0" w:type="dxa"/>
            <w:right w:w="108" w:type="dxa"/>
          </w:tblCellMar>
        </w:tblPrEx>
        <w:tc>
          <w:tcPr>
            <w:tcW w:w="5353" w:type="dxa"/>
            <w:shd w:val="clear" w:color="auto" w:fill="auto"/>
          </w:tcPr>
          <w:p w14:paraId="706FEE22">
            <w:pPr>
              <w:keepNext w:val="0"/>
              <w:keepLines w:val="0"/>
              <w:pageBreakBefore w:val="0"/>
              <w:widowControl/>
              <w:kinsoku/>
              <w:wordWrap/>
              <w:overflowPunct w:val="0"/>
              <w:topLinePunct w:val="0"/>
              <w:autoSpaceDE/>
              <w:autoSpaceDN/>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c>
          <w:tcPr>
            <w:tcW w:w="3175" w:type="dxa"/>
            <w:shd w:val="clear" w:color="auto" w:fill="auto"/>
          </w:tcPr>
          <w:p w14:paraId="0C324FC5">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r w14:paraId="28E3E9AA">
        <w:tblPrEx>
          <w:tblCellMar>
            <w:top w:w="0" w:type="dxa"/>
            <w:left w:w="108" w:type="dxa"/>
            <w:bottom w:w="0" w:type="dxa"/>
            <w:right w:w="108" w:type="dxa"/>
          </w:tblCellMar>
        </w:tblPrEx>
        <w:tc>
          <w:tcPr>
            <w:tcW w:w="5353" w:type="dxa"/>
            <w:shd w:val="clear" w:color="auto" w:fill="auto"/>
          </w:tcPr>
          <w:p w14:paraId="7975B145">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2A7DC785">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c>
          <w:tcPr>
            <w:tcW w:w="3175" w:type="dxa"/>
            <w:shd w:val="clear" w:color="auto" w:fill="auto"/>
          </w:tcPr>
          <w:p w14:paraId="6FEF3A85">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bl>
    <w:p w14:paraId="57F2030A">
      <w:pPr>
        <w:spacing w:line="360" w:lineRule="auto"/>
        <w:rPr>
          <w:rFonts w:hint="eastAsia" w:ascii="宋体" w:hAnsi="宋体" w:eastAsia="宋体" w:cs="宋体"/>
          <w:color w:val="auto"/>
          <w:szCs w:val="21"/>
          <w:highlight w:val="none"/>
        </w:rPr>
      </w:pPr>
    </w:p>
    <w:p w14:paraId="5F0027F0">
      <w:pPr>
        <w:rPr>
          <w:rFonts w:hint="eastAsia" w:ascii="宋体" w:hAnsi="宋体" w:eastAsia="宋体" w:cs="宋体"/>
          <w:b/>
          <w:color w:val="auto"/>
          <w:spacing w:val="20"/>
          <w:sz w:val="30"/>
          <w:szCs w:val="30"/>
          <w:highlight w:val="none"/>
        </w:rPr>
      </w:pPr>
      <w:r>
        <w:rPr>
          <w:rFonts w:hint="eastAsia" w:ascii="宋体" w:hAnsi="宋体" w:eastAsia="宋体" w:cs="宋体"/>
          <w:b/>
          <w:color w:val="auto"/>
          <w:spacing w:val="20"/>
          <w:sz w:val="30"/>
          <w:szCs w:val="30"/>
          <w:highlight w:val="none"/>
        </w:rPr>
        <w:br w:type="page"/>
      </w:r>
    </w:p>
    <w:p w14:paraId="2B7D364F">
      <w:pPr>
        <w:spacing w:line="360" w:lineRule="auto"/>
        <w:jc w:val="center"/>
        <w:rPr>
          <w:rFonts w:hint="eastAsia" w:ascii="宋体" w:hAnsi="宋体" w:eastAsia="宋体" w:cs="宋体"/>
          <w:b/>
          <w:color w:val="auto"/>
          <w:sz w:val="36"/>
          <w:szCs w:val="36"/>
          <w:highlight w:val="none"/>
        </w:rPr>
      </w:pPr>
    </w:p>
    <w:p w14:paraId="0B40F3A6">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十、资格声明</w:t>
      </w:r>
    </w:p>
    <w:p w14:paraId="743A8A33">
      <w:pPr>
        <w:keepNext w:val="0"/>
        <w:keepLines w:val="0"/>
        <w:pageBreakBefore w:val="0"/>
        <w:kinsoku/>
        <w:wordWrap/>
        <w:overflowPunct/>
        <w:topLinePunct w:val="0"/>
        <w:autoSpaceDE/>
        <w:autoSpaceDN/>
        <w:bidi w:val="0"/>
        <w:adjustRightInd w:val="0"/>
        <w:snapToGrid w:val="0"/>
        <w:spacing w:after="120" w:afterLines="50"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rPr>
        <w:t>（采购代理机构）</w:t>
      </w:r>
      <w:r>
        <w:rPr>
          <w:rFonts w:hint="eastAsia" w:ascii="宋体" w:hAnsi="宋体" w:eastAsia="宋体" w:cs="宋体"/>
          <w:b/>
          <w:color w:val="auto"/>
          <w:sz w:val="24"/>
          <w:szCs w:val="24"/>
          <w:highlight w:val="none"/>
        </w:rPr>
        <w:t>：</w:t>
      </w:r>
    </w:p>
    <w:p w14:paraId="2D878F0A">
      <w:pPr>
        <w:keepNext w:val="0"/>
        <w:keepLines w:val="0"/>
        <w:pageBreakBefore w:val="0"/>
        <w:kinsoku/>
        <w:wordWrap/>
        <w:overflowPunct/>
        <w:topLinePunct w:val="0"/>
        <w:autoSpaceDE/>
        <w:autoSpaceDN/>
        <w:bidi w:val="0"/>
        <w:adjustRightInd w:val="0"/>
        <w:snapToGrid w:val="0"/>
        <w:spacing w:line="288"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我方愿响应贵方关于</w:t>
      </w:r>
      <w:r>
        <w:rPr>
          <w:rFonts w:hint="eastAsia" w:ascii="宋体" w:hAnsi="宋体" w:eastAsia="宋体" w:cs="宋体"/>
          <w:b/>
          <w:bCs/>
          <w:color w:val="auto"/>
          <w:sz w:val="24"/>
          <w:szCs w:val="24"/>
          <w:highlight w:val="none"/>
          <w:u w:val="single"/>
        </w:rPr>
        <w:t xml:space="preserve">    （项目名称）    </w:t>
      </w:r>
      <w:r>
        <w:rPr>
          <w:rFonts w:hint="eastAsia" w:ascii="宋体" w:hAnsi="宋体" w:eastAsia="宋体" w:cs="宋体"/>
          <w:b/>
          <w:bCs/>
          <w:color w:val="auto"/>
          <w:sz w:val="24"/>
          <w:szCs w:val="24"/>
          <w:highlight w:val="none"/>
        </w:rPr>
        <w:t>（项目编号：</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）的投标，参与投标，提供用户需求书中规定的货物及相关服务，并按招标文件要求提交所附资格文件且声明和保证如下：</w:t>
      </w:r>
    </w:p>
    <w:p w14:paraId="50C80915">
      <w:pPr>
        <w:keepNext w:val="0"/>
        <w:keepLines w:val="0"/>
        <w:pageBreakBefore w:val="0"/>
        <w:kinsoku/>
        <w:wordWrap/>
        <w:overflowPunct/>
        <w:topLinePunct w:val="0"/>
        <w:autoSpaceDE/>
        <w:autoSpaceDN/>
        <w:bidi w:val="0"/>
        <w:adjustRightInd w:val="0"/>
        <w:snapToGrid w:val="0"/>
        <w:spacing w:line="288" w:lineRule="auto"/>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本公司（企业）</w:t>
      </w:r>
      <w:r>
        <w:rPr>
          <w:rFonts w:hint="eastAsia" w:ascii="宋体" w:hAnsi="宋体" w:eastAsia="宋体" w:cs="宋体"/>
          <w:bCs/>
          <w:color w:val="auto"/>
          <w:sz w:val="24"/>
          <w:szCs w:val="24"/>
          <w:highlight w:val="none"/>
        </w:rPr>
        <w:t>具备招标文件中资格要求。</w:t>
      </w:r>
    </w:p>
    <w:p w14:paraId="01EC3BB8">
      <w:pPr>
        <w:pStyle w:val="94"/>
        <w:keepNext w:val="0"/>
        <w:keepLines w:val="0"/>
        <w:pageBreakBefore w:val="0"/>
        <w:numPr>
          <w:ilvl w:val="0"/>
          <w:numId w:val="12"/>
        </w:numPr>
        <w:kinsoku/>
        <w:wordWrap/>
        <w:overflowPunct/>
        <w:topLinePunct w:val="0"/>
        <w:autoSpaceDE/>
        <w:autoSpaceDN/>
        <w:bidi w:val="0"/>
        <w:adjustRightInd w:val="0"/>
        <w:snapToGrid w:val="0"/>
        <w:spacing w:line="288" w:lineRule="auto"/>
        <w:ind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根据《中华人民共和国政府采购法实施条例》的规定，本公司（企业）如为招标项目提供整体设计、规范编制或者项目管理、监理、检测等服务的供应商，不再参加该招标项目的其他招标活动。</w:t>
      </w:r>
    </w:p>
    <w:p w14:paraId="42CCF509">
      <w:pPr>
        <w:keepNext w:val="0"/>
        <w:keepLines w:val="0"/>
        <w:pageBreakBefore w:val="0"/>
        <w:kinsoku/>
        <w:wordWrap/>
        <w:overflowPunct/>
        <w:topLinePunct w:val="0"/>
        <w:autoSpaceDE/>
        <w:autoSpaceDN/>
        <w:bidi w:val="0"/>
        <w:adjustRightInd w:val="0"/>
        <w:snapToGrid w:val="0"/>
        <w:spacing w:line="288"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为采购项目提供整体设计、规范编制或者项目管理、监理、检测等服务的供应商，不得再参加本采购项目的其他采购活动</w:t>
      </w:r>
      <w:r>
        <w:rPr>
          <w:rFonts w:hint="eastAsia" w:ascii="宋体" w:hAnsi="宋体" w:eastAsia="宋体" w:cs="宋体"/>
          <w:color w:val="auto"/>
          <w:sz w:val="24"/>
          <w:szCs w:val="24"/>
          <w:highlight w:val="none"/>
        </w:rPr>
        <w:t>；</w:t>
      </w:r>
    </w:p>
    <w:p w14:paraId="74C84917">
      <w:pPr>
        <w:keepNext w:val="0"/>
        <w:keepLines w:val="0"/>
        <w:pageBreakBefore w:val="0"/>
        <w:kinsoku/>
        <w:wordWrap/>
        <w:overflowPunct/>
        <w:topLinePunct w:val="0"/>
        <w:autoSpaceDE/>
        <w:autoSpaceDN/>
        <w:bidi w:val="0"/>
        <w:adjustRightInd w:val="0"/>
        <w:snapToGrid w:val="0"/>
        <w:spacing w:line="288"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本公司（企业）承诺在本次招标招标活动中，如有违法、违规、弄虚作假行为，所造成的损失、不良后果及法律责任，一律由我公司（企业）承担。</w:t>
      </w:r>
    </w:p>
    <w:p w14:paraId="37C39C0E">
      <w:pPr>
        <w:keepNext w:val="0"/>
        <w:keepLines w:val="0"/>
        <w:pageBreakBefore w:val="0"/>
        <w:kinsoku/>
        <w:wordWrap/>
        <w:overflowPunct/>
        <w:topLinePunct w:val="0"/>
        <w:autoSpaceDE/>
        <w:autoSpaceDN/>
        <w:bidi w:val="0"/>
        <w:adjustRightInd w:val="0"/>
        <w:snapToGrid w:val="0"/>
        <w:spacing w:line="288"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29312AF">
      <w:pPr>
        <w:keepNext w:val="0"/>
        <w:keepLines w:val="0"/>
        <w:pageBreakBefore w:val="0"/>
        <w:kinsoku/>
        <w:wordWrap/>
        <w:overflowPunct/>
        <w:topLinePunct w:val="0"/>
        <w:autoSpaceDE/>
        <w:autoSpaceDN/>
        <w:bidi w:val="0"/>
        <w:adjustRightInd w:val="0"/>
        <w:snapToGrid w:val="0"/>
        <w:spacing w:before="240" w:beforeLines="100" w:line="288" w:lineRule="auto"/>
        <w:ind w:firstLine="42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备注：1.本声明函必须提供且内容不得擅自删改，否则视为无效投标。</w:t>
      </w:r>
    </w:p>
    <w:p w14:paraId="46356BA0">
      <w:pPr>
        <w:keepNext w:val="0"/>
        <w:keepLines w:val="0"/>
        <w:pageBreakBefore w:val="0"/>
        <w:kinsoku/>
        <w:wordWrap/>
        <w:overflowPunct/>
        <w:topLinePunct w:val="0"/>
        <w:autoSpaceDE/>
        <w:autoSpaceDN/>
        <w:bidi w:val="0"/>
        <w:adjustRightInd w:val="0"/>
        <w:snapToGrid w:val="0"/>
        <w:spacing w:line="288" w:lineRule="auto"/>
        <w:ind w:firstLine="1301" w:firstLineChars="54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2.本声明函如有虚假或与事实不符的，作无效投标处理。</w:t>
      </w:r>
    </w:p>
    <w:p w14:paraId="08A116A9">
      <w:pPr>
        <w:keepNext w:val="0"/>
        <w:keepLines w:val="0"/>
        <w:pageBreakBefore w:val="0"/>
        <w:kinsoku/>
        <w:wordWrap/>
        <w:overflowPunct/>
        <w:topLinePunct w:val="0"/>
        <w:autoSpaceDE/>
        <w:autoSpaceDN/>
        <w:bidi w:val="0"/>
        <w:adjustRightInd w:val="0"/>
        <w:snapToGrid w:val="0"/>
        <w:spacing w:after="120" w:afterLines="50" w:line="288" w:lineRule="auto"/>
        <w:textAlignment w:val="auto"/>
        <w:rPr>
          <w:rFonts w:hint="eastAsia" w:ascii="宋体" w:hAnsi="宋体" w:eastAsia="宋体" w:cs="宋体"/>
          <w:b/>
          <w:color w:val="auto"/>
          <w:sz w:val="24"/>
          <w:szCs w:val="24"/>
          <w:highlight w:val="none"/>
        </w:rPr>
      </w:pPr>
    </w:p>
    <w:p w14:paraId="276FDBB7">
      <w:pPr>
        <w:keepNext w:val="0"/>
        <w:keepLines w:val="0"/>
        <w:pageBreakBefore w:val="0"/>
        <w:kinsoku/>
        <w:wordWrap/>
        <w:overflowPunct/>
        <w:topLinePunct w:val="0"/>
        <w:autoSpaceDE/>
        <w:autoSpaceDN/>
        <w:bidi w:val="0"/>
        <w:adjustRightInd w:val="0"/>
        <w:snapToGrid w:val="0"/>
        <w:spacing w:after="120" w:afterLines="50" w:line="288" w:lineRule="auto"/>
        <w:textAlignment w:val="auto"/>
        <w:rPr>
          <w:rFonts w:hint="eastAsia" w:ascii="宋体" w:hAnsi="宋体" w:eastAsia="宋体" w:cs="宋体"/>
          <w:b/>
          <w:color w:val="auto"/>
          <w:sz w:val="24"/>
          <w:szCs w:val="24"/>
          <w:highlight w:val="none"/>
        </w:rPr>
      </w:pPr>
    </w:p>
    <w:tbl>
      <w:tblPr>
        <w:tblStyle w:val="45"/>
        <w:tblW w:w="8528" w:type="dxa"/>
        <w:tblInd w:w="0" w:type="dxa"/>
        <w:tblLayout w:type="fixed"/>
        <w:tblCellMar>
          <w:top w:w="0" w:type="dxa"/>
          <w:left w:w="108" w:type="dxa"/>
          <w:bottom w:w="0" w:type="dxa"/>
          <w:right w:w="108" w:type="dxa"/>
        </w:tblCellMar>
      </w:tblPr>
      <w:tblGrid>
        <w:gridCol w:w="5353"/>
        <w:gridCol w:w="3175"/>
      </w:tblGrid>
      <w:tr w14:paraId="48200C50">
        <w:tblPrEx>
          <w:tblCellMar>
            <w:top w:w="0" w:type="dxa"/>
            <w:left w:w="108" w:type="dxa"/>
            <w:bottom w:w="0" w:type="dxa"/>
            <w:right w:w="108" w:type="dxa"/>
          </w:tblCellMar>
        </w:tblPrEx>
        <w:tc>
          <w:tcPr>
            <w:tcW w:w="5353" w:type="dxa"/>
            <w:shd w:val="clear" w:color="auto" w:fill="auto"/>
          </w:tcPr>
          <w:p w14:paraId="3FE454A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c>
          <w:tcPr>
            <w:tcW w:w="3175" w:type="dxa"/>
            <w:shd w:val="clear" w:color="auto" w:fill="auto"/>
          </w:tcPr>
          <w:p w14:paraId="70AE073E">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rPr>
            </w:pPr>
          </w:p>
        </w:tc>
      </w:tr>
      <w:tr w14:paraId="5FCBAC4C">
        <w:tblPrEx>
          <w:tblCellMar>
            <w:top w:w="0" w:type="dxa"/>
            <w:left w:w="108" w:type="dxa"/>
            <w:bottom w:w="0" w:type="dxa"/>
            <w:right w:w="108" w:type="dxa"/>
          </w:tblCellMar>
        </w:tblPrEx>
        <w:tc>
          <w:tcPr>
            <w:tcW w:w="5353" w:type="dxa"/>
            <w:shd w:val="clear" w:color="auto" w:fill="auto"/>
          </w:tcPr>
          <w:p w14:paraId="31A08356">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法定代表人（签字）：</w:t>
            </w:r>
          </w:p>
        </w:tc>
        <w:tc>
          <w:tcPr>
            <w:tcW w:w="3175" w:type="dxa"/>
            <w:shd w:val="clear" w:color="auto" w:fill="auto"/>
          </w:tcPr>
          <w:p w14:paraId="7FA4C99A">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rPr>
            </w:pPr>
          </w:p>
        </w:tc>
      </w:tr>
      <w:tr w14:paraId="4244058B">
        <w:tblPrEx>
          <w:tblCellMar>
            <w:top w:w="0" w:type="dxa"/>
            <w:left w:w="108" w:type="dxa"/>
            <w:bottom w:w="0" w:type="dxa"/>
            <w:right w:w="108" w:type="dxa"/>
          </w:tblCellMar>
        </w:tblPrEx>
        <w:tc>
          <w:tcPr>
            <w:tcW w:w="5353" w:type="dxa"/>
            <w:shd w:val="clear" w:color="auto" w:fill="auto"/>
          </w:tcPr>
          <w:p w14:paraId="671E2CA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rPr>
            </w:pPr>
          </w:p>
          <w:p w14:paraId="4BA59C8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rPr>
            </w:pPr>
          </w:p>
          <w:p w14:paraId="5DC5E2F6">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c>
          <w:tcPr>
            <w:tcW w:w="3175" w:type="dxa"/>
            <w:shd w:val="clear" w:color="auto" w:fill="auto"/>
          </w:tcPr>
          <w:p w14:paraId="71C187BE">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rPr>
            </w:pPr>
          </w:p>
        </w:tc>
      </w:tr>
    </w:tbl>
    <w:p w14:paraId="7EDAB720">
      <w:pPr>
        <w:keepNext w:val="0"/>
        <w:keepLines w:val="0"/>
        <w:pageBreakBefore w:val="0"/>
        <w:kinsoku/>
        <w:wordWrap/>
        <w:overflowPunct/>
        <w:topLinePunct w:val="0"/>
        <w:autoSpaceDE/>
        <w:autoSpaceDN/>
        <w:bidi w:val="0"/>
        <w:spacing w:before="480" w:beforeLines="200" w:after="360" w:afterLines="150" w:line="288" w:lineRule="auto"/>
        <w:jc w:val="center"/>
        <w:textAlignment w:val="auto"/>
        <w:rPr>
          <w:rFonts w:hint="eastAsia" w:ascii="宋体" w:hAnsi="宋体" w:eastAsia="宋体" w:cs="宋体"/>
          <w:b/>
          <w:color w:val="auto"/>
          <w:spacing w:val="20"/>
          <w:sz w:val="24"/>
          <w:szCs w:val="24"/>
          <w:highlight w:val="none"/>
        </w:rPr>
      </w:pPr>
    </w:p>
    <w:p w14:paraId="4F6FBE90">
      <w:pPr>
        <w:rPr>
          <w:rFonts w:hint="eastAsia" w:ascii="宋体" w:hAnsi="宋体" w:eastAsia="宋体" w:cs="宋体"/>
          <w:b/>
          <w:color w:val="auto"/>
          <w:spacing w:val="20"/>
          <w:sz w:val="30"/>
          <w:szCs w:val="30"/>
          <w:highlight w:val="none"/>
        </w:rPr>
      </w:pPr>
      <w:r>
        <w:rPr>
          <w:rFonts w:hint="eastAsia" w:ascii="宋体" w:hAnsi="宋体" w:eastAsia="宋体" w:cs="宋体"/>
          <w:b/>
          <w:color w:val="auto"/>
          <w:spacing w:val="20"/>
          <w:sz w:val="30"/>
          <w:szCs w:val="30"/>
          <w:highlight w:val="none"/>
        </w:rPr>
        <w:br w:type="page"/>
      </w:r>
    </w:p>
    <w:p w14:paraId="1F87778E">
      <w:pPr>
        <w:spacing w:line="360" w:lineRule="auto"/>
        <w:jc w:val="center"/>
        <w:rPr>
          <w:rFonts w:hint="eastAsia" w:ascii="宋体" w:hAnsi="宋体" w:eastAsia="宋体" w:cs="宋体"/>
          <w:b/>
          <w:color w:val="auto"/>
          <w:sz w:val="36"/>
          <w:szCs w:val="36"/>
          <w:highlight w:val="none"/>
        </w:rPr>
      </w:pPr>
    </w:p>
    <w:p w14:paraId="34E3EF3E">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w:t>
      </w:r>
      <w:r>
        <w:rPr>
          <w:rFonts w:hint="eastAsia" w:ascii="宋体" w:hAnsi="宋体" w:cs="宋体"/>
          <w:b/>
          <w:color w:val="auto"/>
          <w:sz w:val="36"/>
          <w:szCs w:val="36"/>
          <w:highlight w:val="none"/>
          <w:lang w:eastAsia="zh-CN"/>
        </w:rPr>
        <w:t>一</w:t>
      </w:r>
      <w:r>
        <w:rPr>
          <w:rFonts w:hint="eastAsia" w:ascii="宋体" w:hAnsi="宋体" w:eastAsia="宋体" w:cs="宋体"/>
          <w:b/>
          <w:color w:val="auto"/>
          <w:sz w:val="36"/>
          <w:szCs w:val="36"/>
          <w:highlight w:val="none"/>
        </w:rPr>
        <w:t>、技术参数偏离表</w:t>
      </w:r>
    </w:p>
    <w:tbl>
      <w:tblPr>
        <w:tblStyle w:val="45"/>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52"/>
        <w:gridCol w:w="2379"/>
        <w:gridCol w:w="1500"/>
        <w:gridCol w:w="2056"/>
      </w:tblGrid>
      <w:tr w14:paraId="2DAC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207" w:type="dxa"/>
            <w:gridSpan w:val="5"/>
            <w:vAlign w:val="center"/>
          </w:tcPr>
          <w:p w14:paraId="7F6FD40A">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项目名称：                                         </w:t>
            </w:r>
            <w:r>
              <w:rPr>
                <w:rFonts w:hint="eastAsia" w:ascii="宋体" w:hAnsi="宋体" w:eastAsia="宋体" w:cs="宋体"/>
                <w:b/>
                <w:color w:val="auto"/>
                <w:sz w:val="24"/>
                <w:szCs w:val="24"/>
                <w:highlight w:val="none"/>
              </w:rPr>
              <w:t>项目编号：</w:t>
            </w:r>
          </w:p>
        </w:tc>
      </w:tr>
      <w:tr w14:paraId="3B7C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20" w:type="dxa"/>
            <w:vAlign w:val="center"/>
          </w:tcPr>
          <w:p w14:paraId="3DE35086">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52" w:type="dxa"/>
            <w:vAlign w:val="center"/>
          </w:tcPr>
          <w:p w14:paraId="1866CB60">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招标文件要求</w:t>
            </w:r>
          </w:p>
        </w:tc>
        <w:tc>
          <w:tcPr>
            <w:tcW w:w="2379" w:type="dxa"/>
            <w:vAlign w:val="center"/>
          </w:tcPr>
          <w:p w14:paraId="3A9B0C18">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投标文件响应内容</w:t>
            </w:r>
          </w:p>
        </w:tc>
        <w:tc>
          <w:tcPr>
            <w:tcW w:w="1500" w:type="dxa"/>
            <w:vAlign w:val="center"/>
          </w:tcPr>
          <w:p w14:paraId="21A91113">
            <w:pPr>
              <w:keepNext w:val="0"/>
              <w:keepLines w:val="0"/>
              <w:pageBreakBefore w:val="0"/>
              <w:kinsoku/>
              <w:wordWrap/>
              <w:topLinePunct w:val="0"/>
              <w:autoSpaceDE/>
              <w:autoSpaceDN/>
              <w:bidi w:val="0"/>
              <w:snapToGrid/>
              <w:spacing w:line="288" w:lineRule="auto"/>
              <w:ind w:left="293" w:hanging="335" w:hangingChars="139"/>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偏离情况</w:t>
            </w:r>
          </w:p>
        </w:tc>
        <w:tc>
          <w:tcPr>
            <w:tcW w:w="2056" w:type="dxa"/>
            <w:vAlign w:val="center"/>
          </w:tcPr>
          <w:p w14:paraId="025C793B">
            <w:pPr>
              <w:keepNext w:val="0"/>
              <w:keepLines w:val="0"/>
              <w:pageBreakBefore w:val="0"/>
              <w:kinsoku/>
              <w:wordWrap/>
              <w:topLinePunct w:val="0"/>
              <w:autoSpaceDE/>
              <w:autoSpaceDN/>
              <w:bidi w:val="0"/>
              <w:snapToGrid/>
              <w:spacing w:line="288" w:lineRule="auto"/>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证明材料页码</w:t>
            </w:r>
          </w:p>
        </w:tc>
      </w:tr>
      <w:tr w14:paraId="50C9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20" w:type="dxa"/>
            <w:vAlign w:val="center"/>
          </w:tcPr>
          <w:p w14:paraId="54FEC741">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52" w:type="dxa"/>
            <w:vAlign w:val="center"/>
          </w:tcPr>
          <w:p w14:paraId="6CB16CC3">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79" w:type="dxa"/>
            <w:vAlign w:val="center"/>
          </w:tcPr>
          <w:p w14:paraId="381077E8">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500" w:type="dxa"/>
            <w:vAlign w:val="center"/>
          </w:tcPr>
          <w:p w14:paraId="20A0D0EE">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056" w:type="dxa"/>
            <w:vAlign w:val="center"/>
          </w:tcPr>
          <w:p w14:paraId="19AB06B6">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509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20" w:type="dxa"/>
            <w:vAlign w:val="center"/>
          </w:tcPr>
          <w:p w14:paraId="290F3446">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52" w:type="dxa"/>
            <w:vAlign w:val="center"/>
          </w:tcPr>
          <w:p w14:paraId="6CEB6A41">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79" w:type="dxa"/>
            <w:vAlign w:val="center"/>
          </w:tcPr>
          <w:p w14:paraId="1C86BDB2">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500" w:type="dxa"/>
            <w:vAlign w:val="center"/>
          </w:tcPr>
          <w:p w14:paraId="34EEA18D">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056" w:type="dxa"/>
            <w:vAlign w:val="center"/>
          </w:tcPr>
          <w:p w14:paraId="6046AD77">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3C3A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20" w:type="dxa"/>
            <w:vAlign w:val="center"/>
          </w:tcPr>
          <w:p w14:paraId="489BFA0D">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52" w:type="dxa"/>
            <w:vAlign w:val="center"/>
          </w:tcPr>
          <w:p w14:paraId="3D1CB04E">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79" w:type="dxa"/>
            <w:vAlign w:val="center"/>
          </w:tcPr>
          <w:p w14:paraId="5F608318">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500" w:type="dxa"/>
            <w:vAlign w:val="center"/>
          </w:tcPr>
          <w:p w14:paraId="565AF29A">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056" w:type="dxa"/>
            <w:vAlign w:val="center"/>
          </w:tcPr>
          <w:p w14:paraId="48EE7F85">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5B61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20" w:type="dxa"/>
            <w:vAlign w:val="center"/>
          </w:tcPr>
          <w:p w14:paraId="1D4D8A47">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52" w:type="dxa"/>
            <w:vAlign w:val="center"/>
          </w:tcPr>
          <w:p w14:paraId="5514B499">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79" w:type="dxa"/>
            <w:vAlign w:val="center"/>
          </w:tcPr>
          <w:p w14:paraId="4FD108AE">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500" w:type="dxa"/>
            <w:vAlign w:val="center"/>
          </w:tcPr>
          <w:p w14:paraId="45C09F84">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056" w:type="dxa"/>
            <w:vAlign w:val="center"/>
          </w:tcPr>
          <w:p w14:paraId="604BAA7B">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3FBA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20" w:type="dxa"/>
            <w:vAlign w:val="center"/>
          </w:tcPr>
          <w:p w14:paraId="4B48AE91">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52" w:type="dxa"/>
            <w:vAlign w:val="center"/>
          </w:tcPr>
          <w:p w14:paraId="3AE6EB78">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79" w:type="dxa"/>
            <w:vAlign w:val="center"/>
          </w:tcPr>
          <w:p w14:paraId="3C2AF86E">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500" w:type="dxa"/>
            <w:vAlign w:val="center"/>
          </w:tcPr>
          <w:p w14:paraId="53C1D42E">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056" w:type="dxa"/>
            <w:vAlign w:val="center"/>
          </w:tcPr>
          <w:p w14:paraId="1C4D2247">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bl>
    <w:p w14:paraId="30C39AC5">
      <w:pPr>
        <w:keepNext w:val="0"/>
        <w:keepLines w:val="0"/>
        <w:pageBreakBefore w:val="0"/>
        <w:kinsoku/>
        <w:wordWrap/>
        <w:topLinePunct w:val="0"/>
        <w:autoSpaceDE/>
        <w:autoSpaceDN/>
        <w:bidi w:val="0"/>
        <w:snapToGrid/>
        <w:spacing w:before="120" w:beforeLines="5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注明：</w:t>
      </w:r>
    </w:p>
    <w:p w14:paraId="6285DB80">
      <w:pPr>
        <w:pStyle w:val="94"/>
        <w:keepNext w:val="0"/>
        <w:keepLines w:val="0"/>
        <w:pageBreakBefore w:val="0"/>
        <w:numPr>
          <w:ilvl w:val="0"/>
          <w:numId w:val="13"/>
        </w:numPr>
        <w:kinsoku/>
        <w:wordWrap/>
        <w:topLinePunct w:val="0"/>
        <w:autoSpaceDE/>
        <w:autoSpaceDN/>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偏离情况项填写“正”、“负”或“无”，说明项中填写原因。</w:t>
      </w:r>
    </w:p>
    <w:p w14:paraId="60B2019B">
      <w:pPr>
        <w:pStyle w:val="94"/>
        <w:keepNext w:val="0"/>
        <w:keepLines w:val="0"/>
        <w:pageBreakBefore w:val="0"/>
        <w:numPr>
          <w:ilvl w:val="0"/>
          <w:numId w:val="13"/>
        </w:numPr>
        <w:kinsoku/>
        <w:wordWrap/>
        <w:topLinePunct w:val="0"/>
        <w:autoSpaceDE/>
        <w:autoSpaceDN/>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供应商应按照招标文件要求作出全面响应。对响应有偏离的，则说明偏离的内容。若有要求提供相关证明资料的，须按要求提供，</w:t>
      </w:r>
      <w:r>
        <w:rPr>
          <w:rFonts w:hint="eastAsia" w:ascii="宋体" w:hAnsi="宋体" w:cs="宋体"/>
          <w:color w:val="auto"/>
          <w:sz w:val="24"/>
          <w:szCs w:val="24"/>
          <w:highlight w:val="none"/>
          <w:lang w:val="en-US" w:eastAsia="zh-CN"/>
        </w:rPr>
        <w:t>在偏离表后附证明材料，</w:t>
      </w:r>
      <w:r>
        <w:rPr>
          <w:rFonts w:hint="eastAsia" w:ascii="宋体" w:hAnsi="宋体" w:eastAsia="宋体" w:cs="宋体"/>
          <w:color w:val="auto"/>
          <w:sz w:val="24"/>
          <w:szCs w:val="24"/>
          <w:highlight w:val="none"/>
        </w:rPr>
        <w:t>否则视为负偏离。</w:t>
      </w:r>
    </w:p>
    <w:p w14:paraId="510179DF">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7FB0CA94">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64064501">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bl>
      <w:tblPr>
        <w:tblStyle w:val="45"/>
        <w:tblW w:w="8528" w:type="dxa"/>
        <w:tblInd w:w="0" w:type="dxa"/>
        <w:tblLayout w:type="fixed"/>
        <w:tblCellMar>
          <w:top w:w="0" w:type="dxa"/>
          <w:left w:w="108" w:type="dxa"/>
          <w:bottom w:w="0" w:type="dxa"/>
          <w:right w:w="108" w:type="dxa"/>
        </w:tblCellMar>
      </w:tblPr>
      <w:tblGrid>
        <w:gridCol w:w="5353"/>
        <w:gridCol w:w="3175"/>
      </w:tblGrid>
      <w:tr w14:paraId="6FF6F7F8">
        <w:tblPrEx>
          <w:tblCellMar>
            <w:top w:w="0" w:type="dxa"/>
            <w:left w:w="108" w:type="dxa"/>
            <w:bottom w:w="0" w:type="dxa"/>
            <w:right w:w="108" w:type="dxa"/>
          </w:tblCellMar>
        </w:tblPrEx>
        <w:tc>
          <w:tcPr>
            <w:tcW w:w="5353" w:type="dxa"/>
            <w:shd w:val="clear" w:color="auto" w:fill="auto"/>
          </w:tcPr>
          <w:p w14:paraId="486E0F32">
            <w:pPr>
              <w:keepNext w:val="0"/>
              <w:keepLines w:val="0"/>
              <w:pageBreakBefore w:val="0"/>
              <w:kinsoku/>
              <w:wordWrap/>
              <w:overflowPunct w:val="0"/>
              <w:topLinePunct w:val="0"/>
              <w:autoSpaceDE/>
              <w:autoSpaceDN/>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c>
          <w:tcPr>
            <w:tcW w:w="3175" w:type="dxa"/>
            <w:shd w:val="clear" w:color="auto" w:fill="auto"/>
          </w:tcPr>
          <w:p w14:paraId="7851AD06">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r w14:paraId="5F5C1DC3">
        <w:tblPrEx>
          <w:tblCellMar>
            <w:top w:w="0" w:type="dxa"/>
            <w:left w:w="108" w:type="dxa"/>
            <w:bottom w:w="0" w:type="dxa"/>
            <w:right w:w="108" w:type="dxa"/>
          </w:tblCellMar>
        </w:tblPrEx>
        <w:tc>
          <w:tcPr>
            <w:tcW w:w="5353" w:type="dxa"/>
            <w:shd w:val="clear" w:color="auto" w:fill="auto"/>
          </w:tcPr>
          <w:p w14:paraId="531736EF">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0157DA72">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c>
          <w:tcPr>
            <w:tcW w:w="3175" w:type="dxa"/>
            <w:shd w:val="clear" w:color="auto" w:fill="auto"/>
          </w:tcPr>
          <w:p w14:paraId="3E30ACE5">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bl>
    <w:p w14:paraId="32C82D84">
      <w:pPr>
        <w:spacing w:line="360" w:lineRule="auto"/>
        <w:rPr>
          <w:rFonts w:hint="eastAsia" w:ascii="宋体" w:hAnsi="宋体" w:eastAsia="宋体" w:cs="宋体"/>
          <w:color w:val="auto"/>
          <w:szCs w:val="21"/>
          <w:highlight w:val="none"/>
        </w:rPr>
      </w:pPr>
    </w:p>
    <w:p w14:paraId="7B3715BF">
      <w:pPr>
        <w:spacing w:line="360" w:lineRule="auto"/>
        <w:rPr>
          <w:rFonts w:hint="eastAsia" w:ascii="宋体" w:hAnsi="宋体" w:eastAsia="宋体" w:cs="宋体"/>
          <w:color w:val="auto"/>
          <w:szCs w:val="21"/>
          <w:highlight w:val="none"/>
        </w:rPr>
      </w:pPr>
    </w:p>
    <w:p w14:paraId="5B217E19">
      <w:pPr>
        <w:rPr>
          <w:rStyle w:val="48"/>
          <w:rFonts w:hint="eastAsia" w:ascii="宋体" w:hAnsi="宋体" w:eastAsia="宋体" w:cs="宋体"/>
          <w:bCs w:val="0"/>
          <w:color w:val="auto"/>
          <w:spacing w:val="12"/>
          <w:highlight w:val="none"/>
        </w:rPr>
      </w:pPr>
      <w:bookmarkStart w:id="59" w:name="_Toc494567328"/>
      <w:bookmarkStart w:id="60" w:name="_Toc3236439"/>
      <w:bookmarkStart w:id="61" w:name="_Toc391627770"/>
      <w:bookmarkStart w:id="62" w:name="_Toc405313974"/>
      <w:r>
        <w:rPr>
          <w:rStyle w:val="48"/>
          <w:rFonts w:hint="eastAsia" w:ascii="宋体" w:hAnsi="宋体" w:eastAsia="宋体" w:cs="宋体"/>
          <w:color w:val="auto"/>
          <w:spacing w:val="12"/>
          <w:highlight w:val="none"/>
        </w:rPr>
        <w:br w:type="page"/>
      </w:r>
    </w:p>
    <w:p w14:paraId="27C4DC0C">
      <w:pPr>
        <w:spacing w:line="360" w:lineRule="auto"/>
        <w:jc w:val="center"/>
        <w:rPr>
          <w:rFonts w:hint="eastAsia" w:ascii="宋体" w:hAnsi="宋体" w:eastAsia="宋体" w:cs="宋体"/>
          <w:b/>
          <w:color w:val="auto"/>
          <w:sz w:val="36"/>
          <w:szCs w:val="36"/>
          <w:highlight w:val="none"/>
        </w:rPr>
      </w:pPr>
    </w:p>
    <w:p w14:paraId="1EB282FE">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w:t>
      </w:r>
      <w:r>
        <w:rPr>
          <w:rFonts w:hint="eastAsia" w:ascii="宋体" w:hAnsi="宋体" w:cs="宋体"/>
          <w:b/>
          <w:color w:val="auto"/>
          <w:sz w:val="36"/>
          <w:szCs w:val="36"/>
          <w:highlight w:val="none"/>
          <w:lang w:eastAsia="zh-CN"/>
        </w:rPr>
        <w:t>二</w:t>
      </w:r>
      <w:r>
        <w:rPr>
          <w:rFonts w:hint="eastAsia" w:ascii="宋体" w:hAnsi="宋体" w:eastAsia="宋体" w:cs="宋体"/>
          <w:b/>
          <w:color w:val="auto"/>
          <w:sz w:val="36"/>
          <w:szCs w:val="36"/>
          <w:highlight w:val="none"/>
        </w:rPr>
        <w:t>、技术参数承诺书</w:t>
      </w:r>
    </w:p>
    <w:p w14:paraId="73A2EFEA">
      <w:pPr>
        <w:rPr>
          <w:rStyle w:val="48"/>
          <w:rFonts w:hint="eastAsia" w:ascii="宋体" w:hAnsi="宋体" w:eastAsia="宋体" w:cs="宋体"/>
          <w:color w:val="auto"/>
          <w:spacing w:val="12"/>
          <w:highlight w:val="none"/>
        </w:rPr>
      </w:pPr>
    </w:p>
    <w:p w14:paraId="25761775">
      <w:pPr>
        <w:pageBreakBefore w:val="0"/>
        <w:widowControl/>
        <w:kinsoku/>
        <w:overflowPunct/>
        <w:topLinePunct w:val="0"/>
        <w:autoSpaceDE/>
        <w:autoSpaceDN/>
        <w:bidi w:val="0"/>
        <w:adjustRightInd/>
        <w:snapToGrid/>
        <w:spacing w:line="288" w:lineRule="auto"/>
        <w:textAlignment w:val="auto"/>
        <w:rPr>
          <w:rStyle w:val="48"/>
          <w:rFonts w:hint="eastAsia" w:ascii="宋体" w:hAnsi="宋体" w:eastAsia="宋体" w:cs="宋体"/>
          <w:b w:val="0"/>
          <w:color w:val="auto"/>
          <w:spacing w:val="12"/>
          <w:sz w:val="24"/>
          <w:szCs w:val="24"/>
          <w:highlight w:val="none"/>
        </w:rPr>
      </w:pPr>
      <w:r>
        <w:rPr>
          <w:rStyle w:val="48"/>
          <w:rFonts w:hint="eastAsia" w:ascii="宋体" w:hAnsi="宋体" w:eastAsia="宋体" w:cs="宋体"/>
          <w:color w:val="auto"/>
          <w:spacing w:val="12"/>
          <w:sz w:val="24"/>
          <w:szCs w:val="24"/>
          <w:highlight w:val="none"/>
        </w:rPr>
        <w:t>致：（采购人名称）</w:t>
      </w:r>
    </w:p>
    <w:p w14:paraId="27628E6C">
      <w:pPr>
        <w:pStyle w:val="3"/>
        <w:pageBreakBefore w:val="0"/>
        <w:widowControl/>
        <w:kinsoku/>
        <w:overflowPunct/>
        <w:topLinePunct w:val="0"/>
        <w:autoSpaceDE/>
        <w:autoSpaceDN/>
        <w:bidi w:val="0"/>
        <w:adjustRightInd/>
        <w:snapToGrid/>
        <w:spacing w:line="288" w:lineRule="auto"/>
        <w:textAlignment w:val="auto"/>
        <w:rPr>
          <w:rStyle w:val="48"/>
          <w:rFonts w:hint="eastAsia" w:ascii="宋体" w:hAnsi="宋体" w:eastAsia="宋体" w:cs="宋体"/>
          <w:b w:val="0"/>
          <w:bCs w:val="0"/>
          <w:color w:val="auto"/>
          <w:spacing w:val="12"/>
          <w:sz w:val="24"/>
          <w:szCs w:val="24"/>
          <w:highlight w:val="none"/>
        </w:rPr>
      </w:pPr>
      <w:r>
        <w:rPr>
          <w:rStyle w:val="48"/>
          <w:rFonts w:hint="eastAsia" w:ascii="宋体" w:hAnsi="宋体" w:eastAsia="宋体" w:cs="宋体"/>
          <w:b w:val="0"/>
          <w:bCs w:val="0"/>
          <w:color w:val="auto"/>
          <w:spacing w:val="12"/>
          <w:sz w:val="24"/>
          <w:szCs w:val="24"/>
          <w:highlight w:val="none"/>
        </w:rPr>
        <w:t xml:space="preserve">    我公司承诺：如我公司在参与</w:t>
      </w:r>
      <w:r>
        <w:rPr>
          <w:rStyle w:val="48"/>
          <w:rFonts w:hint="eastAsia" w:ascii="宋体" w:hAnsi="宋体" w:eastAsia="宋体" w:cs="宋体"/>
          <w:b w:val="0"/>
          <w:bCs w:val="0"/>
          <w:color w:val="auto"/>
          <w:spacing w:val="12"/>
          <w:sz w:val="24"/>
          <w:szCs w:val="24"/>
          <w:highlight w:val="none"/>
          <w:u w:val="single"/>
        </w:rPr>
        <w:t xml:space="preserve">   （项目名称）    </w:t>
      </w:r>
      <w:r>
        <w:rPr>
          <w:rStyle w:val="48"/>
          <w:rFonts w:hint="eastAsia" w:ascii="宋体" w:hAnsi="宋体" w:eastAsia="宋体" w:cs="宋体"/>
          <w:b w:val="0"/>
          <w:bCs w:val="0"/>
          <w:color w:val="auto"/>
          <w:spacing w:val="12"/>
          <w:sz w:val="24"/>
          <w:szCs w:val="24"/>
          <w:highlight w:val="none"/>
        </w:rPr>
        <w:t>中标后，所投货物经采购人验收后若与技术参数偏离表上偏离情况不符合，出现的所有后果由我公司自行承担。</w:t>
      </w:r>
    </w:p>
    <w:p w14:paraId="00F33B41">
      <w:pPr>
        <w:pageBreakBefore w:val="0"/>
        <w:widowControl/>
        <w:kinsoku/>
        <w:overflowPunct/>
        <w:topLinePunct w:val="0"/>
        <w:autoSpaceDE/>
        <w:autoSpaceDN/>
        <w:bidi w:val="0"/>
        <w:adjustRightInd/>
        <w:snapToGrid/>
        <w:spacing w:line="288" w:lineRule="auto"/>
        <w:textAlignment w:val="auto"/>
        <w:rPr>
          <w:rStyle w:val="48"/>
          <w:rFonts w:hint="eastAsia" w:ascii="宋体" w:hAnsi="宋体" w:eastAsia="宋体" w:cs="宋体"/>
          <w:b w:val="0"/>
          <w:color w:val="auto"/>
          <w:spacing w:val="12"/>
          <w:sz w:val="24"/>
          <w:szCs w:val="24"/>
          <w:highlight w:val="none"/>
        </w:rPr>
      </w:pPr>
    </w:p>
    <w:p w14:paraId="09FA36D5">
      <w:pPr>
        <w:pStyle w:val="3"/>
        <w:pageBreakBefore w:val="0"/>
        <w:widowControl/>
        <w:kinsoku/>
        <w:overflowPunct/>
        <w:topLinePunct w:val="0"/>
        <w:autoSpaceDE/>
        <w:autoSpaceDN/>
        <w:bidi w:val="0"/>
        <w:adjustRightInd/>
        <w:snapToGrid/>
        <w:spacing w:line="288" w:lineRule="auto"/>
        <w:textAlignment w:val="auto"/>
        <w:rPr>
          <w:rStyle w:val="48"/>
          <w:rFonts w:hint="eastAsia" w:ascii="宋体" w:hAnsi="宋体" w:eastAsia="宋体" w:cs="宋体"/>
          <w:b w:val="0"/>
          <w:bCs w:val="0"/>
          <w:color w:val="auto"/>
          <w:spacing w:val="12"/>
          <w:sz w:val="24"/>
          <w:szCs w:val="24"/>
          <w:highlight w:val="none"/>
        </w:rPr>
      </w:pPr>
    </w:p>
    <w:p w14:paraId="2F839640">
      <w:pPr>
        <w:pageBreakBefore w:val="0"/>
        <w:widowControl/>
        <w:kinsoku/>
        <w:wordWrap w:val="0"/>
        <w:overflowPunct/>
        <w:topLinePunct w:val="0"/>
        <w:autoSpaceDE/>
        <w:autoSpaceDN/>
        <w:bidi w:val="0"/>
        <w:adjustRightInd/>
        <w:snapToGrid/>
        <w:spacing w:line="288" w:lineRule="auto"/>
        <w:jc w:val="right"/>
        <w:textAlignment w:val="auto"/>
        <w:rPr>
          <w:rStyle w:val="48"/>
          <w:rFonts w:hint="eastAsia" w:ascii="宋体" w:hAnsi="宋体" w:eastAsia="宋体" w:cs="宋体"/>
          <w:b w:val="0"/>
          <w:color w:val="auto"/>
          <w:spacing w:val="12"/>
          <w:sz w:val="24"/>
          <w:szCs w:val="24"/>
          <w:highlight w:val="none"/>
          <w:u w:val="single"/>
        </w:rPr>
      </w:pPr>
      <w:r>
        <w:rPr>
          <w:rStyle w:val="48"/>
          <w:rFonts w:hint="eastAsia" w:ascii="宋体" w:hAnsi="宋体" w:eastAsia="宋体" w:cs="宋体"/>
          <w:b w:val="0"/>
          <w:color w:val="auto"/>
          <w:spacing w:val="12"/>
          <w:sz w:val="24"/>
          <w:szCs w:val="24"/>
          <w:highlight w:val="none"/>
        </w:rPr>
        <w:t>供应商名称：       （盖单位章）</w:t>
      </w:r>
    </w:p>
    <w:p w14:paraId="33D28191">
      <w:pPr>
        <w:pStyle w:val="3"/>
        <w:pageBreakBefore w:val="0"/>
        <w:widowControl/>
        <w:kinsoku/>
        <w:wordWrap w:val="0"/>
        <w:overflowPunct/>
        <w:topLinePunct w:val="0"/>
        <w:autoSpaceDE/>
        <w:autoSpaceDN/>
        <w:bidi w:val="0"/>
        <w:adjustRightInd/>
        <w:snapToGrid/>
        <w:spacing w:line="288" w:lineRule="auto"/>
        <w:ind w:right="-1" w:firstLine="264" w:firstLineChars="100"/>
        <w:jc w:val="right"/>
        <w:textAlignment w:val="auto"/>
        <w:rPr>
          <w:rFonts w:hint="eastAsia" w:ascii="宋体" w:hAnsi="宋体" w:eastAsia="宋体" w:cs="宋体"/>
          <w:b w:val="0"/>
          <w:color w:val="auto"/>
          <w:sz w:val="24"/>
          <w:szCs w:val="24"/>
          <w:highlight w:val="none"/>
        </w:rPr>
      </w:pPr>
      <w:r>
        <w:rPr>
          <w:rStyle w:val="48"/>
          <w:rFonts w:hint="eastAsia" w:ascii="宋体" w:hAnsi="宋体" w:eastAsia="宋体" w:cs="宋体"/>
          <w:b w:val="0"/>
          <w:bCs w:val="0"/>
          <w:color w:val="auto"/>
          <w:spacing w:val="12"/>
          <w:sz w:val="24"/>
          <w:szCs w:val="24"/>
          <w:highlight w:val="none"/>
        </w:rPr>
        <w:t>日     期：     年   月   日</w:t>
      </w:r>
    </w:p>
    <w:bookmarkEnd w:id="59"/>
    <w:bookmarkEnd w:id="60"/>
    <w:p w14:paraId="38CBB66F">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A0279B4">
      <w:pPr>
        <w:spacing w:line="360" w:lineRule="auto"/>
        <w:jc w:val="center"/>
        <w:rPr>
          <w:rFonts w:hint="eastAsia" w:ascii="宋体" w:hAnsi="宋体" w:eastAsia="宋体" w:cs="宋体"/>
          <w:b/>
          <w:color w:val="auto"/>
          <w:sz w:val="36"/>
          <w:szCs w:val="36"/>
          <w:highlight w:val="none"/>
        </w:rPr>
      </w:pPr>
    </w:p>
    <w:p w14:paraId="4B64F294">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w:t>
      </w:r>
      <w:r>
        <w:rPr>
          <w:rFonts w:hint="eastAsia" w:ascii="宋体" w:hAnsi="宋体" w:cs="宋体"/>
          <w:b/>
          <w:color w:val="auto"/>
          <w:sz w:val="36"/>
          <w:szCs w:val="36"/>
          <w:highlight w:val="none"/>
          <w:lang w:eastAsia="zh-CN"/>
        </w:rPr>
        <w:t>三</w:t>
      </w:r>
      <w:r>
        <w:rPr>
          <w:rFonts w:hint="eastAsia" w:ascii="宋体" w:hAnsi="宋体" w:eastAsia="宋体" w:cs="宋体"/>
          <w:b/>
          <w:color w:val="auto"/>
          <w:sz w:val="36"/>
          <w:szCs w:val="36"/>
          <w:highlight w:val="none"/>
        </w:rPr>
        <w:t>、投标货物详细说明</w:t>
      </w:r>
    </w:p>
    <w:tbl>
      <w:tblPr>
        <w:tblStyle w:val="45"/>
        <w:tblW w:w="9113"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701"/>
        <w:gridCol w:w="993"/>
        <w:gridCol w:w="1417"/>
        <w:gridCol w:w="2408"/>
        <w:gridCol w:w="1871"/>
      </w:tblGrid>
      <w:tr w14:paraId="5D8C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113" w:type="dxa"/>
            <w:gridSpan w:val="6"/>
            <w:vAlign w:val="center"/>
          </w:tcPr>
          <w:p w14:paraId="306E1D53">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项目名称：                                              </w:t>
            </w:r>
            <w:r>
              <w:rPr>
                <w:rFonts w:hint="eastAsia" w:ascii="宋体" w:hAnsi="宋体" w:eastAsia="宋体" w:cs="宋体"/>
                <w:b/>
                <w:color w:val="auto"/>
                <w:sz w:val="24"/>
                <w:szCs w:val="24"/>
                <w:highlight w:val="none"/>
              </w:rPr>
              <w:t>项目编号：</w:t>
            </w:r>
          </w:p>
        </w:tc>
      </w:tr>
      <w:tr w14:paraId="5330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23" w:type="dxa"/>
            <w:vAlign w:val="center"/>
          </w:tcPr>
          <w:p w14:paraId="39DF81A9">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01" w:type="dxa"/>
            <w:vAlign w:val="center"/>
          </w:tcPr>
          <w:p w14:paraId="6AE0BB94">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993" w:type="dxa"/>
            <w:vAlign w:val="center"/>
          </w:tcPr>
          <w:p w14:paraId="785265C3">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17" w:type="dxa"/>
            <w:vAlign w:val="center"/>
          </w:tcPr>
          <w:p w14:paraId="5A17E518">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品牌型号</w:t>
            </w:r>
          </w:p>
        </w:tc>
        <w:tc>
          <w:tcPr>
            <w:tcW w:w="2408" w:type="dxa"/>
            <w:vAlign w:val="center"/>
          </w:tcPr>
          <w:p w14:paraId="52968806">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性能及技术参数</w:t>
            </w:r>
          </w:p>
        </w:tc>
        <w:tc>
          <w:tcPr>
            <w:tcW w:w="1871" w:type="dxa"/>
            <w:vAlign w:val="center"/>
          </w:tcPr>
          <w:p w14:paraId="7C763758">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21A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586C1D4B">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701" w:type="dxa"/>
            <w:vAlign w:val="center"/>
          </w:tcPr>
          <w:p w14:paraId="234D178B">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993" w:type="dxa"/>
            <w:vAlign w:val="center"/>
          </w:tcPr>
          <w:p w14:paraId="336B0234">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417" w:type="dxa"/>
            <w:vAlign w:val="center"/>
          </w:tcPr>
          <w:p w14:paraId="622FA353">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408" w:type="dxa"/>
            <w:vAlign w:val="center"/>
          </w:tcPr>
          <w:p w14:paraId="506BD18A">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871" w:type="dxa"/>
            <w:vAlign w:val="center"/>
          </w:tcPr>
          <w:p w14:paraId="22F46E14">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6378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4C3489AD">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701" w:type="dxa"/>
            <w:vAlign w:val="center"/>
          </w:tcPr>
          <w:p w14:paraId="0597A96D">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993" w:type="dxa"/>
            <w:vAlign w:val="center"/>
          </w:tcPr>
          <w:p w14:paraId="387A2819">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417" w:type="dxa"/>
            <w:vAlign w:val="center"/>
          </w:tcPr>
          <w:p w14:paraId="7A4C23C6">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408" w:type="dxa"/>
            <w:vAlign w:val="center"/>
          </w:tcPr>
          <w:p w14:paraId="5A3003DD">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871" w:type="dxa"/>
            <w:vAlign w:val="center"/>
          </w:tcPr>
          <w:p w14:paraId="3CD786ED">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4546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6C806B3C">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701" w:type="dxa"/>
            <w:vAlign w:val="center"/>
          </w:tcPr>
          <w:p w14:paraId="7A4E57FC">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993" w:type="dxa"/>
            <w:vAlign w:val="center"/>
          </w:tcPr>
          <w:p w14:paraId="3B73DF9F">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417" w:type="dxa"/>
            <w:vAlign w:val="center"/>
          </w:tcPr>
          <w:p w14:paraId="75FCF03D">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408" w:type="dxa"/>
            <w:vAlign w:val="center"/>
          </w:tcPr>
          <w:p w14:paraId="0C21E29B">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871" w:type="dxa"/>
            <w:vAlign w:val="center"/>
          </w:tcPr>
          <w:p w14:paraId="5AF842FD">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3AC1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4A45037B">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701" w:type="dxa"/>
            <w:vAlign w:val="center"/>
          </w:tcPr>
          <w:p w14:paraId="02A297CA">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993" w:type="dxa"/>
            <w:vAlign w:val="center"/>
          </w:tcPr>
          <w:p w14:paraId="730AA399">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417" w:type="dxa"/>
            <w:vAlign w:val="center"/>
          </w:tcPr>
          <w:p w14:paraId="61AAB85E">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408" w:type="dxa"/>
            <w:vAlign w:val="center"/>
          </w:tcPr>
          <w:p w14:paraId="2F8333C7">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871" w:type="dxa"/>
            <w:vAlign w:val="center"/>
          </w:tcPr>
          <w:p w14:paraId="525ADCF9">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20AA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70C346B3">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701" w:type="dxa"/>
            <w:vAlign w:val="center"/>
          </w:tcPr>
          <w:p w14:paraId="5E16D714">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993" w:type="dxa"/>
            <w:vAlign w:val="center"/>
          </w:tcPr>
          <w:p w14:paraId="31311406">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417" w:type="dxa"/>
            <w:vAlign w:val="center"/>
          </w:tcPr>
          <w:p w14:paraId="560D1CC1">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408" w:type="dxa"/>
            <w:vAlign w:val="center"/>
          </w:tcPr>
          <w:p w14:paraId="7EDE097E">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871" w:type="dxa"/>
            <w:vAlign w:val="center"/>
          </w:tcPr>
          <w:p w14:paraId="0518CF06">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13A0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73E11BB5">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701" w:type="dxa"/>
            <w:vAlign w:val="center"/>
          </w:tcPr>
          <w:p w14:paraId="267A5BAF">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993" w:type="dxa"/>
            <w:vAlign w:val="center"/>
          </w:tcPr>
          <w:p w14:paraId="5D3B3DD4">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417" w:type="dxa"/>
            <w:vAlign w:val="center"/>
          </w:tcPr>
          <w:p w14:paraId="2C555649">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408" w:type="dxa"/>
            <w:vAlign w:val="center"/>
          </w:tcPr>
          <w:p w14:paraId="6B1DFD50">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871" w:type="dxa"/>
            <w:vAlign w:val="center"/>
          </w:tcPr>
          <w:p w14:paraId="1DF2D837">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2C64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25013901">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701" w:type="dxa"/>
            <w:vAlign w:val="center"/>
          </w:tcPr>
          <w:p w14:paraId="22164AE1">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993" w:type="dxa"/>
            <w:vAlign w:val="center"/>
          </w:tcPr>
          <w:p w14:paraId="03DF0828">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417" w:type="dxa"/>
            <w:vAlign w:val="center"/>
          </w:tcPr>
          <w:p w14:paraId="7C6FD5F1">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408" w:type="dxa"/>
            <w:vAlign w:val="center"/>
          </w:tcPr>
          <w:p w14:paraId="26B8F424">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871" w:type="dxa"/>
            <w:vAlign w:val="center"/>
          </w:tcPr>
          <w:p w14:paraId="59A8C4A4">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7FC8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vAlign w:val="center"/>
          </w:tcPr>
          <w:p w14:paraId="482A5020">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701" w:type="dxa"/>
            <w:vAlign w:val="center"/>
          </w:tcPr>
          <w:p w14:paraId="3E9D9731">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993" w:type="dxa"/>
            <w:vAlign w:val="center"/>
          </w:tcPr>
          <w:p w14:paraId="275DC330">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417" w:type="dxa"/>
            <w:vAlign w:val="center"/>
          </w:tcPr>
          <w:p w14:paraId="612D907F">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408" w:type="dxa"/>
            <w:vAlign w:val="center"/>
          </w:tcPr>
          <w:p w14:paraId="71A928F4">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871" w:type="dxa"/>
            <w:vAlign w:val="center"/>
          </w:tcPr>
          <w:p w14:paraId="17181BCE">
            <w:pPr>
              <w:keepNext w:val="0"/>
              <w:keepLines w:val="0"/>
              <w:pageBreakBefore w:val="0"/>
              <w:widowControl/>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bl>
    <w:p w14:paraId="7788B711">
      <w:pPr>
        <w:pStyle w:val="16"/>
        <w:keepNext w:val="0"/>
        <w:keepLines w:val="0"/>
        <w:pageBreakBefore w:val="0"/>
        <w:widowControl/>
        <w:kinsoku/>
        <w:wordWrap/>
        <w:overflowPunct w:val="0"/>
        <w:topLinePunct w:val="0"/>
        <w:autoSpaceDE/>
        <w:autoSpaceDN/>
        <w:bidi w:val="0"/>
        <w:snapToGrid/>
        <w:spacing w:before="120" w:beforeLines="50" w:after="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注明：供应商应按招标文件要求，根据“采购需求”详细列出产品的各项技术要求、技术措施或处理（须提供“采购需求”中要求提交的证明资料）</w:t>
      </w:r>
    </w:p>
    <w:p w14:paraId="7942F41C">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2A262BE6">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18008BFA">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bl>
      <w:tblPr>
        <w:tblStyle w:val="45"/>
        <w:tblW w:w="5353" w:type="dxa"/>
        <w:tblInd w:w="0" w:type="dxa"/>
        <w:tblLayout w:type="fixed"/>
        <w:tblCellMar>
          <w:top w:w="0" w:type="dxa"/>
          <w:left w:w="108" w:type="dxa"/>
          <w:bottom w:w="0" w:type="dxa"/>
          <w:right w:w="108" w:type="dxa"/>
        </w:tblCellMar>
      </w:tblPr>
      <w:tblGrid>
        <w:gridCol w:w="5353"/>
      </w:tblGrid>
      <w:tr w14:paraId="5AA988F3">
        <w:tblPrEx>
          <w:tblCellMar>
            <w:top w:w="0" w:type="dxa"/>
            <w:left w:w="108" w:type="dxa"/>
            <w:bottom w:w="0" w:type="dxa"/>
            <w:right w:w="108" w:type="dxa"/>
          </w:tblCellMar>
        </w:tblPrEx>
        <w:tc>
          <w:tcPr>
            <w:tcW w:w="5353" w:type="dxa"/>
            <w:shd w:val="clear" w:color="auto" w:fill="auto"/>
          </w:tcPr>
          <w:p w14:paraId="2A09B71C">
            <w:pPr>
              <w:keepNext w:val="0"/>
              <w:keepLines w:val="0"/>
              <w:pageBreakBefore w:val="0"/>
              <w:widowControl/>
              <w:kinsoku/>
              <w:wordWrap/>
              <w:overflowPunct w:val="0"/>
              <w:topLinePunct w:val="0"/>
              <w:autoSpaceDE/>
              <w:autoSpaceDN/>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r>
      <w:tr w14:paraId="1F72E7D3">
        <w:tblPrEx>
          <w:tblCellMar>
            <w:top w:w="0" w:type="dxa"/>
            <w:left w:w="108" w:type="dxa"/>
            <w:bottom w:w="0" w:type="dxa"/>
            <w:right w:w="108" w:type="dxa"/>
          </w:tblCellMar>
        </w:tblPrEx>
        <w:tc>
          <w:tcPr>
            <w:tcW w:w="5353" w:type="dxa"/>
            <w:shd w:val="clear" w:color="auto" w:fill="auto"/>
          </w:tcPr>
          <w:p w14:paraId="6598E709">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4673856D">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tc>
      </w:tr>
    </w:tbl>
    <w:p w14:paraId="23A5E801">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bookmarkEnd w:id="61"/>
    <w:bookmarkEnd w:id="62"/>
    <w:p w14:paraId="79A7EC5E">
      <w:pP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p>
    <w:p w14:paraId="3D77EF17">
      <w:pPr>
        <w:spacing w:line="360" w:lineRule="auto"/>
        <w:jc w:val="center"/>
        <w:rPr>
          <w:rFonts w:hint="eastAsia" w:ascii="宋体" w:hAnsi="宋体" w:eastAsia="宋体" w:cs="宋体"/>
          <w:b/>
          <w:color w:val="auto"/>
          <w:sz w:val="36"/>
          <w:szCs w:val="36"/>
          <w:highlight w:val="none"/>
        </w:rPr>
      </w:pPr>
    </w:p>
    <w:p w14:paraId="131B097B">
      <w:pPr>
        <w:numPr>
          <w:ilvl w:val="0"/>
          <w:numId w:val="0"/>
        </w:numPr>
        <w:jc w:val="center"/>
        <w:rPr>
          <w:rFonts w:hint="eastAsia"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eastAsia="zh-CN"/>
        </w:rPr>
        <w:t>十四、</w:t>
      </w:r>
      <w:r>
        <w:rPr>
          <w:rFonts w:hint="eastAsia" w:ascii="宋体" w:hAnsi="宋体" w:eastAsia="宋体" w:cs="宋体"/>
          <w:b/>
          <w:color w:val="auto"/>
          <w:sz w:val="36"/>
          <w:szCs w:val="36"/>
          <w:highlight w:val="none"/>
          <w:lang w:val="en-US" w:eastAsia="zh-CN"/>
        </w:rPr>
        <w:t>售后服务承诺书</w:t>
      </w:r>
    </w:p>
    <w:p w14:paraId="5808C38A">
      <w:pPr>
        <w:pStyle w:val="16"/>
        <w:numPr>
          <w:ilvl w:val="0"/>
          <w:numId w:val="0"/>
        </w:numPr>
        <w:rPr>
          <w:rFonts w:hint="eastAsia"/>
          <w:color w:val="auto"/>
          <w:highlight w:val="none"/>
          <w:lang w:val="en-US" w:eastAsia="zh-CN"/>
        </w:rPr>
      </w:pPr>
    </w:p>
    <w:p w14:paraId="0971EEA6">
      <w:pPr>
        <w:pStyle w:val="16"/>
        <w:numPr>
          <w:ilvl w:val="0"/>
          <w:numId w:val="0"/>
        </w:numPr>
        <w:rPr>
          <w:rFonts w:hint="eastAsia"/>
          <w:color w:val="auto"/>
          <w:highlight w:val="none"/>
        </w:rPr>
      </w:pPr>
    </w:p>
    <w:p w14:paraId="725FF32E">
      <w:pPr>
        <w:pStyle w:val="17"/>
        <w:rPr>
          <w:rFonts w:hint="eastAsia"/>
          <w:color w:val="auto"/>
          <w:highlight w:val="none"/>
        </w:rPr>
      </w:pPr>
    </w:p>
    <w:p w14:paraId="0375781A">
      <w:pPr>
        <w:pStyle w:val="16"/>
        <w:keepNext w:val="0"/>
        <w:keepLines w:val="0"/>
        <w:pageBreakBefore w:val="0"/>
        <w:widowControl/>
        <w:kinsoku/>
        <w:wordWrap/>
        <w:overflowPunct w:val="0"/>
        <w:topLinePunct w:val="0"/>
        <w:bidi w:val="0"/>
        <w:snapToGrid/>
        <w:spacing w:before="120" w:beforeLines="50" w:after="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pacing w:val="10"/>
          <w:sz w:val="24"/>
          <w:szCs w:val="24"/>
          <w:highlight w:val="none"/>
        </w:rPr>
        <w:t>供应商需提供</w:t>
      </w:r>
      <w:r>
        <w:rPr>
          <w:rFonts w:hint="eastAsia" w:ascii="宋体" w:hAnsi="宋体" w:eastAsia="宋体" w:cs="宋体"/>
          <w:b/>
          <w:color w:val="auto"/>
          <w:spacing w:val="10"/>
          <w:sz w:val="24"/>
          <w:szCs w:val="24"/>
          <w:highlight w:val="none"/>
          <w:lang w:val="en-US" w:eastAsia="zh-CN"/>
        </w:rPr>
        <w:t>售后服务承诺书</w:t>
      </w:r>
      <w:r>
        <w:rPr>
          <w:rFonts w:hint="eastAsia" w:ascii="宋体" w:hAnsi="宋体" w:eastAsia="宋体" w:cs="宋体"/>
          <w:b/>
          <w:color w:val="auto"/>
          <w:spacing w:val="10"/>
          <w:sz w:val="24"/>
          <w:szCs w:val="24"/>
          <w:highlight w:val="none"/>
        </w:rPr>
        <w:t>，格式自拟。</w:t>
      </w:r>
    </w:p>
    <w:p w14:paraId="2FF1B461">
      <w:pPr>
        <w:rPr>
          <w:rFonts w:hint="eastAsia"/>
          <w:color w:val="auto"/>
          <w:highlight w:val="none"/>
        </w:rPr>
      </w:pPr>
    </w:p>
    <w:p w14:paraId="69AC02A7">
      <w:pPr>
        <w:pStyle w:val="16"/>
        <w:rPr>
          <w:rFonts w:hint="eastAsia"/>
          <w:color w:val="auto"/>
          <w:highlight w:val="none"/>
        </w:rPr>
      </w:pPr>
    </w:p>
    <w:p w14:paraId="6239708D">
      <w:pPr>
        <w:pStyle w:val="17"/>
        <w:rPr>
          <w:rFonts w:hint="eastAsia"/>
          <w:color w:val="auto"/>
          <w:highlight w:val="none"/>
        </w:rPr>
      </w:pPr>
    </w:p>
    <w:p w14:paraId="6F870A63">
      <w:pPr>
        <w:rPr>
          <w:rFonts w:hint="eastAsia"/>
          <w:color w:val="auto"/>
          <w:highlight w:val="none"/>
        </w:rPr>
      </w:pPr>
    </w:p>
    <w:p w14:paraId="5DDADE44">
      <w:pPr>
        <w:pStyle w:val="16"/>
        <w:rPr>
          <w:rFonts w:hint="eastAsia"/>
          <w:color w:val="auto"/>
          <w:highlight w:val="none"/>
        </w:rPr>
      </w:pPr>
    </w:p>
    <w:p w14:paraId="21036D6D">
      <w:pPr>
        <w:pStyle w:val="17"/>
        <w:rPr>
          <w:rFonts w:hint="eastAsia"/>
          <w:color w:val="auto"/>
          <w:highlight w:val="none"/>
        </w:rPr>
      </w:pPr>
    </w:p>
    <w:p w14:paraId="582D8800">
      <w:pPr>
        <w:rPr>
          <w:rFonts w:hint="eastAsia"/>
          <w:color w:val="auto"/>
          <w:highlight w:val="none"/>
        </w:rPr>
      </w:pPr>
    </w:p>
    <w:p w14:paraId="44E7A99E">
      <w:pPr>
        <w:pStyle w:val="16"/>
        <w:rPr>
          <w:rFonts w:hint="eastAsia"/>
          <w:color w:val="auto"/>
          <w:highlight w:val="none"/>
        </w:rPr>
      </w:pPr>
    </w:p>
    <w:p w14:paraId="1F2CC0AD">
      <w:pPr>
        <w:pStyle w:val="17"/>
        <w:rPr>
          <w:rFonts w:hint="eastAsia"/>
          <w:color w:val="auto"/>
          <w:highlight w:val="none"/>
        </w:rPr>
      </w:pPr>
    </w:p>
    <w:p w14:paraId="44769436">
      <w:pPr>
        <w:rPr>
          <w:rFonts w:hint="eastAsia"/>
          <w:color w:val="auto"/>
          <w:highlight w:val="none"/>
        </w:rPr>
      </w:pPr>
    </w:p>
    <w:p w14:paraId="157DF48C">
      <w:pPr>
        <w:pStyle w:val="16"/>
        <w:rPr>
          <w:rFonts w:hint="eastAsia"/>
          <w:color w:val="auto"/>
          <w:highlight w:val="none"/>
        </w:rPr>
      </w:pPr>
    </w:p>
    <w:p w14:paraId="0757BD5B">
      <w:pPr>
        <w:pStyle w:val="17"/>
        <w:rPr>
          <w:rFonts w:hint="eastAsia"/>
          <w:color w:val="auto"/>
          <w:highlight w:val="none"/>
        </w:rPr>
      </w:pPr>
    </w:p>
    <w:p w14:paraId="4B8BEBE2">
      <w:pPr>
        <w:rPr>
          <w:rFonts w:hint="eastAsia"/>
          <w:color w:val="auto"/>
          <w:highlight w:val="none"/>
        </w:rPr>
      </w:pPr>
    </w:p>
    <w:p w14:paraId="568D9607">
      <w:pPr>
        <w:pStyle w:val="16"/>
        <w:rPr>
          <w:rFonts w:hint="eastAsia"/>
          <w:color w:val="auto"/>
          <w:highlight w:val="none"/>
        </w:rPr>
      </w:pPr>
    </w:p>
    <w:p w14:paraId="4FD29EFC">
      <w:pPr>
        <w:pStyle w:val="17"/>
        <w:rPr>
          <w:rFonts w:hint="eastAsia"/>
          <w:color w:val="auto"/>
          <w:highlight w:val="none"/>
        </w:rPr>
      </w:pPr>
    </w:p>
    <w:p w14:paraId="51A09FE1">
      <w:pPr>
        <w:rPr>
          <w:rFonts w:hint="eastAsia"/>
          <w:color w:val="auto"/>
          <w:highlight w:val="none"/>
        </w:rPr>
      </w:pPr>
    </w:p>
    <w:p w14:paraId="55B9F4AE">
      <w:pPr>
        <w:pStyle w:val="16"/>
        <w:rPr>
          <w:rFonts w:hint="eastAsia"/>
          <w:color w:val="auto"/>
          <w:highlight w:val="none"/>
        </w:rPr>
      </w:pPr>
    </w:p>
    <w:p w14:paraId="5756A134">
      <w:pPr>
        <w:pStyle w:val="17"/>
        <w:rPr>
          <w:rFonts w:hint="eastAsia"/>
          <w:color w:val="auto"/>
          <w:highlight w:val="none"/>
        </w:rPr>
      </w:pPr>
    </w:p>
    <w:p w14:paraId="41F1D077">
      <w:pPr>
        <w:rPr>
          <w:rFonts w:hint="eastAsia"/>
          <w:color w:val="auto"/>
          <w:highlight w:val="none"/>
        </w:rPr>
      </w:pPr>
    </w:p>
    <w:p w14:paraId="7FED64C0">
      <w:pPr>
        <w:pStyle w:val="16"/>
        <w:rPr>
          <w:rFonts w:hint="eastAsia"/>
          <w:color w:val="auto"/>
          <w:highlight w:val="none"/>
        </w:rPr>
      </w:pPr>
    </w:p>
    <w:tbl>
      <w:tblPr>
        <w:tblStyle w:val="45"/>
        <w:tblW w:w="8528" w:type="dxa"/>
        <w:tblInd w:w="0" w:type="dxa"/>
        <w:tblLayout w:type="fixed"/>
        <w:tblCellMar>
          <w:top w:w="0" w:type="dxa"/>
          <w:left w:w="108" w:type="dxa"/>
          <w:bottom w:w="0" w:type="dxa"/>
          <w:right w:w="108" w:type="dxa"/>
        </w:tblCellMar>
      </w:tblPr>
      <w:tblGrid>
        <w:gridCol w:w="5353"/>
        <w:gridCol w:w="3175"/>
      </w:tblGrid>
      <w:tr w14:paraId="398C6B0B">
        <w:tblPrEx>
          <w:tblCellMar>
            <w:top w:w="0" w:type="dxa"/>
            <w:left w:w="108" w:type="dxa"/>
            <w:bottom w:w="0" w:type="dxa"/>
            <w:right w:w="108" w:type="dxa"/>
          </w:tblCellMar>
        </w:tblPrEx>
        <w:tc>
          <w:tcPr>
            <w:tcW w:w="5353" w:type="dxa"/>
            <w:shd w:val="clear" w:color="auto" w:fill="auto"/>
          </w:tcPr>
          <w:p w14:paraId="33C9DF48">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c>
          <w:tcPr>
            <w:tcW w:w="3175" w:type="dxa"/>
            <w:shd w:val="clear" w:color="auto" w:fill="auto"/>
          </w:tcPr>
          <w:p w14:paraId="0ACCC4E8">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rPr>
            </w:pPr>
          </w:p>
        </w:tc>
      </w:tr>
      <w:tr w14:paraId="441A2380">
        <w:tblPrEx>
          <w:tblCellMar>
            <w:top w:w="0" w:type="dxa"/>
            <w:left w:w="108" w:type="dxa"/>
            <w:bottom w:w="0" w:type="dxa"/>
            <w:right w:w="108" w:type="dxa"/>
          </w:tblCellMar>
        </w:tblPrEx>
        <w:tc>
          <w:tcPr>
            <w:tcW w:w="5353" w:type="dxa"/>
            <w:shd w:val="clear" w:color="auto" w:fill="auto"/>
          </w:tcPr>
          <w:p w14:paraId="3458F965">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法定代表人（签字）：</w:t>
            </w:r>
          </w:p>
        </w:tc>
        <w:tc>
          <w:tcPr>
            <w:tcW w:w="3175" w:type="dxa"/>
            <w:shd w:val="clear" w:color="auto" w:fill="auto"/>
          </w:tcPr>
          <w:p w14:paraId="33A8175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rPr>
            </w:pPr>
          </w:p>
        </w:tc>
      </w:tr>
      <w:tr w14:paraId="3F3D16B3">
        <w:tblPrEx>
          <w:tblCellMar>
            <w:top w:w="0" w:type="dxa"/>
            <w:left w:w="108" w:type="dxa"/>
            <w:bottom w:w="0" w:type="dxa"/>
            <w:right w:w="108" w:type="dxa"/>
          </w:tblCellMar>
        </w:tblPrEx>
        <w:tc>
          <w:tcPr>
            <w:tcW w:w="5353" w:type="dxa"/>
            <w:shd w:val="clear" w:color="auto" w:fill="auto"/>
          </w:tcPr>
          <w:p w14:paraId="7168084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rPr>
            </w:pPr>
          </w:p>
          <w:p w14:paraId="646066E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rPr>
            </w:pPr>
          </w:p>
          <w:p w14:paraId="3682858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c>
          <w:tcPr>
            <w:tcW w:w="3175" w:type="dxa"/>
            <w:shd w:val="clear" w:color="auto" w:fill="auto"/>
          </w:tcPr>
          <w:p w14:paraId="514B6CDE">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 w:val="24"/>
                <w:szCs w:val="24"/>
                <w:highlight w:val="none"/>
              </w:rPr>
            </w:pPr>
          </w:p>
        </w:tc>
      </w:tr>
    </w:tbl>
    <w:p w14:paraId="3AD333E5">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0126B00">
      <w:pPr>
        <w:pStyle w:val="16"/>
        <w:rPr>
          <w:rFonts w:hint="eastAsia"/>
          <w:color w:val="auto"/>
          <w:highlight w:val="none"/>
        </w:rPr>
      </w:pPr>
    </w:p>
    <w:p w14:paraId="3B1E36CA">
      <w:pPr>
        <w:spacing w:line="360" w:lineRule="auto"/>
        <w:jc w:val="both"/>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w:t>
      </w:r>
      <w:r>
        <w:rPr>
          <w:rFonts w:hint="eastAsia" w:ascii="宋体" w:hAnsi="宋体" w:cs="宋体"/>
          <w:b/>
          <w:color w:val="auto"/>
          <w:sz w:val="36"/>
          <w:szCs w:val="36"/>
          <w:highlight w:val="none"/>
          <w:lang w:eastAsia="zh-CN"/>
        </w:rPr>
        <w:t>五</w:t>
      </w:r>
      <w:r>
        <w:rPr>
          <w:rFonts w:hint="eastAsia" w:ascii="宋体" w:hAnsi="宋体" w:eastAsia="宋体" w:cs="宋体"/>
          <w:b/>
          <w:color w:val="auto"/>
          <w:sz w:val="36"/>
          <w:szCs w:val="36"/>
          <w:highlight w:val="none"/>
        </w:rPr>
        <w:t>、具备履行合同所必需设备和专业技术能力承诺书</w:t>
      </w:r>
    </w:p>
    <w:p w14:paraId="548D2EAB">
      <w:pPr>
        <w:keepNext w:val="0"/>
        <w:keepLines w:val="0"/>
        <w:pageBreakBefore w:val="0"/>
        <w:widowControl/>
        <w:kinsoku/>
        <w:wordWrap/>
        <w:topLinePunct w:val="0"/>
        <w:autoSpaceDE w:val="0"/>
        <w:autoSpaceDN w:val="0"/>
        <w:bidi w:val="0"/>
        <w:adjustRightInd w:val="0"/>
        <w:snapToGrid/>
        <w:spacing w:before="120" w:beforeLines="50" w:after="120" w:afterLines="50" w:line="288" w:lineRule="auto"/>
        <w:jc w:val="center"/>
        <w:textAlignment w:val="auto"/>
        <w:rPr>
          <w:rFonts w:hint="eastAsia" w:ascii="宋体" w:hAnsi="宋体" w:eastAsia="宋体" w:cs="宋体"/>
          <w:b/>
          <w:color w:val="auto"/>
          <w:sz w:val="24"/>
          <w:szCs w:val="24"/>
          <w:highlight w:val="none"/>
        </w:rPr>
      </w:pPr>
    </w:p>
    <w:p w14:paraId="3CCF4A73">
      <w:pPr>
        <w:pStyle w:val="16"/>
        <w:keepNext w:val="0"/>
        <w:keepLines w:val="0"/>
        <w:pageBreakBefore w:val="0"/>
        <w:widowControl/>
        <w:kinsoku/>
        <w:wordWrap/>
        <w:overflowPunct w:val="0"/>
        <w:topLinePunct w:val="0"/>
        <w:bidi w:val="0"/>
        <w:snapToGrid/>
        <w:spacing w:before="120" w:beforeLines="50" w:after="0" w:line="288" w:lineRule="auto"/>
        <w:textAlignment w:val="auto"/>
        <w:rPr>
          <w:rFonts w:hint="eastAsia" w:ascii="宋体" w:hAnsi="宋体" w:eastAsia="宋体" w:cs="宋体"/>
          <w:b/>
          <w:color w:val="auto"/>
          <w:spacing w:val="10"/>
          <w:sz w:val="24"/>
          <w:szCs w:val="24"/>
          <w:highlight w:val="none"/>
        </w:rPr>
      </w:pPr>
    </w:p>
    <w:p w14:paraId="10E5D56B">
      <w:pPr>
        <w:pStyle w:val="16"/>
        <w:keepNext w:val="0"/>
        <w:keepLines w:val="0"/>
        <w:pageBreakBefore w:val="0"/>
        <w:widowControl/>
        <w:kinsoku/>
        <w:wordWrap/>
        <w:overflowPunct w:val="0"/>
        <w:topLinePunct w:val="0"/>
        <w:bidi w:val="0"/>
        <w:snapToGrid/>
        <w:spacing w:before="120" w:beforeLines="50" w:after="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pacing w:val="10"/>
          <w:sz w:val="24"/>
          <w:szCs w:val="24"/>
          <w:highlight w:val="none"/>
        </w:rPr>
        <w:t>供应商需提供承诺书，格式自拟。</w:t>
      </w:r>
    </w:p>
    <w:p w14:paraId="6E703A07">
      <w:pPr>
        <w:pStyle w:val="16"/>
        <w:keepNext w:val="0"/>
        <w:keepLines w:val="0"/>
        <w:pageBreakBefore w:val="0"/>
        <w:widowControl/>
        <w:kinsoku/>
        <w:wordWrap/>
        <w:overflowPunct w:val="0"/>
        <w:topLinePunct w:val="0"/>
        <w:bidi w:val="0"/>
        <w:snapToGrid/>
        <w:spacing w:before="120" w:beforeLines="50" w:after="0" w:line="288" w:lineRule="auto"/>
        <w:textAlignment w:val="auto"/>
        <w:rPr>
          <w:rFonts w:hint="eastAsia" w:ascii="宋体" w:hAnsi="宋体" w:eastAsia="宋体" w:cs="宋体"/>
          <w:color w:val="auto"/>
          <w:sz w:val="24"/>
          <w:szCs w:val="24"/>
          <w:highlight w:val="none"/>
        </w:rPr>
      </w:pPr>
    </w:p>
    <w:p w14:paraId="64FB9872">
      <w:pPr>
        <w:pStyle w:val="16"/>
        <w:keepNext w:val="0"/>
        <w:keepLines w:val="0"/>
        <w:pageBreakBefore w:val="0"/>
        <w:widowControl/>
        <w:kinsoku/>
        <w:wordWrap/>
        <w:overflowPunct w:val="0"/>
        <w:topLinePunct w:val="0"/>
        <w:bidi w:val="0"/>
        <w:snapToGrid/>
        <w:spacing w:before="120" w:beforeLines="50" w:after="0" w:line="288" w:lineRule="auto"/>
        <w:textAlignment w:val="auto"/>
        <w:rPr>
          <w:rFonts w:hint="eastAsia" w:ascii="宋体" w:hAnsi="宋体" w:eastAsia="宋体" w:cs="宋体"/>
          <w:color w:val="auto"/>
          <w:sz w:val="24"/>
          <w:szCs w:val="24"/>
          <w:highlight w:val="none"/>
        </w:rPr>
      </w:pPr>
    </w:p>
    <w:p w14:paraId="5BB2EAF3">
      <w:pPr>
        <w:pStyle w:val="17"/>
        <w:rPr>
          <w:rFonts w:hint="eastAsia" w:ascii="宋体" w:hAnsi="宋体" w:eastAsia="宋体" w:cs="宋体"/>
          <w:color w:val="auto"/>
          <w:sz w:val="24"/>
          <w:szCs w:val="24"/>
          <w:highlight w:val="none"/>
        </w:rPr>
      </w:pPr>
    </w:p>
    <w:p w14:paraId="03C7D148">
      <w:pPr>
        <w:rPr>
          <w:rFonts w:hint="eastAsia" w:ascii="宋体" w:hAnsi="宋体" w:eastAsia="宋体" w:cs="宋体"/>
          <w:color w:val="auto"/>
          <w:sz w:val="24"/>
          <w:szCs w:val="24"/>
          <w:highlight w:val="none"/>
        </w:rPr>
      </w:pPr>
    </w:p>
    <w:p w14:paraId="5C1AB126">
      <w:pPr>
        <w:pStyle w:val="3"/>
        <w:rPr>
          <w:rFonts w:hint="eastAsia" w:ascii="宋体" w:hAnsi="宋体" w:eastAsia="宋体" w:cs="宋体"/>
          <w:color w:val="auto"/>
          <w:sz w:val="24"/>
          <w:szCs w:val="24"/>
          <w:highlight w:val="none"/>
        </w:rPr>
      </w:pPr>
    </w:p>
    <w:p w14:paraId="6872065F">
      <w:pPr>
        <w:rPr>
          <w:rFonts w:hint="eastAsia" w:ascii="宋体" w:hAnsi="宋体" w:eastAsia="宋体" w:cs="宋体"/>
          <w:color w:val="auto"/>
          <w:sz w:val="24"/>
          <w:szCs w:val="24"/>
          <w:highlight w:val="none"/>
        </w:rPr>
      </w:pPr>
    </w:p>
    <w:p w14:paraId="1A21CA52">
      <w:pPr>
        <w:pStyle w:val="3"/>
        <w:rPr>
          <w:rFonts w:hint="eastAsia" w:ascii="宋体" w:hAnsi="宋体" w:eastAsia="宋体" w:cs="宋体"/>
          <w:color w:val="auto"/>
          <w:sz w:val="24"/>
          <w:szCs w:val="24"/>
          <w:highlight w:val="none"/>
        </w:rPr>
      </w:pPr>
    </w:p>
    <w:p w14:paraId="43DE2362">
      <w:pPr>
        <w:rPr>
          <w:rFonts w:hint="eastAsia"/>
          <w:color w:val="auto"/>
          <w:highlight w:val="none"/>
        </w:rPr>
      </w:pPr>
    </w:p>
    <w:p w14:paraId="78304FB8">
      <w:pPr>
        <w:keepNext w:val="0"/>
        <w:keepLines w:val="0"/>
        <w:pageBreakBefore w:val="0"/>
        <w:widowControl/>
        <w:kinsoku/>
        <w:wordWrap/>
        <w:topLinePunct w:val="0"/>
        <w:bidi w:val="0"/>
        <w:snapToGrid/>
        <w:spacing w:line="288" w:lineRule="auto"/>
        <w:textAlignment w:val="auto"/>
        <w:rPr>
          <w:rFonts w:hint="eastAsia" w:ascii="宋体" w:hAnsi="宋体" w:eastAsia="宋体" w:cs="宋体"/>
          <w:color w:val="auto"/>
          <w:sz w:val="24"/>
          <w:szCs w:val="24"/>
          <w:highlight w:val="none"/>
        </w:rPr>
      </w:pPr>
    </w:p>
    <w:p w14:paraId="01652CAF">
      <w:pPr>
        <w:keepNext w:val="0"/>
        <w:keepLines w:val="0"/>
        <w:pageBreakBefore w:val="0"/>
        <w:widowControl/>
        <w:kinsoku/>
        <w:wordWrap/>
        <w:topLinePunct w:val="0"/>
        <w:bidi w:val="0"/>
        <w:snapToGrid/>
        <w:spacing w:line="288" w:lineRule="auto"/>
        <w:textAlignment w:val="auto"/>
        <w:rPr>
          <w:rFonts w:hint="eastAsia" w:ascii="宋体" w:hAnsi="宋体" w:eastAsia="宋体" w:cs="宋体"/>
          <w:color w:val="auto"/>
          <w:sz w:val="24"/>
          <w:szCs w:val="24"/>
          <w:highlight w:val="none"/>
        </w:rPr>
      </w:pPr>
    </w:p>
    <w:tbl>
      <w:tblPr>
        <w:tblStyle w:val="45"/>
        <w:tblW w:w="8528" w:type="dxa"/>
        <w:tblInd w:w="0" w:type="dxa"/>
        <w:tblLayout w:type="fixed"/>
        <w:tblCellMar>
          <w:top w:w="0" w:type="dxa"/>
          <w:left w:w="108" w:type="dxa"/>
          <w:bottom w:w="0" w:type="dxa"/>
          <w:right w:w="108" w:type="dxa"/>
        </w:tblCellMar>
      </w:tblPr>
      <w:tblGrid>
        <w:gridCol w:w="2802"/>
        <w:gridCol w:w="5726"/>
      </w:tblGrid>
      <w:tr w14:paraId="14BE9A86">
        <w:tblPrEx>
          <w:tblCellMar>
            <w:top w:w="0" w:type="dxa"/>
            <w:left w:w="108" w:type="dxa"/>
            <w:bottom w:w="0" w:type="dxa"/>
            <w:right w:w="108" w:type="dxa"/>
          </w:tblCellMar>
        </w:tblPrEx>
        <w:tc>
          <w:tcPr>
            <w:tcW w:w="2802" w:type="dxa"/>
            <w:shd w:val="clear" w:color="auto" w:fill="auto"/>
          </w:tcPr>
          <w:p w14:paraId="3B28390D">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c>
        <w:tc>
          <w:tcPr>
            <w:tcW w:w="5726" w:type="dxa"/>
            <w:shd w:val="clear" w:color="auto" w:fill="auto"/>
          </w:tcPr>
          <w:p w14:paraId="69063D14">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r>
      <w:tr w14:paraId="66A77656">
        <w:tblPrEx>
          <w:tblCellMar>
            <w:top w:w="0" w:type="dxa"/>
            <w:left w:w="108" w:type="dxa"/>
            <w:bottom w:w="0" w:type="dxa"/>
            <w:right w:w="108" w:type="dxa"/>
          </w:tblCellMar>
        </w:tblPrEx>
        <w:tc>
          <w:tcPr>
            <w:tcW w:w="2802" w:type="dxa"/>
            <w:shd w:val="clear" w:color="auto" w:fill="auto"/>
          </w:tcPr>
          <w:p w14:paraId="079154D2">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c>
        <w:tc>
          <w:tcPr>
            <w:tcW w:w="5726" w:type="dxa"/>
            <w:shd w:val="clear" w:color="auto" w:fill="auto"/>
          </w:tcPr>
          <w:p w14:paraId="0CBB421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p w14:paraId="686D4462">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法定代表人或被授权人（签名或盖章）：</w:t>
            </w:r>
          </w:p>
        </w:tc>
      </w:tr>
      <w:tr w14:paraId="715BB8AA">
        <w:tblPrEx>
          <w:tblCellMar>
            <w:top w:w="0" w:type="dxa"/>
            <w:left w:w="108" w:type="dxa"/>
            <w:bottom w:w="0" w:type="dxa"/>
            <w:right w:w="108" w:type="dxa"/>
          </w:tblCellMar>
        </w:tblPrEx>
        <w:tc>
          <w:tcPr>
            <w:tcW w:w="2802" w:type="dxa"/>
            <w:shd w:val="clear" w:color="auto" w:fill="auto"/>
          </w:tcPr>
          <w:p w14:paraId="4C174C6A">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c>
        <w:tc>
          <w:tcPr>
            <w:tcW w:w="5726" w:type="dxa"/>
            <w:shd w:val="clear" w:color="auto" w:fill="auto"/>
          </w:tcPr>
          <w:p w14:paraId="4164F4ED">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p w14:paraId="57606F39">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r>
    </w:tbl>
    <w:p w14:paraId="3E523DF3">
      <w:pPr>
        <w:keepNext w:val="0"/>
        <w:keepLines w:val="0"/>
        <w:pageBreakBefore w:val="0"/>
        <w:widowControl/>
        <w:kinsoku/>
        <w:wordWrap/>
        <w:topLinePunct w:val="0"/>
        <w:bidi w:val="0"/>
        <w:snapToGrid/>
        <w:spacing w:line="288" w:lineRule="auto"/>
        <w:textAlignment w:val="auto"/>
        <w:rPr>
          <w:rFonts w:hint="eastAsia" w:ascii="宋体" w:hAnsi="宋体" w:eastAsia="宋体" w:cs="宋体"/>
          <w:color w:val="auto"/>
          <w:sz w:val="24"/>
          <w:szCs w:val="24"/>
          <w:highlight w:val="none"/>
        </w:rPr>
      </w:pPr>
    </w:p>
    <w:p w14:paraId="1FB31E10">
      <w:pPr>
        <w:keepNext w:val="0"/>
        <w:keepLines w:val="0"/>
        <w:pageBreakBefore w:val="0"/>
        <w:widowControl/>
        <w:kinsoku/>
        <w:wordWrap/>
        <w:topLinePunct w:val="0"/>
        <w:bidi w:val="0"/>
        <w:snapToGrid/>
        <w:spacing w:line="288" w:lineRule="auto"/>
        <w:textAlignment w:val="auto"/>
        <w:rPr>
          <w:rFonts w:hint="eastAsia" w:ascii="宋体" w:hAnsi="宋体" w:eastAsia="宋体" w:cs="宋体"/>
          <w:color w:val="auto"/>
          <w:sz w:val="24"/>
          <w:szCs w:val="24"/>
          <w:highlight w:val="none"/>
        </w:rPr>
      </w:pPr>
    </w:p>
    <w:p w14:paraId="4FBDE00F">
      <w:pPr>
        <w:spacing w:line="360" w:lineRule="auto"/>
        <w:rPr>
          <w:rFonts w:hint="eastAsia" w:ascii="宋体" w:hAnsi="宋体" w:eastAsia="宋体" w:cs="宋体"/>
          <w:color w:val="auto"/>
          <w:szCs w:val="21"/>
          <w:highlight w:val="none"/>
        </w:rPr>
      </w:pPr>
    </w:p>
    <w:p w14:paraId="6BE5D54C">
      <w:pPr>
        <w:spacing w:line="360" w:lineRule="auto"/>
        <w:rPr>
          <w:rFonts w:hint="eastAsia" w:ascii="宋体" w:hAnsi="宋体" w:eastAsia="宋体" w:cs="宋体"/>
          <w:color w:val="auto"/>
          <w:szCs w:val="21"/>
          <w:highlight w:val="none"/>
        </w:rPr>
      </w:pPr>
    </w:p>
    <w:p w14:paraId="59BDC0BF">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62BAFD4">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w:t>
      </w:r>
      <w:r>
        <w:rPr>
          <w:rFonts w:hint="eastAsia" w:ascii="宋体" w:hAnsi="宋体" w:cs="宋体"/>
          <w:b/>
          <w:color w:val="auto"/>
          <w:sz w:val="36"/>
          <w:szCs w:val="36"/>
          <w:highlight w:val="none"/>
          <w:lang w:eastAsia="zh-CN"/>
        </w:rPr>
        <w:t>六</w:t>
      </w:r>
      <w:r>
        <w:rPr>
          <w:rFonts w:hint="eastAsia" w:ascii="宋体" w:hAnsi="宋体" w:eastAsia="宋体" w:cs="宋体"/>
          <w:b/>
          <w:color w:val="auto"/>
          <w:sz w:val="36"/>
          <w:szCs w:val="36"/>
          <w:highlight w:val="none"/>
        </w:rPr>
        <w:t>、项目实施方案</w:t>
      </w:r>
    </w:p>
    <w:p w14:paraId="4C2017E3">
      <w:pPr>
        <w:rPr>
          <w:rFonts w:hint="eastAsia" w:ascii="宋体" w:hAnsi="宋体" w:eastAsia="宋体" w:cs="宋体"/>
          <w:color w:val="auto"/>
          <w:sz w:val="32"/>
          <w:szCs w:val="32"/>
          <w:highlight w:val="none"/>
        </w:rPr>
      </w:pPr>
    </w:p>
    <w:p w14:paraId="00400BB5">
      <w:pPr>
        <w:rPr>
          <w:rFonts w:hint="eastAsia" w:ascii="宋体" w:hAnsi="宋体" w:eastAsia="宋体" w:cs="宋体"/>
          <w:b/>
          <w:color w:val="auto"/>
          <w:spacing w:val="20"/>
          <w:sz w:val="30"/>
          <w:szCs w:val="30"/>
          <w:highlight w:val="none"/>
        </w:rPr>
      </w:pPr>
      <w:r>
        <w:rPr>
          <w:rFonts w:hint="eastAsia" w:ascii="宋体" w:hAnsi="宋体" w:eastAsia="宋体" w:cs="宋体"/>
          <w:b/>
          <w:color w:val="auto"/>
          <w:spacing w:val="20"/>
          <w:sz w:val="30"/>
          <w:szCs w:val="30"/>
          <w:highlight w:val="none"/>
        </w:rPr>
        <w:br w:type="page"/>
      </w:r>
    </w:p>
    <w:p w14:paraId="206D80D7">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w:t>
      </w:r>
      <w:r>
        <w:rPr>
          <w:rFonts w:hint="eastAsia" w:ascii="宋体" w:hAnsi="宋体" w:cs="宋体"/>
          <w:b/>
          <w:color w:val="auto"/>
          <w:sz w:val="36"/>
          <w:szCs w:val="36"/>
          <w:highlight w:val="none"/>
          <w:lang w:val="en-US" w:eastAsia="zh-CN"/>
        </w:rPr>
        <w:t>七</w:t>
      </w:r>
      <w:r>
        <w:rPr>
          <w:rFonts w:hint="eastAsia" w:ascii="宋体" w:hAnsi="宋体" w:eastAsia="宋体" w:cs="宋体"/>
          <w:b/>
          <w:color w:val="auto"/>
          <w:sz w:val="36"/>
          <w:szCs w:val="36"/>
          <w:highlight w:val="none"/>
        </w:rPr>
        <w:t>、供应商认为有必要提供的其他材料</w:t>
      </w:r>
    </w:p>
    <w:p w14:paraId="59759734">
      <w:pPr>
        <w:rPr>
          <w:rFonts w:hint="eastAsia" w:ascii="宋体" w:hAnsi="宋体" w:eastAsia="宋体" w:cs="宋体"/>
          <w:b/>
          <w:color w:val="auto"/>
          <w:szCs w:val="21"/>
          <w:highlight w:val="none"/>
        </w:rPr>
      </w:pPr>
    </w:p>
    <w:p w14:paraId="3C02D063">
      <w:pPr>
        <w:jc w:val="center"/>
        <w:rPr>
          <w:rFonts w:hint="eastAsia" w:ascii="宋体" w:hAnsi="宋体" w:eastAsia="宋体" w:cs="宋体"/>
          <w:b/>
          <w:color w:val="auto"/>
          <w:szCs w:val="21"/>
          <w:highlight w:val="none"/>
        </w:rPr>
      </w:pPr>
    </w:p>
    <w:p w14:paraId="35F76DE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供应商按招标文件要求自行填写，不作统一格式要求。</w:t>
      </w:r>
    </w:p>
    <w:p w14:paraId="7AD1598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4756E90">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left"/>
        <w:rPr>
          <w:rFonts w:hint="eastAsia" w:ascii="宋体" w:hAnsi="宋体" w:eastAsia="宋体" w:cs="宋体"/>
          <w:b/>
          <w:color w:val="auto"/>
          <w:sz w:val="32"/>
          <w:szCs w:val="32"/>
          <w:highlight w:val="none"/>
          <w:lang w:val="en-US" w:eastAsia="zh-CN" w:bidi="ar-SA"/>
        </w:rPr>
      </w:pPr>
      <w:r>
        <w:rPr>
          <w:rFonts w:hint="eastAsia" w:ascii="宋体" w:hAnsi="宋体" w:eastAsia="宋体" w:cs="宋体"/>
          <w:b/>
          <w:color w:val="auto"/>
          <w:sz w:val="24"/>
          <w:szCs w:val="24"/>
          <w:highlight w:val="none"/>
          <w:lang w:val="en-US" w:eastAsia="zh-CN" w:bidi="ar-SA"/>
        </w:rPr>
        <w:t>附件</w:t>
      </w:r>
    </w:p>
    <w:p w14:paraId="2E9F59FF">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rFonts w:ascii="宋体" w:hAnsi="宋体" w:eastAsia="宋体" w:cs="宋体"/>
          <w:b/>
          <w:color w:val="auto"/>
          <w:sz w:val="32"/>
          <w:szCs w:val="32"/>
          <w:highlight w:val="none"/>
          <w:lang w:val="en-US" w:eastAsia="zh-CN" w:bidi="ar-SA"/>
        </w:rPr>
      </w:pPr>
      <w:r>
        <w:rPr>
          <w:rFonts w:ascii="宋体" w:hAnsi="宋体" w:eastAsia="宋体" w:cs="宋体"/>
          <w:b/>
          <w:color w:val="auto"/>
          <w:sz w:val="32"/>
          <w:szCs w:val="32"/>
          <w:highlight w:val="none"/>
          <w:lang w:val="en-US" w:eastAsia="zh-CN" w:bidi="ar-SA"/>
        </w:rPr>
        <w:t>关于符合本国产品标准的声明函</w:t>
      </w:r>
    </w:p>
    <w:p w14:paraId="3D580084">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14:paraId="21E72A91">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本公司（单位）郑重声明，根据《国务院办公厅关于在政府采购中实施本国产品标准及相关政策的通知》（国办发〔2025〕34号）的规定，本公司（单位）提供的以下产品属于本国产品。具体情况如下：</w:t>
      </w:r>
    </w:p>
    <w:p w14:paraId="338C85E1">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1.</w:t>
      </w:r>
      <w:r>
        <w:rPr>
          <w:rStyle w:val="51"/>
          <w:sz w:val="24"/>
          <w:szCs w:val="24"/>
          <w:u w:val="single"/>
        </w:rPr>
        <w:t>（产品名称1）</w:t>
      </w:r>
      <w:r>
        <w:rPr>
          <w:rStyle w:val="51"/>
          <w:sz w:val="24"/>
          <w:szCs w:val="24"/>
          <w:u w:val="none"/>
          <w:vertAlign w:val="superscript"/>
        </w:rPr>
        <w:t>1</w:t>
      </w:r>
      <w:r>
        <w:rPr>
          <w:sz w:val="24"/>
          <w:szCs w:val="24"/>
        </w:rPr>
        <w:t>，生产厂为</w:t>
      </w:r>
      <w:r>
        <w:rPr>
          <w:rStyle w:val="51"/>
          <w:sz w:val="24"/>
          <w:szCs w:val="24"/>
          <w:u w:val="single"/>
        </w:rPr>
        <w:t>（厂名）</w:t>
      </w:r>
      <w:r>
        <w:rPr>
          <w:rStyle w:val="51"/>
          <w:sz w:val="24"/>
          <w:szCs w:val="24"/>
          <w:u w:val="none"/>
          <w:vertAlign w:val="superscript"/>
        </w:rPr>
        <w:t>2</w:t>
      </w:r>
      <w:r>
        <w:rPr>
          <w:sz w:val="24"/>
          <w:szCs w:val="24"/>
        </w:rPr>
        <w:t>，厂址为</w:t>
      </w:r>
      <w:r>
        <w:rPr>
          <w:rStyle w:val="51"/>
          <w:sz w:val="24"/>
          <w:szCs w:val="24"/>
          <w:u w:val="single"/>
        </w:rPr>
        <w:t>（生产厂址）</w:t>
      </w:r>
      <w:r>
        <w:rPr>
          <w:sz w:val="24"/>
          <w:szCs w:val="24"/>
        </w:rPr>
        <w:t>。</w:t>
      </w:r>
      <w:r>
        <w:rPr>
          <w:rStyle w:val="51"/>
          <w:sz w:val="24"/>
          <w:szCs w:val="24"/>
          <w:u w:val="single"/>
        </w:rPr>
        <w:t>（产品名称1）</w:t>
      </w:r>
      <w:r>
        <w:rPr>
          <w:sz w:val="24"/>
          <w:szCs w:val="24"/>
        </w:rPr>
        <w:t>的中国境内生产的组件成本占比≥</w:t>
      </w:r>
      <w:r>
        <w:rPr>
          <w:rStyle w:val="51"/>
          <w:sz w:val="24"/>
          <w:szCs w:val="24"/>
          <w:u w:val="single"/>
        </w:rPr>
        <w:t>（规定比例）</w:t>
      </w:r>
      <w:r>
        <w:rPr>
          <w:rStyle w:val="51"/>
          <w:sz w:val="24"/>
          <w:szCs w:val="24"/>
          <w:u w:val="none"/>
          <w:vertAlign w:val="superscript"/>
        </w:rPr>
        <w:t>3</w:t>
      </w:r>
      <w:r>
        <w:rPr>
          <w:sz w:val="24"/>
          <w:szCs w:val="24"/>
        </w:rPr>
        <w:t>。</w:t>
      </w:r>
      <w:r>
        <w:rPr>
          <w:rStyle w:val="51"/>
          <w:sz w:val="24"/>
          <w:szCs w:val="24"/>
          <w:u w:val="single"/>
        </w:rPr>
        <w:t>（产品名称1）</w:t>
      </w:r>
      <w:r>
        <w:rPr>
          <w:sz w:val="24"/>
          <w:szCs w:val="24"/>
        </w:rPr>
        <w:t>的</w:t>
      </w:r>
      <w:r>
        <w:rPr>
          <w:rStyle w:val="51"/>
          <w:sz w:val="24"/>
          <w:szCs w:val="24"/>
          <w:u w:val="single"/>
        </w:rPr>
        <w:t>（关键组件）</w:t>
      </w:r>
      <w:r>
        <w:rPr>
          <w:rStyle w:val="51"/>
          <w:sz w:val="24"/>
          <w:szCs w:val="24"/>
          <w:u w:val="none"/>
          <w:vertAlign w:val="superscript"/>
        </w:rPr>
        <w:t>4</w:t>
      </w:r>
      <w:r>
        <w:rPr>
          <w:sz w:val="24"/>
          <w:szCs w:val="24"/>
        </w:rPr>
        <w:t>在中国境内生产。</w:t>
      </w:r>
      <w:r>
        <w:rPr>
          <w:rStyle w:val="51"/>
          <w:sz w:val="24"/>
          <w:szCs w:val="24"/>
          <w:u w:val="single"/>
        </w:rPr>
        <w:t>（产品名称1）</w:t>
      </w:r>
      <w:r>
        <w:rPr>
          <w:sz w:val="24"/>
          <w:szCs w:val="24"/>
        </w:rPr>
        <w:t>的</w:t>
      </w:r>
      <w:r>
        <w:rPr>
          <w:rStyle w:val="51"/>
          <w:sz w:val="24"/>
          <w:szCs w:val="24"/>
          <w:u w:val="single"/>
        </w:rPr>
        <w:t>（关键工序）</w:t>
      </w:r>
      <w:r>
        <w:rPr>
          <w:rStyle w:val="51"/>
          <w:sz w:val="24"/>
          <w:szCs w:val="24"/>
          <w:u w:val="none"/>
          <w:vertAlign w:val="superscript"/>
        </w:rPr>
        <w:t>5</w:t>
      </w:r>
      <w:r>
        <w:rPr>
          <w:sz w:val="24"/>
          <w:szCs w:val="24"/>
        </w:rPr>
        <w:t>在中国境内完成。</w:t>
      </w:r>
    </w:p>
    <w:p w14:paraId="7E0FBB0D">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2.</w:t>
      </w:r>
      <w:r>
        <w:rPr>
          <w:rStyle w:val="51"/>
          <w:sz w:val="24"/>
          <w:szCs w:val="24"/>
          <w:u w:val="single"/>
        </w:rPr>
        <w:t>（产品名称2）</w:t>
      </w:r>
      <w:r>
        <w:rPr>
          <w:sz w:val="24"/>
          <w:szCs w:val="24"/>
        </w:rPr>
        <w:t>，生产厂为</w:t>
      </w:r>
      <w:r>
        <w:rPr>
          <w:rStyle w:val="51"/>
          <w:sz w:val="24"/>
          <w:szCs w:val="24"/>
          <w:u w:val="single"/>
        </w:rPr>
        <w:t>（厂名）</w:t>
      </w:r>
      <w:r>
        <w:rPr>
          <w:sz w:val="24"/>
          <w:szCs w:val="24"/>
        </w:rPr>
        <w:t>，厂址为</w:t>
      </w:r>
      <w:r>
        <w:rPr>
          <w:rStyle w:val="51"/>
          <w:sz w:val="24"/>
          <w:szCs w:val="24"/>
          <w:u w:val="single"/>
        </w:rPr>
        <w:t>（生产厂址）</w:t>
      </w:r>
      <w:r>
        <w:rPr>
          <w:sz w:val="24"/>
          <w:szCs w:val="24"/>
        </w:rPr>
        <w:t>。</w:t>
      </w:r>
      <w:r>
        <w:rPr>
          <w:rStyle w:val="51"/>
          <w:sz w:val="24"/>
          <w:szCs w:val="24"/>
          <w:u w:val="single"/>
        </w:rPr>
        <w:t>（产品名称2）</w:t>
      </w:r>
      <w:r>
        <w:rPr>
          <w:sz w:val="24"/>
          <w:szCs w:val="24"/>
        </w:rPr>
        <w:t>的中国境内生产的组件成本占比≥</w:t>
      </w:r>
      <w:r>
        <w:rPr>
          <w:rStyle w:val="51"/>
          <w:sz w:val="24"/>
          <w:szCs w:val="24"/>
          <w:u w:val="single"/>
        </w:rPr>
        <w:t>（规定比例）</w:t>
      </w:r>
      <w:r>
        <w:rPr>
          <w:sz w:val="24"/>
          <w:szCs w:val="24"/>
        </w:rPr>
        <w:t>。</w:t>
      </w:r>
      <w:r>
        <w:rPr>
          <w:rStyle w:val="51"/>
          <w:sz w:val="24"/>
          <w:szCs w:val="24"/>
          <w:u w:val="single"/>
        </w:rPr>
        <w:t>（产品名称2）</w:t>
      </w:r>
      <w:r>
        <w:rPr>
          <w:sz w:val="24"/>
          <w:szCs w:val="24"/>
        </w:rPr>
        <w:t>的</w:t>
      </w:r>
      <w:r>
        <w:rPr>
          <w:rStyle w:val="51"/>
          <w:sz w:val="24"/>
          <w:szCs w:val="24"/>
          <w:u w:val="single"/>
        </w:rPr>
        <w:t>（关键组件）</w:t>
      </w:r>
      <w:r>
        <w:rPr>
          <w:sz w:val="24"/>
          <w:szCs w:val="24"/>
        </w:rPr>
        <w:t>在中国境内生产。</w:t>
      </w:r>
      <w:r>
        <w:rPr>
          <w:rStyle w:val="51"/>
          <w:sz w:val="24"/>
          <w:szCs w:val="24"/>
          <w:u w:val="single"/>
        </w:rPr>
        <w:t>（产品名称2）</w:t>
      </w:r>
      <w:r>
        <w:rPr>
          <w:sz w:val="24"/>
          <w:szCs w:val="24"/>
        </w:rPr>
        <w:t>的</w:t>
      </w:r>
      <w:r>
        <w:rPr>
          <w:rStyle w:val="51"/>
          <w:sz w:val="24"/>
          <w:szCs w:val="24"/>
          <w:u w:val="single"/>
        </w:rPr>
        <w:t>（关键工序）</w:t>
      </w:r>
      <w:r>
        <w:rPr>
          <w:sz w:val="24"/>
          <w:szCs w:val="24"/>
        </w:rPr>
        <w:t>在中国境内完成。</w:t>
      </w:r>
    </w:p>
    <w:p w14:paraId="43F1BA1C">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w:t>
      </w:r>
    </w:p>
    <w:p w14:paraId="75CEB2E1">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本公司（单位）对上述声明内容的真实性负责。如有虚假，愿承担相应法律责任。</w:t>
      </w:r>
    </w:p>
    <w:p w14:paraId="30D2FBE7">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pPr>
    </w:p>
    <w:p w14:paraId="39F2B4A6">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pPr>
      <w:r>
        <w:rPr>
          <w:sz w:val="24"/>
          <w:szCs w:val="24"/>
        </w:rPr>
        <w:t>公司（单位）名称（盖章）：　        </w:t>
      </w:r>
    </w:p>
    <w:p w14:paraId="4B6EFADB">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rPr>
          <w:sz w:val="24"/>
          <w:szCs w:val="24"/>
        </w:rPr>
      </w:pPr>
      <w:r>
        <w:rPr>
          <w:sz w:val="24"/>
          <w:szCs w:val="24"/>
        </w:rPr>
        <w:t>日期：　     年　  月　  日   </w:t>
      </w:r>
    </w:p>
    <w:p w14:paraId="7FEBDDA6">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rPr>
          <w:sz w:val="24"/>
          <w:szCs w:val="24"/>
        </w:rPr>
      </w:pPr>
    </w:p>
    <w:p w14:paraId="710AF51F">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rPr>
          <w:sz w:val="24"/>
          <w:szCs w:val="24"/>
        </w:rPr>
      </w:pPr>
    </w:p>
    <w:p w14:paraId="0782A369">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rPr>
          <w:sz w:val="24"/>
          <w:szCs w:val="24"/>
        </w:rPr>
      </w:pPr>
    </w:p>
    <w:p w14:paraId="012794B5">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rPr>
          <w:sz w:val="24"/>
          <w:szCs w:val="24"/>
        </w:rPr>
      </w:pPr>
    </w:p>
    <w:p w14:paraId="2F9A34CB">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rPr>
          <w:sz w:val="24"/>
          <w:szCs w:val="24"/>
        </w:rPr>
      </w:pPr>
    </w:p>
    <w:p w14:paraId="1F2152FA">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pPr>
      <w:r>
        <w:rPr>
          <w:sz w:val="24"/>
          <w:szCs w:val="24"/>
        </w:rPr>
        <w:t>      </w:t>
      </w:r>
    </w:p>
    <w:p w14:paraId="5B67D6A2">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left"/>
      </w:pPr>
      <w:r>
        <w:rPr>
          <w:sz w:val="24"/>
          <w:szCs w:val="24"/>
        </w:rPr>
        <w:t>__________________</w:t>
      </w:r>
    </w:p>
    <w:p w14:paraId="70762D27">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sz w:val="21"/>
          <w:szCs w:val="21"/>
        </w:rPr>
      </w:pPr>
      <w:r>
        <w:rPr>
          <w:sz w:val="21"/>
          <w:szCs w:val="21"/>
        </w:rPr>
        <w:t>1.产品如有型号，请在“产品名称”栏一并填写。</w:t>
      </w:r>
    </w:p>
    <w:p w14:paraId="7C12DFA8">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sz w:val="21"/>
          <w:szCs w:val="21"/>
        </w:rPr>
      </w:pPr>
      <w:r>
        <w:rPr>
          <w:sz w:val="21"/>
          <w:szCs w:val="21"/>
        </w:rPr>
        <w:t>2.生产厂名与厂址应与生产厂营业执照载明的相关信息保持一致。</w:t>
      </w:r>
    </w:p>
    <w:p w14:paraId="2D0DD95C">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sz w:val="21"/>
          <w:szCs w:val="21"/>
        </w:rPr>
      </w:pPr>
      <w:r>
        <w:rPr>
          <w:sz w:val="21"/>
          <w:szCs w:val="21"/>
        </w:rPr>
        <w:t>3.该产品的中国境内生产的组件成本占比相关要求实施前，“规定比例”栏可不填，下同。</w:t>
      </w:r>
    </w:p>
    <w:p w14:paraId="238300E2">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sz w:val="21"/>
          <w:szCs w:val="21"/>
        </w:rPr>
      </w:pPr>
      <w:r>
        <w:rPr>
          <w:sz w:val="21"/>
          <w:szCs w:val="21"/>
        </w:rPr>
        <w:t>4.该产品的关键组件要求实施前，“关键组件”栏可不填，下同。</w:t>
      </w:r>
    </w:p>
    <w:p w14:paraId="38084302">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sz w:val="21"/>
          <w:szCs w:val="21"/>
        </w:rPr>
      </w:pPr>
      <w:r>
        <w:rPr>
          <w:sz w:val="21"/>
          <w:szCs w:val="21"/>
        </w:rPr>
        <w:t>5.该产品的关键工序要求实施前，“关键工序”栏可不填，下同。</w:t>
      </w:r>
    </w:p>
    <w:p w14:paraId="5F75F3AF">
      <w:pPr>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br w:type="page"/>
      </w:r>
    </w:p>
    <w:p w14:paraId="069A08D2">
      <w:pPr>
        <w:jc w:val="center"/>
        <w:rPr>
          <w:rFonts w:hint="eastAsia" w:ascii="宋体" w:hAnsi="宋体" w:eastAsia="宋体" w:cs="宋体"/>
          <w:b/>
          <w:color w:val="auto"/>
          <w:sz w:val="32"/>
          <w:szCs w:val="32"/>
          <w:highlight w:val="none"/>
          <w:lang w:val="en-US" w:eastAsia="zh-CN" w:bidi="ar-SA"/>
        </w:rPr>
      </w:pPr>
    </w:p>
    <w:p w14:paraId="33B16D86">
      <w:pPr>
        <w:jc w:val="center"/>
        <w:rPr>
          <w:rFonts w:hint="eastAsia" w:ascii="宋体" w:hAnsi="宋体" w:eastAsia="宋体" w:cs="宋体"/>
          <w:b/>
          <w:color w:val="auto"/>
          <w:sz w:val="32"/>
          <w:szCs w:val="32"/>
          <w:highlight w:val="none"/>
          <w:lang w:val="en-US" w:eastAsia="zh-CN" w:bidi="ar-SA"/>
        </w:rPr>
      </w:pPr>
      <w:r>
        <w:rPr>
          <w:rFonts w:hint="eastAsia" w:ascii="宋体" w:hAnsi="宋体" w:eastAsia="宋体" w:cs="宋体"/>
          <w:b/>
          <w:color w:val="auto"/>
          <w:sz w:val="32"/>
          <w:szCs w:val="32"/>
          <w:highlight w:val="none"/>
          <w:lang w:val="en-US" w:eastAsia="zh-CN" w:bidi="ar-SA"/>
        </w:rPr>
        <w:t>关于本国产品比例的承诺函（如适用）</w:t>
      </w:r>
    </w:p>
    <w:p w14:paraId="4D332175">
      <w:pPr>
        <w:rPr>
          <w:rFonts w:hint="eastAsia" w:ascii="宋体" w:hAnsi="宋体" w:cs="宋体"/>
          <w:b/>
          <w:color w:val="auto"/>
          <w:sz w:val="24"/>
          <w:szCs w:val="24"/>
          <w:highlight w:val="none"/>
          <w:lang w:eastAsia="zh-CN"/>
        </w:rPr>
      </w:pPr>
    </w:p>
    <w:p w14:paraId="40B4DEC4">
      <w:pPr>
        <w:rPr>
          <w:rFonts w:hint="eastAsia" w:ascii="宋体" w:hAnsi="宋体" w:cs="宋体"/>
          <w:b/>
          <w:color w:val="auto"/>
          <w:sz w:val="24"/>
          <w:szCs w:val="24"/>
          <w:highlight w:val="none"/>
          <w:lang w:eastAsia="zh-CN"/>
        </w:rPr>
      </w:pPr>
    </w:p>
    <w:p w14:paraId="73EE0DC5">
      <w:pPr>
        <w:spacing w:line="360" w:lineRule="auto"/>
        <w:rPr>
          <w:rFonts w:hint="eastAsia" w:ascii="Times New Roman" w:hAnsi="Times New Roman" w:eastAsia="宋体" w:cs="Times New Roman"/>
          <w:sz w:val="24"/>
          <w:szCs w:val="24"/>
          <w:lang w:val="en-US" w:eastAsia="zh-CN" w:bidi="ar-SA"/>
        </w:rPr>
      </w:pPr>
    </w:p>
    <w:p w14:paraId="41D1E8A0">
      <w:pPr>
        <w:spacing w:line="360" w:lineRule="auto"/>
        <w:ind w:firstLine="480" w:firstLineChars="200"/>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本公司(单位)郑重声明，根据《国务院办公厅关于在政府采购中实施本国产品标准及相关政策的通知》(国办发(2025)34 号)的规定，本公司(单位)提供的符合本国产品标准的产品成本之和占提供的全部产品成本之和的比例达到80%以上。</w:t>
      </w:r>
    </w:p>
    <w:p w14:paraId="03E3036A">
      <w:pPr>
        <w:spacing w:line="360" w:lineRule="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本公司(单位)对上述承诺内容的真实性负责。如有虚假，愿承担相应法律责任。</w:t>
      </w:r>
    </w:p>
    <w:p w14:paraId="0CF4004D">
      <w:pPr>
        <w:spacing w:line="360" w:lineRule="auto"/>
        <w:rPr>
          <w:rFonts w:hint="eastAsia" w:ascii="Times New Roman" w:hAnsi="Times New Roman" w:eastAsia="宋体" w:cs="Times New Roman"/>
          <w:sz w:val="24"/>
          <w:szCs w:val="24"/>
          <w:lang w:val="en-US" w:eastAsia="zh-CN" w:bidi="ar-SA"/>
        </w:rPr>
      </w:pPr>
    </w:p>
    <w:p w14:paraId="3F911AAC">
      <w:pPr>
        <w:spacing w:line="360" w:lineRule="auto"/>
        <w:rPr>
          <w:rFonts w:hint="eastAsia" w:ascii="Times New Roman" w:hAnsi="Times New Roman" w:eastAsia="宋体" w:cs="Times New Roman"/>
          <w:sz w:val="24"/>
          <w:szCs w:val="24"/>
          <w:lang w:val="en-US" w:eastAsia="zh-CN" w:bidi="ar-SA"/>
        </w:rPr>
      </w:pPr>
    </w:p>
    <w:p w14:paraId="2C8765E3">
      <w:pPr>
        <w:spacing w:line="360" w:lineRule="auto"/>
        <w:rPr>
          <w:rFonts w:hint="eastAsia" w:ascii="Times New Roman" w:hAnsi="Times New Roman" w:eastAsia="宋体" w:cs="Times New Roman"/>
          <w:sz w:val="24"/>
          <w:szCs w:val="24"/>
          <w:lang w:val="en-US" w:eastAsia="zh-CN" w:bidi="ar-SA"/>
        </w:rPr>
      </w:pPr>
    </w:p>
    <w:p w14:paraId="6AEE67D6">
      <w:pPr>
        <w:spacing w:line="360" w:lineRule="auto"/>
        <w:rPr>
          <w:rFonts w:hint="eastAsia" w:ascii="Times New Roman" w:hAnsi="Times New Roman" w:eastAsia="宋体" w:cs="Times New Roman"/>
          <w:sz w:val="24"/>
          <w:szCs w:val="24"/>
          <w:lang w:val="en-US" w:eastAsia="zh-CN" w:bidi="ar-SA"/>
        </w:rPr>
      </w:pPr>
    </w:p>
    <w:p w14:paraId="7CBA6A6F">
      <w:pPr>
        <w:spacing w:line="360" w:lineRule="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公司（单位）名称（盖章）：      </w:t>
      </w:r>
    </w:p>
    <w:p w14:paraId="629821C4">
      <w:pPr>
        <w:spacing w:line="360" w:lineRule="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日期：　　　　　年　　月　日</w:t>
      </w:r>
    </w:p>
    <w:p w14:paraId="77C07A07">
      <w:pPr>
        <w:spacing w:line="360" w:lineRule="auto"/>
        <w:rPr>
          <w:rFonts w:hint="eastAsia" w:ascii="Times New Roman" w:hAnsi="Times New Roman" w:eastAsia="宋体" w:cs="Times New Roman"/>
          <w:sz w:val="24"/>
          <w:szCs w:val="24"/>
          <w:lang w:val="en-US" w:eastAsia="zh-CN" w:bidi="ar-SA"/>
        </w:rPr>
      </w:pPr>
    </w:p>
    <w:p w14:paraId="302D4CB6">
      <w:pPr>
        <w:spacing w:line="360" w:lineRule="auto"/>
        <w:rPr>
          <w:rFonts w:hint="eastAsia" w:ascii="Times New Roman" w:hAnsi="Times New Roman" w:eastAsia="宋体" w:cs="Times New Roman"/>
          <w:sz w:val="24"/>
          <w:szCs w:val="24"/>
          <w:lang w:val="en-US" w:eastAsia="zh-CN" w:bidi="ar-SA"/>
        </w:rPr>
      </w:pPr>
    </w:p>
    <w:p w14:paraId="69188D2F">
      <w:pPr>
        <w:spacing w:line="360" w:lineRule="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注：当采购项目或采购包中含有多种产品，符合有关政策的，供应商还应当提供本承诺函。</w:t>
      </w:r>
    </w:p>
    <w:p w14:paraId="553CDB7B">
      <w:pPr>
        <w:spacing w:line="360" w:lineRule="auto"/>
        <w:rPr>
          <w:rFonts w:hint="eastAsia" w:ascii="Times New Roman" w:hAnsi="Times New Roman" w:eastAsia="宋体" w:cs="Times New Roman"/>
          <w:sz w:val="24"/>
          <w:szCs w:val="24"/>
          <w:lang w:val="en-US" w:eastAsia="zh-CN" w:bidi="ar-SA"/>
        </w:rPr>
      </w:pPr>
    </w:p>
    <w:p w14:paraId="5515A423">
      <w:pPr>
        <w:spacing w:line="360" w:lineRule="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br w:type="page"/>
      </w:r>
    </w:p>
    <w:p w14:paraId="2B55A3B0">
      <w:pPr>
        <w:jc w:val="both"/>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附件</w:t>
      </w:r>
    </w:p>
    <w:p w14:paraId="31385464">
      <w:pPr>
        <w:jc w:val="center"/>
        <w:rPr>
          <w:rFonts w:ascii="宋体" w:hAnsi="宋体" w:cs="宋体"/>
          <w:b/>
          <w:color w:val="auto"/>
          <w:sz w:val="32"/>
          <w:szCs w:val="32"/>
          <w:highlight w:val="none"/>
        </w:rPr>
      </w:pPr>
      <w:r>
        <w:rPr>
          <w:rFonts w:ascii="宋体" w:hAnsi="宋体" w:cs="宋体"/>
          <w:b/>
          <w:color w:val="auto"/>
          <w:sz w:val="32"/>
          <w:szCs w:val="32"/>
          <w:highlight w:val="none"/>
        </w:rPr>
        <w:t>中小企业声明函（货物）</w:t>
      </w:r>
    </w:p>
    <w:p w14:paraId="60E0E1BE">
      <w:pPr>
        <w:pStyle w:val="44"/>
        <w:rPr>
          <w:rFonts w:ascii="宋体" w:hAnsi="宋体"/>
          <w:color w:val="auto"/>
          <w:szCs w:val="21"/>
          <w:highlight w:val="none"/>
          <w:u w:val="single"/>
        </w:rPr>
      </w:pPr>
    </w:p>
    <w:p w14:paraId="6B47C61F">
      <w:pPr>
        <w:pStyle w:val="16"/>
        <w:spacing w:after="0" w:line="440" w:lineRule="exact"/>
        <w:ind w:firstLine="400" w:firstLineChars="200"/>
        <w:rPr>
          <w:rFonts w:ascii="宋体" w:hAnsi="宋体"/>
          <w:color w:val="auto"/>
          <w:szCs w:val="21"/>
          <w:highlight w:val="none"/>
        </w:rPr>
      </w:pPr>
    </w:p>
    <w:p w14:paraId="53394D35">
      <w:pPr>
        <w:pStyle w:val="16"/>
        <w:spacing w:after="0" w:line="400" w:lineRule="exact"/>
        <w:ind w:firstLine="420" w:firstLineChars="200"/>
        <w:rPr>
          <w:rFonts w:ascii="宋体" w:hAnsi="宋体"/>
          <w:color w:val="auto"/>
          <w:sz w:val="21"/>
          <w:szCs w:val="21"/>
          <w:highlight w:val="none"/>
        </w:rPr>
      </w:pPr>
      <w:r>
        <w:rPr>
          <w:rFonts w:ascii="宋体" w:hAnsi="宋体"/>
          <w:color w:val="auto"/>
          <w:sz w:val="21"/>
          <w:szCs w:val="21"/>
          <w:highlight w:val="none"/>
        </w:rPr>
        <w:t>本公司</w:t>
      </w:r>
      <w:r>
        <w:rPr>
          <w:rFonts w:hint="eastAsia" w:ascii="宋体" w:hAnsi="宋体"/>
          <w:color w:val="auto"/>
          <w:sz w:val="21"/>
          <w:szCs w:val="21"/>
          <w:highlight w:val="none"/>
          <w:u w:val="single"/>
        </w:rPr>
        <w:t xml:space="preserve">                    </w:t>
      </w:r>
      <w:r>
        <w:rPr>
          <w:rFonts w:ascii="宋体" w:hAnsi="宋体"/>
          <w:color w:val="auto"/>
          <w:sz w:val="21"/>
          <w:szCs w:val="21"/>
          <w:highlight w:val="none"/>
        </w:rPr>
        <w:t>（联合体）郑重声明，根据《政府采购促进中小企业发展管理办法》（财库</w:t>
      </w:r>
      <w:r>
        <w:rPr>
          <w:rFonts w:hint="eastAsia" w:ascii="宋体" w:hAnsi="宋体"/>
          <w:color w:val="auto"/>
          <w:sz w:val="21"/>
          <w:szCs w:val="21"/>
          <w:highlight w:val="none"/>
        </w:rPr>
        <w:t>﹝</w:t>
      </w:r>
      <w:r>
        <w:rPr>
          <w:rFonts w:ascii="宋体" w:hAnsi="宋体"/>
          <w:color w:val="auto"/>
          <w:sz w:val="21"/>
          <w:szCs w:val="21"/>
          <w:highlight w:val="none"/>
        </w:rPr>
        <w:t>2020</w:t>
      </w:r>
      <w:r>
        <w:rPr>
          <w:rFonts w:hint="eastAsia" w:ascii="宋体" w:hAnsi="宋体"/>
          <w:color w:val="auto"/>
          <w:sz w:val="21"/>
          <w:szCs w:val="21"/>
          <w:highlight w:val="none"/>
        </w:rPr>
        <w:t>﹞</w:t>
      </w:r>
      <w:r>
        <w:rPr>
          <w:rFonts w:ascii="宋体" w:hAnsi="宋体"/>
          <w:color w:val="auto"/>
          <w:sz w:val="21"/>
          <w:szCs w:val="21"/>
          <w:highlight w:val="none"/>
        </w:rPr>
        <w:t>46 号）的规定，本公司</w:t>
      </w:r>
      <w:r>
        <w:rPr>
          <w:rFonts w:hint="eastAsia" w:ascii="宋体" w:hAnsi="宋体"/>
          <w:color w:val="auto"/>
          <w:sz w:val="21"/>
          <w:szCs w:val="21"/>
          <w:highlight w:val="none"/>
          <w:u w:val="single"/>
        </w:rPr>
        <w:t xml:space="preserve">                    </w:t>
      </w:r>
      <w:r>
        <w:rPr>
          <w:rFonts w:ascii="宋体" w:hAnsi="宋体"/>
          <w:color w:val="auto"/>
          <w:sz w:val="21"/>
          <w:szCs w:val="21"/>
          <w:highlight w:val="none"/>
        </w:rPr>
        <w:t>（联合体）参加</w:t>
      </w:r>
      <w:r>
        <w:rPr>
          <w:rFonts w:ascii="宋体" w:hAnsi="宋体"/>
          <w:i/>
          <w:color w:val="auto"/>
          <w:sz w:val="21"/>
          <w:szCs w:val="21"/>
          <w:highlight w:val="none"/>
          <w:u w:val="single"/>
        </w:rPr>
        <w:t>（单位名称）</w:t>
      </w:r>
      <w:r>
        <w:rPr>
          <w:rFonts w:ascii="宋体" w:hAnsi="宋体"/>
          <w:color w:val="auto"/>
          <w:sz w:val="21"/>
          <w:szCs w:val="21"/>
          <w:highlight w:val="none"/>
        </w:rPr>
        <w:t>的</w:t>
      </w:r>
      <w:r>
        <w:rPr>
          <w:rFonts w:ascii="宋体" w:hAnsi="宋体"/>
          <w:i/>
          <w:color w:val="auto"/>
          <w:sz w:val="21"/>
          <w:szCs w:val="21"/>
          <w:highlight w:val="none"/>
          <w:u w:val="single"/>
        </w:rPr>
        <w:t>（项目名称）</w:t>
      </w:r>
      <w:r>
        <w:rPr>
          <w:rFonts w:ascii="宋体" w:hAnsi="宋体"/>
          <w:color w:val="auto"/>
          <w:sz w:val="21"/>
          <w:szCs w:val="21"/>
          <w:highlight w:val="none"/>
        </w:rPr>
        <w:t>采购活动，提供的货物全部由符合政策要求的中小企业制造。相关企业（含联合体中的中小企业、签订分包意向协议的中小企业） 的具体情况如下：</w:t>
      </w:r>
    </w:p>
    <w:p w14:paraId="46A78F66">
      <w:pPr>
        <w:pStyle w:val="94"/>
        <w:tabs>
          <w:tab w:val="left" w:pos="1183"/>
          <w:tab w:val="left" w:pos="1484"/>
          <w:tab w:val="left" w:pos="4662"/>
          <w:tab w:val="left" w:pos="6903"/>
        </w:tabs>
        <w:spacing w:line="400" w:lineRule="exact"/>
        <w:ind w:left="0"/>
        <w:rPr>
          <w:rFonts w:ascii="宋体" w:hAnsi="宋体"/>
          <w:iCs/>
          <w:color w:val="auto"/>
          <w:szCs w:val="21"/>
          <w:highlight w:val="none"/>
        </w:rPr>
      </w:pPr>
      <w:r>
        <w:rPr>
          <w:rFonts w:hint="eastAsia" w:ascii="宋体" w:hAnsi="宋体"/>
          <w:iCs/>
          <w:color w:val="auto"/>
          <w:szCs w:val="21"/>
          <w:highlight w:val="none"/>
        </w:rPr>
        <w:t>1.</w:t>
      </w:r>
      <w:r>
        <w:rPr>
          <w:rFonts w:ascii="宋体" w:hAnsi="宋体"/>
          <w:i/>
          <w:color w:val="auto"/>
          <w:szCs w:val="21"/>
          <w:highlight w:val="none"/>
          <w:u w:val="single"/>
        </w:rPr>
        <w:t xml:space="preserve"> （ 标 的 名 称 ）</w:t>
      </w:r>
      <w:r>
        <w:rPr>
          <w:rFonts w:ascii="宋体" w:hAnsi="宋体"/>
          <w:iCs/>
          <w:color w:val="auto"/>
          <w:szCs w:val="21"/>
          <w:highlight w:val="none"/>
        </w:rPr>
        <w:t xml:space="preserve"> ， 属 于</w:t>
      </w:r>
      <w:r>
        <w:rPr>
          <w:rFonts w:ascii="宋体" w:hAnsi="宋体"/>
          <w:i/>
          <w:color w:val="auto"/>
          <w:kern w:val="0"/>
          <w:szCs w:val="21"/>
          <w:highlight w:val="none"/>
          <w:u w:val="single"/>
        </w:rPr>
        <w:t>（采购文件中明确的所属行业）</w:t>
      </w:r>
      <w:r>
        <w:rPr>
          <w:rFonts w:ascii="宋体" w:hAnsi="宋体"/>
          <w:iCs/>
          <w:color w:val="auto"/>
          <w:szCs w:val="21"/>
          <w:highlight w:val="none"/>
        </w:rPr>
        <w:t>；制造商为</w:t>
      </w:r>
      <w:r>
        <w:rPr>
          <w:rFonts w:ascii="宋体" w:hAnsi="宋体"/>
          <w:i/>
          <w:color w:val="auto"/>
          <w:szCs w:val="21"/>
          <w:highlight w:val="none"/>
          <w:u w:val="single"/>
        </w:rPr>
        <w:t>（企业名称）</w:t>
      </w:r>
      <w:r>
        <w:rPr>
          <w:rFonts w:ascii="宋体" w:hAnsi="宋体"/>
          <w:iCs/>
          <w:color w:val="auto"/>
          <w:szCs w:val="21"/>
          <w:highlight w:val="none"/>
        </w:rPr>
        <w:t>，从业人员</w:t>
      </w:r>
      <w:r>
        <w:rPr>
          <w:rFonts w:ascii="宋体" w:hAnsi="宋体"/>
          <w:iCs/>
          <w:color w:val="auto"/>
          <w:szCs w:val="21"/>
          <w:highlight w:val="none"/>
          <w:u w:val="single"/>
        </w:rPr>
        <w:t xml:space="preserve"> </w:t>
      </w:r>
      <w:r>
        <w:rPr>
          <w:rFonts w:hint="eastAsia" w:ascii="宋体" w:hAnsi="宋体"/>
          <w:iCs/>
          <w:color w:val="auto"/>
          <w:szCs w:val="21"/>
          <w:highlight w:val="none"/>
          <w:u w:val="single"/>
        </w:rPr>
        <w:t xml:space="preserve">   </w:t>
      </w:r>
      <w:r>
        <w:rPr>
          <w:rFonts w:ascii="宋体" w:hAnsi="宋体"/>
          <w:iCs/>
          <w:color w:val="auto"/>
          <w:szCs w:val="21"/>
          <w:highlight w:val="none"/>
        </w:rPr>
        <w:t>人，营业收入为</w:t>
      </w:r>
      <w:r>
        <w:rPr>
          <w:rFonts w:ascii="宋体" w:hAnsi="宋体"/>
          <w:iCs/>
          <w:color w:val="auto"/>
          <w:szCs w:val="21"/>
          <w:highlight w:val="none"/>
          <w:u w:val="single"/>
        </w:rPr>
        <w:t xml:space="preserve"> </w:t>
      </w:r>
      <w:r>
        <w:rPr>
          <w:rFonts w:hint="eastAsia" w:ascii="宋体" w:hAnsi="宋体"/>
          <w:iCs/>
          <w:color w:val="auto"/>
          <w:szCs w:val="21"/>
          <w:highlight w:val="none"/>
          <w:u w:val="single"/>
        </w:rPr>
        <w:t xml:space="preserve">  </w:t>
      </w:r>
      <w:r>
        <w:rPr>
          <w:rFonts w:ascii="宋体" w:hAnsi="宋体"/>
          <w:iCs/>
          <w:color w:val="auto"/>
          <w:szCs w:val="21"/>
          <w:highlight w:val="none"/>
        </w:rPr>
        <w:t>万元，资产总额为</w:t>
      </w:r>
      <w:r>
        <w:rPr>
          <w:rFonts w:ascii="宋体" w:hAnsi="宋体"/>
          <w:iCs/>
          <w:color w:val="auto"/>
          <w:szCs w:val="21"/>
          <w:highlight w:val="none"/>
          <w:u w:val="single"/>
        </w:rPr>
        <w:t xml:space="preserve"> </w:t>
      </w:r>
      <w:r>
        <w:rPr>
          <w:rFonts w:ascii="宋体" w:hAnsi="宋体"/>
          <w:iCs/>
          <w:color w:val="auto"/>
          <w:szCs w:val="21"/>
          <w:highlight w:val="none"/>
          <w:u w:val="single"/>
        </w:rPr>
        <w:tab/>
      </w:r>
      <w:r>
        <w:rPr>
          <w:rFonts w:ascii="宋体" w:hAnsi="宋体"/>
          <w:iCs/>
          <w:color w:val="auto"/>
          <w:szCs w:val="21"/>
          <w:highlight w:val="none"/>
        </w:rPr>
        <w:t>万元，属于</w:t>
      </w:r>
      <w:r>
        <w:rPr>
          <w:rFonts w:ascii="宋体" w:hAnsi="宋体"/>
          <w:i/>
          <w:color w:val="auto"/>
          <w:szCs w:val="21"/>
          <w:highlight w:val="none"/>
          <w:u w:val="single"/>
        </w:rPr>
        <w:t>（中型企业、小型企业、微型企业）</w:t>
      </w:r>
      <w:r>
        <w:rPr>
          <w:rFonts w:ascii="宋体" w:hAnsi="宋体"/>
          <w:iCs/>
          <w:color w:val="auto"/>
          <w:szCs w:val="21"/>
          <w:highlight w:val="none"/>
        </w:rPr>
        <w:t>；</w:t>
      </w:r>
    </w:p>
    <w:p w14:paraId="616A921C">
      <w:pPr>
        <w:pStyle w:val="94"/>
        <w:tabs>
          <w:tab w:val="left" w:pos="1183"/>
          <w:tab w:val="left" w:pos="1484"/>
          <w:tab w:val="left" w:pos="4662"/>
          <w:tab w:val="left" w:pos="6903"/>
        </w:tabs>
        <w:spacing w:line="400" w:lineRule="exact"/>
        <w:ind w:left="0"/>
        <w:rPr>
          <w:rFonts w:ascii="宋体" w:hAnsi="宋体"/>
          <w:iCs/>
          <w:color w:val="auto"/>
          <w:szCs w:val="21"/>
          <w:highlight w:val="none"/>
        </w:rPr>
      </w:pPr>
      <w:r>
        <w:rPr>
          <w:rFonts w:hint="eastAsia" w:ascii="宋体" w:hAnsi="宋体"/>
          <w:iCs/>
          <w:color w:val="auto"/>
          <w:szCs w:val="21"/>
          <w:highlight w:val="none"/>
        </w:rPr>
        <w:t>2.</w:t>
      </w:r>
      <w:r>
        <w:rPr>
          <w:rFonts w:ascii="宋体" w:hAnsi="宋体"/>
          <w:i/>
          <w:color w:val="auto"/>
          <w:szCs w:val="21"/>
          <w:highlight w:val="none"/>
          <w:u w:val="single"/>
        </w:rPr>
        <w:t xml:space="preserve"> （ 标 的 名 称 ）</w:t>
      </w:r>
      <w:r>
        <w:rPr>
          <w:rFonts w:ascii="宋体" w:hAnsi="宋体"/>
          <w:iCs/>
          <w:color w:val="auto"/>
          <w:szCs w:val="21"/>
          <w:highlight w:val="none"/>
        </w:rPr>
        <w:t xml:space="preserve"> ， 属 于</w:t>
      </w:r>
      <w:r>
        <w:rPr>
          <w:rFonts w:ascii="宋体" w:hAnsi="宋体"/>
          <w:i/>
          <w:color w:val="auto"/>
          <w:kern w:val="0"/>
          <w:szCs w:val="21"/>
          <w:highlight w:val="none"/>
          <w:u w:val="single"/>
        </w:rPr>
        <w:t>（采购文件中明确的所属行业）</w:t>
      </w:r>
      <w:r>
        <w:rPr>
          <w:rFonts w:ascii="宋体" w:hAnsi="宋体"/>
          <w:iCs/>
          <w:color w:val="auto"/>
          <w:szCs w:val="21"/>
          <w:highlight w:val="none"/>
        </w:rPr>
        <w:t>；制造商为</w:t>
      </w:r>
      <w:r>
        <w:rPr>
          <w:rFonts w:ascii="宋体" w:hAnsi="宋体"/>
          <w:i/>
          <w:color w:val="auto"/>
          <w:szCs w:val="21"/>
          <w:highlight w:val="none"/>
          <w:u w:val="single"/>
        </w:rPr>
        <w:t>（企业名称）</w:t>
      </w:r>
      <w:r>
        <w:rPr>
          <w:rFonts w:ascii="宋体" w:hAnsi="宋体"/>
          <w:iCs/>
          <w:color w:val="auto"/>
          <w:szCs w:val="21"/>
          <w:highlight w:val="none"/>
        </w:rPr>
        <w:t>，从业人员</w:t>
      </w:r>
      <w:r>
        <w:rPr>
          <w:rFonts w:ascii="宋体" w:hAnsi="宋体"/>
          <w:iCs/>
          <w:color w:val="auto"/>
          <w:szCs w:val="21"/>
          <w:highlight w:val="none"/>
          <w:u w:val="single"/>
        </w:rPr>
        <w:t xml:space="preserve"> </w:t>
      </w:r>
      <w:r>
        <w:rPr>
          <w:rFonts w:hint="eastAsia" w:ascii="宋体" w:hAnsi="宋体"/>
          <w:iCs/>
          <w:color w:val="auto"/>
          <w:szCs w:val="21"/>
          <w:highlight w:val="none"/>
          <w:u w:val="single"/>
        </w:rPr>
        <w:t xml:space="preserve">   </w:t>
      </w:r>
      <w:r>
        <w:rPr>
          <w:rFonts w:ascii="宋体" w:hAnsi="宋体"/>
          <w:iCs/>
          <w:color w:val="auto"/>
          <w:szCs w:val="21"/>
          <w:highlight w:val="none"/>
        </w:rPr>
        <w:t>人，营业收入为</w:t>
      </w:r>
      <w:r>
        <w:rPr>
          <w:rFonts w:ascii="宋体" w:hAnsi="宋体"/>
          <w:iCs/>
          <w:color w:val="auto"/>
          <w:szCs w:val="21"/>
          <w:highlight w:val="none"/>
          <w:u w:val="single"/>
        </w:rPr>
        <w:t xml:space="preserve"> </w:t>
      </w:r>
      <w:r>
        <w:rPr>
          <w:rFonts w:hint="eastAsia" w:ascii="宋体" w:hAnsi="宋体"/>
          <w:iCs/>
          <w:color w:val="auto"/>
          <w:szCs w:val="21"/>
          <w:highlight w:val="none"/>
          <w:u w:val="single"/>
        </w:rPr>
        <w:t xml:space="preserve">  </w:t>
      </w:r>
      <w:r>
        <w:rPr>
          <w:rFonts w:ascii="宋体" w:hAnsi="宋体"/>
          <w:iCs/>
          <w:color w:val="auto"/>
          <w:szCs w:val="21"/>
          <w:highlight w:val="none"/>
        </w:rPr>
        <w:t>万元，资产总额为</w:t>
      </w:r>
      <w:r>
        <w:rPr>
          <w:rFonts w:ascii="宋体" w:hAnsi="宋体"/>
          <w:iCs/>
          <w:color w:val="auto"/>
          <w:szCs w:val="21"/>
          <w:highlight w:val="none"/>
          <w:u w:val="single"/>
        </w:rPr>
        <w:t xml:space="preserve"> </w:t>
      </w:r>
      <w:r>
        <w:rPr>
          <w:rFonts w:ascii="宋体" w:hAnsi="宋体"/>
          <w:iCs/>
          <w:color w:val="auto"/>
          <w:szCs w:val="21"/>
          <w:highlight w:val="none"/>
          <w:u w:val="single"/>
        </w:rPr>
        <w:tab/>
      </w:r>
      <w:r>
        <w:rPr>
          <w:rFonts w:ascii="宋体" w:hAnsi="宋体"/>
          <w:iCs/>
          <w:color w:val="auto"/>
          <w:szCs w:val="21"/>
          <w:highlight w:val="none"/>
        </w:rPr>
        <w:t>万元，属于</w:t>
      </w:r>
      <w:r>
        <w:rPr>
          <w:rFonts w:ascii="宋体" w:hAnsi="宋体"/>
          <w:i/>
          <w:color w:val="auto"/>
          <w:szCs w:val="21"/>
          <w:highlight w:val="none"/>
          <w:u w:val="single"/>
        </w:rPr>
        <w:t>（中型企业、小型企业、微型企业）</w:t>
      </w:r>
      <w:r>
        <w:rPr>
          <w:rFonts w:ascii="宋体" w:hAnsi="宋体"/>
          <w:iCs/>
          <w:color w:val="auto"/>
          <w:szCs w:val="21"/>
          <w:highlight w:val="none"/>
        </w:rPr>
        <w:t>；</w:t>
      </w:r>
    </w:p>
    <w:p w14:paraId="382BB582">
      <w:pPr>
        <w:pStyle w:val="16"/>
        <w:spacing w:after="0" w:line="400" w:lineRule="exact"/>
        <w:ind w:firstLine="420" w:firstLineChars="200"/>
        <w:rPr>
          <w:rFonts w:ascii="宋体" w:hAnsi="宋体"/>
          <w:color w:val="auto"/>
          <w:sz w:val="21"/>
          <w:szCs w:val="21"/>
          <w:highlight w:val="none"/>
        </w:rPr>
      </w:pPr>
      <w:r>
        <w:rPr>
          <w:rFonts w:ascii="宋体" w:hAnsi="宋体"/>
          <w:color w:val="auto"/>
          <w:sz w:val="21"/>
          <w:szCs w:val="21"/>
          <w:highlight w:val="none"/>
        </w:rPr>
        <w:t>……</w:t>
      </w:r>
    </w:p>
    <w:p w14:paraId="18859684">
      <w:pPr>
        <w:pStyle w:val="16"/>
        <w:spacing w:after="0" w:line="400" w:lineRule="exact"/>
        <w:ind w:firstLine="420" w:firstLineChars="200"/>
        <w:rPr>
          <w:rFonts w:ascii="宋体" w:hAnsi="宋体"/>
          <w:color w:val="auto"/>
          <w:sz w:val="21"/>
          <w:szCs w:val="21"/>
          <w:highlight w:val="none"/>
        </w:rPr>
      </w:pPr>
      <w:r>
        <w:rPr>
          <w:rFonts w:ascii="宋体" w:hAnsi="宋体"/>
          <w:color w:val="auto"/>
          <w:sz w:val="21"/>
          <w:szCs w:val="21"/>
          <w:highlight w:val="none"/>
        </w:rPr>
        <w:t>以上企业，不属于大企业的分支机构，不存在控股股东为大企业的情形，也不存在与大企业的负责人为同一人的情形。</w:t>
      </w:r>
    </w:p>
    <w:p w14:paraId="33FFE35F">
      <w:pPr>
        <w:pStyle w:val="16"/>
        <w:spacing w:after="0" w:line="400" w:lineRule="exact"/>
        <w:ind w:firstLine="420" w:firstLineChars="200"/>
        <w:rPr>
          <w:rFonts w:ascii="宋体" w:hAnsi="宋体"/>
          <w:color w:val="auto"/>
          <w:sz w:val="21"/>
          <w:szCs w:val="21"/>
          <w:highlight w:val="none"/>
        </w:rPr>
      </w:pPr>
      <w:r>
        <w:rPr>
          <w:rFonts w:ascii="宋体" w:hAnsi="宋体"/>
          <w:color w:val="auto"/>
          <w:sz w:val="21"/>
          <w:szCs w:val="21"/>
          <w:highlight w:val="none"/>
        </w:rPr>
        <w:t>本企业对上述声明内容的真实性负责。如有虚假，将依法承担相应责任。</w:t>
      </w:r>
    </w:p>
    <w:p w14:paraId="7E47DD9F">
      <w:pPr>
        <w:spacing w:line="400" w:lineRule="exact"/>
        <w:ind w:firstLine="420" w:firstLineChars="200"/>
        <w:rPr>
          <w:rFonts w:ascii="宋体" w:hAnsi="宋体"/>
          <w:color w:val="auto"/>
          <w:sz w:val="21"/>
          <w:szCs w:val="21"/>
          <w:highlight w:val="none"/>
        </w:rPr>
      </w:pPr>
      <w:r>
        <w:rPr>
          <w:rFonts w:ascii="宋体" w:hAnsi="宋体"/>
          <w:color w:val="auto"/>
          <w:sz w:val="21"/>
          <w:szCs w:val="21"/>
          <w:highlight w:val="none"/>
        </w:rPr>
        <w:t>企业名称（盖章）：</w:t>
      </w:r>
    </w:p>
    <w:p w14:paraId="1CD18F21">
      <w:pPr>
        <w:spacing w:line="400" w:lineRule="exact"/>
        <w:ind w:firstLine="420" w:firstLineChars="200"/>
        <w:rPr>
          <w:rFonts w:ascii="宋体" w:hAnsi="宋体"/>
          <w:color w:val="auto"/>
          <w:sz w:val="21"/>
          <w:szCs w:val="21"/>
          <w:highlight w:val="none"/>
        </w:rPr>
      </w:pPr>
      <w:r>
        <w:rPr>
          <w:rFonts w:ascii="宋体" w:hAnsi="宋体"/>
          <w:color w:val="auto"/>
          <w:sz w:val="21"/>
          <w:szCs w:val="21"/>
          <w:highlight w:val="none"/>
        </w:rPr>
        <w:t>日期：</w:t>
      </w:r>
    </w:p>
    <w:p w14:paraId="644D872C">
      <w:pPr>
        <w:spacing w:line="225" w:lineRule="exact"/>
        <w:ind w:left="20"/>
        <w:rPr>
          <w:rFonts w:ascii="宋体" w:hAnsi="宋体"/>
          <w:color w:val="auto"/>
          <w:sz w:val="18"/>
          <w:highlight w:val="none"/>
        </w:rPr>
      </w:pPr>
    </w:p>
    <w:p w14:paraId="348C253D">
      <w:pPr>
        <w:spacing w:line="225" w:lineRule="exact"/>
        <w:ind w:left="20"/>
        <w:rPr>
          <w:rFonts w:ascii="宋体" w:hAnsi="宋体"/>
          <w:color w:val="auto"/>
          <w:sz w:val="18"/>
          <w:highlight w:val="none"/>
        </w:rPr>
      </w:pPr>
    </w:p>
    <w:p w14:paraId="020742F1">
      <w:pPr>
        <w:spacing w:line="225" w:lineRule="exact"/>
        <w:ind w:left="20"/>
        <w:rPr>
          <w:rFonts w:ascii="宋体" w:hAnsi="宋体"/>
          <w:color w:val="auto"/>
          <w:sz w:val="18"/>
          <w:highlight w:val="none"/>
        </w:rPr>
      </w:pPr>
    </w:p>
    <w:p w14:paraId="5A00E9F0">
      <w:pPr>
        <w:spacing w:line="225" w:lineRule="exact"/>
        <w:ind w:left="20"/>
        <w:rPr>
          <w:rFonts w:ascii="宋体" w:hAnsi="宋体"/>
          <w:color w:val="auto"/>
          <w:sz w:val="18"/>
          <w:highlight w:val="none"/>
        </w:rPr>
      </w:pPr>
    </w:p>
    <w:p w14:paraId="71A68B53">
      <w:pPr>
        <w:spacing w:line="225" w:lineRule="exact"/>
        <w:ind w:left="20"/>
        <w:rPr>
          <w:rFonts w:ascii="宋体" w:hAnsi="宋体"/>
          <w:color w:val="auto"/>
          <w:sz w:val="18"/>
          <w:highlight w:val="none"/>
        </w:rPr>
      </w:pPr>
    </w:p>
    <w:p w14:paraId="0AEBD65E">
      <w:pPr>
        <w:spacing w:line="225" w:lineRule="exact"/>
        <w:ind w:left="20"/>
        <w:rPr>
          <w:rFonts w:ascii="宋体" w:hAnsi="宋体"/>
          <w:color w:val="auto"/>
          <w:sz w:val="18"/>
          <w:highlight w:val="none"/>
        </w:rPr>
      </w:pPr>
    </w:p>
    <w:p w14:paraId="10FF8458">
      <w:pPr>
        <w:pStyle w:val="16"/>
        <w:spacing w:after="0" w:line="360" w:lineRule="auto"/>
        <w:ind w:firstLine="360" w:firstLineChars="200"/>
        <w:rPr>
          <w:rFonts w:ascii="宋体" w:hAnsi="宋体"/>
          <w:color w:val="auto"/>
          <w:sz w:val="18"/>
          <w:highlight w:val="none"/>
        </w:rPr>
      </w:pPr>
      <w:r>
        <w:rPr>
          <w:rFonts w:hint="eastAsia" w:ascii="宋体" w:hAnsi="宋体"/>
          <w:color w:val="auto"/>
          <w:sz w:val="18"/>
          <w:highlight w:val="none"/>
        </w:rPr>
        <w:t>注：1.从业人员、营业收入、资产总额填报上一年度数据，无上一年度数据的新成立企业可不填报。</w:t>
      </w:r>
    </w:p>
    <w:p w14:paraId="5E470298">
      <w:pPr>
        <w:pStyle w:val="16"/>
        <w:spacing w:after="0" w:line="360" w:lineRule="auto"/>
        <w:ind w:firstLine="720" w:firstLineChars="400"/>
        <w:rPr>
          <w:rFonts w:ascii="宋体" w:hAnsi="宋体"/>
          <w:b w:val="0"/>
          <w:bCs w:val="0"/>
          <w:color w:val="auto"/>
          <w:sz w:val="18"/>
          <w:highlight w:val="none"/>
        </w:rPr>
      </w:pPr>
      <w:r>
        <w:rPr>
          <w:rFonts w:hint="eastAsia" w:ascii="宋体" w:hAnsi="宋体"/>
          <w:color w:val="auto"/>
          <w:sz w:val="18"/>
          <w:highlight w:val="none"/>
        </w:rPr>
        <w:t>2.根据《政府采购促进中小企业发展管理办法》，在货物采购项目中，供应商提供的货物既有中小企业制造</w:t>
      </w:r>
      <w:r>
        <w:rPr>
          <w:rFonts w:hint="eastAsia" w:ascii="宋体" w:hAnsi="宋体"/>
          <w:b w:val="0"/>
          <w:bCs w:val="0"/>
          <w:color w:val="auto"/>
          <w:sz w:val="18"/>
          <w:highlight w:val="none"/>
        </w:rPr>
        <w:t>货物，也有大型企业制造货物的，不享受本办法规定的中小企业扶持政策。</w:t>
      </w:r>
    </w:p>
    <w:p w14:paraId="53516E10">
      <w:pPr>
        <w:ind w:firstLine="720" w:firstLineChars="400"/>
        <w:rPr>
          <w:rFonts w:ascii="宋体" w:hAnsi="宋体"/>
          <w:b w:val="0"/>
          <w:bCs w:val="0"/>
          <w:color w:val="auto"/>
          <w:sz w:val="18"/>
          <w:highlight w:val="none"/>
        </w:rPr>
      </w:pPr>
      <w:r>
        <w:rPr>
          <w:rFonts w:hint="eastAsia" w:ascii="宋体" w:hAnsi="宋体"/>
          <w:b w:val="0"/>
          <w:bCs w:val="0"/>
          <w:color w:val="auto"/>
          <w:sz w:val="18"/>
          <w:highlight w:val="none"/>
        </w:rPr>
        <w:t>3.本项目企业划分标准为“</w:t>
      </w:r>
      <w:r>
        <w:rPr>
          <w:rFonts w:hint="eastAsia" w:ascii="宋体" w:hAnsi="宋体"/>
          <w:b w:val="0"/>
          <w:bCs w:val="0"/>
          <w:color w:val="auto"/>
          <w:sz w:val="18"/>
          <w:highlight w:val="none"/>
          <w:lang w:val="en-US" w:eastAsia="zh-CN"/>
        </w:rPr>
        <w:t>制造业</w:t>
      </w:r>
      <w:r>
        <w:rPr>
          <w:rFonts w:hint="eastAsia" w:ascii="宋体" w:hAnsi="宋体"/>
          <w:b w:val="0"/>
          <w:bCs w:val="0"/>
          <w:color w:val="auto"/>
          <w:sz w:val="18"/>
          <w:highlight w:val="none"/>
        </w:rPr>
        <w:t>”行业。</w:t>
      </w:r>
    </w:p>
    <w:p w14:paraId="79637F9F">
      <w:pPr>
        <w:numPr>
          <w:ilvl w:val="0"/>
          <w:numId w:val="0"/>
        </w:num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9AEFFD4">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附件：</w:t>
      </w:r>
    </w:p>
    <w:p w14:paraId="2D331958">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政府采购促进中小企业发展管理办法</w:t>
      </w:r>
    </w:p>
    <w:p w14:paraId="474BCAED">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财库〔2020〕46号</w:t>
      </w:r>
    </w:p>
    <w:p w14:paraId="0738198E">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1"/>
          <w:szCs w:val="21"/>
          <w:highlight w:val="none"/>
          <w:lang w:val="en-US" w:eastAsia="zh-CN" w:bidi="ar"/>
        </w:rPr>
        <w:t xml:space="preserve">   </w:t>
      </w:r>
      <w:r>
        <w:rPr>
          <w:rStyle w:val="48"/>
          <w:rFonts w:hint="eastAsia" w:ascii="宋体" w:hAnsi="宋体" w:eastAsia="宋体" w:cs="宋体"/>
          <w:bCs w:val="0"/>
          <w:color w:val="auto"/>
          <w:kern w:val="0"/>
          <w:sz w:val="21"/>
          <w:szCs w:val="21"/>
          <w:highlight w:val="none"/>
          <w:lang w:val="en-US" w:eastAsia="zh-CN" w:bidi="ar"/>
        </w:rPr>
        <w:t>第一条</w:t>
      </w:r>
      <w:r>
        <w:rPr>
          <w:rFonts w:hint="eastAsia" w:ascii="宋体" w:hAnsi="宋体" w:eastAsia="宋体" w:cs="宋体"/>
          <w:b w:val="0"/>
          <w:bCs w:val="0"/>
          <w:color w:val="auto"/>
          <w:kern w:val="0"/>
          <w:sz w:val="21"/>
          <w:szCs w:val="21"/>
          <w:highlight w:val="none"/>
          <w:lang w:val="en-US" w:eastAsia="zh-CN" w:bidi="ar"/>
        </w:rPr>
        <w:t xml:space="preserve">  为了发挥政府采购的政策功能，促进中小企业健康发展，根据《中华人民共和国政府采购法》、《中华人民共和国中小企业促进法》等有关法律法规，制定本办法。</w:t>
      </w:r>
    </w:p>
    <w:p w14:paraId="2FB01D38">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第二条</w:t>
      </w:r>
      <w:r>
        <w:rPr>
          <w:rFonts w:hint="eastAsia" w:ascii="宋体" w:hAnsi="宋体" w:eastAsia="宋体" w:cs="宋体"/>
          <w:b w:val="0"/>
          <w:bCs w:val="0"/>
          <w:color w:val="auto"/>
          <w:kern w:val="0"/>
          <w:sz w:val="21"/>
          <w:szCs w:val="21"/>
          <w:highlight w:val="none"/>
          <w:lang w:val="en-US" w:eastAsia="zh-CN" w:bidi="ar"/>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15FA6AC">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符合中小企业划分标准的个体工商户，在政府采购活动中视同中小企业。</w:t>
      </w:r>
    </w:p>
    <w:p w14:paraId="0E6A68C3">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   </w:t>
      </w:r>
      <w:r>
        <w:rPr>
          <w:rStyle w:val="48"/>
          <w:rFonts w:hint="eastAsia" w:ascii="宋体" w:hAnsi="宋体" w:eastAsia="宋体" w:cs="宋体"/>
          <w:bCs w:val="0"/>
          <w:color w:val="auto"/>
          <w:kern w:val="0"/>
          <w:sz w:val="21"/>
          <w:szCs w:val="21"/>
          <w:highlight w:val="none"/>
          <w:lang w:val="en-US" w:eastAsia="zh-CN" w:bidi="ar"/>
        </w:rPr>
        <w:t xml:space="preserve"> 第三条</w:t>
      </w:r>
      <w:r>
        <w:rPr>
          <w:rFonts w:hint="eastAsia" w:ascii="宋体" w:hAnsi="宋体" w:eastAsia="宋体" w:cs="宋体"/>
          <w:b w:val="0"/>
          <w:bCs w:val="0"/>
          <w:color w:val="auto"/>
          <w:kern w:val="0"/>
          <w:sz w:val="21"/>
          <w:szCs w:val="21"/>
          <w:highlight w:val="none"/>
          <w:lang w:val="en-US" w:eastAsia="zh-CN" w:bidi="ar"/>
        </w:rPr>
        <w:t xml:space="preserve">  采购人在政府采购活动中应当通过加强采购需求管理，落实预留采购份额、价格评审优惠、优先采购等措施，提高中小企业在政府采购中的份额，支持中小企业发展。</w:t>
      </w:r>
    </w:p>
    <w:p w14:paraId="1AC5244F">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第四条</w:t>
      </w:r>
      <w:r>
        <w:rPr>
          <w:rFonts w:hint="eastAsia" w:ascii="宋体" w:hAnsi="宋体" w:eastAsia="宋体" w:cs="宋体"/>
          <w:b w:val="0"/>
          <w:bCs w:val="0"/>
          <w:color w:val="auto"/>
          <w:kern w:val="0"/>
          <w:sz w:val="21"/>
          <w:szCs w:val="21"/>
          <w:highlight w:val="none"/>
          <w:lang w:val="en-US" w:eastAsia="zh-CN" w:bidi="ar"/>
        </w:rPr>
        <w:t xml:space="preserve">  在政府采购活动中，供应商提供的货物、工程或者服务符合下列情形的，享受本办法规定的中小企业扶持政策：</w:t>
      </w:r>
    </w:p>
    <w:p w14:paraId="41C116CD">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（一）在货物采购项目中，货物由中小企业制造，即货物由中小企业生产且使用该中小企业商号或者注册商标；</w:t>
      </w:r>
    </w:p>
    <w:p w14:paraId="6330DB06">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（二）在工程采购项目中，工程由中小企业承建，即工程施工单位为中小企业；</w:t>
      </w:r>
    </w:p>
    <w:p w14:paraId="6B484658">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（三）在服务采购项目中，服务由中小企业承接，即提供服务的人员为中小企业依照《中华人民共和国劳动合同法》订立劳动合同的从业人员。</w:t>
      </w:r>
    </w:p>
    <w:p w14:paraId="2DC98A61">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在货物采购项目中，供应商提供的货物既有中小企业制造货物，也有大型企业制造货物的，不享受本办法规定的中小企业扶持政策。</w:t>
      </w:r>
    </w:p>
    <w:p w14:paraId="2C351170">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以联合体形式参加政府采购活动，联合体各方均为中小企业的，联合体视同中小企业。其中，联合体各方均为小微企业的，联合体视同小微企业。</w:t>
      </w:r>
    </w:p>
    <w:p w14:paraId="1EEE5D2C">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第五条</w:t>
      </w:r>
      <w:r>
        <w:rPr>
          <w:rFonts w:hint="eastAsia" w:ascii="宋体" w:hAnsi="宋体" w:eastAsia="宋体" w:cs="宋体"/>
          <w:b w:val="0"/>
          <w:bCs w:val="0"/>
          <w:color w:val="auto"/>
          <w:kern w:val="0"/>
          <w:sz w:val="21"/>
          <w:szCs w:val="21"/>
          <w:highlight w:val="none"/>
          <w:lang w:val="en-US" w:eastAsia="zh-CN" w:bidi="ar"/>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D0C6D4A">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第六条</w:t>
      </w:r>
      <w:r>
        <w:rPr>
          <w:rFonts w:hint="eastAsia" w:ascii="宋体" w:hAnsi="宋体" w:eastAsia="宋体" w:cs="宋体"/>
          <w:b w:val="0"/>
          <w:bCs w:val="0"/>
          <w:color w:val="auto"/>
          <w:kern w:val="0"/>
          <w:sz w:val="21"/>
          <w:szCs w:val="21"/>
          <w:highlight w:val="none"/>
          <w:lang w:val="en-US" w:eastAsia="zh-CN" w:bidi="ar"/>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11544272">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符合下列情形之一的，可不专门面向中小企业预留采购份额：</w:t>
      </w:r>
    </w:p>
    <w:p w14:paraId="7B8B1EAC">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（一）法律法规和国家有关政策明确规定优先或者应当面向事业单位、社会组织等非企业主体采购的；</w:t>
      </w:r>
    </w:p>
    <w:p w14:paraId="212D2A18">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（二）因确需使用不可替代的专利、专有技术，基础设施限制，或者提供特定公共服务等原因，只能从中小企业之外的供应商处采购的；</w:t>
      </w:r>
    </w:p>
    <w:p w14:paraId="0DF3BF9F">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（三）按照本办法规定预留采购份额无法确保充分供应、充分竞争，或者存在可能影响政府采购目标实现的情形；</w:t>
      </w:r>
    </w:p>
    <w:p w14:paraId="3B8897EC">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（四）框架协议采购项目；</w:t>
      </w:r>
    </w:p>
    <w:p w14:paraId="61057025">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（五）省级以上人民政府财政部门规定的其他情形。</w:t>
      </w:r>
    </w:p>
    <w:p w14:paraId="7F4C406F">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除上述情形外，其他均为适宜由中小企业提供的情形。</w:t>
      </w:r>
    </w:p>
    <w:p w14:paraId="62FFD561">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第七条</w:t>
      </w:r>
      <w:r>
        <w:rPr>
          <w:rFonts w:hint="eastAsia" w:ascii="宋体" w:hAnsi="宋体" w:eastAsia="宋体" w:cs="宋体"/>
          <w:b w:val="0"/>
          <w:bCs w:val="0"/>
          <w:color w:val="auto"/>
          <w:kern w:val="0"/>
          <w:sz w:val="21"/>
          <w:szCs w:val="21"/>
          <w:highlight w:val="none"/>
          <w:lang w:val="en-US" w:eastAsia="zh-CN" w:bidi="ar"/>
        </w:rPr>
        <w:t xml:space="preserve">  采购限额标准以上，200 万元以下的货物和服务采购项目、400 万元以下的工程采购项目，适宜由中小企业提供的，采购人应当专门面向中小企业采购。</w:t>
      </w:r>
    </w:p>
    <w:p w14:paraId="398A6166">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第八条</w:t>
      </w:r>
      <w:r>
        <w:rPr>
          <w:rFonts w:hint="eastAsia" w:ascii="宋体" w:hAnsi="宋体" w:eastAsia="宋体" w:cs="宋体"/>
          <w:b w:val="0"/>
          <w:bCs w:val="0"/>
          <w:color w:val="auto"/>
          <w:kern w:val="0"/>
          <w:sz w:val="21"/>
          <w:szCs w:val="21"/>
          <w:highlight w:val="none"/>
          <w:lang w:val="en-US" w:eastAsia="zh-CN" w:bidi="ar"/>
        </w:rPr>
        <w:t xml:space="preserve">  超过 200 万元的货物和服务采购项目、超过400 万元的工程采购项目中适宜由中小企业提供的，预留该部分采购项目预算总额的 30%以上专门面向中小企业采购，其中预留给小微企业的比例不低于 60%。预留份额通过下列措施进行：</w:t>
      </w:r>
    </w:p>
    <w:p w14:paraId="19F155E7">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（一）将采购项目整体或者设置采购包专门面向中小企业采购；</w:t>
      </w:r>
    </w:p>
    <w:p w14:paraId="65292B3B">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（二）要求供应商以联合体形式参加采购活动，且联合体中中小企业承担的部分达到一定比例；</w:t>
      </w:r>
    </w:p>
    <w:p w14:paraId="3EDD091A">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（三）要求获得采购合同的供应商将采购项目中的一定比例分包给一家或者多家中小企业。</w:t>
      </w:r>
    </w:p>
    <w:p w14:paraId="2E0219EE">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组成联合体或者接受分包合同的中小企业与联合体内其他企业、分包企业之间不得存在直接控股、管理关系。</w:t>
      </w:r>
    </w:p>
    <w:p w14:paraId="1187A737">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第九条</w:t>
      </w:r>
      <w:r>
        <w:rPr>
          <w:rFonts w:hint="eastAsia" w:ascii="宋体" w:hAnsi="宋体" w:eastAsia="宋体" w:cs="宋体"/>
          <w:b w:val="0"/>
          <w:bCs w:val="0"/>
          <w:color w:val="auto"/>
          <w:kern w:val="0"/>
          <w:sz w:val="21"/>
          <w:szCs w:val="21"/>
          <w:highlight w:val="none"/>
          <w:lang w:val="en-US" w:eastAsia="zh-CN" w:bidi="ar"/>
        </w:rPr>
        <w:t xml:space="preserve">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317D230B">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75B0895F">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C2697B4">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第十条</w:t>
      </w:r>
      <w:r>
        <w:rPr>
          <w:rFonts w:hint="eastAsia" w:ascii="宋体" w:hAnsi="宋体" w:eastAsia="宋体" w:cs="宋体"/>
          <w:b w:val="0"/>
          <w:bCs w:val="0"/>
          <w:color w:val="auto"/>
          <w:kern w:val="0"/>
          <w:sz w:val="21"/>
          <w:szCs w:val="21"/>
          <w:highlight w:val="none"/>
          <w:lang w:val="en-US" w:eastAsia="zh-CN" w:bidi="ar"/>
        </w:rPr>
        <w:t xml:space="preserve">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w:t>
      </w:r>
    </w:p>
    <w:p w14:paraId="5E97BCA8">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第十一条</w:t>
      </w:r>
      <w:r>
        <w:rPr>
          <w:rFonts w:hint="eastAsia" w:ascii="宋体" w:hAnsi="宋体" w:eastAsia="宋体" w:cs="宋体"/>
          <w:b w:val="0"/>
          <w:bCs w:val="0"/>
          <w:color w:val="auto"/>
          <w:kern w:val="0"/>
          <w:sz w:val="21"/>
          <w:szCs w:val="21"/>
          <w:highlight w:val="none"/>
          <w:lang w:val="en-US" w:eastAsia="zh-CN" w:bidi="ar"/>
        </w:rPr>
        <w:t xml:space="preserve">  中小企业参加政府采购活动，应当出具本办法规定的《中小企业声明函》（附 1），否则不得享受相关中小企业扶持政策。任何单位和个人不得要求供应商提供《中小企业声明函》之外的中小企业身份证明文件。</w:t>
      </w:r>
    </w:p>
    <w:p w14:paraId="6C5F0CAB">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第十二条</w:t>
      </w:r>
      <w:r>
        <w:rPr>
          <w:rFonts w:hint="eastAsia" w:ascii="宋体" w:hAnsi="宋体" w:eastAsia="宋体" w:cs="宋体"/>
          <w:b w:val="0"/>
          <w:bCs w:val="0"/>
          <w:color w:val="auto"/>
          <w:kern w:val="0"/>
          <w:sz w:val="21"/>
          <w:szCs w:val="21"/>
          <w:highlight w:val="none"/>
          <w:lang w:val="en-US" w:eastAsia="zh-CN" w:bidi="ar"/>
        </w:rPr>
        <w:t xml:space="preserve">  采购项目涉及中小企业采购的，采购文件应当明确以下内容：</w:t>
      </w:r>
    </w:p>
    <w:p w14:paraId="6F6EE2E4">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（一）预留份额的采购项目或者采购包，明确该项目或相关采购包专门面向中小企业采购，以及相关标的及预算金额；</w:t>
      </w:r>
    </w:p>
    <w:p w14:paraId="4DBEFB78">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（二）要求以联合体形式参加或者合同分包的，明确联合协议或者分包意向协议中中小企业合同金额应当达到的比例，并作为供应商资格条件；</w:t>
      </w:r>
    </w:p>
    <w:p w14:paraId="34FC377F">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（三）非预留份额的采购项目或者采购包，明确有关价格扣除比例或者价格分加分比例；</w:t>
      </w:r>
    </w:p>
    <w:p w14:paraId="015C0734">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（四）规定依据本办法规定享受扶持政策获得政府采购合同的，小微企业不得将合同分包给大中型企业，中型企业不得将合同分包给大型企业；</w:t>
      </w:r>
    </w:p>
    <w:p w14:paraId="628C5BCA">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（五）采购人认为具备相关条件的，明确对中小企业在资金支付期限、预付款比例等方面的优惠措施；</w:t>
      </w:r>
    </w:p>
    <w:p w14:paraId="1C2A3762">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（六）明确采购标的对应的中小企业划分标准所属行业；</w:t>
      </w:r>
    </w:p>
    <w:p w14:paraId="65ADD04E">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（七）法律法规和省级以上人民政府财政部门规定的其他事项。</w:t>
      </w:r>
    </w:p>
    <w:p w14:paraId="17597688">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第十三条</w:t>
      </w:r>
      <w:r>
        <w:rPr>
          <w:rFonts w:hint="eastAsia" w:ascii="宋体" w:hAnsi="宋体" w:eastAsia="宋体" w:cs="宋体"/>
          <w:b w:val="0"/>
          <w:bCs w:val="0"/>
          <w:color w:val="auto"/>
          <w:kern w:val="0"/>
          <w:sz w:val="21"/>
          <w:szCs w:val="21"/>
          <w:highlight w:val="none"/>
          <w:lang w:val="en-US" w:eastAsia="zh-CN" w:bidi="ar"/>
        </w:rPr>
        <w:t xml:space="preserve">  中标、成交供应商享受本办法规定的中小企业扶持政策的，采购人、采购代理机构应当随中标、成交结果公开中标、成交供应商的《中小企业声明函》。</w:t>
      </w:r>
    </w:p>
    <w:p w14:paraId="6C8CC9DE">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适用招标投标法的政府采购工程建设项目，应当在公示中标候选人时公开中标候选人的《中小企业声明函》。</w:t>
      </w:r>
    </w:p>
    <w:p w14:paraId="3CCE6E80">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第十四条</w:t>
      </w:r>
      <w:r>
        <w:rPr>
          <w:rFonts w:hint="eastAsia" w:ascii="宋体" w:hAnsi="宋体" w:eastAsia="宋体" w:cs="宋体"/>
          <w:b w:val="0"/>
          <w:bCs w:val="0"/>
          <w:color w:val="auto"/>
          <w:kern w:val="0"/>
          <w:sz w:val="21"/>
          <w:szCs w:val="21"/>
          <w:highlight w:val="none"/>
          <w:lang w:val="en-US" w:eastAsia="zh-CN" w:bidi="ar"/>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7FF9230">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第十五条</w:t>
      </w:r>
      <w:r>
        <w:rPr>
          <w:rFonts w:hint="eastAsia" w:ascii="宋体" w:hAnsi="宋体" w:eastAsia="宋体" w:cs="宋体"/>
          <w:b w:val="0"/>
          <w:bCs w:val="0"/>
          <w:color w:val="auto"/>
          <w:kern w:val="0"/>
          <w:sz w:val="21"/>
          <w:szCs w:val="21"/>
          <w:highlight w:val="none"/>
          <w:lang w:val="en-US" w:eastAsia="zh-CN" w:bidi="ar"/>
        </w:rPr>
        <w:t xml:space="preserve">  鼓励各地区、各部门在采购活动中允许中小企业引入信用担保手段，为中小企业在投标（响应）保证、履约保证等方面提供专业化服务。鼓励中小企业依法合规通过政府采购合同融资。</w:t>
      </w:r>
    </w:p>
    <w:p w14:paraId="45048BF2">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第十六条</w:t>
      </w:r>
      <w:r>
        <w:rPr>
          <w:rFonts w:hint="eastAsia" w:ascii="宋体" w:hAnsi="宋体" w:eastAsia="宋体" w:cs="宋体"/>
          <w:b w:val="0"/>
          <w:bCs w:val="0"/>
          <w:color w:val="auto"/>
          <w:kern w:val="0"/>
          <w:sz w:val="21"/>
          <w:szCs w:val="21"/>
          <w:highlight w:val="none"/>
          <w:lang w:val="en-US" w:eastAsia="zh-CN" w:bidi="ar"/>
        </w:rPr>
        <w:t xml:space="preserve">  政府采购监督检查、投诉处理及政府采购行政处罚中对中小企业的认定，由货物制造商或者工程、服务供应商注册登记所在地的县级以上人民政府中小企业主管部门负责。</w:t>
      </w:r>
    </w:p>
    <w:p w14:paraId="1E323E6B">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中小企业主管部门应当在收到财政部门或者有关招标投标行政监督部门关于协助开展中小企业认定函后 10 个工作日内做出书面答复。</w:t>
      </w:r>
    </w:p>
    <w:p w14:paraId="1EAAF182">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第十七条</w:t>
      </w:r>
      <w:r>
        <w:rPr>
          <w:rFonts w:hint="eastAsia" w:ascii="宋体" w:hAnsi="宋体" w:eastAsia="宋体" w:cs="宋体"/>
          <w:b w:val="0"/>
          <w:bCs w:val="0"/>
          <w:color w:val="auto"/>
          <w:kern w:val="0"/>
          <w:sz w:val="21"/>
          <w:szCs w:val="21"/>
          <w:highlight w:val="none"/>
          <w:lang w:val="en-US" w:eastAsia="zh-CN" w:bidi="ar"/>
        </w:rPr>
        <w:t xml:space="preserve">  各地区、各部门应当对涉及中小企业采购的预算项目实施全过程绩效管理，合理设置绩效目标和指标，落实扶持中小企业有关政策要求，定期开展绩效监控和评价，强化绩效评价结果应用。</w:t>
      </w:r>
    </w:p>
    <w:p w14:paraId="55DCA8EF">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第十八条</w:t>
      </w:r>
      <w:r>
        <w:rPr>
          <w:rFonts w:hint="eastAsia" w:ascii="宋体" w:hAnsi="宋体" w:eastAsia="宋体" w:cs="宋体"/>
          <w:b w:val="0"/>
          <w:bCs w:val="0"/>
          <w:color w:val="auto"/>
          <w:kern w:val="0"/>
          <w:sz w:val="21"/>
          <w:szCs w:val="21"/>
          <w:highlight w:val="none"/>
          <w:lang w:val="en-US" w:eastAsia="zh-CN" w:bidi="ar"/>
        </w:rPr>
        <w:t xml:space="preserve">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06AE279A">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第十九条</w:t>
      </w:r>
      <w:r>
        <w:rPr>
          <w:rFonts w:hint="eastAsia" w:ascii="宋体" w:hAnsi="宋体" w:eastAsia="宋体" w:cs="宋体"/>
          <w:b w:val="0"/>
          <w:bCs w:val="0"/>
          <w:color w:val="auto"/>
          <w:kern w:val="0"/>
          <w:sz w:val="21"/>
          <w:szCs w:val="21"/>
          <w:highlight w:val="none"/>
          <w:lang w:val="en-US" w:eastAsia="zh-CN" w:bidi="ar"/>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742A619E">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第二十条</w:t>
      </w:r>
      <w:r>
        <w:rPr>
          <w:rFonts w:hint="eastAsia" w:ascii="宋体" w:hAnsi="宋体" w:eastAsia="宋体" w:cs="宋体"/>
          <w:b w:val="0"/>
          <w:bCs w:val="0"/>
          <w:color w:val="auto"/>
          <w:kern w:val="0"/>
          <w:sz w:val="21"/>
          <w:szCs w:val="21"/>
          <w:highlight w:val="none"/>
          <w:lang w:val="en-US" w:eastAsia="zh-CN" w:bidi="ar"/>
        </w:rPr>
        <w:t xml:space="preserve">  供应商按照本办法规定提供声明函内容不实的，属于提供虚假材料谋取中标、成交，依照《中华人民共和国政府采购法》等国家有关规定追究相应责任。</w:t>
      </w:r>
    </w:p>
    <w:p w14:paraId="7F9EDDFA">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适用招标投标法的政府采购工程建设项目，供应商按照本办法规定提供声明函内容不实的，属于弄虚作假骗取中标，依照《中华人民共和国招标投标法》等国家有关规定追究相应责任。</w:t>
      </w:r>
    </w:p>
    <w:p w14:paraId="3BEA26AC">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第二十一条</w:t>
      </w:r>
      <w:r>
        <w:rPr>
          <w:rFonts w:hint="eastAsia" w:ascii="宋体" w:hAnsi="宋体" w:eastAsia="宋体" w:cs="宋体"/>
          <w:b w:val="0"/>
          <w:bCs w:val="0"/>
          <w:color w:val="auto"/>
          <w:kern w:val="0"/>
          <w:sz w:val="21"/>
          <w:szCs w:val="21"/>
          <w:highlight w:val="none"/>
          <w:lang w:val="en-US" w:eastAsia="zh-CN" w:bidi="ar"/>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7D7B77EB">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第二十二条</w:t>
      </w:r>
      <w:r>
        <w:rPr>
          <w:rFonts w:hint="eastAsia" w:ascii="宋体" w:hAnsi="宋体" w:eastAsia="宋体" w:cs="宋体"/>
          <w:b w:val="0"/>
          <w:bCs w:val="0"/>
          <w:color w:val="auto"/>
          <w:kern w:val="0"/>
          <w:sz w:val="21"/>
          <w:szCs w:val="21"/>
          <w:highlight w:val="none"/>
          <w:lang w:val="en-US" w:eastAsia="zh-CN" w:bidi="ar"/>
        </w:rPr>
        <w:t xml:space="preserve">  对外援助项目、国家相关资格或者资质管理制度另有规定的项目，不适用本办法。</w:t>
      </w:r>
    </w:p>
    <w:p w14:paraId="27174937">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第二十三条</w:t>
      </w:r>
      <w:r>
        <w:rPr>
          <w:rFonts w:hint="eastAsia" w:ascii="宋体" w:hAnsi="宋体" w:eastAsia="宋体" w:cs="宋体"/>
          <w:b w:val="0"/>
          <w:bCs w:val="0"/>
          <w:color w:val="auto"/>
          <w:kern w:val="0"/>
          <w:sz w:val="21"/>
          <w:szCs w:val="21"/>
          <w:highlight w:val="none"/>
          <w:lang w:val="en-US" w:eastAsia="zh-CN" w:bidi="ar"/>
        </w:rPr>
        <w:t xml:space="preserve">  关于视同中小企业的其他主体的政府采购扶持政策，由财政部会同有关部门另行规定。</w:t>
      </w:r>
    </w:p>
    <w:p w14:paraId="2611FFF7">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第二十四条</w:t>
      </w:r>
      <w:r>
        <w:rPr>
          <w:rFonts w:hint="eastAsia" w:ascii="宋体" w:hAnsi="宋体" w:eastAsia="宋体" w:cs="宋体"/>
          <w:b w:val="0"/>
          <w:bCs w:val="0"/>
          <w:color w:val="auto"/>
          <w:kern w:val="0"/>
          <w:sz w:val="21"/>
          <w:szCs w:val="21"/>
          <w:highlight w:val="none"/>
          <w:lang w:val="en-US" w:eastAsia="zh-CN" w:bidi="ar"/>
        </w:rPr>
        <w:t xml:space="preserve">  省级财政部门可以会同中小企业主管部门根据本办法的规定制定具体实施办法。</w:t>
      </w:r>
    </w:p>
    <w:p w14:paraId="3AB6054E">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right="0" w:firstLine="422" w:firstLineChars="200"/>
        <w:jc w:val="left"/>
        <w:textAlignment w:val="auto"/>
        <w:rPr>
          <w:rFonts w:hint="eastAsia" w:ascii="宋体" w:hAnsi="宋体" w:eastAsia="宋体" w:cs="宋体"/>
          <w:color w:val="auto"/>
          <w:sz w:val="21"/>
          <w:szCs w:val="21"/>
          <w:highlight w:val="none"/>
        </w:rPr>
      </w:pPr>
      <w:r>
        <w:rPr>
          <w:rStyle w:val="48"/>
          <w:rFonts w:hint="eastAsia" w:ascii="宋体" w:hAnsi="宋体" w:eastAsia="宋体" w:cs="宋体"/>
          <w:bCs w:val="0"/>
          <w:color w:val="auto"/>
          <w:kern w:val="0"/>
          <w:sz w:val="21"/>
          <w:szCs w:val="21"/>
          <w:highlight w:val="none"/>
          <w:lang w:val="en-US" w:eastAsia="zh-CN" w:bidi="ar"/>
        </w:rPr>
        <w:t>第二十五条</w:t>
      </w:r>
      <w:r>
        <w:rPr>
          <w:rFonts w:hint="eastAsia" w:ascii="宋体" w:hAnsi="宋体" w:eastAsia="宋体" w:cs="宋体"/>
          <w:b w:val="0"/>
          <w:bCs w:val="0"/>
          <w:color w:val="auto"/>
          <w:kern w:val="0"/>
          <w:sz w:val="21"/>
          <w:szCs w:val="21"/>
          <w:highlight w:val="none"/>
          <w:lang w:val="en-US" w:eastAsia="zh-CN" w:bidi="ar"/>
        </w:rPr>
        <w:t xml:space="preserve">  本办法自 2021 年 1 月 1 日起施行。 财政部 工业和信息化部关于印发〈政府采购促进中小企业发展暂行办法〉的通知》（财库﹝2011﹞181 号）同时废止。</w:t>
      </w:r>
    </w:p>
    <w:p w14:paraId="19D14DD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w:t>
      </w:r>
    </w:p>
    <w:p w14:paraId="58C31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黑体" w:hAnsi="黑体" w:eastAsia="黑体" w:cs="宋体"/>
          <w:bCs/>
          <w:color w:val="auto"/>
          <w:sz w:val="32"/>
          <w:szCs w:val="32"/>
          <w:highlight w:val="none"/>
          <w:shd w:val="clear" w:color="auto" w:fill="FFFFFF"/>
          <w:lang w:val="en-US" w:eastAsia="zh-CN"/>
        </w:rPr>
      </w:pPr>
      <w:r>
        <w:rPr>
          <w:rFonts w:hint="eastAsia" w:ascii="宋体" w:hAnsi="宋体" w:eastAsia="宋体" w:cs="宋体"/>
          <w:b/>
          <w:bCs/>
          <w:color w:val="auto"/>
          <w:sz w:val="21"/>
          <w:szCs w:val="21"/>
          <w:highlight w:val="none"/>
        </w:rPr>
        <w:br w:type="page"/>
      </w:r>
      <w:r>
        <w:rPr>
          <w:rFonts w:hint="eastAsia" w:ascii="黑体" w:hAnsi="黑体" w:eastAsia="黑体" w:cs="宋体"/>
          <w:bCs/>
          <w:color w:val="auto"/>
          <w:sz w:val="32"/>
          <w:szCs w:val="32"/>
          <w:highlight w:val="none"/>
          <w:shd w:val="clear" w:color="auto" w:fill="FFFFFF"/>
          <w:lang w:val="en-US" w:eastAsia="zh-CN"/>
        </w:rPr>
        <w:t>财政部关于进一步加大政府采购支持中小企业力度的通知</w:t>
      </w:r>
    </w:p>
    <w:p w14:paraId="502CC3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黑体" w:hAnsi="黑体" w:eastAsia="黑体" w:cs="宋体"/>
          <w:bCs/>
          <w:color w:val="auto"/>
          <w:sz w:val="32"/>
          <w:szCs w:val="32"/>
          <w:highlight w:val="none"/>
          <w:shd w:val="clear" w:color="auto" w:fill="FFFFFF"/>
          <w:lang w:val="en-US" w:eastAsia="zh-CN"/>
        </w:rPr>
      </w:pPr>
      <w:r>
        <w:rPr>
          <w:rFonts w:hint="eastAsia" w:ascii="黑体" w:hAnsi="黑体" w:eastAsia="黑体" w:cs="宋体"/>
          <w:bCs/>
          <w:color w:val="auto"/>
          <w:sz w:val="32"/>
          <w:szCs w:val="32"/>
          <w:highlight w:val="none"/>
          <w:shd w:val="clear" w:color="auto" w:fill="FFFFFF"/>
          <w:lang w:val="en-US" w:eastAsia="zh-CN"/>
        </w:rPr>
        <w:t>（财库〔2022〕19号）</w:t>
      </w:r>
    </w:p>
    <w:p w14:paraId="3AA04E13">
      <w:pPr>
        <w:pStyle w:val="16"/>
        <w:spacing w:after="0" w:line="340" w:lineRule="exact"/>
        <w:rPr>
          <w:rFonts w:hint="eastAsia" w:ascii="宋体" w:hAnsi="宋体" w:cs="宋体"/>
          <w:b w:val="0"/>
          <w:bCs/>
          <w:color w:val="auto"/>
          <w:sz w:val="21"/>
          <w:szCs w:val="21"/>
          <w:highlight w:val="none"/>
          <w:lang w:val="en-US" w:eastAsia="zh-CN"/>
        </w:rPr>
      </w:pPr>
    </w:p>
    <w:p w14:paraId="0E68596C">
      <w:pPr>
        <w:pStyle w:val="16"/>
        <w:spacing w:after="0" w:line="34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各中央预算单位，各省、自治区、直辖市、计划单列市财政厅（局），新疆生产建设兵团财政局：</w:t>
      </w:r>
    </w:p>
    <w:p w14:paraId="2CC5B131">
      <w:pPr>
        <w:pStyle w:val="16"/>
        <w:spacing w:after="0" w:line="34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49A365AA">
      <w:pPr>
        <w:pStyle w:val="16"/>
        <w:spacing w:after="0" w:line="34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2223FB6C">
      <w:pPr>
        <w:pStyle w:val="16"/>
        <w:spacing w:after="0" w:line="34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149DED3E">
      <w:pPr>
        <w:pStyle w:val="16"/>
        <w:spacing w:after="0" w:line="34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2CEB7FB1">
      <w:pPr>
        <w:pStyle w:val="16"/>
        <w:spacing w:after="0" w:line="34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四、认真做好组织实施。各地区、各部门应当加强组织领导，明确工作责任，细化执行要求，强化监督检查，确保国务院部署落实到位，对通知执行中出现的问题要及时向财政部报告。</w:t>
      </w:r>
    </w:p>
    <w:p w14:paraId="5135F7C2">
      <w:pPr>
        <w:pStyle w:val="16"/>
        <w:spacing w:after="0" w:line="34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本通知自2022年7月1日起执行。</w:t>
      </w:r>
    </w:p>
    <w:p w14:paraId="0992AECF">
      <w:pPr>
        <w:pStyle w:val="20"/>
        <w:rPr>
          <w:rFonts w:hint="eastAsia" w:ascii="宋体" w:hAnsi="宋体" w:eastAsia="宋体" w:cs="宋体"/>
          <w:b w:val="0"/>
          <w:bCs/>
          <w:color w:val="auto"/>
          <w:sz w:val="21"/>
          <w:szCs w:val="21"/>
          <w:highlight w:val="none"/>
          <w:lang w:val="en-US" w:eastAsia="zh-CN"/>
        </w:rPr>
      </w:pPr>
    </w:p>
    <w:p w14:paraId="34379709">
      <w:pPr>
        <w:rPr>
          <w:rFonts w:hint="eastAsia" w:ascii="宋体" w:hAnsi="宋体" w:eastAsia="宋体" w:cs="宋体"/>
          <w:b w:val="0"/>
          <w:bCs/>
          <w:color w:val="auto"/>
          <w:sz w:val="21"/>
          <w:szCs w:val="21"/>
          <w:highlight w:val="none"/>
          <w:lang w:val="en-US" w:eastAsia="zh-CN"/>
        </w:rPr>
      </w:pPr>
    </w:p>
    <w:p w14:paraId="233E239E">
      <w:pPr>
        <w:rPr>
          <w:rFonts w:hint="eastAsia" w:ascii="宋体" w:hAnsi="宋体" w:eastAsia="宋体" w:cs="宋体"/>
          <w:color w:val="auto"/>
          <w:sz w:val="21"/>
          <w:szCs w:val="21"/>
          <w:highlight w:val="none"/>
        </w:rPr>
      </w:pPr>
    </w:p>
    <w:p w14:paraId="36F585FB">
      <w:pPr>
        <w:pStyle w:val="16"/>
        <w:spacing w:after="0" w:line="340" w:lineRule="exact"/>
        <w:ind w:firstLine="420" w:firstLineChars="200"/>
        <w:jc w:val="righ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                                                                        财政部</w:t>
      </w:r>
    </w:p>
    <w:p w14:paraId="2A826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黑体" w:hAnsi="黑体" w:eastAsia="黑体" w:cs="宋体"/>
          <w:bCs/>
          <w:color w:val="auto"/>
          <w:sz w:val="28"/>
          <w:szCs w:val="28"/>
          <w:highlight w:val="none"/>
          <w:shd w:val="clear" w:color="auto" w:fill="FFFFFF"/>
        </w:rPr>
      </w:pPr>
      <w:r>
        <w:rPr>
          <w:rFonts w:hint="eastAsia" w:ascii="宋体" w:hAnsi="宋体" w:eastAsia="宋体" w:cs="宋体"/>
          <w:b w:val="0"/>
          <w:bCs/>
          <w:color w:val="auto"/>
          <w:sz w:val="21"/>
          <w:szCs w:val="21"/>
          <w:highlight w:val="none"/>
          <w:lang w:val="en-US" w:eastAsia="zh-CN"/>
        </w:rPr>
        <w:t>2022年5月30日</w:t>
      </w:r>
      <w:r>
        <w:rPr>
          <w:rFonts w:hint="eastAsia" w:ascii="宋体" w:hAnsi="宋体" w:eastAsia="宋体" w:cs="宋体"/>
          <w:b w:val="0"/>
          <w:bCs/>
          <w:color w:val="auto"/>
          <w:sz w:val="21"/>
          <w:szCs w:val="21"/>
          <w:highlight w:val="none"/>
        </w:rPr>
        <w:br w:type="page"/>
      </w:r>
      <w:r>
        <w:rPr>
          <w:rFonts w:hint="eastAsia" w:ascii="黑体" w:hAnsi="黑体" w:eastAsia="黑体" w:cs="宋体"/>
          <w:bCs/>
          <w:color w:val="auto"/>
          <w:sz w:val="32"/>
          <w:szCs w:val="32"/>
          <w:highlight w:val="none"/>
          <w:shd w:val="clear" w:color="auto" w:fill="FFFFFF"/>
          <w:lang w:val="en-US" w:eastAsia="zh-CN"/>
        </w:rPr>
        <w:t>关于印发《吉林省强化政府采购政策支持中小企业发展落实举措》的通知</w:t>
      </w:r>
    </w:p>
    <w:p w14:paraId="45972575">
      <w:pPr>
        <w:pStyle w:val="3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jc w:val="center"/>
        <w:textAlignment w:val="auto"/>
        <w:rPr>
          <w:color w:val="auto"/>
          <w:sz w:val="24"/>
          <w:szCs w:val="24"/>
          <w:highlight w:val="none"/>
        </w:rPr>
      </w:pPr>
      <w:r>
        <w:rPr>
          <w:rFonts w:ascii="宋体" w:hAnsi="宋体" w:eastAsia="宋体" w:cs="宋体"/>
          <w:color w:val="auto"/>
          <w:sz w:val="24"/>
          <w:szCs w:val="24"/>
          <w:highlight w:val="none"/>
        </w:rPr>
        <w:t>吉财采购〔2022〕478号</w:t>
      </w:r>
      <w:r>
        <w:rPr>
          <w:color w:val="auto"/>
          <w:sz w:val="24"/>
          <w:szCs w:val="24"/>
          <w:highlight w:val="none"/>
        </w:rPr>
        <w:t xml:space="preserve"> </w:t>
      </w:r>
    </w:p>
    <w:p w14:paraId="3621AFC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4"/>
          <w:szCs w:val="24"/>
          <w:highlight w:val="none"/>
        </w:rPr>
      </w:pPr>
      <w:r>
        <w:rPr>
          <w:rFonts w:hint="eastAsia" w:ascii="宋体" w:hAnsi="宋体" w:eastAsia="宋体" w:cs="宋体"/>
          <w:color w:val="auto"/>
          <w:sz w:val="24"/>
          <w:szCs w:val="24"/>
          <w:highlight w:val="none"/>
        </w:rPr>
        <w:t>各省级主管预算单位，各市（州）、县（市、区）财政局，长白山管委会、长春新区、中韩（长春）国际合作示范区管委会财政局，各政府采购代理机构：</w:t>
      </w:r>
      <w:r>
        <w:rPr>
          <w:color w:val="auto"/>
          <w:sz w:val="24"/>
          <w:szCs w:val="24"/>
          <w:highlight w:val="none"/>
        </w:rPr>
        <w:t xml:space="preserve"> </w:t>
      </w:r>
    </w:p>
    <w:p w14:paraId="2FECB07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t>现将《吉林省强化政府采购政策支持中小企业发展落实举措》印发给你们，请遵照执行。</w:t>
      </w:r>
      <w:r>
        <w:rPr>
          <w:color w:val="auto"/>
          <w:sz w:val="24"/>
          <w:szCs w:val="24"/>
          <w:highlight w:val="none"/>
        </w:rPr>
        <w:t xml:space="preserve"> </w:t>
      </w:r>
    </w:p>
    <w:p w14:paraId="176276B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t>附件：吉林省强化政府采购政策支持中小企业发展落实举措</w:t>
      </w:r>
      <w:r>
        <w:rPr>
          <w:color w:val="auto"/>
          <w:sz w:val="24"/>
          <w:szCs w:val="24"/>
          <w:highlight w:val="none"/>
        </w:rPr>
        <w:t xml:space="preserve"> </w:t>
      </w:r>
    </w:p>
    <w:p w14:paraId="7C799730">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jc w:val="right"/>
        <w:textAlignment w:val="auto"/>
        <w:rPr>
          <w:color w:val="auto"/>
          <w:sz w:val="24"/>
          <w:szCs w:val="24"/>
          <w:highlight w:val="none"/>
        </w:rPr>
      </w:pPr>
      <w:r>
        <w:rPr>
          <w:rFonts w:hint="eastAsia" w:ascii="宋体" w:hAnsi="宋体" w:eastAsia="宋体" w:cs="宋体"/>
          <w:color w:val="auto"/>
          <w:sz w:val="24"/>
          <w:szCs w:val="24"/>
          <w:highlight w:val="none"/>
        </w:rPr>
        <w:t>吉林省财政厅</w:t>
      </w:r>
      <w:r>
        <w:rPr>
          <w:color w:val="auto"/>
          <w:sz w:val="24"/>
          <w:szCs w:val="24"/>
          <w:highlight w:val="none"/>
        </w:rPr>
        <w:t xml:space="preserve"> </w:t>
      </w:r>
    </w:p>
    <w:p w14:paraId="396BA0F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jc w:val="right"/>
        <w:textAlignment w:val="auto"/>
        <w:rPr>
          <w:color w:val="auto"/>
          <w:sz w:val="24"/>
          <w:szCs w:val="24"/>
          <w:highlight w:val="none"/>
        </w:rPr>
      </w:pPr>
      <w:r>
        <w:rPr>
          <w:rFonts w:ascii="宋体" w:hAnsi="宋体" w:eastAsia="宋体" w:cs="宋体"/>
          <w:color w:val="auto"/>
          <w:sz w:val="24"/>
          <w:szCs w:val="24"/>
          <w:highlight w:val="none"/>
        </w:rPr>
        <w:t>2022年6月6日</w:t>
      </w:r>
      <w:r>
        <w:rPr>
          <w:color w:val="auto"/>
          <w:sz w:val="24"/>
          <w:szCs w:val="24"/>
          <w:highlight w:val="none"/>
        </w:rPr>
        <w:t xml:space="preserve"> </w:t>
      </w:r>
    </w:p>
    <w:p w14:paraId="0E99294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color w:val="auto"/>
          <w:sz w:val="24"/>
          <w:szCs w:val="24"/>
          <w:highlight w:val="none"/>
        </w:rPr>
      </w:pPr>
      <w:r>
        <w:rPr>
          <w:rFonts w:hint="eastAsia" w:ascii="宋体" w:hAnsi="宋体" w:eastAsia="宋体" w:cs="宋体"/>
          <w:color w:val="auto"/>
          <w:sz w:val="24"/>
          <w:szCs w:val="24"/>
          <w:highlight w:val="none"/>
        </w:rPr>
        <w:t>附件：</w:t>
      </w:r>
      <w:r>
        <w:rPr>
          <w:color w:val="auto"/>
          <w:sz w:val="24"/>
          <w:szCs w:val="24"/>
          <w:highlight w:val="none"/>
        </w:rPr>
        <w:t xml:space="preserve"> </w:t>
      </w:r>
    </w:p>
    <w:p w14:paraId="1485126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4"/>
          <w:szCs w:val="24"/>
          <w:highlight w:val="none"/>
        </w:rPr>
      </w:pPr>
      <w:r>
        <w:rPr>
          <w:rFonts w:hint="eastAsia" w:ascii="宋体" w:hAnsi="宋体" w:eastAsia="宋体" w:cs="宋体"/>
          <w:color w:val="auto"/>
          <w:sz w:val="24"/>
          <w:szCs w:val="24"/>
          <w:highlight w:val="none"/>
        </w:rPr>
        <w:t> </w:t>
      </w:r>
      <w:r>
        <w:rPr>
          <w:color w:val="auto"/>
          <w:sz w:val="24"/>
          <w:szCs w:val="24"/>
          <w:highlight w:val="none"/>
        </w:rPr>
        <w:t xml:space="preserve"> </w:t>
      </w:r>
    </w:p>
    <w:p w14:paraId="0F4701A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sz w:val="28"/>
          <w:szCs w:val="28"/>
          <w:highlight w:val="none"/>
        </w:rPr>
      </w:pPr>
      <w:r>
        <w:rPr>
          <w:rFonts w:hint="eastAsia" w:ascii="宋体" w:hAnsi="宋体" w:eastAsia="宋体" w:cs="宋体"/>
          <w:color w:val="auto"/>
          <w:sz w:val="28"/>
          <w:szCs w:val="28"/>
          <w:highlight w:val="none"/>
        </w:rPr>
        <w:t>吉林省强化政府采购政策支持中小企业发展落实举措</w:t>
      </w:r>
      <w:r>
        <w:rPr>
          <w:color w:val="auto"/>
          <w:sz w:val="28"/>
          <w:szCs w:val="28"/>
          <w:highlight w:val="none"/>
        </w:rPr>
        <w:t xml:space="preserve"> </w:t>
      </w:r>
    </w:p>
    <w:p w14:paraId="63EF1DA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4"/>
          <w:szCs w:val="24"/>
          <w:highlight w:val="none"/>
        </w:rPr>
      </w:pPr>
      <w:r>
        <w:rPr>
          <w:rFonts w:hint="eastAsia" w:ascii="宋体" w:hAnsi="宋体" w:eastAsia="宋体" w:cs="宋体"/>
          <w:color w:val="auto"/>
          <w:sz w:val="24"/>
          <w:szCs w:val="24"/>
          <w:highlight w:val="none"/>
        </w:rPr>
        <w:t> </w:t>
      </w:r>
      <w:r>
        <w:rPr>
          <w:color w:val="auto"/>
          <w:sz w:val="24"/>
          <w:szCs w:val="24"/>
          <w:highlight w:val="none"/>
        </w:rPr>
        <w:t xml:space="preserve"> </w:t>
      </w:r>
    </w:p>
    <w:p w14:paraId="010A276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ascii="宋体" w:hAnsi="宋体" w:eastAsia="宋体" w:cs="宋体"/>
          <w:color w:val="auto"/>
          <w:sz w:val="21"/>
          <w:szCs w:val="21"/>
          <w:highlight w:val="none"/>
        </w:rPr>
        <w:t>为贯彻落实《国务院关于印发扎实稳住经济一揽子政策措施的通知》（国发〔2022〕12号）和省政府《稳定全省经济若干措施》要求，积极应对突发疫情对我省经济社会影响，做好财政政策支持中小企业纾困解难工作，助力全省经济平稳健康发展，按照财政部《关于进一步加大政府采购支持中小企业力度的通知》（财库〔2022〕19号）规定，提出如下落实措施：</w:t>
      </w:r>
      <w:r>
        <w:rPr>
          <w:color w:val="auto"/>
          <w:sz w:val="21"/>
          <w:szCs w:val="21"/>
          <w:highlight w:val="none"/>
        </w:rPr>
        <w:t xml:space="preserve"> </w:t>
      </w:r>
    </w:p>
    <w:p w14:paraId="0BD1CEA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b/>
          <w:bCs/>
          <w:color w:val="auto"/>
          <w:sz w:val="21"/>
          <w:szCs w:val="21"/>
          <w:highlight w:val="none"/>
        </w:rPr>
      </w:pPr>
      <w:r>
        <w:rPr>
          <w:rFonts w:hint="eastAsia" w:ascii="宋体" w:hAnsi="宋体" w:eastAsia="宋体" w:cs="宋体"/>
          <w:b/>
          <w:bCs/>
          <w:color w:val="auto"/>
          <w:sz w:val="21"/>
          <w:szCs w:val="21"/>
          <w:highlight w:val="none"/>
        </w:rPr>
        <w:t>一、强化政策落实支持中小企业发展</w:t>
      </w:r>
      <w:r>
        <w:rPr>
          <w:b/>
          <w:bCs/>
          <w:color w:val="auto"/>
          <w:sz w:val="21"/>
          <w:szCs w:val="21"/>
          <w:highlight w:val="none"/>
        </w:rPr>
        <w:t xml:space="preserve"> </w:t>
      </w:r>
    </w:p>
    <w:p w14:paraId="590B4F6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ascii="宋体" w:hAnsi="宋体" w:eastAsia="宋体" w:cs="宋体"/>
          <w:color w:val="auto"/>
          <w:sz w:val="21"/>
          <w:szCs w:val="21"/>
          <w:highlight w:val="none"/>
        </w:rPr>
        <w:t>各级预算单位要认真落实《政府采购促进中小企业发展管理办法》（财库〔2020〕46号，以下简称《办法》）的规定，加强采购需求管理，规范资格条件设置，降低中小企业参加政府采购活动门槛 。科学编制政府采购预算，提高中小企业预留份额。结合采购项目的实际情况，灵活采取项目整体预留、合理预留采购包、要求大企业与中小企业组成联合体或向中小企业分包等形式，确保中小企业合同份额。适用招标投标法的政府采购工程项目应严格落实政府采购支持中小企业政策。</w:t>
      </w:r>
      <w:r>
        <w:rPr>
          <w:color w:val="auto"/>
          <w:sz w:val="21"/>
          <w:szCs w:val="21"/>
          <w:highlight w:val="none"/>
        </w:rPr>
        <w:t xml:space="preserve"> </w:t>
      </w:r>
    </w:p>
    <w:p w14:paraId="3210D000">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b/>
          <w:bCs/>
          <w:color w:val="auto"/>
          <w:sz w:val="21"/>
          <w:szCs w:val="21"/>
          <w:highlight w:val="none"/>
        </w:rPr>
      </w:pPr>
      <w:r>
        <w:rPr>
          <w:rFonts w:hint="eastAsia" w:ascii="宋体" w:hAnsi="宋体" w:eastAsia="宋体" w:cs="宋体"/>
          <w:b/>
          <w:bCs/>
          <w:color w:val="auto"/>
          <w:sz w:val="21"/>
          <w:szCs w:val="21"/>
          <w:highlight w:val="none"/>
        </w:rPr>
        <w:t>二、提高政府采购项目价格评审优惠幅度</w:t>
      </w:r>
      <w:r>
        <w:rPr>
          <w:b/>
          <w:bCs/>
          <w:color w:val="auto"/>
          <w:sz w:val="21"/>
          <w:szCs w:val="21"/>
          <w:highlight w:val="none"/>
        </w:rPr>
        <w:t xml:space="preserve"> </w:t>
      </w:r>
    </w:p>
    <w:p w14:paraId="064F6EE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ascii="宋体" w:hAnsi="宋体" w:eastAsia="宋体" w:cs="宋体"/>
          <w:color w:val="auto"/>
          <w:sz w:val="21"/>
          <w:szCs w:val="21"/>
          <w:highlight w:val="none"/>
        </w:rPr>
        <w:t>自2022年7月1日起发布采购公告或者发出采购邀请，未预留份额专门面向中小企业采购的货物、服务项目，给予小微企业的价格扣除优惠由《办法》规定的6%-10%提高至10%-20%；大中型企业与小微企业组成联合体或者大中型企业向小微企业分包的，评审优惠幅度由2%—3%提高至4%—6%。政府采购工程的价格评审优惠按照《办法》的规定执行。</w:t>
      </w:r>
      <w:r>
        <w:rPr>
          <w:color w:val="auto"/>
          <w:sz w:val="21"/>
          <w:szCs w:val="21"/>
          <w:highlight w:val="none"/>
        </w:rPr>
        <w:t xml:space="preserve"> </w:t>
      </w:r>
    </w:p>
    <w:p w14:paraId="4B8DBE3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b/>
          <w:bCs/>
          <w:color w:val="auto"/>
          <w:sz w:val="21"/>
          <w:szCs w:val="21"/>
          <w:highlight w:val="none"/>
        </w:rPr>
      </w:pPr>
      <w:r>
        <w:rPr>
          <w:rFonts w:hint="eastAsia" w:ascii="宋体" w:hAnsi="宋体" w:eastAsia="宋体" w:cs="宋体"/>
          <w:b/>
          <w:bCs/>
          <w:color w:val="auto"/>
          <w:sz w:val="21"/>
          <w:szCs w:val="21"/>
          <w:highlight w:val="none"/>
        </w:rPr>
        <w:t>三、提高政府采购工程项目预留份额比例</w:t>
      </w:r>
      <w:r>
        <w:rPr>
          <w:b/>
          <w:bCs/>
          <w:color w:val="auto"/>
          <w:sz w:val="21"/>
          <w:szCs w:val="21"/>
          <w:highlight w:val="none"/>
        </w:rPr>
        <w:t xml:space="preserve"> </w:t>
      </w:r>
    </w:p>
    <w:p w14:paraId="142133F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ascii="宋体" w:hAnsi="宋体" w:eastAsia="宋体" w:cs="宋体"/>
          <w:color w:val="auto"/>
          <w:sz w:val="21"/>
          <w:szCs w:val="21"/>
          <w:highlight w:val="none"/>
        </w:rPr>
        <w:t>400万元以下的工程采购项目适宜由中小企业提供的，采购人应当专门面向中小企业采购。达到或超过400万元的工程采购项目中适宜由中小企业提供的，在坚持公开、公正、公平竞争和统一质量标准的前提下，2022年下半年面向中小企业的预留份额由30%以上提高至40%以上。省财政厅将协调发改、工信、住建、交通、水利、商务等部门，按照国家相关工程招投标行政监督部门对工程招投标领域落实政府采购支持中小企业的政策要求，及时调整完善工程招投标领域有关标准文本、评标制度等，支持督促各预算单位严格落实政府采购政策。</w:t>
      </w:r>
      <w:r>
        <w:rPr>
          <w:color w:val="auto"/>
          <w:sz w:val="21"/>
          <w:szCs w:val="21"/>
          <w:highlight w:val="none"/>
        </w:rPr>
        <w:t xml:space="preserve"> </w:t>
      </w:r>
    </w:p>
    <w:p w14:paraId="37BBC44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b/>
          <w:bCs/>
          <w:color w:val="auto"/>
          <w:sz w:val="21"/>
          <w:szCs w:val="21"/>
          <w:highlight w:val="none"/>
        </w:rPr>
      </w:pPr>
      <w:r>
        <w:rPr>
          <w:rFonts w:hint="eastAsia" w:ascii="宋体" w:hAnsi="宋体" w:eastAsia="宋体" w:cs="宋体"/>
          <w:b/>
          <w:bCs/>
          <w:color w:val="auto"/>
          <w:sz w:val="21"/>
          <w:szCs w:val="21"/>
          <w:highlight w:val="none"/>
        </w:rPr>
        <w:t>四、降低经营成本提高履约能力</w:t>
      </w:r>
      <w:r>
        <w:rPr>
          <w:b/>
          <w:bCs/>
          <w:color w:val="auto"/>
          <w:sz w:val="21"/>
          <w:szCs w:val="21"/>
          <w:highlight w:val="none"/>
        </w:rPr>
        <w:t xml:space="preserve"> </w:t>
      </w:r>
    </w:p>
    <w:p w14:paraId="07118C5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ascii="宋体" w:hAnsi="宋体" w:eastAsia="宋体" w:cs="宋体"/>
          <w:color w:val="auto"/>
          <w:sz w:val="21"/>
          <w:szCs w:val="21"/>
          <w:highlight w:val="none"/>
        </w:rPr>
        <w:t>鼓励采购人、采购代理机构在政府采购活动中免收中小企业保证金或降低收取比例。对确需依法收取保证金的，应明确收取标准、缴纳方式和退还时限等要求，允许中小企业自主选择以支票、汇票、本票、保函等非现金形式缴纳或提交，降低经营成本。采购人、采购代理机构应对2022年5月前实施完成的政府采购项目投标（响应）或履约保证金进行核查清理，对符合法定或合同约定退还条件的应及时退还，切实减轻中小企业资金压力。采购人在编制采购文件时可结合项目实际，明确中小企业获得合同后可采取分期付款的方式，最大限度的确定首期预付款比例，并尽量缩短资金支付期限。</w:t>
      </w:r>
      <w:r>
        <w:rPr>
          <w:color w:val="auto"/>
          <w:sz w:val="21"/>
          <w:szCs w:val="21"/>
          <w:highlight w:val="none"/>
        </w:rPr>
        <w:t xml:space="preserve"> </w:t>
      </w:r>
    </w:p>
    <w:p w14:paraId="2099377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b/>
          <w:bCs/>
          <w:color w:val="auto"/>
          <w:sz w:val="21"/>
          <w:szCs w:val="21"/>
          <w:highlight w:val="none"/>
        </w:rPr>
      </w:pPr>
      <w:r>
        <w:rPr>
          <w:rFonts w:hint="eastAsia" w:ascii="宋体" w:hAnsi="宋体" w:eastAsia="宋体" w:cs="宋体"/>
          <w:b/>
          <w:bCs/>
          <w:color w:val="auto"/>
          <w:sz w:val="21"/>
          <w:szCs w:val="21"/>
          <w:highlight w:val="none"/>
        </w:rPr>
        <w:t>五、优化政府采购程序推进全流程电子化</w:t>
      </w:r>
      <w:r>
        <w:rPr>
          <w:b/>
          <w:bCs/>
          <w:color w:val="auto"/>
          <w:sz w:val="21"/>
          <w:szCs w:val="21"/>
          <w:highlight w:val="none"/>
        </w:rPr>
        <w:t xml:space="preserve"> </w:t>
      </w:r>
    </w:p>
    <w:p w14:paraId="77CEB28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hint="eastAsia" w:ascii="宋体" w:hAnsi="宋体" w:eastAsia="宋体" w:cs="宋体"/>
          <w:color w:val="auto"/>
          <w:sz w:val="21"/>
          <w:szCs w:val="21"/>
          <w:highlight w:val="none"/>
        </w:rPr>
        <w:t>中小企业参加政府采购活动，对于出具《中小企业声明函》的，任何单位和个人不得另行要求提供《中小企业声明函》之外的中小企业身份证明文件。对于法人代表已经出具委托书的，不得要求法人代表亲自领购采购文件或者到场参加开标、谈判等。加快推进全省政府采购全流程电子化建设，实现在线发布采购公告、提供采购文件、提交投标（响应）文件，实行电子开标、电子评审，提升中小企业参与政府采购活动的便利度。</w:t>
      </w:r>
      <w:r>
        <w:rPr>
          <w:color w:val="auto"/>
          <w:sz w:val="21"/>
          <w:szCs w:val="21"/>
          <w:highlight w:val="none"/>
        </w:rPr>
        <w:t xml:space="preserve"> </w:t>
      </w:r>
    </w:p>
    <w:p w14:paraId="7387DAA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b/>
          <w:bCs/>
          <w:color w:val="auto"/>
          <w:sz w:val="21"/>
          <w:szCs w:val="21"/>
          <w:highlight w:val="none"/>
        </w:rPr>
      </w:pPr>
      <w:r>
        <w:rPr>
          <w:rFonts w:hint="eastAsia" w:ascii="宋体" w:hAnsi="宋体" w:eastAsia="宋体" w:cs="宋体"/>
          <w:b/>
          <w:bCs/>
          <w:color w:val="auto"/>
          <w:sz w:val="21"/>
          <w:szCs w:val="21"/>
          <w:highlight w:val="none"/>
        </w:rPr>
        <w:t>六、加强项目执行管理提升政府采购透明度</w:t>
      </w:r>
      <w:r>
        <w:rPr>
          <w:b/>
          <w:bCs/>
          <w:color w:val="auto"/>
          <w:sz w:val="21"/>
          <w:szCs w:val="21"/>
          <w:highlight w:val="none"/>
        </w:rPr>
        <w:t xml:space="preserve"> </w:t>
      </w:r>
    </w:p>
    <w:p w14:paraId="17735DA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hint="eastAsia" w:ascii="宋体" w:hAnsi="宋体" w:eastAsia="宋体" w:cs="宋体"/>
          <w:color w:val="auto"/>
          <w:sz w:val="21"/>
          <w:szCs w:val="21"/>
          <w:highlight w:val="none"/>
        </w:rPr>
        <w:t>采购人、采购代理机构对投标（响应）文件的格式、形式要求应当简化明确，不得因非实质性的格式、形式问题限制和影响中小企业投标（响应）。实现电子化采购的，采购人、采购代理机构应当免费提供电子采购文件；暂未实现电子化采购的，鼓励采购人、采购代理机构向中小企业免费提供纸质采购文件。各级预算单位在公开政府采购意向时，必须标明是否专门面向中小企业采购，便于中小企业提前做好参与政府采购活动的各项准备工作。未按照规定进行政府采购意向公开的采购项目，原则上不得开展采购活动。</w:t>
      </w:r>
      <w:r>
        <w:rPr>
          <w:color w:val="auto"/>
          <w:sz w:val="21"/>
          <w:szCs w:val="21"/>
          <w:highlight w:val="none"/>
        </w:rPr>
        <w:t xml:space="preserve"> </w:t>
      </w:r>
    </w:p>
    <w:p w14:paraId="095AD41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hint="eastAsia" w:ascii="宋体" w:hAnsi="宋体" w:eastAsia="宋体" w:cs="宋体"/>
          <w:color w:val="auto"/>
          <w:sz w:val="21"/>
          <w:szCs w:val="21"/>
          <w:highlight w:val="none"/>
        </w:rPr>
        <w:t>各级主管预算单位要加强对本部门、本系统政府采购项目的统筹把握，明确工作责任，周密安排部署，严格落实预留采购份额和价格评审优惠措施支持中小企业发展。同时，按照六条措施要求，要制定具体工作方案，确保政策执行不走样、显成效。各级财政部门应加强组织领导，结合本地区实际情况明确政策执行要求，加强对采购单位政策执行情况的监督检查，在政策执行中好的经验办法和遇到的问题及时向省财政厅报告。</w:t>
      </w:r>
    </w:p>
    <w:p w14:paraId="69E279B4">
      <w:pPr>
        <w:rPr>
          <w:rFonts w:ascii="宋体" w:hAnsi="宋体" w:cs="宋体"/>
          <w:b/>
          <w:bCs/>
          <w:color w:val="auto"/>
          <w:sz w:val="21"/>
          <w:szCs w:val="21"/>
          <w:highlight w:val="none"/>
        </w:rPr>
      </w:pPr>
      <w:r>
        <w:rPr>
          <w:rFonts w:ascii="宋体" w:hAnsi="宋体" w:cs="宋体"/>
          <w:b/>
          <w:bCs/>
          <w:color w:val="auto"/>
          <w:sz w:val="21"/>
          <w:szCs w:val="21"/>
          <w:highlight w:val="none"/>
        </w:rPr>
        <w:br w:type="page"/>
      </w:r>
    </w:p>
    <w:p w14:paraId="1344606E">
      <w:pPr>
        <w:rPr>
          <w:rFonts w:hint="eastAsia" w:ascii="宋体" w:hAnsi="宋体" w:eastAsia="宋体" w:cs="宋体"/>
          <w:b/>
          <w:bCs/>
          <w:color w:val="auto"/>
          <w:sz w:val="21"/>
          <w:szCs w:val="21"/>
          <w:highlight w:val="none"/>
        </w:rPr>
      </w:pPr>
    </w:p>
    <w:p w14:paraId="4FD5AA06">
      <w:pPr>
        <w:spacing w:before="120" w:beforeLines="50" w:after="120" w:afterLines="50"/>
        <w:jc w:val="center"/>
        <w:textAlignment w:val="baseline"/>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财政部 司法部关于政府采购支持监狱企业发展有关问题的通知</w:t>
      </w:r>
    </w:p>
    <w:p w14:paraId="1998A11B">
      <w:pPr>
        <w:pStyle w:val="3"/>
        <w:keepNext w:val="0"/>
        <w:keepLines w:val="0"/>
        <w:pageBreakBefore w:val="0"/>
        <w:widowControl/>
        <w:kinsoku/>
        <w:wordWrap/>
        <w:overflowPunct/>
        <w:topLinePunct w:val="0"/>
        <w:autoSpaceDE/>
        <w:autoSpaceDN/>
        <w:bidi w:val="0"/>
        <w:adjustRightInd/>
        <w:snapToGrid/>
        <w:spacing w:before="120" w:beforeLines="50" w:after="120" w:afterLines="50" w:line="288" w:lineRule="auto"/>
        <w:jc w:val="center"/>
        <w:textAlignment w:val="baseline"/>
        <w:rPr>
          <w:rFonts w:hint="eastAsia" w:ascii="宋体" w:hAnsi="宋体" w:eastAsia="宋体" w:cs="宋体"/>
          <w:b w:val="0"/>
          <w:bCs/>
          <w:color w:val="auto"/>
          <w:sz w:val="24"/>
          <w:szCs w:val="24"/>
          <w:highlight w:val="none"/>
        </w:rPr>
      </w:pPr>
      <w:bookmarkStart w:id="63" w:name="_Toc21391"/>
      <w:r>
        <w:rPr>
          <w:rFonts w:hint="eastAsia" w:ascii="宋体" w:hAnsi="宋体" w:eastAsia="宋体" w:cs="宋体"/>
          <w:b w:val="0"/>
          <w:bCs/>
          <w:color w:val="auto"/>
          <w:sz w:val="24"/>
          <w:szCs w:val="24"/>
          <w:highlight w:val="none"/>
          <w:shd w:val="clear" w:color="auto" w:fill="FFFFFF"/>
        </w:rPr>
        <w:t>财库〔2014〕68号</w:t>
      </w:r>
      <w:bookmarkEnd w:id="63"/>
    </w:p>
    <w:p w14:paraId="3463980B">
      <w:pPr>
        <w:pStyle w:val="39"/>
        <w:keepNext w:val="0"/>
        <w:keepLines w:val="0"/>
        <w:pageBreakBefore w:val="0"/>
        <w:widowControl/>
        <w:kinsoku/>
        <w:wordWrap/>
        <w:overflowPunct/>
        <w:topLinePunct w:val="0"/>
        <w:autoSpaceDE/>
        <w:autoSpaceDN/>
        <w:bidi w:val="0"/>
        <w:adjustRightInd/>
        <w:snapToGrid/>
        <w:spacing w:line="288" w:lineRule="auto"/>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0029AB59">
      <w:pPr>
        <w:pStyle w:val="39"/>
        <w:keepNext w:val="0"/>
        <w:keepLines w:val="0"/>
        <w:pageBreakBefore w:val="0"/>
        <w:widowControl/>
        <w:kinsoku/>
        <w:wordWrap/>
        <w:overflowPunct/>
        <w:topLinePunct w:val="0"/>
        <w:autoSpaceDE/>
        <w:autoSpaceDN/>
        <w:bidi w:val="0"/>
        <w:adjustRightInd/>
        <w:snapToGrid/>
        <w:spacing w:line="288" w:lineRule="auto"/>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4EFDDC4F">
      <w:pPr>
        <w:pStyle w:val="39"/>
        <w:keepNext w:val="0"/>
        <w:keepLines w:val="0"/>
        <w:pageBreakBefore w:val="0"/>
        <w:widowControl/>
        <w:kinsoku/>
        <w:wordWrap/>
        <w:overflowPunct/>
        <w:topLinePunct w:val="0"/>
        <w:autoSpaceDE/>
        <w:autoSpaceDN/>
        <w:bidi w:val="0"/>
        <w:adjustRightInd/>
        <w:snapToGrid/>
        <w:spacing w:line="288" w:lineRule="auto"/>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8E59E8F">
      <w:pPr>
        <w:pStyle w:val="39"/>
        <w:keepNext w:val="0"/>
        <w:keepLines w:val="0"/>
        <w:pageBreakBefore w:val="0"/>
        <w:widowControl/>
        <w:kinsoku/>
        <w:wordWrap/>
        <w:overflowPunct/>
        <w:topLinePunct w:val="0"/>
        <w:autoSpaceDE/>
        <w:autoSpaceDN/>
        <w:bidi w:val="0"/>
        <w:adjustRightInd/>
        <w:snapToGrid/>
        <w:spacing w:line="288" w:lineRule="auto"/>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二、在政府采购活动中，监狱企业视同小型、微型企业，享受预留份额、评审中价格扣除等政府采购促进中小企业发展的政府采购政策。向监狱企业采购的金额，计入面向中小企业采购的统计数据。</w:t>
      </w:r>
    </w:p>
    <w:p w14:paraId="406353C7">
      <w:pPr>
        <w:pStyle w:val="39"/>
        <w:keepNext w:val="0"/>
        <w:keepLines w:val="0"/>
        <w:pageBreakBefore w:val="0"/>
        <w:widowControl/>
        <w:kinsoku/>
        <w:wordWrap/>
        <w:overflowPunct/>
        <w:topLinePunct w:val="0"/>
        <w:autoSpaceDE/>
        <w:autoSpaceDN/>
        <w:bidi w:val="0"/>
        <w:adjustRightInd/>
        <w:snapToGrid/>
        <w:spacing w:line="288" w:lineRule="auto"/>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650DCB4E">
      <w:pPr>
        <w:pStyle w:val="39"/>
        <w:keepNext w:val="0"/>
        <w:keepLines w:val="0"/>
        <w:pageBreakBefore w:val="0"/>
        <w:widowControl/>
        <w:kinsoku/>
        <w:wordWrap/>
        <w:overflowPunct/>
        <w:topLinePunct w:val="0"/>
        <w:autoSpaceDE/>
        <w:autoSpaceDN/>
        <w:bidi w:val="0"/>
        <w:adjustRightInd/>
        <w:snapToGrid/>
        <w:spacing w:line="288" w:lineRule="auto"/>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四、各地区可以结合本地区实际，对监狱企业生产的办公用品、家具用具、车辆维修和提供的保养服务、消防设备等，提出预留份额等政府采购支持措施，加大对监狱企业产品的采购力度。</w:t>
      </w:r>
    </w:p>
    <w:p w14:paraId="046B8356">
      <w:pPr>
        <w:pStyle w:val="39"/>
        <w:keepNext w:val="0"/>
        <w:keepLines w:val="0"/>
        <w:pageBreakBefore w:val="0"/>
        <w:widowControl/>
        <w:kinsoku/>
        <w:wordWrap/>
        <w:overflowPunct/>
        <w:topLinePunct w:val="0"/>
        <w:autoSpaceDE/>
        <w:autoSpaceDN/>
        <w:bidi w:val="0"/>
        <w:adjustRightInd/>
        <w:snapToGrid/>
        <w:spacing w:line="288"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6676DB1">
      <w:pPr>
        <w:pStyle w:val="39"/>
        <w:keepNext w:val="0"/>
        <w:keepLines w:val="0"/>
        <w:pageBreakBefore w:val="0"/>
        <w:widowControl/>
        <w:kinsoku/>
        <w:wordWrap/>
        <w:overflowPunct/>
        <w:topLinePunct w:val="0"/>
        <w:autoSpaceDE/>
        <w:autoSpaceDN/>
        <w:bidi w:val="0"/>
        <w:adjustRightInd/>
        <w:snapToGrid/>
        <w:spacing w:line="288" w:lineRule="auto"/>
        <w:jc w:val="right"/>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中华人民共和国财政部</w:t>
      </w:r>
    </w:p>
    <w:p w14:paraId="6CEE9AF2">
      <w:pPr>
        <w:pStyle w:val="39"/>
        <w:keepNext w:val="0"/>
        <w:keepLines w:val="0"/>
        <w:pageBreakBefore w:val="0"/>
        <w:widowControl/>
        <w:kinsoku/>
        <w:wordWrap/>
        <w:overflowPunct/>
        <w:topLinePunct w:val="0"/>
        <w:autoSpaceDE/>
        <w:autoSpaceDN/>
        <w:bidi w:val="0"/>
        <w:adjustRightInd/>
        <w:snapToGrid/>
        <w:spacing w:line="288" w:lineRule="auto"/>
        <w:jc w:val="right"/>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中华人民共和国司法部</w:t>
      </w:r>
    </w:p>
    <w:p w14:paraId="3E6A6ADB">
      <w:pPr>
        <w:pStyle w:val="39"/>
        <w:keepNext w:val="0"/>
        <w:keepLines w:val="0"/>
        <w:pageBreakBefore w:val="0"/>
        <w:widowControl/>
        <w:kinsoku/>
        <w:wordWrap/>
        <w:overflowPunct/>
        <w:topLinePunct w:val="0"/>
        <w:autoSpaceDE/>
        <w:autoSpaceDN/>
        <w:bidi w:val="0"/>
        <w:adjustRightInd/>
        <w:snapToGrid/>
        <w:spacing w:line="288" w:lineRule="auto"/>
        <w:jc w:val="right"/>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2014年6月10日</w:t>
      </w:r>
    </w:p>
    <w:p w14:paraId="7ECC0172">
      <w:pPr>
        <w:spacing w:before="120" w:beforeLines="50" w:after="120" w:afterLines="50"/>
        <w:jc w:val="center"/>
        <w:textAlignment w:val="baseline"/>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shd w:val="clear" w:color="auto" w:fill="FFFFFF"/>
        </w:rPr>
        <w:br w:type="page"/>
      </w:r>
      <w:r>
        <w:rPr>
          <w:rFonts w:hint="eastAsia" w:ascii="宋体" w:hAnsi="宋体" w:eastAsia="宋体" w:cs="宋体"/>
          <w:b/>
          <w:color w:val="auto"/>
          <w:sz w:val="32"/>
          <w:szCs w:val="32"/>
          <w:highlight w:val="none"/>
        </w:rPr>
        <w:t>关于促进残疾人就业政府采购政策的通知</w:t>
      </w:r>
    </w:p>
    <w:p w14:paraId="42B36402">
      <w:pPr>
        <w:pStyle w:val="39"/>
        <w:keepNext w:val="0"/>
        <w:keepLines w:val="0"/>
        <w:pageBreakBefore w:val="0"/>
        <w:widowControl/>
        <w:kinsoku/>
        <w:wordWrap/>
        <w:overflowPunct/>
        <w:topLinePunct w:val="0"/>
        <w:autoSpaceDE/>
        <w:autoSpaceDN/>
        <w:bidi w:val="0"/>
        <w:adjustRightInd/>
        <w:snapToGrid/>
        <w:spacing w:before="48" w:beforeLines="20" w:after="48" w:afterLines="20" w:line="288" w:lineRule="auto"/>
        <w:jc w:val="center"/>
        <w:textAlignment w:val="baseline"/>
        <w:rPr>
          <w:rFonts w:hint="eastAsia" w:ascii="宋体" w:hAnsi="宋体" w:eastAsia="宋体" w:cs="宋体"/>
          <w:bCs/>
          <w:color w:val="auto"/>
          <w:sz w:val="24"/>
          <w:szCs w:val="24"/>
          <w:highlight w:val="none"/>
        </w:rPr>
      </w:pPr>
      <w:r>
        <w:rPr>
          <w:rStyle w:val="48"/>
          <w:rFonts w:hint="eastAsia" w:ascii="宋体" w:hAnsi="宋体" w:eastAsia="宋体" w:cs="宋体"/>
          <w:bCs w:val="0"/>
          <w:color w:val="auto"/>
          <w:sz w:val="24"/>
          <w:szCs w:val="24"/>
          <w:highlight w:val="none"/>
          <w:shd w:val="clear" w:color="auto" w:fill="FFFFFF"/>
        </w:rPr>
        <w:t>财库〔2017〕141号</w:t>
      </w:r>
    </w:p>
    <w:p w14:paraId="1EA4254D">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bookmarkStart w:id="64" w:name="toDeptId"/>
      <w:r>
        <w:rPr>
          <w:rFonts w:hint="eastAsia" w:ascii="宋体" w:hAnsi="宋体" w:eastAsia="宋体" w:cs="宋体"/>
          <w:color w:val="auto"/>
          <w:sz w:val="21"/>
          <w:szCs w:val="21"/>
          <w:highlight w:val="none"/>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64"/>
      <w:r>
        <w:rPr>
          <w:rFonts w:hint="eastAsia" w:ascii="宋体" w:hAnsi="宋体" w:eastAsia="宋体" w:cs="宋体"/>
          <w:color w:val="auto"/>
          <w:sz w:val="21"/>
          <w:szCs w:val="21"/>
          <w:highlight w:val="none"/>
          <w:shd w:val="clear" w:color="auto" w:fill="FFFFFF"/>
        </w:rPr>
        <w:t>：</w:t>
      </w:r>
    </w:p>
    <w:p w14:paraId="42C52FDF">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为了发挥政府采购促进残疾人就业的作用，进一步保障残疾人权益，依照《政府采购法》、《残疾人保障法》等法律法规及相关规定，现就促进残疾人就业政府采购政策通知如下：</w:t>
      </w:r>
    </w:p>
    <w:p w14:paraId="076F6262">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一、享受政府采购支持政策的残疾人福利性单位应当同时满足以下条件：</w:t>
      </w:r>
    </w:p>
    <w:p w14:paraId="4A8129FC">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（一）安置的残疾人占本单位在职职工人数的比例不低于25%（含25%），并且安置的残疾人人数不少于10人（含10人）；</w:t>
      </w:r>
    </w:p>
    <w:p w14:paraId="4037EC6B">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（二）依法与安置的每位残疾人签订了一年以上（含一年）的劳动合同或服务协议；</w:t>
      </w:r>
    </w:p>
    <w:p w14:paraId="00AE27ED">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（三）为安置的每位残疾人按月足额缴纳了基本养老保险、基本医疗保险、失业保险、工伤保险和生育保险等社会保险费；</w:t>
      </w:r>
    </w:p>
    <w:p w14:paraId="053EA726">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（四）通过银行等金融机构向安置的每位残疾人，按月支付了不低于单位所在区县适用的经省级人民政府批准的月最低工资标准的工资；</w:t>
      </w:r>
    </w:p>
    <w:p w14:paraId="15F988CB">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（五）提供本单位制造的货物、承担的工程或者服务（以下简称产品），或者提供其他残疾人福利性单位制造的货物（不包括使用非残疾人福利性单位注册商标的货物）。</w:t>
      </w:r>
    </w:p>
    <w:p w14:paraId="23CD3EB6">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CCE8713">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A882D7D">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中标、成交供应商为残疾人福利性单位的，采购人或者其委托的采购代理机构应当随中标、成交结果同时公告其《残疾人福利性单位声明函》，接受社会监督。</w:t>
      </w:r>
    </w:p>
    <w:p w14:paraId="7F5FCD71">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供应商提供的《残疾人福利性单位声明函》与事实不符的，依照《政府采购法》第七十七条第一款的规定追究法律责任。</w:t>
      </w:r>
    </w:p>
    <w:p w14:paraId="7890A190">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AD49CC6">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四、采购人采购公开招标数额标准以上的货物或者服务，因落实促进残疾人就业政策的需要，依法履行有关报批程序后，可采用公开招标以外的采购方式。</w:t>
      </w:r>
    </w:p>
    <w:p w14:paraId="39F2E39B">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24803EE6">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743B0247">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七、本通知自2017年10月1日起执行。</w:t>
      </w:r>
    </w:p>
    <w:p w14:paraId="63F4EBC6">
      <w:pPr>
        <w:pStyle w:val="39"/>
        <w:keepNext w:val="0"/>
        <w:keepLines w:val="0"/>
        <w:pageBreakBefore w:val="0"/>
        <w:widowControl/>
        <w:kinsoku/>
        <w:wordWrap/>
        <w:overflowPunct/>
        <w:topLinePunct w:val="0"/>
        <w:autoSpaceDE/>
        <w:autoSpaceDN/>
        <w:bidi w:val="0"/>
        <w:adjustRightInd/>
        <w:snapToGrid/>
        <w:spacing w:line="288" w:lineRule="auto"/>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财政部 民政部 中国残疾人联合会</w:t>
      </w:r>
    </w:p>
    <w:p w14:paraId="3C6CC4A6">
      <w:pPr>
        <w:pStyle w:val="39"/>
        <w:keepNext w:val="0"/>
        <w:keepLines w:val="0"/>
        <w:pageBreakBefore w:val="0"/>
        <w:widowControl/>
        <w:kinsoku/>
        <w:wordWrap/>
        <w:overflowPunct/>
        <w:topLinePunct w:val="0"/>
        <w:autoSpaceDE/>
        <w:autoSpaceDN/>
        <w:bidi w:val="0"/>
        <w:adjustRightInd/>
        <w:snapToGrid/>
        <w:spacing w:line="288" w:lineRule="auto"/>
        <w:jc w:val="right"/>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2017年8月22日</w:t>
      </w:r>
    </w:p>
    <w:p w14:paraId="6A24DF2E">
      <w:pPr>
        <w:pStyle w:val="39"/>
        <w:spacing w:line="340" w:lineRule="exact"/>
        <w:jc w:val="center"/>
        <w:textAlignment w:val="baseline"/>
        <w:rPr>
          <w:rFonts w:hint="eastAsia" w:ascii="宋体" w:hAnsi="宋体" w:eastAsia="宋体" w:cs="宋体"/>
          <w:b/>
          <w:color w:val="auto"/>
          <w:sz w:val="32"/>
          <w:szCs w:val="32"/>
          <w:highlight w:val="none"/>
          <w:lang w:val="en-US" w:eastAsia="zh-CN"/>
        </w:rPr>
      </w:pPr>
      <w:r>
        <w:rPr>
          <w:rFonts w:hint="eastAsia" w:ascii="宋体" w:hAnsi="宋体" w:eastAsia="宋体" w:cs="宋体"/>
          <w:color w:val="auto"/>
          <w:sz w:val="21"/>
          <w:szCs w:val="21"/>
          <w:highlight w:val="none"/>
          <w:shd w:val="clear" w:color="auto" w:fill="FFFFFF"/>
        </w:rPr>
        <w:br w:type="page"/>
      </w:r>
      <w:r>
        <w:rPr>
          <w:rFonts w:hint="eastAsia" w:ascii="宋体" w:hAnsi="宋体" w:eastAsia="宋体" w:cs="宋体"/>
          <w:b/>
          <w:color w:val="auto"/>
          <w:sz w:val="32"/>
          <w:szCs w:val="32"/>
          <w:highlight w:val="none"/>
          <w:lang w:val="en-US" w:eastAsia="zh-CN"/>
        </w:rPr>
        <w:t>《统计上大中小微型企业划分办法（2017）》修订说明</w:t>
      </w:r>
    </w:p>
    <w:p w14:paraId="772577DC">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一、修订背景</w:t>
      </w:r>
    </w:p>
    <w:p w14:paraId="2A1CCE99">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07C26349">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6C788DBA">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二、修订主要内容</w:t>
      </w:r>
    </w:p>
    <w:p w14:paraId="0608C0F1">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48A41816">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将交通运输业中包括的“装卸搬运和运输代理业”修改为“多式联运和运输代理业、装卸搬运”。</w:t>
      </w:r>
    </w:p>
    <w:p w14:paraId="64557D96">
      <w:pPr>
        <w:keepNext w:val="0"/>
        <w:keepLines w:val="0"/>
        <w:pageBreakBefore w:val="0"/>
        <w:widowControl/>
        <w:kinsoku/>
        <w:wordWrap/>
        <w:overflowPunct/>
        <w:topLinePunct w:val="0"/>
        <w:autoSpaceDE/>
        <w:autoSpaceDN/>
        <w:bidi w:val="0"/>
        <w:adjustRightInd/>
        <w:snapToGrid/>
        <w:spacing w:line="288" w:lineRule="auto"/>
        <w:ind w:firstLine="452" w:firstLineChars="200"/>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仓储业所包括的行业中类，根据《国民经济行业分类》</w:t>
      </w:r>
      <w:r>
        <w:rPr>
          <w:rFonts w:hint="eastAsia" w:ascii="宋体" w:hAnsi="宋体" w:eastAsia="宋体" w:cs="宋体"/>
          <w:color w:val="auto"/>
          <w:sz w:val="21"/>
          <w:szCs w:val="21"/>
          <w:highlight w:val="none"/>
        </w:rPr>
        <w:t>（GB/T 4754—2017）</w:t>
      </w:r>
      <w:r>
        <w:rPr>
          <w:rFonts w:hint="eastAsia" w:ascii="宋体" w:hAnsi="宋体" w:eastAsia="宋体" w:cs="宋体"/>
          <w:color w:val="auto"/>
          <w:spacing w:val="8"/>
          <w:sz w:val="21"/>
          <w:szCs w:val="21"/>
          <w:highlight w:val="none"/>
        </w:rPr>
        <w:t>调整为“通用仓储，低温仓储，危险品仓储，谷物、棉花等农产品仓储，中药材仓储和其他仓储业”。</w:t>
      </w:r>
    </w:p>
    <w:p w14:paraId="292F6B0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w:t>
      </w:r>
    </w:p>
    <w:p w14:paraId="37166F5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统计上大中小微型企业划分标准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568"/>
        <w:gridCol w:w="709"/>
        <w:gridCol w:w="1125"/>
        <w:gridCol w:w="1701"/>
        <w:gridCol w:w="1426"/>
        <w:gridCol w:w="992"/>
      </w:tblGrid>
      <w:tr w14:paraId="6513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914" w:type="dxa"/>
            <w:noWrap w:val="0"/>
            <w:vAlign w:val="center"/>
          </w:tcPr>
          <w:p w14:paraId="5A8476D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行业名称</w:t>
            </w:r>
          </w:p>
        </w:tc>
        <w:tc>
          <w:tcPr>
            <w:tcW w:w="1568" w:type="dxa"/>
            <w:noWrap w:val="0"/>
            <w:vAlign w:val="center"/>
          </w:tcPr>
          <w:p w14:paraId="605D0A2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指标名称</w:t>
            </w:r>
          </w:p>
        </w:tc>
        <w:tc>
          <w:tcPr>
            <w:tcW w:w="709" w:type="dxa"/>
            <w:noWrap w:val="0"/>
            <w:vAlign w:val="center"/>
          </w:tcPr>
          <w:p w14:paraId="2C0E95D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计量</w:t>
            </w:r>
          </w:p>
          <w:p w14:paraId="260154D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125" w:type="dxa"/>
            <w:noWrap w:val="0"/>
            <w:vAlign w:val="center"/>
          </w:tcPr>
          <w:p w14:paraId="4029E08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大型</w:t>
            </w:r>
          </w:p>
        </w:tc>
        <w:tc>
          <w:tcPr>
            <w:tcW w:w="1701" w:type="dxa"/>
            <w:noWrap w:val="0"/>
            <w:vAlign w:val="center"/>
          </w:tcPr>
          <w:p w14:paraId="2F6EB2F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中型</w:t>
            </w:r>
          </w:p>
        </w:tc>
        <w:tc>
          <w:tcPr>
            <w:tcW w:w="1426" w:type="dxa"/>
            <w:noWrap w:val="0"/>
            <w:vAlign w:val="center"/>
          </w:tcPr>
          <w:p w14:paraId="53C5676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小型</w:t>
            </w:r>
          </w:p>
        </w:tc>
        <w:tc>
          <w:tcPr>
            <w:tcW w:w="992" w:type="dxa"/>
            <w:noWrap w:val="0"/>
            <w:vAlign w:val="center"/>
          </w:tcPr>
          <w:p w14:paraId="187E1CC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微型</w:t>
            </w:r>
          </w:p>
        </w:tc>
      </w:tr>
      <w:tr w14:paraId="7029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noWrap w:val="0"/>
            <w:vAlign w:val="center"/>
          </w:tcPr>
          <w:p w14:paraId="6F96DB1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农、林、牧、渔业</w:t>
            </w:r>
          </w:p>
        </w:tc>
        <w:tc>
          <w:tcPr>
            <w:tcW w:w="1568" w:type="dxa"/>
            <w:noWrap w:val="0"/>
            <w:vAlign w:val="center"/>
          </w:tcPr>
          <w:p w14:paraId="30537CA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0C0F512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67CB65A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Y≥20000</w:t>
            </w:r>
          </w:p>
        </w:tc>
        <w:tc>
          <w:tcPr>
            <w:tcW w:w="1701" w:type="dxa"/>
            <w:noWrap w:val="0"/>
            <w:vAlign w:val="center"/>
          </w:tcPr>
          <w:p w14:paraId="694F3EC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500≤Y＜20000</w:t>
            </w:r>
          </w:p>
        </w:tc>
        <w:tc>
          <w:tcPr>
            <w:tcW w:w="1426" w:type="dxa"/>
            <w:noWrap w:val="0"/>
            <w:vAlign w:val="center"/>
          </w:tcPr>
          <w:p w14:paraId="43C9DA9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50≤Y＜500</w:t>
            </w:r>
          </w:p>
        </w:tc>
        <w:tc>
          <w:tcPr>
            <w:tcW w:w="992" w:type="dxa"/>
            <w:noWrap w:val="0"/>
            <w:vAlign w:val="center"/>
          </w:tcPr>
          <w:p w14:paraId="7CE9245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Y＜50</w:t>
            </w:r>
          </w:p>
        </w:tc>
      </w:tr>
      <w:tr w14:paraId="7973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noWrap w:val="0"/>
            <w:vAlign w:val="center"/>
          </w:tcPr>
          <w:p w14:paraId="7648B92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工业 *</w:t>
            </w:r>
          </w:p>
        </w:tc>
        <w:tc>
          <w:tcPr>
            <w:tcW w:w="1568" w:type="dxa"/>
            <w:noWrap w:val="0"/>
            <w:vAlign w:val="center"/>
          </w:tcPr>
          <w:p w14:paraId="2B90947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33158F9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297D657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X≥1000</w:t>
            </w:r>
          </w:p>
        </w:tc>
        <w:tc>
          <w:tcPr>
            <w:tcW w:w="1701" w:type="dxa"/>
            <w:noWrap w:val="0"/>
            <w:vAlign w:val="center"/>
          </w:tcPr>
          <w:p w14:paraId="61CB1C9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300≤X＜1000</w:t>
            </w:r>
          </w:p>
        </w:tc>
        <w:tc>
          <w:tcPr>
            <w:tcW w:w="1426" w:type="dxa"/>
            <w:noWrap w:val="0"/>
            <w:vAlign w:val="center"/>
          </w:tcPr>
          <w:p w14:paraId="333A2A7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20≤X＜300</w:t>
            </w:r>
          </w:p>
        </w:tc>
        <w:tc>
          <w:tcPr>
            <w:tcW w:w="992" w:type="dxa"/>
            <w:noWrap w:val="0"/>
            <w:vAlign w:val="center"/>
          </w:tcPr>
          <w:p w14:paraId="2049E08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X＜20</w:t>
            </w:r>
          </w:p>
        </w:tc>
      </w:tr>
      <w:tr w14:paraId="24AC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noWrap w:val="0"/>
            <w:vAlign w:val="center"/>
          </w:tcPr>
          <w:p w14:paraId="3BC7C26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p>
        </w:tc>
        <w:tc>
          <w:tcPr>
            <w:tcW w:w="1568" w:type="dxa"/>
            <w:noWrap w:val="0"/>
            <w:vAlign w:val="center"/>
          </w:tcPr>
          <w:p w14:paraId="665749F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4B47830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071D154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Y≥40000</w:t>
            </w:r>
          </w:p>
        </w:tc>
        <w:tc>
          <w:tcPr>
            <w:tcW w:w="1701" w:type="dxa"/>
            <w:noWrap w:val="0"/>
            <w:vAlign w:val="center"/>
          </w:tcPr>
          <w:p w14:paraId="2DCEDDB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2000≤Y＜40000</w:t>
            </w:r>
          </w:p>
        </w:tc>
        <w:tc>
          <w:tcPr>
            <w:tcW w:w="1426" w:type="dxa"/>
            <w:noWrap w:val="0"/>
            <w:vAlign w:val="center"/>
          </w:tcPr>
          <w:p w14:paraId="2FB801D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300≤Y＜2000</w:t>
            </w:r>
          </w:p>
        </w:tc>
        <w:tc>
          <w:tcPr>
            <w:tcW w:w="992" w:type="dxa"/>
            <w:noWrap w:val="0"/>
            <w:vAlign w:val="center"/>
          </w:tcPr>
          <w:p w14:paraId="32D39A0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Y＜300</w:t>
            </w:r>
          </w:p>
        </w:tc>
      </w:tr>
      <w:tr w14:paraId="55ED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noWrap w:val="0"/>
            <w:vAlign w:val="center"/>
          </w:tcPr>
          <w:p w14:paraId="710E6E2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建筑业</w:t>
            </w:r>
          </w:p>
        </w:tc>
        <w:tc>
          <w:tcPr>
            <w:tcW w:w="1568" w:type="dxa"/>
            <w:noWrap w:val="0"/>
            <w:vAlign w:val="center"/>
          </w:tcPr>
          <w:p w14:paraId="56766DA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2C21F9C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42570E4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Y≥80000</w:t>
            </w:r>
          </w:p>
        </w:tc>
        <w:tc>
          <w:tcPr>
            <w:tcW w:w="1701" w:type="dxa"/>
            <w:noWrap w:val="0"/>
            <w:vAlign w:val="center"/>
          </w:tcPr>
          <w:p w14:paraId="4B46463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6000≤Y＜80000</w:t>
            </w:r>
          </w:p>
        </w:tc>
        <w:tc>
          <w:tcPr>
            <w:tcW w:w="1426" w:type="dxa"/>
            <w:noWrap w:val="0"/>
            <w:vAlign w:val="center"/>
          </w:tcPr>
          <w:p w14:paraId="47BE7FE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300≤Y＜6000</w:t>
            </w:r>
          </w:p>
        </w:tc>
        <w:tc>
          <w:tcPr>
            <w:tcW w:w="992" w:type="dxa"/>
            <w:noWrap w:val="0"/>
            <w:vAlign w:val="center"/>
          </w:tcPr>
          <w:p w14:paraId="78019DF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Y＜300</w:t>
            </w:r>
          </w:p>
        </w:tc>
      </w:tr>
      <w:tr w14:paraId="7759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noWrap w:val="0"/>
            <w:vAlign w:val="center"/>
          </w:tcPr>
          <w:p w14:paraId="30DC0D2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p>
        </w:tc>
        <w:tc>
          <w:tcPr>
            <w:tcW w:w="1568" w:type="dxa"/>
            <w:noWrap w:val="0"/>
            <w:vAlign w:val="center"/>
          </w:tcPr>
          <w:p w14:paraId="2A2B3AA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资产总额(Z)</w:t>
            </w:r>
          </w:p>
        </w:tc>
        <w:tc>
          <w:tcPr>
            <w:tcW w:w="709" w:type="dxa"/>
            <w:noWrap w:val="0"/>
            <w:vAlign w:val="center"/>
          </w:tcPr>
          <w:p w14:paraId="6713454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6D59C89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Z≥80000</w:t>
            </w:r>
          </w:p>
        </w:tc>
        <w:tc>
          <w:tcPr>
            <w:tcW w:w="1701" w:type="dxa"/>
            <w:noWrap w:val="0"/>
            <w:vAlign w:val="center"/>
          </w:tcPr>
          <w:p w14:paraId="02AE8AA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5000≤Z＜80000</w:t>
            </w:r>
          </w:p>
        </w:tc>
        <w:tc>
          <w:tcPr>
            <w:tcW w:w="1426" w:type="dxa"/>
            <w:noWrap w:val="0"/>
            <w:vAlign w:val="center"/>
          </w:tcPr>
          <w:p w14:paraId="54BD9FD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300≤Z＜5000</w:t>
            </w:r>
          </w:p>
        </w:tc>
        <w:tc>
          <w:tcPr>
            <w:tcW w:w="992" w:type="dxa"/>
            <w:noWrap w:val="0"/>
            <w:vAlign w:val="center"/>
          </w:tcPr>
          <w:p w14:paraId="7E20EC3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Z＜300</w:t>
            </w:r>
          </w:p>
        </w:tc>
      </w:tr>
      <w:tr w14:paraId="6535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noWrap w:val="0"/>
            <w:vAlign w:val="center"/>
          </w:tcPr>
          <w:p w14:paraId="45297FB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批发业</w:t>
            </w:r>
          </w:p>
        </w:tc>
        <w:tc>
          <w:tcPr>
            <w:tcW w:w="1568" w:type="dxa"/>
            <w:noWrap w:val="0"/>
            <w:vAlign w:val="center"/>
          </w:tcPr>
          <w:p w14:paraId="6F5255D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565D29B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66EB6FB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X≥200</w:t>
            </w:r>
          </w:p>
        </w:tc>
        <w:tc>
          <w:tcPr>
            <w:tcW w:w="1701" w:type="dxa"/>
            <w:noWrap w:val="0"/>
            <w:vAlign w:val="center"/>
          </w:tcPr>
          <w:p w14:paraId="68E905F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20≤X＜200</w:t>
            </w:r>
          </w:p>
        </w:tc>
        <w:tc>
          <w:tcPr>
            <w:tcW w:w="1426" w:type="dxa"/>
            <w:noWrap w:val="0"/>
            <w:vAlign w:val="center"/>
          </w:tcPr>
          <w:p w14:paraId="7DFCF96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5≤X＜20</w:t>
            </w:r>
          </w:p>
        </w:tc>
        <w:tc>
          <w:tcPr>
            <w:tcW w:w="992" w:type="dxa"/>
            <w:noWrap w:val="0"/>
            <w:vAlign w:val="center"/>
          </w:tcPr>
          <w:p w14:paraId="2937AFD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X＜5</w:t>
            </w:r>
          </w:p>
        </w:tc>
      </w:tr>
      <w:tr w14:paraId="7B76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noWrap w:val="0"/>
            <w:vAlign w:val="center"/>
          </w:tcPr>
          <w:p w14:paraId="35265EE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p>
        </w:tc>
        <w:tc>
          <w:tcPr>
            <w:tcW w:w="1568" w:type="dxa"/>
            <w:noWrap w:val="0"/>
            <w:vAlign w:val="center"/>
          </w:tcPr>
          <w:p w14:paraId="339CD0C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3EE8B64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2506853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Y≥40000</w:t>
            </w:r>
          </w:p>
        </w:tc>
        <w:tc>
          <w:tcPr>
            <w:tcW w:w="1701" w:type="dxa"/>
            <w:noWrap w:val="0"/>
            <w:vAlign w:val="center"/>
          </w:tcPr>
          <w:p w14:paraId="04CEBDE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5000≤Y＜40000</w:t>
            </w:r>
          </w:p>
        </w:tc>
        <w:tc>
          <w:tcPr>
            <w:tcW w:w="1426" w:type="dxa"/>
            <w:noWrap w:val="0"/>
            <w:vAlign w:val="center"/>
          </w:tcPr>
          <w:p w14:paraId="706E15E1">
            <w:pPr>
              <w:keepNext w:val="0"/>
              <w:keepLines w:val="0"/>
              <w:pageBreakBefore w:val="0"/>
              <w:widowControl/>
              <w:kinsoku/>
              <w:wordWrap/>
              <w:overflowPunct/>
              <w:topLinePunct w:val="0"/>
              <w:autoSpaceDE/>
              <w:autoSpaceDN/>
              <w:bidi w:val="0"/>
              <w:adjustRightInd/>
              <w:snapToGrid/>
              <w:spacing w:line="288" w:lineRule="auto"/>
              <w:ind w:left="-1" w:leftChars="-1" w:hanging="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1000≤Y＜5000</w:t>
            </w:r>
          </w:p>
        </w:tc>
        <w:tc>
          <w:tcPr>
            <w:tcW w:w="992" w:type="dxa"/>
            <w:noWrap w:val="0"/>
            <w:vAlign w:val="center"/>
          </w:tcPr>
          <w:p w14:paraId="68E015F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Y＜1000</w:t>
            </w:r>
          </w:p>
        </w:tc>
      </w:tr>
      <w:tr w14:paraId="61CF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noWrap w:val="0"/>
            <w:vAlign w:val="center"/>
          </w:tcPr>
          <w:p w14:paraId="0214149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零售业</w:t>
            </w:r>
          </w:p>
        </w:tc>
        <w:tc>
          <w:tcPr>
            <w:tcW w:w="1568" w:type="dxa"/>
            <w:noWrap w:val="0"/>
            <w:vAlign w:val="center"/>
          </w:tcPr>
          <w:p w14:paraId="52CEC71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09DF61D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3933F84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X≥300</w:t>
            </w:r>
          </w:p>
        </w:tc>
        <w:tc>
          <w:tcPr>
            <w:tcW w:w="1701" w:type="dxa"/>
            <w:noWrap w:val="0"/>
            <w:vAlign w:val="center"/>
          </w:tcPr>
          <w:p w14:paraId="1A39329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50≤X＜300</w:t>
            </w:r>
          </w:p>
        </w:tc>
        <w:tc>
          <w:tcPr>
            <w:tcW w:w="1426" w:type="dxa"/>
            <w:noWrap w:val="0"/>
            <w:vAlign w:val="center"/>
          </w:tcPr>
          <w:p w14:paraId="4217EF90">
            <w:pPr>
              <w:keepNext w:val="0"/>
              <w:keepLines w:val="0"/>
              <w:pageBreakBefore w:val="0"/>
              <w:widowControl/>
              <w:kinsoku/>
              <w:wordWrap/>
              <w:overflowPunct/>
              <w:topLinePunct w:val="0"/>
              <w:autoSpaceDE/>
              <w:autoSpaceDN/>
              <w:bidi w:val="0"/>
              <w:adjustRightInd/>
              <w:snapToGrid/>
              <w:spacing w:line="288" w:lineRule="auto"/>
              <w:ind w:left="-1" w:leftChars="-1" w:hanging="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10≤X＜50 </w:t>
            </w:r>
          </w:p>
        </w:tc>
        <w:tc>
          <w:tcPr>
            <w:tcW w:w="992" w:type="dxa"/>
            <w:noWrap w:val="0"/>
            <w:vAlign w:val="center"/>
          </w:tcPr>
          <w:p w14:paraId="6C5A61F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w:t>
            </w:r>
          </w:p>
        </w:tc>
      </w:tr>
      <w:tr w14:paraId="1C83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noWrap w:val="0"/>
            <w:vAlign w:val="center"/>
          </w:tcPr>
          <w:p w14:paraId="493A592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p>
        </w:tc>
        <w:tc>
          <w:tcPr>
            <w:tcW w:w="1568" w:type="dxa"/>
            <w:noWrap w:val="0"/>
            <w:vAlign w:val="center"/>
          </w:tcPr>
          <w:p w14:paraId="5D287A0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484AF36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2E9EDF2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Y≥20000</w:t>
            </w:r>
          </w:p>
        </w:tc>
        <w:tc>
          <w:tcPr>
            <w:tcW w:w="1701" w:type="dxa"/>
            <w:noWrap w:val="0"/>
            <w:vAlign w:val="center"/>
          </w:tcPr>
          <w:p w14:paraId="5B88873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500≤Y＜20000</w:t>
            </w:r>
          </w:p>
        </w:tc>
        <w:tc>
          <w:tcPr>
            <w:tcW w:w="1426" w:type="dxa"/>
            <w:noWrap w:val="0"/>
            <w:vAlign w:val="center"/>
          </w:tcPr>
          <w:p w14:paraId="1F720468">
            <w:pPr>
              <w:keepNext w:val="0"/>
              <w:keepLines w:val="0"/>
              <w:pageBreakBefore w:val="0"/>
              <w:widowControl/>
              <w:kinsoku/>
              <w:wordWrap/>
              <w:overflowPunct/>
              <w:topLinePunct w:val="0"/>
              <w:autoSpaceDE/>
              <w:autoSpaceDN/>
              <w:bidi w:val="0"/>
              <w:adjustRightInd/>
              <w:snapToGrid/>
              <w:spacing w:line="288" w:lineRule="auto"/>
              <w:ind w:left="-1" w:leftChars="-1" w:hanging="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100≤Y＜500 </w:t>
            </w:r>
          </w:p>
        </w:tc>
        <w:tc>
          <w:tcPr>
            <w:tcW w:w="992" w:type="dxa"/>
            <w:noWrap w:val="0"/>
            <w:vAlign w:val="center"/>
          </w:tcPr>
          <w:p w14:paraId="3C3C895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w:t>
            </w:r>
          </w:p>
        </w:tc>
      </w:tr>
      <w:tr w14:paraId="7289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noWrap w:val="0"/>
            <w:vAlign w:val="center"/>
          </w:tcPr>
          <w:p w14:paraId="2AEB70B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交通运输业 *</w:t>
            </w:r>
          </w:p>
        </w:tc>
        <w:tc>
          <w:tcPr>
            <w:tcW w:w="1568" w:type="dxa"/>
            <w:noWrap w:val="0"/>
            <w:vAlign w:val="center"/>
          </w:tcPr>
          <w:p w14:paraId="784CFE5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02EB105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33EFBAA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X≥1000</w:t>
            </w:r>
          </w:p>
        </w:tc>
        <w:tc>
          <w:tcPr>
            <w:tcW w:w="1701" w:type="dxa"/>
            <w:noWrap w:val="0"/>
            <w:vAlign w:val="center"/>
          </w:tcPr>
          <w:p w14:paraId="55F6987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300≤X＜1000</w:t>
            </w:r>
          </w:p>
        </w:tc>
        <w:tc>
          <w:tcPr>
            <w:tcW w:w="1426" w:type="dxa"/>
            <w:noWrap w:val="0"/>
            <w:vAlign w:val="center"/>
          </w:tcPr>
          <w:p w14:paraId="610C192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20≤X＜300</w:t>
            </w:r>
          </w:p>
        </w:tc>
        <w:tc>
          <w:tcPr>
            <w:tcW w:w="992" w:type="dxa"/>
            <w:noWrap w:val="0"/>
            <w:vAlign w:val="center"/>
          </w:tcPr>
          <w:p w14:paraId="71A175C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X＜20</w:t>
            </w:r>
          </w:p>
        </w:tc>
      </w:tr>
      <w:tr w14:paraId="7424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noWrap w:val="0"/>
            <w:vAlign w:val="center"/>
          </w:tcPr>
          <w:p w14:paraId="7B4F695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p>
        </w:tc>
        <w:tc>
          <w:tcPr>
            <w:tcW w:w="1568" w:type="dxa"/>
            <w:noWrap w:val="0"/>
            <w:vAlign w:val="center"/>
          </w:tcPr>
          <w:p w14:paraId="34179EE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37C937C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5759826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Y≥30000</w:t>
            </w:r>
          </w:p>
        </w:tc>
        <w:tc>
          <w:tcPr>
            <w:tcW w:w="1701" w:type="dxa"/>
            <w:noWrap w:val="0"/>
            <w:vAlign w:val="center"/>
          </w:tcPr>
          <w:p w14:paraId="1FC02D8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3000≤Y＜30000</w:t>
            </w:r>
          </w:p>
        </w:tc>
        <w:tc>
          <w:tcPr>
            <w:tcW w:w="1426" w:type="dxa"/>
            <w:noWrap w:val="0"/>
            <w:vAlign w:val="center"/>
          </w:tcPr>
          <w:p w14:paraId="791855E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200≤Y＜3000</w:t>
            </w:r>
          </w:p>
        </w:tc>
        <w:tc>
          <w:tcPr>
            <w:tcW w:w="992" w:type="dxa"/>
            <w:noWrap w:val="0"/>
            <w:vAlign w:val="center"/>
          </w:tcPr>
          <w:p w14:paraId="699F232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Y＜200</w:t>
            </w:r>
          </w:p>
        </w:tc>
      </w:tr>
      <w:tr w14:paraId="50FC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noWrap w:val="0"/>
            <w:vAlign w:val="center"/>
          </w:tcPr>
          <w:p w14:paraId="67A7831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仓储业*</w:t>
            </w:r>
          </w:p>
        </w:tc>
        <w:tc>
          <w:tcPr>
            <w:tcW w:w="1568" w:type="dxa"/>
            <w:noWrap w:val="0"/>
            <w:vAlign w:val="center"/>
          </w:tcPr>
          <w:p w14:paraId="0DA2AE2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5B84889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2B00B82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X≥200</w:t>
            </w:r>
          </w:p>
        </w:tc>
        <w:tc>
          <w:tcPr>
            <w:tcW w:w="1701" w:type="dxa"/>
            <w:noWrap w:val="0"/>
            <w:vAlign w:val="center"/>
          </w:tcPr>
          <w:p w14:paraId="60BA0ECB">
            <w:pPr>
              <w:keepNext w:val="0"/>
              <w:keepLines w:val="0"/>
              <w:pageBreakBefore w:val="0"/>
              <w:widowControl/>
              <w:kinsoku/>
              <w:wordWrap/>
              <w:overflowPunct/>
              <w:topLinePunct w:val="0"/>
              <w:autoSpaceDE/>
              <w:autoSpaceDN/>
              <w:bidi w:val="0"/>
              <w:adjustRightInd/>
              <w:snapToGrid/>
              <w:spacing w:line="288" w:lineRule="auto"/>
              <w:ind w:left="24" w:leftChars="-51" w:hanging="126" w:hangingChars="6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100≤X＜200</w:t>
            </w:r>
          </w:p>
        </w:tc>
        <w:tc>
          <w:tcPr>
            <w:tcW w:w="1426" w:type="dxa"/>
            <w:noWrap w:val="0"/>
            <w:vAlign w:val="center"/>
          </w:tcPr>
          <w:p w14:paraId="726E324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20≤X＜100</w:t>
            </w:r>
          </w:p>
        </w:tc>
        <w:tc>
          <w:tcPr>
            <w:tcW w:w="992" w:type="dxa"/>
            <w:noWrap w:val="0"/>
            <w:vAlign w:val="center"/>
          </w:tcPr>
          <w:p w14:paraId="62D38FA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X＜20</w:t>
            </w:r>
          </w:p>
        </w:tc>
      </w:tr>
      <w:tr w14:paraId="45AE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noWrap w:val="0"/>
            <w:vAlign w:val="center"/>
          </w:tcPr>
          <w:p w14:paraId="774FCCF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p>
        </w:tc>
        <w:tc>
          <w:tcPr>
            <w:tcW w:w="1568" w:type="dxa"/>
            <w:noWrap w:val="0"/>
            <w:vAlign w:val="center"/>
          </w:tcPr>
          <w:p w14:paraId="780E1C7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215BB6C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1B537CD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Y≥30000</w:t>
            </w:r>
          </w:p>
        </w:tc>
        <w:tc>
          <w:tcPr>
            <w:tcW w:w="1701" w:type="dxa"/>
            <w:noWrap w:val="0"/>
            <w:vAlign w:val="center"/>
          </w:tcPr>
          <w:p w14:paraId="1F0D0A5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1000≤Y＜30000</w:t>
            </w:r>
          </w:p>
        </w:tc>
        <w:tc>
          <w:tcPr>
            <w:tcW w:w="1426" w:type="dxa"/>
            <w:noWrap w:val="0"/>
            <w:vAlign w:val="center"/>
          </w:tcPr>
          <w:p w14:paraId="78B3985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100≤Y＜1000</w:t>
            </w:r>
          </w:p>
        </w:tc>
        <w:tc>
          <w:tcPr>
            <w:tcW w:w="992" w:type="dxa"/>
            <w:noWrap w:val="0"/>
            <w:vAlign w:val="center"/>
          </w:tcPr>
          <w:p w14:paraId="3EF8503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w:t>
            </w:r>
          </w:p>
        </w:tc>
      </w:tr>
      <w:tr w14:paraId="793A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noWrap w:val="0"/>
            <w:vAlign w:val="center"/>
          </w:tcPr>
          <w:p w14:paraId="02F87D4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邮政业</w:t>
            </w:r>
          </w:p>
        </w:tc>
        <w:tc>
          <w:tcPr>
            <w:tcW w:w="1568" w:type="dxa"/>
            <w:noWrap w:val="0"/>
            <w:vAlign w:val="center"/>
          </w:tcPr>
          <w:p w14:paraId="64FFF83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18A38D7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70782AB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X≥1000</w:t>
            </w:r>
          </w:p>
        </w:tc>
        <w:tc>
          <w:tcPr>
            <w:tcW w:w="1701" w:type="dxa"/>
            <w:noWrap w:val="0"/>
            <w:vAlign w:val="center"/>
          </w:tcPr>
          <w:p w14:paraId="52C9737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300≤X＜1000</w:t>
            </w:r>
          </w:p>
        </w:tc>
        <w:tc>
          <w:tcPr>
            <w:tcW w:w="1426" w:type="dxa"/>
            <w:noWrap w:val="0"/>
            <w:vAlign w:val="center"/>
          </w:tcPr>
          <w:p w14:paraId="233128A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20≤X＜300</w:t>
            </w:r>
          </w:p>
        </w:tc>
        <w:tc>
          <w:tcPr>
            <w:tcW w:w="992" w:type="dxa"/>
            <w:noWrap w:val="0"/>
            <w:vAlign w:val="center"/>
          </w:tcPr>
          <w:p w14:paraId="4D84A0E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X＜20</w:t>
            </w:r>
          </w:p>
        </w:tc>
      </w:tr>
      <w:tr w14:paraId="0677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noWrap w:val="0"/>
            <w:vAlign w:val="center"/>
          </w:tcPr>
          <w:p w14:paraId="7549E98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p>
        </w:tc>
        <w:tc>
          <w:tcPr>
            <w:tcW w:w="1568" w:type="dxa"/>
            <w:noWrap w:val="0"/>
            <w:vAlign w:val="center"/>
          </w:tcPr>
          <w:p w14:paraId="2B92503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3934455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319181D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Y≥30000</w:t>
            </w:r>
          </w:p>
        </w:tc>
        <w:tc>
          <w:tcPr>
            <w:tcW w:w="1701" w:type="dxa"/>
            <w:noWrap w:val="0"/>
            <w:vAlign w:val="center"/>
          </w:tcPr>
          <w:p w14:paraId="5588281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2000≤Y＜30000</w:t>
            </w:r>
          </w:p>
        </w:tc>
        <w:tc>
          <w:tcPr>
            <w:tcW w:w="1426" w:type="dxa"/>
            <w:noWrap w:val="0"/>
            <w:vAlign w:val="center"/>
          </w:tcPr>
          <w:p w14:paraId="5A066F6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100≤Y＜2000</w:t>
            </w:r>
          </w:p>
        </w:tc>
        <w:tc>
          <w:tcPr>
            <w:tcW w:w="992" w:type="dxa"/>
            <w:noWrap w:val="0"/>
            <w:vAlign w:val="center"/>
          </w:tcPr>
          <w:p w14:paraId="48E41F0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w:t>
            </w:r>
          </w:p>
        </w:tc>
      </w:tr>
      <w:tr w14:paraId="2146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noWrap w:val="0"/>
            <w:vAlign w:val="center"/>
          </w:tcPr>
          <w:p w14:paraId="566B416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住宿业</w:t>
            </w:r>
          </w:p>
        </w:tc>
        <w:tc>
          <w:tcPr>
            <w:tcW w:w="1568" w:type="dxa"/>
            <w:noWrap w:val="0"/>
            <w:vAlign w:val="center"/>
          </w:tcPr>
          <w:p w14:paraId="72BB034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5795C02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55731D7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X≥300</w:t>
            </w:r>
          </w:p>
        </w:tc>
        <w:tc>
          <w:tcPr>
            <w:tcW w:w="1701" w:type="dxa"/>
            <w:noWrap w:val="0"/>
            <w:vAlign w:val="center"/>
          </w:tcPr>
          <w:p w14:paraId="38956F6C">
            <w:pPr>
              <w:keepNext w:val="0"/>
              <w:keepLines w:val="0"/>
              <w:pageBreakBefore w:val="0"/>
              <w:widowControl/>
              <w:kinsoku/>
              <w:wordWrap/>
              <w:overflowPunct/>
              <w:topLinePunct w:val="0"/>
              <w:autoSpaceDE/>
              <w:autoSpaceDN/>
              <w:bidi w:val="0"/>
              <w:adjustRightInd/>
              <w:snapToGrid/>
              <w:spacing w:line="288" w:lineRule="auto"/>
              <w:ind w:left="24" w:leftChars="-51" w:hanging="126" w:hangingChars="6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100≤X＜300 </w:t>
            </w:r>
          </w:p>
        </w:tc>
        <w:tc>
          <w:tcPr>
            <w:tcW w:w="1426" w:type="dxa"/>
            <w:noWrap w:val="0"/>
            <w:vAlign w:val="center"/>
          </w:tcPr>
          <w:p w14:paraId="600F25E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10≤X＜100</w:t>
            </w:r>
          </w:p>
        </w:tc>
        <w:tc>
          <w:tcPr>
            <w:tcW w:w="992" w:type="dxa"/>
            <w:noWrap w:val="0"/>
            <w:vAlign w:val="center"/>
          </w:tcPr>
          <w:p w14:paraId="30BFF29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w:t>
            </w:r>
          </w:p>
        </w:tc>
      </w:tr>
      <w:tr w14:paraId="7C6F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noWrap w:val="0"/>
            <w:vAlign w:val="center"/>
          </w:tcPr>
          <w:p w14:paraId="16CA3B6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p>
        </w:tc>
        <w:tc>
          <w:tcPr>
            <w:tcW w:w="1568" w:type="dxa"/>
            <w:noWrap w:val="0"/>
            <w:vAlign w:val="center"/>
          </w:tcPr>
          <w:p w14:paraId="27DD934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1976D16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258C8DB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Y≥10000</w:t>
            </w:r>
          </w:p>
        </w:tc>
        <w:tc>
          <w:tcPr>
            <w:tcW w:w="1701" w:type="dxa"/>
            <w:noWrap w:val="0"/>
            <w:vAlign w:val="center"/>
          </w:tcPr>
          <w:p w14:paraId="72B2712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2000≤Y＜10000</w:t>
            </w:r>
          </w:p>
        </w:tc>
        <w:tc>
          <w:tcPr>
            <w:tcW w:w="1426" w:type="dxa"/>
            <w:noWrap w:val="0"/>
            <w:vAlign w:val="center"/>
          </w:tcPr>
          <w:p w14:paraId="7043967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100≤Y＜2000</w:t>
            </w:r>
          </w:p>
        </w:tc>
        <w:tc>
          <w:tcPr>
            <w:tcW w:w="992" w:type="dxa"/>
            <w:noWrap w:val="0"/>
            <w:vAlign w:val="center"/>
          </w:tcPr>
          <w:p w14:paraId="423E4B1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w:t>
            </w:r>
          </w:p>
        </w:tc>
      </w:tr>
      <w:tr w14:paraId="460B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noWrap w:val="0"/>
            <w:vAlign w:val="center"/>
          </w:tcPr>
          <w:p w14:paraId="1BF616C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餐饮业</w:t>
            </w:r>
          </w:p>
        </w:tc>
        <w:tc>
          <w:tcPr>
            <w:tcW w:w="1568" w:type="dxa"/>
            <w:noWrap w:val="0"/>
            <w:vAlign w:val="center"/>
          </w:tcPr>
          <w:p w14:paraId="2D6A743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664B610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600C31C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X≥300</w:t>
            </w:r>
          </w:p>
        </w:tc>
        <w:tc>
          <w:tcPr>
            <w:tcW w:w="1701" w:type="dxa"/>
            <w:noWrap w:val="0"/>
            <w:vAlign w:val="center"/>
          </w:tcPr>
          <w:p w14:paraId="21259C7C">
            <w:pPr>
              <w:keepNext w:val="0"/>
              <w:keepLines w:val="0"/>
              <w:pageBreakBefore w:val="0"/>
              <w:widowControl/>
              <w:kinsoku/>
              <w:wordWrap/>
              <w:overflowPunct/>
              <w:topLinePunct w:val="0"/>
              <w:autoSpaceDE/>
              <w:autoSpaceDN/>
              <w:bidi w:val="0"/>
              <w:adjustRightInd/>
              <w:snapToGrid/>
              <w:spacing w:line="288" w:lineRule="auto"/>
              <w:ind w:left="24" w:leftChars="-51" w:hanging="126" w:hangingChars="6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100≤X＜300 </w:t>
            </w:r>
          </w:p>
        </w:tc>
        <w:tc>
          <w:tcPr>
            <w:tcW w:w="1426" w:type="dxa"/>
            <w:noWrap w:val="0"/>
            <w:vAlign w:val="center"/>
          </w:tcPr>
          <w:p w14:paraId="34D82E0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10≤X＜100</w:t>
            </w:r>
          </w:p>
        </w:tc>
        <w:tc>
          <w:tcPr>
            <w:tcW w:w="992" w:type="dxa"/>
            <w:noWrap w:val="0"/>
            <w:vAlign w:val="center"/>
          </w:tcPr>
          <w:p w14:paraId="1DB5A61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w:t>
            </w:r>
          </w:p>
        </w:tc>
      </w:tr>
      <w:tr w14:paraId="265A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noWrap w:val="0"/>
            <w:vAlign w:val="center"/>
          </w:tcPr>
          <w:p w14:paraId="754D929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p>
        </w:tc>
        <w:tc>
          <w:tcPr>
            <w:tcW w:w="1568" w:type="dxa"/>
            <w:noWrap w:val="0"/>
            <w:vAlign w:val="center"/>
          </w:tcPr>
          <w:p w14:paraId="7DFD4A0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7A1543B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0C02864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Y≥10000</w:t>
            </w:r>
          </w:p>
        </w:tc>
        <w:tc>
          <w:tcPr>
            <w:tcW w:w="1701" w:type="dxa"/>
            <w:noWrap w:val="0"/>
            <w:vAlign w:val="center"/>
          </w:tcPr>
          <w:p w14:paraId="32318FB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2000≤Y＜10000</w:t>
            </w:r>
          </w:p>
        </w:tc>
        <w:tc>
          <w:tcPr>
            <w:tcW w:w="1426" w:type="dxa"/>
            <w:noWrap w:val="0"/>
            <w:vAlign w:val="center"/>
          </w:tcPr>
          <w:p w14:paraId="55E5D0B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100≤Y＜2000</w:t>
            </w:r>
          </w:p>
        </w:tc>
        <w:tc>
          <w:tcPr>
            <w:tcW w:w="992" w:type="dxa"/>
            <w:noWrap w:val="0"/>
            <w:vAlign w:val="center"/>
          </w:tcPr>
          <w:p w14:paraId="1F1E5B6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w:t>
            </w:r>
          </w:p>
        </w:tc>
      </w:tr>
      <w:tr w14:paraId="0492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noWrap w:val="0"/>
            <w:vAlign w:val="center"/>
          </w:tcPr>
          <w:p w14:paraId="0A618E6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信息传输业*</w:t>
            </w:r>
          </w:p>
        </w:tc>
        <w:tc>
          <w:tcPr>
            <w:tcW w:w="1568" w:type="dxa"/>
            <w:noWrap w:val="0"/>
            <w:vAlign w:val="center"/>
          </w:tcPr>
          <w:p w14:paraId="6CE0357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7080B55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483AB58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X≥2000</w:t>
            </w:r>
          </w:p>
        </w:tc>
        <w:tc>
          <w:tcPr>
            <w:tcW w:w="1701" w:type="dxa"/>
            <w:noWrap w:val="0"/>
            <w:vAlign w:val="center"/>
          </w:tcPr>
          <w:p w14:paraId="4D32F1F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100≤X＜2000</w:t>
            </w:r>
          </w:p>
        </w:tc>
        <w:tc>
          <w:tcPr>
            <w:tcW w:w="1426" w:type="dxa"/>
            <w:noWrap w:val="0"/>
            <w:vAlign w:val="center"/>
          </w:tcPr>
          <w:p w14:paraId="1B453AC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10≤X＜100</w:t>
            </w:r>
          </w:p>
        </w:tc>
        <w:tc>
          <w:tcPr>
            <w:tcW w:w="992" w:type="dxa"/>
            <w:noWrap w:val="0"/>
            <w:vAlign w:val="center"/>
          </w:tcPr>
          <w:p w14:paraId="0505503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w:t>
            </w:r>
          </w:p>
        </w:tc>
      </w:tr>
      <w:tr w14:paraId="55D8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noWrap w:val="0"/>
            <w:vAlign w:val="center"/>
          </w:tcPr>
          <w:p w14:paraId="1BE3ADF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p>
        </w:tc>
        <w:tc>
          <w:tcPr>
            <w:tcW w:w="1568" w:type="dxa"/>
            <w:noWrap w:val="0"/>
            <w:vAlign w:val="center"/>
          </w:tcPr>
          <w:p w14:paraId="6589264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3A3E1A1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21C2FC8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Y≥100000</w:t>
            </w:r>
          </w:p>
        </w:tc>
        <w:tc>
          <w:tcPr>
            <w:tcW w:w="1701" w:type="dxa"/>
            <w:noWrap w:val="0"/>
            <w:vAlign w:val="center"/>
          </w:tcPr>
          <w:p w14:paraId="75B7CB8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1000≤Y＜100000</w:t>
            </w:r>
          </w:p>
        </w:tc>
        <w:tc>
          <w:tcPr>
            <w:tcW w:w="1426" w:type="dxa"/>
            <w:noWrap w:val="0"/>
            <w:vAlign w:val="center"/>
          </w:tcPr>
          <w:p w14:paraId="6D433F2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100≤Y＜1000</w:t>
            </w:r>
          </w:p>
        </w:tc>
        <w:tc>
          <w:tcPr>
            <w:tcW w:w="992" w:type="dxa"/>
            <w:noWrap w:val="0"/>
            <w:vAlign w:val="center"/>
          </w:tcPr>
          <w:p w14:paraId="704D21E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w:t>
            </w:r>
          </w:p>
        </w:tc>
      </w:tr>
      <w:tr w14:paraId="721D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restart"/>
            <w:noWrap w:val="0"/>
            <w:vAlign w:val="center"/>
          </w:tcPr>
          <w:p w14:paraId="1F961B9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pacing w:val="-12"/>
                <w:sz w:val="21"/>
                <w:szCs w:val="21"/>
                <w:highlight w:val="none"/>
              </w:rPr>
            </w:pPr>
            <w:r>
              <w:rPr>
                <w:rFonts w:hint="eastAsia" w:ascii="宋体" w:hAnsi="宋体" w:eastAsia="宋体" w:cs="宋体"/>
                <w:b/>
                <w:color w:val="auto"/>
                <w:spacing w:val="-12"/>
                <w:sz w:val="21"/>
                <w:szCs w:val="21"/>
                <w:highlight w:val="none"/>
              </w:rPr>
              <w:t>软件和信息技术服</w:t>
            </w:r>
            <w:r>
              <w:rPr>
                <w:rFonts w:hint="eastAsia" w:ascii="宋体" w:hAnsi="宋体" w:eastAsia="宋体" w:cs="宋体"/>
                <w:b/>
                <w:color w:val="auto"/>
                <w:sz w:val="21"/>
                <w:szCs w:val="21"/>
                <w:highlight w:val="none"/>
              </w:rPr>
              <w:t>务业</w:t>
            </w:r>
          </w:p>
        </w:tc>
        <w:tc>
          <w:tcPr>
            <w:tcW w:w="1568" w:type="dxa"/>
            <w:noWrap w:val="0"/>
            <w:vAlign w:val="center"/>
          </w:tcPr>
          <w:p w14:paraId="79E4409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1ED6327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3F6FCBE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X≥300</w:t>
            </w:r>
          </w:p>
        </w:tc>
        <w:tc>
          <w:tcPr>
            <w:tcW w:w="1701" w:type="dxa"/>
            <w:noWrap w:val="0"/>
            <w:vAlign w:val="center"/>
          </w:tcPr>
          <w:p w14:paraId="36394003">
            <w:pPr>
              <w:keepNext w:val="0"/>
              <w:keepLines w:val="0"/>
              <w:pageBreakBefore w:val="0"/>
              <w:widowControl/>
              <w:kinsoku/>
              <w:wordWrap/>
              <w:overflowPunct/>
              <w:topLinePunct w:val="0"/>
              <w:autoSpaceDE/>
              <w:autoSpaceDN/>
              <w:bidi w:val="0"/>
              <w:adjustRightInd/>
              <w:snapToGrid/>
              <w:spacing w:line="288" w:lineRule="auto"/>
              <w:ind w:left="24" w:leftChars="-51" w:hanging="126" w:hangingChars="6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100≤X＜300 </w:t>
            </w:r>
          </w:p>
        </w:tc>
        <w:tc>
          <w:tcPr>
            <w:tcW w:w="1426" w:type="dxa"/>
            <w:noWrap w:val="0"/>
            <w:vAlign w:val="center"/>
          </w:tcPr>
          <w:p w14:paraId="012B08E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10≤X＜100</w:t>
            </w:r>
          </w:p>
        </w:tc>
        <w:tc>
          <w:tcPr>
            <w:tcW w:w="992" w:type="dxa"/>
            <w:noWrap w:val="0"/>
            <w:vAlign w:val="center"/>
          </w:tcPr>
          <w:p w14:paraId="50EBCFE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w:t>
            </w:r>
          </w:p>
        </w:tc>
      </w:tr>
      <w:tr w14:paraId="58D5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continue"/>
            <w:noWrap w:val="0"/>
            <w:vAlign w:val="center"/>
          </w:tcPr>
          <w:p w14:paraId="32C07F8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pacing w:val="-12"/>
                <w:sz w:val="21"/>
                <w:szCs w:val="21"/>
                <w:highlight w:val="none"/>
              </w:rPr>
            </w:pPr>
          </w:p>
        </w:tc>
        <w:tc>
          <w:tcPr>
            <w:tcW w:w="1568" w:type="dxa"/>
            <w:noWrap w:val="0"/>
            <w:vAlign w:val="center"/>
          </w:tcPr>
          <w:p w14:paraId="42A8E62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65D2174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3D9E6BC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Y≥10000</w:t>
            </w:r>
          </w:p>
        </w:tc>
        <w:tc>
          <w:tcPr>
            <w:tcW w:w="1701" w:type="dxa"/>
            <w:noWrap w:val="0"/>
            <w:vAlign w:val="center"/>
          </w:tcPr>
          <w:p w14:paraId="5DC14A3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1000≤Y＜10000</w:t>
            </w:r>
          </w:p>
        </w:tc>
        <w:tc>
          <w:tcPr>
            <w:tcW w:w="1426" w:type="dxa"/>
            <w:noWrap w:val="0"/>
            <w:vAlign w:val="center"/>
          </w:tcPr>
          <w:p w14:paraId="34E897E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50≤Y＜1000</w:t>
            </w:r>
          </w:p>
        </w:tc>
        <w:tc>
          <w:tcPr>
            <w:tcW w:w="992" w:type="dxa"/>
            <w:noWrap w:val="0"/>
            <w:vAlign w:val="center"/>
          </w:tcPr>
          <w:p w14:paraId="1D1B386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Y＜50</w:t>
            </w:r>
          </w:p>
        </w:tc>
      </w:tr>
      <w:tr w14:paraId="2C7B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restart"/>
            <w:noWrap w:val="0"/>
            <w:vAlign w:val="center"/>
          </w:tcPr>
          <w:p w14:paraId="3961F11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房地产开发经营</w:t>
            </w:r>
          </w:p>
        </w:tc>
        <w:tc>
          <w:tcPr>
            <w:tcW w:w="1568" w:type="dxa"/>
            <w:noWrap w:val="0"/>
            <w:vAlign w:val="center"/>
          </w:tcPr>
          <w:p w14:paraId="60E580A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4CE4616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4BF9193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Y≥200000</w:t>
            </w:r>
          </w:p>
        </w:tc>
        <w:tc>
          <w:tcPr>
            <w:tcW w:w="1701" w:type="dxa"/>
            <w:noWrap w:val="0"/>
            <w:vAlign w:val="center"/>
          </w:tcPr>
          <w:p w14:paraId="1483D7D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1000≤Y＜200000</w:t>
            </w:r>
          </w:p>
        </w:tc>
        <w:tc>
          <w:tcPr>
            <w:tcW w:w="1426" w:type="dxa"/>
            <w:noWrap w:val="0"/>
            <w:vAlign w:val="center"/>
          </w:tcPr>
          <w:p w14:paraId="63FD10D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100≤Y＜1000</w:t>
            </w:r>
          </w:p>
        </w:tc>
        <w:tc>
          <w:tcPr>
            <w:tcW w:w="992" w:type="dxa"/>
            <w:noWrap w:val="0"/>
            <w:vAlign w:val="center"/>
          </w:tcPr>
          <w:p w14:paraId="01567A6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w:t>
            </w:r>
          </w:p>
        </w:tc>
      </w:tr>
      <w:tr w14:paraId="1873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continue"/>
            <w:noWrap w:val="0"/>
            <w:vAlign w:val="center"/>
          </w:tcPr>
          <w:p w14:paraId="4FB5AAC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p>
        </w:tc>
        <w:tc>
          <w:tcPr>
            <w:tcW w:w="1568" w:type="dxa"/>
            <w:noWrap w:val="0"/>
            <w:vAlign w:val="center"/>
          </w:tcPr>
          <w:p w14:paraId="339451F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资产总额(Z)</w:t>
            </w:r>
          </w:p>
        </w:tc>
        <w:tc>
          <w:tcPr>
            <w:tcW w:w="709" w:type="dxa"/>
            <w:noWrap w:val="0"/>
            <w:vAlign w:val="center"/>
          </w:tcPr>
          <w:p w14:paraId="5BCCA2F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4BDF8D0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Z≥10000</w:t>
            </w:r>
          </w:p>
        </w:tc>
        <w:tc>
          <w:tcPr>
            <w:tcW w:w="1701" w:type="dxa"/>
            <w:noWrap w:val="0"/>
            <w:vAlign w:val="center"/>
          </w:tcPr>
          <w:p w14:paraId="29810AC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5000≤Z＜10000</w:t>
            </w:r>
          </w:p>
        </w:tc>
        <w:tc>
          <w:tcPr>
            <w:tcW w:w="1426" w:type="dxa"/>
            <w:noWrap w:val="0"/>
            <w:vAlign w:val="center"/>
          </w:tcPr>
          <w:p w14:paraId="55EF499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2000≤Z＜5000   </w:t>
            </w:r>
          </w:p>
        </w:tc>
        <w:tc>
          <w:tcPr>
            <w:tcW w:w="992" w:type="dxa"/>
            <w:noWrap w:val="0"/>
            <w:vAlign w:val="center"/>
          </w:tcPr>
          <w:p w14:paraId="7DFC31F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Z＜2000</w:t>
            </w:r>
          </w:p>
        </w:tc>
      </w:tr>
      <w:tr w14:paraId="4041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restart"/>
            <w:noWrap w:val="0"/>
            <w:vAlign w:val="center"/>
          </w:tcPr>
          <w:p w14:paraId="7FA2E84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物业管理</w:t>
            </w:r>
          </w:p>
        </w:tc>
        <w:tc>
          <w:tcPr>
            <w:tcW w:w="1568" w:type="dxa"/>
            <w:noWrap w:val="0"/>
            <w:vAlign w:val="center"/>
          </w:tcPr>
          <w:p w14:paraId="7525C3D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4C11B18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1741C2A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X≥1000</w:t>
            </w:r>
          </w:p>
        </w:tc>
        <w:tc>
          <w:tcPr>
            <w:tcW w:w="1701" w:type="dxa"/>
            <w:noWrap w:val="0"/>
            <w:vAlign w:val="center"/>
          </w:tcPr>
          <w:p w14:paraId="54E5E4F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300≤X＜1000</w:t>
            </w:r>
          </w:p>
        </w:tc>
        <w:tc>
          <w:tcPr>
            <w:tcW w:w="1426" w:type="dxa"/>
            <w:noWrap w:val="0"/>
            <w:vAlign w:val="center"/>
          </w:tcPr>
          <w:p w14:paraId="70A1F91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100≤X＜300 </w:t>
            </w:r>
          </w:p>
        </w:tc>
        <w:tc>
          <w:tcPr>
            <w:tcW w:w="992" w:type="dxa"/>
            <w:noWrap w:val="0"/>
            <w:vAlign w:val="center"/>
          </w:tcPr>
          <w:p w14:paraId="6A05AAF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X＜100</w:t>
            </w:r>
          </w:p>
        </w:tc>
      </w:tr>
      <w:tr w14:paraId="2926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continue"/>
            <w:noWrap w:val="0"/>
            <w:vAlign w:val="center"/>
          </w:tcPr>
          <w:p w14:paraId="24EB96C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p>
        </w:tc>
        <w:tc>
          <w:tcPr>
            <w:tcW w:w="1568" w:type="dxa"/>
            <w:noWrap w:val="0"/>
            <w:vAlign w:val="center"/>
          </w:tcPr>
          <w:p w14:paraId="0F96458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71E7584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7D853C7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Y≥5000</w:t>
            </w:r>
          </w:p>
        </w:tc>
        <w:tc>
          <w:tcPr>
            <w:tcW w:w="1701" w:type="dxa"/>
            <w:noWrap w:val="0"/>
            <w:vAlign w:val="center"/>
          </w:tcPr>
          <w:p w14:paraId="664B4070">
            <w:pPr>
              <w:keepNext w:val="0"/>
              <w:keepLines w:val="0"/>
              <w:pageBreakBefore w:val="0"/>
              <w:widowControl/>
              <w:kinsoku/>
              <w:wordWrap/>
              <w:overflowPunct/>
              <w:topLinePunct w:val="0"/>
              <w:autoSpaceDE/>
              <w:autoSpaceDN/>
              <w:bidi w:val="0"/>
              <w:adjustRightInd/>
              <w:snapToGrid/>
              <w:spacing w:line="288" w:lineRule="auto"/>
              <w:ind w:left="24" w:leftChars="-51" w:hanging="126" w:hangingChars="6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1000≤Y＜5000 </w:t>
            </w:r>
          </w:p>
        </w:tc>
        <w:tc>
          <w:tcPr>
            <w:tcW w:w="1426" w:type="dxa"/>
            <w:noWrap w:val="0"/>
            <w:vAlign w:val="center"/>
          </w:tcPr>
          <w:p w14:paraId="109F4D8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500≤Y＜1000</w:t>
            </w:r>
          </w:p>
        </w:tc>
        <w:tc>
          <w:tcPr>
            <w:tcW w:w="992" w:type="dxa"/>
            <w:noWrap w:val="0"/>
            <w:vAlign w:val="center"/>
          </w:tcPr>
          <w:p w14:paraId="63E3A7B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Y＜500</w:t>
            </w:r>
          </w:p>
        </w:tc>
      </w:tr>
      <w:tr w14:paraId="2560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restart"/>
            <w:noWrap w:val="0"/>
            <w:vAlign w:val="center"/>
          </w:tcPr>
          <w:p w14:paraId="69AA505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租赁和商务服务业</w:t>
            </w:r>
          </w:p>
        </w:tc>
        <w:tc>
          <w:tcPr>
            <w:tcW w:w="1568" w:type="dxa"/>
            <w:noWrap w:val="0"/>
            <w:vAlign w:val="center"/>
          </w:tcPr>
          <w:p w14:paraId="65FED30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70DDFAB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34B8AB9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X≥300</w:t>
            </w:r>
          </w:p>
        </w:tc>
        <w:tc>
          <w:tcPr>
            <w:tcW w:w="1701" w:type="dxa"/>
            <w:noWrap w:val="0"/>
            <w:vAlign w:val="center"/>
          </w:tcPr>
          <w:p w14:paraId="70E4407E">
            <w:pPr>
              <w:keepNext w:val="0"/>
              <w:keepLines w:val="0"/>
              <w:pageBreakBefore w:val="0"/>
              <w:widowControl/>
              <w:kinsoku/>
              <w:wordWrap/>
              <w:overflowPunct/>
              <w:topLinePunct w:val="0"/>
              <w:autoSpaceDE/>
              <w:autoSpaceDN/>
              <w:bidi w:val="0"/>
              <w:adjustRightInd/>
              <w:snapToGrid/>
              <w:spacing w:line="288" w:lineRule="auto"/>
              <w:ind w:left="24" w:leftChars="-51" w:hanging="126" w:hangingChars="6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100≤X＜300 </w:t>
            </w:r>
          </w:p>
        </w:tc>
        <w:tc>
          <w:tcPr>
            <w:tcW w:w="1426" w:type="dxa"/>
            <w:noWrap w:val="0"/>
            <w:vAlign w:val="center"/>
          </w:tcPr>
          <w:p w14:paraId="2EF22E3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10≤X＜100</w:t>
            </w:r>
          </w:p>
        </w:tc>
        <w:tc>
          <w:tcPr>
            <w:tcW w:w="992" w:type="dxa"/>
            <w:noWrap w:val="0"/>
            <w:vAlign w:val="center"/>
          </w:tcPr>
          <w:p w14:paraId="19D2334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w:t>
            </w:r>
          </w:p>
        </w:tc>
      </w:tr>
      <w:tr w14:paraId="2623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continue"/>
            <w:noWrap w:val="0"/>
            <w:vAlign w:val="center"/>
          </w:tcPr>
          <w:p w14:paraId="1D4147A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p>
        </w:tc>
        <w:tc>
          <w:tcPr>
            <w:tcW w:w="1568" w:type="dxa"/>
            <w:noWrap w:val="0"/>
            <w:vAlign w:val="center"/>
          </w:tcPr>
          <w:p w14:paraId="694EC8C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资产总额(Z)</w:t>
            </w:r>
          </w:p>
        </w:tc>
        <w:tc>
          <w:tcPr>
            <w:tcW w:w="709" w:type="dxa"/>
            <w:noWrap w:val="0"/>
            <w:vAlign w:val="center"/>
          </w:tcPr>
          <w:p w14:paraId="68643B7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510102C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Z≥120000</w:t>
            </w:r>
          </w:p>
        </w:tc>
        <w:tc>
          <w:tcPr>
            <w:tcW w:w="1701" w:type="dxa"/>
            <w:noWrap w:val="0"/>
            <w:vAlign w:val="center"/>
          </w:tcPr>
          <w:p w14:paraId="6A36F1F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8000≤Z＜120000</w:t>
            </w:r>
          </w:p>
        </w:tc>
        <w:tc>
          <w:tcPr>
            <w:tcW w:w="1426" w:type="dxa"/>
            <w:noWrap w:val="0"/>
            <w:vAlign w:val="center"/>
          </w:tcPr>
          <w:p w14:paraId="569A4E0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100≤Z＜8000</w:t>
            </w:r>
          </w:p>
        </w:tc>
        <w:tc>
          <w:tcPr>
            <w:tcW w:w="992" w:type="dxa"/>
            <w:noWrap w:val="0"/>
            <w:vAlign w:val="center"/>
          </w:tcPr>
          <w:p w14:paraId="1499EE7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Z＜100</w:t>
            </w:r>
          </w:p>
        </w:tc>
      </w:tr>
      <w:tr w14:paraId="13C0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14" w:type="dxa"/>
            <w:noWrap w:val="0"/>
            <w:vAlign w:val="center"/>
          </w:tcPr>
          <w:p w14:paraId="3DE7581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其他未列明行业*</w:t>
            </w:r>
          </w:p>
        </w:tc>
        <w:tc>
          <w:tcPr>
            <w:tcW w:w="1568" w:type="dxa"/>
            <w:noWrap w:val="0"/>
            <w:vAlign w:val="center"/>
          </w:tcPr>
          <w:p w14:paraId="427494E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243D24A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5024F94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X≥300</w:t>
            </w:r>
          </w:p>
        </w:tc>
        <w:tc>
          <w:tcPr>
            <w:tcW w:w="1701" w:type="dxa"/>
            <w:noWrap w:val="0"/>
            <w:vAlign w:val="center"/>
          </w:tcPr>
          <w:p w14:paraId="019E92C4">
            <w:pPr>
              <w:keepNext w:val="0"/>
              <w:keepLines w:val="0"/>
              <w:pageBreakBefore w:val="0"/>
              <w:widowControl/>
              <w:kinsoku/>
              <w:wordWrap/>
              <w:overflowPunct/>
              <w:topLinePunct w:val="0"/>
              <w:autoSpaceDE/>
              <w:autoSpaceDN/>
              <w:bidi w:val="0"/>
              <w:adjustRightInd/>
              <w:snapToGrid/>
              <w:spacing w:line="288" w:lineRule="auto"/>
              <w:ind w:left="24" w:leftChars="-51" w:hanging="126" w:hangingChars="6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100≤X＜300 </w:t>
            </w:r>
          </w:p>
        </w:tc>
        <w:tc>
          <w:tcPr>
            <w:tcW w:w="1426" w:type="dxa"/>
            <w:noWrap w:val="0"/>
            <w:vAlign w:val="center"/>
          </w:tcPr>
          <w:p w14:paraId="1B5B546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10≤X＜100</w:t>
            </w:r>
          </w:p>
        </w:tc>
        <w:tc>
          <w:tcPr>
            <w:tcW w:w="992" w:type="dxa"/>
            <w:noWrap w:val="0"/>
            <w:vAlign w:val="center"/>
          </w:tcPr>
          <w:p w14:paraId="2385D0E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w:t>
            </w:r>
          </w:p>
        </w:tc>
      </w:tr>
    </w:tbl>
    <w:p w14:paraId="774BEB7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说明：</w:t>
      </w:r>
    </w:p>
    <w:p w14:paraId="374D445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　　1.大型、中型和小型企业须同时满足所列指标的下限，否则下划一档；微型企业只须满足所列指标中的一项即可。</w:t>
      </w:r>
    </w:p>
    <w:p w14:paraId="5727B866">
      <w:pPr>
        <w:keepNext w:val="0"/>
        <w:keepLines w:val="0"/>
        <w:pageBreakBefore w:val="0"/>
        <w:widowControl/>
        <w:kinsoku/>
        <w:wordWrap/>
        <w:overflowPunct/>
        <w:topLinePunct w:val="0"/>
        <w:autoSpaceDE/>
        <w:autoSpaceDN/>
        <w:bidi w:val="0"/>
        <w:adjustRightInd/>
        <w:snapToGrid/>
        <w:spacing w:line="288" w:lineRule="auto"/>
        <w:ind w:firstLine="452"/>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CD9C85B">
      <w:pPr>
        <w:keepNext w:val="0"/>
        <w:keepLines w:val="0"/>
        <w:pageBreakBefore w:val="0"/>
        <w:widowControl/>
        <w:kinsoku/>
        <w:wordWrap/>
        <w:overflowPunct/>
        <w:topLinePunct w:val="0"/>
        <w:autoSpaceDE/>
        <w:autoSpaceDN/>
        <w:bidi w:val="0"/>
        <w:adjustRightInd/>
        <w:snapToGrid/>
        <w:spacing w:line="288" w:lineRule="auto"/>
        <w:ind w:firstLine="45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813F6ED">
      <w:pPr>
        <w:keepNext w:val="0"/>
        <w:keepLines w:val="0"/>
        <w:pageBreakBefore w:val="0"/>
        <w:widowControl/>
        <w:kinsoku/>
        <w:wordWrap/>
        <w:overflowPunct/>
        <w:topLinePunct w:val="0"/>
        <w:autoSpaceDE/>
        <w:autoSpaceDN/>
        <w:bidi w:val="0"/>
        <w:adjustRightInd/>
        <w:snapToGrid/>
        <w:spacing w:line="288" w:lineRule="auto"/>
        <w:ind w:firstLine="452"/>
        <w:textAlignment w:val="auto"/>
        <w:rPr>
          <w:rFonts w:hint="eastAsia" w:ascii="宋体" w:hAnsi="宋体" w:eastAsia="宋体" w:cs="宋体"/>
          <w:color w:val="auto"/>
          <w:sz w:val="24"/>
          <w:szCs w:val="24"/>
          <w:highlight w:val="none"/>
        </w:rPr>
      </w:pPr>
    </w:p>
    <w:p w14:paraId="502FAD1B">
      <w:pPr>
        <w:rPr>
          <w:rFonts w:hint="eastAsia" w:ascii="宋体" w:hAnsi="宋体" w:eastAsia="宋体" w:cs="宋体"/>
          <w:color w:val="auto"/>
          <w:sz w:val="24"/>
          <w:szCs w:val="24"/>
          <w:highlight w:val="none"/>
        </w:rPr>
      </w:pPr>
    </w:p>
    <w:p w14:paraId="75950905">
      <w:pPr>
        <w:rPr>
          <w:rFonts w:ascii="宋体" w:hAnsi="宋体" w:cs="宋体"/>
          <w:color w:val="auto"/>
          <w:sz w:val="24"/>
          <w:szCs w:val="24"/>
          <w:highlight w:val="none"/>
        </w:rPr>
      </w:pPr>
      <w:r>
        <w:rPr>
          <w:rFonts w:ascii="宋体" w:hAnsi="宋体" w:cs="宋体"/>
          <w:color w:val="auto"/>
          <w:sz w:val="24"/>
          <w:szCs w:val="24"/>
          <w:highlight w:val="none"/>
        </w:rPr>
        <w:br w:type="page"/>
      </w:r>
    </w:p>
    <w:p w14:paraId="604B4DF1">
      <w:pPr>
        <w:pStyle w:val="39"/>
        <w:keepNext w:val="0"/>
        <w:keepLines w:val="0"/>
        <w:pageBreakBefore w:val="0"/>
        <w:widowControl/>
        <w:kinsoku/>
        <w:wordWrap/>
        <w:overflowPunct/>
        <w:topLinePunct w:val="0"/>
        <w:autoSpaceDE/>
        <w:autoSpaceDN/>
        <w:bidi w:val="0"/>
        <w:adjustRightInd/>
        <w:snapToGrid/>
        <w:spacing w:line="288" w:lineRule="auto"/>
        <w:ind w:firstLine="482" w:firstLineChars="200"/>
        <w:jc w:val="center"/>
        <w:textAlignment w:val="baseline"/>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国务院办公厅关于在政府采购中实施本国产品标准及相关政策的通知</w:t>
      </w:r>
    </w:p>
    <w:p w14:paraId="702C580B">
      <w:pPr>
        <w:pStyle w:val="39"/>
        <w:keepNext w:val="0"/>
        <w:keepLines w:val="0"/>
        <w:pageBreakBefore w:val="0"/>
        <w:widowControl/>
        <w:kinsoku/>
        <w:wordWrap/>
        <w:overflowPunct/>
        <w:topLinePunct w:val="0"/>
        <w:autoSpaceDE/>
        <w:autoSpaceDN/>
        <w:bidi w:val="0"/>
        <w:adjustRightInd/>
        <w:snapToGrid/>
        <w:spacing w:line="288" w:lineRule="auto"/>
        <w:ind w:firstLine="482" w:firstLineChars="200"/>
        <w:jc w:val="center"/>
        <w:textAlignment w:val="baseline"/>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国办发〔2025〕34号</w:t>
      </w:r>
    </w:p>
    <w:p w14:paraId="40A0A64D">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各省、自治区、直辖市人民政府，国务院各部委、各直属机构：</w:t>
      </w:r>
    </w:p>
    <w:p w14:paraId="1B7D25B8">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6C158499">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一、本国产品标准</w:t>
      </w:r>
    </w:p>
    <w:p w14:paraId="78B3E341">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本国产品应当符合以下条件：</w:t>
      </w:r>
    </w:p>
    <w:p w14:paraId="3B7E2E60">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（一）在中国境内生产</w:t>
      </w:r>
    </w:p>
    <w:p w14:paraId="6B1FB995">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产品应当在中国境内生产，即在中华人民共和国关境内实现从原材料、组件到产品的属性改变。</w:t>
      </w:r>
    </w:p>
    <w:p w14:paraId="4EA6E524">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属性改变是指经过制造、加工或者组装等工序，产生完全不同于原材料、组件的新产品，并具有新的名称和特征（用途）。属性改变不包括以下细微操作：</w:t>
      </w:r>
    </w:p>
    <w:p w14:paraId="25FB4C96">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1.为确保产品在运输或者储存期间保持某种状态而进行的操作；</w:t>
      </w:r>
    </w:p>
    <w:p w14:paraId="4D8C442F">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2.为产品运输或者销售进行的包装或者展示；</w:t>
      </w:r>
    </w:p>
    <w:p w14:paraId="78AC5BEC">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3.在产品或者其包装上粘贴或者印刷品牌、标志、标识以及其他用于区别的标记；</w:t>
      </w:r>
    </w:p>
    <w:p w14:paraId="41D3A7E5">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4.简单的上漆、磨光和分装；</w:t>
      </w:r>
    </w:p>
    <w:p w14:paraId="26593FC9">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5.其他不属于属性改变的情形。</w:t>
      </w:r>
    </w:p>
    <w:p w14:paraId="23784A5A">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（二）在中国境内生产的组件成本占比达到规定比例</w:t>
      </w:r>
    </w:p>
    <w:p w14:paraId="7FB25173">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产品在中国境内生产的组件成本占比应当达到规定比例，计算公式为：</w:t>
      </w:r>
    </w:p>
    <w:p w14:paraId="104CE070">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fldChar w:fldCharType="begin"/>
      </w:r>
      <w:r>
        <w:rPr>
          <w:rFonts w:hint="eastAsia" w:ascii="宋体" w:hAnsi="宋体" w:eastAsia="宋体" w:cs="宋体"/>
          <w:color w:val="auto"/>
          <w:sz w:val="21"/>
          <w:szCs w:val="21"/>
          <w:highlight w:val="none"/>
          <w:shd w:val="clear" w:color="auto" w:fill="FFFFFF"/>
        </w:rPr>
        <w:instrText xml:space="preserve">INCLUDEPICTURE \d "https://purchase-site-cdn.zcycdn.com/site_group/prod/site_1042025/11/11/6d5c404d-6ad7-4f10-ac5e-7283dfb444e0" \* MERGEFORMATINET </w:instrText>
      </w:r>
      <w:r>
        <w:rPr>
          <w:rFonts w:hint="eastAsia" w:ascii="宋体" w:hAnsi="宋体" w:eastAsia="宋体" w:cs="宋体"/>
          <w:color w:val="auto"/>
          <w:sz w:val="21"/>
          <w:szCs w:val="21"/>
          <w:highlight w:val="none"/>
          <w:shd w:val="clear" w:color="auto" w:fill="FFFFFF"/>
        </w:rPr>
        <w:fldChar w:fldCharType="separate"/>
      </w:r>
      <w:r>
        <w:rPr>
          <w:rFonts w:hint="eastAsia" w:ascii="宋体" w:hAnsi="宋体" w:eastAsia="宋体" w:cs="宋体"/>
          <w:color w:val="auto"/>
          <w:sz w:val="21"/>
          <w:szCs w:val="21"/>
          <w:highlight w:val="none"/>
          <w:shd w:val="clear" w:color="auto" w:fill="FFFFFF"/>
        </w:rPr>
        <w:drawing>
          <wp:inline distT="0" distB="0" distL="114300" distR="114300">
            <wp:extent cx="3903980" cy="615950"/>
            <wp:effectExtent l="0" t="0" r="1270" b="1270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1"/>
                    <a:stretch>
                      <a:fillRect/>
                    </a:stretch>
                  </pic:blipFill>
                  <pic:spPr>
                    <a:xfrm>
                      <a:off x="0" y="0"/>
                      <a:ext cx="3903980" cy="615950"/>
                    </a:xfrm>
                    <a:prstGeom prst="rect">
                      <a:avLst/>
                    </a:prstGeom>
                    <a:noFill/>
                    <a:ln>
                      <a:noFill/>
                    </a:ln>
                  </pic:spPr>
                </pic:pic>
              </a:graphicData>
            </a:graphic>
          </wp:inline>
        </w:drawing>
      </w:r>
      <w:r>
        <w:rPr>
          <w:rFonts w:hint="eastAsia" w:ascii="宋体" w:hAnsi="宋体" w:eastAsia="宋体" w:cs="宋体"/>
          <w:color w:val="auto"/>
          <w:sz w:val="21"/>
          <w:szCs w:val="21"/>
          <w:highlight w:val="none"/>
          <w:shd w:val="clear" w:color="auto" w:fill="FFFFFF"/>
        </w:rPr>
        <w:fldChar w:fldCharType="end"/>
      </w:r>
    </w:p>
    <w:p w14:paraId="53A3BE29">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2276588">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（三）特定产品的关键组件、关键工序符合相关要求</w:t>
      </w:r>
    </w:p>
    <w:p w14:paraId="61D351D1">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67AC9509">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309B76F">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二、本国产品标准的适用范围</w:t>
      </w:r>
    </w:p>
    <w:p w14:paraId="4AAD3400">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F36EA78">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三、对本国产品的支持政策</w:t>
      </w:r>
    </w:p>
    <w:p w14:paraId="3ECBECA9">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75E920B7">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B2D9CD9">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四、政策执行要求</w:t>
      </w:r>
    </w:p>
    <w:p w14:paraId="67280E80">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（一）产品在中国境内生产的组件成本核算规则。产品在中国境内生产的组件成本，按照《中国境内生产的组件成本核算基本规则》（见附件1）计算。</w:t>
      </w:r>
    </w:p>
    <w:p w14:paraId="7051C9CC">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55E1F8B">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采购人、采购代理机构应当随中标、成交结果同时公告中标、成交供应商提供的《声明函》或有关证明文件。</w:t>
      </w:r>
    </w:p>
    <w:p w14:paraId="013CA2C1">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05791045">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（四）中华人民共和国缔结或者共同参加的国际条约、协定对政府采购中本国产品政策另有规定的，按照有关条约、协定执行。</w:t>
      </w:r>
    </w:p>
    <w:p w14:paraId="737D5CF2">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五、争议处理</w:t>
      </w:r>
    </w:p>
    <w:p w14:paraId="0E1885BF">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68F0007D">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（一）政府采购投诉处理、监督检查中，对产品或组件是否在中国境内生产存在争议的，按照以下原则处理：</w:t>
      </w:r>
    </w:p>
    <w:p w14:paraId="466C0046">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EA85E70">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43710D35">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4CF6988A">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24E73BFB">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E77A63B">
      <w:pPr>
        <w:pStyle w:val="39"/>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本通知自2026年1月1日起施行。</w:t>
      </w:r>
    </w:p>
    <w:sectPr>
      <w:footerReference r:id="rId9" w:type="first"/>
      <w:footerReference r:id="rId8" w:type="default"/>
      <w:pgSz w:w="11906" w:h="16838"/>
      <w:pgMar w:top="1304" w:right="1247" w:bottom="1304" w:left="1418" w:header="851" w:footer="992" w:gutter="0"/>
      <w:pgNumType w:start="27"/>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000E">
    <w:pPr>
      <w:pStyle w:val="28"/>
      <w:framePr w:wrap="around" w:vAnchor="text" w:hAnchor="margin" w:xAlign="center" w:y="1"/>
      <w:rPr>
        <w:rStyle w:val="49"/>
      </w:rPr>
    </w:pPr>
    <w:r>
      <w:fldChar w:fldCharType="begin"/>
    </w:r>
    <w:r>
      <w:rPr>
        <w:rStyle w:val="49"/>
      </w:rPr>
      <w:instrText xml:space="preserve">PAGE  </w:instrText>
    </w:r>
    <w:r>
      <w:fldChar w:fldCharType="end"/>
    </w:r>
  </w:p>
  <w:p w14:paraId="7430AD75">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9DDD7">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4ABD71">
                          <w:pPr>
                            <w:pStyle w:val="2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44ABD71">
                    <w:pPr>
                      <w:pStyle w:val="2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75CE">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3F7271">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63F7271">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9B62F">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4D8C88C">
                          <w:pPr>
                            <w:pStyle w:val="28"/>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V+SdAAAAADAQAADwAAAAAAAAABACAAAAAiAAAAZHJzL2Rvd25yZXYueG1sUEsB&#10;AhQAFAAAAAgAh07iQBJNgZv9AQAABAQAAA4AAAAAAAAAAQAgAAAAHwEAAGRycy9lMm9Eb2MueG1s&#10;UEsFBgAAAAAGAAYAWQEAAI4FAAAAAA==&#10;">
              <v:fill on="f" focussize="0,0"/>
              <v:stroke on="f"/>
              <v:imagedata o:title=""/>
              <o:lock v:ext="edit" aspectratio="f"/>
              <v:textbox inset="0mm,0mm,0mm,0mm" style="mso-fit-shape-to-text:t;">
                <w:txbxContent>
                  <w:p w14:paraId="34D8C88C">
                    <w:pPr>
                      <w:pStyle w:val="2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716E4">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9F4B34B">
                          <w:pPr>
                            <w:pStyle w:val="2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i91E0AAAAAIBAAAPAAAAAAAAAAEAIAAAACIAAABkcnMvZG93bnJldi54bWxQSwEC&#10;FAAUAAAACACHTuJAr4cSjPwBAAADBAAADgAAAAAAAAABACAAAAAfAQAAZHJzL2Uyb0RvYy54bWxQ&#10;SwUGAAAAAAYABgBZAQAAjQUAAAAA&#10;">
              <v:fill on="f" focussize="0,0"/>
              <v:stroke on="f"/>
              <v:imagedata o:title=""/>
              <o:lock v:ext="edit" aspectratio="f"/>
              <v:textbox inset="0mm,0mm,0mm,0mm" style="mso-fit-shape-to-text:t;">
                <w:txbxContent>
                  <w:p w14:paraId="19F4B34B">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7FBF">
    <w:pPr>
      <w:pStyle w:val="29"/>
      <w:pBdr>
        <w:bottom w:val="none" w:color="auto" w:sz="0" w:space="3"/>
      </w:pBdr>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10AA">
    <w:pPr>
      <w:pStyle w:val="29"/>
      <w:pBdr>
        <w:bottom w:val="none" w:color="auto" w:sz="0" w:space="0"/>
      </w:pBdr>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8FDC"/>
    <w:multiLevelType w:val="singleLevel"/>
    <w:tmpl w:val="AB028FDC"/>
    <w:lvl w:ilvl="0" w:tentative="0">
      <w:start w:val="1"/>
      <w:numFmt w:val="decimal"/>
      <w:suff w:val="nothing"/>
      <w:lvlText w:val="%1）"/>
      <w:lvlJc w:val="left"/>
    </w:lvl>
  </w:abstractNum>
  <w:abstractNum w:abstractNumId="1">
    <w:nsid w:val="B9CFCA75"/>
    <w:multiLevelType w:val="singleLevel"/>
    <w:tmpl w:val="B9CFCA75"/>
    <w:lvl w:ilvl="0" w:tentative="0">
      <w:start w:val="16"/>
      <w:numFmt w:val="decimal"/>
      <w:lvlText w:val="%1."/>
      <w:lvlJc w:val="left"/>
      <w:pPr>
        <w:tabs>
          <w:tab w:val="left" w:pos="312"/>
        </w:tabs>
      </w:p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FFEFC674"/>
    <w:multiLevelType w:val="singleLevel"/>
    <w:tmpl w:val="FFEFC674"/>
    <w:lvl w:ilvl="0" w:tentative="0">
      <w:start w:val="1"/>
      <w:numFmt w:val="decimal"/>
      <w:suff w:val="nothing"/>
      <w:lvlText w:val="（%1）"/>
      <w:lvlJc w:val="left"/>
    </w:lvl>
  </w:abstractNum>
  <w:abstractNum w:abstractNumId="4">
    <w:nsid w:val="130F4B7E"/>
    <w:multiLevelType w:val="multilevel"/>
    <w:tmpl w:val="130F4B7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F46C8B"/>
    <w:multiLevelType w:val="singleLevel"/>
    <w:tmpl w:val="2FF46C8B"/>
    <w:lvl w:ilvl="0" w:tentative="0">
      <w:start w:val="4"/>
      <w:numFmt w:val="chineseCounting"/>
      <w:suff w:val="space"/>
      <w:lvlText w:val="第%1部分"/>
      <w:lvlJc w:val="left"/>
      <w:rPr>
        <w:rFonts w:hint="eastAsia"/>
      </w:rPr>
    </w:lvl>
  </w:abstractNum>
  <w:abstractNum w:abstractNumId="6">
    <w:nsid w:val="33092639"/>
    <w:multiLevelType w:val="singleLevel"/>
    <w:tmpl w:val="33092639"/>
    <w:lvl w:ilvl="0" w:tentative="0">
      <w:start w:val="1"/>
      <w:numFmt w:val="decimal"/>
      <w:lvlText w:val="（%1）"/>
      <w:lvlJc w:val="left"/>
      <w:pPr>
        <w:tabs>
          <w:tab w:val="left" w:pos="1080"/>
        </w:tabs>
        <w:ind w:left="1080" w:hanging="600"/>
      </w:pPr>
      <w:rPr>
        <w:rFonts w:hint="eastAsia"/>
        <w:lang w:val="en-US"/>
      </w:rPr>
    </w:lvl>
  </w:abstractNum>
  <w:abstractNum w:abstractNumId="7">
    <w:nsid w:val="437F1085"/>
    <w:multiLevelType w:val="multilevel"/>
    <w:tmpl w:val="437F1085"/>
    <w:lvl w:ilvl="0" w:tentative="0">
      <w:start w:val="1"/>
      <w:numFmt w:val="chineseCountingThousand"/>
      <w:suff w:val="nothing"/>
      <w:lvlText w:val="%1、"/>
      <w:lvlJc w:val="left"/>
      <w:pPr>
        <w:ind w:left="420" w:hanging="420"/>
      </w:pPr>
      <w:rPr>
        <w:rFonts w:hint="eastAsia"/>
        <w:color w:val="auto"/>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49FB7819"/>
    <w:multiLevelType w:val="multilevel"/>
    <w:tmpl w:val="49FB78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3BC7DAF"/>
    <w:multiLevelType w:val="multilevel"/>
    <w:tmpl w:val="63BC7DA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5325F7C"/>
    <w:multiLevelType w:val="multilevel"/>
    <w:tmpl w:val="75325F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0F6431"/>
    <w:multiLevelType w:val="singleLevel"/>
    <w:tmpl w:val="7A0F6431"/>
    <w:lvl w:ilvl="0" w:tentative="0">
      <w:start w:val="1"/>
      <w:numFmt w:val="decimal"/>
      <w:suff w:val="space"/>
      <w:lvlText w:val="%1."/>
      <w:lvlJc w:val="left"/>
    </w:lvl>
  </w:abstractNum>
  <w:abstractNum w:abstractNumId="12">
    <w:nsid w:val="7D823685"/>
    <w:multiLevelType w:val="multilevel"/>
    <w:tmpl w:val="7D82368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0"/>
  </w:num>
  <w:num w:numId="4">
    <w:abstractNumId w:val="5"/>
  </w:num>
  <w:num w:numId="5">
    <w:abstractNumId w:val="11"/>
  </w:num>
  <w:num w:numId="6">
    <w:abstractNumId w:val="2"/>
  </w:num>
  <w:num w:numId="7">
    <w:abstractNumId w:val="3"/>
  </w:num>
  <w:num w:numId="8">
    <w:abstractNumId w:val="4"/>
  </w:num>
  <w:num w:numId="9">
    <w:abstractNumId w:val="9"/>
  </w:num>
  <w:num w:numId="10">
    <w:abstractNumId w:val="12"/>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NzM1M2I2MzEwYWFlOTRkZmY0M2MxMDk0Y2M1MGUifQ=="/>
  </w:docVars>
  <w:rsids>
    <w:rsidRoot w:val="00D37C4B"/>
    <w:rsid w:val="0000063C"/>
    <w:rsid w:val="00000B64"/>
    <w:rsid w:val="00000FB0"/>
    <w:rsid w:val="00001038"/>
    <w:rsid w:val="00001438"/>
    <w:rsid w:val="00001823"/>
    <w:rsid w:val="000023B1"/>
    <w:rsid w:val="00006F1F"/>
    <w:rsid w:val="00007AE1"/>
    <w:rsid w:val="000101BD"/>
    <w:rsid w:val="0001063A"/>
    <w:rsid w:val="00010EB9"/>
    <w:rsid w:val="00010FB2"/>
    <w:rsid w:val="00011694"/>
    <w:rsid w:val="000133AB"/>
    <w:rsid w:val="000137CF"/>
    <w:rsid w:val="000139E0"/>
    <w:rsid w:val="00013EAE"/>
    <w:rsid w:val="000144DD"/>
    <w:rsid w:val="00014C99"/>
    <w:rsid w:val="00014E67"/>
    <w:rsid w:val="000157BA"/>
    <w:rsid w:val="0001631D"/>
    <w:rsid w:val="00016C0B"/>
    <w:rsid w:val="0002036F"/>
    <w:rsid w:val="00021436"/>
    <w:rsid w:val="00021C37"/>
    <w:rsid w:val="000223F9"/>
    <w:rsid w:val="00022933"/>
    <w:rsid w:val="000231ED"/>
    <w:rsid w:val="00024500"/>
    <w:rsid w:val="00026024"/>
    <w:rsid w:val="0002653C"/>
    <w:rsid w:val="00026779"/>
    <w:rsid w:val="0002782B"/>
    <w:rsid w:val="00027BD7"/>
    <w:rsid w:val="00030044"/>
    <w:rsid w:val="00030540"/>
    <w:rsid w:val="0003186C"/>
    <w:rsid w:val="0003233B"/>
    <w:rsid w:val="00032B92"/>
    <w:rsid w:val="00033FD8"/>
    <w:rsid w:val="0003441E"/>
    <w:rsid w:val="0003452C"/>
    <w:rsid w:val="000345AB"/>
    <w:rsid w:val="00034C71"/>
    <w:rsid w:val="00036173"/>
    <w:rsid w:val="000369F2"/>
    <w:rsid w:val="00036D73"/>
    <w:rsid w:val="000402A6"/>
    <w:rsid w:val="0004321F"/>
    <w:rsid w:val="0004386B"/>
    <w:rsid w:val="00044218"/>
    <w:rsid w:val="00044541"/>
    <w:rsid w:val="0004470C"/>
    <w:rsid w:val="00044CBE"/>
    <w:rsid w:val="00044DE4"/>
    <w:rsid w:val="00045D32"/>
    <w:rsid w:val="00046687"/>
    <w:rsid w:val="00046AB3"/>
    <w:rsid w:val="00046E9D"/>
    <w:rsid w:val="000473F5"/>
    <w:rsid w:val="00047B6C"/>
    <w:rsid w:val="00047D0E"/>
    <w:rsid w:val="0005015C"/>
    <w:rsid w:val="00050A1E"/>
    <w:rsid w:val="00050C1D"/>
    <w:rsid w:val="00051B94"/>
    <w:rsid w:val="00051F48"/>
    <w:rsid w:val="0005210D"/>
    <w:rsid w:val="0005211E"/>
    <w:rsid w:val="000525F2"/>
    <w:rsid w:val="00054B71"/>
    <w:rsid w:val="0005531F"/>
    <w:rsid w:val="000571BC"/>
    <w:rsid w:val="00057A23"/>
    <w:rsid w:val="00057A9D"/>
    <w:rsid w:val="00057EC5"/>
    <w:rsid w:val="0006020D"/>
    <w:rsid w:val="0006042A"/>
    <w:rsid w:val="00060436"/>
    <w:rsid w:val="00061FE1"/>
    <w:rsid w:val="00061FFE"/>
    <w:rsid w:val="000624D3"/>
    <w:rsid w:val="0006334C"/>
    <w:rsid w:val="0006406C"/>
    <w:rsid w:val="000640C8"/>
    <w:rsid w:val="00064C41"/>
    <w:rsid w:val="00064EC3"/>
    <w:rsid w:val="0006528C"/>
    <w:rsid w:val="00065355"/>
    <w:rsid w:val="00065B68"/>
    <w:rsid w:val="00065E58"/>
    <w:rsid w:val="00066D80"/>
    <w:rsid w:val="00067044"/>
    <w:rsid w:val="00070B54"/>
    <w:rsid w:val="00071360"/>
    <w:rsid w:val="00071414"/>
    <w:rsid w:val="00072C89"/>
    <w:rsid w:val="00072DC4"/>
    <w:rsid w:val="00074791"/>
    <w:rsid w:val="00074DAE"/>
    <w:rsid w:val="00075905"/>
    <w:rsid w:val="00075A27"/>
    <w:rsid w:val="00080843"/>
    <w:rsid w:val="000818BC"/>
    <w:rsid w:val="00081C9B"/>
    <w:rsid w:val="00081DCC"/>
    <w:rsid w:val="000826E7"/>
    <w:rsid w:val="000842A6"/>
    <w:rsid w:val="00085497"/>
    <w:rsid w:val="0008577F"/>
    <w:rsid w:val="00087387"/>
    <w:rsid w:val="00090005"/>
    <w:rsid w:val="0009067A"/>
    <w:rsid w:val="00090A3B"/>
    <w:rsid w:val="00090F68"/>
    <w:rsid w:val="00091EA2"/>
    <w:rsid w:val="00093076"/>
    <w:rsid w:val="000932CA"/>
    <w:rsid w:val="00093FF9"/>
    <w:rsid w:val="00096A08"/>
    <w:rsid w:val="00096E3D"/>
    <w:rsid w:val="00096F7C"/>
    <w:rsid w:val="0009745C"/>
    <w:rsid w:val="0009768E"/>
    <w:rsid w:val="000A1441"/>
    <w:rsid w:val="000A1ABB"/>
    <w:rsid w:val="000A24F2"/>
    <w:rsid w:val="000A2912"/>
    <w:rsid w:val="000A332E"/>
    <w:rsid w:val="000A396A"/>
    <w:rsid w:val="000A3F73"/>
    <w:rsid w:val="000A41A3"/>
    <w:rsid w:val="000A4632"/>
    <w:rsid w:val="000A72EE"/>
    <w:rsid w:val="000A7438"/>
    <w:rsid w:val="000A7811"/>
    <w:rsid w:val="000A7FF5"/>
    <w:rsid w:val="000B00B2"/>
    <w:rsid w:val="000B05E3"/>
    <w:rsid w:val="000B133E"/>
    <w:rsid w:val="000B198D"/>
    <w:rsid w:val="000B3407"/>
    <w:rsid w:val="000B3530"/>
    <w:rsid w:val="000B3B88"/>
    <w:rsid w:val="000B3CF8"/>
    <w:rsid w:val="000B52AD"/>
    <w:rsid w:val="000B6067"/>
    <w:rsid w:val="000B6FE7"/>
    <w:rsid w:val="000B7C82"/>
    <w:rsid w:val="000B7D24"/>
    <w:rsid w:val="000C023A"/>
    <w:rsid w:val="000C0B27"/>
    <w:rsid w:val="000C0DE6"/>
    <w:rsid w:val="000C248C"/>
    <w:rsid w:val="000C2B24"/>
    <w:rsid w:val="000C31AA"/>
    <w:rsid w:val="000C36D1"/>
    <w:rsid w:val="000C4042"/>
    <w:rsid w:val="000C5810"/>
    <w:rsid w:val="000C5D64"/>
    <w:rsid w:val="000C5F6A"/>
    <w:rsid w:val="000C77CA"/>
    <w:rsid w:val="000D06BA"/>
    <w:rsid w:val="000D0922"/>
    <w:rsid w:val="000D0C4A"/>
    <w:rsid w:val="000D130E"/>
    <w:rsid w:val="000D158E"/>
    <w:rsid w:val="000D2158"/>
    <w:rsid w:val="000D245C"/>
    <w:rsid w:val="000D3A8E"/>
    <w:rsid w:val="000D40C2"/>
    <w:rsid w:val="000D477C"/>
    <w:rsid w:val="000D49B6"/>
    <w:rsid w:val="000D7693"/>
    <w:rsid w:val="000D7950"/>
    <w:rsid w:val="000E057A"/>
    <w:rsid w:val="000E2037"/>
    <w:rsid w:val="000E2D94"/>
    <w:rsid w:val="000E36CC"/>
    <w:rsid w:val="000E4183"/>
    <w:rsid w:val="000E4224"/>
    <w:rsid w:val="000E4BA0"/>
    <w:rsid w:val="000E644C"/>
    <w:rsid w:val="000E666C"/>
    <w:rsid w:val="000E67B0"/>
    <w:rsid w:val="000E6FE2"/>
    <w:rsid w:val="000E7079"/>
    <w:rsid w:val="000E71D7"/>
    <w:rsid w:val="000E7342"/>
    <w:rsid w:val="000F04D7"/>
    <w:rsid w:val="000F07A1"/>
    <w:rsid w:val="000F0E75"/>
    <w:rsid w:val="000F1179"/>
    <w:rsid w:val="000F13B6"/>
    <w:rsid w:val="000F1B37"/>
    <w:rsid w:val="000F2394"/>
    <w:rsid w:val="000F26DC"/>
    <w:rsid w:val="000F2B19"/>
    <w:rsid w:val="000F3037"/>
    <w:rsid w:val="000F3213"/>
    <w:rsid w:val="000F4597"/>
    <w:rsid w:val="000F4D54"/>
    <w:rsid w:val="000F5658"/>
    <w:rsid w:val="000F5FD2"/>
    <w:rsid w:val="000F7371"/>
    <w:rsid w:val="00102208"/>
    <w:rsid w:val="00102DE7"/>
    <w:rsid w:val="001035DB"/>
    <w:rsid w:val="00103640"/>
    <w:rsid w:val="0010403B"/>
    <w:rsid w:val="00104197"/>
    <w:rsid w:val="001044BD"/>
    <w:rsid w:val="001061F8"/>
    <w:rsid w:val="00110199"/>
    <w:rsid w:val="00110620"/>
    <w:rsid w:val="00110A98"/>
    <w:rsid w:val="00110BBA"/>
    <w:rsid w:val="00110FFE"/>
    <w:rsid w:val="001114B9"/>
    <w:rsid w:val="001126B7"/>
    <w:rsid w:val="00112AC0"/>
    <w:rsid w:val="0011338E"/>
    <w:rsid w:val="001136AF"/>
    <w:rsid w:val="0011395F"/>
    <w:rsid w:val="00113982"/>
    <w:rsid w:val="00113BFC"/>
    <w:rsid w:val="00113E06"/>
    <w:rsid w:val="00113ED0"/>
    <w:rsid w:val="0011504E"/>
    <w:rsid w:val="00115201"/>
    <w:rsid w:val="0011530B"/>
    <w:rsid w:val="00115B9A"/>
    <w:rsid w:val="00116851"/>
    <w:rsid w:val="00121222"/>
    <w:rsid w:val="00121DC0"/>
    <w:rsid w:val="0012219F"/>
    <w:rsid w:val="001227E3"/>
    <w:rsid w:val="00123A74"/>
    <w:rsid w:val="001244FF"/>
    <w:rsid w:val="00124BFE"/>
    <w:rsid w:val="00124C45"/>
    <w:rsid w:val="001258F2"/>
    <w:rsid w:val="001260E7"/>
    <w:rsid w:val="001260EE"/>
    <w:rsid w:val="001276D5"/>
    <w:rsid w:val="0013146D"/>
    <w:rsid w:val="001319A6"/>
    <w:rsid w:val="00131E40"/>
    <w:rsid w:val="00132A44"/>
    <w:rsid w:val="001373D4"/>
    <w:rsid w:val="00137702"/>
    <w:rsid w:val="001377DD"/>
    <w:rsid w:val="0014011A"/>
    <w:rsid w:val="001403D9"/>
    <w:rsid w:val="00140B10"/>
    <w:rsid w:val="00141467"/>
    <w:rsid w:val="00141E49"/>
    <w:rsid w:val="00142CBC"/>
    <w:rsid w:val="00143DD4"/>
    <w:rsid w:val="00144405"/>
    <w:rsid w:val="0014546C"/>
    <w:rsid w:val="00146021"/>
    <w:rsid w:val="00146C13"/>
    <w:rsid w:val="00146FFB"/>
    <w:rsid w:val="00147026"/>
    <w:rsid w:val="001473EB"/>
    <w:rsid w:val="0015116F"/>
    <w:rsid w:val="001512D5"/>
    <w:rsid w:val="0015159E"/>
    <w:rsid w:val="001521C4"/>
    <w:rsid w:val="001526E7"/>
    <w:rsid w:val="00153070"/>
    <w:rsid w:val="00153AC1"/>
    <w:rsid w:val="0015554C"/>
    <w:rsid w:val="00155E4D"/>
    <w:rsid w:val="001560ED"/>
    <w:rsid w:val="00160CA7"/>
    <w:rsid w:val="00161225"/>
    <w:rsid w:val="00161807"/>
    <w:rsid w:val="00161D34"/>
    <w:rsid w:val="00161D61"/>
    <w:rsid w:val="0016317F"/>
    <w:rsid w:val="00163851"/>
    <w:rsid w:val="00163A5F"/>
    <w:rsid w:val="0016449D"/>
    <w:rsid w:val="00164A44"/>
    <w:rsid w:val="001655C8"/>
    <w:rsid w:val="00167610"/>
    <w:rsid w:val="0017126D"/>
    <w:rsid w:val="00171A35"/>
    <w:rsid w:val="00174569"/>
    <w:rsid w:val="00174DBA"/>
    <w:rsid w:val="001750AD"/>
    <w:rsid w:val="0017661F"/>
    <w:rsid w:val="00177878"/>
    <w:rsid w:val="00177CEB"/>
    <w:rsid w:val="001802AA"/>
    <w:rsid w:val="001805B6"/>
    <w:rsid w:val="001809C1"/>
    <w:rsid w:val="00180B23"/>
    <w:rsid w:val="00180B6B"/>
    <w:rsid w:val="00180D84"/>
    <w:rsid w:val="0018144E"/>
    <w:rsid w:val="00182A9E"/>
    <w:rsid w:val="001832E4"/>
    <w:rsid w:val="00184AC7"/>
    <w:rsid w:val="00184C02"/>
    <w:rsid w:val="001853DA"/>
    <w:rsid w:val="00185A61"/>
    <w:rsid w:val="00185C2A"/>
    <w:rsid w:val="00186638"/>
    <w:rsid w:val="001867F8"/>
    <w:rsid w:val="001869A1"/>
    <w:rsid w:val="00186AA8"/>
    <w:rsid w:val="00187E2F"/>
    <w:rsid w:val="00190F1F"/>
    <w:rsid w:val="00191573"/>
    <w:rsid w:val="00192B5F"/>
    <w:rsid w:val="00193EAE"/>
    <w:rsid w:val="001941D4"/>
    <w:rsid w:val="00194AD6"/>
    <w:rsid w:val="00194B6E"/>
    <w:rsid w:val="0019791F"/>
    <w:rsid w:val="00197E0E"/>
    <w:rsid w:val="001A0B5C"/>
    <w:rsid w:val="001A1EAF"/>
    <w:rsid w:val="001A2168"/>
    <w:rsid w:val="001A2F0F"/>
    <w:rsid w:val="001A32C8"/>
    <w:rsid w:val="001A363B"/>
    <w:rsid w:val="001A3E73"/>
    <w:rsid w:val="001A58A5"/>
    <w:rsid w:val="001A58E5"/>
    <w:rsid w:val="001A6636"/>
    <w:rsid w:val="001A69E7"/>
    <w:rsid w:val="001A7230"/>
    <w:rsid w:val="001B08DD"/>
    <w:rsid w:val="001B15D1"/>
    <w:rsid w:val="001B1E0D"/>
    <w:rsid w:val="001B225D"/>
    <w:rsid w:val="001B284C"/>
    <w:rsid w:val="001B28F1"/>
    <w:rsid w:val="001B2F54"/>
    <w:rsid w:val="001B3D89"/>
    <w:rsid w:val="001B423E"/>
    <w:rsid w:val="001B513E"/>
    <w:rsid w:val="001C0129"/>
    <w:rsid w:val="001C0229"/>
    <w:rsid w:val="001C082B"/>
    <w:rsid w:val="001C0DC9"/>
    <w:rsid w:val="001C0F0B"/>
    <w:rsid w:val="001C1539"/>
    <w:rsid w:val="001C1546"/>
    <w:rsid w:val="001C1896"/>
    <w:rsid w:val="001C1A95"/>
    <w:rsid w:val="001C2122"/>
    <w:rsid w:val="001C2DBD"/>
    <w:rsid w:val="001C2E77"/>
    <w:rsid w:val="001C5F05"/>
    <w:rsid w:val="001C61AA"/>
    <w:rsid w:val="001C6C16"/>
    <w:rsid w:val="001C6EDB"/>
    <w:rsid w:val="001C7966"/>
    <w:rsid w:val="001C7B3E"/>
    <w:rsid w:val="001D0966"/>
    <w:rsid w:val="001D0E8E"/>
    <w:rsid w:val="001D140B"/>
    <w:rsid w:val="001D54FF"/>
    <w:rsid w:val="001D578E"/>
    <w:rsid w:val="001D5AD1"/>
    <w:rsid w:val="001D5DAF"/>
    <w:rsid w:val="001E0896"/>
    <w:rsid w:val="001E1B4B"/>
    <w:rsid w:val="001E3E85"/>
    <w:rsid w:val="001E406D"/>
    <w:rsid w:val="001E6BC7"/>
    <w:rsid w:val="001E6F8A"/>
    <w:rsid w:val="001E7903"/>
    <w:rsid w:val="001F0915"/>
    <w:rsid w:val="001F2450"/>
    <w:rsid w:val="001F3299"/>
    <w:rsid w:val="001F35A2"/>
    <w:rsid w:val="001F384C"/>
    <w:rsid w:val="001F49D3"/>
    <w:rsid w:val="001F515E"/>
    <w:rsid w:val="001F58C1"/>
    <w:rsid w:val="001F6505"/>
    <w:rsid w:val="001F7059"/>
    <w:rsid w:val="001F7374"/>
    <w:rsid w:val="002006B3"/>
    <w:rsid w:val="002007B5"/>
    <w:rsid w:val="00200891"/>
    <w:rsid w:val="00200F08"/>
    <w:rsid w:val="002011A0"/>
    <w:rsid w:val="00201D3C"/>
    <w:rsid w:val="00201FFF"/>
    <w:rsid w:val="00202156"/>
    <w:rsid w:val="00202DC2"/>
    <w:rsid w:val="00203578"/>
    <w:rsid w:val="00203DDB"/>
    <w:rsid w:val="0020494C"/>
    <w:rsid w:val="00204F54"/>
    <w:rsid w:val="00205291"/>
    <w:rsid w:val="00205E6C"/>
    <w:rsid w:val="00206F24"/>
    <w:rsid w:val="00206F94"/>
    <w:rsid w:val="002078B5"/>
    <w:rsid w:val="002105B4"/>
    <w:rsid w:val="00211423"/>
    <w:rsid w:val="00212E4E"/>
    <w:rsid w:val="00212F09"/>
    <w:rsid w:val="0021418A"/>
    <w:rsid w:val="00214309"/>
    <w:rsid w:val="00214376"/>
    <w:rsid w:val="002148DE"/>
    <w:rsid w:val="00214F95"/>
    <w:rsid w:val="00215990"/>
    <w:rsid w:val="002159CC"/>
    <w:rsid w:val="0021620B"/>
    <w:rsid w:val="0021724E"/>
    <w:rsid w:val="00217ACB"/>
    <w:rsid w:val="00217BB7"/>
    <w:rsid w:val="00217BC7"/>
    <w:rsid w:val="00220444"/>
    <w:rsid w:val="002215F6"/>
    <w:rsid w:val="0022178B"/>
    <w:rsid w:val="00221AEA"/>
    <w:rsid w:val="002221BA"/>
    <w:rsid w:val="002222A9"/>
    <w:rsid w:val="0022269B"/>
    <w:rsid w:val="002227A0"/>
    <w:rsid w:val="0022285B"/>
    <w:rsid w:val="00223A8A"/>
    <w:rsid w:val="002247B5"/>
    <w:rsid w:val="00224F3D"/>
    <w:rsid w:val="00225EF3"/>
    <w:rsid w:val="002265B7"/>
    <w:rsid w:val="0023090F"/>
    <w:rsid w:val="002312DC"/>
    <w:rsid w:val="00231322"/>
    <w:rsid w:val="00231713"/>
    <w:rsid w:val="00233135"/>
    <w:rsid w:val="0023333E"/>
    <w:rsid w:val="00235DE7"/>
    <w:rsid w:val="0023633D"/>
    <w:rsid w:val="00236F42"/>
    <w:rsid w:val="00237D56"/>
    <w:rsid w:val="00237EA1"/>
    <w:rsid w:val="00240494"/>
    <w:rsid w:val="002411C2"/>
    <w:rsid w:val="00241466"/>
    <w:rsid w:val="0024152C"/>
    <w:rsid w:val="00241E37"/>
    <w:rsid w:val="00242107"/>
    <w:rsid w:val="0024225C"/>
    <w:rsid w:val="002426FF"/>
    <w:rsid w:val="002434B0"/>
    <w:rsid w:val="0024461F"/>
    <w:rsid w:val="00245DE5"/>
    <w:rsid w:val="00246652"/>
    <w:rsid w:val="00246A94"/>
    <w:rsid w:val="00246CCA"/>
    <w:rsid w:val="00247AA1"/>
    <w:rsid w:val="0025197A"/>
    <w:rsid w:val="00251E8D"/>
    <w:rsid w:val="0025208A"/>
    <w:rsid w:val="0025225B"/>
    <w:rsid w:val="002529D0"/>
    <w:rsid w:val="0025413C"/>
    <w:rsid w:val="002548F5"/>
    <w:rsid w:val="0025509D"/>
    <w:rsid w:val="00255BB2"/>
    <w:rsid w:val="00255EC4"/>
    <w:rsid w:val="00256134"/>
    <w:rsid w:val="0025710A"/>
    <w:rsid w:val="00257AFE"/>
    <w:rsid w:val="002605FF"/>
    <w:rsid w:val="002606CC"/>
    <w:rsid w:val="00260E15"/>
    <w:rsid w:val="00260F25"/>
    <w:rsid w:val="00262391"/>
    <w:rsid w:val="0026275B"/>
    <w:rsid w:val="002631B3"/>
    <w:rsid w:val="00263320"/>
    <w:rsid w:val="00263BAA"/>
    <w:rsid w:val="00264344"/>
    <w:rsid w:val="002656EE"/>
    <w:rsid w:val="00265C86"/>
    <w:rsid w:val="0026640B"/>
    <w:rsid w:val="002670F3"/>
    <w:rsid w:val="00267C08"/>
    <w:rsid w:val="002701CC"/>
    <w:rsid w:val="00270238"/>
    <w:rsid w:val="00270EC7"/>
    <w:rsid w:val="00271949"/>
    <w:rsid w:val="00271D71"/>
    <w:rsid w:val="00272799"/>
    <w:rsid w:val="00272965"/>
    <w:rsid w:val="00272D1C"/>
    <w:rsid w:val="0027331D"/>
    <w:rsid w:val="002734E6"/>
    <w:rsid w:val="0027376C"/>
    <w:rsid w:val="0027377C"/>
    <w:rsid w:val="002737D1"/>
    <w:rsid w:val="00273892"/>
    <w:rsid w:val="00273E07"/>
    <w:rsid w:val="00274FE5"/>
    <w:rsid w:val="00275160"/>
    <w:rsid w:val="0027597F"/>
    <w:rsid w:val="00275DC3"/>
    <w:rsid w:val="002761CF"/>
    <w:rsid w:val="00276A04"/>
    <w:rsid w:val="00277B8E"/>
    <w:rsid w:val="00280063"/>
    <w:rsid w:val="00280529"/>
    <w:rsid w:val="00280C23"/>
    <w:rsid w:val="002813DA"/>
    <w:rsid w:val="00281919"/>
    <w:rsid w:val="00281B5F"/>
    <w:rsid w:val="00282319"/>
    <w:rsid w:val="00282904"/>
    <w:rsid w:val="002835CD"/>
    <w:rsid w:val="002845D3"/>
    <w:rsid w:val="002849E2"/>
    <w:rsid w:val="00284F4A"/>
    <w:rsid w:val="00285219"/>
    <w:rsid w:val="00285834"/>
    <w:rsid w:val="0028617D"/>
    <w:rsid w:val="00286E64"/>
    <w:rsid w:val="00290413"/>
    <w:rsid w:val="00290581"/>
    <w:rsid w:val="0029124F"/>
    <w:rsid w:val="00291830"/>
    <w:rsid w:val="00291A72"/>
    <w:rsid w:val="00291E65"/>
    <w:rsid w:val="002932FA"/>
    <w:rsid w:val="002933E1"/>
    <w:rsid w:val="002934EA"/>
    <w:rsid w:val="0029402D"/>
    <w:rsid w:val="00294D11"/>
    <w:rsid w:val="00294EAE"/>
    <w:rsid w:val="002958D6"/>
    <w:rsid w:val="00296036"/>
    <w:rsid w:val="0029689E"/>
    <w:rsid w:val="002968BE"/>
    <w:rsid w:val="00296C2A"/>
    <w:rsid w:val="002A061A"/>
    <w:rsid w:val="002A0E65"/>
    <w:rsid w:val="002A133D"/>
    <w:rsid w:val="002A194A"/>
    <w:rsid w:val="002A29EE"/>
    <w:rsid w:val="002A3E85"/>
    <w:rsid w:val="002A40B8"/>
    <w:rsid w:val="002A4B13"/>
    <w:rsid w:val="002A5926"/>
    <w:rsid w:val="002A7210"/>
    <w:rsid w:val="002A78DA"/>
    <w:rsid w:val="002B033D"/>
    <w:rsid w:val="002B104F"/>
    <w:rsid w:val="002B2AC5"/>
    <w:rsid w:val="002B319C"/>
    <w:rsid w:val="002B32CF"/>
    <w:rsid w:val="002B59E5"/>
    <w:rsid w:val="002B6910"/>
    <w:rsid w:val="002B6CFB"/>
    <w:rsid w:val="002C02AC"/>
    <w:rsid w:val="002C07CD"/>
    <w:rsid w:val="002C0889"/>
    <w:rsid w:val="002C0BC8"/>
    <w:rsid w:val="002C0FDA"/>
    <w:rsid w:val="002C2633"/>
    <w:rsid w:val="002C2B63"/>
    <w:rsid w:val="002C2F6E"/>
    <w:rsid w:val="002C35DA"/>
    <w:rsid w:val="002C4121"/>
    <w:rsid w:val="002C499D"/>
    <w:rsid w:val="002C4D45"/>
    <w:rsid w:val="002C5B71"/>
    <w:rsid w:val="002C5F58"/>
    <w:rsid w:val="002C6763"/>
    <w:rsid w:val="002C78E2"/>
    <w:rsid w:val="002C7961"/>
    <w:rsid w:val="002D08D2"/>
    <w:rsid w:val="002D13C1"/>
    <w:rsid w:val="002D1577"/>
    <w:rsid w:val="002D21B2"/>
    <w:rsid w:val="002D295A"/>
    <w:rsid w:val="002D2E45"/>
    <w:rsid w:val="002D324B"/>
    <w:rsid w:val="002D49DC"/>
    <w:rsid w:val="002D4AD2"/>
    <w:rsid w:val="002D557E"/>
    <w:rsid w:val="002D597B"/>
    <w:rsid w:val="002D6C49"/>
    <w:rsid w:val="002D7C2C"/>
    <w:rsid w:val="002E00E0"/>
    <w:rsid w:val="002E1080"/>
    <w:rsid w:val="002E15FD"/>
    <w:rsid w:val="002E1B5E"/>
    <w:rsid w:val="002E1CB9"/>
    <w:rsid w:val="002E32D6"/>
    <w:rsid w:val="002E387E"/>
    <w:rsid w:val="002E4526"/>
    <w:rsid w:val="002E4B5E"/>
    <w:rsid w:val="002E4BD1"/>
    <w:rsid w:val="002E580C"/>
    <w:rsid w:val="002E7409"/>
    <w:rsid w:val="002F035C"/>
    <w:rsid w:val="002F038C"/>
    <w:rsid w:val="002F1A92"/>
    <w:rsid w:val="002F1C7E"/>
    <w:rsid w:val="002F1EE1"/>
    <w:rsid w:val="002F1F96"/>
    <w:rsid w:val="002F4E62"/>
    <w:rsid w:val="002F683C"/>
    <w:rsid w:val="002F68E7"/>
    <w:rsid w:val="002F6CB2"/>
    <w:rsid w:val="002F7762"/>
    <w:rsid w:val="002F7BDB"/>
    <w:rsid w:val="002F7F72"/>
    <w:rsid w:val="00300246"/>
    <w:rsid w:val="00300974"/>
    <w:rsid w:val="003014DB"/>
    <w:rsid w:val="0030167C"/>
    <w:rsid w:val="0030210A"/>
    <w:rsid w:val="00302124"/>
    <w:rsid w:val="0030281F"/>
    <w:rsid w:val="0030292A"/>
    <w:rsid w:val="00302B82"/>
    <w:rsid w:val="00302E29"/>
    <w:rsid w:val="003030F5"/>
    <w:rsid w:val="003035BF"/>
    <w:rsid w:val="0030377D"/>
    <w:rsid w:val="00304523"/>
    <w:rsid w:val="00305A18"/>
    <w:rsid w:val="0030610E"/>
    <w:rsid w:val="00307726"/>
    <w:rsid w:val="003113A5"/>
    <w:rsid w:val="00311599"/>
    <w:rsid w:val="00312283"/>
    <w:rsid w:val="003124CA"/>
    <w:rsid w:val="00313340"/>
    <w:rsid w:val="00314488"/>
    <w:rsid w:val="00314FC1"/>
    <w:rsid w:val="0031604F"/>
    <w:rsid w:val="003163D7"/>
    <w:rsid w:val="0031699C"/>
    <w:rsid w:val="003176CF"/>
    <w:rsid w:val="00320568"/>
    <w:rsid w:val="00320677"/>
    <w:rsid w:val="0032155A"/>
    <w:rsid w:val="00321A2A"/>
    <w:rsid w:val="00321BED"/>
    <w:rsid w:val="00321E74"/>
    <w:rsid w:val="00321FAD"/>
    <w:rsid w:val="00322743"/>
    <w:rsid w:val="003243DE"/>
    <w:rsid w:val="0032441D"/>
    <w:rsid w:val="00324762"/>
    <w:rsid w:val="00324906"/>
    <w:rsid w:val="00326A31"/>
    <w:rsid w:val="00327A42"/>
    <w:rsid w:val="003307D0"/>
    <w:rsid w:val="00330984"/>
    <w:rsid w:val="00330B2E"/>
    <w:rsid w:val="003314F6"/>
    <w:rsid w:val="003319E7"/>
    <w:rsid w:val="00331E73"/>
    <w:rsid w:val="00332007"/>
    <w:rsid w:val="0033289D"/>
    <w:rsid w:val="00333D12"/>
    <w:rsid w:val="00333F75"/>
    <w:rsid w:val="00334B5F"/>
    <w:rsid w:val="00335944"/>
    <w:rsid w:val="00335AAB"/>
    <w:rsid w:val="00335F94"/>
    <w:rsid w:val="003376CD"/>
    <w:rsid w:val="00337712"/>
    <w:rsid w:val="00340513"/>
    <w:rsid w:val="00340844"/>
    <w:rsid w:val="00340C14"/>
    <w:rsid w:val="00342588"/>
    <w:rsid w:val="00342B93"/>
    <w:rsid w:val="00342F91"/>
    <w:rsid w:val="00344DCF"/>
    <w:rsid w:val="003455E5"/>
    <w:rsid w:val="00346FB4"/>
    <w:rsid w:val="003500E0"/>
    <w:rsid w:val="003502DA"/>
    <w:rsid w:val="00350537"/>
    <w:rsid w:val="003516F5"/>
    <w:rsid w:val="00351C0F"/>
    <w:rsid w:val="00351CF4"/>
    <w:rsid w:val="00351F00"/>
    <w:rsid w:val="00352622"/>
    <w:rsid w:val="003526A9"/>
    <w:rsid w:val="00352743"/>
    <w:rsid w:val="00353C94"/>
    <w:rsid w:val="0035447F"/>
    <w:rsid w:val="0035559B"/>
    <w:rsid w:val="00355805"/>
    <w:rsid w:val="003560CF"/>
    <w:rsid w:val="00356C46"/>
    <w:rsid w:val="00356C66"/>
    <w:rsid w:val="00357827"/>
    <w:rsid w:val="00357A07"/>
    <w:rsid w:val="00357B9B"/>
    <w:rsid w:val="00360B8B"/>
    <w:rsid w:val="00360B98"/>
    <w:rsid w:val="0036166A"/>
    <w:rsid w:val="00362656"/>
    <w:rsid w:val="00362A42"/>
    <w:rsid w:val="00362F09"/>
    <w:rsid w:val="00362F21"/>
    <w:rsid w:val="00363E23"/>
    <w:rsid w:val="0036475D"/>
    <w:rsid w:val="00364FAC"/>
    <w:rsid w:val="003650DB"/>
    <w:rsid w:val="003659CB"/>
    <w:rsid w:val="00366465"/>
    <w:rsid w:val="00366579"/>
    <w:rsid w:val="003667E8"/>
    <w:rsid w:val="00367215"/>
    <w:rsid w:val="0036772E"/>
    <w:rsid w:val="003701F5"/>
    <w:rsid w:val="00370326"/>
    <w:rsid w:val="0037122C"/>
    <w:rsid w:val="003717C7"/>
    <w:rsid w:val="00372158"/>
    <w:rsid w:val="0037298D"/>
    <w:rsid w:val="003732C5"/>
    <w:rsid w:val="00373D94"/>
    <w:rsid w:val="0037469C"/>
    <w:rsid w:val="00374937"/>
    <w:rsid w:val="00374AED"/>
    <w:rsid w:val="00375900"/>
    <w:rsid w:val="00375EC9"/>
    <w:rsid w:val="00376602"/>
    <w:rsid w:val="00376672"/>
    <w:rsid w:val="00377AF1"/>
    <w:rsid w:val="00380157"/>
    <w:rsid w:val="00380893"/>
    <w:rsid w:val="003808EF"/>
    <w:rsid w:val="00380EE8"/>
    <w:rsid w:val="00382FB3"/>
    <w:rsid w:val="003837BF"/>
    <w:rsid w:val="00383DB9"/>
    <w:rsid w:val="00383FD9"/>
    <w:rsid w:val="00384312"/>
    <w:rsid w:val="00384809"/>
    <w:rsid w:val="0038705A"/>
    <w:rsid w:val="003871A8"/>
    <w:rsid w:val="00387816"/>
    <w:rsid w:val="00387C68"/>
    <w:rsid w:val="00387DD5"/>
    <w:rsid w:val="003913F0"/>
    <w:rsid w:val="00393FB1"/>
    <w:rsid w:val="00394B8A"/>
    <w:rsid w:val="00395600"/>
    <w:rsid w:val="0039608E"/>
    <w:rsid w:val="003966CC"/>
    <w:rsid w:val="00396A14"/>
    <w:rsid w:val="00397527"/>
    <w:rsid w:val="003A05A6"/>
    <w:rsid w:val="003A0A2F"/>
    <w:rsid w:val="003A1535"/>
    <w:rsid w:val="003A17F4"/>
    <w:rsid w:val="003A1B4D"/>
    <w:rsid w:val="003A2A59"/>
    <w:rsid w:val="003A2ED4"/>
    <w:rsid w:val="003A4384"/>
    <w:rsid w:val="003A47D5"/>
    <w:rsid w:val="003A48CC"/>
    <w:rsid w:val="003A4C1A"/>
    <w:rsid w:val="003A4C42"/>
    <w:rsid w:val="003A66D2"/>
    <w:rsid w:val="003A696E"/>
    <w:rsid w:val="003A6A3F"/>
    <w:rsid w:val="003A6B66"/>
    <w:rsid w:val="003A6B7A"/>
    <w:rsid w:val="003B0184"/>
    <w:rsid w:val="003B177F"/>
    <w:rsid w:val="003B1CAE"/>
    <w:rsid w:val="003B2D79"/>
    <w:rsid w:val="003B3079"/>
    <w:rsid w:val="003B457F"/>
    <w:rsid w:val="003B4BAF"/>
    <w:rsid w:val="003B5A24"/>
    <w:rsid w:val="003B5DD0"/>
    <w:rsid w:val="003B708B"/>
    <w:rsid w:val="003B7A3A"/>
    <w:rsid w:val="003C0227"/>
    <w:rsid w:val="003C0BC8"/>
    <w:rsid w:val="003C1378"/>
    <w:rsid w:val="003C1681"/>
    <w:rsid w:val="003C1862"/>
    <w:rsid w:val="003C2894"/>
    <w:rsid w:val="003C2B24"/>
    <w:rsid w:val="003C39DB"/>
    <w:rsid w:val="003C410F"/>
    <w:rsid w:val="003C4C1B"/>
    <w:rsid w:val="003C6220"/>
    <w:rsid w:val="003C70E9"/>
    <w:rsid w:val="003C73AC"/>
    <w:rsid w:val="003D34D4"/>
    <w:rsid w:val="003D4DE2"/>
    <w:rsid w:val="003D5386"/>
    <w:rsid w:val="003D549A"/>
    <w:rsid w:val="003D6411"/>
    <w:rsid w:val="003D6AD1"/>
    <w:rsid w:val="003D6B39"/>
    <w:rsid w:val="003E0178"/>
    <w:rsid w:val="003E0296"/>
    <w:rsid w:val="003E18CF"/>
    <w:rsid w:val="003E3DDD"/>
    <w:rsid w:val="003E4659"/>
    <w:rsid w:val="003E5B11"/>
    <w:rsid w:val="003E5FD4"/>
    <w:rsid w:val="003E6285"/>
    <w:rsid w:val="003E6501"/>
    <w:rsid w:val="003E6747"/>
    <w:rsid w:val="003E6929"/>
    <w:rsid w:val="003E7481"/>
    <w:rsid w:val="003F0E69"/>
    <w:rsid w:val="003F169E"/>
    <w:rsid w:val="003F1B16"/>
    <w:rsid w:val="003F3005"/>
    <w:rsid w:val="003F30A5"/>
    <w:rsid w:val="003F4088"/>
    <w:rsid w:val="003F4D1D"/>
    <w:rsid w:val="003F54D8"/>
    <w:rsid w:val="003F5DEB"/>
    <w:rsid w:val="003F77D9"/>
    <w:rsid w:val="003F78FB"/>
    <w:rsid w:val="003F7D61"/>
    <w:rsid w:val="003F7FD6"/>
    <w:rsid w:val="00401670"/>
    <w:rsid w:val="004030E1"/>
    <w:rsid w:val="0040451B"/>
    <w:rsid w:val="0040455C"/>
    <w:rsid w:val="00404C1C"/>
    <w:rsid w:val="004059FE"/>
    <w:rsid w:val="004067EA"/>
    <w:rsid w:val="004109EE"/>
    <w:rsid w:val="004117A7"/>
    <w:rsid w:val="00411942"/>
    <w:rsid w:val="00411A30"/>
    <w:rsid w:val="00411F39"/>
    <w:rsid w:val="00412C62"/>
    <w:rsid w:val="0041360E"/>
    <w:rsid w:val="00414151"/>
    <w:rsid w:val="0041454B"/>
    <w:rsid w:val="00414943"/>
    <w:rsid w:val="00415B9F"/>
    <w:rsid w:val="00416CE4"/>
    <w:rsid w:val="00416DEA"/>
    <w:rsid w:val="00416EE3"/>
    <w:rsid w:val="00420331"/>
    <w:rsid w:val="00420BE8"/>
    <w:rsid w:val="00420E36"/>
    <w:rsid w:val="0042214C"/>
    <w:rsid w:val="004234B3"/>
    <w:rsid w:val="00423E2D"/>
    <w:rsid w:val="0042414B"/>
    <w:rsid w:val="00424A87"/>
    <w:rsid w:val="00424C66"/>
    <w:rsid w:val="004254AC"/>
    <w:rsid w:val="00425777"/>
    <w:rsid w:val="00426DE2"/>
    <w:rsid w:val="004276C6"/>
    <w:rsid w:val="0043014C"/>
    <w:rsid w:val="00430511"/>
    <w:rsid w:val="004308A1"/>
    <w:rsid w:val="00431C9D"/>
    <w:rsid w:val="0043209F"/>
    <w:rsid w:val="0043488B"/>
    <w:rsid w:val="004357D6"/>
    <w:rsid w:val="00435B26"/>
    <w:rsid w:val="00435D3A"/>
    <w:rsid w:val="00435EF6"/>
    <w:rsid w:val="00436320"/>
    <w:rsid w:val="0043680D"/>
    <w:rsid w:val="0043755C"/>
    <w:rsid w:val="00437DBF"/>
    <w:rsid w:val="00440229"/>
    <w:rsid w:val="00440461"/>
    <w:rsid w:val="004404FA"/>
    <w:rsid w:val="0044194E"/>
    <w:rsid w:val="00442E92"/>
    <w:rsid w:val="00442F79"/>
    <w:rsid w:val="00443731"/>
    <w:rsid w:val="00443F8B"/>
    <w:rsid w:val="00444665"/>
    <w:rsid w:val="004446B2"/>
    <w:rsid w:val="00444F03"/>
    <w:rsid w:val="00445981"/>
    <w:rsid w:val="004463CE"/>
    <w:rsid w:val="004473CC"/>
    <w:rsid w:val="004509A5"/>
    <w:rsid w:val="00450BC2"/>
    <w:rsid w:val="00451107"/>
    <w:rsid w:val="004514E8"/>
    <w:rsid w:val="0045152D"/>
    <w:rsid w:val="004518C9"/>
    <w:rsid w:val="004520E5"/>
    <w:rsid w:val="00452322"/>
    <w:rsid w:val="004524C8"/>
    <w:rsid w:val="00452D95"/>
    <w:rsid w:val="00453064"/>
    <w:rsid w:val="004531AF"/>
    <w:rsid w:val="00453475"/>
    <w:rsid w:val="0045415D"/>
    <w:rsid w:val="00454431"/>
    <w:rsid w:val="0045497F"/>
    <w:rsid w:val="004555B7"/>
    <w:rsid w:val="00455A74"/>
    <w:rsid w:val="00455D65"/>
    <w:rsid w:val="00456AA1"/>
    <w:rsid w:val="00457946"/>
    <w:rsid w:val="004600C8"/>
    <w:rsid w:val="0046019D"/>
    <w:rsid w:val="00460C2F"/>
    <w:rsid w:val="00462B32"/>
    <w:rsid w:val="00462BBE"/>
    <w:rsid w:val="0046421E"/>
    <w:rsid w:val="00465658"/>
    <w:rsid w:val="0046589A"/>
    <w:rsid w:val="004661FD"/>
    <w:rsid w:val="0046646B"/>
    <w:rsid w:val="0046662A"/>
    <w:rsid w:val="004700E7"/>
    <w:rsid w:val="004713D9"/>
    <w:rsid w:val="00471AB2"/>
    <w:rsid w:val="00472722"/>
    <w:rsid w:val="00472D4E"/>
    <w:rsid w:val="00473774"/>
    <w:rsid w:val="00473A76"/>
    <w:rsid w:val="00473BA5"/>
    <w:rsid w:val="00473BBB"/>
    <w:rsid w:val="0047418B"/>
    <w:rsid w:val="0047475B"/>
    <w:rsid w:val="0047725B"/>
    <w:rsid w:val="004777DB"/>
    <w:rsid w:val="004779C4"/>
    <w:rsid w:val="00480581"/>
    <w:rsid w:val="00482825"/>
    <w:rsid w:val="00482BC7"/>
    <w:rsid w:val="00482EA9"/>
    <w:rsid w:val="00483E71"/>
    <w:rsid w:val="00484F1B"/>
    <w:rsid w:val="004852D0"/>
    <w:rsid w:val="00485E1A"/>
    <w:rsid w:val="00486669"/>
    <w:rsid w:val="00486C05"/>
    <w:rsid w:val="0048781C"/>
    <w:rsid w:val="00487C42"/>
    <w:rsid w:val="004907FB"/>
    <w:rsid w:val="004916A3"/>
    <w:rsid w:val="00491A7A"/>
    <w:rsid w:val="00491CC1"/>
    <w:rsid w:val="004926D1"/>
    <w:rsid w:val="0049299C"/>
    <w:rsid w:val="0049301E"/>
    <w:rsid w:val="0049373A"/>
    <w:rsid w:val="0049399F"/>
    <w:rsid w:val="00494A7A"/>
    <w:rsid w:val="004958B1"/>
    <w:rsid w:val="00495A6D"/>
    <w:rsid w:val="00496468"/>
    <w:rsid w:val="00497120"/>
    <w:rsid w:val="00497226"/>
    <w:rsid w:val="004979FC"/>
    <w:rsid w:val="00497CAC"/>
    <w:rsid w:val="00497EFA"/>
    <w:rsid w:val="004A07B9"/>
    <w:rsid w:val="004A1800"/>
    <w:rsid w:val="004A201E"/>
    <w:rsid w:val="004A20B9"/>
    <w:rsid w:val="004A2237"/>
    <w:rsid w:val="004A231D"/>
    <w:rsid w:val="004A2454"/>
    <w:rsid w:val="004A2EC2"/>
    <w:rsid w:val="004A373D"/>
    <w:rsid w:val="004A3D57"/>
    <w:rsid w:val="004A4424"/>
    <w:rsid w:val="004A4523"/>
    <w:rsid w:val="004A4A8C"/>
    <w:rsid w:val="004A5342"/>
    <w:rsid w:val="004A5B6C"/>
    <w:rsid w:val="004A714F"/>
    <w:rsid w:val="004A77DE"/>
    <w:rsid w:val="004B0407"/>
    <w:rsid w:val="004B13CF"/>
    <w:rsid w:val="004B190B"/>
    <w:rsid w:val="004B2B1F"/>
    <w:rsid w:val="004B378D"/>
    <w:rsid w:val="004B37DC"/>
    <w:rsid w:val="004B3BFA"/>
    <w:rsid w:val="004B4077"/>
    <w:rsid w:val="004B5619"/>
    <w:rsid w:val="004B5EE9"/>
    <w:rsid w:val="004B609F"/>
    <w:rsid w:val="004B6806"/>
    <w:rsid w:val="004B684E"/>
    <w:rsid w:val="004B6C1C"/>
    <w:rsid w:val="004B6D81"/>
    <w:rsid w:val="004B7305"/>
    <w:rsid w:val="004B7C90"/>
    <w:rsid w:val="004C0707"/>
    <w:rsid w:val="004C093A"/>
    <w:rsid w:val="004C0DA4"/>
    <w:rsid w:val="004C0F05"/>
    <w:rsid w:val="004C144D"/>
    <w:rsid w:val="004C1639"/>
    <w:rsid w:val="004C1929"/>
    <w:rsid w:val="004C215B"/>
    <w:rsid w:val="004C254E"/>
    <w:rsid w:val="004C27E4"/>
    <w:rsid w:val="004C2AD6"/>
    <w:rsid w:val="004C464E"/>
    <w:rsid w:val="004C4E34"/>
    <w:rsid w:val="004C5BFA"/>
    <w:rsid w:val="004C5EB3"/>
    <w:rsid w:val="004C6D30"/>
    <w:rsid w:val="004C75BE"/>
    <w:rsid w:val="004D21B2"/>
    <w:rsid w:val="004D2775"/>
    <w:rsid w:val="004D2782"/>
    <w:rsid w:val="004D3481"/>
    <w:rsid w:val="004D379F"/>
    <w:rsid w:val="004D3DA3"/>
    <w:rsid w:val="004D5C82"/>
    <w:rsid w:val="004D5F96"/>
    <w:rsid w:val="004D72F5"/>
    <w:rsid w:val="004E06A0"/>
    <w:rsid w:val="004E071F"/>
    <w:rsid w:val="004E0C93"/>
    <w:rsid w:val="004E106F"/>
    <w:rsid w:val="004E1098"/>
    <w:rsid w:val="004E1DFF"/>
    <w:rsid w:val="004E220E"/>
    <w:rsid w:val="004E2ECF"/>
    <w:rsid w:val="004E3D58"/>
    <w:rsid w:val="004E431B"/>
    <w:rsid w:val="004E46B2"/>
    <w:rsid w:val="004E4E2C"/>
    <w:rsid w:val="004E5293"/>
    <w:rsid w:val="004E5A83"/>
    <w:rsid w:val="004F08B1"/>
    <w:rsid w:val="004F0B18"/>
    <w:rsid w:val="004F1F47"/>
    <w:rsid w:val="004F26FB"/>
    <w:rsid w:val="004F31BC"/>
    <w:rsid w:val="004F32A2"/>
    <w:rsid w:val="004F4215"/>
    <w:rsid w:val="004F4373"/>
    <w:rsid w:val="004F484A"/>
    <w:rsid w:val="004F4C12"/>
    <w:rsid w:val="004F51D5"/>
    <w:rsid w:val="004F625C"/>
    <w:rsid w:val="004F6D1E"/>
    <w:rsid w:val="00500909"/>
    <w:rsid w:val="005014FB"/>
    <w:rsid w:val="00501697"/>
    <w:rsid w:val="005017E8"/>
    <w:rsid w:val="00502A21"/>
    <w:rsid w:val="00505E91"/>
    <w:rsid w:val="00506987"/>
    <w:rsid w:val="00507B51"/>
    <w:rsid w:val="00510AD1"/>
    <w:rsid w:val="00511B57"/>
    <w:rsid w:val="00511CB7"/>
    <w:rsid w:val="00512150"/>
    <w:rsid w:val="005130CF"/>
    <w:rsid w:val="00513178"/>
    <w:rsid w:val="00513BBF"/>
    <w:rsid w:val="00513C6B"/>
    <w:rsid w:val="00515A38"/>
    <w:rsid w:val="00515E45"/>
    <w:rsid w:val="00517BE2"/>
    <w:rsid w:val="00517F75"/>
    <w:rsid w:val="005214E1"/>
    <w:rsid w:val="00523C46"/>
    <w:rsid w:val="0052406C"/>
    <w:rsid w:val="0052435D"/>
    <w:rsid w:val="00524822"/>
    <w:rsid w:val="00524B00"/>
    <w:rsid w:val="00524D4D"/>
    <w:rsid w:val="005258CF"/>
    <w:rsid w:val="005279B5"/>
    <w:rsid w:val="005306E5"/>
    <w:rsid w:val="00530856"/>
    <w:rsid w:val="00532167"/>
    <w:rsid w:val="00532643"/>
    <w:rsid w:val="00532F9A"/>
    <w:rsid w:val="00533059"/>
    <w:rsid w:val="005330C2"/>
    <w:rsid w:val="00533185"/>
    <w:rsid w:val="0053425E"/>
    <w:rsid w:val="0053470D"/>
    <w:rsid w:val="00535082"/>
    <w:rsid w:val="0053517D"/>
    <w:rsid w:val="005369E6"/>
    <w:rsid w:val="00536CC3"/>
    <w:rsid w:val="00537A0A"/>
    <w:rsid w:val="00537A91"/>
    <w:rsid w:val="00540273"/>
    <w:rsid w:val="00540434"/>
    <w:rsid w:val="005406BE"/>
    <w:rsid w:val="00542E65"/>
    <w:rsid w:val="00542EBE"/>
    <w:rsid w:val="005437C9"/>
    <w:rsid w:val="00543906"/>
    <w:rsid w:val="00543982"/>
    <w:rsid w:val="00543D59"/>
    <w:rsid w:val="00544802"/>
    <w:rsid w:val="00545186"/>
    <w:rsid w:val="005451FA"/>
    <w:rsid w:val="0054799D"/>
    <w:rsid w:val="00550417"/>
    <w:rsid w:val="00550AD2"/>
    <w:rsid w:val="00550C75"/>
    <w:rsid w:val="00550D58"/>
    <w:rsid w:val="00551592"/>
    <w:rsid w:val="005527D0"/>
    <w:rsid w:val="00553871"/>
    <w:rsid w:val="00553F22"/>
    <w:rsid w:val="00553F66"/>
    <w:rsid w:val="00554E75"/>
    <w:rsid w:val="00554F14"/>
    <w:rsid w:val="00555326"/>
    <w:rsid w:val="005553CD"/>
    <w:rsid w:val="00555BAA"/>
    <w:rsid w:val="00557709"/>
    <w:rsid w:val="005579D6"/>
    <w:rsid w:val="005600CE"/>
    <w:rsid w:val="00560BC6"/>
    <w:rsid w:val="0056186E"/>
    <w:rsid w:val="0056196B"/>
    <w:rsid w:val="00563B0F"/>
    <w:rsid w:val="00563CA8"/>
    <w:rsid w:val="005641F8"/>
    <w:rsid w:val="00564F47"/>
    <w:rsid w:val="005654B8"/>
    <w:rsid w:val="00565E58"/>
    <w:rsid w:val="00566CA2"/>
    <w:rsid w:val="0056703E"/>
    <w:rsid w:val="00567280"/>
    <w:rsid w:val="005673E6"/>
    <w:rsid w:val="005702B3"/>
    <w:rsid w:val="00570ACB"/>
    <w:rsid w:val="00570CC9"/>
    <w:rsid w:val="0057161C"/>
    <w:rsid w:val="00571C5A"/>
    <w:rsid w:val="005720B2"/>
    <w:rsid w:val="005731FA"/>
    <w:rsid w:val="00573332"/>
    <w:rsid w:val="005743AF"/>
    <w:rsid w:val="0057456C"/>
    <w:rsid w:val="00574CE7"/>
    <w:rsid w:val="00575809"/>
    <w:rsid w:val="00575EA4"/>
    <w:rsid w:val="00575F2C"/>
    <w:rsid w:val="00576B9C"/>
    <w:rsid w:val="00576BCF"/>
    <w:rsid w:val="00576F31"/>
    <w:rsid w:val="00577DEA"/>
    <w:rsid w:val="005807BB"/>
    <w:rsid w:val="0058118E"/>
    <w:rsid w:val="00581707"/>
    <w:rsid w:val="005822E6"/>
    <w:rsid w:val="00582F4D"/>
    <w:rsid w:val="0058376D"/>
    <w:rsid w:val="00584051"/>
    <w:rsid w:val="0058427C"/>
    <w:rsid w:val="005860C0"/>
    <w:rsid w:val="0058617F"/>
    <w:rsid w:val="00586389"/>
    <w:rsid w:val="005866A3"/>
    <w:rsid w:val="005868CE"/>
    <w:rsid w:val="00587269"/>
    <w:rsid w:val="00587B68"/>
    <w:rsid w:val="00587CA3"/>
    <w:rsid w:val="00590EE9"/>
    <w:rsid w:val="00591009"/>
    <w:rsid w:val="005911F5"/>
    <w:rsid w:val="005918CD"/>
    <w:rsid w:val="00591E12"/>
    <w:rsid w:val="00592032"/>
    <w:rsid w:val="00592297"/>
    <w:rsid w:val="005923FE"/>
    <w:rsid w:val="005924A9"/>
    <w:rsid w:val="0059286A"/>
    <w:rsid w:val="00592B16"/>
    <w:rsid w:val="00592DAE"/>
    <w:rsid w:val="005934CA"/>
    <w:rsid w:val="0059360F"/>
    <w:rsid w:val="00593B68"/>
    <w:rsid w:val="00593DF6"/>
    <w:rsid w:val="00594E07"/>
    <w:rsid w:val="00594E14"/>
    <w:rsid w:val="00595D61"/>
    <w:rsid w:val="00596CF6"/>
    <w:rsid w:val="00597057"/>
    <w:rsid w:val="00597148"/>
    <w:rsid w:val="0059723C"/>
    <w:rsid w:val="005973F3"/>
    <w:rsid w:val="0059772B"/>
    <w:rsid w:val="00597754"/>
    <w:rsid w:val="005979BA"/>
    <w:rsid w:val="00597A82"/>
    <w:rsid w:val="00597E0E"/>
    <w:rsid w:val="005A003B"/>
    <w:rsid w:val="005A1D5A"/>
    <w:rsid w:val="005A28B0"/>
    <w:rsid w:val="005A2EB5"/>
    <w:rsid w:val="005A2F89"/>
    <w:rsid w:val="005A368A"/>
    <w:rsid w:val="005A398C"/>
    <w:rsid w:val="005A3B70"/>
    <w:rsid w:val="005A3FD8"/>
    <w:rsid w:val="005A4B44"/>
    <w:rsid w:val="005A4E23"/>
    <w:rsid w:val="005A69F0"/>
    <w:rsid w:val="005A7208"/>
    <w:rsid w:val="005A7CEA"/>
    <w:rsid w:val="005B049E"/>
    <w:rsid w:val="005B0ED4"/>
    <w:rsid w:val="005B20E6"/>
    <w:rsid w:val="005B2335"/>
    <w:rsid w:val="005B2CEE"/>
    <w:rsid w:val="005B568D"/>
    <w:rsid w:val="005B6AB3"/>
    <w:rsid w:val="005B713C"/>
    <w:rsid w:val="005B77D0"/>
    <w:rsid w:val="005B7AE3"/>
    <w:rsid w:val="005B7CC7"/>
    <w:rsid w:val="005C06FF"/>
    <w:rsid w:val="005C090D"/>
    <w:rsid w:val="005C0BA6"/>
    <w:rsid w:val="005C140C"/>
    <w:rsid w:val="005C1BD9"/>
    <w:rsid w:val="005C1FFD"/>
    <w:rsid w:val="005C2D74"/>
    <w:rsid w:val="005C3310"/>
    <w:rsid w:val="005C36BB"/>
    <w:rsid w:val="005C36C2"/>
    <w:rsid w:val="005C4BD3"/>
    <w:rsid w:val="005C5B33"/>
    <w:rsid w:val="005C78AD"/>
    <w:rsid w:val="005C78CD"/>
    <w:rsid w:val="005D0171"/>
    <w:rsid w:val="005D05C4"/>
    <w:rsid w:val="005D0B27"/>
    <w:rsid w:val="005D0F2A"/>
    <w:rsid w:val="005D144C"/>
    <w:rsid w:val="005D20BD"/>
    <w:rsid w:val="005D30D3"/>
    <w:rsid w:val="005D3E49"/>
    <w:rsid w:val="005D517E"/>
    <w:rsid w:val="005D51AC"/>
    <w:rsid w:val="005D5220"/>
    <w:rsid w:val="005D54D7"/>
    <w:rsid w:val="005D5853"/>
    <w:rsid w:val="005D68F9"/>
    <w:rsid w:val="005D6E16"/>
    <w:rsid w:val="005D744E"/>
    <w:rsid w:val="005D79A4"/>
    <w:rsid w:val="005E00D6"/>
    <w:rsid w:val="005E0104"/>
    <w:rsid w:val="005E06A4"/>
    <w:rsid w:val="005E1229"/>
    <w:rsid w:val="005E152C"/>
    <w:rsid w:val="005E1ECB"/>
    <w:rsid w:val="005E21CB"/>
    <w:rsid w:val="005E297E"/>
    <w:rsid w:val="005E29B8"/>
    <w:rsid w:val="005E3D7B"/>
    <w:rsid w:val="005E45EA"/>
    <w:rsid w:val="005E5849"/>
    <w:rsid w:val="005E6809"/>
    <w:rsid w:val="005E6BF7"/>
    <w:rsid w:val="005E71AF"/>
    <w:rsid w:val="005E7944"/>
    <w:rsid w:val="005E7FD1"/>
    <w:rsid w:val="005F1C3C"/>
    <w:rsid w:val="005F3B47"/>
    <w:rsid w:val="005F3C63"/>
    <w:rsid w:val="005F3FA6"/>
    <w:rsid w:val="005F41D6"/>
    <w:rsid w:val="005F575D"/>
    <w:rsid w:val="005F6710"/>
    <w:rsid w:val="005F6F40"/>
    <w:rsid w:val="005F6F9D"/>
    <w:rsid w:val="005F7157"/>
    <w:rsid w:val="006006B1"/>
    <w:rsid w:val="00600A04"/>
    <w:rsid w:val="00601C15"/>
    <w:rsid w:val="00602842"/>
    <w:rsid w:val="00602ECA"/>
    <w:rsid w:val="006032C2"/>
    <w:rsid w:val="006056E6"/>
    <w:rsid w:val="00605F40"/>
    <w:rsid w:val="00606531"/>
    <w:rsid w:val="00606C51"/>
    <w:rsid w:val="00606E89"/>
    <w:rsid w:val="0060715E"/>
    <w:rsid w:val="006100E7"/>
    <w:rsid w:val="0061042E"/>
    <w:rsid w:val="00610526"/>
    <w:rsid w:val="006108D4"/>
    <w:rsid w:val="00610D1E"/>
    <w:rsid w:val="00611239"/>
    <w:rsid w:val="00611D63"/>
    <w:rsid w:val="00612350"/>
    <w:rsid w:val="006126A6"/>
    <w:rsid w:val="006137D0"/>
    <w:rsid w:val="00613AD3"/>
    <w:rsid w:val="00613BEF"/>
    <w:rsid w:val="006148C7"/>
    <w:rsid w:val="006153F0"/>
    <w:rsid w:val="00615745"/>
    <w:rsid w:val="00615780"/>
    <w:rsid w:val="00615B8F"/>
    <w:rsid w:val="00616B57"/>
    <w:rsid w:val="006178B8"/>
    <w:rsid w:val="00617B5D"/>
    <w:rsid w:val="006207F4"/>
    <w:rsid w:val="00621696"/>
    <w:rsid w:val="00622478"/>
    <w:rsid w:val="006225BF"/>
    <w:rsid w:val="00622783"/>
    <w:rsid w:val="00622824"/>
    <w:rsid w:val="00622A4A"/>
    <w:rsid w:val="00622B9F"/>
    <w:rsid w:val="0062345E"/>
    <w:rsid w:val="006235B2"/>
    <w:rsid w:val="00624D74"/>
    <w:rsid w:val="006253F3"/>
    <w:rsid w:val="00625A9B"/>
    <w:rsid w:val="00625C41"/>
    <w:rsid w:val="00625D09"/>
    <w:rsid w:val="006266C0"/>
    <w:rsid w:val="00627F01"/>
    <w:rsid w:val="0063008F"/>
    <w:rsid w:val="0063084E"/>
    <w:rsid w:val="0063189C"/>
    <w:rsid w:val="00634A06"/>
    <w:rsid w:val="00635636"/>
    <w:rsid w:val="00635D59"/>
    <w:rsid w:val="006361C2"/>
    <w:rsid w:val="00636659"/>
    <w:rsid w:val="00636ACF"/>
    <w:rsid w:val="00636F3C"/>
    <w:rsid w:val="00636F51"/>
    <w:rsid w:val="00637185"/>
    <w:rsid w:val="006372F9"/>
    <w:rsid w:val="00637A18"/>
    <w:rsid w:val="00637E93"/>
    <w:rsid w:val="0064003C"/>
    <w:rsid w:val="00640E12"/>
    <w:rsid w:val="0064111F"/>
    <w:rsid w:val="006420A9"/>
    <w:rsid w:val="00642B77"/>
    <w:rsid w:val="00642C23"/>
    <w:rsid w:val="00642E5C"/>
    <w:rsid w:val="00644D5B"/>
    <w:rsid w:val="00644DD5"/>
    <w:rsid w:val="00645900"/>
    <w:rsid w:val="006460BC"/>
    <w:rsid w:val="0064729C"/>
    <w:rsid w:val="006474F0"/>
    <w:rsid w:val="006511D1"/>
    <w:rsid w:val="0065190A"/>
    <w:rsid w:val="00651F60"/>
    <w:rsid w:val="00652A1E"/>
    <w:rsid w:val="00652FD7"/>
    <w:rsid w:val="00653546"/>
    <w:rsid w:val="00653817"/>
    <w:rsid w:val="00653892"/>
    <w:rsid w:val="00655EB5"/>
    <w:rsid w:val="00657887"/>
    <w:rsid w:val="006602DD"/>
    <w:rsid w:val="0066049B"/>
    <w:rsid w:val="0066078D"/>
    <w:rsid w:val="00660B97"/>
    <w:rsid w:val="00663A8D"/>
    <w:rsid w:val="00664608"/>
    <w:rsid w:val="00664932"/>
    <w:rsid w:val="00664F2D"/>
    <w:rsid w:val="006654FC"/>
    <w:rsid w:val="00666D27"/>
    <w:rsid w:val="00667BF6"/>
    <w:rsid w:val="00667F22"/>
    <w:rsid w:val="0067066A"/>
    <w:rsid w:val="00670E56"/>
    <w:rsid w:val="006711E7"/>
    <w:rsid w:val="006712A4"/>
    <w:rsid w:val="006719C7"/>
    <w:rsid w:val="00671FF5"/>
    <w:rsid w:val="00672107"/>
    <w:rsid w:val="006726B4"/>
    <w:rsid w:val="00672800"/>
    <w:rsid w:val="00672B0E"/>
    <w:rsid w:val="006761C5"/>
    <w:rsid w:val="00676912"/>
    <w:rsid w:val="00677A01"/>
    <w:rsid w:val="006820D6"/>
    <w:rsid w:val="006828B7"/>
    <w:rsid w:val="00682C52"/>
    <w:rsid w:val="006846E9"/>
    <w:rsid w:val="00686953"/>
    <w:rsid w:val="006869CC"/>
    <w:rsid w:val="00687AF1"/>
    <w:rsid w:val="00687B2D"/>
    <w:rsid w:val="00690892"/>
    <w:rsid w:val="00690DCC"/>
    <w:rsid w:val="00691BC8"/>
    <w:rsid w:val="006923D9"/>
    <w:rsid w:val="006926DE"/>
    <w:rsid w:val="00692D89"/>
    <w:rsid w:val="00692F61"/>
    <w:rsid w:val="00693AAD"/>
    <w:rsid w:val="00693BA5"/>
    <w:rsid w:val="00694829"/>
    <w:rsid w:val="00694B06"/>
    <w:rsid w:val="0069553E"/>
    <w:rsid w:val="00695689"/>
    <w:rsid w:val="0069637C"/>
    <w:rsid w:val="00697A0A"/>
    <w:rsid w:val="006A125C"/>
    <w:rsid w:val="006A1400"/>
    <w:rsid w:val="006A141B"/>
    <w:rsid w:val="006A1D83"/>
    <w:rsid w:val="006A1FF2"/>
    <w:rsid w:val="006A277E"/>
    <w:rsid w:val="006A3840"/>
    <w:rsid w:val="006A5689"/>
    <w:rsid w:val="006A6176"/>
    <w:rsid w:val="006A61B9"/>
    <w:rsid w:val="006A6531"/>
    <w:rsid w:val="006A6745"/>
    <w:rsid w:val="006A6A3A"/>
    <w:rsid w:val="006B019D"/>
    <w:rsid w:val="006B4359"/>
    <w:rsid w:val="006B5635"/>
    <w:rsid w:val="006B6057"/>
    <w:rsid w:val="006B7334"/>
    <w:rsid w:val="006C156B"/>
    <w:rsid w:val="006C19F7"/>
    <w:rsid w:val="006C24E3"/>
    <w:rsid w:val="006C32AB"/>
    <w:rsid w:val="006C59A6"/>
    <w:rsid w:val="006C5BF8"/>
    <w:rsid w:val="006C61DD"/>
    <w:rsid w:val="006C759A"/>
    <w:rsid w:val="006D021B"/>
    <w:rsid w:val="006D0432"/>
    <w:rsid w:val="006D05CD"/>
    <w:rsid w:val="006D0A93"/>
    <w:rsid w:val="006D0FA0"/>
    <w:rsid w:val="006D1028"/>
    <w:rsid w:val="006D109A"/>
    <w:rsid w:val="006D28F6"/>
    <w:rsid w:val="006D2A98"/>
    <w:rsid w:val="006D3276"/>
    <w:rsid w:val="006D345D"/>
    <w:rsid w:val="006D3B66"/>
    <w:rsid w:val="006D4791"/>
    <w:rsid w:val="006D52A0"/>
    <w:rsid w:val="006D547A"/>
    <w:rsid w:val="006D55EB"/>
    <w:rsid w:val="006D5667"/>
    <w:rsid w:val="006D5DD0"/>
    <w:rsid w:val="006D705A"/>
    <w:rsid w:val="006E098F"/>
    <w:rsid w:val="006E11FC"/>
    <w:rsid w:val="006E171E"/>
    <w:rsid w:val="006E2165"/>
    <w:rsid w:val="006E22EB"/>
    <w:rsid w:val="006E247A"/>
    <w:rsid w:val="006E2EA4"/>
    <w:rsid w:val="006E3040"/>
    <w:rsid w:val="006E323B"/>
    <w:rsid w:val="006E3C71"/>
    <w:rsid w:val="006E478E"/>
    <w:rsid w:val="006E4CA4"/>
    <w:rsid w:val="006E7132"/>
    <w:rsid w:val="006E74BA"/>
    <w:rsid w:val="006E77DA"/>
    <w:rsid w:val="006E7A7F"/>
    <w:rsid w:val="006E7A98"/>
    <w:rsid w:val="006F11C3"/>
    <w:rsid w:val="006F1B43"/>
    <w:rsid w:val="006F25AB"/>
    <w:rsid w:val="006F2A29"/>
    <w:rsid w:val="006F395C"/>
    <w:rsid w:val="006F3C31"/>
    <w:rsid w:val="006F3C3E"/>
    <w:rsid w:val="006F3F25"/>
    <w:rsid w:val="006F3F6F"/>
    <w:rsid w:val="006F419A"/>
    <w:rsid w:val="006F472D"/>
    <w:rsid w:val="006F47B9"/>
    <w:rsid w:val="006F47ED"/>
    <w:rsid w:val="006F5070"/>
    <w:rsid w:val="006F5464"/>
    <w:rsid w:val="006F54D6"/>
    <w:rsid w:val="006F5A51"/>
    <w:rsid w:val="006F5E1E"/>
    <w:rsid w:val="006F5FCB"/>
    <w:rsid w:val="006F62BB"/>
    <w:rsid w:val="006F7F68"/>
    <w:rsid w:val="0070077F"/>
    <w:rsid w:val="00701654"/>
    <w:rsid w:val="00701D35"/>
    <w:rsid w:val="007020FB"/>
    <w:rsid w:val="007023CD"/>
    <w:rsid w:val="00702574"/>
    <w:rsid w:val="00702C39"/>
    <w:rsid w:val="00703206"/>
    <w:rsid w:val="00703B8F"/>
    <w:rsid w:val="00705820"/>
    <w:rsid w:val="00705C52"/>
    <w:rsid w:val="00705CC9"/>
    <w:rsid w:val="00707D26"/>
    <w:rsid w:val="00710B35"/>
    <w:rsid w:val="00716003"/>
    <w:rsid w:val="00716380"/>
    <w:rsid w:val="00720DE2"/>
    <w:rsid w:val="00721378"/>
    <w:rsid w:val="007216D3"/>
    <w:rsid w:val="00722E29"/>
    <w:rsid w:val="00723BFC"/>
    <w:rsid w:val="00723C5F"/>
    <w:rsid w:val="00723E19"/>
    <w:rsid w:val="00723E36"/>
    <w:rsid w:val="00723EE7"/>
    <w:rsid w:val="00724992"/>
    <w:rsid w:val="00724DDC"/>
    <w:rsid w:val="0072504B"/>
    <w:rsid w:val="0072585D"/>
    <w:rsid w:val="007259F3"/>
    <w:rsid w:val="00726FAC"/>
    <w:rsid w:val="00727239"/>
    <w:rsid w:val="0072744E"/>
    <w:rsid w:val="007274F0"/>
    <w:rsid w:val="00727D8D"/>
    <w:rsid w:val="00730390"/>
    <w:rsid w:val="0073083B"/>
    <w:rsid w:val="00730931"/>
    <w:rsid w:val="007309BB"/>
    <w:rsid w:val="007310F2"/>
    <w:rsid w:val="00731B08"/>
    <w:rsid w:val="00731C08"/>
    <w:rsid w:val="00732078"/>
    <w:rsid w:val="0073239D"/>
    <w:rsid w:val="00732811"/>
    <w:rsid w:val="00732D89"/>
    <w:rsid w:val="007330D3"/>
    <w:rsid w:val="00733E5C"/>
    <w:rsid w:val="00734DA7"/>
    <w:rsid w:val="0073649A"/>
    <w:rsid w:val="00736A33"/>
    <w:rsid w:val="0073728D"/>
    <w:rsid w:val="00737658"/>
    <w:rsid w:val="00737920"/>
    <w:rsid w:val="00737C83"/>
    <w:rsid w:val="00740DE5"/>
    <w:rsid w:val="00741536"/>
    <w:rsid w:val="007419A3"/>
    <w:rsid w:val="00741EC8"/>
    <w:rsid w:val="007424CE"/>
    <w:rsid w:val="00742CD3"/>
    <w:rsid w:val="00742FE4"/>
    <w:rsid w:val="00743330"/>
    <w:rsid w:val="00743BA2"/>
    <w:rsid w:val="007461DD"/>
    <w:rsid w:val="00746907"/>
    <w:rsid w:val="0074774F"/>
    <w:rsid w:val="00747A52"/>
    <w:rsid w:val="00750D78"/>
    <w:rsid w:val="00750E3D"/>
    <w:rsid w:val="00751908"/>
    <w:rsid w:val="0075586B"/>
    <w:rsid w:val="00756708"/>
    <w:rsid w:val="00756B83"/>
    <w:rsid w:val="00757513"/>
    <w:rsid w:val="007576C4"/>
    <w:rsid w:val="00760427"/>
    <w:rsid w:val="00761560"/>
    <w:rsid w:val="00762CB2"/>
    <w:rsid w:val="007635BA"/>
    <w:rsid w:val="00763C96"/>
    <w:rsid w:val="00763F65"/>
    <w:rsid w:val="00764631"/>
    <w:rsid w:val="00764D6B"/>
    <w:rsid w:val="00765A90"/>
    <w:rsid w:val="00765B7D"/>
    <w:rsid w:val="00765B8F"/>
    <w:rsid w:val="007661BB"/>
    <w:rsid w:val="0076650C"/>
    <w:rsid w:val="00766B9D"/>
    <w:rsid w:val="00767AE9"/>
    <w:rsid w:val="00767B52"/>
    <w:rsid w:val="00771490"/>
    <w:rsid w:val="00771536"/>
    <w:rsid w:val="00771B4C"/>
    <w:rsid w:val="00771B69"/>
    <w:rsid w:val="00771C6F"/>
    <w:rsid w:val="00771D95"/>
    <w:rsid w:val="00771FE2"/>
    <w:rsid w:val="0077314D"/>
    <w:rsid w:val="00773644"/>
    <w:rsid w:val="00773C1C"/>
    <w:rsid w:val="00774B3E"/>
    <w:rsid w:val="0077534C"/>
    <w:rsid w:val="007753F0"/>
    <w:rsid w:val="007758F0"/>
    <w:rsid w:val="00777569"/>
    <w:rsid w:val="007813A8"/>
    <w:rsid w:val="00782BF0"/>
    <w:rsid w:val="007831EF"/>
    <w:rsid w:val="00783AEF"/>
    <w:rsid w:val="00783DA7"/>
    <w:rsid w:val="00784BEF"/>
    <w:rsid w:val="00785A4E"/>
    <w:rsid w:val="00785EA8"/>
    <w:rsid w:val="00786E41"/>
    <w:rsid w:val="00787B77"/>
    <w:rsid w:val="0079043C"/>
    <w:rsid w:val="007905DC"/>
    <w:rsid w:val="007911F0"/>
    <w:rsid w:val="00791C90"/>
    <w:rsid w:val="00791D9F"/>
    <w:rsid w:val="007922AA"/>
    <w:rsid w:val="00792E62"/>
    <w:rsid w:val="00793804"/>
    <w:rsid w:val="00794A4B"/>
    <w:rsid w:val="007951CA"/>
    <w:rsid w:val="00795395"/>
    <w:rsid w:val="00795A73"/>
    <w:rsid w:val="00795C9A"/>
    <w:rsid w:val="00796559"/>
    <w:rsid w:val="007A18D2"/>
    <w:rsid w:val="007A1EC6"/>
    <w:rsid w:val="007A200F"/>
    <w:rsid w:val="007A268C"/>
    <w:rsid w:val="007A3087"/>
    <w:rsid w:val="007A3306"/>
    <w:rsid w:val="007A4916"/>
    <w:rsid w:val="007A60B7"/>
    <w:rsid w:val="007A6824"/>
    <w:rsid w:val="007A6996"/>
    <w:rsid w:val="007A6FF0"/>
    <w:rsid w:val="007B24BD"/>
    <w:rsid w:val="007B28C1"/>
    <w:rsid w:val="007B2DC4"/>
    <w:rsid w:val="007B3561"/>
    <w:rsid w:val="007B3ABC"/>
    <w:rsid w:val="007B46E4"/>
    <w:rsid w:val="007B525F"/>
    <w:rsid w:val="007B5F1F"/>
    <w:rsid w:val="007B6D47"/>
    <w:rsid w:val="007B72E6"/>
    <w:rsid w:val="007B742D"/>
    <w:rsid w:val="007C1FDA"/>
    <w:rsid w:val="007C20A1"/>
    <w:rsid w:val="007C24A5"/>
    <w:rsid w:val="007C34E5"/>
    <w:rsid w:val="007C3B21"/>
    <w:rsid w:val="007C492D"/>
    <w:rsid w:val="007C5517"/>
    <w:rsid w:val="007C603A"/>
    <w:rsid w:val="007C615B"/>
    <w:rsid w:val="007C63F4"/>
    <w:rsid w:val="007C76BD"/>
    <w:rsid w:val="007C7848"/>
    <w:rsid w:val="007C7DC3"/>
    <w:rsid w:val="007C7E04"/>
    <w:rsid w:val="007D012C"/>
    <w:rsid w:val="007D0745"/>
    <w:rsid w:val="007D1245"/>
    <w:rsid w:val="007D13C6"/>
    <w:rsid w:val="007D1D70"/>
    <w:rsid w:val="007D348D"/>
    <w:rsid w:val="007D3841"/>
    <w:rsid w:val="007D41B8"/>
    <w:rsid w:val="007D4740"/>
    <w:rsid w:val="007D4B38"/>
    <w:rsid w:val="007D53EB"/>
    <w:rsid w:val="007D555E"/>
    <w:rsid w:val="007D63FA"/>
    <w:rsid w:val="007D68F7"/>
    <w:rsid w:val="007D766A"/>
    <w:rsid w:val="007D77C1"/>
    <w:rsid w:val="007D7FDD"/>
    <w:rsid w:val="007E0604"/>
    <w:rsid w:val="007E0CE2"/>
    <w:rsid w:val="007E0D8B"/>
    <w:rsid w:val="007E15AA"/>
    <w:rsid w:val="007E2018"/>
    <w:rsid w:val="007E2B8C"/>
    <w:rsid w:val="007E4843"/>
    <w:rsid w:val="007E4AA2"/>
    <w:rsid w:val="007E5921"/>
    <w:rsid w:val="007E6276"/>
    <w:rsid w:val="007E7748"/>
    <w:rsid w:val="007E7E1B"/>
    <w:rsid w:val="007F0144"/>
    <w:rsid w:val="007F17CB"/>
    <w:rsid w:val="007F40B8"/>
    <w:rsid w:val="007F47B5"/>
    <w:rsid w:val="007F48E8"/>
    <w:rsid w:val="007F50D4"/>
    <w:rsid w:val="007F5290"/>
    <w:rsid w:val="007F591B"/>
    <w:rsid w:val="007F5E5D"/>
    <w:rsid w:val="007F6443"/>
    <w:rsid w:val="007F657D"/>
    <w:rsid w:val="007F6F31"/>
    <w:rsid w:val="007F7F65"/>
    <w:rsid w:val="008009B8"/>
    <w:rsid w:val="00800FE1"/>
    <w:rsid w:val="00802667"/>
    <w:rsid w:val="008044E4"/>
    <w:rsid w:val="00804AB1"/>
    <w:rsid w:val="00805541"/>
    <w:rsid w:val="00806066"/>
    <w:rsid w:val="00806232"/>
    <w:rsid w:val="008067B3"/>
    <w:rsid w:val="00806AA5"/>
    <w:rsid w:val="008071F4"/>
    <w:rsid w:val="008101BD"/>
    <w:rsid w:val="00810EB1"/>
    <w:rsid w:val="008118A2"/>
    <w:rsid w:val="00811F09"/>
    <w:rsid w:val="0081243E"/>
    <w:rsid w:val="00812C70"/>
    <w:rsid w:val="00813133"/>
    <w:rsid w:val="0081367A"/>
    <w:rsid w:val="00813BFB"/>
    <w:rsid w:val="008146E3"/>
    <w:rsid w:val="00814C0C"/>
    <w:rsid w:val="00814ED7"/>
    <w:rsid w:val="00815FFC"/>
    <w:rsid w:val="008168A6"/>
    <w:rsid w:val="00816D6A"/>
    <w:rsid w:val="0081742E"/>
    <w:rsid w:val="00817535"/>
    <w:rsid w:val="008176F0"/>
    <w:rsid w:val="0082041E"/>
    <w:rsid w:val="008207D8"/>
    <w:rsid w:val="00821BFB"/>
    <w:rsid w:val="0082285B"/>
    <w:rsid w:val="0082352C"/>
    <w:rsid w:val="008235F9"/>
    <w:rsid w:val="00823F7D"/>
    <w:rsid w:val="00824F08"/>
    <w:rsid w:val="00825ABB"/>
    <w:rsid w:val="00825D61"/>
    <w:rsid w:val="0082640F"/>
    <w:rsid w:val="0082647D"/>
    <w:rsid w:val="008275D6"/>
    <w:rsid w:val="00827781"/>
    <w:rsid w:val="00827B16"/>
    <w:rsid w:val="00827CE0"/>
    <w:rsid w:val="00830497"/>
    <w:rsid w:val="00830E25"/>
    <w:rsid w:val="0083228C"/>
    <w:rsid w:val="00832AF9"/>
    <w:rsid w:val="00832F37"/>
    <w:rsid w:val="008347E1"/>
    <w:rsid w:val="0083512D"/>
    <w:rsid w:val="00835A6D"/>
    <w:rsid w:val="00835CEF"/>
    <w:rsid w:val="00835FE4"/>
    <w:rsid w:val="008362CD"/>
    <w:rsid w:val="008364E7"/>
    <w:rsid w:val="0083661E"/>
    <w:rsid w:val="00836F3B"/>
    <w:rsid w:val="00840E75"/>
    <w:rsid w:val="00840E76"/>
    <w:rsid w:val="00840ED1"/>
    <w:rsid w:val="00841282"/>
    <w:rsid w:val="00841668"/>
    <w:rsid w:val="0084191E"/>
    <w:rsid w:val="00841A96"/>
    <w:rsid w:val="00842FFE"/>
    <w:rsid w:val="0084330C"/>
    <w:rsid w:val="008435D6"/>
    <w:rsid w:val="00843E65"/>
    <w:rsid w:val="008440FA"/>
    <w:rsid w:val="00844B4F"/>
    <w:rsid w:val="00844C5D"/>
    <w:rsid w:val="008451BC"/>
    <w:rsid w:val="00845C6C"/>
    <w:rsid w:val="00845E86"/>
    <w:rsid w:val="00846A4C"/>
    <w:rsid w:val="00846A9F"/>
    <w:rsid w:val="008502BC"/>
    <w:rsid w:val="008514D1"/>
    <w:rsid w:val="0085178A"/>
    <w:rsid w:val="008519CD"/>
    <w:rsid w:val="00851CC5"/>
    <w:rsid w:val="00851FDA"/>
    <w:rsid w:val="0085274E"/>
    <w:rsid w:val="00853088"/>
    <w:rsid w:val="00853B58"/>
    <w:rsid w:val="0085439A"/>
    <w:rsid w:val="008549D7"/>
    <w:rsid w:val="00854C07"/>
    <w:rsid w:val="008602B1"/>
    <w:rsid w:val="00860476"/>
    <w:rsid w:val="00860731"/>
    <w:rsid w:val="0086097D"/>
    <w:rsid w:val="008616E7"/>
    <w:rsid w:val="00861CFE"/>
    <w:rsid w:val="0086322A"/>
    <w:rsid w:val="00863360"/>
    <w:rsid w:val="00863820"/>
    <w:rsid w:val="0086630B"/>
    <w:rsid w:val="00867BD3"/>
    <w:rsid w:val="008703C2"/>
    <w:rsid w:val="008706B6"/>
    <w:rsid w:val="00870F85"/>
    <w:rsid w:val="00871A21"/>
    <w:rsid w:val="008730B5"/>
    <w:rsid w:val="008733A3"/>
    <w:rsid w:val="008739F0"/>
    <w:rsid w:val="00873D83"/>
    <w:rsid w:val="00875196"/>
    <w:rsid w:val="00876A67"/>
    <w:rsid w:val="00880FCB"/>
    <w:rsid w:val="0088174C"/>
    <w:rsid w:val="00881980"/>
    <w:rsid w:val="00881E1B"/>
    <w:rsid w:val="0088264A"/>
    <w:rsid w:val="00882890"/>
    <w:rsid w:val="00882F50"/>
    <w:rsid w:val="00883FE8"/>
    <w:rsid w:val="008844C2"/>
    <w:rsid w:val="00884AA8"/>
    <w:rsid w:val="00884B90"/>
    <w:rsid w:val="0088554E"/>
    <w:rsid w:val="00885737"/>
    <w:rsid w:val="0088633E"/>
    <w:rsid w:val="008900FB"/>
    <w:rsid w:val="00890D04"/>
    <w:rsid w:val="00892045"/>
    <w:rsid w:val="008926BE"/>
    <w:rsid w:val="008927B3"/>
    <w:rsid w:val="00892819"/>
    <w:rsid w:val="00892B5F"/>
    <w:rsid w:val="00892E96"/>
    <w:rsid w:val="0089307F"/>
    <w:rsid w:val="00894016"/>
    <w:rsid w:val="00894121"/>
    <w:rsid w:val="008945F0"/>
    <w:rsid w:val="00896773"/>
    <w:rsid w:val="00896C3D"/>
    <w:rsid w:val="0089752D"/>
    <w:rsid w:val="00897539"/>
    <w:rsid w:val="008A0F9A"/>
    <w:rsid w:val="008A1E87"/>
    <w:rsid w:val="008A1EB7"/>
    <w:rsid w:val="008A2591"/>
    <w:rsid w:val="008A334C"/>
    <w:rsid w:val="008A3414"/>
    <w:rsid w:val="008A347C"/>
    <w:rsid w:val="008A3AED"/>
    <w:rsid w:val="008A3B00"/>
    <w:rsid w:val="008A4A9B"/>
    <w:rsid w:val="008A6931"/>
    <w:rsid w:val="008A6B77"/>
    <w:rsid w:val="008A71EF"/>
    <w:rsid w:val="008A7801"/>
    <w:rsid w:val="008A7C8D"/>
    <w:rsid w:val="008B07BD"/>
    <w:rsid w:val="008B1CD1"/>
    <w:rsid w:val="008B2C96"/>
    <w:rsid w:val="008B2DBE"/>
    <w:rsid w:val="008B2E36"/>
    <w:rsid w:val="008B3B0D"/>
    <w:rsid w:val="008B4AC7"/>
    <w:rsid w:val="008B4D8D"/>
    <w:rsid w:val="008B548A"/>
    <w:rsid w:val="008B5527"/>
    <w:rsid w:val="008B5693"/>
    <w:rsid w:val="008B5CF5"/>
    <w:rsid w:val="008B5DF2"/>
    <w:rsid w:val="008B64C7"/>
    <w:rsid w:val="008B6E94"/>
    <w:rsid w:val="008B757C"/>
    <w:rsid w:val="008B796A"/>
    <w:rsid w:val="008B7D41"/>
    <w:rsid w:val="008B7E0E"/>
    <w:rsid w:val="008C0CC9"/>
    <w:rsid w:val="008C17DD"/>
    <w:rsid w:val="008C30CA"/>
    <w:rsid w:val="008C440A"/>
    <w:rsid w:val="008C51DC"/>
    <w:rsid w:val="008C5304"/>
    <w:rsid w:val="008C5497"/>
    <w:rsid w:val="008C59C5"/>
    <w:rsid w:val="008C5AA1"/>
    <w:rsid w:val="008C5DF4"/>
    <w:rsid w:val="008D00F6"/>
    <w:rsid w:val="008D0443"/>
    <w:rsid w:val="008D0822"/>
    <w:rsid w:val="008D0B68"/>
    <w:rsid w:val="008D2802"/>
    <w:rsid w:val="008D2E3A"/>
    <w:rsid w:val="008D41AE"/>
    <w:rsid w:val="008D5618"/>
    <w:rsid w:val="008D594C"/>
    <w:rsid w:val="008D61CD"/>
    <w:rsid w:val="008D6300"/>
    <w:rsid w:val="008D673D"/>
    <w:rsid w:val="008D6EB2"/>
    <w:rsid w:val="008D784F"/>
    <w:rsid w:val="008D7850"/>
    <w:rsid w:val="008D7BDF"/>
    <w:rsid w:val="008E11E7"/>
    <w:rsid w:val="008E1EA6"/>
    <w:rsid w:val="008E2B37"/>
    <w:rsid w:val="008E38E5"/>
    <w:rsid w:val="008E4E28"/>
    <w:rsid w:val="008E6C0B"/>
    <w:rsid w:val="008F0ADD"/>
    <w:rsid w:val="008F1469"/>
    <w:rsid w:val="008F22A1"/>
    <w:rsid w:val="008F2DAB"/>
    <w:rsid w:val="008F3863"/>
    <w:rsid w:val="008F3A00"/>
    <w:rsid w:val="008F3B5F"/>
    <w:rsid w:val="008F4F15"/>
    <w:rsid w:val="008F5814"/>
    <w:rsid w:val="008F61BD"/>
    <w:rsid w:val="008F7436"/>
    <w:rsid w:val="008F798C"/>
    <w:rsid w:val="00900A57"/>
    <w:rsid w:val="00901E35"/>
    <w:rsid w:val="00901FDA"/>
    <w:rsid w:val="00902207"/>
    <w:rsid w:val="00904106"/>
    <w:rsid w:val="0090473E"/>
    <w:rsid w:val="00904A72"/>
    <w:rsid w:val="00905192"/>
    <w:rsid w:val="009056C7"/>
    <w:rsid w:val="009068CC"/>
    <w:rsid w:val="00906E7A"/>
    <w:rsid w:val="0090731C"/>
    <w:rsid w:val="00907D44"/>
    <w:rsid w:val="009102F6"/>
    <w:rsid w:val="00910866"/>
    <w:rsid w:val="00911107"/>
    <w:rsid w:val="00911181"/>
    <w:rsid w:val="009123FE"/>
    <w:rsid w:val="0091271D"/>
    <w:rsid w:val="00912E7A"/>
    <w:rsid w:val="00914BF0"/>
    <w:rsid w:val="009151C2"/>
    <w:rsid w:val="00916461"/>
    <w:rsid w:val="00921140"/>
    <w:rsid w:val="009216F5"/>
    <w:rsid w:val="00921F7E"/>
    <w:rsid w:val="009229FE"/>
    <w:rsid w:val="00923950"/>
    <w:rsid w:val="00924AF4"/>
    <w:rsid w:val="00925BEE"/>
    <w:rsid w:val="009264AC"/>
    <w:rsid w:val="00927069"/>
    <w:rsid w:val="009273A8"/>
    <w:rsid w:val="009273B5"/>
    <w:rsid w:val="00930CE2"/>
    <w:rsid w:val="00932510"/>
    <w:rsid w:val="00932588"/>
    <w:rsid w:val="009330AE"/>
    <w:rsid w:val="009345EE"/>
    <w:rsid w:val="009346B4"/>
    <w:rsid w:val="00940C73"/>
    <w:rsid w:val="00940DB9"/>
    <w:rsid w:val="00941A59"/>
    <w:rsid w:val="00941C8F"/>
    <w:rsid w:val="0094209B"/>
    <w:rsid w:val="009423C8"/>
    <w:rsid w:val="00942732"/>
    <w:rsid w:val="0094283D"/>
    <w:rsid w:val="0094312E"/>
    <w:rsid w:val="00943218"/>
    <w:rsid w:val="00943F8A"/>
    <w:rsid w:val="009444C8"/>
    <w:rsid w:val="00944A69"/>
    <w:rsid w:val="00944C33"/>
    <w:rsid w:val="00944E1D"/>
    <w:rsid w:val="00946D34"/>
    <w:rsid w:val="00946E39"/>
    <w:rsid w:val="0094719E"/>
    <w:rsid w:val="009473D1"/>
    <w:rsid w:val="009478D6"/>
    <w:rsid w:val="00947A26"/>
    <w:rsid w:val="00950BC9"/>
    <w:rsid w:val="00951CEE"/>
    <w:rsid w:val="00951E3B"/>
    <w:rsid w:val="00951F31"/>
    <w:rsid w:val="0095238E"/>
    <w:rsid w:val="00952F35"/>
    <w:rsid w:val="00952FF7"/>
    <w:rsid w:val="009537E5"/>
    <w:rsid w:val="009540A3"/>
    <w:rsid w:val="0095528A"/>
    <w:rsid w:val="00955480"/>
    <w:rsid w:val="009561B1"/>
    <w:rsid w:val="00956A29"/>
    <w:rsid w:val="009605FD"/>
    <w:rsid w:val="009614C7"/>
    <w:rsid w:val="00963869"/>
    <w:rsid w:val="00963BC7"/>
    <w:rsid w:val="00963E75"/>
    <w:rsid w:val="00964014"/>
    <w:rsid w:val="00964189"/>
    <w:rsid w:val="00965262"/>
    <w:rsid w:val="00965C38"/>
    <w:rsid w:val="00966C46"/>
    <w:rsid w:val="00970C60"/>
    <w:rsid w:val="00971BC1"/>
    <w:rsid w:val="0097203A"/>
    <w:rsid w:val="0097217D"/>
    <w:rsid w:val="00972C7D"/>
    <w:rsid w:val="00974038"/>
    <w:rsid w:val="00974897"/>
    <w:rsid w:val="00974D1F"/>
    <w:rsid w:val="00975D58"/>
    <w:rsid w:val="00975EB7"/>
    <w:rsid w:val="00975F9B"/>
    <w:rsid w:val="0097613E"/>
    <w:rsid w:val="0097629F"/>
    <w:rsid w:val="00977BAA"/>
    <w:rsid w:val="00980002"/>
    <w:rsid w:val="0098064F"/>
    <w:rsid w:val="00980E58"/>
    <w:rsid w:val="009814EF"/>
    <w:rsid w:val="00981F07"/>
    <w:rsid w:val="0098361A"/>
    <w:rsid w:val="0098434D"/>
    <w:rsid w:val="009843D0"/>
    <w:rsid w:val="00984855"/>
    <w:rsid w:val="00984F1E"/>
    <w:rsid w:val="00985675"/>
    <w:rsid w:val="009859A4"/>
    <w:rsid w:val="00986204"/>
    <w:rsid w:val="0098649A"/>
    <w:rsid w:val="00986845"/>
    <w:rsid w:val="00986DD9"/>
    <w:rsid w:val="00986E74"/>
    <w:rsid w:val="00987249"/>
    <w:rsid w:val="009873B9"/>
    <w:rsid w:val="00987F64"/>
    <w:rsid w:val="00990A48"/>
    <w:rsid w:val="00990B64"/>
    <w:rsid w:val="009912A5"/>
    <w:rsid w:val="009913C0"/>
    <w:rsid w:val="009922EC"/>
    <w:rsid w:val="009924B2"/>
    <w:rsid w:val="00992787"/>
    <w:rsid w:val="00992837"/>
    <w:rsid w:val="009929E9"/>
    <w:rsid w:val="00992BB2"/>
    <w:rsid w:val="00993418"/>
    <w:rsid w:val="00993456"/>
    <w:rsid w:val="00993796"/>
    <w:rsid w:val="00993806"/>
    <w:rsid w:val="00993B93"/>
    <w:rsid w:val="00993D41"/>
    <w:rsid w:val="00994774"/>
    <w:rsid w:val="0099625B"/>
    <w:rsid w:val="00996D85"/>
    <w:rsid w:val="00997177"/>
    <w:rsid w:val="00997912"/>
    <w:rsid w:val="00997956"/>
    <w:rsid w:val="00997C1B"/>
    <w:rsid w:val="00997C6F"/>
    <w:rsid w:val="009A0EAC"/>
    <w:rsid w:val="009A1E6A"/>
    <w:rsid w:val="009A2A5D"/>
    <w:rsid w:val="009A2AEC"/>
    <w:rsid w:val="009A4EFA"/>
    <w:rsid w:val="009A7384"/>
    <w:rsid w:val="009B2C8A"/>
    <w:rsid w:val="009B3C6A"/>
    <w:rsid w:val="009B53BE"/>
    <w:rsid w:val="009B7EF2"/>
    <w:rsid w:val="009C0CD1"/>
    <w:rsid w:val="009C1458"/>
    <w:rsid w:val="009C2C4F"/>
    <w:rsid w:val="009C2D7E"/>
    <w:rsid w:val="009C313C"/>
    <w:rsid w:val="009C32D5"/>
    <w:rsid w:val="009C4170"/>
    <w:rsid w:val="009C4EEF"/>
    <w:rsid w:val="009C50B9"/>
    <w:rsid w:val="009C73C2"/>
    <w:rsid w:val="009D047A"/>
    <w:rsid w:val="009D0AD7"/>
    <w:rsid w:val="009D0C08"/>
    <w:rsid w:val="009D1CDB"/>
    <w:rsid w:val="009D1DFD"/>
    <w:rsid w:val="009D20DB"/>
    <w:rsid w:val="009D2DEB"/>
    <w:rsid w:val="009D37A3"/>
    <w:rsid w:val="009D3ACB"/>
    <w:rsid w:val="009D3D47"/>
    <w:rsid w:val="009D4B0C"/>
    <w:rsid w:val="009D5269"/>
    <w:rsid w:val="009D5582"/>
    <w:rsid w:val="009D79E5"/>
    <w:rsid w:val="009D7AB0"/>
    <w:rsid w:val="009D7D6A"/>
    <w:rsid w:val="009E00EC"/>
    <w:rsid w:val="009E040F"/>
    <w:rsid w:val="009E0FA2"/>
    <w:rsid w:val="009E1001"/>
    <w:rsid w:val="009E1054"/>
    <w:rsid w:val="009E15C9"/>
    <w:rsid w:val="009E2416"/>
    <w:rsid w:val="009E252C"/>
    <w:rsid w:val="009E2B70"/>
    <w:rsid w:val="009E332B"/>
    <w:rsid w:val="009E381F"/>
    <w:rsid w:val="009E4062"/>
    <w:rsid w:val="009E49E6"/>
    <w:rsid w:val="009E4E8B"/>
    <w:rsid w:val="009E6022"/>
    <w:rsid w:val="009E616D"/>
    <w:rsid w:val="009E69C2"/>
    <w:rsid w:val="009F03C9"/>
    <w:rsid w:val="009F16E0"/>
    <w:rsid w:val="009F206B"/>
    <w:rsid w:val="009F2E6D"/>
    <w:rsid w:val="009F357D"/>
    <w:rsid w:val="009F3A2F"/>
    <w:rsid w:val="009F45EF"/>
    <w:rsid w:val="009F4C63"/>
    <w:rsid w:val="009F51A3"/>
    <w:rsid w:val="009F5401"/>
    <w:rsid w:val="009F61BC"/>
    <w:rsid w:val="009F6D4D"/>
    <w:rsid w:val="009F6FDE"/>
    <w:rsid w:val="009F7A7D"/>
    <w:rsid w:val="00A00015"/>
    <w:rsid w:val="00A00114"/>
    <w:rsid w:val="00A0109F"/>
    <w:rsid w:val="00A01361"/>
    <w:rsid w:val="00A014C9"/>
    <w:rsid w:val="00A03199"/>
    <w:rsid w:val="00A035F9"/>
    <w:rsid w:val="00A03B35"/>
    <w:rsid w:val="00A04082"/>
    <w:rsid w:val="00A04276"/>
    <w:rsid w:val="00A053C8"/>
    <w:rsid w:val="00A06532"/>
    <w:rsid w:val="00A100B0"/>
    <w:rsid w:val="00A10950"/>
    <w:rsid w:val="00A10AD9"/>
    <w:rsid w:val="00A10C86"/>
    <w:rsid w:val="00A11E94"/>
    <w:rsid w:val="00A126DB"/>
    <w:rsid w:val="00A12BFC"/>
    <w:rsid w:val="00A13387"/>
    <w:rsid w:val="00A13F4C"/>
    <w:rsid w:val="00A13F4D"/>
    <w:rsid w:val="00A1437D"/>
    <w:rsid w:val="00A15456"/>
    <w:rsid w:val="00A15864"/>
    <w:rsid w:val="00A15EF0"/>
    <w:rsid w:val="00A162FC"/>
    <w:rsid w:val="00A165D8"/>
    <w:rsid w:val="00A16F3C"/>
    <w:rsid w:val="00A17A6E"/>
    <w:rsid w:val="00A20872"/>
    <w:rsid w:val="00A209AB"/>
    <w:rsid w:val="00A20E09"/>
    <w:rsid w:val="00A224AA"/>
    <w:rsid w:val="00A22623"/>
    <w:rsid w:val="00A22B7B"/>
    <w:rsid w:val="00A230BB"/>
    <w:rsid w:val="00A23267"/>
    <w:rsid w:val="00A237BE"/>
    <w:rsid w:val="00A25FA8"/>
    <w:rsid w:val="00A261A1"/>
    <w:rsid w:val="00A265D4"/>
    <w:rsid w:val="00A27A7B"/>
    <w:rsid w:val="00A3039F"/>
    <w:rsid w:val="00A30639"/>
    <w:rsid w:val="00A32090"/>
    <w:rsid w:val="00A32F30"/>
    <w:rsid w:val="00A33312"/>
    <w:rsid w:val="00A3375C"/>
    <w:rsid w:val="00A33DBE"/>
    <w:rsid w:val="00A3527A"/>
    <w:rsid w:val="00A35F3A"/>
    <w:rsid w:val="00A365AE"/>
    <w:rsid w:val="00A3717E"/>
    <w:rsid w:val="00A37301"/>
    <w:rsid w:val="00A40328"/>
    <w:rsid w:val="00A411C0"/>
    <w:rsid w:val="00A41B7E"/>
    <w:rsid w:val="00A421F2"/>
    <w:rsid w:val="00A43204"/>
    <w:rsid w:val="00A434C4"/>
    <w:rsid w:val="00A443CC"/>
    <w:rsid w:val="00A445D8"/>
    <w:rsid w:val="00A44CF5"/>
    <w:rsid w:val="00A45812"/>
    <w:rsid w:val="00A45BE7"/>
    <w:rsid w:val="00A50581"/>
    <w:rsid w:val="00A528DD"/>
    <w:rsid w:val="00A529D8"/>
    <w:rsid w:val="00A529F7"/>
    <w:rsid w:val="00A52D1B"/>
    <w:rsid w:val="00A53236"/>
    <w:rsid w:val="00A54931"/>
    <w:rsid w:val="00A55043"/>
    <w:rsid w:val="00A55974"/>
    <w:rsid w:val="00A55AEE"/>
    <w:rsid w:val="00A55EA7"/>
    <w:rsid w:val="00A571ED"/>
    <w:rsid w:val="00A578F8"/>
    <w:rsid w:val="00A57AB0"/>
    <w:rsid w:val="00A57BA6"/>
    <w:rsid w:val="00A57F89"/>
    <w:rsid w:val="00A6096D"/>
    <w:rsid w:val="00A61C17"/>
    <w:rsid w:val="00A62934"/>
    <w:rsid w:val="00A62A00"/>
    <w:rsid w:val="00A63E74"/>
    <w:rsid w:val="00A641BD"/>
    <w:rsid w:val="00A6499E"/>
    <w:rsid w:val="00A6521E"/>
    <w:rsid w:val="00A6697C"/>
    <w:rsid w:val="00A67633"/>
    <w:rsid w:val="00A677BE"/>
    <w:rsid w:val="00A67CA8"/>
    <w:rsid w:val="00A7120C"/>
    <w:rsid w:val="00A7181F"/>
    <w:rsid w:val="00A71D82"/>
    <w:rsid w:val="00A73487"/>
    <w:rsid w:val="00A7373B"/>
    <w:rsid w:val="00A73CAD"/>
    <w:rsid w:val="00A73E19"/>
    <w:rsid w:val="00A743E7"/>
    <w:rsid w:val="00A74D2C"/>
    <w:rsid w:val="00A74EE8"/>
    <w:rsid w:val="00A750B6"/>
    <w:rsid w:val="00A751C5"/>
    <w:rsid w:val="00A75A4B"/>
    <w:rsid w:val="00A76234"/>
    <w:rsid w:val="00A767E7"/>
    <w:rsid w:val="00A76975"/>
    <w:rsid w:val="00A7714C"/>
    <w:rsid w:val="00A77754"/>
    <w:rsid w:val="00A7788C"/>
    <w:rsid w:val="00A808FB"/>
    <w:rsid w:val="00A80AB1"/>
    <w:rsid w:val="00A819EB"/>
    <w:rsid w:val="00A830A4"/>
    <w:rsid w:val="00A8321D"/>
    <w:rsid w:val="00A843A1"/>
    <w:rsid w:val="00A843BF"/>
    <w:rsid w:val="00A846ED"/>
    <w:rsid w:val="00A855F8"/>
    <w:rsid w:val="00A85664"/>
    <w:rsid w:val="00A85CA2"/>
    <w:rsid w:val="00A8632A"/>
    <w:rsid w:val="00A864EB"/>
    <w:rsid w:val="00A86FFE"/>
    <w:rsid w:val="00A87536"/>
    <w:rsid w:val="00A901A5"/>
    <w:rsid w:val="00A90E92"/>
    <w:rsid w:val="00A91610"/>
    <w:rsid w:val="00A91864"/>
    <w:rsid w:val="00A92280"/>
    <w:rsid w:val="00A92526"/>
    <w:rsid w:val="00A92CA7"/>
    <w:rsid w:val="00A92D66"/>
    <w:rsid w:val="00A9302A"/>
    <w:rsid w:val="00A93429"/>
    <w:rsid w:val="00A93A58"/>
    <w:rsid w:val="00A94766"/>
    <w:rsid w:val="00A94C1B"/>
    <w:rsid w:val="00A94FCD"/>
    <w:rsid w:val="00A94FE0"/>
    <w:rsid w:val="00A95106"/>
    <w:rsid w:val="00A956BD"/>
    <w:rsid w:val="00A95E28"/>
    <w:rsid w:val="00A96B89"/>
    <w:rsid w:val="00A96DD8"/>
    <w:rsid w:val="00A97AEA"/>
    <w:rsid w:val="00A97B54"/>
    <w:rsid w:val="00A97E8F"/>
    <w:rsid w:val="00AA1480"/>
    <w:rsid w:val="00AA26E7"/>
    <w:rsid w:val="00AA2A9D"/>
    <w:rsid w:val="00AA2D6B"/>
    <w:rsid w:val="00AA35D9"/>
    <w:rsid w:val="00AA5016"/>
    <w:rsid w:val="00AA5017"/>
    <w:rsid w:val="00AA54F0"/>
    <w:rsid w:val="00AA5910"/>
    <w:rsid w:val="00AA688B"/>
    <w:rsid w:val="00AA6B7A"/>
    <w:rsid w:val="00AA6F63"/>
    <w:rsid w:val="00AB0285"/>
    <w:rsid w:val="00AB08D1"/>
    <w:rsid w:val="00AB0EEC"/>
    <w:rsid w:val="00AB2093"/>
    <w:rsid w:val="00AB3E38"/>
    <w:rsid w:val="00AB3F9B"/>
    <w:rsid w:val="00AB43FD"/>
    <w:rsid w:val="00AB55F5"/>
    <w:rsid w:val="00AB5AA2"/>
    <w:rsid w:val="00AB5AE2"/>
    <w:rsid w:val="00AB5BD3"/>
    <w:rsid w:val="00AB5F69"/>
    <w:rsid w:val="00AB6064"/>
    <w:rsid w:val="00AB62CE"/>
    <w:rsid w:val="00AB6856"/>
    <w:rsid w:val="00AB6E58"/>
    <w:rsid w:val="00AB77F7"/>
    <w:rsid w:val="00AB7E11"/>
    <w:rsid w:val="00AC13F4"/>
    <w:rsid w:val="00AC2975"/>
    <w:rsid w:val="00AC3756"/>
    <w:rsid w:val="00AC3CF1"/>
    <w:rsid w:val="00AC420E"/>
    <w:rsid w:val="00AC5065"/>
    <w:rsid w:val="00AC5247"/>
    <w:rsid w:val="00AC57E9"/>
    <w:rsid w:val="00AC645E"/>
    <w:rsid w:val="00AC6EFC"/>
    <w:rsid w:val="00AC717F"/>
    <w:rsid w:val="00AC78FA"/>
    <w:rsid w:val="00AD14D7"/>
    <w:rsid w:val="00AD27AC"/>
    <w:rsid w:val="00AD3835"/>
    <w:rsid w:val="00AD4339"/>
    <w:rsid w:val="00AD4A76"/>
    <w:rsid w:val="00AD5854"/>
    <w:rsid w:val="00AD5936"/>
    <w:rsid w:val="00AD5FBA"/>
    <w:rsid w:val="00AD6C65"/>
    <w:rsid w:val="00AD777A"/>
    <w:rsid w:val="00AE087E"/>
    <w:rsid w:val="00AE0B43"/>
    <w:rsid w:val="00AE1FA1"/>
    <w:rsid w:val="00AE2A92"/>
    <w:rsid w:val="00AE5070"/>
    <w:rsid w:val="00AE52A9"/>
    <w:rsid w:val="00AE63BB"/>
    <w:rsid w:val="00AE73FA"/>
    <w:rsid w:val="00AE75BF"/>
    <w:rsid w:val="00AF0208"/>
    <w:rsid w:val="00AF1251"/>
    <w:rsid w:val="00AF1D7E"/>
    <w:rsid w:val="00AF1DDF"/>
    <w:rsid w:val="00AF247C"/>
    <w:rsid w:val="00AF2746"/>
    <w:rsid w:val="00AF3848"/>
    <w:rsid w:val="00AF4194"/>
    <w:rsid w:val="00AF4DCB"/>
    <w:rsid w:val="00AF6046"/>
    <w:rsid w:val="00AF6250"/>
    <w:rsid w:val="00AF660D"/>
    <w:rsid w:val="00AF66F4"/>
    <w:rsid w:val="00AF705E"/>
    <w:rsid w:val="00B004A9"/>
    <w:rsid w:val="00B00943"/>
    <w:rsid w:val="00B00BC0"/>
    <w:rsid w:val="00B00BF1"/>
    <w:rsid w:val="00B014EA"/>
    <w:rsid w:val="00B01F26"/>
    <w:rsid w:val="00B025AA"/>
    <w:rsid w:val="00B02D05"/>
    <w:rsid w:val="00B030B3"/>
    <w:rsid w:val="00B030C2"/>
    <w:rsid w:val="00B0371C"/>
    <w:rsid w:val="00B0388F"/>
    <w:rsid w:val="00B04160"/>
    <w:rsid w:val="00B04815"/>
    <w:rsid w:val="00B04C28"/>
    <w:rsid w:val="00B05531"/>
    <w:rsid w:val="00B05B10"/>
    <w:rsid w:val="00B072D9"/>
    <w:rsid w:val="00B076B3"/>
    <w:rsid w:val="00B10565"/>
    <w:rsid w:val="00B1056C"/>
    <w:rsid w:val="00B10E88"/>
    <w:rsid w:val="00B1228D"/>
    <w:rsid w:val="00B124E3"/>
    <w:rsid w:val="00B1292C"/>
    <w:rsid w:val="00B14C34"/>
    <w:rsid w:val="00B155C7"/>
    <w:rsid w:val="00B161EF"/>
    <w:rsid w:val="00B16299"/>
    <w:rsid w:val="00B16E4E"/>
    <w:rsid w:val="00B176DF"/>
    <w:rsid w:val="00B17AC8"/>
    <w:rsid w:val="00B20392"/>
    <w:rsid w:val="00B2039E"/>
    <w:rsid w:val="00B2151C"/>
    <w:rsid w:val="00B21C50"/>
    <w:rsid w:val="00B21D6D"/>
    <w:rsid w:val="00B223AB"/>
    <w:rsid w:val="00B2285E"/>
    <w:rsid w:val="00B22B1A"/>
    <w:rsid w:val="00B22C03"/>
    <w:rsid w:val="00B22D68"/>
    <w:rsid w:val="00B22F70"/>
    <w:rsid w:val="00B2385C"/>
    <w:rsid w:val="00B23DC6"/>
    <w:rsid w:val="00B24298"/>
    <w:rsid w:val="00B2432F"/>
    <w:rsid w:val="00B24733"/>
    <w:rsid w:val="00B249E5"/>
    <w:rsid w:val="00B2553B"/>
    <w:rsid w:val="00B25576"/>
    <w:rsid w:val="00B2596D"/>
    <w:rsid w:val="00B259CE"/>
    <w:rsid w:val="00B25EFB"/>
    <w:rsid w:val="00B261CD"/>
    <w:rsid w:val="00B2665C"/>
    <w:rsid w:val="00B26893"/>
    <w:rsid w:val="00B26A6D"/>
    <w:rsid w:val="00B2727B"/>
    <w:rsid w:val="00B30BA3"/>
    <w:rsid w:val="00B30BED"/>
    <w:rsid w:val="00B311D3"/>
    <w:rsid w:val="00B31246"/>
    <w:rsid w:val="00B31837"/>
    <w:rsid w:val="00B318F9"/>
    <w:rsid w:val="00B32669"/>
    <w:rsid w:val="00B337E3"/>
    <w:rsid w:val="00B33C33"/>
    <w:rsid w:val="00B33E07"/>
    <w:rsid w:val="00B3491E"/>
    <w:rsid w:val="00B35091"/>
    <w:rsid w:val="00B357FD"/>
    <w:rsid w:val="00B41D76"/>
    <w:rsid w:val="00B423BF"/>
    <w:rsid w:val="00B4316A"/>
    <w:rsid w:val="00B4321A"/>
    <w:rsid w:val="00B432BE"/>
    <w:rsid w:val="00B44CA3"/>
    <w:rsid w:val="00B44F0C"/>
    <w:rsid w:val="00B464F6"/>
    <w:rsid w:val="00B46E23"/>
    <w:rsid w:val="00B470BF"/>
    <w:rsid w:val="00B47EB6"/>
    <w:rsid w:val="00B509E0"/>
    <w:rsid w:val="00B526CA"/>
    <w:rsid w:val="00B526FE"/>
    <w:rsid w:val="00B53BD3"/>
    <w:rsid w:val="00B53D5C"/>
    <w:rsid w:val="00B54103"/>
    <w:rsid w:val="00B541E8"/>
    <w:rsid w:val="00B5457C"/>
    <w:rsid w:val="00B545A6"/>
    <w:rsid w:val="00B5512A"/>
    <w:rsid w:val="00B559E7"/>
    <w:rsid w:val="00B5679B"/>
    <w:rsid w:val="00B5738E"/>
    <w:rsid w:val="00B57637"/>
    <w:rsid w:val="00B604E0"/>
    <w:rsid w:val="00B61F89"/>
    <w:rsid w:val="00B6233B"/>
    <w:rsid w:val="00B6292F"/>
    <w:rsid w:val="00B6327C"/>
    <w:rsid w:val="00B63579"/>
    <w:rsid w:val="00B65067"/>
    <w:rsid w:val="00B6506C"/>
    <w:rsid w:val="00B65C38"/>
    <w:rsid w:val="00B66512"/>
    <w:rsid w:val="00B668D0"/>
    <w:rsid w:val="00B669F7"/>
    <w:rsid w:val="00B674C5"/>
    <w:rsid w:val="00B67FF3"/>
    <w:rsid w:val="00B7059F"/>
    <w:rsid w:val="00B70A29"/>
    <w:rsid w:val="00B71828"/>
    <w:rsid w:val="00B71F21"/>
    <w:rsid w:val="00B72938"/>
    <w:rsid w:val="00B767E2"/>
    <w:rsid w:val="00B76BB1"/>
    <w:rsid w:val="00B77050"/>
    <w:rsid w:val="00B8003A"/>
    <w:rsid w:val="00B80041"/>
    <w:rsid w:val="00B80D13"/>
    <w:rsid w:val="00B810D7"/>
    <w:rsid w:val="00B813A8"/>
    <w:rsid w:val="00B820EB"/>
    <w:rsid w:val="00B8246D"/>
    <w:rsid w:val="00B82518"/>
    <w:rsid w:val="00B8345C"/>
    <w:rsid w:val="00B8353A"/>
    <w:rsid w:val="00B837DB"/>
    <w:rsid w:val="00B849C9"/>
    <w:rsid w:val="00B84A7B"/>
    <w:rsid w:val="00B84CC5"/>
    <w:rsid w:val="00B84F2D"/>
    <w:rsid w:val="00B8660B"/>
    <w:rsid w:val="00B86E8C"/>
    <w:rsid w:val="00B871CC"/>
    <w:rsid w:val="00B87DAA"/>
    <w:rsid w:val="00B87FD2"/>
    <w:rsid w:val="00B9003E"/>
    <w:rsid w:val="00B90CD6"/>
    <w:rsid w:val="00B91180"/>
    <w:rsid w:val="00B91412"/>
    <w:rsid w:val="00B91919"/>
    <w:rsid w:val="00B92023"/>
    <w:rsid w:val="00B92080"/>
    <w:rsid w:val="00B93074"/>
    <w:rsid w:val="00B93191"/>
    <w:rsid w:val="00B947F9"/>
    <w:rsid w:val="00B94998"/>
    <w:rsid w:val="00B955E1"/>
    <w:rsid w:val="00B955F7"/>
    <w:rsid w:val="00B95AF7"/>
    <w:rsid w:val="00B95E85"/>
    <w:rsid w:val="00B96BEC"/>
    <w:rsid w:val="00B9732B"/>
    <w:rsid w:val="00B97577"/>
    <w:rsid w:val="00B978E5"/>
    <w:rsid w:val="00B9790D"/>
    <w:rsid w:val="00BA0286"/>
    <w:rsid w:val="00BA0846"/>
    <w:rsid w:val="00BA1E57"/>
    <w:rsid w:val="00BA269D"/>
    <w:rsid w:val="00BA2CA9"/>
    <w:rsid w:val="00BA3102"/>
    <w:rsid w:val="00BA32EC"/>
    <w:rsid w:val="00BA3E30"/>
    <w:rsid w:val="00BA41AC"/>
    <w:rsid w:val="00BA4C27"/>
    <w:rsid w:val="00BA53E2"/>
    <w:rsid w:val="00BA53F3"/>
    <w:rsid w:val="00BA57C9"/>
    <w:rsid w:val="00BA5D5B"/>
    <w:rsid w:val="00BA687C"/>
    <w:rsid w:val="00BA747D"/>
    <w:rsid w:val="00BA7A30"/>
    <w:rsid w:val="00BB08A8"/>
    <w:rsid w:val="00BB0B06"/>
    <w:rsid w:val="00BB1DCB"/>
    <w:rsid w:val="00BB25ED"/>
    <w:rsid w:val="00BB2D81"/>
    <w:rsid w:val="00BB3160"/>
    <w:rsid w:val="00BB3551"/>
    <w:rsid w:val="00BB37B1"/>
    <w:rsid w:val="00BB5736"/>
    <w:rsid w:val="00BB62B6"/>
    <w:rsid w:val="00BB7070"/>
    <w:rsid w:val="00BB76CA"/>
    <w:rsid w:val="00BB77BB"/>
    <w:rsid w:val="00BB78D8"/>
    <w:rsid w:val="00BC0C44"/>
    <w:rsid w:val="00BC189A"/>
    <w:rsid w:val="00BC284F"/>
    <w:rsid w:val="00BC2AAC"/>
    <w:rsid w:val="00BC2E60"/>
    <w:rsid w:val="00BC2F19"/>
    <w:rsid w:val="00BC3BDE"/>
    <w:rsid w:val="00BC51CD"/>
    <w:rsid w:val="00BC5421"/>
    <w:rsid w:val="00BC60C3"/>
    <w:rsid w:val="00BC7064"/>
    <w:rsid w:val="00BC7AE5"/>
    <w:rsid w:val="00BD084A"/>
    <w:rsid w:val="00BD0850"/>
    <w:rsid w:val="00BD08A3"/>
    <w:rsid w:val="00BD21A0"/>
    <w:rsid w:val="00BD298E"/>
    <w:rsid w:val="00BD2A44"/>
    <w:rsid w:val="00BD4028"/>
    <w:rsid w:val="00BD4312"/>
    <w:rsid w:val="00BD516D"/>
    <w:rsid w:val="00BD51E8"/>
    <w:rsid w:val="00BD6334"/>
    <w:rsid w:val="00BD6848"/>
    <w:rsid w:val="00BD6A5D"/>
    <w:rsid w:val="00BD7064"/>
    <w:rsid w:val="00BD7E72"/>
    <w:rsid w:val="00BE2038"/>
    <w:rsid w:val="00BE25E8"/>
    <w:rsid w:val="00BE382C"/>
    <w:rsid w:val="00BE469D"/>
    <w:rsid w:val="00BE51B7"/>
    <w:rsid w:val="00BE5324"/>
    <w:rsid w:val="00BE581D"/>
    <w:rsid w:val="00BE5C9C"/>
    <w:rsid w:val="00BE6895"/>
    <w:rsid w:val="00BE6FA8"/>
    <w:rsid w:val="00BE72D3"/>
    <w:rsid w:val="00BE7954"/>
    <w:rsid w:val="00BE79CA"/>
    <w:rsid w:val="00BF01D8"/>
    <w:rsid w:val="00BF069E"/>
    <w:rsid w:val="00BF1E49"/>
    <w:rsid w:val="00BF2D73"/>
    <w:rsid w:val="00BF2F3E"/>
    <w:rsid w:val="00BF311F"/>
    <w:rsid w:val="00BF3F48"/>
    <w:rsid w:val="00BF5543"/>
    <w:rsid w:val="00BF5550"/>
    <w:rsid w:val="00BF5A7F"/>
    <w:rsid w:val="00BF5C4E"/>
    <w:rsid w:val="00BF60A4"/>
    <w:rsid w:val="00BF7067"/>
    <w:rsid w:val="00BF730E"/>
    <w:rsid w:val="00C0008F"/>
    <w:rsid w:val="00C0012E"/>
    <w:rsid w:val="00C013A1"/>
    <w:rsid w:val="00C01FF9"/>
    <w:rsid w:val="00C02EB3"/>
    <w:rsid w:val="00C03363"/>
    <w:rsid w:val="00C04A88"/>
    <w:rsid w:val="00C04C90"/>
    <w:rsid w:val="00C04CD2"/>
    <w:rsid w:val="00C05870"/>
    <w:rsid w:val="00C05D23"/>
    <w:rsid w:val="00C062B8"/>
    <w:rsid w:val="00C1030B"/>
    <w:rsid w:val="00C103A8"/>
    <w:rsid w:val="00C1064E"/>
    <w:rsid w:val="00C117C2"/>
    <w:rsid w:val="00C119ED"/>
    <w:rsid w:val="00C12046"/>
    <w:rsid w:val="00C135C8"/>
    <w:rsid w:val="00C152A9"/>
    <w:rsid w:val="00C15662"/>
    <w:rsid w:val="00C15E3C"/>
    <w:rsid w:val="00C168FC"/>
    <w:rsid w:val="00C204A9"/>
    <w:rsid w:val="00C20C6A"/>
    <w:rsid w:val="00C21838"/>
    <w:rsid w:val="00C245EA"/>
    <w:rsid w:val="00C246F1"/>
    <w:rsid w:val="00C259A1"/>
    <w:rsid w:val="00C25B06"/>
    <w:rsid w:val="00C266E6"/>
    <w:rsid w:val="00C275C4"/>
    <w:rsid w:val="00C27F0E"/>
    <w:rsid w:val="00C27FFC"/>
    <w:rsid w:val="00C30131"/>
    <w:rsid w:val="00C307AA"/>
    <w:rsid w:val="00C30CED"/>
    <w:rsid w:val="00C31411"/>
    <w:rsid w:val="00C3232E"/>
    <w:rsid w:val="00C327B7"/>
    <w:rsid w:val="00C3283F"/>
    <w:rsid w:val="00C33122"/>
    <w:rsid w:val="00C3368E"/>
    <w:rsid w:val="00C3383B"/>
    <w:rsid w:val="00C33A6D"/>
    <w:rsid w:val="00C349C9"/>
    <w:rsid w:val="00C35F20"/>
    <w:rsid w:val="00C36A72"/>
    <w:rsid w:val="00C36FCE"/>
    <w:rsid w:val="00C3723C"/>
    <w:rsid w:val="00C37940"/>
    <w:rsid w:val="00C40642"/>
    <w:rsid w:val="00C4075D"/>
    <w:rsid w:val="00C41300"/>
    <w:rsid w:val="00C41957"/>
    <w:rsid w:val="00C41A8C"/>
    <w:rsid w:val="00C424AE"/>
    <w:rsid w:val="00C43986"/>
    <w:rsid w:val="00C44A4D"/>
    <w:rsid w:val="00C454D3"/>
    <w:rsid w:val="00C45780"/>
    <w:rsid w:val="00C45E8D"/>
    <w:rsid w:val="00C46F88"/>
    <w:rsid w:val="00C476EA"/>
    <w:rsid w:val="00C4780E"/>
    <w:rsid w:val="00C47C38"/>
    <w:rsid w:val="00C47FA0"/>
    <w:rsid w:val="00C502E0"/>
    <w:rsid w:val="00C50FF2"/>
    <w:rsid w:val="00C51DF9"/>
    <w:rsid w:val="00C51FD5"/>
    <w:rsid w:val="00C52FCE"/>
    <w:rsid w:val="00C530CA"/>
    <w:rsid w:val="00C548DF"/>
    <w:rsid w:val="00C55B85"/>
    <w:rsid w:val="00C56BE8"/>
    <w:rsid w:val="00C56ED4"/>
    <w:rsid w:val="00C57515"/>
    <w:rsid w:val="00C5791B"/>
    <w:rsid w:val="00C57E70"/>
    <w:rsid w:val="00C57F34"/>
    <w:rsid w:val="00C6120F"/>
    <w:rsid w:val="00C62463"/>
    <w:rsid w:val="00C63961"/>
    <w:rsid w:val="00C63B21"/>
    <w:rsid w:val="00C64218"/>
    <w:rsid w:val="00C652C8"/>
    <w:rsid w:val="00C65B56"/>
    <w:rsid w:val="00C660C5"/>
    <w:rsid w:val="00C66D3C"/>
    <w:rsid w:val="00C67DEC"/>
    <w:rsid w:val="00C70074"/>
    <w:rsid w:val="00C701D5"/>
    <w:rsid w:val="00C708D4"/>
    <w:rsid w:val="00C70932"/>
    <w:rsid w:val="00C71040"/>
    <w:rsid w:val="00C71333"/>
    <w:rsid w:val="00C7176E"/>
    <w:rsid w:val="00C71DC2"/>
    <w:rsid w:val="00C71FF6"/>
    <w:rsid w:val="00C724AA"/>
    <w:rsid w:val="00C72BAB"/>
    <w:rsid w:val="00C72F15"/>
    <w:rsid w:val="00C74047"/>
    <w:rsid w:val="00C74152"/>
    <w:rsid w:val="00C745A2"/>
    <w:rsid w:val="00C74731"/>
    <w:rsid w:val="00C74F69"/>
    <w:rsid w:val="00C75D25"/>
    <w:rsid w:val="00C76D01"/>
    <w:rsid w:val="00C779FA"/>
    <w:rsid w:val="00C804C8"/>
    <w:rsid w:val="00C80F08"/>
    <w:rsid w:val="00C813AE"/>
    <w:rsid w:val="00C82936"/>
    <w:rsid w:val="00C82EAF"/>
    <w:rsid w:val="00C83974"/>
    <w:rsid w:val="00C83B9E"/>
    <w:rsid w:val="00C84FC6"/>
    <w:rsid w:val="00C85242"/>
    <w:rsid w:val="00C85BD1"/>
    <w:rsid w:val="00C85E7D"/>
    <w:rsid w:val="00C86BB1"/>
    <w:rsid w:val="00C86C41"/>
    <w:rsid w:val="00C871F0"/>
    <w:rsid w:val="00C8722C"/>
    <w:rsid w:val="00C90045"/>
    <w:rsid w:val="00C907CB"/>
    <w:rsid w:val="00C90BA7"/>
    <w:rsid w:val="00C91D07"/>
    <w:rsid w:val="00C91F82"/>
    <w:rsid w:val="00C921BD"/>
    <w:rsid w:val="00C92AE6"/>
    <w:rsid w:val="00C934EB"/>
    <w:rsid w:val="00C94CF6"/>
    <w:rsid w:val="00C95563"/>
    <w:rsid w:val="00C9604B"/>
    <w:rsid w:val="00C96375"/>
    <w:rsid w:val="00C978AD"/>
    <w:rsid w:val="00C97C58"/>
    <w:rsid w:val="00CA02FB"/>
    <w:rsid w:val="00CA04BE"/>
    <w:rsid w:val="00CA0EDF"/>
    <w:rsid w:val="00CA21B3"/>
    <w:rsid w:val="00CA35A7"/>
    <w:rsid w:val="00CA3A38"/>
    <w:rsid w:val="00CA465D"/>
    <w:rsid w:val="00CA4E43"/>
    <w:rsid w:val="00CA753D"/>
    <w:rsid w:val="00CA7AD8"/>
    <w:rsid w:val="00CB1601"/>
    <w:rsid w:val="00CB3AF5"/>
    <w:rsid w:val="00CB3DA3"/>
    <w:rsid w:val="00CB3DE2"/>
    <w:rsid w:val="00CB40AB"/>
    <w:rsid w:val="00CB451E"/>
    <w:rsid w:val="00CB543B"/>
    <w:rsid w:val="00CB6FAE"/>
    <w:rsid w:val="00CC14A0"/>
    <w:rsid w:val="00CC1638"/>
    <w:rsid w:val="00CC1FBC"/>
    <w:rsid w:val="00CC2061"/>
    <w:rsid w:val="00CC36EE"/>
    <w:rsid w:val="00CC3BC8"/>
    <w:rsid w:val="00CC5599"/>
    <w:rsid w:val="00CC60DB"/>
    <w:rsid w:val="00CC6CC0"/>
    <w:rsid w:val="00CD12BF"/>
    <w:rsid w:val="00CD17AB"/>
    <w:rsid w:val="00CD184E"/>
    <w:rsid w:val="00CD1E0E"/>
    <w:rsid w:val="00CD2078"/>
    <w:rsid w:val="00CD228A"/>
    <w:rsid w:val="00CD25C7"/>
    <w:rsid w:val="00CD419A"/>
    <w:rsid w:val="00CD46EA"/>
    <w:rsid w:val="00CD522F"/>
    <w:rsid w:val="00CD56E3"/>
    <w:rsid w:val="00CD5983"/>
    <w:rsid w:val="00CD6D28"/>
    <w:rsid w:val="00CD7C60"/>
    <w:rsid w:val="00CE029F"/>
    <w:rsid w:val="00CE02A6"/>
    <w:rsid w:val="00CE059F"/>
    <w:rsid w:val="00CE172A"/>
    <w:rsid w:val="00CE304C"/>
    <w:rsid w:val="00CE305E"/>
    <w:rsid w:val="00CE492E"/>
    <w:rsid w:val="00CE4A21"/>
    <w:rsid w:val="00CE4A89"/>
    <w:rsid w:val="00CE650A"/>
    <w:rsid w:val="00CE6742"/>
    <w:rsid w:val="00CE6F75"/>
    <w:rsid w:val="00CE6F76"/>
    <w:rsid w:val="00CE76CA"/>
    <w:rsid w:val="00CF00E9"/>
    <w:rsid w:val="00CF0428"/>
    <w:rsid w:val="00CF057B"/>
    <w:rsid w:val="00CF073D"/>
    <w:rsid w:val="00CF1B2D"/>
    <w:rsid w:val="00CF1D6E"/>
    <w:rsid w:val="00CF1D8A"/>
    <w:rsid w:val="00CF24FD"/>
    <w:rsid w:val="00CF2D8B"/>
    <w:rsid w:val="00CF304D"/>
    <w:rsid w:val="00CF3B15"/>
    <w:rsid w:val="00CF3EBE"/>
    <w:rsid w:val="00CF4920"/>
    <w:rsid w:val="00CF4CA8"/>
    <w:rsid w:val="00CF62D0"/>
    <w:rsid w:val="00CF7664"/>
    <w:rsid w:val="00D00058"/>
    <w:rsid w:val="00D029C8"/>
    <w:rsid w:val="00D02E51"/>
    <w:rsid w:val="00D03925"/>
    <w:rsid w:val="00D04595"/>
    <w:rsid w:val="00D058DB"/>
    <w:rsid w:val="00D05A9A"/>
    <w:rsid w:val="00D07893"/>
    <w:rsid w:val="00D0797E"/>
    <w:rsid w:val="00D10255"/>
    <w:rsid w:val="00D11F40"/>
    <w:rsid w:val="00D127EF"/>
    <w:rsid w:val="00D139E9"/>
    <w:rsid w:val="00D13FCD"/>
    <w:rsid w:val="00D13FDD"/>
    <w:rsid w:val="00D14B2E"/>
    <w:rsid w:val="00D14BAD"/>
    <w:rsid w:val="00D14F48"/>
    <w:rsid w:val="00D15109"/>
    <w:rsid w:val="00D15D24"/>
    <w:rsid w:val="00D16329"/>
    <w:rsid w:val="00D17322"/>
    <w:rsid w:val="00D17615"/>
    <w:rsid w:val="00D1772C"/>
    <w:rsid w:val="00D20196"/>
    <w:rsid w:val="00D213FF"/>
    <w:rsid w:val="00D223E2"/>
    <w:rsid w:val="00D23ED4"/>
    <w:rsid w:val="00D23F7B"/>
    <w:rsid w:val="00D24438"/>
    <w:rsid w:val="00D24916"/>
    <w:rsid w:val="00D24CDD"/>
    <w:rsid w:val="00D26787"/>
    <w:rsid w:val="00D26C3E"/>
    <w:rsid w:val="00D27F07"/>
    <w:rsid w:val="00D30F2D"/>
    <w:rsid w:val="00D31244"/>
    <w:rsid w:val="00D31308"/>
    <w:rsid w:val="00D3144A"/>
    <w:rsid w:val="00D32079"/>
    <w:rsid w:val="00D323A4"/>
    <w:rsid w:val="00D3272B"/>
    <w:rsid w:val="00D331B1"/>
    <w:rsid w:val="00D333BE"/>
    <w:rsid w:val="00D341D2"/>
    <w:rsid w:val="00D354FD"/>
    <w:rsid w:val="00D36575"/>
    <w:rsid w:val="00D377DD"/>
    <w:rsid w:val="00D37A3B"/>
    <w:rsid w:val="00D37C4B"/>
    <w:rsid w:val="00D40BF8"/>
    <w:rsid w:val="00D41883"/>
    <w:rsid w:val="00D41C01"/>
    <w:rsid w:val="00D41DBA"/>
    <w:rsid w:val="00D41E3A"/>
    <w:rsid w:val="00D42559"/>
    <w:rsid w:val="00D43023"/>
    <w:rsid w:val="00D44599"/>
    <w:rsid w:val="00D45555"/>
    <w:rsid w:val="00D45A24"/>
    <w:rsid w:val="00D466D6"/>
    <w:rsid w:val="00D51874"/>
    <w:rsid w:val="00D52D6C"/>
    <w:rsid w:val="00D5407D"/>
    <w:rsid w:val="00D540C1"/>
    <w:rsid w:val="00D545E5"/>
    <w:rsid w:val="00D550D0"/>
    <w:rsid w:val="00D55DA9"/>
    <w:rsid w:val="00D56AA5"/>
    <w:rsid w:val="00D56B9F"/>
    <w:rsid w:val="00D56BF3"/>
    <w:rsid w:val="00D56D40"/>
    <w:rsid w:val="00D605CA"/>
    <w:rsid w:val="00D609FB"/>
    <w:rsid w:val="00D60CF2"/>
    <w:rsid w:val="00D6101D"/>
    <w:rsid w:val="00D61127"/>
    <w:rsid w:val="00D614FA"/>
    <w:rsid w:val="00D621A6"/>
    <w:rsid w:val="00D629EE"/>
    <w:rsid w:val="00D632FB"/>
    <w:rsid w:val="00D638AC"/>
    <w:rsid w:val="00D640D6"/>
    <w:rsid w:val="00D64B14"/>
    <w:rsid w:val="00D66EBE"/>
    <w:rsid w:val="00D67E4B"/>
    <w:rsid w:val="00D7067E"/>
    <w:rsid w:val="00D70AB6"/>
    <w:rsid w:val="00D72722"/>
    <w:rsid w:val="00D72982"/>
    <w:rsid w:val="00D72DC9"/>
    <w:rsid w:val="00D72FAB"/>
    <w:rsid w:val="00D73553"/>
    <w:rsid w:val="00D740DC"/>
    <w:rsid w:val="00D74648"/>
    <w:rsid w:val="00D747BC"/>
    <w:rsid w:val="00D74ED1"/>
    <w:rsid w:val="00D7545D"/>
    <w:rsid w:val="00D756F2"/>
    <w:rsid w:val="00D75945"/>
    <w:rsid w:val="00D766CF"/>
    <w:rsid w:val="00D76987"/>
    <w:rsid w:val="00D76B6C"/>
    <w:rsid w:val="00D7713C"/>
    <w:rsid w:val="00D80491"/>
    <w:rsid w:val="00D805B3"/>
    <w:rsid w:val="00D81609"/>
    <w:rsid w:val="00D817DF"/>
    <w:rsid w:val="00D8187F"/>
    <w:rsid w:val="00D81FD5"/>
    <w:rsid w:val="00D829C2"/>
    <w:rsid w:val="00D82CF9"/>
    <w:rsid w:val="00D83723"/>
    <w:rsid w:val="00D844A8"/>
    <w:rsid w:val="00D84B05"/>
    <w:rsid w:val="00D85D76"/>
    <w:rsid w:val="00D864D1"/>
    <w:rsid w:val="00D86868"/>
    <w:rsid w:val="00D90B42"/>
    <w:rsid w:val="00D90B9D"/>
    <w:rsid w:val="00D90F31"/>
    <w:rsid w:val="00D91B20"/>
    <w:rsid w:val="00D92116"/>
    <w:rsid w:val="00D926A6"/>
    <w:rsid w:val="00D93091"/>
    <w:rsid w:val="00D9431E"/>
    <w:rsid w:val="00D94B7D"/>
    <w:rsid w:val="00D94F5D"/>
    <w:rsid w:val="00D959FD"/>
    <w:rsid w:val="00D96655"/>
    <w:rsid w:val="00D972F7"/>
    <w:rsid w:val="00D97766"/>
    <w:rsid w:val="00DA0884"/>
    <w:rsid w:val="00DA14E3"/>
    <w:rsid w:val="00DA1885"/>
    <w:rsid w:val="00DA2632"/>
    <w:rsid w:val="00DA2857"/>
    <w:rsid w:val="00DA2DC5"/>
    <w:rsid w:val="00DA4978"/>
    <w:rsid w:val="00DA5426"/>
    <w:rsid w:val="00DA6087"/>
    <w:rsid w:val="00DA6388"/>
    <w:rsid w:val="00DA6789"/>
    <w:rsid w:val="00DA6A18"/>
    <w:rsid w:val="00DA7D61"/>
    <w:rsid w:val="00DA7F70"/>
    <w:rsid w:val="00DB017B"/>
    <w:rsid w:val="00DB0246"/>
    <w:rsid w:val="00DB0919"/>
    <w:rsid w:val="00DB0D26"/>
    <w:rsid w:val="00DB0F64"/>
    <w:rsid w:val="00DB1043"/>
    <w:rsid w:val="00DB1502"/>
    <w:rsid w:val="00DB1514"/>
    <w:rsid w:val="00DB1B77"/>
    <w:rsid w:val="00DB1D5B"/>
    <w:rsid w:val="00DB2ED7"/>
    <w:rsid w:val="00DB36EB"/>
    <w:rsid w:val="00DB3DD1"/>
    <w:rsid w:val="00DB3FB2"/>
    <w:rsid w:val="00DB423C"/>
    <w:rsid w:val="00DB4FF2"/>
    <w:rsid w:val="00DB72CE"/>
    <w:rsid w:val="00DB7A4C"/>
    <w:rsid w:val="00DB7E72"/>
    <w:rsid w:val="00DC04E6"/>
    <w:rsid w:val="00DC1F90"/>
    <w:rsid w:val="00DC2F9A"/>
    <w:rsid w:val="00DC3202"/>
    <w:rsid w:val="00DC3825"/>
    <w:rsid w:val="00DC39C7"/>
    <w:rsid w:val="00DC3E6F"/>
    <w:rsid w:val="00DC44CC"/>
    <w:rsid w:val="00DC44F3"/>
    <w:rsid w:val="00DC5E6F"/>
    <w:rsid w:val="00DC6290"/>
    <w:rsid w:val="00DC6F2F"/>
    <w:rsid w:val="00DC7185"/>
    <w:rsid w:val="00DC7556"/>
    <w:rsid w:val="00DC7AB4"/>
    <w:rsid w:val="00DC7D7F"/>
    <w:rsid w:val="00DD0E6E"/>
    <w:rsid w:val="00DD161D"/>
    <w:rsid w:val="00DD1D0B"/>
    <w:rsid w:val="00DD2ABE"/>
    <w:rsid w:val="00DD32F8"/>
    <w:rsid w:val="00DD34EE"/>
    <w:rsid w:val="00DD3E7A"/>
    <w:rsid w:val="00DD421B"/>
    <w:rsid w:val="00DD606C"/>
    <w:rsid w:val="00DD61F7"/>
    <w:rsid w:val="00DD66D5"/>
    <w:rsid w:val="00DD6F53"/>
    <w:rsid w:val="00DD7731"/>
    <w:rsid w:val="00DD7857"/>
    <w:rsid w:val="00DD7E5C"/>
    <w:rsid w:val="00DE023C"/>
    <w:rsid w:val="00DE05D9"/>
    <w:rsid w:val="00DE092B"/>
    <w:rsid w:val="00DE0947"/>
    <w:rsid w:val="00DE0C63"/>
    <w:rsid w:val="00DE14A0"/>
    <w:rsid w:val="00DE195B"/>
    <w:rsid w:val="00DE1AFB"/>
    <w:rsid w:val="00DE1E38"/>
    <w:rsid w:val="00DE2A47"/>
    <w:rsid w:val="00DE4983"/>
    <w:rsid w:val="00DE4B67"/>
    <w:rsid w:val="00DE4F1A"/>
    <w:rsid w:val="00DE5226"/>
    <w:rsid w:val="00DE53DC"/>
    <w:rsid w:val="00DE5975"/>
    <w:rsid w:val="00DE5C6E"/>
    <w:rsid w:val="00DE6567"/>
    <w:rsid w:val="00DE755B"/>
    <w:rsid w:val="00DF0A76"/>
    <w:rsid w:val="00DF13BE"/>
    <w:rsid w:val="00DF25BE"/>
    <w:rsid w:val="00DF2BF9"/>
    <w:rsid w:val="00DF37D1"/>
    <w:rsid w:val="00DF3E4D"/>
    <w:rsid w:val="00DF5A53"/>
    <w:rsid w:val="00DF6580"/>
    <w:rsid w:val="00DF76F7"/>
    <w:rsid w:val="00DF78DB"/>
    <w:rsid w:val="00E01727"/>
    <w:rsid w:val="00E0245D"/>
    <w:rsid w:val="00E02FC4"/>
    <w:rsid w:val="00E03384"/>
    <w:rsid w:val="00E04912"/>
    <w:rsid w:val="00E04B60"/>
    <w:rsid w:val="00E057E0"/>
    <w:rsid w:val="00E059FB"/>
    <w:rsid w:val="00E05ABB"/>
    <w:rsid w:val="00E1027E"/>
    <w:rsid w:val="00E107A3"/>
    <w:rsid w:val="00E10DD6"/>
    <w:rsid w:val="00E11B8F"/>
    <w:rsid w:val="00E11CBE"/>
    <w:rsid w:val="00E12419"/>
    <w:rsid w:val="00E126E0"/>
    <w:rsid w:val="00E13264"/>
    <w:rsid w:val="00E136E6"/>
    <w:rsid w:val="00E141C6"/>
    <w:rsid w:val="00E142EA"/>
    <w:rsid w:val="00E14397"/>
    <w:rsid w:val="00E14816"/>
    <w:rsid w:val="00E14E1A"/>
    <w:rsid w:val="00E15C96"/>
    <w:rsid w:val="00E15D16"/>
    <w:rsid w:val="00E1728C"/>
    <w:rsid w:val="00E1797D"/>
    <w:rsid w:val="00E207A4"/>
    <w:rsid w:val="00E2164A"/>
    <w:rsid w:val="00E21F35"/>
    <w:rsid w:val="00E23A9E"/>
    <w:rsid w:val="00E23E13"/>
    <w:rsid w:val="00E23E67"/>
    <w:rsid w:val="00E240C6"/>
    <w:rsid w:val="00E2461C"/>
    <w:rsid w:val="00E246B9"/>
    <w:rsid w:val="00E24919"/>
    <w:rsid w:val="00E249FC"/>
    <w:rsid w:val="00E24B5F"/>
    <w:rsid w:val="00E25044"/>
    <w:rsid w:val="00E25594"/>
    <w:rsid w:val="00E26247"/>
    <w:rsid w:val="00E26595"/>
    <w:rsid w:val="00E27E1B"/>
    <w:rsid w:val="00E31366"/>
    <w:rsid w:val="00E31AE4"/>
    <w:rsid w:val="00E322A1"/>
    <w:rsid w:val="00E32E36"/>
    <w:rsid w:val="00E35DA5"/>
    <w:rsid w:val="00E36021"/>
    <w:rsid w:val="00E3656C"/>
    <w:rsid w:val="00E36AF0"/>
    <w:rsid w:val="00E37F83"/>
    <w:rsid w:val="00E40192"/>
    <w:rsid w:val="00E4032E"/>
    <w:rsid w:val="00E41542"/>
    <w:rsid w:val="00E415A4"/>
    <w:rsid w:val="00E41625"/>
    <w:rsid w:val="00E41CAC"/>
    <w:rsid w:val="00E4244D"/>
    <w:rsid w:val="00E446BE"/>
    <w:rsid w:val="00E44B25"/>
    <w:rsid w:val="00E45C91"/>
    <w:rsid w:val="00E45CFD"/>
    <w:rsid w:val="00E46132"/>
    <w:rsid w:val="00E46589"/>
    <w:rsid w:val="00E46914"/>
    <w:rsid w:val="00E46EE2"/>
    <w:rsid w:val="00E50243"/>
    <w:rsid w:val="00E50294"/>
    <w:rsid w:val="00E5094E"/>
    <w:rsid w:val="00E50AB2"/>
    <w:rsid w:val="00E50C71"/>
    <w:rsid w:val="00E51092"/>
    <w:rsid w:val="00E5112B"/>
    <w:rsid w:val="00E51D18"/>
    <w:rsid w:val="00E52082"/>
    <w:rsid w:val="00E52289"/>
    <w:rsid w:val="00E522D8"/>
    <w:rsid w:val="00E5289D"/>
    <w:rsid w:val="00E52B57"/>
    <w:rsid w:val="00E52DB5"/>
    <w:rsid w:val="00E54170"/>
    <w:rsid w:val="00E54612"/>
    <w:rsid w:val="00E547F4"/>
    <w:rsid w:val="00E549F0"/>
    <w:rsid w:val="00E55F27"/>
    <w:rsid w:val="00E56648"/>
    <w:rsid w:val="00E56804"/>
    <w:rsid w:val="00E5744C"/>
    <w:rsid w:val="00E57964"/>
    <w:rsid w:val="00E605D2"/>
    <w:rsid w:val="00E6172D"/>
    <w:rsid w:val="00E61B41"/>
    <w:rsid w:val="00E61E5D"/>
    <w:rsid w:val="00E6225E"/>
    <w:rsid w:val="00E6442F"/>
    <w:rsid w:val="00E64648"/>
    <w:rsid w:val="00E668A3"/>
    <w:rsid w:val="00E66B89"/>
    <w:rsid w:val="00E66CD7"/>
    <w:rsid w:val="00E674D6"/>
    <w:rsid w:val="00E67C64"/>
    <w:rsid w:val="00E7043D"/>
    <w:rsid w:val="00E706A5"/>
    <w:rsid w:val="00E71A61"/>
    <w:rsid w:val="00E72FA6"/>
    <w:rsid w:val="00E737F8"/>
    <w:rsid w:val="00E7485F"/>
    <w:rsid w:val="00E7522B"/>
    <w:rsid w:val="00E75450"/>
    <w:rsid w:val="00E759E6"/>
    <w:rsid w:val="00E76048"/>
    <w:rsid w:val="00E76588"/>
    <w:rsid w:val="00E772DE"/>
    <w:rsid w:val="00E77334"/>
    <w:rsid w:val="00E7746F"/>
    <w:rsid w:val="00E775D6"/>
    <w:rsid w:val="00E807A5"/>
    <w:rsid w:val="00E8084E"/>
    <w:rsid w:val="00E80B30"/>
    <w:rsid w:val="00E80C2A"/>
    <w:rsid w:val="00E82062"/>
    <w:rsid w:val="00E83C03"/>
    <w:rsid w:val="00E84176"/>
    <w:rsid w:val="00E85468"/>
    <w:rsid w:val="00E8748B"/>
    <w:rsid w:val="00E87516"/>
    <w:rsid w:val="00E87C9C"/>
    <w:rsid w:val="00E9022B"/>
    <w:rsid w:val="00E90525"/>
    <w:rsid w:val="00E90672"/>
    <w:rsid w:val="00E91107"/>
    <w:rsid w:val="00E91638"/>
    <w:rsid w:val="00E922F6"/>
    <w:rsid w:val="00E924D4"/>
    <w:rsid w:val="00E92BC6"/>
    <w:rsid w:val="00E92CCF"/>
    <w:rsid w:val="00E932D3"/>
    <w:rsid w:val="00E9347C"/>
    <w:rsid w:val="00E9457E"/>
    <w:rsid w:val="00E95191"/>
    <w:rsid w:val="00E956AB"/>
    <w:rsid w:val="00E96CAB"/>
    <w:rsid w:val="00E96E9B"/>
    <w:rsid w:val="00E97492"/>
    <w:rsid w:val="00EA0EE3"/>
    <w:rsid w:val="00EA0F80"/>
    <w:rsid w:val="00EA3B1C"/>
    <w:rsid w:val="00EA499F"/>
    <w:rsid w:val="00EA6B69"/>
    <w:rsid w:val="00EB1476"/>
    <w:rsid w:val="00EB1479"/>
    <w:rsid w:val="00EB16FF"/>
    <w:rsid w:val="00EB2A07"/>
    <w:rsid w:val="00EB4FAC"/>
    <w:rsid w:val="00EB51D1"/>
    <w:rsid w:val="00EB54D4"/>
    <w:rsid w:val="00EB7552"/>
    <w:rsid w:val="00EB7899"/>
    <w:rsid w:val="00EC05DA"/>
    <w:rsid w:val="00EC05FD"/>
    <w:rsid w:val="00EC06F9"/>
    <w:rsid w:val="00EC0CB8"/>
    <w:rsid w:val="00EC0D6C"/>
    <w:rsid w:val="00EC1452"/>
    <w:rsid w:val="00EC1787"/>
    <w:rsid w:val="00EC195D"/>
    <w:rsid w:val="00EC29A3"/>
    <w:rsid w:val="00EC2C2E"/>
    <w:rsid w:val="00EC3537"/>
    <w:rsid w:val="00EC3713"/>
    <w:rsid w:val="00EC3D0C"/>
    <w:rsid w:val="00EC4C19"/>
    <w:rsid w:val="00EC5371"/>
    <w:rsid w:val="00EC61CA"/>
    <w:rsid w:val="00EC6334"/>
    <w:rsid w:val="00EC747F"/>
    <w:rsid w:val="00EC7CD7"/>
    <w:rsid w:val="00ED0FFE"/>
    <w:rsid w:val="00ED151D"/>
    <w:rsid w:val="00ED1AAB"/>
    <w:rsid w:val="00ED1BB6"/>
    <w:rsid w:val="00ED2586"/>
    <w:rsid w:val="00ED327A"/>
    <w:rsid w:val="00ED3694"/>
    <w:rsid w:val="00ED375E"/>
    <w:rsid w:val="00ED377A"/>
    <w:rsid w:val="00ED38C4"/>
    <w:rsid w:val="00ED4498"/>
    <w:rsid w:val="00ED4D12"/>
    <w:rsid w:val="00ED54A4"/>
    <w:rsid w:val="00ED571C"/>
    <w:rsid w:val="00ED652E"/>
    <w:rsid w:val="00ED6B44"/>
    <w:rsid w:val="00ED75DF"/>
    <w:rsid w:val="00EE0136"/>
    <w:rsid w:val="00EE0A08"/>
    <w:rsid w:val="00EE15CD"/>
    <w:rsid w:val="00EE1A8E"/>
    <w:rsid w:val="00EE1D79"/>
    <w:rsid w:val="00EE2933"/>
    <w:rsid w:val="00EE5535"/>
    <w:rsid w:val="00EE76C9"/>
    <w:rsid w:val="00EF0D2C"/>
    <w:rsid w:val="00EF23D4"/>
    <w:rsid w:val="00EF37BB"/>
    <w:rsid w:val="00EF3DD7"/>
    <w:rsid w:val="00EF49A8"/>
    <w:rsid w:val="00EF58C8"/>
    <w:rsid w:val="00EF60CE"/>
    <w:rsid w:val="00EF60F8"/>
    <w:rsid w:val="00EF69B1"/>
    <w:rsid w:val="00EF7772"/>
    <w:rsid w:val="00F0094B"/>
    <w:rsid w:val="00F014CE"/>
    <w:rsid w:val="00F056EC"/>
    <w:rsid w:val="00F05718"/>
    <w:rsid w:val="00F05809"/>
    <w:rsid w:val="00F05FA8"/>
    <w:rsid w:val="00F0654F"/>
    <w:rsid w:val="00F0680C"/>
    <w:rsid w:val="00F06C7F"/>
    <w:rsid w:val="00F0798D"/>
    <w:rsid w:val="00F07C62"/>
    <w:rsid w:val="00F10901"/>
    <w:rsid w:val="00F10A79"/>
    <w:rsid w:val="00F10FCE"/>
    <w:rsid w:val="00F12D6B"/>
    <w:rsid w:val="00F12D9B"/>
    <w:rsid w:val="00F1332D"/>
    <w:rsid w:val="00F13754"/>
    <w:rsid w:val="00F13969"/>
    <w:rsid w:val="00F14A1F"/>
    <w:rsid w:val="00F14A92"/>
    <w:rsid w:val="00F14FAB"/>
    <w:rsid w:val="00F15090"/>
    <w:rsid w:val="00F176B9"/>
    <w:rsid w:val="00F17848"/>
    <w:rsid w:val="00F20D65"/>
    <w:rsid w:val="00F213AE"/>
    <w:rsid w:val="00F221BC"/>
    <w:rsid w:val="00F222B6"/>
    <w:rsid w:val="00F22313"/>
    <w:rsid w:val="00F22414"/>
    <w:rsid w:val="00F22F79"/>
    <w:rsid w:val="00F23958"/>
    <w:rsid w:val="00F23CF4"/>
    <w:rsid w:val="00F24A2B"/>
    <w:rsid w:val="00F25679"/>
    <w:rsid w:val="00F258FA"/>
    <w:rsid w:val="00F25F13"/>
    <w:rsid w:val="00F25FCE"/>
    <w:rsid w:val="00F26124"/>
    <w:rsid w:val="00F3193E"/>
    <w:rsid w:val="00F31A79"/>
    <w:rsid w:val="00F31BCD"/>
    <w:rsid w:val="00F335C1"/>
    <w:rsid w:val="00F340F8"/>
    <w:rsid w:val="00F34B28"/>
    <w:rsid w:val="00F34E6F"/>
    <w:rsid w:val="00F35889"/>
    <w:rsid w:val="00F36208"/>
    <w:rsid w:val="00F36886"/>
    <w:rsid w:val="00F36991"/>
    <w:rsid w:val="00F369CB"/>
    <w:rsid w:val="00F36E3C"/>
    <w:rsid w:val="00F36FA6"/>
    <w:rsid w:val="00F3705D"/>
    <w:rsid w:val="00F371BA"/>
    <w:rsid w:val="00F3729C"/>
    <w:rsid w:val="00F403D1"/>
    <w:rsid w:val="00F40C7F"/>
    <w:rsid w:val="00F41273"/>
    <w:rsid w:val="00F415CF"/>
    <w:rsid w:val="00F41E76"/>
    <w:rsid w:val="00F4309A"/>
    <w:rsid w:val="00F43EE3"/>
    <w:rsid w:val="00F43FD9"/>
    <w:rsid w:val="00F4517F"/>
    <w:rsid w:val="00F45D2C"/>
    <w:rsid w:val="00F46B57"/>
    <w:rsid w:val="00F46FE1"/>
    <w:rsid w:val="00F47ADE"/>
    <w:rsid w:val="00F47CFF"/>
    <w:rsid w:val="00F51614"/>
    <w:rsid w:val="00F51F1B"/>
    <w:rsid w:val="00F524D6"/>
    <w:rsid w:val="00F52518"/>
    <w:rsid w:val="00F52805"/>
    <w:rsid w:val="00F52B84"/>
    <w:rsid w:val="00F52C54"/>
    <w:rsid w:val="00F533B5"/>
    <w:rsid w:val="00F540C5"/>
    <w:rsid w:val="00F559AC"/>
    <w:rsid w:val="00F56BBE"/>
    <w:rsid w:val="00F572E5"/>
    <w:rsid w:val="00F60A14"/>
    <w:rsid w:val="00F61708"/>
    <w:rsid w:val="00F617AA"/>
    <w:rsid w:val="00F6440D"/>
    <w:rsid w:val="00F64D88"/>
    <w:rsid w:val="00F66D2F"/>
    <w:rsid w:val="00F66DFD"/>
    <w:rsid w:val="00F67F65"/>
    <w:rsid w:val="00F700AE"/>
    <w:rsid w:val="00F70345"/>
    <w:rsid w:val="00F705B3"/>
    <w:rsid w:val="00F7081D"/>
    <w:rsid w:val="00F709AA"/>
    <w:rsid w:val="00F71DC2"/>
    <w:rsid w:val="00F71F0F"/>
    <w:rsid w:val="00F7238B"/>
    <w:rsid w:val="00F72B19"/>
    <w:rsid w:val="00F72B4D"/>
    <w:rsid w:val="00F72EAB"/>
    <w:rsid w:val="00F738AD"/>
    <w:rsid w:val="00F738EA"/>
    <w:rsid w:val="00F742B8"/>
    <w:rsid w:val="00F745D2"/>
    <w:rsid w:val="00F7629E"/>
    <w:rsid w:val="00F76622"/>
    <w:rsid w:val="00F805E0"/>
    <w:rsid w:val="00F81C9E"/>
    <w:rsid w:val="00F826AA"/>
    <w:rsid w:val="00F826C3"/>
    <w:rsid w:val="00F831C3"/>
    <w:rsid w:val="00F832ED"/>
    <w:rsid w:val="00F8591D"/>
    <w:rsid w:val="00F8652A"/>
    <w:rsid w:val="00F86781"/>
    <w:rsid w:val="00F86B73"/>
    <w:rsid w:val="00F8703C"/>
    <w:rsid w:val="00F8718B"/>
    <w:rsid w:val="00F874AE"/>
    <w:rsid w:val="00F87669"/>
    <w:rsid w:val="00F87E99"/>
    <w:rsid w:val="00F87EDF"/>
    <w:rsid w:val="00F90707"/>
    <w:rsid w:val="00F91565"/>
    <w:rsid w:val="00F91B05"/>
    <w:rsid w:val="00F929A7"/>
    <w:rsid w:val="00F937E7"/>
    <w:rsid w:val="00F938EE"/>
    <w:rsid w:val="00F93E0B"/>
    <w:rsid w:val="00F94060"/>
    <w:rsid w:val="00F949F6"/>
    <w:rsid w:val="00F94D97"/>
    <w:rsid w:val="00F95BEC"/>
    <w:rsid w:val="00F96DD4"/>
    <w:rsid w:val="00F97085"/>
    <w:rsid w:val="00F97792"/>
    <w:rsid w:val="00FA1B17"/>
    <w:rsid w:val="00FA26E1"/>
    <w:rsid w:val="00FA2ED8"/>
    <w:rsid w:val="00FA53CD"/>
    <w:rsid w:val="00FA5F9F"/>
    <w:rsid w:val="00FA6D05"/>
    <w:rsid w:val="00FB09C1"/>
    <w:rsid w:val="00FB1083"/>
    <w:rsid w:val="00FB13EF"/>
    <w:rsid w:val="00FB2CFC"/>
    <w:rsid w:val="00FB3124"/>
    <w:rsid w:val="00FB3795"/>
    <w:rsid w:val="00FB40E4"/>
    <w:rsid w:val="00FB52A1"/>
    <w:rsid w:val="00FB5468"/>
    <w:rsid w:val="00FB5484"/>
    <w:rsid w:val="00FB5874"/>
    <w:rsid w:val="00FB5E6A"/>
    <w:rsid w:val="00FB6269"/>
    <w:rsid w:val="00FB644D"/>
    <w:rsid w:val="00FB66F1"/>
    <w:rsid w:val="00FB71B9"/>
    <w:rsid w:val="00FB731E"/>
    <w:rsid w:val="00FC02A7"/>
    <w:rsid w:val="00FC0688"/>
    <w:rsid w:val="00FC2013"/>
    <w:rsid w:val="00FC206D"/>
    <w:rsid w:val="00FC2415"/>
    <w:rsid w:val="00FC31B9"/>
    <w:rsid w:val="00FC37EF"/>
    <w:rsid w:val="00FC3983"/>
    <w:rsid w:val="00FC5686"/>
    <w:rsid w:val="00FC57AB"/>
    <w:rsid w:val="00FC5FCC"/>
    <w:rsid w:val="00FC6BFE"/>
    <w:rsid w:val="00FC6E6D"/>
    <w:rsid w:val="00FC73C1"/>
    <w:rsid w:val="00FC7BC8"/>
    <w:rsid w:val="00FD0FCD"/>
    <w:rsid w:val="00FD1874"/>
    <w:rsid w:val="00FD18BE"/>
    <w:rsid w:val="00FD2550"/>
    <w:rsid w:val="00FD2EDF"/>
    <w:rsid w:val="00FD2F4C"/>
    <w:rsid w:val="00FD3173"/>
    <w:rsid w:val="00FD3E9F"/>
    <w:rsid w:val="00FD4494"/>
    <w:rsid w:val="00FD48F3"/>
    <w:rsid w:val="00FD4D2A"/>
    <w:rsid w:val="00FD54AE"/>
    <w:rsid w:val="00FD7276"/>
    <w:rsid w:val="00FD7FD7"/>
    <w:rsid w:val="00FE067C"/>
    <w:rsid w:val="00FE1222"/>
    <w:rsid w:val="00FE1567"/>
    <w:rsid w:val="00FE2664"/>
    <w:rsid w:val="00FE2B21"/>
    <w:rsid w:val="00FE3C59"/>
    <w:rsid w:val="00FE4408"/>
    <w:rsid w:val="00FE4A8C"/>
    <w:rsid w:val="00FE4AC9"/>
    <w:rsid w:val="00FE4E8F"/>
    <w:rsid w:val="00FE5909"/>
    <w:rsid w:val="00FE64DD"/>
    <w:rsid w:val="00FE65BA"/>
    <w:rsid w:val="00FE7437"/>
    <w:rsid w:val="00FE7B12"/>
    <w:rsid w:val="00FE7EA6"/>
    <w:rsid w:val="00FF1291"/>
    <w:rsid w:val="00FF131B"/>
    <w:rsid w:val="00FF1562"/>
    <w:rsid w:val="00FF1A3B"/>
    <w:rsid w:val="00FF1B4C"/>
    <w:rsid w:val="00FF1B87"/>
    <w:rsid w:val="00FF1E2B"/>
    <w:rsid w:val="00FF308D"/>
    <w:rsid w:val="00FF3E29"/>
    <w:rsid w:val="00FF3E4B"/>
    <w:rsid w:val="00FF4257"/>
    <w:rsid w:val="00FF61DB"/>
    <w:rsid w:val="00FF654B"/>
    <w:rsid w:val="00FF66A2"/>
    <w:rsid w:val="00FF6CD5"/>
    <w:rsid w:val="00FF7204"/>
    <w:rsid w:val="00FF726E"/>
    <w:rsid w:val="01431A4A"/>
    <w:rsid w:val="017D66E9"/>
    <w:rsid w:val="017F2CAE"/>
    <w:rsid w:val="018A58CB"/>
    <w:rsid w:val="019B57A0"/>
    <w:rsid w:val="01A06E9D"/>
    <w:rsid w:val="01A324E9"/>
    <w:rsid w:val="01B77237"/>
    <w:rsid w:val="01D63F6D"/>
    <w:rsid w:val="01D6466C"/>
    <w:rsid w:val="01F86CD9"/>
    <w:rsid w:val="021533E7"/>
    <w:rsid w:val="02497E55"/>
    <w:rsid w:val="024A684C"/>
    <w:rsid w:val="024C0DD3"/>
    <w:rsid w:val="024D4A7D"/>
    <w:rsid w:val="025657AD"/>
    <w:rsid w:val="027F6AB2"/>
    <w:rsid w:val="02B26E88"/>
    <w:rsid w:val="02E146F9"/>
    <w:rsid w:val="02E334E5"/>
    <w:rsid w:val="02ED4364"/>
    <w:rsid w:val="03056780"/>
    <w:rsid w:val="030671D3"/>
    <w:rsid w:val="03076A02"/>
    <w:rsid w:val="03103BAE"/>
    <w:rsid w:val="031F181B"/>
    <w:rsid w:val="032A4C70"/>
    <w:rsid w:val="035D5C1E"/>
    <w:rsid w:val="03630182"/>
    <w:rsid w:val="0374413D"/>
    <w:rsid w:val="03CF41F6"/>
    <w:rsid w:val="03D130C9"/>
    <w:rsid w:val="03D1333D"/>
    <w:rsid w:val="03DE3CAC"/>
    <w:rsid w:val="040A2CF3"/>
    <w:rsid w:val="04123259"/>
    <w:rsid w:val="041B6CAE"/>
    <w:rsid w:val="0437692F"/>
    <w:rsid w:val="043C6EE8"/>
    <w:rsid w:val="044B7594"/>
    <w:rsid w:val="044E75A0"/>
    <w:rsid w:val="044F3EF5"/>
    <w:rsid w:val="046046C1"/>
    <w:rsid w:val="04631447"/>
    <w:rsid w:val="04650E5C"/>
    <w:rsid w:val="04820ADC"/>
    <w:rsid w:val="04BA2023"/>
    <w:rsid w:val="04D94B9F"/>
    <w:rsid w:val="04DC52CD"/>
    <w:rsid w:val="04E42BB1"/>
    <w:rsid w:val="04F4568F"/>
    <w:rsid w:val="04F75026"/>
    <w:rsid w:val="04FA2D68"/>
    <w:rsid w:val="04FC3176"/>
    <w:rsid w:val="05177476"/>
    <w:rsid w:val="05353DA0"/>
    <w:rsid w:val="053C512E"/>
    <w:rsid w:val="053F077B"/>
    <w:rsid w:val="054E5EB8"/>
    <w:rsid w:val="05682F64"/>
    <w:rsid w:val="05820D5B"/>
    <w:rsid w:val="0593035D"/>
    <w:rsid w:val="05A61A15"/>
    <w:rsid w:val="05BE78F1"/>
    <w:rsid w:val="05C018BB"/>
    <w:rsid w:val="05C25634"/>
    <w:rsid w:val="05CD3EB3"/>
    <w:rsid w:val="05E27A84"/>
    <w:rsid w:val="05E30006"/>
    <w:rsid w:val="061E22CB"/>
    <w:rsid w:val="064E46DC"/>
    <w:rsid w:val="06585F98"/>
    <w:rsid w:val="065B1F08"/>
    <w:rsid w:val="065C36FD"/>
    <w:rsid w:val="06725B16"/>
    <w:rsid w:val="06872D56"/>
    <w:rsid w:val="06C254FC"/>
    <w:rsid w:val="06D66EBD"/>
    <w:rsid w:val="06E46DD6"/>
    <w:rsid w:val="06F2019A"/>
    <w:rsid w:val="06F364ED"/>
    <w:rsid w:val="06FD5623"/>
    <w:rsid w:val="07043A2A"/>
    <w:rsid w:val="071F1BF8"/>
    <w:rsid w:val="07320597"/>
    <w:rsid w:val="074402CA"/>
    <w:rsid w:val="07484826"/>
    <w:rsid w:val="074B228B"/>
    <w:rsid w:val="07504EC1"/>
    <w:rsid w:val="07533B82"/>
    <w:rsid w:val="07603356"/>
    <w:rsid w:val="076A5F83"/>
    <w:rsid w:val="076D5A73"/>
    <w:rsid w:val="079B4C14"/>
    <w:rsid w:val="07AF7E3A"/>
    <w:rsid w:val="07D478A0"/>
    <w:rsid w:val="0802440D"/>
    <w:rsid w:val="081D2FF5"/>
    <w:rsid w:val="0822151D"/>
    <w:rsid w:val="082D522F"/>
    <w:rsid w:val="084F5179"/>
    <w:rsid w:val="085A3DCE"/>
    <w:rsid w:val="08626C5A"/>
    <w:rsid w:val="088210AA"/>
    <w:rsid w:val="08892439"/>
    <w:rsid w:val="088C017B"/>
    <w:rsid w:val="088E3EF3"/>
    <w:rsid w:val="08935065"/>
    <w:rsid w:val="08AB4000"/>
    <w:rsid w:val="08B6248C"/>
    <w:rsid w:val="08C0550B"/>
    <w:rsid w:val="08E13176"/>
    <w:rsid w:val="08FC70AE"/>
    <w:rsid w:val="08FF6B9F"/>
    <w:rsid w:val="090827CD"/>
    <w:rsid w:val="09246605"/>
    <w:rsid w:val="094B5940"/>
    <w:rsid w:val="094D4CA9"/>
    <w:rsid w:val="09615163"/>
    <w:rsid w:val="09736C45"/>
    <w:rsid w:val="09774987"/>
    <w:rsid w:val="09FD1E6C"/>
    <w:rsid w:val="0A014251"/>
    <w:rsid w:val="0A0B50CF"/>
    <w:rsid w:val="0A0E1031"/>
    <w:rsid w:val="0A0F696E"/>
    <w:rsid w:val="0A682522"/>
    <w:rsid w:val="0A6F565E"/>
    <w:rsid w:val="0A742C74"/>
    <w:rsid w:val="0A7C5EE5"/>
    <w:rsid w:val="0A8D5A70"/>
    <w:rsid w:val="0B057D70"/>
    <w:rsid w:val="0B390427"/>
    <w:rsid w:val="0B4F794E"/>
    <w:rsid w:val="0BB63CDC"/>
    <w:rsid w:val="0BED2CDE"/>
    <w:rsid w:val="0C1A784C"/>
    <w:rsid w:val="0C1B09F4"/>
    <w:rsid w:val="0C1D11D3"/>
    <w:rsid w:val="0C405504"/>
    <w:rsid w:val="0C7117A3"/>
    <w:rsid w:val="0C7B02EA"/>
    <w:rsid w:val="0C7E6720"/>
    <w:rsid w:val="0C923886"/>
    <w:rsid w:val="0C965124"/>
    <w:rsid w:val="0CD70438"/>
    <w:rsid w:val="0CF647D3"/>
    <w:rsid w:val="0CF9285A"/>
    <w:rsid w:val="0D0A78C0"/>
    <w:rsid w:val="0D0C188A"/>
    <w:rsid w:val="0D1129FD"/>
    <w:rsid w:val="0D305579"/>
    <w:rsid w:val="0D4252AC"/>
    <w:rsid w:val="0D426421"/>
    <w:rsid w:val="0D4947F0"/>
    <w:rsid w:val="0D49488C"/>
    <w:rsid w:val="0D553231"/>
    <w:rsid w:val="0D613984"/>
    <w:rsid w:val="0D6605E7"/>
    <w:rsid w:val="0D6C574D"/>
    <w:rsid w:val="0D883FB7"/>
    <w:rsid w:val="0DE10621"/>
    <w:rsid w:val="0DE56FDE"/>
    <w:rsid w:val="0DF447F8"/>
    <w:rsid w:val="0DF90060"/>
    <w:rsid w:val="0E2826F4"/>
    <w:rsid w:val="0E285928"/>
    <w:rsid w:val="0E2A1FC8"/>
    <w:rsid w:val="0E404166"/>
    <w:rsid w:val="0E552DBD"/>
    <w:rsid w:val="0E601E8E"/>
    <w:rsid w:val="0E8611C8"/>
    <w:rsid w:val="0E8C2C83"/>
    <w:rsid w:val="0EA83079"/>
    <w:rsid w:val="0F203F97"/>
    <w:rsid w:val="0F3330FE"/>
    <w:rsid w:val="0F3B6457"/>
    <w:rsid w:val="0F4075C9"/>
    <w:rsid w:val="0F517A28"/>
    <w:rsid w:val="0F535F76"/>
    <w:rsid w:val="0F5A0DB5"/>
    <w:rsid w:val="0F683169"/>
    <w:rsid w:val="0F6B6D3C"/>
    <w:rsid w:val="0F9F0794"/>
    <w:rsid w:val="0FA02F39"/>
    <w:rsid w:val="0FA31024"/>
    <w:rsid w:val="0FBD6E6C"/>
    <w:rsid w:val="0FF46D31"/>
    <w:rsid w:val="100319B1"/>
    <w:rsid w:val="10044A9B"/>
    <w:rsid w:val="101A42BE"/>
    <w:rsid w:val="101C0036"/>
    <w:rsid w:val="102D3FF1"/>
    <w:rsid w:val="102E38C6"/>
    <w:rsid w:val="10675755"/>
    <w:rsid w:val="1077526D"/>
    <w:rsid w:val="108160EB"/>
    <w:rsid w:val="109E740F"/>
    <w:rsid w:val="10AC760C"/>
    <w:rsid w:val="10BB784F"/>
    <w:rsid w:val="10C83D1A"/>
    <w:rsid w:val="10E13C2D"/>
    <w:rsid w:val="10E723F2"/>
    <w:rsid w:val="10EC0872"/>
    <w:rsid w:val="1144495B"/>
    <w:rsid w:val="115F45E5"/>
    <w:rsid w:val="116E48C1"/>
    <w:rsid w:val="116F4196"/>
    <w:rsid w:val="119500A0"/>
    <w:rsid w:val="11BF6ECB"/>
    <w:rsid w:val="11CE428E"/>
    <w:rsid w:val="11D34725"/>
    <w:rsid w:val="11D861DF"/>
    <w:rsid w:val="12107F7D"/>
    <w:rsid w:val="127A1044"/>
    <w:rsid w:val="12971BF6"/>
    <w:rsid w:val="12A146D5"/>
    <w:rsid w:val="12A85BB1"/>
    <w:rsid w:val="12B10F0A"/>
    <w:rsid w:val="12E60488"/>
    <w:rsid w:val="12F901BB"/>
    <w:rsid w:val="13373653"/>
    <w:rsid w:val="133E2072"/>
    <w:rsid w:val="135950FD"/>
    <w:rsid w:val="137B32C6"/>
    <w:rsid w:val="13826402"/>
    <w:rsid w:val="13AC7923"/>
    <w:rsid w:val="13B251F2"/>
    <w:rsid w:val="13B45E82"/>
    <w:rsid w:val="13D5487D"/>
    <w:rsid w:val="141259D8"/>
    <w:rsid w:val="1419582F"/>
    <w:rsid w:val="141C1100"/>
    <w:rsid w:val="1441006B"/>
    <w:rsid w:val="144C06BE"/>
    <w:rsid w:val="14562003"/>
    <w:rsid w:val="145C4EA5"/>
    <w:rsid w:val="14641FAC"/>
    <w:rsid w:val="14697BE6"/>
    <w:rsid w:val="147742FE"/>
    <w:rsid w:val="14A56265"/>
    <w:rsid w:val="14AF1479"/>
    <w:rsid w:val="14B836B9"/>
    <w:rsid w:val="14D80D6E"/>
    <w:rsid w:val="14DB7F08"/>
    <w:rsid w:val="14E62BE7"/>
    <w:rsid w:val="1517701E"/>
    <w:rsid w:val="15200D24"/>
    <w:rsid w:val="15610299"/>
    <w:rsid w:val="15915022"/>
    <w:rsid w:val="159D7523"/>
    <w:rsid w:val="15D56295"/>
    <w:rsid w:val="16175528"/>
    <w:rsid w:val="161D1CE9"/>
    <w:rsid w:val="161E0A1B"/>
    <w:rsid w:val="162C42B3"/>
    <w:rsid w:val="163A2FC4"/>
    <w:rsid w:val="1647748F"/>
    <w:rsid w:val="166D15EC"/>
    <w:rsid w:val="167C35DD"/>
    <w:rsid w:val="16866209"/>
    <w:rsid w:val="16930926"/>
    <w:rsid w:val="169C3C7F"/>
    <w:rsid w:val="16A9014A"/>
    <w:rsid w:val="16DD5A47"/>
    <w:rsid w:val="16E86EC4"/>
    <w:rsid w:val="1703785A"/>
    <w:rsid w:val="17117C38"/>
    <w:rsid w:val="171F756D"/>
    <w:rsid w:val="17285513"/>
    <w:rsid w:val="173F247E"/>
    <w:rsid w:val="17571954"/>
    <w:rsid w:val="17A133F8"/>
    <w:rsid w:val="17A56B63"/>
    <w:rsid w:val="17AA1138"/>
    <w:rsid w:val="17D631C0"/>
    <w:rsid w:val="17DE54CF"/>
    <w:rsid w:val="17EF257E"/>
    <w:rsid w:val="17FD65D0"/>
    <w:rsid w:val="17FE0021"/>
    <w:rsid w:val="180715CC"/>
    <w:rsid w:val="181F6915"/>
    <w:rsid w:val="182C1032"/>
    <w:rsid w:val="18316649"/>
    <w:rsid w:val="18441ED8"/>
    <w:rsid w:val="184B74E5"/>
    <w:rsid w:val="18664544"/>
    <w:rsid w:val="189D783A"/>
    <w:rsid w:val="18D771F0"/>
    <w:rsid w:val="18DA6CE0"/>
    <w:rsid w:val="1912647A"/>
    <w:rsid w:val="19263CD4"/>
    <w:rsid w:val="192B12EA"/>
    <w:rsid w:val="195F08E7"/>
    <w:rsid w:val="195F2D42"/>
    <w:rsid w:val="196333D9"/>
    <w:rsid w:val="19792055"/>
    <w:rsid w:val="197E141A"/>
    <w:rsid w:val="198D1C77"/>
    <w:rsid w:val="19A215AC"/>
    <w:rsid w:val="19B659E9"/>
    <w:rsid w:val="19EA3F6B"/>
    <w:rsid w:val="19F704E3"/>
    <w:rsid w:val="1A491A28"/>
    <w:rsid w:val="1A830FA4"/>
    <w:rsid w:val="1A98650B"/>
    <w:rsid w:val="1A9D1D74"/>
    <w:rsid w:val="1ABF1CEA"/>
    <w:rsid w:val="1AD70FEB"/>
    <w:rsid w:val="1ADA70F7"/>
    <w:rsid w:val="1AFF4613"/>
    <w:rsid w:val="1B293607"/>
    <w:rsid w:val="1B701236"/>
    <w:rsid w:val="1BAC6712"/>
    <w:rsid w:val="1BB83309"/>
    <w:rsid w:val="1BCF0653"/>
    <w:rsid w:val="1BD57D32"/>
    <w:rsid w:val="1BD712B5"/>
    <w:rsid w:val="1BE30BF5"/>
    <w:rsid w:val="1BEC6D41"/>
    <w:rsid w:val="1BF14125"/>
    <w:rsid w:val="1C0624CB"/>
    <w:rsid w:val="1C16002F"/>
    <w:rsid w:val="1C1821EF"/>
    <w:rsid w:val="1C365FDC"/>
    <w:rsid w:val="1C395ACC"/>
    <w:rsid w:val="1C47643B"/>
    <w:rsid w:val="1C556DAA"/>
    <w:rsid w:val="1C5B4972"/>
    <w:rsid w:val="1C662D65"/>
    <w:rsid w:val="1C7246B1"/>
    <w:rsid w:val="1C786A3B"/>
    <w:rsid w:val="1CA2751E"/>
    <w:rsid w:val="1CAC2742"/>
    <w:rsid w:val="1CB33AD0"/>
    <w:rsid w:val="1CC04712"/>
    <w:rsid w:val="1CE819CC"/>
    <w:rsid w:val="1CFE1968"/>
    <w:rsid w:val="1D102CD1"/>
    <w:rsid w:val="1D152095"/>
    <w:rsid w:val="1D2E3157"/>
    <w:rsid w:val="1D3E1F77"/>
    <w:rsid w:val="1D930D19"/>
    <w:rsid w:val="1DA02831"/>
    <w:rsid w:val="1DA33B45"/>
    <w:rsid w:val="1DAD6772"/>
    <w:rsid w:val="1DAF4B38"/>
    <w:rsid w:val="1DDF7A40"/>
    <w:rsid w:val="1E067C30"/>
    <w:rsid w:val="1E7F5DC2"/>
    <w:rsid w:val="1E8146E2"/>
    <w:rsid w:val="1EAF0A4E"/>
    <w:rsid w:val="1EB9030D"/>
    <w:rsid w:val="1EC91389"/>
    <w:rsid w:val="1EDA4679"/>
    <w:rsid w:val="1F03544E"/>
    <w:rsid w:val="1F0829B6"/>
    <w:rsid w:val="1F2C2D5F"/>
    <w:rsid w:val="1F6327D6"/>
    <w:rsid w:val="1F6E513F"/>
    <w:rsid w:val="1F841F36"/>
    <w:rsid w:val="1FA0658E"/>
    <w:rsid w:val="1FB65DB1"/>
    <w:rsid w:val="1FCF0C21"/>
    <w:rsid w:val="1FDE70B6"/>
    <w:rsid w:val="1FED3359"/>
    <w:rsid w:val="201605FE"/>
    <w:rsid w:val="201C3760"/>
    <w:rsid w:val="202F2F0A"/>
    <w:rsid w:val="203B7DCD"/>
    <w:rsid w:val="2040567B"/>
    <w:rsid w:val="20717F2A"/>
    <w:rsid w:val="208F6602"/>
    <w:rsid w:val="209459C7"/>
    <w:rsid w:val="209E23A2"/>
    <w:rsid w:val="20A420AE"/>
    <w:rsid w:val="20B24F8E"/>
    <w:rsid w:val="20B322F1"/>
    <w:rsid w:val="20C067BC"/>
    <w:rsid w:val="20C242E2"/>
    <w:rsid w:val="20D44015"/>
    <w:rsid w:val="20E643A0"/>
    <w:rsid w:val="21017604"/>
    <w:rsid w:val="2146615C"/>
    <w:rsid w:val="216A06D1"/>
    <w:rsid w:val="216D6919"/>
    <w:rsid w:val="21780E44"/>
    <w:rsid w:val="217947A7"/>
    <w:rsid w:val="21933ED0"/>
    <w:rsid w:val="21B53E47"/>
    <w:rsid w:val="21B61F52"/>
    <w:rsid w:val="21C36564"/>
    <w:rsid w:val="21C81DCC"/>
    <w:rsid w:val="21D17902"/>
    <w:rsid w:val="21DA38AD"/>
    <w:rsid w:val="21F84180"/>
    <w:rsid w:val="22196435"/>
    <w:rsid w:val="22500474"/>
    <w:rsid w:val="22525B39"/>
    <w:rsid w:val="22865684"/>
    <w:rsid w:val="22BA5A10"/>
    <w:rsid w:val="22C500B9"/>
    <w:rsid w:val="22CF718A"/>
    <w:rsid w:val="233D40F4"/>
    <w:rsid w:val="23450EDC"/>
    <w:rsid w:val="23515DF1"/>
    <w:rsid w:val="23531B69"/>
    <w:rsid w:val="235D02F2"/>
    <w:rsid w:val="235F22BC"/>
    <w:rsid w:val="235F406A"/>
    <w:rsid w:val="236B2E9C"/>
    <w:rsid w:val="238B742E"/>
    <w:rsid w:val="23987286"/>
    <w:rsid w:val="23AD74CB"/>
    <w:rsid w:val="23D45DC0"/>
    <w:rsid w:val="23ED1676"/>
    <w:rsid w:val="241035B6"/>
    <w:rsid w:val="24376D95"/>
    <w:rsid w:val="245A4A6F"/>
    <w:rsid w:val="247A404C"/>
    <w:rsid w:val="249F7694"/>
    <w:rsid w:val="24A92885"/>
    <w:rsid w:val="2513335E"/>
    <w:rsid w:val="251F61A7"/>
    <w:rsid w:val="252E0198"/>
    <w:rsid w:val="25340E3D"/>
    <w:rsid w:val="254259F1"/>
    <w:rsid w:val="25545BB7"/>
    <w:rsid w:val="255D409B"/>
    <w:rsid w:val="25781413"/>
    <w:rsid w:val="258204E4"/>
    <w:rsid w:val="25A71CF8"/>
    <w:rsid w:val="25BD21AD"/>
    <w:rsid w:val="25CA6E09"/>
    <w:rsid w:val="25D6438C"/>
    <w:rsid w:val="25E25090"/>
    <w:rsid w:val="25F3318F"/>
    <w:rsid w:val="25F5515A"/>
    <w:rsid w:val="25F64996"/>
    <w:rsid w:val="26040EF9"/>
    <w:rsid w:val="262B0B7B"/>
    <w:rsid w:val="265A6D6B"/>
    <w:rsid w:val="266876DA"/>
    <w:rsid w:val="268C2968"/>
    <w:rsid w:val="26C708A4"/>
    <w:rsid w:val="26C757BD"/>
    <w:rsid w:val="26D61B8C"/>
    <w:rsid w:val="26DB434F"/>
    <w:rsid w:val="26ED1D1A"/>
    <w:rsid w:val="26EE4083"/>
    <w:rsid w:val="27046DB7"/>
    <w:rsid w:val="271565FB"/>
    <w:rsid w:val="27331D58"/>
    <w:rsid w:val="27391076"/>
    <w:rsid w:val="27391BD0"/>
    <w:rsid w:val="274243CE"/>
    <w:rsid w:val="27426D58"/>
    <w:rsid w:val="27735B86"/>
    <w:rsid w:val="277B1EA4"/>
    <w:rsid w:val="27836A93"/>
    <w:rsid w:val="279041A9"/>
    <w:rsid w:val="27DC037F"/>
    <w:rsid w:val="27E50D7B"/>
    <w:rsid w:val="27EC31AA"/>
    <w:rsid w:val="280A4686"/>
    <w:rsid w:val="281F026C"/>
    <w:rsid w:val="283A284D"/>
    <w:rsid w:val="28595263"/>
    <w:rsid w:val="2868457E"/>
    <w:rsid w:val="287560DE"/>
    <w:rsid w:val="28786926"/>
    <w:rsid w:val="2895372B"/>
    <w:rsid w:val="28AA222B"/>
    <w:rsid w:val="28C64DCA"/>
    <w:rsid w:val="28C75CAE"/>
    <w:rsid w:val="28DE1ED5"/>
    <w:rsid w:val="28DF17A9"/>
    <w:rsid w:val="28F24E95"/>
    <w:rsid w:val="28FB65E3"/>
    <w:rsid w:val="29174AC8"/>
    <w:rsid w:val="291F3363"/>
    <w:rsid w:val="2920429C"/>
    <w:rsid w:val="294B0A9B"/>
    <w:rsid w:val="29581C87"/>
    <w:rsid w:val="296D0CD1"/>
    <w:rsid w:val="296E14AB"/>
    <w:rsid w:val="2982368C"/>
    <w:rsid w:val="299170C7"/>
    <w:rsid w:val="299507E6"/>
    <w:rsid w:val="29AB625B"/>
    <w:rsid w:val="29CF0123"/>
    <w:rsid w:val="2A005E38"/>
    <w:rsid w:val="2A3873C3"/>
    <w:rsid w:val="2A75037D"/>
    <w:rsid w:val="2A756869"/>
    <w:rsid w:val="2AA8279A"/>
    <w:rsid w:val="2AB253C7"/>
    <w:rsid w:val="2AB27C3C"/>
    <w:rsid w:val="2AB63109"/>
    <w:rsid w:val="2ABF7AE4"/>
    <w:rsid w:val="2AD322F2"/>
    <w:rsid w:val="2AF84EE9"/>
    <w:rsid w:val="2AFE23BA"/>
    <w:rsid w:val="2B0177E3"/>
    <w:rsid w:val="2B0379D1"/>
    <w:rsid w:val="2B0E6F7F"/>
    <w:rsid w:val="2B397896"/>
    <w:rsid w:val="2B5B15BB"/>
    <w:rsid w:val="2B6D12EE"/>
    <w:rsid w:val="2B724B56"/>
    <w:rsid w:val="2B8E1990"/>
    <w:rsid w:val="2BAA2542"/>
    <w:rsid w:val="2BAD7EEE"/>
    <w:rsid w:val="2BD31A99"/>
    <w:rsid w:val="2BD6464A"/>
    <w:rsid w:val="2BE45A54"/>
    <w:rsid w:val="2BEF7C87"/>
    <w:rsid w:val="2BF9180D"/>
    <w:rsid w:val="2C210F74"/>
    <w:rsid w:val="2C245E51"/>
    <w:rsid w:val="2C3116AB"/>
    <w:rsid w:val="2C602C01"/>
    <w:rsid w:val="2C620DE5"/>
    <w:rsid w:val="2C6E5E3A"/>
    <w:rsid w:val="2C840FE5"/>
    <w:rsid w:val="2C8C39F6"/>
    <w:rsid w:val="2C9A6113"/>
    <w:rsid w:val="2CEF68B2"/>
    <w:rsid w:val="2CFC6DCE"/>
    <w:rsid w:val="2D32459D"/>
    <w:rsid w:val="2D4300C9"/>
    <w:rsid w:val="2D4C45A1"/>
    <w:rsid w:val="2D6045FF"/>
    <w:rsid w:val="2D67693D"/>
    <w:rsid w:val="2D894D72"/>
    <w:rsid w:val="2DAD00C8"/>
    <w:rsid w:val="2DC55411"/>
    <w:rsid w:val="2DD12008"/>
    <w:rsid w:val="2DDB2E87"/>
    <w:rsid w:val="2E083F3B"/>
    <w:rsid w:val="2E08724B"/>
    <w:rsid w:val="2E0B376C"/>
    <w:rsid w:val="2E5077D3"/>
    <w:rsid w:val="2E5C5D76"/>
    <w:rsid w:val="2E6A3E61"/>
    <w:rsid w:val="2E772BB0"/>
    <w:rsid w:val="2E876B6B"/>
    <w:rsid w:val="2E954DE4"/>
    <w:rsid w:val="2E9C0E80"/>
    <w:rsid w:val="2EBD258D"/>
    <w:rsid w:val="2EC03CB2"/>
    <w:rsid w:val="2EC67693"/>
    <w:rsid w:val="2EC8145A"/>
    <w:rsid w:val="2ED0766D"/>
    <w:rsid w:val="2EDD678B"/>
    <w:rsid w:val="2F166361"/>
    <w:rsid w:val="2F195A15"/>
    <w:rsid w:val="2F2537C4"/>
    <w:rsid w:val="2F2A2D4D"/>
    <w:rsid w:val="2F3C1703"/>
    <w:rsid w:val="2F4A6121"/>
    <w:rsid w:val="2F7873B6"/>
    <w:rsid w:val="2F92124B"/>
    <w:rsid w:val="2FA95B86"/>
    <w:rsid w:val="2FC040E2"/>
    <w:rsid w:val="2FD74A0B"/>
    <w:rsid w:val="2FFD79D3"/>
    <w:rsid w:val="300852DE"/>
    <w:rsid w:val="30087837"/>
    <w:rsid w:val="30182170"/>
    <w:rsid w:val="302145DD"/>
    <w:rsid w:val="3025488D"/>
    <w:rsid w:val="3034687E"/>
    <w:rsid w:val="30523594"/>
    <w:rsid w:val="305E56A9"/>
    <w:rsid w:val="30A734F4"/>
    <w:rsid w:val="30A9726C"/>
    <w:rsid w:val="30BB4DAC"/>
    <w:rsid w:val="30E738F1"/>
    <w:rsid w:val="310D15A9"/>
    <w:rsid w:val="3115045E"/>
    <w:rsid w:val="312C3DE1"/>
    <w:rsid w:val="3135465C"/>
    <w:rsid w:val="314A45AB"/>
    <w:rsid w:val="314F3970"/>
    <w:rsid w:val="31892D62"/>
    <w:rsid w:val="318C4058"/>
    <w:rsid w:val="318C4BC4"/>
    <w:rsid w:val="318F6462"/>
    <w:rsid w:val="31AF28A2"/>
    <w:rsid w:val="31B639EF"/>
    <w:rsid w:val="31CE13D3"/>
    <w:rsid w:val="31D9592F"/>
    <w:rsid w:val="31E645B2"/>
    <w:rsid w:val="31F12C79"/>
    <w:rsid w:val="31F134B7"/>
    <w:rsid w:val="32244DFC"/>
    <w:rsid w:val="322667B5"/>
    <w:rsid w:val="328303DD"/>
    <w:rsid w:val="32D41FD0"/>
    <w:rsid w:val="32E620B2"/>
    <w:rsid w:val="32EB3B6C"/>
    <w:rsid w:val="32EE0F67"/>
    <w:rsid w:val="3308275B"/>
    <w:rsid w:val="33136C1F"/>
    <w:rsid w:val="33277341"/>
    <w:rsid w:val="333159B1"/>
    <w:rsid w:val="333746BC"/>
    <w:rsid w:val="33770F5C"/>
    <w:rsid w:val="33823753"/>
    <w:rsid w:val="339C09C3"/>
    <w:rsid w:val="33A65CE5"/>
    <w:rsid w:val="33AA05E8"/>
    <w:rsid w:val="33B169AF"/>
    <w:rsid w:val="33FB393B"/>
    <w:rsid w:val="34131B96"/>
    <w:rsid w:val="341B4D8B"/>
    <w:rsid w:val="3431795E"/>
    <w:rsid w:val="343D55E2"/>
    <w:rsid w:val="34552B86"/>
    <w:rsid w:val="34627E5E"/>
    <w:rsid w:val="349D0E96"/>
    <w:rsid w:val="34E21963"/>
    <w:rsid w:val="34E50CCC"/>
    <w:rsid w:val="34F14D3E"/>
    <w:rsid w:val="34F62354"/>
    <w:rsid w:val="351F0DC9"/>
    <w:rsid w:val="352B2863"/>
    <w:rsid w:val="352D221A"/>
    <w:rsid w:val="353A4937"/>
    <w:rsid w:val="35BA7826"/>
    <w:rsid w:val="35C10BB4"/>
    <w:rsid w:val="35F1149A"/>
    <w:rsid w:val="35F5260C"/>
    <w:rsid w:val="35F5709E"/>
    <w:rsid w:val="35F70776"/>
    <w:rsid w:val="362829E1"/>
    <w:rsid w:val="36454420"/>
    <w:rsid w:val="367232C8"/>
    <w:rsid w:val="367D1DCA"/>
    <w:rsid w:val="368B3EF0"/>
    <w:rsid w:val="36E508D2"/>
    <w:rsid w:val="371114D1"/>
    <w:rsid w:val="371B152F"/>
    <w:rsid w:val="372445CF"/>
    <w:rsid w:val="37384EA6"/>
    <w:rsid w:val="37427AD3"/>
    <w:rsid w:val="37643EED"/>
    <w:rsid w:val="376E6490"/>
    <w:rsid w:val="37904CE2"/>
    <w:rsid w:val="379B055B"/>
    <w:rsid w:val="37A23B2A"/>
    <w:rsid w:val="37A7550F"/>
    <w:rsid w:val="37A83712"/>
    <w:rsid w:val="37B24AB3"/>
    <w:rsid w:val="37C8622A"/>
    <w:rsid w:val="3809239F"/>
    <w:rsid w:val="38162D8E"/>
    <w:rsid w:val="38510CC6"/>
    <w:rsid w:val="38982080"/>
    <w:rsid w:val="389D18F0"/>
    <w:rsid w:val="38AD56EA"/>
    <w:rsid w:val="38BD38B5"/>
    <w:rsid w:val="38BE13DB"/>
    <w:rsid w:val="38CD7870"/>
    <w:rsid w:val="38E86458"/>
    <w:rsid w:val="38F11583"/>
    <w:rsid w:val="38F20621"/>
    <w:rsid w:val="38FA68B7"/>
    <w:rsid w:val="3911775D"/>
    <w:rsid w:val="391C0F48"/>
    <w:rsid w:val="39553AED"/>
    <w:rsid w:val="39691347"/>
    <w:rsid w:val="39A44A75"/>
    <w:rsid w:val="39AE31FE"/>
    <w:rsid w:val="39BF2767"/>
    <w:rsid w:val="39C8164D"/>
    <w:rsid w:val="39CD3FCC"/>
    <w:rsid w:val="39CE564E"/>
    <w:rsid w:val="39D569DC"/>
    <w:rsid w:val="39E5694E"/>
    <w:rsid w:val="39E8099F"/>
    <w:rsid w:val="39E97BF2"/>
    <w:rsid w:val="39EC027C"/>
    <w:rsid w:val="39F448CD"/>
    <w:rsid w:val="3A1219DE"/>
    <w:rsid w:val="3A316C8A"/>
    <w:rsid w:val="3A4D0C68"/>
    <w:rsid w:val="3A5B6136"/>
    <w:rsid w:val="3A5C0EAC"/>
    <w:rsid w:val="3A726921"/>
    <w:rsid w:val="3A775CE5"/>
    <w:rsid w:val="3A7A7584"/>
    <w:rsid w:val="3A850B77"/>
    <w:rsid w:val="3AA20FB4"/>
    <w:rsid w:val="3AAA009C"/>
    <w:rsid w:val="3ADC2E01"/>
    <w:rsid w:val="3AEA295B"/>
    <w:rsid w:val="3AFC23EB"/>
    <w:rsid w:val="3B0A0908"/>
    <w:rsid w:val="3B4200A1"/>
    <w:rsid w:val="3B495A9E"/>
    <w:rsid w:val="3B4A51A8"/>
    <w:rsid w:val="3B4E4C98"/>
    <w:rsid w:val="3B7F12F6"/>
    <w:rsid w:val="3B800BCA"/>
    <w:rsid w:val="3B8E7126"/>
    <w:rsid w:val="3B9D5C20"/>
    <w:rsid w:val="3BA82D9B"/>
    <w:rsid w:val="3BB15227"/>
    <w:rsid w:val="3BC136BC"/>
    <w:rsid w:val="3BDC22A4"/>
    <w:rsid w:val="3C261771"/>
    <w:rsid w:val="3C3C2D43"/>
    <w:rsid w:val="3C52023A"/>
    <w:rsid w:val="3C6D114E"/>
    <w:rsid w:val="3C770627"/>
    <w:rsid w:val="3C917532"/>
    <w:rsid w:val="3CA863A8"/>
    <w:rsid w:val="3CB11983"/>
    <w:rsid w:val="3CDE71C1"/>
    <w:rsid w:val="3CEB3FEF"/>
    <w:rsid w:val="3D0C6BB9"/>
    <w:rsid w:val="3D17730C"/>
    <w:rsid w:val="3D3805DF"/>
    <w:rsid w:val="3D3E0D3C"/>
    <w:rsid w:val="3D453E79"/>
    <w:rsid w:val="3D49647F"/>
    <w:rsid w:val="3D70539A"/>
    <w:rsid w:val="3DAB4624"/>
    <w:rsid w:val="3DB34302"/>
    <w:rsid w:val="3DB66B25"/>
    <w:rsid w:val="3DC456E6"/>
    <w:rsid w:val="3E0E4BB3"/>
    <w:rsid w:val="3E10092B"/>
    <w:rsid w:val="3E2241BA"/>
    <w:rsid w:val="3E3D0FF4"/>
    <w:rsid w:val="3E557899"/>
    <w:rsid w:val="3E5D51F2"/>
    <w:rsid w:val="3E6127E3"/>
    <w:rsid w:val="3E631902"/>
    <w:rsid w:val="3E7C7D6E"/>
    <w:rsid w:val="3E945C80"/>
    <w:rsid w:val="3EA90437"/>
    <w:rsid w:val="3EAB41B0"/>
    <w:rsid w:val="3EAC4942"/>
    <w:rsid w:val="3EC82FB3"/>
    <w:rsid w:val="3EDC25BB"/>
    <w:rsid w:val="3F033FEC"/>
    <w:rsid w:val="3F147857"/>
    <w:rsid w:val="3F3044D0"/>
    <w:rsid w:val="3F424B14"/>
    <w:rsid w:val="3F49395F"/>
    <w:rsid w:val="3F696545"/>
    <w:rsid w:val="3F6E5909"/>
    <w:rsid w:val="3F731171"/>
    <w:rsid w:val="3FA702E8"/>
    <w:rsid w:val="3FB377C0"/>
    <w:rsid w:val="3FBD063E"/>
    <w:rsid w:val="3FC714BD"/>
    <w:rsid w:val="3FCB2D5B"/>
    <w:rsid w:val="3FCC3BFD"/>
    <w:rsid w:val="3FDA34B1"/>
    <w:rsid w:val="3FDB2873"/>
    <w:rsid w:val="3FE931E1"/>
    <w:rsid w:val="3FF12096"/>
    <w:rsid w:val="3FFD4EDF"/>
    <w:rsid w:val="40240113"/>
    <w:rsid w:val="40381A73"/>
    <w:rsid w:val="40662A84"/>
    <w:rsid w:val="4084115C"/>
    <w:rsid w:val="40923879"/>
    <w:rsid w:val="40C81C57"/>
    <w:rsid w:val="40CE5334"/>
    <w:rsid w:val="40D20119"/>
    <w:rsid w:val="40DC4AF4"/>
    <w:rsid w:val="410E7DF5"/>
    <w:rsid w:val="41203CDC"/>
    <w:rsid w:val="414A7CB0"/>
    <w:rsid w:val="414C1C7A"/>
    <w:rsid w:val="4154318A"/>
    <w:rsid w:val="415E19AD"/>
    <w:rsid w:val="416F5968"/>
    <w:rsid w:val="417B255F"/>
    <w:rsid w:val="41A03056"/>
    <w:rsid w:val="41AD09C3"/>
    <w:rsid w:val="41C05228"/>
    <w:rsid w:val="41C927E8"/>
    <w:rsid w:val="41CA04D7"/>
    <w:rsid w:val="41D43A1D"/>
    <w:rsid w:val="41E41EB2"/>
    <w:rsid w:val="42051E29"/>
    <w:rsid w:val="420662CD"/>
    <w:rsid w:val="4207456D"/>
    <w:rsid w:val="421502BE"/>
    <w:rsid w:val="425154F8"/>
    <w:rsid w:val="42644DA1"/>
    <w:rsid w:val="427D40B5"/>
    <w:rsid w:val="429A07C3"/>
    <w:rsid w:val="42C37F57"/>
    <w:rsid w:val="42ED2FE9"/>
    <w:rsid w:val="43030A5E"/>
    <w:rsid w:val="430F7403"/>
    <w:rsid w:val="43346222"/>
    <w:rsid w:val="435F0AA0"/>
    <w:rsid w:val="43605CF6"/>
    <w:rsid w:val="437A5885"/>
    <w:rsid w:val="43867C4B"/>
    <w:rsid w:val="439E6277"/>
    <w:rsid w:val="43B600AD"/>
    <w:rsid w:val="43D76DDC"/>
    <w:rsid w:val="43EA7528"/>
    <w:rsid w:val="43F108B7"/>
    <w:rsid w:val="43FE4C25"/>
    <w:rsid w:val="4436451B"/>
    <w:rsid w:val="446F063A"/>
    <w:rsid w:val="4484797D"/>
    <w:rsid w:val="44D0720B"/>
    <w:rsid w:val="44D53D34"/>
    <w:rsid w:val="45442C68"/>
    <w:rsid w:val="454676EB"/>
    <w:rsid w:val="45487509"/>
    <w:rsid w:val="456B4699"/>
    <w:rsid w:val="458F482B"/>
    <w:rsid w:val="45974FB3"/>
    <w:rsid w:val="45F4643C"/>
    <w:rsid w:val="45F610F0"/>
    <w:rsid w:val="460366D7"/>
    <w:rsid w:val="4609638B"/>
    <w:rsid w:val="460C3316"/>
    <w:rsid w:val="46280371"/>
    <w:rsid w:val="463827CD"/>
    <w:rsid w:val="465D33BE"/>
    <w:rsid w:val="465D3D30"/>
    <w:rsid w:val="46647A66"/>
    <w:rsid w:val="46945A20"/>
    <w:rsid w:val="46A3401E"/>
    <w:rsid w:val="46D85D5E"/>
    <w:rsid w:val="46FB137F"/>
    <w:rsid w:val="471C718B"/>
    <w:rsid w:val="4738351D"/>
    <w:rsid w:val="47506DCB"/>
    <w:rsid w:val="476A6296"/>
    <w:rsid w:val="477261B2"/>
    <w:rsid w:val="477C3E4E"/>
    <w:rsid w:val="477E6905"/>
    <w:rsid w:val="47B2035D"/>
    <w:rsid w:val="47D97FDF"/>
    <w:rsid w:val="47E50732"/>
    <w:rsid w:val="48054198"/>
    <w:rsid w:val="481E3C44"/>
    <w:rsid w:val="482E1FB6"/>
    <w:rsid w:val="48380768"/>
    <w:rsid w:val="4840005F"/>
    <w:rsid w:val="48457A52"/>
    <w:rsid w:val="488F12B1"/>
    <w:rsid w:val="48F75EC4"/>
    <w:rsid w:val="490C2778"/>
    <w:rsid w:val="49227764"/>
    <w:rsid w:val="493C2BF3"/>
    <w:rsid w:val="4941408E"/>
    <w:rsid w:val="49431BB4"/>
    <w:rsid w:val="49615F4E"/>
    <w:rsid w:val="49853754"/>
    <w:rsid w:val="49864487"/>
    <w:rsid w:val="4A0D21C2"/>
    <w:rsid w:val="4A1134A2"/>
    <w:rsid w:val="4A5A3216"/>
    <w:rsid w:val="4A713F14"/>
    <w:rsid w:val="4A732ADF"/>
    <w:rsid w:val="4A8E4F93"/>
    <w:rsid w:val="4A963F66"/>
    <w:rsid w:val="4A96711A"/>
    <w:rsid w:val="4AB4049F"/>
    <w:rsid w:val="4AB80380"/>
    <w:rsid w:val="4AF1567A"/>
    <w:rsid w:val="4B0215FB"/>
    <w:rsid w:val="4B3B1EDD"/>
    <w:rsid w:val="4B567485"/>
    <w:rsid w:val="4B7E5126"/>
    <w:rsid w:val="4B895879"/>
    <w:rsid w:val="4B8B339F"/>
    <w:rsid w:val="4B951B65"/>
    <w:rsid w:val="4B9534D3"/>
    <w:rsid w:val="4BB17956"/>
    <w:rsid w:val="4BD05255"/>
    <w:rsid w:val="4BE807F1"/>
    <w:rsid w:val="4BFE5D6A"/>
    <w:rsid w:val="4C091A96"/>
    <w:rsid w:val="4C147916"/>
    <w:rsid w:val="4C252A4F"/>
    <w:rsid w:val="4C3D6555"/>
    <w:rsid w:val="4C673E0C"/>
    <w:rsid w:val="4C6B2B37"/>
    <w:rsid w:val="4C6C1422"/>
    <w:rsid w:val="4C6F4A6E"/>
    <w:rsid w:val="4C8524E4"/>
    <w:rsid w:val="4CAF7561"/>
    <w:rsid w:val="4CB4498A"/>
    <w:rsid w:val="4CC04746"/>
    <w:rsid w:val="4CE94821"/>
    <w:rsid w:val="4CF308FD"/>
    <w:rsid w:val="4CFB7EA3"/>
    <w:rsid w:val="4D1F0243"/>
    <w:rsid w:val="4D817E72"/>
    <w:rsid w:val="4D926C66"/>
    <w:rsid w:val="4DAB5F7A"/>
    <w:rsid w:val="4DB017E2"/>
    <w:rsid w:val="4DC863E5"/>
    <w:rsid w:val="4DCA5A51"/>
    <w:rsid w:val="4DD06B99"/>
    <w:rsid w:val="4DE12E81"/>
    <w:rsid w:val="4DFD0C89"/>
    <w:rsid w:val="4E4F6D35"/>
    <w:rsid w:val="4E7D7917"/>
    <w:rsid w:val="4E9E163B"/>
    <w:rsid w:val="4EAC3D58"/>
    <w:rsid w:val="4EC015B1"/>
    <w:rsid w:val="4ECC43FA"/>
    <w:rsid w:val="4ED16A53"/>
    <w:rsid w:val="4EE502AA"/>
    <w:rsid w:val="4EEB16E6"/>
    <w:rsid w:val="4F2D7040"/>
    <w:rsid w:val="4F45117A"/>
    <w:rsid w:val="4F4626F3"/>
    <w:rsid w:val="4F484F4C"/>
    <w:rsid w:val="4F701229"/>
    <w:rsid w:val="4F727FD6"/>
    <w:rsid w:val="4F824AB9"/>
    <w:rsid w:val="4F840831"/>
    <w:rsid w:val="4F876573"/>
    <w:rsid w:val="4FA26F09"/>
    <w:rsid w:val="4FD5108C"/>
    <w:rsid w:val="4FE92CD6"/>
    <w:rsid w:val="502C5EFA"/>
    <w:rsid w:val="502D0274"/>
    <w:rsid w:val="50416722"/>
    <w:rsid w:val="50574197"/>
    <w:rsid w:val="506153AC"/>
    <w:rsid w:val="5099655E"/>
    <w:rsid w:val="50A224C3"/>
    <w:rsid w:val="50E023DF"/>
    <w:rsid w:val="50E35A2B"/>
    <w:rsid w:val="50F1639A"/>
    <w:rsid w:val="51257DF2"/>
    <w:rsid w:val="51271DBC"/>
    <w:rsid w:val="513F7105"/>
    <w:rsid w:val="51477D68"/>
    <w:rsid w:val="514A5AAA"/>
    <w:rsid w:val="515801C7"/>
    <w:rsid w:val="51593B8D"/>
    <w:rsid w:val="516140B5"/>
    <w:rsid w:val="51644DBE"/>
    <w:rsid w:val="516B614C"/>
    <w:rsid w:val="517A2091"/>
    <w:rsid w:val="518C7E71"/>
    <w:rsid w:val="518F39BC"/>
    <w:rsid w:val="51955765"/>
    <w:rsid w:val="51C969CF"/>
    <w:rsid w:val="51F36792"/>
    <w:rsid w:val="51FA74D0"/>
    <w:rsid w:val="51FF6894"/>
    <w:rsid w:val="5200380D"/>
    <w:rsid w:val="52374280"/>
    <w:rsid w:val="524D7600"/>
    <w:rsid w:val="527C3337"/>
    <w:rsid w:val="52AF2069"/>
    <w:rsid w:val="52B7716F"/>
    <w:rsid w:val="52B91E49"/>
    <w:rsid w:val="52C673B2"/>
    <w:rsid w:val="530A78D3"/>
    <w:rsid w:val="531445C2"/>
    <w:rsid w:val="531935A4"/>
    <w:rsid w:val="536524C3"/>
    <w:rsid w:val="536A36BC"/>
    <w:rsid w:val="537312E8"/>
    <w:rsid w:val="538277A4"/>
    <w:rsid w:val="53A019B1"/>
    <w:rsid w:val="53C51035"/>
    <w:rsid w:val="53CF4A5C"/>
    <w:rsid w:val="53EB3896"/>
    <w:rsid w:val="53FB4CCB"/>
    <w:rsid w:val="540041D6"/>
    <w:rsid w:val="54014B46"/>
    <w:rsid w:val="540262EE"/>
    <w:rsid w:val="54244390"/>
    <w:rsid w:val="54684BC5"/>
    <w:rsid w:val="54750651"/>
    <w:rsid w:val="54817A35"/>
    <w:rsid w:val="54877D10"/>
    <w:rsid w:val="549239F0"/>
    <w:rsid w:val="54B0031A"/>
    <w:rsid w:val="54B020C8"/>
    <w:rsid w:val="54B576DE"/>
    <w:rsid w:val="54C6369A"/>
    <w:rsid w:val="55024449"/>
    <w:rsid w:val="55085BEA"/>
    <w:rsid w:val="55172147"/>
    <w:rsid w:val="552000A3"/>
    <w:rsid w:val="55410BF9"/>
    <w:rsid w:val="554271C4"/>
    <w:rsid w:val="55794BB0"/>
    <w:rsid w:val="5596306C"/>
    <w:rsid w:val="55A57753"/>
    <w:rsid w:val="55AC288F"/>
    <w:rsid w:val="55AC40A5"/>
    <w:rsid w:val="55BF6A67"/>
    <w:rsid w:val="55DA6596"/>
    <w:rsid w:val="560C77D2"/>
    <w:rsid w:val="560F537A"/>
    <w:rsid w:val="565D4368"/>
    <w:rsid w:val="56603960"/>
    <w:rsid w:val="56690780"/>
    <w:rsid w:val="566B274A"/>
    <w:rsid w:val="566D0271"/>
    <w:rsid w:val="56777341"/>
    <w:rsid w:val="567A298E"/>
    <w:rsid w:val="56A0017C"/>
    <w:rsid w:val="56A1616C"/>
    <w:rsid w:val="56BC4D54"/>
    <w:rsid w:val="56C3571A"/>
    <w:rsid w:val="56DB5BC3"/>
    <w:rsid w:val="56F72230"/>
    <w:rsid w:val="56FA5260"/>
    <w:rsid w:val="572823EA"/>
    <w:rsid w:val="574C257C"/>
    <w:rsid w:val="5755438D"/>
    <w:rsid w:val="5764164E"/>
    <w:rsid w:val="578F4217"/>
    <w:rsid w:val="578F4443"/>
    <w:rsid w:val="57925AB5"/>
    <w:rsid w:val="57AD70E7"/>
    <w:rsid w:val="57B8364E"/>
    <w:rsid w:val="57C95893"/>
    <w:rsid w:val="57D103CA"/>
    <w:rsid w:val="581D1822"/>
    <w:rsid w:val="582E3A30"/>
    <w:rsid w:val="58304C51"/>
    <w:rsid w:val="58311772"/>
    <w:rsid w:val="5835523D"/>
    <w:rsid w:val="58701EDD"/>
    <w:rsid w:val="587177C3"/>
    <w:rsid w:val="588405A5"/>
    <w:rsid w:val="588840E5"/>
    <w:rsid w:val="588F1D05"/>
    <w:rsid w:val="5898534D"/>
    <w:rsid w:val="589C4E3D"/>
    <w:rsid w:val="58B3199D"/>
    <w:rsid w:val="58E93DFA"/>
    <w:rsid w:val="58F44C79"/>
    <w:rsid w:val="59050C34"/>
    <w:rsid w:val="590F4713"/>
    <w:rsid w:val="59123DF1"/>
    <w:rsid w:val="591B2F0C"/>
    <w:rsid w:val="594828CF"/>
    <w:rsid w:val="594A7F41"/>
    <w:rsid w:val="594F3C5E"/>
    <w:rsid w:val="596811C3"/>
    <w:rsid w:val="59786F11"/>
    <w:rsid w:val="598F25C7"/>
    <w:rsid w:val="59937540"/>
    <w:rsid w:val="59A039F6"/>
    <w:rsid w:val="59A22B55"/>
    <w:rsid w:val="59AA336E"/>
    <w:rsid w:val="59B63CDD"/>
    <w:rsid w:val="59C93ECC"/>
    <w:rsid w:val="59DE1485"/>
    <w:rsid w:val="59E60C99"/>
    <w:rsid w:val="59E940B2"/>
    <w:rsid w:val="59F760A3"/>
    <w:rsid w:val="5A00764E"/>
    <w:rsid w:val="5A5534F6"/>
    <w:rsid w:val="5A637F6F"/>
    <w:rsid w:val="5A675D4E"/>
    <w:rsid w:val="5A70032F"/>
    <w:rsid w:val="5AAC6D3A"/>
    <w:rsid w:val="5ABD72ED"/>
    <w:rsid w:val="5AC95C92"/>
    <w:rsid w:val="5AF076C2"/>
    <w:rsid w:val="5B01367D"/>
    <w:rsid w:val="5B423A25"/>
    <w:rsid w:val="5B6D486F"/>
    <w:rsid w:val="5BC60069"/>
    <w:rsid w:val="5BED3C02"/>
    <w:rsid w:val="5C121CA4"/>
    <w:rsid w:val="5C5477DD"/>
    <w:rsid w:val="5C5A1297"/>
    <w:rsid w:val="5C5F68AD"/>
    <w:rsid w:val="5C6519EA"/>
    <w:rsid w:val="5C9108EC"/>
    <w:rsid w:val="5C9936CF"/>
    <w:rsid w:val="5CAB38A1"/>
    <w:rsid w:val="5CCC7122"/>
    <w:rsid w:val="5CE62A27"/>
    <w:rsid w:val="5CF42D8C"/>
    <w:rsid w:val="5CFD00A4"/>
    <w:rsid w:val="5D16093E"/>
    <w:rsid w:val="5D1C2035"/>
    <w:rsid w:val="5D5C7A80"/>
    <w:rsid w:val="5D6D0F8A"/>
    <w:rsid w:val="5D773862"/>
    <w:rsid w:val="5D7E7207"/>
    <w:rsid w:val="5D8A5BAC"/>
    <w:rsid w:val="5DD93AB7"/>
    <w:rsid w:val="5DEF78BB"/>
    <w:rsid w:val="5EA53721"/>
    <w:rsid w:val="5EC40406"/>
    <w:rsid w:val="5ECC4F05"/>
    <w:rsid w:val="5EF84D97"/>
    <w:rsid w:val="5F074FDA"/>
    <w:rsid w:val="5F0E6369"/>
    <w:rsid w:val="5F182D44"/>
    <w:rsid w:val="5F35264F"/>
    <w:rsid w:val="5F396F19"/>
    <w:rsid w:val="5F41673E"/>
    <w:rsid w:val="5F7F1015"/>
    <w:rsid w:val="5F887EC9"/>
    <w:rsid w:val="5F8A5A57"/>
    <w:rsid w:val="5F943190"/>
    <w:rsid w:val="5F9E149B"/>
    <w:rsid w:val="5FAA5F75"/>
    <w:rsid w:val="5FCA6734"/>
    <w:rsid w:val="5FE377F5"/>
    <w:rsid w:val="601B6F8F"/>
    <w:rsid w:val="602816AC"/>
    <w:rsid w:val="60362E8F"/>
    <w:rsid w:val="604364E6"/>
    <w:rsid w:val="605424A1"/>
    <w:rsid w:val="60A07D32"/>
    <w:rsid w:val="60A26D69"/>
    <w:rsid w:val="60AF592A"/>
    <w:rsid w:val="60C2565D"/>
    <w:rsid w:val="60C51A2C"/>
    <w:rsid w:val="60DB04CD"/>
    <w:rsid w:val="613751C4"/>
    <w:rsid w:val="61785D1C"/>
    <w:rsid w:val="619E7A52"/>
    <w:rsid w:val="61B01959"/>
    <w:rsid w:val="61CD42B9"/>
    <w:rsid w:val="61E33F36"/>
    <w:rsid w:val="61F81837"/>
    <w:rsid w:val="620A72BB"/>
    <w:rsid w:val="621F43E9"/>
    <w:rsid w:val="623B7475"/>
    <w:rsid w:val="623F0D34"/>
    <w:rsid w:val="62422F40"/>
    <w:rsid w:val="6247406C"/>
    <w:rsid w:val="62487DE4"/>
    <w:rsid w:val="625C5463"/>
    <w:rsid w:val="626F1110"/>
    <w:rsid w:val="62961CE2"/>
    <w:rsid w:val="62A468BF"/>
    <w:rsid w:val="62A56FE4"/>
    <w:rsid w:val="62A866D0"/>
    <w:rsid w:val="62BD60DC"/>
    <w:rsid w:val="62C7476E"/>
    <w:rsid w:val="62D201FC"/>
    <w:rsid w:val="62EF025F"/>
    <w:rsid w:val="62FC2EBF"/>
    <w:rsid w:val="6309447C"/>
    <w:rsid w:val="630A5A6D"/>
    <w:rsid w:val="6349639D"/>
    <w:rsid w:val="634C49D0"/>
    <w:rsid w:val="638E68ED"/>
    <w:rsid w:val="63901A42"/>
    <w:rsid w:val="63AB062A"/>
    <w:rsid w:val="63B15515"/>
    <w:rsid w:val="63B87CBA"/>
    <w:rsid w:val="63C60FC0"/>
    <w:rsid w:val="63C65464"/>
    <w:rsid w:val="63F73BD7"/>
    <w:rsid w:val="64340620"/>
    <w:rsid w:val="64410F8F"/>
    <w:rsid w:val="64682077"/>
    <w:rsid w:val="64790728"/>
    <w:rsid w:val="648F5856"/>
    <w:rsid w:val="649B41FB"/>
    <w:rsid w:val="64A227CA"/>
    <w:rsid w:val="64B51C3E"/>
    <w:rsid w:val="64BF2D6E"/>
    <w:rsid w:val="64DB505F"/>
    <w:rsid w:val="64DD4813"/>
    <w:rsid w:val="65180933"/>
    <w:rsid w:val="65362175"/>
    <w:rsid w:val="65566374"/>
    <w:rsid w:val="655D5954"/>
    <w:rsid w:val="65766A16"/>
    <w:rsid w:val="65783F39"/>
    <w:rsid w:val="659868BE"/>
    <w:rsid w:val="65C77271"/>
    <w:rsid w:val="65DB7500"/>
    <w:rsid w:val="65DC4ACB"/>
    <w:rsid w:val="65DF4740"/>
    <w:rsid w:val="65E676F8"/>
    <w:rsid w:val="65EB7404"/>
    <w:rsid w:val="65F91B21"/>
    <w:rsid w:val="660356CA"/>
    <w:rsid w:val="66157FDD"/>
    <w:rsid w:val="66182480"/>
    <w:rsid w:val="661E50E3"/>
    <w:rsid w:val="662446C4"/>
    <w:rsid w:val="662E1F6F"/>
    <w:rsid w:val="66650F64"/>
    <w:rsid w:val="666A657B"/>
    <w:rsid w:val="66AC1B17"/>
    <w:rsid w:val="66AE2FFF"/>
    <w:rsid w:val="66C8504F"/>
    <w:rsid w:val="66E557FD"/>
    <w:rsid w:val="66F25116"/>
    <w:rsid w:val="66F37636"/>
    <w:rsid w:val="670352EA"/>
    <w:rsid w:val="670C7632"/>
    <w:rsid w:val="673D5A3D"/>
    <w:rsid w:val="67796A82"/>
    <w:rsid w:val="680D33C7"/>
    <w:rsid w:val="681A18DB"/>
    <w:rsid w:val="68330BEE"/>
    <w:rsid w:val="68437083"/>
    <w:rsid w:val="68511756"/>
    <w:rsid w:val="68584F50"/>
    <w:rsid w:val="688A06B9"/>
    <w:rsid w:val="68D0468F"/>
    <w:rsid w:val="68DC3034"/>
    <w:rsid w:val="68E54DCE"/>
    <w:rsid w:val="68E87C2B"/>
    <w:rsid w:val="68F30B42"/>
    <w:rsid w:val="68F57B1A"/>
    <w:rsid w:val="690540BF"/>
    <w:rsid w:val="6938470E"/>
    <w:rsid w:val="69450BD9"/>
    <w:rsid w:val="69833F84"/>
    <w:rsid w:val="6994393A"/>
    <w:rsid w:val="69970162"/>
    <w:rsid w:val="69C340F2"/>
    <w:rsid w:val="69C441F4"/>
    <w:rsid w:val="6A274783"/>
    <w:rsid w:val="6A3A2708"/>
    <w:rsid w:val="6A4021D8"/>
    <w:rsid w:val="6A7774B8"/>
    <w:rsid w:val="6A9A4F55"/>
    <w:rsid w:val="6AA13260"/>
    <w:rsid w:val="6AA16168"/>
    <w:rsid w:val="6ABE0C43"/>
    <w:rsid w:val="6AD541DF"/>
    <w:rsid w:val="6AD77F57"/>
    <w:rsid w:val="6B0A20DA"/>
    <w:rsid w:val="6B8359E9"/>
    <w:rsid w:val="6B9D4CFC"/>
    <w:rsid w:val="6BA56319"/>
    <w:rsid w:val="6BBB2524"/>
    <w:rsid w:val="6BBF5037"/>
    <w:rsid w:val="6BCC55E2"/>
    <w:rsid w:val="6BCE4EB6"/>
    <w:rsid w:val="6BE02E3B"/>
    <w:rsid w:val="6BF54B38"/>
    <w:rsid w:val="6BF608B1"/>
    <w:rsid w:val="6C017A70"/>
    <w:rsid w:val="6C0E5BFA"/>
    <w:rsid w:val="6C2076DB"/>
    <w:rsid w:val="6C3F7B62"/>
    <w:rsid w:val="6C4909E0"/>
    <w:rsid w:val="6C496C32"/>
    <w:rsid w:val="6C54385C"/>
    <w:rsid w:val="6C5F1FB2"/>
    <w:rsid w:val="6C7E559F"/>
    <w:rsid w:val="6C87555A"/>
    <w:rsid w:val="6C9F4104"/>
    <w:rsid w:val="6CCC3F20"/>
    <w:rsid w:val="6CD209D6"/>
    <w:rsid w:val="6CD609CA"/>
    <w:rsid w:val="6CDF4DF3"/>
    <w:rsid w:val="6CE122CE"/>
    <w:rsid w:val="6CF7668E"/>
    <w:rsid w:val="6D0524D7"/>
    <w:rsid w:val="6D107750"/>
    <w:rsid w:val="6D321474"/>
    <w:rsid w:val="6D3B2A1F"/>
    <w:rsid w:val="6D4A4A10"/>
    <w:rsid w:val="6D6D06FE"/>
    <w:rsid w:val="6D8A5754"/>
    <w:rsid w:val="6D9D5EAD"/>
    <w:rsid w:val="6DB06FF1"/>
    <w:rsid w:val="6DEA065E"/>
    <w:rsid w:val="6DF8036A"/>
    <w:rsid w:val="6DFB5D0A"/>
    <w:rsid w:val="6E8D6DF3"/>
    <w:rsid w:val="6EAE6B68"/>
    <w:rsid w:val="6EC16F54"/>
    <w:rsid w:val="6EC86534"/>
    <w:rsid w:val="6ECF6B20"/>
    <w:rsid w:val="6EFF1A27"/>
    <w:rsid w:val="6F1C779D"/>
    <w:rsid w:val="6F3E040D"/>
    <w:rsid w:val="6F771D08"/>
    <w:rsid w:val="6F7C390D"/>
    <w:rsid w:val="6F7E141F"/>
    <w:rsid w:val="6F94536C"/>
    <w:rsid w:val="6FC211D5"/>
    <w:rsid w:val="6FE365A4"/>
    <w:rsid w:val="6FF15617"/>
    <w:rsid w:val="6FF51DB7"/>
    <w:rsid w:val="7046457F"/>
    <w:rsid w:val="70AE175A"/>
    <w:rsid w:val="70BA3C5B"/>
    <w:rsid w:val="70BF3BA1"/>
    <w:rsid w:val="711C4915"/>
    <w:rsid w:val="71297032"/>
    <w:rsid w:val="71371296"/>
    <w:rsid w:val="714479C8"/>
    <w:rsid w:val="7157594D"/>
    <w:rsid w:val="715F4802"/>
    <w:rsid w:val="71763E02"/>
    <w:rsid w:val="7189187F"/>
    <w:rsid w:val="718F158B"/>
    <w:rsid w:val="71963B10"/>
    <w:rsid w:val="719D3E95"/>
    <w:rsid w:val="71BE3C1E"/>
    <w:rsid w:val="71CD3E62"/>
    <w:rsid w:val="71EC42E8"/>
    <w:rsid w:val="72121874"/>
    <w:rsid w:val="72225F5B"/>
    <w:rsid w:val="72270127"/>
    <w:rsid w:val="72273572"/>
    <w:rsid w:val="72294E1E"/>
    <w:rsid w:val="72655E48"/>
    <w:rsid w:val="7298446F"/>
    <w:rsid w:val="72A03324"/>
    <w:rsid w:val="72AB6D5F"/>
    <w:rsid w:val="72B2004F"/>
    <w:rsid w:val="72C60FDD"/>
    <w:rsid w:val="7309711B"/>
    <w:rsid w:val="732D4F74"/>
    <w:rsid w:val="73337CF4"/>
    <w:rsid w:val="733A72D5"/>
    <w:rsid w:val="734A6E8D"/>
    <w:rsid w:val="737A14CF"/>
    <w:rsid w:val="738911A2"/>
    <w:rsid w:val="73ED07EB"/>
    <w:rsid w:val="741E27B8"/>
    <w:rsid w:val="742C30C1"/>
    <w:rsid w:val="74471CA9"/>
    <w:rsid w:val="747D1765"/>
    <w:rsid w:val="74940C67"/>
    <w:rsid w:val="74B15375"/>
    <w:rsid w:val="74B75CE7"/>
    <w:rsid w:val="74C01C92"/>
    <w:rsid w:val="74C463D7"/>
    <w:rsid w:val="75114065"/>
    <w:rsid w:val="75324494"/>
    <w:rsid w:val="75461F61"/>
    <w:rsid w:val="75466405"/>
    <w:rsid w:val="754D5C67"/>
    <w:rsid w:val="755C3532"/>
    <w:rsid w:val="75982C83"/>
    <w:rsid w:val="759A405B"/>
    <w:rsid w:val="75B136A4"/>
    <w:rsid w:val="75DB213B"/>
    <w:rsid w:val="75E05445"/>
    <w:rsid w:val="75E8126A"/>
    <w:rsid w:val="761152BC"/>
    <w:rsid w:val="762B1026"/>
    <w:rsid w:val="762B73A9"/>
    <w:rsid w:val="76346CE5"/>
    <w:rsid w:val="76515061"/>
    <w:rsid w:val="765B7164"/>
    <w:rsid w:val="766034F6"/>
    <w:rsid w:val="766C1E9B"/>
    <w:rsid w:val="76893B88"/>
    <w:rsid w:val="77122E6F"/>
    <w:rsid w:val="7725204A"/>
    <w:rsid w:val="7735228D"/>
    <w:rsid w:val="77514BED"/>
    <w:rsid w:val="775F34D3"/>
    <w:rsid w:val="77626DFA"/>
    <w:rsid w:val="77846D70"/>
    <w:rsid w:val="77975BED"/>
    <w:rsid w:val="779C230C"/>
    <w:rsid w:val="77B05798"/>
    <w:rsid w:val="77BC475C"/>
    <w:rsid w:val="77BF249E"/>
    <w:rsid w:val="77C90C27"/>
    <w:rsid w:val="77CF26E1"/>
    <w:rsid w:val="77DC6BAC"/>
    <w:rsid w:val="77E963B5"/>
    <w:rsid w:val="781D72B5"/>
    <w:rsid w:val="78393FFF"/>
    <w:rsid w:val="78472EBC"/>
    <w:rsid w:val="78670B6C"/>
    <w:rsid w:val="788073E8"/>
    <w:rsid w:val="78F02670"/>
    <w:rsid w:val="79134850"/>
    <w:rsid w:val="791F31F5"/>
    <w:rsid w:val="79231CC3"/>
    <w:rsid w:val="792A1B99"/>
    <w:rsid w:val="793C6D8A"/>
    <w:rsid w:val="79407A62"/>
    <w:rsid w:val="794669D3"/>
    <w:rsid w:val="794B1A7D"/>
    <w:rsid w:val="794D2D86"/>
    <w:rsid w:val="7962698E"/>
    <w:rsid w:val="79974DFF"/>
    <w:rsid w:val="79A669E4"/>
    <w:rsid w:val="79BF322E"/>
    <w:rsid w:val="79C8388C"/>
    <w:rsid w:val="79CD6CC2"/>
    <w:rsid w:val="79D57D57"/>
    <w:rsid w:val="79F426E3"/>
    <w:rsid w:val="7A036672"/>
    <w:rsid w:val="7A1253F6"/>
    <w:rsid w:val="7A431165"/>
    <w:rsid w:val="7A642FEE"/>
    <w:rsid w:val="7A770E0E"/>
    <w:rsid w:val="7A9C0875"/>
    <w:rsid w:val="7AAC160F"/>
    <w:rsid w:val="7AD46261"/>
    <w:rsid w:val="7AD85D51"/>
    <w:rsid w:val="7AFE1296"/>
    <w:rsid w:val="7B022DCE"/>
    <w:rsid w:val="7B30793B"/>
    <w:rsid w:val="7B3D1CC7"/>
    <w:rsid w:val="7B46684D"/>
    <w:rsid w:val="7B4A207F"/>
    <w:rsid w:val="7B586F7C"/>
    <w:rsid w:val="7B593278"/>
    <w:rsid w:val="7B783090"/>
    <w:rsid w:val="7B7D06A6"/>
    <w:rsid w:val="7B901215"/>
    <w:rsid w:val="7B95779E"/>
    <w:rsid w:val="7BB302F8"/>
    <w:rsid w:val="7BC260F3"/>
    <w:rsid w:val="7BCC6F38"/>
    <w:rsid w:val="7BDF46BF"/>
    <w:rsid w:val="7BE67FFA"/>
    <w:rsid w:val="7BF22D26"/>
    <w:rsid w:val="7BFA5853"/>
    <w:rsid w:val="7C217284"/>
    <w:rsid w:val="7C2B1EB0"/>
    <w:rsid w:val="7C6929D9"/>
    <w:rsid w:val="7C704248"/>
    <w:rsid w:val="7C8B294F"/>
    <w:rsid w:val="7CA67C6C"/>
    <w:rsid w:val="7CDF2E79"/>
    <w:rsid w:val="7CE131F6"/>
    <w:rsid w:val="7CF56A18"/>
    <w:rsid w:val="7D127336"/>
    <w:rsid w:val="7D20753B"/>
    <w:rsid w:val="7D3354C1"/>
    <w:rsid w:val="7D344D95"/>
    <w:rsid w:val="7D5316BF"/>
    <w:rsid w:val="7D6A3EE0"/>
    <w:rsid w:val="7D6A6067"/>
    <w:rsid w:val="7D717D97"/>
    <w:rsid w:val="7D7358BD"/>
    <w:rsid w:val="7D7E4262"/>
    <w:rsid w:val="7DC425BD"/>
    <w:rsid w:val="7DE20400"/>
    <w:rsid w:val="7DE646F8"/>
    <w:rsid w:val="7DFD162B"/>
    <w:rsid w:val="7E1D3F2F"/>
    <w:rsid w:val="7E4F632A"/>
    <w:rsid w:val="7E745D91"/>
    <w:rsid w:val="7E7A49CB"/>
    <w:rsid w:val="7E915EB0"/>
    <w:rsid w:val="7E9A331D"/>
    <w:rsid w:val="7EAD3051"/>
    <w:rsid w:val="7ECD724F"/>
    <w:rsid w:val="7EEE3597"/>
    <w:rsid w:val="7F052E8D"/>
    <w:rsid w:val="7F0A3FFF"/>
    <w:rsid w:val="7F264469"/>
    <w:rsid w:val="7F403EC5"/>
    <w:rsid w:val="7F743B6E"/>
    <w:rsid w:val="7F842003"/>
    <w:rsid w:val="7F961D37"/>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64"/>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5"/>
    <w:qFormat/>
    <w:uiPriority w:val="0"/>
    <w:pPr>
      <w:keepNext/>
      <w:keepLines/>
      <w:spacing w:before="260" w:after="260" w:line="416" w:lineRule="auto"/>
      <w:outlineLvl w:val="2"/>
    </w:pPr>
    <w:rPr>
      <w:b/>
      <w:sz w:val="32"/>
    </w:rPr>
  </w:style>
  <w:style w:type="paragraph" w:styleId="6">
    <w:name w:val="heading 4"/>
    <w:basedOn w:val="1"/>
    <w:next w:val="5"/>
    <w:qFormat/>
    <w:uiPriority w:val="0"/>
    <w:pPr>
      <w:keepNext/>
      <w:spacing w:line="460" w:lineRule="exact"/>
      <w:jc w:val="both"/>
      <w:outlineLvl w:val="3"/>
    </w:pPr>
    <w:rPr>
      <w:rFonts w:ascii="宋体"/>
      <w:sz w:val="24"/>
    </w:rPr>
  </w:style>
  <w:style w:type="paragraph" w:styleId="7">
    <w:name w:val="heading 5"/>
    <w:basedOn w:val="1"/>
    <w:next w:val="5"/>
    <w:qFormat/>
    <w:uiPriority w:val="0"/>
    <w:pPr>
      <w:keepNext/>
      <w:keepLines/>
      <w:widowControl w:val="0"/>
      <w:spacing w:before="280" w:after="290" w:line="376" w:lineRule="auto"/>
      <w:jc w:val="both"/>
      <w:outlineLvl w:val="4"/>
    </w:pPr>
    <w:rPr>
      <w:b/>
      <w:kern w:val="2"/>
      <w:sz w:val="24"/>
    </w:rPr>
  </w:style>
  <w:style w:type="paragraph" w:styleId="8">
    <w:name w:val="heading 6"/>
    <w:basedOn w:val="1"/>
    <w:next w:val="5"/>
    <w:qFormat/>
    <w:uiPriority w:val="0"/>
    <w:pPr>
      <w:keepNext/>
      <w:keepLines/>
      <w:widowControl w:val="0"/>
      <w:tabs>
        <w:tab w:val="left" w:pos="360"/>
      </w:tabs>
      <w:spacing w:before="240" w:after="64" w:line="320" w:lineRule="auto"/>
      <w:ind w:left="360" w:hanging="360"/>
      <w:jc w:val="both"/>
      <w:outlineLvl w:val="5"/>
    </w:pPr>
    <w:rPr>
      <w:rFonts w:ascii="Arial" w:hAnsi="Arial" w:eastAsia="黑体"/>
      <w:b/>
      <w:kern w:val="2"/>
      <w:sz w:val="24"/>
    </w:rPr>
  </w:style>
  <w:style w:type="paragraph" w:styleId="9">
    <w:name w:val="heading 7"/>
    <w:basedOn w:val="1"/>
    <w:next w:val="5"/>
    <w:qFormat/>
    <w:uiPriority w:val="0"/>
    <w:pPr>
      <w:keepNext/>
      <w:keepLines/>
      <w:widowControl w:val="0"/>
      <w:tabs>
        <w:tab w:val="left" w:pos="360"/>
      </w:tabs>
      <w:spacing w:before="240" w:after="64" w:line="320" w:lineRule="auto"/>
      <w:ind w:left="360" w:hanging="360"/>
      <w:jc w:val="both"/>
      <w:outlineLvl w:val="6"/>
    </w:pPr>
    <w:rPr>
      <w:b/>
      <w:kern w:val="2"/>
      <w:sz w:val="24"/>
    </w:rPr>
  </w:style>
  <w:style w:type="paragraph" w:styleId="10">
    <w:name w:val="heading 8"/>
    <w:basedOn w:val="1"/>
    <w:next w:val="5"/>
    <w:qFormat/>
    <w:uiPriority w:val="0"/>
    <w:pPr>
      <w:keepNext/>
      <w:keepLines/>
      <w:widowControl w:val="0"/>
      <w:tabs>
        <w:tab w:val="left" w:pos="360"/>
      </w:tabs>
      <w:spacing w:before="240" w:after="64" w:line="320" w:lineRule="auto"/>
      <w:ind w:left="360" w:hanging="360"/>
      <w:jc w:val="both"/>
      <w:outlineLvl w:val="7"/>
    </w:pPr>
    <w:rPr>
      <w:rFonts w:ascii="Arial" w:hAnsi="Arial" w:eastAsia="黑体"/>
      <w:kern w:val="2"/>
      <w:sz w:val="24"/>
    </w:rPr>
  </w:style>
  <w:style w:type="paragraph" w:styleId="11">
    <w:name w:val="heading 9"/>
    <w:basedOn w:val="1"/>
    <w:next w:val="5"/>
    <w:qFormat/>
    <w:uiPriority w:val="0"/>
    <w:pPr>
      <w:keepNext/>
      <w:keepLines/>
      <w:widowControl w:val="0"/>
      <w:tabs>
        <w:tab w:val="left" w:pos="360"/>
      </w:tabs>
      <w:spacing w:before="240" w:after="64" w:line="320" w:lineRule="auto"/>
      <w:ind w:left="360" w:hanging="360"/>
      <w:jc w:val="both"/>
      <w:outlineLvl w:val="8"/>
    </w:pPr>
    <w:rPr>
      <w:rFonts w:ascii="Arial" w:hAnsi="Arial" w:eastAsia="黑体"/>
      <w:kern w:val="2"/>
      <w:sz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styleId="12">
    <w:name w:val="toc 7"/>
    <w:basedOn w:val="1"/>
    <w:next w:val="1"/>
    <w:qFormat/>
    <w:uiPriority w:val="0"/>
    <w:pPr>
      <w:ind w:left="1200"/>
    </w:pPr>
    <w:rPr>
      <w:rFonts w:ascii="Calibri" w:hAnsi="Calibri" w:cs="Calibri"/>
      <w:sz w:val="18"/>
      <w:szCs w:val="18"/>
    </w:rPr>
  </w:style>
  <w:style w:type="paragraph" w:styleId="13">
    <w:name w:val="Document Map"/>
    <w:basedOn w:val="1"/>
    <w:semiHidden/>
    <w:qFormat/>
    <w:uiPriority w:val="0"/>
    <w:pPr>
      <w:shd w:val="clear" w:color="auto" w:fill="000080"/>
    </w:pPr>
  </w:style>
  <w:style w:type="paragraph" w:styleId="14">
    <w:name w:val="annotation text"/>
    <w:basedOn w:val="1"/>
    <w:link w:val="139"/>
    <w:semiHidden/>
    <w:qFormat/>
    <w:uiPriority w:val="0"/>
  </w:style>
  <w:style w:type="paragraph" w:styleId="15">
    <w:name w:val="Body Text 3"/>
    <w:basedOn w:val="1"/>
    <w:qFormat/>
    <w:uiPriority w:val="0"/>
    <w:pPr>
      <w:spacing w:after="120"/>
    </w:pPr>
    <w:rPr>
      <w:sz w:val="16"/>
      <w:szCs w:val="16"/>
    </w:rPr>
  </w:style>
  <w:style w:type="paragraph" w:styleId="16">
    <w:name w:val="Body Text"/>
    <w:basedOn w:val="1"/>
    <w:next w:val="17"/>
    <w:link w:val="73"/>
    <w:qFormat/>
    <w:uiPriority w:val="0"/>
    <w:pPr>
      <w:spacing w:after="120"/>
    </w:pPr>
  </w:style>
  <w:style w:type="paragraph" w:customStyle="1" w:styleId="17">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18">
    <w:name w:val="Body Text Indent"/>
    <w:basedOn w:val="1"/>
    <w:next w:val="1"/>
    <w:qFormat/>
    <w:uiPriority w:val="0"/>
    <w:pPr>
      <w:spacing w:after="120"/>
      <w:ind w:left="420" w:leftChars="200"/>
    </w:pPr>
  </w:style>
  <w:style w:type="paragraph" w:styleId="19">
    <w:name w:val="List 2"/>
    <w:basedOn w:val="1"/>
    <w:qFormat/>
    <w:uiPriority w:val="0"/>
    <w:pPr>
      <w:widowControl w:val="0"/>
      <w:adjustRightInd w:val="0"/>
      <w:spacing w:line="360" w:lineRule="auto"/>
      <w:jc w:val="both"/>
      <w:textAlignment w:val="baseline"/>
    </w:pPr>
    <w:rPr>
      <w:sz w:val="24"/>
    </w:rPr>
  </w:style>
  <w:style w:type="paragraph" w:styleId="20">
    <w:name w:val="Block Text"/>
    <w:basedOn w:val="1"/>
    <w:next w:val="1"/>
    <w:qFormat/>
    <w:uiPriority w:val="0"/>
    <w:pPr>
      <w:widowControl w:val="0"/>
      <w:ind w:left="1155" w:right="40" w:rightChars="19"/>
      <w:jc w:val="both"/>
    </w:pPr>
    <w:rPr>
      <w:kern w:val="2"/>
      <w:sz w:val="21"/>
      <w:szCs w:val="24"/>
    </w:rPr>
  </w:style>
  <w:style w:type="paragraph" w:styleId="21">
    <w:name w:val="toc 5"/>
    <w:basedOn w:val="1"/>
    <w:next w:val="1"/>
    <w:qFormat/>
    <w:uiPriority w:val="0"/>
    <w:pPr>
      <w:ind w:left="800"/>
    </w:pPr>
    <w:rPr>
      <w:rFonts w:ascii="Calibri" w:hAnsi="Calibri" w:cs="Calibri"/>
      <w:sz w:val="18"/>
      <w:szCs w:val="18"/>
    </w:rPr>
  </w:style>
  <w:style w:type="paragraph" w:styleId="22">
    <w:name w:val="toc 3"/>
    <w:basedOn w:val="1"/>
    <w:next w:val="1"/>
    <w:semiHidden/>
    <w:qFormat/>
    <w:uiPriority w:val="0"/>
    <w:pPr>
      <w:ind w:left="400"/>
    </w:pPr>
    <w:rPr>
      <w:rFonts w:ascii="Calibri" w:hAnsi="Calibri" w:cs="Calibri"/>
      <w:i/>
      <w:iCs/>
    </w:rPr>
  </w:style>
  <w:style w:type="paragraph" w:styleId="23">
    <w:name w:val="Plain Text"/>
    <w:basedOn w:val="1"/>
    <w:next w:val="1"/>
    <w:link w:val="74"/>
    <w:qFormat/>
    <w:uiPriority w:val="0"/>
    <w:rPr>
      <w:rFonts w:ascii="宋体" w:hAnsi="Courier New" w:cs="Century"/>
      <w:sz w:val="21"/>
      <w:szCs w:val="21"/>
    </w:rPr>
  </w:style>
  <w:style w:type="paragraph" w:styleId="24">
    <w:name w:val="toc 8"/>
    <w:basedOn w:val="1"/>
    <w:next w:val="1"/>
    <w:qFormat/>
    <w:uiPriority w:val="0"/>
    <w:pPr>
      <w:ind w:left="1400"/>
    </w:pPr>
    <w:rPr>
      <w:rFonts w:ascii="Calibri" w:hAnsi="Calibri" w:cs="Calibri"/>
      <w:sz w:val="18"/>
      <w:szCs w:val="18"/>
    </w:rPr>
  </w:style>
  <w:style w:type="paragraph" w:styleId="25">
    <w:name w:val="Date"/>
    <w:basedOn w:val="1"/>
    <w:next w:val="1"/>
    <w:link w:val="71"/>
    <w:qFormat/>
    <w:uiPriority w:val="0"/>
    <w:pPr>
      <w:jc w:val="both"/>
    </w:pPr>
    <w:rPr>
      <w:rFonts w:ascii="宋体"/>
      <w:sz w:val="24"/>
    </w:rPr>
  </w:style>
  <w:style w:type="paragraph" w:styleId="26">
    <w:name w:val="Body Text Indent 2"/>
    <w:basedOn w:val="1"/>
    <w:link w:val="146"/>
    <w:qFormat/>
    <w:uiPriority w:val="0"/>
    <w:pPr>
      <w:spacing w:after="120" w:line="480" w:lineRule="auto"/>
      <w:ind w:left="420" w:leftChars="200"/>
    </w:pPr>
  </w:style>
  <w:style w:type="paragraph" w:styleId="27">
    <w:name w:val="Balloon Text"/>
    <w:basedOn w:val="1"/>
    <w:semiHidden/>
    <w:qFormat/>
    <w:uiPriority w:val="0"/>
    <w:rPr>
      <w:sz w:val="18"/>
      <w:szCs w:val="18"/>
    </w:rPr>
  </w:style>
  <w:style w:type="paragraph" w:styleId="28">
    <w:name w:val="footer"/>
    <w:basedOn w:val="1"/>
    <w:qFormat/>
    <w:uiPriority w:val="99"/>
    <w:pPr>
      <w:tabs>
        <w:tab w:val="center" w:pos="4153"/>
        <w:tab w:val="right" w:pos="8306"/>
      </w:tabs>
      <w:snapToGrid w:val="0"/>
    </w:pPr>
    <w:rPr>
      <w:sz w:val="18"/>
    </w:rPr>
  </w:style>
  <w:style w:type="paragraph" w:styleId="29">
    <w:name w:val="header"/>
    <w:basedOn w:val="1"/>
    <w:link w:val="82"/>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pPr>
      <w:spacing w:before="120" w:after="120"/>
    </w:pPr>
    <w:rPr>
      <w:rFonts w:ascii="Calibri" w:hAnsi="Calibri" w:cs="Calibri"/>
      <w:b/>
      <w:bCs/>
      <w:caps/>
    </w:rPr>
  </w:style>
  <w:style w:type="paragraph" w:styleId="31">
    <w:name w:val="toc 4"/>
    <w:basedOn w:val="1"/>
    <w:next w:val="1"/>
    <w:qFormat/>
    <w:uiPriority w:val="0"/>
    <w:pPr>
      <w:ind w:left="600"/>
    </w:pPr>
    <w:rPr>
      <w:rFonts w:ascii="Calibri" w:hAnsi="Calibri" w:cs="Calibri"/>
      <w:sz w:val="18"/>
      <w:szCs w:val="18"/>
    </w:rPr>
  </w:style>
  <w:style w:type="paragraph" w:styleId="32">
    <w:name w:val="List"/>
    <w:basedOn w:val="1"/>
    <w:qFormat/>
    <w:uiPriority w:val="0"/>
    <w:pPr>
      <w:widowControl w:val="0"/>
      <w:adjustRightInd w:val="0"/>
      <w:spacing w:line="360" w:lineRule="auto"/>
      <w:jc w:val="both"/>
      <w:textAlignment w:val="baseline"/>
    </w:pPr>
    <w:rPr>
      <w:sz w:val="24"/>
    </w:rPr>
  </w:style>
  <w:style w:type="paragraph" w:styleId="33">
    <w:name w:val="toc 6"/>
    <w:basedOn w:val="1"/>
    <w:next w:val="1"/>
    <w:qFormat/>
    <w:uiPriority w:val="0"/>
    <w:pPr>
      <w:ind w:left="1000"/>
    </w:pPr>
    <w:rPr>
      <w:rFonts w:ascii="Calibri" w:hAnsi="Calibri" w:cs="Calibri"/>
      <w:sz w:val="18"/>
      <w:szCs w:val="18"/>
    </w:rPr>
  </w:style>
  <w:style w:type="paragraph" w:styleId="34">
    <w:name w:val="Body Text Indent 3"/>
    <w:basedOn w:val="1"/>
    <w:qFormat/>
    <w:uiPriority w:val="0"/>
    <w:pPr>
      <w:spacing w:after="120"/>
      <w:ind w:left="420" w:leftChars="200"/>
    </w:pPr>
    <w:rPr>
      <w:sz w:val="16"/>
      <w:szCs w:val="16"/>
    </w:rPr>
  </w:style>
  <w:style w:type="paragraph" w:styleId="35">
    <w:name w:val="toc 2"/>
    <w:basedOn w:val="1"/>
    <w:next w:val="1"/>
    <w:qFormat/>
    <w:uiPriority w:val="39"/>
    <w:pPr>
      <w:ind w:left="200"/>
    </w:pPr>
    <w:rPr>
      <w:rFonts w:ascii="Calibri" w:hAnsi="Calibri" w:cs="Calibri"/>
      <w:smallCaps/>
    </w:rPr>
  </w:style>
  <w:style w:type="paragraph" w:styleId="36">
    <w:name w:val="toc 9"/>
    <w:basedOn w:val="1"/>
    <w:next w:val="1"/>
    <w:qFormat/>
    <w:uiPriority w:val="0"/>
    <w:pPr>
      <w:ind w:left="1600"/>
    </w:pPr>
    <w:rPr>
      <w:rFonts w:ascii="Calibri" w:hAnsi="Calibri" w:cs="Calibri"/>
      <w:sz w:val="18"/>
      <w:szCs w:val="18"/>
    </w:rPr>
  </w:style>
  <w:style w:type="paragraph" w:styleId="37">
    <w:name w:val="Body Text 2"/>
    <w:basedOn w:val="1"/>
    <w:qFormat/>
    <w:uiPriority w:val="0"/>
    <w:pPr>
      <w:spacing w:after="120" w:line="480" w:lineRule="auto"/>
    </w:pPr>
  </w:style>
  <w:style w:type="paragraph" w:styleId="38">
    <w:name w:val="Message Header"/>
    <w:basedOn w:val="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left" w:pos="738"/>
      </w:tabs>
      <w:ind w:left="1080" w:leftChars="500" w:hanging="1080" w:hangingChars="500"/>
      <w:jc w:val="both"/>
    </w:pPr>
    <w:rPr>
      <w:rFonts w:ascii="Arial" w:hAnsi="Arial" w:cs="Arial"/>
      <w:kern w:val="2"/>
      <w:sz w:val="24"/>
      <w:szCs w:val="24"/>
    </w:rPr>
  </w:style>
  <w:style w:type="paragraph" w:styleId="39">
    <w:name w:val="Normal (Web)"/>
    <w:basedOn w:val="1"/>
    <w:qFormat/>
    <w:uiPriority w:val="0"/>
    <w:rPr>
      <w:sz w:val="24"/>
      <w:szCs w:val="24"/>
    </w:rPr>
  </w:style>
  <w:style w:type="paragraph" w:styleId="40">
    <w:name w:val="index 1"/>
    <w:basedOn w:val="1"/>
    <w:next w:val="1"/>
    <w:semiHidden/>
    <w:qFormat/>
    <w:uiPriority w:val="0"/>
  </w:style>
  <w:style w:type="paragraph" w:styleId="41">
    <w:name w:val="Title"/>
    <w:basedOn w:val="1"/>
    <w:link w:val="145"/>
    <w:qFormat/>
    <w:uiPriority w:val="0"/>
    <w:pPr>
      <w:widowControl w:val="0"/>
      <w:tabs>
        <w:tab w:val="left" w:pos="738"/>
      </w:tabs>
      <w:spacing w:before="240" w:after="60"/>
      <w:ind w:left="738" w:hanging="454"/>
      <w:jc w:val="center"/>
      <w:outlineLvl w:val="0"/>
    </w:pPr>
    <w:rPr>
      <w:rFonts w:ascii="Arial" w:hAnsi="Arial" w:cs="Arial"/>
      <w:b/>
      <w:bCs/>
      <w:kern w:val="2"/>
      <w:sz w:val="32"/>
      <w:szCs w:val="32"/>
    </w:rPr>
  </w:style>
  <w:style w:type="paragraph" w:styleId="42">
    <w:name w:val="annotation subject"/>
    <w:basedOn w:val="14"/>
    <w:next w:val="14"/>
    <w:link w:val="140"/>
    <w:semiHidden/>
    <w:unhideWhenUsed/>
    <w:qFormat/>
    <w:uiPriority w:val="0"/>
    <w:rPr>
      <w:b/>
      <w:bCs/>
    </w:rPr>
  </w:style>
  <w:style w:type="paragraph" w:styleId="43">
    <w:name w:val="Body Text First Indent"/>
    <w:basedOn w:val="16"/>
    <w:qFormat/>
    <w:uiPriority w:val="0"/>
    <w:pPr>
      <w:widowControl w:val="0"/>
      <w:adjustRightInd w:val="0"/>
      <w:spacing w:after="0" w:line="312" w:lineRule="auto"/>
      <w:ind w:firstLine="567"/>
      <w:jc w:val="both"/>
      <w:textAlignment w:val="baseline"/>
    </w:pPr>
    <w:rPr>
      <w:sz w:val="28"/>
    </w:rPr>
  </w:style>
  <w:style w:type="paragraph" w:styleId="44">
    <w:name w:val="Body Text First Indent 2"/>
    <w:basedOn w:val="16"/>
    <w:next w:val="1"/>
    <w:qFormat/>
    <w:uiPriority w:val="0"/>
    <w:pPr>
      <w:tabs>
        <w:tab w:val="left" w:pos="360"/>
      </w:tabs>
      <w:ind w:firstLine="420"/>
    </w:pPr>
    <w:rPr>
      <w:rFonts w:ascii="仿宋_GB2312" w:eastAsia="仿宋_GB2312"/>
      <w:sz w:val="24"/>
    </w:r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basedOn w:val="47"/>
    <w:qFormat/>
    <w:uiPriority w:val="99"/>
    <w:rPr>
      <w:color w:val="800080"/>
      <w:u w:val="none"/>
    </w:rPr>
  </w:style>
  <w:style w:type="character" w:styleId="51">
    <w:name w:val="Emphasis"/>
    <w:basedOn w:val="47"/>
    <w:qFormat/>
    <w:uiPriority w:val="0"/>
  </w:style>
  <w:style w:type="character" w:styleId="52">
    <w:name w:val="line number"/>
    <w:basedOn w:val="47"/>
    <w:qFormat/>
    <w:uiPriority w:val="0"/>
  </w:style>
  <w:style w:type="character" w:styleId="53">
    <w:name w:val="HTML Definition"/>
    <w:basedOn w:val="47"/>
    <w:semiHidden/>
    <w:unhideWhenUsed/>
    <w:qFormat/>
    <w:uiPriority w:val="0"/>
  </w:style>
  <w:style w:type="character" w:styleId="54">
    <w:name w:val="HTML Typewriter"/>
    <w:basedOn w:val="47"/>
    <w:semiHidden/>
    <w:unhideWhenUsed/>
    <w:qFormat/>
    <w:uiPriority w:val="0"/>
    <w:rPr>
      <w:rFonts w:hint="default" w:ascii="monospace" w:hAnsi="monospace" w:eastAsia="monospace" w:cs="monospace"/>
      <w:sz w:val="20"/>
    </w:rPr>
  </w:style>
  <w:style w:type="character" w:styleId="55">
    <w:name w:val="HTML Acronym"/>
    <w:basedOn w:val="47"/>
    <w:semiHidden/>
    <w:unhideWhenUsed/>
    <w:qFormat/>
    <w:uiPriority w:val="0"/>
  </w:style>
  <w:style w:type="character" w:styleId="56">
    <w:name w:val="HTML Variable"/>
    <w:basedOn w:val="47"/>
    <w:semiHidden/>
    <w:unhideWhenUsed/>
    <w:qFormat/>
    <w:uiPriority w:val="0"/>
  </w:style>
  <w:style w:type="character" w:styleId="57">
    <w:name w:val="Hyperlink"/>
    <w:basedOn w:val="47"/>
    <w:qFormat/>
    <w:uiPriority w:val="99"/>
    <w:rPr>
      <w:color w:val="0000FF"/>
      <w:u w:val="none"/>
    </w:rPr>
  </w:style>
  <w:style w:type="character" w:styleId="58">
    <w:name w:val="HTML Code"/>
    <w:basedOn w:val="47"/>
    <w:semiHidden/>
    <w:unhideWhenUsed/>
    <w:qFormat/>
    <w:uiPriority w:val="0"/>
    <w:rPr>
      <w:rFonts w:hint="default" w:ascii="monospace" w:hAnsi="monospace" w:eastAsia="monospace" w:cs="monospace"/>
      <w:sz w:val="20"/>
    </w:rPr>
  </w:style>
  <w:style w:type="character" w:styleId="59">
    <w:name w:val="annotation reference"/>
    <w:basedOn w:val="47"/>
    <w:semiHidden/>
    <w:unhideWhenUsed/>
    <w:qFormat/>
    <w:uiPriority w:val="0"/>
    <w:rPr>
      <w:sz w:val="21"/>
      <w:szCs w:val="21"/>
    </w:rPr>
  </w:style>
  <w:style w:type="character" w:styleId="60">
    <w:name w:val="HTML Cite"/>
    <w:basedOn w:val="47"/>
    <w:semiHidden/>
    <w:unhideWhenUsed/>
    <w:qFormat/>
    <w:uiPriority w:val="0"/>
  </w:style>
  <w:style w:type="character" w:styleId="61">
    <w:name w:val="HTML Keyboard"/>
    <w:basedOn w:val="47"/>
    <w:semiHidden/>
    <w:unhideWhenUsed/>
    <w:qFormat/>
    <w:uiPriority w:val="0"/>
    <w:rPr>
      <w:rFonts w:ascii="monospace" w:hAnsi="monospace" w:eastAsia="monospace" w:cs="monospace"/>
      <w:sz w:val="20"/>
    </w:rPr>
  </w:style>
  <w:style w:type="character" w:styleId="62">
    <w:name w:val="HTML Sample"/>
    <w:basedOn w:val="47"/>
    <w:semiHidden/>
    <w:unhideWhenUsed/>
    <w:qFormat/>
    <w:uiPriority w:val="0"/>
    <w:rPr>
      <w:rFonts w:hint="default" w:ascii="monospace" w:hAnsi="monospace" w:eastAsia="monospace" w:cs="monospace"/>
    </w:rPr>
  </w:style>
  <w:style w:type="paragraph" w:customStyle="1" w:styleId="63">
    <w:name w:val="首行缩进"/>
    <w:basedOn w:val="1"/>
    <w:qFormat/>
    <w:uiPriority w:val="0"/>
    <w:pPr>
      <w:tabs>
        <w:tab w:val="left" w:pos="540"/>
      </w:tabs>
      <w:spacing w:line="360" w:lineRule="auto"/>
    </w:pPr>
    <w:rPr>
      <w:rFonts w:eastAsia="仿宋_GB2312"/>
    </w:rPr>
  </w:style>
  <w:style w:type="character" w:customStyle="1" w:styleId="64">
    <w:name w:val="标题 1 Char"/>
    <w:basedOn w:val="47"/>
    <w:link w:val="2"/>
    <w:qFormat/>
    <w:uiPriority w:val="0"/>
    <w:rPr>
      <w:b/>
      <w:kern w:val="44"/>
      <w:sz w:val="44"/>
    </w:rPr>
  </w:style>
  <w:style w:type="character" w:customStyle="1" w:styleId="65">
    <w:name w:val="普通文字 Char Char"/>
    <w:qFormat/>
    <w:uiPriority w:val="0"/>
    <w:rPr>
      <w:rFonts w:ascii="宋体" w:hAnsi="Courier New" w:eastAsia="宋体" w:cs="Century"/>
      <w:sz w:val="21"/>
      <w:szCs w:val="21"/>
      <w:lang w:val="en-US" w:eastAsia="zh-CN" w:bidi="ar-SA"/>
    </w:rPr>
  </w:style>
  <w:style w:type="character" w:customStyle="1" w:styleId="66">
    <w:name w:val="font11"/>
    <w:basedOn w:val="47"/>
    <w:qFormat/>
    <w:uiPriority w:val="0"/>
    <w:rPr>
      <w:rFonts w:hint="eastAsia" w:ascii="宋体" w:hAnsi="宋体" w:eastAsia="宋体" w:cs="宋体"/>
      <w:color w:val="000000"/>
      <w:sz w:val="22"/>
      <w:szCs w:val="22"/>
      <w:u w:val="none"/>
    </w:rPr>
  </w:style>
  <w:style w:type="character" w:customStyle="1" w:styleId="67">
    <w:name w:val="正文文本 Char"/>
    <w:qFormat/>
    <w:uiPriority w:val="0"/>
    <w:rPr>
      <w:rFonts w:eastAsia="宋体"/>
      <w:lang w:val="en-US" w:eastAsia="zh-CN" w:bidi="ar-SA"/>
    </w:rPr>
  </w:style>
  <w:style w:type="character" w:customStyle="1" w:styleId="68">
    <w:name w:val="引用 Char"/>
    <w:basedOn w:val="47"/>
    <w:link w:val="69"/>
    <w:qFormat/>
    <w:uiPriority w:val="29"/>
    <w:rPr>
      <w:i/>
      <w:iCs/>
      <w:color w:val="000000"/>
    </w:rPr>
  </w:style>
  <w:style w:type="paragraph" w:styleId="69">
    <w:name w:val="Quote"/>
    <w:basedOn w:val="1"/>
    <w:next w:val="1"/>
    <w:link w:val="68"/>
    <w:qFormat/>
    <w:uiPriority w:val="29"/>
    <w:rPr>
      <w:i/>
      <w:iCs/>
      <w:color w:val="000000"/>
    </w:rPr>
  </w:style>
  <w:style w:type="character" w:customStyle="1" w:styleId="70">
    <w:name w:val="text"/>
    <w:basedOn w:val="47"/>
    <w:qFormat/>
    <w:uiPriority w:val="0"/>
  </w:style>
  <w:style w:type="character" w:customStyle="1" w:styleId="71">
    <w:name w:val="日期 Char"/>
    <w:basedOn w:val="47"/>
    <w:link w:val="25"/>
    <w:qFormat/>
    <w:uiPriority w:val="0"/>
    <w:rPr>
      <w:rFonts w:ascii="宋体"/>
      <w:sz w:val="24"/>
    </w:rPr>
  </w:style>
  <w:style w:type="character" w:customStyle="1" w:styleId="72">
    <w:name w:val="titlestyle10831"/>
    <w:basedOn w:val="47"/>
    <w:qFormat/>
    <w:uiPriority w:val="0"/>
    <w:rPr>
      <w:rFonts w:hint="eastAsia" w:ascii="黑体" w:hAnsi="黑体" w:eastAsia="黑体"/>
      <w:b/>
      <w:bCs/>
      <w:sz w:val="36"/>
      <w:szCs w:val="36"/>
    </w:rPr>
  </w:style>
  <w:style w:type="character" w:customStyle="1" w:styleId="73">
    <w:name w:val="正文文本 Char1"/>
    <w:basedOn w:val="47"/>
    <w:link w:val="16"/>
    <w:qFormat/>
    <w:uiPriority w:val="0"/>
    <w:rPr>
      <w:rFonts w:eastAsia="宋体"/>
      <w:lang w:val="en-US" w:eastAsia="zh-CN" w:bidi="ar-SA"/>
    </w:rPr>
  </w:style>
  <w:style w:type="character" w:customStyle="1" w:styleId="74">
    <w:name w:val="纯文本 Char"/>
    <w:basedOn w:val="47"/>
    <w:link w:val="23"/>
    <w:qFormat/>
    <w:uiPriority w:val="0"/>
    <w:rPr>
      <w:rFonts w:ascii="宋体" w:hAnsi="Courier New" w:eastAsia="宋体" w:cs="Century"/>
      <w:sz w:val="21"/>
      <w:szCs w:val="21"/>
      <w:lang w:val="en-US" w:eastAsia="zh-CN" w:bidi="ar-SA"/>
    </w:rPr>
  </w:style>
  <w:style w:type="character" w:customStyle="1" w:styleId="75">
    <w:name w:val="apple-tab-span"/>
    <w:basedOn w:val="47"/>
    <w:qFormat/>
    <w:uiPriority w:val="0"/>
  </w:style>
  <w:style w:type="character" w:customStyle="1" w:styleId="76">
    <w:name w:val="Char Char Char"/>
    <w:basedOn w:val="47"/>
    <w:qFormat/>
    <w:uiPriority w:val="0"/>
    <w:rPr>
      <w:rFonts w:ascii="宋体" w:hAnsi="Courier New" w:eastAsia="宋体"/>
      <w:kern w:val="2"/>
      <w:sz w:val="24"/>
      <w:lang w:val="en-US" w:eastAsia="zh-CN" w:bidi="ar-SA"/>
    </w:rPr>
  </w:style>
  <w:style w:type="character" w:customStyle="1" w:styleId="77">
    <w:name w:val="para"/>
    <w:basedOn w:val="47"/>
    <w:qFormat/>
    <w:uiPriority w:val="0"/>
  </w:style>
  <w:style w:type="character" w:customStyle="1" w:styleId="78">
    <w:name w:val="main14"/>
    <w:basedOn w:val="47"/>
    <w:qFormat/>
    <w:uiPriority w:val="0"/>
  </w:style>
  <w:style w:type="character" w:customStyle="1" w:styleId="79">
    <w:name w:val="title_emph"/>
    <w:basedOn w:val="47"/>
    <w:qFormat/>
    <w:uiPriority w:val="0"/>
  </w:style>
  <w:style w:type="character" w:customStyle="1" w:styleId="80">
    <w:name w:val="font01"/>
    <w:basedOn w:val="47"/>
    <w:qFormat/>
    <w:uiPriority w:val="0"/>
    <w:rPr>
      <w:rFonts w:hint="eastAsia" w:ascii="宋体" w:hAnsi="宋体" w:eastAsia="宋体" w:cs="宋体"/>
      <w:color w:val="000000"/>
      <w:sz w:val="22"/>
      <w:szCs w:val="22"/>
      <w:u w:val="none"/>
    </w:rPr>
  </w:style>
  <w:style w:type="paragraph" w:customStyle="1" w:styleId="81">
    <w:name w:val="È±Ê¡ÎÄ±¾"/>
    <w:basedOn w:val="1"/>
    <w:qFormat/>
    <w:uiPriority w:val="0"/>
    <w:pPr>
      <w:overflowPunct w:val="0"/>
      <w:autoSpaceDE w:val="0"/>
      <w:autoSpaceDN w:val="0"/>
      <w:adjustRightInd w:val="0"/>
      <w:textAlignment w:val="baseline"/>
    </w:pPr>
    <w:rPr>
      <w:sz w:val="24"/>
    </w:rPr>
  </w:style>
  <w:style w:type="character" w:customStyle="1" w:styleId="82">
    <w:name w:val="页眉 Char"/>
    <w:basedOn w:val="47"/>
    <w:link w:val="29"/>
    <w:qFormat/>
    <w:uiPriority w:val="99"/>
    <w:rPr>
      <w:sz w:val="18"/>
    </w:rPr>
  </w:style>
  <w:style w:type="paragraph" w:customStyle="1" w:styleId="83">
    <w:name w:val="Char Char Char Char"/>
    <w:basedOn w:val="1"/>
    <w:qFormat/>
    <w:uiPriority w:val="0"/>
    <w:pPr>
      <w:widowControl w:val="0"/>
      <w:jc w:val="both"/>
    </w:pPr>
    <w:rPr>
      <w:rFonts w:ascii="Tahoma" w:hAnsi="Tahoma"/>
      <w:kern w:val="2"/>
      <w:sz w:val="24"/>
    </w:rPr>
  </w:style>
  <w:style w:type="paragraph" w:customStyle="1" w:styleId="84">
    <w:name w:val="1"/>
    <w:basedOn w:val="1"/>
    <w:next w:val="39"/>
    <w:qFormat/>
    <w:uiPriority w:val="0"/>
    <w:pPr>
      <w:spacing w:before="100" w:beforeAutospacing="1" w:after="100" w:afterAutospacing="1"/>
    </w:pPr>
    <w:rPr>
      <w:rFonts w:ascii="宋体" w:hAnsi="宋体" w:cs="黑体"/>
      <w:sz w:val="24"/>
      <w:szCs w:val="24"/>
    </w:rPr>
  </w:style>
  <w:style w:type="paragraph" w:customStyle="1" w:styleId="85">
    <w:name w:val="正文文本缩进1"/>
    <w:basedOn w:val="1"/>
    <w:qFormat/>
    <w:uiPriority w:val="0"/>
    <w:pPr>
      <w:widowControl w:val="0"/>
      <w:ind w:firstLine="560" w:firstLineChars="200"/>
      <w:jc w:val="both"/>
    </w:pPr>
    <w:rPr>
      <w:kern w:val="2"/>
      <w:sz w:val="28"/>
      <w:szCs w:val="28"/>
    </w:rPr>
  </w:style>
  <w:style w:type="paragraph" w:customStyle="1" w:styleId="86">
    <w:name w:val="IBM 正文"/>
    <w:basedOn w:val="1"/>
    <w:qFormat/>
    <w:uiPriority w:val="0"/>
    <w:pPr>
      <w:widowControl w:val="0"/>
      <w:spacing w:line="400" w:lineRule="exact"/>
      <w:jc w:val="both"/>
    </w:pPr>
    <w:rPr>
      <w:spacing w:val="20"/>
      <w:kern w:val="2"/>
      <w:sz w:val="24"/>
    </w:rPr>
  </w:style>
  <w:style w:type="paragraph" w:customStyle="1" w:styleId="87">
    <w:name w:val="Char"/>
    <w:basedOn w:val="1"/>
    <w:qFormat/>
    <w:uiPriority w:val="0"/>
    <w:pPr>
      <w:spacing w:after="160" w:line="240" w:lineRule="exact"/>
    </w:pPr>
    <w:rPr>
      <w:rFonts w:ascii="宋体" w:hAnsi="宋体"/>
      <w:lang w:eastAsia="en-US"/>
    </w:rPr>
  </w:style>
  <w:style w:type="paragraph" w:customStyle="1" w:styleId="88">
    <w:name w:val="样式2"/>
    <w:basedOn w:val="1"/>
    <w:qFormat/>
    <w:uiPriority w:val="0"/>
    <w:pPr>
      <w:widowControl w:val="0"/>
      <w:jc w:val="both"/>
    </w:pPr>
    <w:rPr>
      <w:rFonts w:ascii="仿宋_GB2312" w:eastAsia="仿宋_GB2312"/>
      <w:kern w:val="2"/>
      <w:sz w:val="32"/>
    </w:rPr>
  </w:style>
  <w:style w:type="paragraph" w:customStyle="1" w:styleId="89">
    <w:name w:val="Blockquote"/>
    <w:basedOn w:val="1"/>
    <w:qFormat/>
    <w:uiPriority w:val="0"/>
    <w:pPr>
      <w:widowControl w:val="0"/>
      <w:autoSpaceDE w:val="0"/>
      <w:autoSpaceDN w:val="0"/>
      <w:adjustRightInd w:val="0"/>
      <w:spacing w:before="100" w:after="100"/>
      <w:ind w:left="360" w:right="360"/>
    </w:pPr>
    <w:rPr>
      <w:sz w:val="24"/>
      <w:szCs w:val="24"/>
    </w:rPr>
  </w:style>
  <w:style w:type="paragraph" w:customStyle="1" w:styleId="90">
    <w:name w:val="Char Char Char1 Char"/>
    <w:basedOn w:val="1"/>
    <w:qFormat/>
    <w:uiPriority w:val="0"/>
    <w:pPr>
      <w:widowControl w:val="0"/>
      <w:jc w:val="both"/>
    </w:pPr>
    <w:rPr>
      <w:rFonts w:ascii="Tahoma" w:hAnsi="Tahoma"/>
      <w:kern w:val="2"/>
      <w:sz w:val="24"/>
    </w:rPr>
  </w:style>
  <w:style w:type="paragraph" w:customStyle="1" w:styleId="91">
    <w:name w:val="缺省文本:1"/>
    <w:basedOn w:val="1"/>
    <w:qFormat/>
    <w:uiPriority w:val="0"/>
    <w:pPr>
      <w:widowControl w:val="0"/>
      <w:autoSpaceDE w:val="0"/>
      <w:autoSpaceDN w:val="0"/>
      <w:adjustRightInd w:val="0"/>
    </w:pPr>
    <w:rPr>
      <w:sz w:val="24"/>
      <w:szCs w:val="24"/>
    </w:rPr>
  </w:style>
  <w:style w:type="paragraph" w:customStyle="1" w:styleId="92">
    <w:name w:val="标题1.9"/>
    <w:basedOn w:val="1"/>
    <w:qFormat/>
    <w:uiPriority w:val="0"/>
    <w:pPr>
      <w:widowControl w:val="0"/>
      <w:autoSpaceDE w:val="0"/>
      <w:autoSpaceDN w:val="0"/>
      <w:adjustRightInd w:val="0"/>
      <w:jc w:val="center"/>
    </w:pPr>
    <w:rPr>
      <w:rFonts w:ascii="黑体" w:eastAsia="黑体"/>
      <w:sz w:val="24"/>
      <w:szCs w:val="24"/>
    </w:rPr>
  </w:style>
  <w:style w:type="paragraph" w:customStyle="1" w:styleId="93">
    <w:name w:val="默认段落字体 Para Char Char Char Char Char Char Char Char Char1 Char Char Char Char"/>
    <w:basedOn w:val="1"/>
    <w:qFormat/>
    <w:uiPriority w:val="0"/>
    <w:pPr>
      <w:widowControl w:val="0"/>
      <w:adjustRightInd w:val="0"/>
      <w:spacing w:line="312" w:lineRule="atLeast"/>
      <w:jc w:val="both"/>
      <w:textAlignment w:val="baseline"/>
    </w:pPr>
    <w:rPr>
      <w:b/>
      <w:bCs/>
      <w:sz w:val="36"/>
      <w:szCs w:val="32"/>
    </w:rPr>
  </w:style>
  <w:style w:type="paragraph" w:styleId="94">
    <w:name w:val="List Paragraph"/>
    <w:basedOn w:val="1"/>
    <w:link w:val="138"/>
    <w:qFormat/>
    <w:uiPriority w:val="34"/>
    <w:pPr>
      <w:widowControl w:val="0"/>
      <w:spacing w:line="360" w:lineRule="auto"/>
      <w:ind w:left="720" w:firstLine="420" w:firstLineChars="200"/>
      <w:jc w:val="both"/>
    </w:pPr>
    <w:rPr>
      <w:rFonts w:ascii="Calibri" w:hAnsi="Calibri"/>
      <w:kern w:val="2"/>
      <w:sz w:val="21"/>
      <w:szCs w:val="22"/>
    </w:rPr>
  </w:style>
  <w:style w:type="paragraph" w:customStyle="1" w:styleId="95">
    <w:name w:val="正文文本缩进 21"/>
    <w:basedOn w:val="1"/>
    <w:qFormat/>
    <w:uiPriority w:val="0"/>
    <w:pPr>
      <w:widowControl w:val="0"/>
      <w:adjustRightInd w:val="0"/>
      <w:spacing w:line="360" w:lineRule="atLeast"/>
      <w:ind w:firstLine="600"/>
      <w:jc w:val="both"/>
      <w:textAlignment w:val="baseline"/>
    </w:pPr>
    <w:rPr>
      <w:sz w:val="32"/>
    </w:rPr>
  </w:style>
  <w:style w:type="paragraph" w:customStyle="1" w:styleId="96">
    <w:name w:val="标题 4.1"/>
    <w:basedOn w:val="1"/>
    <w:qFormat/>
    <w:uiPriority w:val="0"/>
    <w:pPr>
      <w:keepNext/>
      <w:keepLines/>
      <w:widowControl w:val="0"/>
      <w:spacing w:before="280" w:after="290" w:line="376" w:lineRule="auto"/>
      <w:jc w:val="both"/>
      <w:outlineLvl w:val="3"/>
    </w:pPr>
    <w:rPr>
      <w:rFonts w:ascii="Arial" w:hAnsi="Arial" w:eastAsia="黑体"/>
      <w:b/>
      <w:bCs/>
      <w:kern w:val="2"/>
      <w:sz w:val="28"/>
      <w:szCs w:val="28"/>
    </w:rPr>
  </w:style>
  <w:style w:type="paragraph" w:customStyle="1" w:styleId="9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98">
    <w:name w:val="reader-word-layer reader-word-s16-2"/>
    <w:basedOn w:val="1"/>
    <w:qFormat/>
    <w:uiPriority w:val="0"/>
    <w:pPr>
      <w:spacing w:before="100" w:beforeAutospacing="1" w:after="100" w:afterAutospacing="1"/>
    </w:pPr>
    <w:rPr>
      <w:rFonts w:ascii="宋体" w:hAnsi="宋体" w:cs="宋体"/>
      <w:sz w:val="24"/>
      <w:szCs w:val="24"/>
    </w:rPr>
  </w:style>
  <w:style w:type="paragraph" w:customStyle="1" w:styleId="99">
    <w:name w:val="标题5"/>
    <w:basedOn w:val="1"/>
    <w:qFormat/>
    <w:uiPriority w:val="0"/>
    <w:pPr>
      <w:widowControl w:val="0"/>
      <w:tabs>
        <w:tab w:val="left" w:pos="7035"/>
      </w:tabs>
      <w:jc w:val="both"/>
    </w:pPr>
    <w:rPr>
      <w:rFonts w:ascii="宋体" w:hAnsi="宋体"/>
      <w:b/>
      <w:color w:val="000000"/>
      <w:kern w:val="2"/>
      <w:sz w:val="24"/>
      <w:szCs w:val="24"/>
    </w:rPr>
  </w:style>
  <w:style w:type="paragraph" w:customStyle="1" w:styleId="100">
    <w:name w:val="正文文本 21"/>
    <w:basedOn w:val="1"/>
    <w:qFormat/>
    <w:uiPriority w:val="0"/>
    <w:pPr>
      <w:widowControl w:val="0"/>
      <w:adjustRightInd w:val="0"/>
      <w:spacing w:line="360" w:lineRule="atLeast"/>
      <w:ind w:firstLine="720"/>
      <w:jc w:val="both"/>
      <w:textAlignment w:val="baseline"/>
    </w:pPr>
    <w:rPr>
      <w:sz w:val="32"/>
      <w:szCs w:val="24"/>
    </w:rPr>
  </w:style>
  <w:style w:type="paragraph" w:customStyle="1" w:styleId="101">
    <w:name w:val="reader-word-layer reader-word-s16-14"/>
    <w:basedOn w:val="1"/>
    <w:qFormat/>
    <w:uiPriority w:val="0"/>
    <w:pPr>
      <w:spacing w:before="100" w:beforeAutospacing="1" w:after="100" w:afterAutospacing="1"/>
    </w:pPr>
    <w:rPr>
      <w:rFonts w:ascii="宋体" w:hAnsi="宋体" w:cs="宋体"/>
      <w:sz w:val="24"/>
      <w:szCs w:val="24"/>
    </w:rPr>
  </w:style>
  <w:style w:type="paragraph" w:customStyle="1" w:styleId="102">
    <w:name w:val="xl2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103">
    <w:name w:val="reader-word-layer reader-word-s16-16"/>
    <w:basedOn w:val="1"/>
    <w:qFormat/>
    <w:uiPriority w:val="0"/>
    <w:pPr>
      <w:spacing w:before="100" w:beforeAutospacing="1" w:after="100" w:afterAutospacing="1"/>
    </w:pPr>
    <w:rPr>
      <w:rFonts w:ascii="宋体" w:hAnsi="宋体" w:cs="宋体"/>
      <w:sz w:val="24"/>
      <w:szCs w:val="24"/>
    </w:rPr>
  </w:style>
  <w:style w:type="paragraph" w:customStyle="1" w:styleId="104">
    <w:name w:val="o"/>
    <w:basedOn w:val="1"/>
    <w:qFormat/>
    <w:uiPriority w:val="0"/>
    <w:pPr>
      <w:widowControl w:val="0"/>
      <w:adjustRightInd w:val="0"/>
      <w:spacing w:line="360" w:lineRule="atLeast"/>
      <w:textAlignment w:val="baseline"/>
    </w:pPr>
    <w:rPr>
      <w:rFonts w:ascii="宋体"/>
      <w:sz w:val="32"/>
    </w:rPr>
  </w:style>
  <w:style w:type="paragraph" w:customStyle="1" w:styleId="105">
    <w:name w:val="aspnumfaautoadjustright"/>
    <w:qFormat/>
    <w:uiPriority w:val="0"/>
    <w:pPr>
      <w:widowControl w:val="0"/>
      <w:autoSpaceDE w:val="0"/>
      <w:autoSpaceDN w:val="0"/>
      <w:adjustRightInd w:val="0"/>
      <w:jc w:val="both"/>
    </w:pPr>
    <w:rPr>
      <w:rFonts w:ascii="宋体" w:hAnsi="Times New Roman" w:eastAsia="宋体" w:cs="Times New Roman"/>
      <w:lang w:val="en-US" w:eastAsia="zh-CN" w:bidi="ar-SA"/>
    </w:rPr>
  </w:style>
  <w:style w:type="paragraph" w:customStyle="1" w:styleId="106">
    <w:name w:val="小标题"/>
    <w:basedOn w:val="1"/>
    <w:qFormat/>
    <w:uiPriority w:val="0"/>
    <w:pPr>
      <w:widowControl w:val="0"/>
      <w:adjustRightInd w:val="0"/>
      <w:spacing w:before="120" w:after="120" w:line="400" w:lineRule="atLeast"/>
      <w:jc w:val="both"/>
      <w:textAlignment w:val="baseline"/>
    </w:pPr>
    <w:rPr>
      <w:rFonts w:ascii="宋体" w:hAnsi="宋体"/>
      <w:sz w:val="24"/>
    </w:rPr>
  </w:style>
  <w:style w:type="paragraph" w:customStyle="1" w:styleId="107">
    <w:name w:val="默认段落字体 Para Char Char Char Char Char Char Char Char Char1 Char Char Char Char Char Char Char"/>
    <w:basedOn w:val="13"/>
    <w:qFormat/>
    <w:uiPriority w:val="0"/>
    <w:pPr>
      <w:widowControl w:val="0"/>
      <w:jc w:val="both"/>
    </w:pPr>
    <w:rPr>
      <w:rFonts w:ascii="Tahoma" w:hAnsi="Tahoma" w:cs="Tahoma"/>
      <w:kern w:val="2"/>
      <w:sz w:val="24"/>
      <w:szCs w:val="24"/>
    </w:rPr>
  </w:style>
  <w:style w:type="paragraph" w:customStyle="1" w:styleId="108">
    <w:name w:val="?¡ì?¡ì?¡§¡è?¡ìo????¡§¡è?:1:1"/>
    <w:basedOn w:val="1"/>
    <w:qFormat/>
    <w:uiPriority w:val="0"/>
    <w:pPr>
      <w:overflowPunct w:val="0"/>
      <w:autoSpaceDE w:val="0"/>
      <w:autoSpaceDN w:val="0"/>
      <w:adjustRightInd w:val="0"/>
    </w:pPr>
    <w:rPr>
      <w:sz w:val="24"/>
    </w:rPr>
  </w:style>
  <w:style w:type="paragraph" w:customStyle="1" w:styleId="109">
    <w:name w:val="Char Char2"/>
    <w:basedOn w:val="1"/>
    <w:qFormat/>
    <w:uiPriority w:val="0"/>
    <w:pPr>
      <w:widowControl w:val="0"/>
      <w:jc w:val="both"/>
    </w:pPr>
    <w:rPr>
      <w:rFonts w:ascii="Tahoma" w:hAnsi="Tahoma"/>
      <w:kern w:val="2"/>
      <w:sz w:val="24"/>
    </w:rPr>
  </w:style>
  <w:style w:type="paragraph" w:customStyle="1" w:styleId="110">
    <w:name w:val="reader-word-layer reader-word-s16-12"/>
    <w:basedOn w:val="1"/>
    <w:qFormat/>
    <w:uiPriority w:val="0"/>
    <w:pPr>
      <w:spacing w:before="100" w:beforeAutospacing="1" w:after="100" w:afterAutospacing="1"/>
    </w:pPr>
    <w:rPr>
      <w:rFonts w:ascii="宋体" w:hAnsi="宋体" w:cs="宋体"/>
      <w:sz w:val="24"/>
      <w:szCs w:val="24"/>
    </w:rPr>
  </w:style>
  <w:style w:type="paragraph" w:customStyle="1" w:styleId="111">
    <w:name w:val="reader-word-layer reader-word-s16-9"/>
    <w:basedOn w:val="1"/>
    <w:qFormat/>
    <w:uiPriority w:val="0"/>
    <w:pPr>
      <w:spacing w:before="100" w:beforeAutospacing="1" w:after="100" w:afterAutospacing="1"/>
    </w:pPr>
    <w:rPr>
      <w:rFonts w:ascii="宋体" w:hAnsi="宋体" w:cs="宋体"/>
      <w:sz w:val="24"/>
      <w:szCs w:val="24"/>
    </w:rPr>
  </w:style>
  <w:style w:type="paragraph" w:customStyle="1" w:styleId="112">
    <w:name w:val="Char1 Char Char Char"/>
    <w:basedOn w:val="1"/>
    <w:qFormat/>
    <w:uiPriority w:val="0"/>
    <w:pPr>
      <w:widowControl w:val="0"/>
      <w:jc w:val="both"/>
    </w:pPr>
    <w:rPr>
      <w:kern w:val="2"/>
      <w:sz w:val="21"/>
      <w:szCs w:val="24"/>
    </w:rPr>
  </w:style>
  <w:style w:type="paragraph" w:customStyle="1" w:styleId="113">
    <w:name w:val="默认段落字体 Para Char Char Char Char"/>
    <w:basedOn w:val="1"/>
    <w:qFormat/>
    <w:uiPriority w:val="0"/>
    <w:pPr>
      <w:widowControl w:val="0"/>
      <w:jc w:val="both"/>
    </w:pPr>
    <w:rPr>
      <w:kern w:val="2"/>
      <w:sz w:val="21"/>
      <w:szCs w:val="24"/>
    </w:rPr>
  </w:style>
  <w:style w:type="paragraph" w:customStyle="1" w:styleId="114">
    <w:name w:val="?¡ì?¡ì?¡§¡è?¡ìo????¡§¡è?:1"/>
    <w:basedOn w:val="1"/>
    <w:qFormat/>
    <w:uiPriority w:val="0"/>
    <w:pPr>
      <w:overflowPunct w:val="0"/>
      <w:autoSpaceDE w:val="0"/>
      <w:autoSpaceDN w:val="0"/>
      <w:adjustRightInd w:val="0"/>
    </w:pPr>
    <w:rPr>
      <w:sz w:val="24"/>
    </w:rPr>
  </w:style>
  <w:style w:type="paragraph" w:customStyle="1" w:styleId="115">
    <w:name w:val="默认段落字体 Para Char"/>
    <w:basedOn w:val="1"/>
    <w:qFormat/>
    <w:uiPriority w:val="0"/>
    <w:pPr>
      <w:widowControl w:val="0"/>
      <w:jc w:val="both"/>
    </w:pPr>
    <w:rPr>
      <w:kern w:val="2"/>
      <w:sz w:val="21"/>
      <w:szCs w:val="24"/>
    </w:rPr>
  </w:style>
  <w:style w:type="paragraph" w:customStyle="1" w:styleId="116">
    <w:name w:val="表格02"/>
    <w:basedOn w:val="1"/>
    <w:qFormat/>
    <w:uiPriority w:val="0"/>
    <w:pPr>
      <w:widowControl w:val="0"/>
      <w:adjustRightInd w:val="0"/>
      <w:snapToGrid w:val="0"/>
      <w:spacing w:line="400" w:lineRule="exact"/>
      <w:jc w:val="center"/>
      <w:textAlignment w:val="baseline"/>
    </w:pPr>
    <w:rPr>
      <w:snapToGrid w:val="0"/>
      <w:sz w:val="24"/>
      <w:szCs w:val="24"/>
      <w:lang w:val="en-GB"/>
    </w:rPr>
  </w:style>
  <w:style w:type="paragraph" w:customStyle="1" w:styleId="117">
    <w:name w:val="reader-word-layer reader-word-s16-17"/>
    <w:basedOn w:val="1"/>
    <w:qFormat/>
    <w:uiPriority w:val="0"/>
    <w:pPr>
      <w:spacing w:before="100" w:beforeAutospacing="1" w:after="100" w:afterAutospacing="1"/>
    </w:pPr>
    <w:rPr>
      <w:rFonts w:ascii="宋体" w:hAnsi="宋体" w:cs="宋体"/>
      <w:sz w:val="24"/>
      <w:szCs w:val="24"/>
    </w:rPr>
  </w:style>
  <w:style w:type="paragraph" w:customStyle="1" w:styleId="118">
    <w:name w:val="CM22"/>
    <w:basedOn w:val="1"/>
    <w:next w:val="1"/>
    <w:qFormat/>
    <w:uiPriority w:val="0"/>
    <w:pPr>
      <w:widowControl w:val="0"/>
      <w:autoSpaceDE w:val="0"/>
      <w:autoSpaceDN w:val="0"/>
      <w:adjustRightInd w:val="0"/>
      <w:spacing w:after="310"/>
    </w:pPr>
    <w:rPr>
      <w:rFonts w:ascii="宋体"/>
      <w:sz w:val="24"/>
      <w:szCs w:val="24"/>
    </w:rPr>
  </w:style>
  <w:style w:type="paragraph" w:customStyle="1" w:styleId="119">
    <w:name w:val="reader-word-layer reader-word-s16-11"/>
    <w:basedOn w:val="1"/>
    <w:qFormat/>
    <w:uiPriority w:val="0"/>
    <w:pPr>
      <w:spacing w:before="100" w:beforeAutospacing="1" w:after="100" w:afterAutospacing="1"/>
    </w:pPr>
    <w:rPr>
      <w:rFonts w:ascii="宋体" w:hAnsi="宋体" w:cs="宋体"/>
      <w:sz w:val="24"/>
      <w:szCs w:val="24"/>
    </w:rPr>
  </w:style>
  <w:style w:type="paragraph" w:customStyle="1" w:styleId="120">
    <w:name w:val="È±Ê¡ÎÄ±¾:1:1"/>
    <w:basedOn w:val="1"/>
    <w:qFormat/>
    <w:uiPriority w:val="0"/>
    <w:pPr>
      <w:overflowPunct w:val="0"/>
      <w:autoSpaceDE w:val="0"/>
      <w:autoSpaceDN w:val="0"/>
      <w:adjustRightInd w:val="0"/>
      <w:textAlignment w:val="baseline"/>
    </w:pPr>
    <w:rPr>
      <w:sz w:val="24"/>
    </w:rPr>
  </w:style>
  <w:style w:type="paragraph" w:customStyle="1" w:styleId="121">
    <w:name w:val="样式1"/>
    <w:basedOn w:val="1"/>
    <w:qFormat/>
    <w:uiPriority w:val="0"/>
    <w:pPr>
      <w:widowControl w:val="0"/>
      <w:spacing w:before="120" w:after="120" w:line="300" w:lineRule="auto"/>
      <w:jc w:val="both"/>
    </w:pPr>
    <w:rPr>
      <w:rFonts w:ascii="宋体" w:hAnsi="宋体"/>
      <w:b/>
      <w:kern w:val="2"/>
      <w:sz w:val="24"/>
    </w:rPr>
  </w:style>
  <w:style w:type="paragraph" w:customStyle="1" w:styleId="122">
    <w:name w:val="_Style 17"/>
    <w:basedOn w:val="1"/>
    <w:next w:val="39"/>
    <w:qFormat/>
    <w:uiPriority w:val="0"/>
    <w:pPr>
      <w:spacing w:before="100" w:beforeAutospacing="1" w:after="100" w:afterAutospacing="1"/>
    </w:pPr>
    <w:rPr>
      <w:rFonts w:ascii="宋体" w:hAnsi="宋体" w:cs="黑体"/>
      <w:sz w:val="24"/>
      <w:szCs w:val="24"/>
    </w:rPr>
  </w:style>
  <w:style w:type="paragraph" w:customStyle="1" w:styleId="123">
    <w:name w:val="Char Char Char Char1"/>
    <w:basedOn w:val="1"/>
    <w:qFormat/>
    <w:uiPriority w:val="0"/>
    <w:pPr>
      <w:widowControl w:val="0"/>
      <w:jc w:val="both"/>
    </w:pPr>
    <w:rPr>
      <w:rFonts w:ascii="Tahoma" w:hAnsi="Tahoma"/>
      <w:kern w:val="2"/>
      <w:sz w:val="24"/>
    </w:rPr>
  </w:style>
  <w:style w:type="paragraph" w:customStyle="1" w:styleId="124">
    <w:name w:val="reader-word-layer reader-word-s16-7"/>
    <w:basedOn w:val="1"/>
    <w:qFormat/>
    <w:uiPriority w:val="0"/>
    <w:pPr>
      <w:spacing w:before="100" w:beforeAutospacing="1" w:after="100" w:afterAutospacing="1"/>
    </w:pPr>
    <w:rPr>
      <w:rFonts w:ascii="宋体" w:hAnsi="宋体" w:cs="宋体"/>
      <w:sz w:val="24"/>
      <w:szCs w:val="24"/>
    </w:rPr>
  </w:style>
  <w:style w:type="paragraph" w:customStyle="1" w:styleId="125">
    <w:name w:val="正文文本缩进8"/>
    <w:basedOn w:val="1"/>
    <w:qFormat/>
    <w:uiPriority w:val="0"/>
    <w:pPr>
      <w:widowControl w:val="0"/>
      <w:ind w:firstLine="560" w:firstLineChars="200"/>
      <w:jc w:val="both"/>
    </w:pPr>
    <w:rPr>
      <w:kern w:val="2"/>
      <w:sz w:val="28"/>
      <w:szCs w:val="28"/>
    </w:rPr>
  </w:style>
  <w:style w:type="paragraph" w:customStyle="1" w:styleId="126">
    <w:name w:val="_Style 110"/>
    <w:basedOn w:val="1"/>
    <w:next w:val="94"/>
    <w:qFormat/>
    <w:uiPriority w:val="34"/>
    <w:pPr>
      <w:widowControl w:val="0"/>
      <w:ind w:firstLine="420" w:firstLineChars="200"/>
      <w:jc w:val="both"/>
    </w:pPr>
    <w:rPr>
      <w:kern w:val="2"/>
      <w:sz w:val="21"/>
    </w:rPr>
  </w:style>
  <w:style w:type="character" w:customStyle="1" w:styleId="127">
    <w:name w:val="页脚 Char"/>
    <w:link w:val="128"/>
    <w:qFormat/>
    <w:uiPriority w:val="0"/>
    <w:rPr>
      <w:sz w:val="18"/>
    </w:rPr>
  </w:style>
  <w:style w:type="paragraph" w:customStyle="1" w:styleId="128">
    <w:name w:val="页脚1"/>
    <w:basedOn w:val="1"/>
    <w:link w:val="127"/>
    <w:qFormat/>
    <w:uiPriority w:val="0"/>
    <w:pPr>
      <w:widowControl w:val="0"/>
      <w:tabs>
        <w:tab w:val="center" w:pos="4153"/>
        <w:tab w:val="right" w:pos="8306"/>
      </w:tabs>
      <w:snapToGrid w:val="0"/>
    </w:pPr>
    <w:rPr>
      <w:sz w:val="18"/>
    </w:rPr>
  </w:style>
  <w:style w:type="paragraph" w:customStyle="1" w:styleId="129">
    <w:name w:val="页眉1"/>
    <w:basedOn w:val="1"/>
    <w:qFormat/>
    <w:uiPriority w:val="0"/>
    <w:pPr>
      <w:widowControl w:val="0"/>
      <w:pBdr>
        <w:bottom w:val="single" w:color="auto" w:sz="6" w:space="1"/>
      </w:pBdr>
      <w:tabs>
        <w:tab w:val="center" w:pos="4153"/>
        <w:tab w:val="right" w:pos="8306"/>
      </w:tabs>
      <w:snapToGrid w:val="0"/>
      <w:jc w:val="center"/>
    </w:pPr>
    <w:rPr>
      <w:kern w:val="2"/>
      <w:sz w:val="21"/>
    </w:rPr>
  </w:style>
  <w:style w:type="paragraph" w:customStyle="1" w:styleId="130">
    <w:name w:val="页眉11"/>
    <w:basedOn w:val="1"/>
    <w:qFormat/>
    <w:uiPriority w:val="0"/>
    <w:pPr>
      <w:widowControl w:val="0"/>
      <w:pBdr>
        <w:bottom w:val="single" w:color="auto" w:sz="6" w:space="1"/>
      </w:pBdr>
      <w:tabs>
        <w:tab w:val="center" w:pos="4153"/>
        <w:tab w:val="right" w:pos="8306"/>
      </w:tabs>
      <w:snapToGrid w:val="0"/>
      <w:jc w:val="center"/>
    </w:pPr>
    <w:rPr>
      <w:kern w:val="2"/>
      <w:sz w:val="21"/>
    </w:rPr>
  </w:style>
  <w:style w:type="paragraph" w:customStyle="1" w:styleId="131">
    <w:name w:val="正文缩进1"/>
    <w:basedOn w:val="1"/>
    <w:qFormat/>
    <w:uiPriority w:val="0"/>
    <w:pPr>
      <w:ind w:firstLine="420"/>
      <w:jc w:val="center"/>
    </w:pPr>
    <w:rPr>
      <w:b/>
      <w:sz w:val="44"/>
    </w:rPr>
  </w:style>
  <w:style w:type="paragraph" w:styleId="13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列出段落1"/>
    <w:basedOn w:val="1"/>
    <w:qFormat/>
    <w:uiPriority w:val="0"/>
    <w:pPr>
      <w:widowControl w:val="0"/>
      <w:ind w:firstLine="420"/>
      <w:jc w:val="both"/>
    </w:pPr>
    <w:rPr>
      <w:kern w:val="2"/>
      <w:sz w:val="21"/>
    </w:rPr>
  </w:style>
  <w:style w:type="character" w:customStyle="1" w:styleId="134">
    <w:name w:val="p0 Char"/>
    <w:link w:val="135"/>
    <w:qFormat/>
    <w:locked/>
    <w:uiPriority w:val="0"/>
    <w:rPr>
      <w:sz w:val="21"/>
      <w:szCs w:val="21"/>
    </w:rPr>
  </w:style>
  <w:style w:type="paragraph" w:customStyle="1" w:styleId="135">
    <w:name w:val="p0"/>
    <w:basedOn w:val="1"/>
    <w:link w:val="134"/>
    <w:qFormat/>
    <w:uiPriority w:val="0"/>
    <w:pPr>
      <w:jc w:val="both"/>
    </w:pPr>
    <w:rPr>
      <w:rFonts w:eastAsia="微软雅黑" w:asciiTheme="minorHAnsi" w:hAnsiTheme="minorHAnsi" w:cstheme="minorBidi"/>
      <w:sz w:val="21"/>
      <w:szCs w:val="21"/>
    </w:rPr>
  </w:style>
  <w:style w:type="paragraph" w:customStyle="1" w:styleId="136">
    <w:name w:val="正文缩进2格"/>
    <w:basedOn w:val="1"/>
    <w:link w:val="137"/>
    <w:qFormat/>
    <w:uiPriority w:val="0"/>
    <w:pPr>
      <w:widowControl w:val="0"/>
      <w:spacing w:line="600" w:lineRule="exact"/>
      <w:ind w:firstLine="639" w:firstLineChars="206"/>
      <w:jc w:val="both"/>
    </w:pPr>
    <w:rPr>
      <w:rFonts w:ascii="仿宋_GB2312" w:hAnsi="宋体" w:eastAsia="仿宋_GB2312"/>
      <w:kern w:val="2"/>
      <w:sz w:val="31"/>
      <w:szCs w:val="28"/>
    </w:rPr>
  </w:style>
  <w:style w:type="character" w:customStyle="1" w:styleId="137">
    <w:name w:val="正文缩进2格 Char"/>
    <w:link w:val="136"/>
    <w:qFormat/>
    <w:uiPriority w:val="0"/>
    <w:rPr>
      <w:rFonts w:ascii="仿宋_GB2312" w:hAnsi="宋体" w:eastAsia="仿宋_GB2312" w:cs="Times New Roman"/>
      <w:kern w:val="2"/>
      <w:sz w:val="31"/>
      <w:szCs w:val="28"/>
    </w:rPr>
  </w:style>
  <w:style w:type="character" w:customStyle="1" w:styleId="138">
    <w:name w:val="列出段落 Char"/>
    <w:link w:val="94"/>
    <w:qFormat/>
    <w:uiPriority w:val="34"/>
    <w:rPr>
      <w:rFonts w:ascii="Calibri" w:hAnsi="Calibri" w:eastAsia="宋体" w:cs="Times New Roman"/>
      <w:kern w:val="2"/>
      <w:sz w:val="21"/>
      <w:szCs w:val="22"/>
    </w:rPr>
  </w:style>
  <w:style w:type="character" w:customStyle="1" w:styleId="139">
    <w:name w:val="批注文字 Char"/>
    <w:basedOn w:val="47"/>
    <w:link w:val="14"/>
    <w:semiHidden/>
    <w:qFormat/>
    <w:uiPriority w:val="0"/>
    <w:rPr>
      <w:rFonts w:ascii="Times New Roman" w:hAnsi="Times New Roman" w:eastAsia="宋体" w:cs="Times New Roman"/>
    </w:rPr>
  </w:style>
  <w:style w:type="character" w:customStyle="1" w:styleId="140">
    <w:name w:val="批注主题 Char"/>
    <w:basedOn w:val="139"/>
    <w:link w:val="42"/>
    <w:semiHidden/>
    <w:qFormat/>
    <w:uiPriority w:val="0"/>
    <w:rPr>
      <w:rFonts w:ascii="Times New Roman" w:hAnsi="Times New Roman" w:eastAsia="宋体" w:cs="Times New Roman"/>
      <w:b/>
      <w:bCs/>
    </w:rPr>
  </w:style>
  <w:style w:type="paragraph" w:customStyle="1" w:styleId="141">
    <w:name w:val="修订1"/>
    <w:hidden/>
    <w:semiHidden/>
    <w:qFormat/>
    <w:uiPriority w:val="99"/>
    <w:rPr>
      <w:rFonts w:ascii="Times New Roman" w:hAnsi="Times New Roman" w:eastAsia="宋体" w:cs="Times New Roman"/>
      <w:lang w:val="en-US" w:eastAsia="zh-CN" w:bidi="ar-SA"/>
    </w:rPr>
  </w:style>
  <w:style w:type="character" w:customStyle="1" w:styleId="142">
    <w:name w:val="layui-layer-tabnow"/>
    <w:basedOn w:val="47"/>
    <w:qFormat/>
    <w:uiPriority w:val="0"/>
    <w:rPr>
      <w:bdr w:val="single" w:color="CCCCCC" w:sz="6" w:space="0"/>
      <w:shd w:val="clear" w:color="auto" w:fill="FFFFFF"/>
    </w:rPr>
  </w:style>
  <w:style w:type="character" w:customStyle="1" w:styleId="143">
    <w:name w:val="first-child"/>
    <w:basedOn w:val="47"/>
    <w:qFormat/>
    <w:uiPriority w:val="0"/>
  </w:style>
  <w:style w:type="character" w:customStyle="1" w:styleId="144">
    <w:name w:val="mini-outputtext1"/>
    <w:basedOn w:val="47"/>
    <w:qFormat/>
    <w:uiPriority w:val="0"/>
  </w:style>
  <w:style w:type="character" w:customStyle="1" w:styleId="145">
    <w:name w:val="标题 Char"/>
    <w:basedOn w:val="47"/>
    <w:link w:val="41"/>
    <w:qFormat/>
    <w:uiPriority w:val="0"/>
    <w:rPr>
      <w:rFonts w:ascii="Arial" w:hAnsi="Arial" w:cs="Arial"/>
      <w:b/>
      <w:bCs/>
      <w:kern w:val="2"/>
      <w:sz w:val="32"/>
      <w:szCs w:val="32"/>
    </w:rPr>
  </w:style>
  <w:style w:type="character" w:customStyle="1" w:styleId="146">
    <w:name w:val="正文文本缩进 2 Char"/>
    <w:basedOn w:val="47"/>
    <w:link w:val="26"/>
    <w:qFormat/>
    <w:uiPriority w:val="0"/>
  </w:style>
  <w:style w:type="paragraph" w:customStyle="1" w:styleId="147">
    <w:name w:val="Table Paragraph"/>
    <w:basedOn w:val="1"/>
    <w:qFormat/>
    <w:uiPriority w:val="1"/>
    <w:pPr>
      <w:widowControl w:val="0"/>
      <w:jc w:val="both"/>
    </w:pPr>
    <w:rPr>
      <w:rFonts w:ascii="宋体" w:hAnsi="宋体" w:cs="宋体"/>
      <w:kern w:val="2"/>
      <w:sz w:val="21"/>
      <w:szCs w:val="24"/>
      <w:lang w:val="zh-CN" w:bidi="zh-CN"/>
    </w:rPr>
  </w:style>
  <w:style w:type="paragraph" w:customStyle="1" w:styleId="148">
    <w:name w:val="Normal_2"/>
    <w:qFormat/>
    <w:uiPriority w:val="0"/>
    <w:pPr>
      <w:widowControl w:val="0"/>
      <w:jc w:val="both"/>
    </w:pPr>
    <w:rPr>
      <w:rFonts w:ascii="等线" w:hAnsi="等线" w:eastAsia="等线" w:cs="Times New Roman"/>
      <w:kern w:val="2"/>
      <w:sz w:val="21"/>
      <w:szCs w:val="22"/>
      <w:lang w:val="en-US" w:eastAsia="zh-CN" w:bidi="ar-SA"/>
    </w:rPr>
  </w:style>
  <w:style w:type="paragraph" w:customStyle="1" w:styleId="149">
    <w:name w:val="Normal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0">
    <w:name w:val="Table Text"/>
    <w:basedOn w:val="1"/>
    <w:semiHidden/>
    <w:qFormat/>
    <w:uiPriority w:val="0"/>
    <w:rPr>
      <w:rFonts w:ascii="宋体" w:hAnsi="宋体" w:eastAsia="宋体" w:cs="宋体"/>
      <w:sz w:val="24"/>
      <w:szCs w:val="24"/>
      <w:lang w:val="en-US" w:eastAsia="en-US" w:bidi="ar-SA"/>
    </w:rPr>
  </w:style>
  <w:style w:type="paragraph" w:customStyle="1" w:styleId="1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E026CB-FE05-48B4-8C12-E5137162ECA0}">
  <ds:schemaRefs/>
</ds:datastoreItem>
</file>

<file path=docProps/app.xml><?xml version="1.0" encoding="utf-8"?>
<Properties xmlns="http://schemas.openxmlformats.org/officeDocument/2006/extended-properties" xmlns:vt="http://schemas.openxmlformats.org/officeDocument/2006/docPropsVTypes">
  <Template>Normal.dotm</Template>
  <Company>中恒一信项目管理咨询有限公司</Company>
  <Pages>67</Pages>
  <Words>9910</Words>
  <Characters>10933</Characters>
  <Lines>70</Lines>
  <Paragraphs>95</Paragraphs>
  <TotalTime>13</TotalTime>
  <ScaleCrop>false</ScaleCrop>
  <LinksUpToDate>false</LinksUpToDate>
  <CharactersWithSpaces>11114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2023-07-09T01:25:00Z</dcterms:created>
  <dc:creator>赵明</dc:creator>
  <cp:lastModifiedBy>admin</cp:lastModifiedBy>
  <cp:lastPrinted>2025-06-18T03:09:00Z</cp:lastPrinted>
  <dcterms:modified xsi:type="dcterms:W3CDTF">2026-04-21T06:38:49Z</dcterms:modified>
  <dc:title>招标文件</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3CC67985992D47C79AF1509BFF69E270_13</vt:lpwstr>
  </property>
  <property fmtid="{D5CDD505-2E9C-101B-9397-08002B2CF9AE}" pid="4" name="KSOTemplateDocerSaveRecord">
    <vt:lpwstr>eyJoZGlkIjoiNTVkOTk1MmFmYmEwYThjMGQzZDg0MjdlN2IzYTQxMmYiLCJ1c2VySWQiOiIxNjk4OTMzNzIzIn0=</vt:lpwstr>
  </property>
</Properties>
</file>