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72"/>
          <w:szCs w:val="72"/>
          <w:highlight w:val="none"/>
        </w:rPr>
      </w:pPr>
    </w:p>
    <w:p>
      <w:pPr>
        <w:jc w:val="center"/>
        <w:rPr>
          <w:rFonts w:hint="eastAsia" w:asciiTheme="minorEastAsia" w:hAnsiTheme="minorEastAsia" w:eastAsiaTheme="minorEastAsia" w:cstheme="minorEastAsia"/>
          <w:b/>
          <w:bCs/>
          <w:color w:val="auto"/>
          <w:sz w:val="56"/>
          <w:szCs w:val="56"/>
          <w:highlight w:val="none"/>
          <w:lang w:eastAsia="zh-CN"/>
        </w:rPr>
      </w:pPr>
      <w:r>
        <w:rPr>
          <w:rFonts w:hint="eastAsia" w:asciiTheme="minorEastAsia" w:hAnsiTheme="minorEastAsia" w:eastAsiaTheme="minorEastAsia" w:cstheme="minorEastAsia"/>
          <w:b/>
          <w:bCs/>
          <w:color w:val="auto"/>
          <w:sz w:val="56"/>
          <w:szCs w:val="56"/>
          <w:highlight w:val="none"/>
          <w:lang w:eastAsia="zh-CN"/>
        </w:rPr>
        <w:t>配合吉林省体育局乒曲篮武中心运动队提供赛事服务保障</w:t>
      </w:r>
    </w:p>
    <w:p>
      <w:pPr>
        <w:pStyle w:val="5"/>
        <w:rPr>
          <w:rFonts w:hint="eastAsia" w:asciiTheme="minorEastAsia" w:hAnsiTheme="minorEastAsia" w:eastAsiaTheme="minorEastAsia" w:cstheme="minorEastAsia"/>
          <w:color w:val="auto"/>
          <w:highlight w:val="none"/>
          <w:lang w:val="en-US" w:eastAsia="zh-CN"/>
        </w:rPr>
      </w:pPr>
    </w:p>
    <w:p>
      <w:pPr>
        <w:pStyle w:val="5"/>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b/>
          <w:bCs/>
          <w:color w:val="auto"/>
          <w:sz w:val="28"/>
          <w:szCs w:val="28"/>
          <w:highlight w:val="none"/>
        </w:rPr>
      </w:pPr>
    </w:p>
    <w:p>
      <w:pPr>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招</w:t>
      </w:r>
      <w:r>
        <w:rPr>
          <w:rFonts w:hint="eastAsia" w:asciiTheme="minorEastAsia" w:hAnsiTheme="minorEastAsia" w:eastAsiaTheme="minorEastAsia" w:cstheme="minorEastAsia"/>
          <w:b/>
          <w:bCs/>
          <w:color w:val="auto"/>
          <w:sz w:val="72"/>
          <w:szCs w:val="72"/>
          <w:highlight w:val="none"/>
          <w:lang w:val="en-US" w:eastAsia="zh-CN"/>
        </w:rPr>
        <w:t xml:space="preserve"> </w:t>
      </w:r>
      <w:r>
        <w:rPr>
          <w:rFonts w:hint="eastAsia" w:asciiTheme="minorEastAsia" w:hAnsiTheme="minorEastAsia" w:eastAsiaTheme="minorEastAsia" w:cstheme="minorEastAsia"/>
          <w:b/>
          <w:bCs/>
          <w:color w:val="auto"/>
          <w:sz w:val="72"/>
          <w:szCs w:val="72"/>
          <w:highlight w:val="none"/>
        </w:rPr>
        <w:t>标</w:t>
      </w:r>
      <w:r>
        <w:rPr>
          <w:rFonts w:hint="eastAsia" w:asciiTheme="minorEastAsia" w:hAnsiTheme="minorEastAsia" w:eastAsiaTheme="minorEastAsia" w:cstheme="minorEastAsia"/>
          <w:b/>
          <w:bCs/>
          <w:color w:val="auto"/>
          <w:sz w:val="72"/>
          <w:szCs w:val="72"/>
          <w:highlight w:val="none"/>
          <w:lang w:val="en-US" w:eastAsia="zh-CN"/>
        </w:rPr>
        <w:t xml:space="preserve"> </w:t>
      </w:r>
      <w:r>
        <w:rPr>
          <w:rFonts w:hint="eastAsia" w:asciiTheme="minorEastAsia" w:hAnsiTheme="minorEastAsia" w:eastAsiaTheme="minorEastAsia" w:cstheme="minorEastAsia"/>
          <w:b/>
          <w:bCs/>
          <w:color w:val="auto"/>
          <w:sz w:val="72"/>
          <w:szCs w:val="72"/>
          <w:highlight w:val="none"/>
        </w:rPr>
        <w:t>文</w:t>
      </w:r>
      <w:r>
        <w:rPr>
          <w:rFonts w:hint="eastAsia" w:asciiTheme="minorEastAsia" w:hAnsiTheme="minorEastAsia" w:eastAsiaTheme="minorEastAsia" w:cstheme="minorEastAsia"/>
          <w:b/>
          <w:bCs/>
          <w:color w:val="auto"/>
          <w:sz w:val="72"/>
          <w:szCs w:val="72"/>
          <w:highlight w:val="none"/>
          <w:lang w:val="en-US" w:eastAsia="zh-CN"/>
        </w:rPr>
        <w:t xml:space="preserve"> </w:t>
      </w:r>
      <w:r>
        <w:rPr>
          <w:rFonts w:hint="eastAsia" w:asciiTheme="minorEastAsia" w:hAnsiTheme="minorEastAsia" w:eastAsiaTheme="minorEastAsia" w:cstheme="minorEastAsia"/>
          <w:b/>
          <w:bCs/>
          <w:color w:val="auto"/>
          <w:sz w:val="72"/>
          <w:szCs w:val="72"/>
          <w:highlight w:val="none"/>
        </w:rPr>
        <w:t>件</w:t>
      </w:r>
    </w:p>
    <w:p>
      <w:pPr>
        <w:spacing w:line="400" w:lineRule="exact"/>
        <w:jc w:val="center"/>
        <w:rPr>
          <w:rFonts w:hint="eastAsia" w:asciiTheme="minorEastAsia" w:hAnsiTheme="minorEastAsia" w:eastAsiaTheme="minorEastAsia" w:cstheme="minorEastAsia"/>
          <w:b/>
          <w:bCs/>
          <w:color w:val="auto"/>
          <w:sz w:val="24"/>
          <w:highlight w:val="none"/>
        </w:rPr>
      </w:pPr>
    </w:p>
    <w:p>
      <w:pPr>
        <w:spacing w:line="400" w:lineRule="exact"/>
        <w:jc w:val="center"/>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项目编号</w:t>
      </w:r>
      <w:r>
        <w:rPr>
          <w:rFonts w:hint="eastAsia" w:asciiTheme="minorEastAsia" w:hAnsiTheme="minorEastAsia" w:eastAsiaTheme="minorEastAsia" w:cstheme="minorEastAsia"/>
          <w:b/>
          <w:bCs/>
          <w:color w:val="auto"/>
          <w:sz w:val="28"/>
          <w:szCs w:val="28"/>
          <w:highlight w:val="none"/>
          <w:lang w:eastAsia="zh-CN"/>
        </w:rPr>
        <w:t>：采购计划-[2026]-10569号-ZASX2026007</w:t>
      </w:r>
    </w:p>
    <w:p>
      <w:pPr>
        <w:spacing w:line="400" w:lineRule="exact"/>
        <w:rPr>
          <w:rFonts w:hint="eastAsia" w:asciiTheme="minorEastAsia" w:hAnsiTheme="minorEastAsia" w:eastAsiaTheme="minorEastAsia" w:cstheme="minorEastAsia"/>
          <w:b/>
          <w:bCs/>
          <w:color w:val="auto"/>
          <w:highlight w:val="none"/>
        </w:rPr>
      </w:pPr>
    </w:p>
    <w:p>
      <w:pPr>
        <w:spacing w:line="400" w:lineRule="exact"/>
        <w:rPr>
          <w:rFonts w:hint="eastAsia" w:asciiTheme="minorEastAsia" w:hAnsiTheme="minorEastAsia" w:eastAsiaTheme="minorEastAsia" w:cstheme="minorEastAsia"/>
          <w:b/>
          <w:bCs/>
          <w:color w:val="auto"/>
          <w:highlight w:val="none"/>
        </w:rPr>
      </w:pPr>
    </w:p>
    <w:p>
      <w:pPr>
        <w:spacing w:line="400" w:lineRule="exact"/>
        <w:rPr>
          <w:rFonts w:hint="eastAsia" w:asciiTheme="minorEastAsia" w:hAnsiTheme="minorEastAsia" w:eastAsiaTheme="minorEastAsia" w:cstheme="minorEastAsia"/>
          <w:b/>
          <w:bCs/>
          <w:color w:val="auto"/>
          <w:highlight w:val="none"/>
        </w:rPr>
      </w:pPr>
    </w:p>
    <w:p>
      <w:pPr>
        <w:spacing w:line="400" w:lineRule="exact"/>
        <w:rPr>
          <w:rFonts w:hint="eastAsia" w:asciiTheme="minorEastAsia" w:hAnsiTheme="minorEastAsia" w:eastAsiaTheme="minorEastAsia" w:cstheme="minorEastAsia"/>
          <w:b/>
          <w:bCs/>
          <w:color w:val="auto"/>
          <w:highlight w:val="none"/>
        </w:rPr>
      </w:pPr>
    </w:p>
    <w:p>
      <w:pPr>
        <w:pStyle w:val="22"/>
        <w:rPr>
          <w:rFonts w:hint="eastAsia" w:asciiTheme="minorEastAsia" w:hAnsiTheme="minorEastAsia" w:eastAsiaTheme="minorEastAsia" w:cstheme="minorEastAsia"/>
          <w:b/>
          <w:bCs/>
          <w:color w:val="auto"/>
          <w:highlight w:val="none"/>
        </w:rPr>
      </w:pPr>
    </w:p>
    <w:p>
      <w:pPr>
        <w:pStyle w:val="22"/>
        <w:rPr>
          <w:rFonts w:hint="eastAsia" w:asciiTheme="minorEastAsia" w:hAnsiTheme="minorEastAsia" w:eastAsiaTheme="minorEastAsia" w:cstheme="minorEastAsia"/>
          <w:b/>
          <w:bCs/>
          <w:color w:val="auto"/>
          <w:highlight w:val="none"/>
        </w:rPr>
      </w:pPr>
    </w:p>
    <w:p>
      <w:pPr>
        <w:pStyle w:val="22"/>
        <w:rPr>
          <w:rFonts w:hint="eastAsia" w:asciiTheme="minorEastAsia" w:hAnsiTheme="minorEastAsia" w:eastAsiaTheme="minorEastAsia" w:cstheme="minorEastAsia"/>
          <w:b/>
          <w:bCs/>
          <w:color w:val="auto"/>
          <w:highlight w:val="none"/>
        </w:rPr>
      </w:pPr>
    </w:p>
    <w:p>
      <w:pPr>
        <w:pStyle w:val="22"/>
        <w:ind w:left="0" w:leftChars="0" w:firstLine="0" w:firstLineChars="0"/>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rPr>
      </w:pPr>
    </w:p>
    <w:p>
      <w:pPr>
        <w:spacing w:line="400" w:lineRule="exact"/>
        <w:rPr>
          <w:rFonts w:hint="eastAsia" w:asciiTheme="minorEastAsia" w:hAnsiTheme="minorEastAsia" w:eastAsiaTheme="minorEastAsia" w:cstheme="minorEastAsia"/>
          <w:b/>
          <w:bCs/>
          <w:color w:val="auto"/>
          <w:highlight w:val="none"/>
        </w:rPr>
      </w:pPr>
    </w:p>
    <w:p>
      <w:pPr>
        <w:pStyle w:val="22"/>
        <w:keepNext w:val="0"/>
        <w:keepLines w:val="0"/>
        <w:pageBreakBefore w:val="0"/>
        <w:kinsoku/>
        <w:wordWrap/>
        <w:topLinePunct w:val="0"/>
        <w:bidi w:val="0"/>
        <w:snapToGrid/>
        <w:spacing w:line="900" w:lineRule="exact"/>
        <w:ind w:left="0" w:leftChars="0" w:firstLine="0" w:firstLineChars="0"/>
        <w:jc w:val="both"/>
        <w:rPr>
          <w:rFonts w:hint="eastAsia" w:asciiTheme="minorEastAsia" w:hAnsiTheme="minorEastAsia" w:eastAsiaTheme="minorEastAsia" w:cstheme="minorEastAsia"/>
          <w:sz w:val="28"/>
          <w:szCs w:val="21"/>
          <w:lang w:eastAsia="zh-CN"/>
        </w:rPr>
      </w:pPr>
      <w:r>
        <w:rPr>
          <w:rFonts w:hint="eastAsia" w:asciiTheme="minorEastAsia" w:hAnsiTheme="minorEastAsia" w:eastAsiaTheme="minorEastAsia" w:cstheme="minorEastAsia"/>
          <w:b/>
          <w:bCs/>
          <w:color w:val="auto"/>
          <w:sz w:val="32"/>
          <w:szCs w:val="32"/>
          <w:highlight w:val="none"/>
        </w:rPr>
        <w:t>采购人：</w:t>
      </w:r>
      <w:r>
        <w:rPr>
          <w:rFonts w:hint="eastAsia" w:asciiTheme="minorEastAsia" w:hAnsiTheme="minorEastAsia" w:eastAsiaTheme="minorEastAsia" w:cstheme="minorEastAsia"/>
          <w:b/>
          <w:bCs/>
          <w:color w:val="auto"/>
          <w:sz w:val="32"/>
          <w:szCs w:val="32"/>
          <w:highlight w:val="none"/>
          <w:lang w:eastAsia="zh-CN"/>
        </w:rPr>
        <w:t>吉林省体育局乒乓球曲棍球篮球武术运动管理中心</w:t>
      </w:r>
    </w:p>
    <w:p>
      <w:pPr>
        <w:keepNext w:val="0"/>
        <w:keepLines w:val="0"/>
        <w:pageBreakBefore w:val="0"/>
        <w:kinsoku/>
        <w:wordWrap/>
        <w:topLinePunct w:val="0"/>
        <w:bidi w:val="0"/>
        <w:snapToGrid/>
        <w:spacing w:line="900" w:lineRule="exact"/>
        <w:jc w:val="both"/>
        <w:rPr>
          <w:rFonts w:hint="eastAsia" w:asciiTheme="minorEastAsia" w:hAnsiTheme="minorEastAsia" w:eastAsiaTheme="minorEastAsia" w:cstheme="minorEastAsia"/>
          <w:sz w:val="22"/>
          <w:szCs w:val="28"/>
        </w:rPr>
      </w:pPr>
      <w:r>
        <w:rPr>
          <w:rFonts w:hint="eastAsia" w:asciiTheme="minorEastAsia" w:hAnsiTheme="minorEastAsia" w:eastAsiaTheme="minorEastAsia" w:cstheme="minorEastAsia"/>
          <w:b/>
          <w:bCs/>
          <w:color w:val="auto"/>
          <w:sz w:val="32"/>
          <w:szCs w:val="32"/>
          <w:highlight w:val="none"/>
        </w:rPr>
        <w:t>采购代理机构：</w:t>
      </w:r>
      <w:r>
        <w:rPr>
          <w:rFonts w:hint="eastAsia" w:asciiTheme="minorEastAsia" w:hAnsiTheme="minorEastAsia" w:eastAsiaTheme="minorEastAsia" w:cstheme="minorEastAsia"/>
          <w:b/>
          <w:bCs/>
          <w:color w:val="auto"/>
          <w:sz w:val="32"/>
          <w:szCs w:val="32"/>
          <w:highlight w:val="none"/>
          <w:lang w:val="en-US" w:eastAsia="zh-CN"/>
        </w:rPr>
        <w:t>中安实信（吉林）项目管理有限责任公司</w:t>
      </w:r>
    </w:p>
    <w:p>
      <w:pPr>
        <w:spacing w:line="360" w:lineRule="auto"/>
        <w:ind w:firstLine="2650" w:firstLineChars="1100"/>
        <w:jc w:val="center"/>
        <w:rPr>
          <w:rFonts w:hint="eastAsia" w:asciiTheme="minorEastAsia" w:hAnsiTheme="minorEastAsia" w:eastAsiaTheme="minorEastAsia" w:cstheme="minorEastAsia"/>
          <w:b/>
          <w:bCs/>
          <w:color w:val="auto"/>
          <w:sz w:val="24"/>
          <w:szCs w:val="24"/>
          <w:highlight w:val="none"/>
          <w:u w:val="single"/>
        </w:rPr>
      </w:pPr>
    </w:p>
    <w:p>
      <w:pPr>
        <w:pStyle w:val="5"/>
        <w:jc w:val="center"/>
        <w:rPr>
          <w:rFonts w:hint="eastAsia" w:asciiTheme="minorEastAsia" w:hAnsiTheme="minorEastAsia" w:eastAsiaTheme="minorEastAsia" w:cstheme="minorEastAsia"/>
          <w:color w:val="auto"/>
          <w:sz w:val="36"/>
          <w:szCs w:val="36"/>
          <w:highlight w:val="none"/>
        </w:rPr>
        <w:sectPr>
          <w:headerReference r:id="rId4" w:type="first"/>
          <w:headerReference r:id="rId3" w:type="default"/>
          <w:footerReference r:id="rId5" w:type="default"/>
          <w:pgSz w:w="11910" w:h="16840"/>
          <w:pgMar w:top="1440" w:right="1080" w:bottom="1440" w:left="1080" w:header="0" w:footer="420" w:gutter="0"/>
          <w:pgNumType w:start="0"/>
          <w:cols w:space="720" w:num="1"/>
          <w:titlePg/>
          <w:docGrid w:linePitch="286" w:charSpace="0"/>
        </w:sectPr>
      </w:pPr>
      <w:r>
        <w:rPr>
          <w:rFonts w:hint="eastAsia" w:asciiTheme="minorEastAsia" w:hAnsiTheme="minorEastAsia" w:eastAsiaTheme="minorEastAsia" w:cstheme="minorEastAsia"/>
          <w:bCs/>
          <w:color w:val="auto"/>
          <w:sz w:val="32"/>
          <w:szCs w:val="32"/>
          <w:highlight w:val="none"/>
          <w:lang w:eastAsia="zh-CN"/>
        </w:rPr>
        <w:t>202</w:t>
      </w:r>
      <w:r>
        <w:rPr>
          <w:rFonts w:hint="eastAsia" w:asciiTheme="minorEastAsia" w:hAnsiTheme="minorEastAsia" w:eastAsiaTheme="minorEastAsia" w:cstheme="minorEastAsia"/>
          <w:bCs/>
          <w:color w:val="auto"/>
          <w:sz w:val="32"/>
          <w:szCs w:val="32"/>
          <w:highlight w:val="none"/>
          <w:lang w:val="en-US" w:eastAsia="zh-CN"/>
        </w:rPr>
        <w:t>6</w:t>
      </w:r>
      <w:r>
        <w:rPr>
          <w:rFonts w:hint="eastAsia" w:asciiTheme="minorEastAsia" w:hAnsiTheme="minorEastAsia" w:eastAsiaTheme="minorEastAsia" w:cstheme="minorEastAsia"/>
          <w:bCs/>
          <w:color w:val="auto"/>
          <w:sz w:val="32"/>
          <w:szCs w:val="32"/>
          <w:highlight w:val="none"/>
          <w:lang w:eastAsia="zh-CN"/>
        </w:rPr>
        <w:t>年</w:t>
      </w:r>
      <w:r>
        <w:rPr>
          <w:rFonts w:hint="eastAsia" w:asciiTheme="minorEastAsia" w:hAnsiTheme="minorEastAsia" w:eastAsiaTheme="minorEastAsia" w:cstheme="minorEastAsia"/>
          <w:bCs/>
          <w:color w:val="auto"/>
          <w:sz w:val="32"/>
          <w:szCs w:val="32"/>
          <w:highlight w:val="none"/>
          <w:lang w:val="en-US" w:eastAsia="zh-CN"/>
        </w:rPr>
        <w:t>5</w:t>
      </w:r>
      <w:r>
        <w:rPr>
          <w:rFonts w:hint="eastAsia" w:asciiTheme="minorEastAsia" w:hAnsiTheme="minorEastAsia" w:eastAsiaTheme="minorEastAsia" w:cstheme="minorEastAsia"/>
          <w:bCs/>
          <w:color w:val="auto"/>
          <w:sz w:val="36"/>
          <w:szCs w:val="36"/>
          <w:highlight w:val="none"/>
          <w:lang w:eastAsia="zh-CN"/>
        </w:rPr>
        <w:t>月</w:t>
      </w:r>
    </w:p>
    <w:p>
      <w:pPr>
        <w:rPr>
          <w:rFonts w:hint="eastAsia" w:asciiTheme="minorEastAsia" w:hAnsiTheme="minorEastAsia" w:eastAsiaTheme="minorEastAsia" w:cstheme="minorEastAsia"/>
          <w:color w:val="auto"/>
          <w:highlight w:val="none"/>
        </w:rPr>
      </w:pPr>
    </w:p>
    <w:p>
      <w:pPr>
        <w:pStyle w:val="2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目   录</w:t>
      </w:r>
    </w:p>
    <w:p>
      <w:pPr>
        <w:pStyle w:val="26"/>
        <w:keepNext w:val="0"/>
        <w:keepLines w:val="0"/>
        <w:pageBreakBefore w:val="0"/>
        <w:tabs>
          <w:tab w:val="right" w:leader="dot" w:pos="9750"/>
        </w:tabs>
        <w:kinsoku/>
        <w:wordWrap/>
        <w:overflowPunct/>
        <w:topLinePunct w:val="0"/>
        <w:bidi w:val="0"/>
        <w:snapToGrid/>
        <w:spacing w:line="48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val="0"/>
          <w:color w:val="auto"/>
          <w:szCs w:val="28"/>
          <w:highlight w:val="none"/>
        </w:rPr>
        <w:fldChar w:fldCharType="begin"/>
      </w:r>
      <w:r>
        <w:rPr>
          <w:rFonts w:hint="eastAsia" w:asciiTheme="minorEastAsia" w:hAnsiTheme="minorEastAsia" w:eastAsiaTheme="minorEastAsia" w:cstheme="minorEastAsia"/>
          <w:b w:val="0"/>
          <w:color w:val="auto"/>
          <w:szCs w:val="28"/>
          <w:highlight w:val="none"/>
        </w:rPr>
        <w:instrText xml:space="preserve">TOC \o "1-3" \h \z \u</w:instrText>
      </w:r>
      <w:r>
        <w:rPr>
          <w:rFonts w:hint="eastAsia" w:asciiTheme="minorEastAsia" w:hAnsiTheme="minorEastAsia" w:eastAsiaTheme="minorEastAsia" w:cstheme="minorEastAsia"/>
          <w:b w:val="0"/>
          <w:color w:val="auto"/>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sz w:val="28"/>
          <w:szCs w:val="28"/>
          <w:highlight w:val="none"/>
        </w:rPr>
        <w:instrText xml:space="preserve"> HYPERLINK \l _Toc16244 </w:instrText>
      </w:r>
      <w:r>
        <w:rPr>
          <w:rFonts w:hint="eastAsia" w:asciiTheme="minorEastAsia" w:hAnsiTheme="minorEastAsia" w:eastAsiaTheme="minorEastAsia" w:cstheme="minorEastAsia"/>
          <w:b/>
          <w:bCs/>
          <w:sz w:val="28"/>
          <w:szCs w:val="28"/>
          <w:highlight w:val="none"/>
        </w:rPr>
        <w:fldChar w:fldCharType="separate"/>
      </w:r>
      <w:r>
        <w:rPr>
          <w:rFonts w:hint="eastAsia" w:asciiTheme="minorEastAsia" w:hAnsiTheme="minorEastAsia" w:eastAsiaTheme="minorEastAsia" w:cstheme="minorEastAsia"/>
          <w:b/>
          <w:bCs/>
          <w:sz w:val="28"/>
          <w:szCs w:val="28"/>
          <w:highlight w:val="none"/>
        </w:rPr>
        <w:t>第一章 招标公告</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_Toc16244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sz w:val="28"/>
          <w:szCs w:val="28"/>
          <w:highlight w:val="none"/>
        </w:rPr>
        <w:fldChar w:fldCharType="end"/>
      </w:r>
    </w:p>
    <w:p>
      <w:pPr>
        <w:pStyle w:val="26"/>
        <w:keepNext w:val="0"/>
        <w:keepLines w:val="0"/>
        <w:pageBreakBefore w:val="0"/>
        <w:tabs>
          <w:tab w:val="right" w:leader="dot" w:pos="9750"/>
        </w:tabs>
        <w:kinsoku/>
        <w:wordWrap/>
        <w:overflowPunct/>
        <w:topLinePunct w:val="0"/>
        <w:bidi w:val="0"/>
        <w:snapToGrid/>
        <w:spacing w:line="48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sz w:val="28"/>
          <w:szCs w:val="28"/>
          <w:highlight w:val="none"/>
        </w:rPr>
        <w:instrText xml:space="preserve"> HYPERLINK \l _Toc7742 </w:instrText>
      </w:r>
      <w:r>
        <w:rPr>
          <w:rFonts w:hint="eastAsia" w:asciiTheme="minorEastAsia" w:hAnsiTheme="minorEastAsia" w:eastAsiaTheme="minorEastAsia" w:cstheme="minorEastAsia"/>
          <w:b/>
          <w:bCs/>
          <w:sz w:val="28"/>
          <w:szCs w:val="28"/>
          <w:highlight w:val="none"/>
        </w:rPr>
        <w:fldChar w:fldCharType="separate"/>
      </w:r>
      <w:r>
        <w:rPr>
          <w:rFonts w:hint="eastAsia" w:asciiTheme="minorEastAsia" w:hAnsiTheme="minorEastAsia" w:eastAsiaTheme="minorEastAsia" w:cstheme="minorEastAsia"/>
          <w:b/>
          <w:bCs/>
          <w:sz w:val="28"/>
          <w:szCs w:val="28"/>
          <w:highlight w:val="none"/>
        </w:rPr>
        <w:t xml:space="preserve">第二章 </w:t>
      </w:r>
      <w:r>
        <w:rPr>
          <w:rFonts w:hint="eastAsia" w:asciiTheme="minorEastAsia" w:hAnsiTheme="minorEastAsia" w:eastAsiaTheme="minorEastAsia" w:cstheme="minorEastAsia"/>
          <w:b/>
          <w:bCs/>
          <w:sz w:val="28"/>
          <w:szCs w:val="28"/>
          <w:highlight w:val="none"/>
          <w:lang w:eastAsia="zh-CN"/>
        </w:rPr>
        <w:t>供应商</w:t>
      </w:r>
      <w:r>
        <w:rPr>
          <w:rFonts w:hint="eastAsia" w:asciiTheme="minorEastAsia" w:hAnsiTheme="minorEastAsia" w:eastAsiaTheme="minorEastAsia" w:cstheme="minorEastAsia"/>
          <w:b/>
          <w:bCs/>
          <w:sz w:val="28"/>
          <w:szCs w:val="28"/>
          <w:highlight w:val="none"/>
        </w:rPr>
        <w:t>须知</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_Toc7742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sz w:val="28"/>
          <w:szCs w:val="28"/>
          <w:highlight w:val="none"/>
        </w:rPr>
        <w:fldChar w:fldCharType="end"/>
      </w:r>
    </w:p>
    <w:p>
      <w:pPr>
        <w:pStyle w:val="29"/>
        <w:keepNext w:val="0"/>
        <w:keepLines w:val="0"/>
        <w:pageBreakBefore w:val="0"/>
        <w:widowControl w:val="0"/>
        <w:tabs>
          <w:tab w:val="right" w:leader="dot" w:pos="9750"/>
          <w:tab w:val="clear" w:pos="8296"/>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sz w:val="28"/>
          <w:szCs w:val="28"/>
          <w:highlight w:val="none"/>
        </w:rPr>
        <w:instrText xml:space="preserve"> HYPERLINK \l _Toc13613 </w:instrText>
      </w:r>
      <w:r>
        <w:rPr>
          <w:rFonts w:hint="eastAsia" w:asciiTheme="minorEastAsia" w:hAnsiTheme="minorEastAsia" w:eastAsiaTheme="minorEastAsia" w:cstheme="minorEastAsia"/>
          <w:b/>
          <w:bCs/>
          <w:sz w:val="28"/>
          <w:szCs w:val="28"/>
          <w:highlight w:val="none"/>
        </w:rPr>
        <w:fldChar w:fldCharType="separate"/>
      </w:r>
      <w:r>
        <w:rPr>
          <w:rFonts w:hint="eastAsia" w:asciiTheme="minorEastAsia" w:hAnsiTheme="minorEastAsia" w:eastAsiaTheme="minorEastAsia" w:cstheme="minorEastAsia"/>
          <w:b/>
          <w:bCs/>
          <w:sz w:val="28"/>
          <w:szCs w:val="28"/>
          <w:highlight w:val="none"/>
        </w:rPr>
        <w:t>第三章 评标办法（综合评分法）</w:t>
      </w:r>
      <w:r>
        <w:rPr>
          <w:rFonts w:hint="eastAsia" w:asciiTheme="minorEastAsia" w:hAnsiTheme="minorEastAsia" w:eastAsiaTheme="minorEastAsia" w:cstheme="minorEastAsia"/>
          <w:b/>
          <w:bCs/>
          <w:caps/>
          <w:kern w:val="0"/>
          <w:sz w:val="28"/>
          <w:szCs w:val="28"/>
          <w:lang w:val="zh-CN" w:eastAsia="zh-CN" w:bidi="ar-SA"/>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_Toc13613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sz w:val="28"/>
          <w:szCs w:val="28"/>
          <w:highlight w:val="none"/>
        </w:rPr>
        <w:fldChar w:fldCharType="end"/>
      </w:r>
    </w:p>
    <w:p>
      <w:pPr>
        <w:pStyle w:val="26"/>
        <w:keepNext w:val="0"/>
        <w:keepLines w:val="0"/>
        <w:pageBreakBefore w:val="0"/>
        <w:tabs>
          <w:tab w:val="right" w:leader="dot" w:pos="9750"/>
        </w:tabs>
        <w:kinsoku/>
        <w:wordWrap/>
        <w:overflowPunct/>
        <w:topLinePunct w:val="0"/>
        <w:bidi w:val="0"/>
        <w:snapToGrid/>
        <w:spacing w:line="48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sz w:val="28"/>
          <w:szCs w:val="28"/>
          <w:highlight w:val="none"/>
        </w:rPr>
        <w:instrText xml:space="preserve"> HYPERLINK \l _Toc17432 </w:instrText>
      </w:r>
      <w:r>
        <w:rPr>
          <w:rFonts w:hint="eastAsia" w:asciiTheme="minorEastAsia" w:hAnsiTheme="minorEastAsia" w:eastAsiaTheme="minorEastAsia" w:cstheme="minorEastAsia"/>
          <w:b/>
          <w:bCs/>
          <w:sz w:val="28"/>
          <w:szCs w:val="28"/>
          <w:highlight w:val="none"/>
        </w:rPr>
        <w:fldChar w:fldCharType="separate"/>
      </w:r>
      <w:r>
        <w:rPr>
          <w:rFonts w:hint="eastAsia" w:asciiTheme="minorEastAsia" w:hAnsiTheme="minorEastAsia" w:eastAsiaTheme="minorEastAsia" w:cstheme="minorEastAsia"/>
          <w:b/>
          <w:bCs/>
          <w:sz w:val="28"/>
          <w:szCs w:val="28"/>
          <w:highlight w:val="none"/>
        </w:rPr>
        <w:t xml:space="preserve">第四章 </w:t>
      </w:r>
      <w:r>
        <w:rPr>
          <w:rFonts w:hint="eastAsia" w:asciiTheme="minorEastAsia" w:hAnsiTheme="minorEastAsia" w:eastAsiaTheme="minorEastAsia" w:cstheme="minorEastAsia"/>
          <w:b/>
          <w:bCs/>
          <w:sz w:val="28"/>
          <w:szCs w:val="28"/>
          <w:highlight w:val="none"/>
          <w:lang w:eastAsia="zh-CN"/>
        </w:rPr>
        <w:t>合同主要条款</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_Toc17432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41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sz w:val="28"/>
          <w:szCs w:val="28"/>
          <w:highlight w:val="none"/>
        </w:rPr>
        <w:fldChar w:fldCharType="end"/>
      </w:r>
    </w:p>
    <w:p>
      <w:pPr>
        <w:pStyle w:val="26"/>
        <w:keepNext w:val="0"/>
        <w:keepLines w:val="0"/>
        <w:pageBreakBefore w:val="0"/>
        <w:tabs>
          <w:tab w:val="right" w:leader="dot" w:pos="9750"/>
        </w:tabs>
        <w:kinsoku/>
        <w:wordWrap/>
        <w:overflowPunct/>
        <w:topLinePunct w:val="0"/>
        <w:bidi w:val="0"/>
        <w:snapToGrid/>
        <w:spacing w:line="48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sz w:val="28"/>
          <w:szCs w:val="28"/>
          <w:highlight w:val="none"/>
        </w:rPr>
        <w:instrText xml:space="preserve"> HYPERLINK \l _Toc23134 </w:instrText>
      </w:r>
      <w:r>
        <w:rPr>
          <w:rFonts w:hint="eastAsia" w:asciiTheme="minorEastAsia" w:hAnsiTheme="minorEastAsia" w:eastAsiaTheme="minorEastAsia" w:cstheme="minorEastAsia"/>
          <w:b/>
          <w:bCs/>
          <w:sz w:val="28"/>
          <w:szCs w:val="28"/>
          <w:highlight w:val="none"/>
        </w:rPr>
        <w:fldChar w:fldCharType="separate"/>
      </w:r>
      <w:r>
        <w:rPr>
          <w:rFonts w:hint="eastAsia" w:asciiTheme="minorEastAsia" w:hAnsiTheme="minorEastAsia" w:eastAsiaTheme="minorEastAsia" w:cstheme="minorEastAsia"/>
          <w:b/>
          <w:bCs/>
          <w:sz w:val="28"/>
          <w:szCs w:val="28"/>
          <w:lang w:val="en-US" w:eastAsia="zh-CN"/>
        </w:rPr>
        <w:t xml:space="preserve">第五章 </w:t>
      </w:r>
      <w:r>
        <w:rPr>
          <w:rFonts w:hint="eastAsia" w:asciiTheme="minorEastAsia" w:hAnsiTheme="minorEastAsia" w:eastAsiaTheme="minorEastAsia" w:cstheme="minorEastAsia"/>
          <w:b/>
          <w:bCs/>
          <w:sz w:val="28"/>
          <w:szCs w:val="28"/>
          <w:highlight w:val="none"/>
          <w:lang w:val="en-US" w:eastAsia="zh-CN"/>
        </w:rPr>
        <w:t>采购需求</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_Toc23134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44</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sz w:val="28"/>
          <w:szCs w:val="28"/>
          <w:highlight w:val="none"/>
        </w:rPr>
        <w:fldChar w:fldCharType="end"/>
      </w:r>
    </w:p>
    <w:p>
      <w:pPr>
        <w:pStyle w:val="26"/>
        <w:keepNext w:val="0"/>
        <w:keepLines w:val="0"/>
        <w:pageBreakBefore w:val="0"/>
        <w:tabs>
          <w:tab w:val="right" w:leader="dot" w:pos="9750"/>
        </w:tabs>
        <w:kinsoku/>
        <w:wordWrap/>
        <w:overflowPunct/>
        <w:topLinePunct w:val="0"/>
        <w:bidi w:val="0"/>
        <w:snapToGrid/>
        <w:spacing w:line="480" w:lineRule="auto"/>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sz w:val="28"/>
          <w:szCs w:val="28"/>
          <w:highlight w:val="none"/>
        </w:rPr>
        <w:instrText xml:space="preserve"> HYPERLINK \l _Toc508 </w:instrText>
      </w:r>
      <w:r>
        <w:rPr>
          <w:rFonts w:hint="eastAsia" w:asciiTheme="minorEastAsia" w:hAnsiTheme="minorEastAsia" w:eastAsiaTheme="minorEastAsia" w:cstheme="minorEastAsia"/>
          <w:b/>
          <w:bCs/>
          <w:sz w:val="28"/>
          <w:szCs w:val="28"/>
          <w:highlight w:val="none"/>
        </w:rPr>
        <w:fldChar w:fldCharType="separate"/>
      </w:r>
      <w:r>
        <w:rPr>
          <w:rFonts w:hint="eastAsia" w:asciiTheme="minorEastAsia" w:hAnsiTheme="minorEastAsia" w:eastAsiaTheme="minorEastAsia" w:cstheme="minorEastAsia"/>
          <w:b/>
          <w:bCs/>
          <w:sz w:val="28"/>
          <w:szCs w:val="28"/>
          <w:highlight w:val="none"/>
        </w:rPr>
        <w:t>第六章</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投标文件格式</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4</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8</w:t>
      </w:r>
    </w:p>
    <w:p>
      <w:pPr>
        <w:pStyle w:val="29"/>
        <w:tabs>
          <w:tab w:val="right" w:leader="dot" w:pos="9750"/>
          <w:tab w:val="clear" w:pos="8296"/>
        </w:tabs>
        <w:rPr>
          <w:rFonts w:hint="eastAsia" w:asciiTheme="minorEastAsia" w:hAnsiTheme="minorEastAsia" w:eastAsiaTheme="minorEastAsia" w:cstheme="minorEastAsia"/>
        </w:rPr>
      </w:pPr>
    </w:p>
    <w:p>
      <w:pPr>
        <w:spacing w:before="100" w:beforeAutospacing="1" w:after="100" w:afterAutospacing="1"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8"/>
          <w:highlight w:val="none"/>
        </w:rPr>
        <w:fldChar w:fldCharType="end"/>
      </w:r>
    </w:p>
    <w:p>
      <w:pPr>
        <w:spacing w:before="100" w:beforeAutospacing="1" w:after="100" w:afterAutospacing="1" w:line="480" w:lineRule="auto"/>
        <w:jc w:val="center"/>
        <w:rPr>
          <w:rFonts w:hint="eastAsia" w:asciiTheme="minorEastAsia" w:hAnsiTheme="minorEastAsia" w:eastAsiaTheme="minorEastAsia" w:cstheme="minorEastAsia"/>
          <w:color w:val="auto"/>
          <w:szCs w:val="21"/>
          <w:highlight w:val="none"/>
        </w:rPr>
      </w:pPr>
    </w:p>
    <w:p>
      <w:pPr>
        <w:spacing w:before="100" w:beforeAutospacing="1" w:after="100" w:afterAutospacing="1" w:line="480" w:lineRule="auto"/>
        <w:jc w:val="center"/>
        <w:rPr>
          <w:rFonts w:hint="eastAsia" w:asciiTheme="minorEastAsia" w:hAnsiTheme="minorEastAsia" w:eastAsiaTheme="minorEastAsia" w:cstheme="minorEastAsia"/>
          <w:color w:val="auto"/>
          <w:szCs w:val="21"/>
          <w:highlight w:val="none"/>
        </w:rPr>
      </w:pPr>
    </w:p>
    <w:p>
      <w:pPr>
        <w:topLinePunct/>
        <w:adjustRightInd w:val="0"/>
        <w:snapToGrid w:val="0"/>
        <w:spacing w:before="36" w:beforeLines="15" w:line="276" w:lineRule="auto"/>
        <w:jc w:val="center"/>
        <w:outlineLvl w:val="0"/>
        <w:rPr>
          <w:rFonts w:hint="eastAsia" w:asciiTheme="minorEastAsia" w:hAnsiTheme="minorEastAsia" w:eastAsiaTheme="minorEastAsia" w:cstheme="minorEastAsia"/>
          <w:b/>
          <w:color w:val="auto"/>
          <w:sz w:val="36"/>
          <w:szCs w:val="36"/>
          <w:highlight w:val="none"/>
        </w:rPr>
        <w:sectPr>
          <w:footerReference r:id="rId7" w:type="first"/>
          <w:footerReference r:id="rId6" w:type="default"/>
          <w:pgSz w:w="11910" w:h="16840"/>
          <w:pgMar w:top="1440" w:right="1080" w:bottom="1440" w:left="1080" w:header="0" w:footer="420" w:gutter="0"/>
          <w:pgNumType w:fmt="decimal" w:start="1"/>
          <w:cols w:space="720" w:num="1"/>
          <w:titlePg/>
          <w:docGrid w:linePitch="286" w:charSpace="0"/>
        </w:sectPr>
      </w:pPr>
    </w:p>
    <w:p>
      <w:pPr>
        <w:topLinePunct/>
        <w:adjustRightInd w:val="0"/>
        <w:snapToGrid w:val="0"/>
        <w:spacing w:before="36" w:beforeLines="15" w:line="276" w:lineRule="auto"/>
        <w:jc w:val="center"/>
        <w:outlineLvl w:val="0"/>
        <w:rPr>
          <w:rFonts w:hint="eastAsia" w:asciiTheme="minorEastAsia" w:hAnsiTheme="minorEastAsia" w:eastAsiaTheme="minorEastAsia" w:cstheme="minorEastAsia"/>
          <w:bCs/>
          <w:color w:val="auto"/>
          <w:highlight w:val="none"/>
        </w:rPr>
      </w:pPr>
      <w:bookmarkStart w:id="0" w:name="_Toc16244"/>
      <w:r>
        <w:rPr>
          <w:rFonts w:hint="eastAsia" w:asciiTheme="minorEastAsia" w:hAnsiTheme="minorEastAsia" w:eastAsiaTheme="minorEastAsia" w:cstheme="minorEastAsia"/>
          <w:b/>
          <w:color w:val="auto"/>
          <w:sz w:val="36"/>
          <w:szCs w:val="36"/>
          <w:highlight w:val="none"/>
        </w:rPr>
        <w:t xml:space="preserve">第一章 </w:t>
      </w:r>
      <w:r>
        <w:rPr>
          <w:rFonts w:hint="eastAsia" w:asciiTheme="minorEastAsia" w:hAnsiTheme="minorEastAsia" w:eastAsiaTheme="minorEastAsia" w:cstheme="minorEastAsia"/>
          <w:b/>
          <w:bCs/>
          <w:color w:val="auto"/>
          <w:sz w:val="36"/>
          <w:szCs w:val="36"/>
          <w:highlight w:val="none"/>
        </w:rPr>
        <w:t>招标公告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u w:val="single"/>
          <w:lang w:eastAsia="zh-CN"/>
        </w:rPr>
        <w:t>配合吉林省体育局乒曲篮武中心运动队提供赛事服务保障</w:t>
      </w:r>
      <w:r>
        <w:rPr>
          <w:rFonts w:hint="eastAsia" w:asciiTheme="minorEastAsia" w:hAnsiTheme="minorEastAsia" w:eastAsiaTheme="minorEastAsia" w:cstheme="minorEastAsia"/>
          <w:color w:val="auto"/>
          <w:highlight w:val="none"/>
        </w:rPr>
        <w:t>的潜在</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kern w:val="2"/>
          <w:sz w:val="21"/>
          <w:szCs w:val="21"/>
          <w:highlight w:val="none"/>
          <w:lang w:val="zh-CN"/>
        </w:rPr>
        <w:t>应</w:t>
      </w:r>
      <w:r>
        <w:rPr>
          <w:rFonts w:hint="eastAsia" w:asciiTheme="minorEastAsia" w:hAnsiTheme="minorEastAsia" w:eastAsiaTheme="minorEastAsia" w:cstheme="minorEastAsia"/>
          <w:color w:val="auto"/>
          <w:kern w:val="2"/>
          <w:sz w:val="21"/>
          <w:szCs w:val="21"/>
          <w:highlight w:val="none"/>
          <w:u w:val="single"/>
          <w:lang w:val="zh-CN"/>
        </w:rPr>
        <w:t>在政府采购云平台</w:t>
      </w:r>
      <w:r>
        <w:rPr>
          <w:rFonts w:hint="eastAsia" w:asciiTheme="minorEastAsia" w:hAnsiTheme="minorEastAsia" w:eastAsiaTheme="minorEastAsia" w:cstheme="minorEastAsia"/>
          <w:color w:val="auto"/>
          <w:kern w:val="0"/>
          <w:szCs w:val="24"/>
          <w:highlight w:val="none"/>
          <w:u w:val="single"/>
          <w:lang w:val="zh-CN" w:eastAsia="zh-CN"/>
        </w:rPr>
        <w:t>（网址：http://www.zcygov.cn）</w:t>
      </w:r>
      <w:r>
        <w:rPr>
          <w:rFonts w:hint="eastAsia" w:asciiTheme="minorEastAsia" w:hAnsiTheme="minorEastAsia" w:eastAsiaTheme="minorEastAsia" w:cstheme="minorEastAsia"/>
          <w:color w:val="auto"/>
          <w:kern w:val="2"/>
          <w:sz w:val="21"/>
          <w:szCs w:val="21"/>
          <w:highlight w:val="none"/>
          <w:u w:val="single"/>
          <w:lang w:val="zh-CN"/>
        </w:rPr>
        <w:t>获取招标文件</w:t>
      </w:r>
      <w:r>
        <w:rPr>
          <w:rFonts w:hint="eastAsia" w:asciiTheme="minorEastAsia" w:hAnsiTheme="minorEastAsia" w:eastAsiaTheme="minorEastAsia" w:cstheme="minorEastAsia"/>
          <w:color w:val="auto"/>
          <w:highlight w:val="none"/>
        </w:rPr>
        <w:t>，并</w:t>
      </w:r>
      <w:r>
        <w:rPr>
          <w:rFonts w:hint="eastAsia" w:asciiTheme="minorEastAsia" w:hAnsiTheme="minorEastAsia" w:eastAsiaTheme="minorEastAsia" w:cstheme="minorEastAsia"/>
          <w:bCs/>
          <w:color w:val="auto"/>
          <w:highlight w:val="none"/>
        </w:rPr>
        <w:t>于</w:t>
      </w:r>
      <w:r>
        <w:rPr>
          <w:rFonts w:hint="eastAsia" w:asciiTheme="minorEastAsia" w:hAnsiTheme="minorEastAsia" w:eastAsiaTheme="minorEastAsia" w:cstheme="minorEastAsia"/>
          <w:bCs/>
          <w:color w:val="auto"/>
          <w:highlight w:val="none"/>
          <w:lang w:eastAsia="zh-CN"/>
        </w:rPr>
        <w:t>202</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lang w:eastAsia="zh-CN"/>
        </w:rPr>
        <w:t>年</w:t>
      </w:r>
      <w:r>
        <w:rPr>
          <w:rFonts w:hint="eastAsia" w:asciiTheme="minorEastAsia" w:hAnsiTheme="minorEastAsia" w:eastAsiaTheme="minorEastAsia" w:cstheme="minorEastAsia"/>
          <w:bCs/>
          <w:color w:val="auto"/>
          <w:highlight w:val="none"/>
          <w:lang w:val="en-US" w:eastAsia="zh-CN"/>
        </w:rPr>
        <w:t>06</w:t>
      </w:r>
      <w:r>
        <w:rPr>
          <w:rFonts w:hint="eastAsia" w:asciiTheme="minorEastAsia" w:hAnsiTheme="minorEastAsia" w:eastAsiaTheme="minorEastAsia" w:cstheme="minorEastAsia"/>
          <w:bCs/>
          <w:color w:val="auto"/>
          <w:highlight w:val="none"/>
          <w:lang w:eastAsia="zh-CN"/>
        </w:rPr>
        <w:t>月</w:t>
      </w:r>
      <w:r>
        <w:rPr>
          <w:rFonts w:hint="eastAsia" w:asciiTheme="minorEastAsia" w:hAnsiTheme="minorEastAsia" w:eastAsiaTheme="minorEastAsia" w:cstheme="minorEastAsia"/>
          <w:bCs/>
          <w:color w:val="auto"/>
          <w:highlight w:val="none"/>
          <w:lang w:val="en-US" w:eastAsia="zh-CN"/>
        </w:rPr>
        <w:t>18</w:t>
      </w:r>
      <w:r>
        <w:rPr>
          <w:rFonts w:hint="eastAsia" w:asciiTheme="minorEastAsia" w:hAnsiTheme="minorEastAsia" w:eastAsiaTheme="minorEastAsia" w:cstheme="minorEastAsia"/>
          <w:bCs/>
          <w:color w:val="auto"/>
          <w:highlight w:val="none"/>
          <w:lang w:eastAsia="zh-CN"/>
        </w:rPr>
        <w:t>日</w:t>
      </w:r>
      <w:r>
        <w:rPr>
          <w:rFonts w:hint="eastAsia" w:asciiTheme="minorEastAsia" w:hAnsiTheme="minorEastAsia" w:eastAsiaTheme="minorEastAsia" w:cstheme="minorEastAsia"/>
          <w:bCs/>
          <w:color w:val="auto"/>
          <w:highlight w:val="none"/>
          <w:lang w:val="en-US" w:eastAsia="zh-CN"/>
        </w:rPr>
        <w:t>13</w:t>
      </w:r>
      <w:r>
        <w:rPr>
          <w:rFonts w:hint="eastAsia" w:asciiTheme="minorEastAsia" w:hAnsiTheme="minorEastAsia" w:eastAsiaTheme="minorEastAsia" w:cstheme="minorEastAsia"/>
          <w:bCs/>
          <w:color w:val="auto"/>
          <w:highlight w:val="none"/>
          <w:lang w:eastAsia="zh-CN"/>
        </w:rPr>
        <w:t>时</w:t>
      </w:r>
      <w:r>
        <w:rPr>
          <w:rFonts w:hint="eastAsia" w:asciiTheme="minorEastAsia" w:hAnsiTheme="minorEastAsia" w:eastAsiaTheme="minorEastAsia" w:cstheme="minorEastAsia"/>
          <w:bCs/>
          <w:color w:val="auto"/>
          <w:highlight w:val="none"/>
          <w:lang w:val="en-US" w:eastAsia="zh-CN"/>
        </w:rPr>
        <w:t>00</w:t>
      </w:r>
      <w:r>
        <w:rPr>
          <w:rFonts w:hint="eastAsia" w:asciiTheme="minorEastAsia" w:hAnsiTheme="minorEastAsia" w:eastAsiaTheme="minorEastAsia" w:cstheme="minorEastAsia"/>
          <w:bCs/>
          <w:color w:val="auto"/>
          <w:highlight w:val="none"/>
          <w:lang w:eastAsia="zh-CN"/>
        </w:rPr>
        <w:t>分</w:t>
      </w:r>
      <w:r>
        <w:rPr>
          <w:rFonts w:hint="eastAsia" w:asciiTheme="minorEastAsia" w:hAnsiTheme="minorEastAsia" w:eastAsiaTheme="minorEastAsia" w:cstheme="minorEastAsia"/>
          <w:bCs/>
          <w:color w:val="auto"/>
          <w:highlight w:val="none"/>
        </w:rPr>
        <w:t>（北京时间）前递交投标文件</w:t>
      </w:r>
      <w:r>
        <w:rPr>
          <w:rFonts w:hint="eastAsia" w:asciiTheme="minorEastAsia" w:hAnsiTheme="minorEastAsia" w:eastAsiaTheme="minorEastAsia" w:cstheme="minorEastAsia"/>
          <w:color w:val="auto"/>
          <w:highlight w:val="none"/>
        </w:rPr>
        <w:t>。</w:t>
      </w:r>
    </w:p>
    <w:p>
      <w:pPr>
        <w:pStyle w:val="3"/>
        <w:pageBreakBefore w:val="0"/>
        <w:widowControl w:val="0"/>
        <w:kinsoku/>
        <w:wordWrap/>
        <w:overflowPunct/>
        <w:topLinePunct w:val="0"/>
        <w:autoSpaceDE/>
        <w:autoSpaceDN/>
        <w:bidi w:val="0"/>
        <w:spacing w:before="0" w:after="0" w:line="400" w:lineRule="exact"/>
        <w:textAlignment w:val="auto"/>
        <w:rPr>
          <w:rFonts w:hint="eastAsia" w:asciiTheme="minorEastAsia" w:hAnsiTheme="minorEastAsia" w:eastAsiaTheme="minorEastAsia" w:cstheme="minorEastAsia"/>
          <w:color w:val="auto"/>
          <w:sz w:val="21"/>
          <w:szCs w:val="21"/>
          <w:highlight w:val="none"/>
          <w:lang w:eastAsia="zh-CN"/>
        </w:rPr>
      </w:pPr>
      <w:bookmarkStart w:id="1" w:name="_Toc28359079"/>
      <w:bookmarkStart w:id="2" w:name="_Toc28359002"/>
      <w:bookmarkStart w:id="3" w:name="_Toc35393790"/>
      <w:bookmarkStart w:id="4" w:name="_Toc35393621"/>
      <w:bookmarkStart w:id="5" w:name="_Toc63327616"/>
      <w:bookmarkStart w:id="6" w:name="_Toc2610"/>
      <w:bookmarkStart w:id="7" w:name="_Hlk24379207"/>
      <w:r>
        <w:rPr>
          <w:rFonts w:hint="eastAsia" w:asciiTheme="minorEastAsia" w:hAnsiTheme="minorEastAsia" w:eastAsiaTheme="minorEastAsia" w:cstheme="minorEastAsia"/>
          <w:color w:val="auto"/>
          <w:sz w:val="21"/>
          <w:szCs w:val="21"/>
          <w:highlight w:val="none"/>
        </w:rPr>
        <w:t>一、项目基本情况</w:t>
      </w:r>
      <w:bookmarkEnd w:id="1"/>
      <w:bookmarkEnd w:id="2"/>
      <w:bookmarkEnd w:id="3"/>
      <w:bookmarkEnd w:id="4"/>
      <w:r>
        <w:rPr>
          <w:rFonts w:hint="eastAsia" w:asciiTheme="minorEastAsia" w:hAnsiTheme="minorEastAsia" w:eastAsiaTheme="minorEastAsia" w:cstheme="minorEastAsia"/>
          <w:color w:val="auto"/>
          <w:sz w:val="21"/>
          <w:szCs w:val="21"/>
          <w:highlight w:val="none"/>
        </w:rPr>
        <w:t>：</w:t>
      </w:r>
      <w:bookmarkEnd w:id="5"/>
      <w:bookmarkEnd w:id="6"/>
    </w:p>
    <w:bookmarkEnd w:id="7"/>
    <w:p>
      <w:pPr>
        <w:pageBreakBefore w:val="0"/>
        <w:widowControl w:val="0"/>
        <w:kinsoku/>
        <w:wordWrap/>
        <w:overflowPunct/>
        <w:topLinePunct w:val="0"/>
        <w:autoSpaceDE/>
        <w:autoSpaceDN/>
        <w:bidi w:val="0"/>
        <w:spacing w:line="400" w:lineRule="exact"/>
        <w:ind w:firstLine="420" w:firstLineChars="200"/>
        <w:textAlignment w:val="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项目编号：采购计划-[2026]-10569号-ZASX2026007</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项目名称：配合吉林省体育局乒曲篮武中心运动队提供赛事服务保障</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预算金额：460万元</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最高限价：460万元</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采购需求：配合吉林省体育局乒曲篮武中心运动队提供赛事服务保障</w:t>
      </w:r>
      <w:r>
        <w:rPr>
          <w:rFonts w:hint="eastAsia" w:ascii="宋体" w:hAnsi="宋体" w:cs="宋体"/>
          <w:caps w:val="0"/>
          <w:vanish w:val="0"/>
          <w:color w:val="auto"/>
          <w:kern w:val="0"/>
          <w:sz w:val="21"/>
          <w:szCs w:val="21"/>
          <w:highlight w:val="none"/>
          <w:vertAlign w:val="baseline"/>
          <w:lang w:val="en-US" w:eastAsia="zh-CN"/>
        </w:rPr>
        <w:t>，具体内容详见招标文件第五章采购需求。</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合同履行</w:t>
      </w:r>
      <w:r>
        <w:rPr>
          <w:rFonts w:hint="eastAsia" w:ascii="宋体" w:hAnsi="宋体" w:cs="宋体"/>
          <w:caps w:val="0"/>
          <w:vanish w:val="0"/>
          <w:color w:val="auto"/>
          <w:kern w:val="0"/>
          <w:sz w:val="21"/>
          <w:szCs w:val="21"/>
          <w:highlight w:val="none"/>
          <w:vertAlign w:val="baseline"/>
          <w:lang w:val="en-US" w:eastAsia="zh-CN"/>
        </w:rPr>
        <w:t>期限：自合同签订之日起至2026年12月31日（与中心全年训练备战周期、全国赛事计划同步保障）。</w:t>
      </w:r>
    </w:p>
    <w:p>
      <w:pPr>
        <w:pStyle w:val="32"/>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jc w:val="both"/>
        <w:outlineLvl w:val="9"/>
        <w:rPr>
          <w:rFonts w:hint="eastAsia" w:ascii="宋体" w:hAnsi="宋体" w:eastAsia="宋体" w:cs="宋体"/>
          <w:caps w:val="0"/>
          <w:vanish w:val="0"/>
          <w:color w:val="auto"/>
          <w:kern w:val="0"/>
          <w:sz w:val="21"/>
          <w:szCs w:val="21"/>
          <w:highlight w:val="none"/>
          <w:u w:val="single"/>
          <w:vertAlign w:val="baseline"/>
        </w:rPr>
      </w:pPr>
      <w:r>
        <w:rPr>
          <w:rFonts w:hint="eastAsia" w:ascii="宋体" w:hAnsi="宋体" w:eastAsia="宋体" w:cs="宋体"/>
          <w:caps w:val="0"/>
          <w:vanish w:val="0"/>
          <w:color w:val="auto"/>
          <w:kern w:val="0"/>
          <w:sz w:val="21"/>
          <w:szCs w:val="21"/>
          <w:highlight w:val="none"/>
          <w:vertAlign w:val="baseline"/>
        </w:rPr>
        <w:t>本项目是否接受联合体：否。</w:t>
      </w:r>
    </w:p>
    <w:p>
      <w:pPr>
        <w:pStyle w:val="3"/>
        <w:pageBreakBefore w:val="0"/>
        <w:widowControl w:val="0"/>
        <w:kinsoku/>
        <w:wordWrap/>
        <w:overflowPunct/>
        <w:topLinePunct w:val="0"/>
        <w:autoSpaceDE/>
        <w:autoSpaceDN/>
        <w:bidi w:val="0"/>
        <w:spacing w:before="0" w:after="0" w:line="400" w:lineRule="exact"/>
        <w:textAlignment w:val="auto"/>
        <w:rPr>
          <w:rFonts w:hint="eastAsia" w:asciiTheme="minorEastAsia" w:hAnsiTheme="minorEastAsia" w:eastAsiaTheme="minorEastAsia" w:cstheme="minorEastAsia"/>
          <w:color w:val="auto"/>
          <w:sz w:val="21"/>
          <w:szCs w:val="21"/>
          <w:highlight w:val="none"/>
        </w:rPr>
      </w:pPr>
      <w:bookmarkStart w:id="8" w:name="_Toc35393791"/>
      <w:bookmarkStart w:id="9" w:name="_Toc63327617"/>
      <w:bookmarkStart w:id="10" w:name="_Toc35393622"/>
      <w:bookmarkStart w:id="11" w:name="_Toc2747"/>
      <w:bookmarkStart w:id="12" w:name="_Toc28359003"/>
      <w:bookmarkStart w:id="13" w:name="_Toc28359080"/>
      <w:r>
        <w:rPr>
          <w:rFonts w:hint="eastAsia" w:asciiTheme="minorEastAsia" w:hAnsiTheme="minorEastAsia" w:eastAsiaTheme="minorEastAsia" w:cstheme="minorEastAsia"/>
          <w:color w:val="auto"/>
          <w:sz w:val="21"/>
          <w:szCs w:val="21"/>
          <w:highlight w:val="none"/>
        </w:rPr>
        <w:t>二、申请人的资格要求：</w:t>
      </w:r>
      <w:bookmarkEnd w:id="8"/>
      <w:bookmarkEnd w:id="9"/>
      <w:bookmarkEnd w:id="10"/>
      <w:bookmarkEnd w:id="11"/>
      <w:bookmarkEnd w:id="12"/>
      <w:bookmarkEnd w:id="13"/>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highlight w:val="none"/>
        </w:rPr>
      </w:pPr>
      <w:bookmarkStart w:id="14" w:name="_Toc28359004"/>
      <w:bookmarkStart w:id="15" w:name="_Toc28359081"/>
      <w:r>
        <w:rPr>
          <w:rFonts w:hint="eastAsia" w:asciiTheme="minorEastAsia" w:hAnsiTheme="minorEastAsia" w:eastAsiaTheme="minorEastAsia" w:cstheme="minorEastAsia"/>
          <w:color w:val="auto"/>
          <w:highlight w:val="none"/>
        </w:rPr>
        <w:t>1.满足《中华人民共和国政府采购法》第二十二条规定；</w:t>
      </w:r>
    </w:p>
    <w:p>
      <w:pPr>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outlineLvl w:val="9"/>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iCs/>
          <w:color w:val="auto"/>
          <w:sz w:val="21"/>
          <w:szCs w:val="21"/>
          <w:highlight w:val="none"/>
          <w:lang w:eastAsia="zh-CN"/>
        </w:rPr>
        <w:t>本项目专门面向中小企业采购</w:t>
      </w:r>
      <w:r>
        <w:rPr>
          <w:rFonts w:hint="eastAsia" w:ascii="宋体" w:hAnsi="宋体" w:eastAsia="宋体" w:cs="宋体"/>
          <w:color w:val="auto"/>
          <w:sz w:val="21"/>
          <w:szCs w:val="21"/>
          <w:highlight w:val="none"/>
          <w:lang w:eastAsia="zh-CN"/>
        </w:rPr>
        <w:t>，供应商应为中小微企业、监狱企业、残疾人福利性单位</w:t>
      </w:r>
      <w:r>
        <w:rPr>
          <w:rFonts w:hint="eastAsia" w:asciiTheme="minorEastAsia" w:hAnsiTheme="minorEastAsia" w:eastAsiaTheme="minorEastAsia" w:cstheme="minorEastAsia"/>
          <w:iCs/>
          <w:color w:val="auto"/>
          <w:sz w:val="21"/>
          <w:szCs w:val="21"/>
          <w:highlight w:val="none"/>
          <w:lang w:eastAsia="zh-CN"/>
        </w:rPr>
        <w:t>。</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val="en-US" w:eastAsia="zh-CN"/>
        </w:rPr>
        <w:t>无。</w:t>
      </w:r>
    </w:p>
    <w:p>
      <w:pPr>
        <w:pStyle w:val="3"/>
        <w:pageBreakBefore w:val="0"/>
        <w:widowControl w:val="0"/>
        <w:kinsoku/>
        <w:wordWrap/>
        <w:overflowPunct/>
        <w:topLinePunct w:val="0"/>
        <w:autoSpaceDE/>
        <w:autoSpaceDN/>
        <w:bidi w:val="0"/>
        <w:spacing w:before="0" w:after="0" w:line="400" w:lineRule="exact"/>
        <w:textAlignment w:val="auto"/>
        <w:rPr>
          <w:rFonts w:hint="eastAsia" w:asciiTheme="minorEastAsia" w:hAnsiTheme="minorEastAsia" w:eastAsiaTheme="minorEastAsia" w:cstheme="minorEastAsia"/>
          <w:color w:val="auto"/>
          <w:sz w:val="21"/>
          <w:szCs w:val="21"/>
          <w:highlight w:val="none"/>
        </w:rPr>
      </w:pPr>
      <w:bookmarkStart w:id="16" w:name="_Toc35393623"/>
      <w:bookmarkStart w:id="17" w:name="_Toc35393792"/>
      <w:bookmarkStart w:id="18" w:name="_Toc63327618"/>
      <w:bookmarkStart w:id="19" w:name="_Toc324"/>
      <w:r>
        <w:rPr>
          <w:rFonts w:hint="eastAsia" w:asciiTheme="minorEastAsia" w:hAnsiTheme="minorEastAsia" w:eastAsiaTheme="minorEastAsia" w:cstheme="minorEastAsia"/>
          <w:color w:val="auto"/>
          <w:sz w:val="21"/>
          <w:szCs w:val="21"/>
          <w:highlight w:val="none"/>
        </w:rPr>
        <w:t>三、获取招标文件</w:t>
      </w:r>
      <w:bookmarkEnd w:id="14"/>
      <w:bookmarkEnd w:id="15"/>
      <w:bookmarkEnd w:id="16"/>
      <w:bookmarkEnd w:id="17"/>
      <w:r>
        <w:rPr>
          <w:rFonts w:hint="eastAsia" w:asciiTheme="minorEastAsia" w:hAnsiTheme="minorEastAsia" w:eastAsiaTheme="minorEastAsia" w:cstheme="minorEastAsia"/>
          <w:color w:val="auto"/>
          <w:sz w:val="21"/>
          <w:szCs w:val="21"/>
          <w:highlight w:val="none"/>
        </w:rPr>
        <w:t>：</w:t>
      </w:r>
      <w:bookmarkEnd w:id="18"/>
      <w:bookmarkEnd w:id="19"/>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highlight w:val="none"/>
        </w:rPr>
      </w:pPr>
      <w:bookmarkStart w:id="20" w:name="_Toc28359005"/>
      <w:bookmarkStart w:id="21" w:name="_Toc28359082"/>
      <w:bookmarkStart w:id="22" w:name="_Toc63327619"/>
      <w:bookmarkStart w:id="23" w:name="_Toc35393624"/>
      <w:bookmarkStart w:id="24" w:name="_Toc9707"/>
      <w:bookmarkStart w:id="25" w:name="_Toc35393793"/>
      <w:r>
        <w:rPr>
          <w:rFonts w:hint="eastAsia" w:asciiTheme="minorEastAsia" w:hAnsiTheme="minorEastAsia" w:eastAsiaTheme="minorEastAsia" w:cstheme="minorEastAsia"/>
          <w:color w:val="auto"/>
          <w:highlight w:val="none"/>
        </w:rPr>
        <w:t>时间：</w:t>
      </w:r>
      <w:r>
        <w:rPr>
          <w:rFonts w:hint="eastAsia" w:asciiTheme="minorEastAsia" w:hAnsiTheme="minorEastAsia" w:eastAsiaTheme="minorEastAsia" w:cstheme="minorEastAsia"/>
          <w:color w:val="auto"/>
          <w:highlight w:val="none"/>
          <w:lang w:val="en-US" w:eastAsia="zh-CN"/>
        </w:rPr>
        <w:t>2026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05</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28</w:t>
      </w:r>
      <w:r>
        <w:rPr>
          <w:rFonts w:hint="eastAsia" w:asciiTheme="minorEastAsia" w:hAnsiTheme="minorEastAsia" w:eastAsiaTheme="minorEastAsia" w:cstheme="minorEastAsia"/>
          <w:color w:val="auto"/>
          <w:highlight w:val="none"/>
        </w:rPr>
        <w:t>日至</w:t>
      </w:r>
      <w:r>
        <w:rPr>
          <w:rFonts w:hint="eastAsia" w:asciiTheme="minorEastAsia" w:hAnsiTheme="minorEastAsia" w:eastAsiaTheme="minorEastAsia" w:cstheme="minorEastAsia"/>
          <w:color w:val="auto"/>
          <w:highlight w:val="none"/>
          <w:lang w:val="en-US" w:eastAsia="zh-CN"/>
        </w:rPr>
        <w:t>2026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06</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04</w:t>
      </w:r>
      <w:r>
        <w:rPr>
          <w:rFonts w:hint="eastAsia" w:asciiTheme="minorEastAsia" w:hAnsiTheme="minorEastAsia" w:eastAsiaTheme="minorEastAsia" w:cstheme="minorEastAsia"/>
          <w:color w:val="auto"/>
          <w:highlight w:val="none"/>
        </w:rPr>
        <w:t>日，每天上午</w:t>
      </w:r>
      <w:r>
        <w:rPr>
          <w:rFonts w:hint="eastAsia" w:asciiTheme="minorEastAsia" w:hAnsiTheme="minorEastAsia" w:eastAsiaTheme="minorEastAsia" w:cstheme="minorEastAsia"/>
          <w:color w:val="auto"/>
          <w:highlight w:val="none"/>
          <w:lang w:val="en-US" w:eastAsia="zh-CN"/>
        </w:rPr>
        <w:t>8时30分</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lang w:val="en-US" w:eastAsia="zh-CN"/>
        </w:rPr>
        <w:t>12时00分</w:t>
      </w:r>
      <w:r>
        <w:rPr>
          <w:rFonts w:hint="eastAsia" w:asciiTheme="minorEastAsia" w:hAnsiTheme="minorEastAsia" w:eastAsiaTheme="minorEastAsia" w:cstheme="minorEastAsia"/>
          <w:color w:val="auto"/>
          <w:highlight w:val="none"/>
        </w:rPr>
        <w:t>，下午</w:t>
      </w:r>
      <w:r>
        <w:rPr>
          <w:rFonts w:hint="eastAsia" w:asciiTheme="minorEastAsia" w:hAnsiTheme="minorEastAsia" w:eastAsiaTheme="minorEastAsia" w:cstheme="minorEastAsia"/>
          <w:color w:val="auto"/>
          <w:highlight w:val="none"/>
          <w:lang w:val="en-US" w:eastAsia="zh-CN"/>
        </w:rPr>
        <w:t>12时00分</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lang w:val="en-US" w:eastAsia="zh-CN"/>
        </w:rPr>
        <w:t>16时00分</w:t>
      </w:r>
      <w:r>
        <w:rPr>
          <w:rFonts w:hint="eastAsia" w:asciiTheme="minorEastAsia" w:hAnsiTheme="minorEastAsia" w:eastAsiaTheme="minorEastAsia" w:cstheme="minorEastAsia"/>
          <w:color w:val="auto"/>
          <w:highlight w:val="none"/>
        </w:rPr>
        <w:t>（北京时间，法定节假日除外）</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地点：政采云平台线上获取</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售价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元</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0</w:t>
      </w:r>
    </w:p>
    <w:p>
      <w:pPr>
        <w:pStyle w:val="3"/>
        <w:pageBreakBefore w:val="0"/>
        <w:widowControl w:val="0"/>
        <w:kinsoku/>
        <w:wordWrap/>
        <w:overflowPunct/>
        <w:topLinePunct w:val="0"/>
        <w:autoSpaceDE/>
        <w:autoSpaceDN/>
        <w:bidi w:val="0"/>
        <w:spacing w:before="0" w:after="0"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四、提交投标文件</w:t>
      </w:r>
      <w:bookmarkEnd w:id="20"/>
      <w:bookmarkEnd w:id="21"/>
      <w:r>
        <w:rPr>
          <w:rFonts w:hint="eastAsia" w:asciiTheme="minorEastAsia" w:hAnsiTheme="minorEastAsia" w:eastAsiaTheme="minorEastAsia" w:cstheme="minorEastAsia"/>
          <w:color w:val="auto"/>
          <w:sz w:val="21"/>
          <w:szCs w:val="21"/>
          <w:highlight w:val="none"/>
        </w:rPr>
        <w:t>截止时间、开标时间和地点</w:t>
      </w:r>
      <w:bookmarkEnd w:id="22"/>
      <w:bookmarkEnd w:id="23"/>
      <w:bookmarkEnd w:id="24"/>
      <w:bookmarkEnd w:id="25"/>
    </w:p>
    <w:p>
      <w:pPr>
        <w:pStyle w:val="67"/>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kern w:val="0"/>
          <w:szCs w:val="24"/>
          <w:highlight w:val="none"/>
          <w:lang w:val="zh-CN" w:eastAsia="zh-CN"/>
        </w:rPr>
      </w:pPr>
      <w:bookmarkStart w:id="26" w:name="_Toc28359007"/>
      <w:bookmarkStart w:id="27" w:name="_Toc63327620"/>
      <w:bookmarkStart w:id="28" w:name="_Toc35393625"/>
      <w:bookmarkStart w:id="29" w:name="_Toc28359084"/>
      <w:bookmarkStart w:id="30" w:name="_Toc35393794"/>
      <w:bookmarkStart w:id="31" w:name="_Toc3359"/>
      <w:r>
        <w:rPr>
          <w:rFonts w:hint="eastAsia" w:asciiTheme="minorEastAsia" w:hAnsiTheme="minorEastAsia" w:eastAsiaTheme="minorEastAsia" w:cstheme="minorEastAsia"/>
          <w:color w:val="auto"/>
          <w:kern w:val="0"/>
          <w:szCs w:val="24"/>
          <w:highlight w:val="none"/>
          <w:lang w:val="zh-CN" w:eastAsia="zh-CN"/>
        </w:rPr>
        <w:t>提交投标文件截止时间：</w:t>
      </w:r>
      <w:r>
        <w:rPr>
          <w:rFonts w:hint="eastAsia" w:asciiTheme="minorEastAsia" w:hAnsiTheme="minorEastAsia" w:eastAsiaTheme="minorEastAsia" w:cstheme="minorEastAsia"/>
          <w:bCs/>
          <w:color w:val="auto"/>
          <w:highlight w:val="none"/>
          <w:lang w:eastAsia="zh-CN"/>
        </w:rPr>
        <w:t>202</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lang w:eastAsia="zh-CN"/>
        </w:rPr>
        <w:t>年</w:t>
      </w:r>
      <w:r>
        <w:rPr>
          <w:rFonts w:hint="eastAsia" w:asciiTheme="minorEastAsia" w:hAnsiTheme="minorEastAsia" w:eastAsiaTheme="minorEastAsia" w:cstheme="minorEastAsia"/>
          <w:bCs/>
          <w:color w:val="auto"/>
          <w:highlight w:val="none"/>
          <w:lang w:val="en-US" w:eastAsia="zh-CN"/>
        </w:rPr>
        <w:t>06</w:t>
      </w:r>
      <w:r>
        <w:rPr>
          <w:rFonts w:hint="eastAsia" w:asciiTheme="minorEastAsia" w:hAnsiTheme="minorEastAsia" w:eastAsiaTheme="minorEastAsia" w:cstheme="minorEastAsia"/>
          <w:bCs/>
          <w:color w:val="auto"/>
          <w:highlight w:val="none"/>
          <w:lang w:eastAsia="zh-CN"/>
        </w:rPr>
        <w:t>月</w:t>
      </w:r>
      <w:r>
        <w:rPr>
          <w:rFonts w:hint="eastAsia" w:asciiTheme="minorEastAsia" w:hAnsiTheme="minorEastAsia" w:eastAsiaTheme="minorEastAsia" w:cstheme="minorEastAsia"/>
          <w:bCs/>
          <w:color w:val="auto"/>
          <w:highlight w:val="none"/>
          <w:lang w:val="en-US" w:eastAsia="zh-CN"/>
        </w:rPr>
        <w:t>18</w:t>
      </w:r>
      <w:r>
        <w:rPr>
          <w:rFonts w:hint="eastAsia" w:asciiTheme="minorEastAsia" w:hAnsiTheme="minorEastAsia" w:eastAsiaTheme="minorEastAsia" w:cstheme="minorEastAsia"/>
          <w:bCs/>
          <w:color w:val="auto"/>
          <w:highlight w:val="none"/>
          <w:lang w:eastAsia="zh-CN"/>
        </w:rPr>
        <w:t>日</w:t>
      </w:r>
      <w:r>
        <w:rPr>
          <w:rFonts w:hint="eastAsia" w:asciiTheme="minorEastAsia" w:hAnsiTheme="minorEastAsia" w:eastAsiaTheme="minorEastAsia" w:cstheme="minorEastAsia"/>
          <w:bCs/>
          <w:color w:val="auto"/>
          <w:highlight w:val="none"/>
          <w:lang w:val="en-US" w:eastAsia="zh-CN"/>
        </w:rPr>
        <w:t>13</w:t>
      </w:r>
      <w:r>
        <w:rPr>
          <w:rFonts w:hint="eastAsia" w:asciiTheme="minorEastAsia" w:hAnsiTheme="minorEastAsia" w:eastAsiaTheme="minorEastAsia" w:cstheme="minorEastAsia"/>
          <w:bCs/>
          <w:color w:val="auto"/>
          <w:highlight w:val="none"/>
          <w:lang w:eastAsia="zh-CN"/>
        </w:rPr>
        <w:t>时</w:t>
      </w:r>
      <w:r>
        <w:rPr>
          <w:rFonts w:hint="eastAsia" w:asciiTheme="minorEastAsia" w:hAnsiTheme="minorEastAsia" w:eastAsiaTheme="minorEastAsia" w:cstheme="minorEastAsia"/>
          <w:bCs/>
          <w:color w:val="auto"/>
          <w:highlight w:val="none"/>
          <w:lang w:val="en-US" w:eastAsia="zh-CN"/>
        </w:rPr>
        <w:t>00</w:t>
      </w:r>
      <w:r>
        <w:rPr>
          <w:rFonts w:hint="eastAsia" w:asciiTheme="minorEastAsia" w:hAnsiTheme="minorEastAsia" w:eastAsiaTheme="minorEastAsia" w:cstheme="minorEastAsia"/>
          <w:bCs/>
          <w:color w:val="auto"/>
          <w:highlight w:val="none"/>
          <w:lang w:eastAsia="zh-CN"/>
        </w:rPr>
        <w:t>分</w:t>
      </w:r>
      <w:r>
        <w:rPr>
          <w:rFonts w:hint="eastAsia" w:asciiTheme="minorEastAsia" w:hAnsiTheme="minorEastAsia" w:eastAsiaTheme="minorEastAsia" w:cstheme="minorEastAsia"/>
          <w:color w:val="auto"/>
          <w:kern w:val="0"/>
          <w:szCs w:val="24"/>
          <w:highlight w:val="none"/>
          <w:lang w:val="zh-CN" w:eastAsia="zh-CN"/>
        </w:rPr>
        <w:t>（北京时间）</w:t>
      </w:r>
    </w:p>
    <w:p>
      <w:pPr>
        <w:pStyle w:val="67"/>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kern w:val="0"/>
          <w:szCs w:val="24"/>
          <w:highlight w:val="none"/>
          <w:lang w:val="zh-CN" w:eastAsia="zh-CN"/>
        </w:rPr>
      </w:pPr>
      <w:r>
        <w:rPr>
          <w:rFonts w:hint="eastAsia" w:asciiTheme="minorEastAsia" w:hAnsiTheme="minorEastAsia" w:eastAsiaTheme="minorEastAsia" w:cstheme="minorEastAsia"/>
          <w:color w:val="auto"/>
          <w:kern w:val="0"/>
          <w:szCs w:val="24"/>
          <w:highlight w:val="none"/>
          <w:lang w:val="zh-CN" w:eastAsia="zh-CN"/>
        </w:rPr>
        <w:t>投标地点（网址）：请登录政采云投标客户端投标</w:t>
      </w:r>
    </w:p>
    <w:p>
      <w:pPr>
        <w:pStyle w:val="67"/>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kern w:val="0"/>
          <w:szCs w:val="24"/>
          <w:highlight w:val="none"/>
          <w:lang w:val="zh-CN" w:eastAsia="zh-CN"/>
        </w:rPr>
      </w:pPr>
      <w:r>
        <w:rPr>
          <w:rFonts w:hint="eastAsia" w:asciiTheme="minorEastAsia" w:hAnsiTheme="minorEastAsia" w:eastAsiaTheme="minorEastAsia" w:cstheme="minorEastAsia"/>
          <w:color w:val="auto"/>
          <w:kern w:val="0"/>
          <w:szCs w:val="24"/>
          <w:highlight w:val="none"/>
          <w:lang w:val="zh-CN" w:eastAsia="zh-CN"/>
        </w:rPr>
        <w:t>开标时间：</w:t>
      </w:r>
      <w:r>
        <w:rPr>
          <w:rFonts w:hint="eastAsia" w:asciiTheme="minorEastAsia" w:hAnsiTheme="minorEastAsia" w:eastAsiaTheme="minorEastAsia" w:cstheme="minorEastAsia"/>
          <w:bCs/>
          <w:color w:val="auto"/>
          <w:highlight w:val="none"/>
          <w:lang w:eastAsia="zh-CN"/>
        </w:rPr>
        <w:t>202</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lang w:eastAsia="zh-CN"/>
        </w:rPr>
        <w:t>年</w:t>
      </w:r>
      <w:r>
        <w:rPr>
          <w:rFonts w:hint="eastAsia" w:asciiTheme="minorEastAsia" w:hAnsiTheme="minorEastAsia" w:eastAsiaTheme="minorEastAsia" w:cstheme="minorEastAsia"/>
          <w:bCs/>
          <w:color w:val="auto"/>
          <w:highlight w:val="none"/>
          <w:lang w:val="en-US" w:eastAsia="zh-CN"/>
        </w:rPr>
        <w:t>06</w:t>
      </w:r>
      <w:r>
        <w:rPr>
          <w:rFonts w:hint="eastAsia" w:asciiTheme="minorEastAsia" w:hAnsiTheme="minorEastAsia" w:eastAsiaTheme="minorEastAsia" w:cstheme="minorEastAsia"/>
          <w:bCs/>
          <w:color w:val="auto"/>
          <w:highlight w:val="none"/>
          <w:lang w:eastAsia="zh-CN"/>
        </w:rPr>
        <w:t>月</w:t>
      </w:r>
      <w:r>
        <w:rPr>
          <w:rFonts w:hint="eastAsia" w:asciiTheme="minorEastAsia" w:hAnsiTheme="minorEastAsia" w:eastAsiaTheme="minorEastAsia" w:cstheme="minorEastAsia"/>
          <w:bCs/>
          <w:color w:val="auto"/>
          <w:highlight w:val="none"/>
          <w:lang w:val="en-US" w:eastAsia="zh-CN"/>
        </w:rPr>
        <w:t>18</w:t>
      </w:r>
      <w:r>
        <w:rPr>
          <w:rFonts w:hint="eastAsia" w:asciiTheme="minorEastAsia" w:hAnsiTheme="minorEastAsia" w:eastAsiaTheme="minorEastAsia" w:cstheme="minorEastAsia"/>
          <w:bCs/>
          <w:color w:val="auto"/>
          <w:highlight w:val="none"/>
          <w:lang w:eastAsia="zh-CN"/>
        </w:rPr>
        <w:t>日</w:t>
      </w:r>
      <w:r>
        <w:rPr>
          <w:rFonts w:hint="eastAsia" w:asciiTheme="minorEastAsia" w:hAnsiTheme="minorEastAsia" w:eastAsiaTheme="minorEastAsia" w:cstheme="minorEastAsia"/>
          <w:bCs/>
          <w:color w:val="auto"/>
          <w:highlight w:val="none"/>
          <w:lang w:val="en-US" w:eastAsia="zh-CN"/>
        </w:rPr>
        <w:t>13</w:t>
      </w:r>
      <w:r>
        <w:rPr>
          <w:rFonts w:hint="eastAsia" w:asciiTheme="minorEastAsia" w:hAnsiTheme="minorEastAsia" w:eastAsiaTheme="minorEastAsia" w:cstheme="minorEastAsia"/>
          <w:bCs/>
          <w:color w:val="auto"/>
          <w:highlight w:val="none"/>
          <w:lang w:eastAsia="zh-CN"/>
        </w:rPr>
        <w:t>时</w:t>
      </w:r>
      <w:r>
        <w:rPr>
          <w:rFonts w:hint="eastAsia" w:asciiTheme="minorEastAsia" w:hAnsiTheme="minorEastAsia" w:eastAsiaTheme="minorEastAsia" w:cstheme="minorEastAsia"/>
          <w:bCs/>
          <w:color w:val="auto"/>
          <w:highlight w:val="none"/>
          <w:lang w:val="en-US" w:eastAsia="zh-CN"/>
        </w:rPr>
        <w:t>00</w:t>
      </w:r>
      <w:r>
        <w:rPr>
          <w:rFonts w:hint="eastAsia" w:asciiTheme="minorEastAsia" w:hAnsiTheme="minorEastAsia" w:eastAsiaTheme="minorEastAsia" w:cstheme="minorEastAsia"/>
          <w:bCs/>
          <w:color w:val="auto"/>
          <w:highlight w:val="none"/>
          <w:lang w:eastAsia="zh-CN"/>
        </w:rPr>
        <w:t>分</w:t>
      </w:r>
    </w:p>
    <w:p>
      <w:pPr>
        <w:pStyle w:val="67"/>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kern w:val="0"/>
          <w:szCs w:val="24"/>
          <w:highlight w:val="none"/>
          <w:lang w:val="zh-CN" w:eastAsia="zh-CN"/>
        </w:rPr>
      </w:pPr>
      <w:r>
        <w:rPr>
          <w:rFonts w:hint="eastAsia" w:asciiTheme="minorEastAsia" w:hAnsiTheme="minorEastAsia" w:eastAsiaTheme="minorEastAsia" w:cstheme="minorEastAsia"/>
          <w:color w:val="auto"/>
          <w:kern w:val="0"/>
          <w:szCs w:val="24"/>
          <w:highlight w:val="none"/>
          <w:lang w:val="zh-CN" w:eastAsia="zh-CN"/>
        </w:rPr>
        <w:t>开标地点：长春市二道区洋浦大街6999号凯利中心AB栋101</w:t>
      </w:r>
      <w:r>
        <w:rPr>
          <w:rFonts w:hint="eastAsia" w:asciiTheme="minorEastAsia" w:hAnsiTheme="minorEastAsia" w:eastAsiaTheme="minorEastAsia" w:cstheme="minorEastAsia"/>
          <w:color w:val="auto"/>
          <w:kern w:val="0"/>
          <w:szCs w:val="24"/>
          <w:highlight w:val="none"/>
          <w:lang w:val="en-US" w:eastAsia="zh-CN"/>
        </w:rPr>
        <w:t>开标四室。</w:t>
      </w:r>
    </w:p>
    <w:p>
      <w:pPr>
        <w:pStyle w:val="3"/>
        <w:pageBreakBefore w:val="0"/>
        <w:widowControl w:val="0"/>
        <w:kinsoku/>
        <w:wordWrap/>
        <w:overflowPunct/>
        <w:topLinePunct w:val="0"/>
        <w:autoSpaceDE/>
        <w:autoSpaceDN/>
        <w:bidi w:val="0"/>
        <w:spacing w:before="0" w:after="0"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五、公告期限</w:t>
      </w:r>
      <w:bookmarkEnd w:id="26"/>
      <w:bookmarkEnd w:id="27"/>
      <w:bookmarkEnd w:id="28"/>
      <w:bookmarkEnd w:id="29"/>
      <w:bookmarkEnd w:id="30"/>
      <w:bookmarkEnd w:id="31"/>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宋体" w:hAnsi="宋体" w:eastAsia="宋体" w:cs="Times New Roman"/>
          <w:b w:val="0"/>
          <w:bCs w:val="0"/>
          <w:caps w:val="0"/>
          <w:snapToGrid/>
          <w:color w:val="auto"/>
          <w:spacing w:val="0"/>
          <w:w w:val="100"/>
          <w:kern w:val="0"/>
          <w:position w:val="0"/>
          <w:sz w:val="21"/>
          <w:szCs w:val="21"/>
          <w:highlight w:val="none"/>
          <w:u w:val="none" w:color="auto"/>
          <w:vertAlign w:val="baseline"/>
          <w:lang w:val="en-US" w:eastAsia="zh-CN" w:bidi="ar"/>
        </w:rPr>
        <w:t>自本公告发布之日起5个工作日</w:t>
      </w:r>
      <w:r>
        <w:rPr>
          <w:rFonts w:hint="eastAsia" w:asciiTheme="minorEastAsia" w:hAnsiTheme="minorEastAsia" w:eastAsiaTheme="minorEastAsia" w:cstheme="minorEastAsia"/>
          <w:color w:val="auto"/>
          <w:kern w:val="0"/>
          <w:highlight w:val="none"/>
        </w:rPr>
        <w:t>。</w:t>
      </w:r>
    </w:p>
    <w:p>
      <w:pPr>
        <w:pStyle w:val="3"/>
        <w:pageBreakBefore w:val="0"/>
        <w:widowControl w:val="0"/>
        <w:numPr>
          <w:ilvl w:val="0"/>
          <w:numId w:val="2"/>
        </w:numPr>
        <w:kinsoku/>
        <w:wordWrap/>
        <w:overflowPunct/>
        <w:topLinePunct w:val="0"/>
        <w:autoSpaceDE/>
        <w:autoSpaceDN/>
        <w:bidi w:val="0"/>
        <w:spacing w:before="0" w:after="0" w:line="400" w:lineRule="exact"/>
        <w:textAlignment w:val="auto"/>
        <w:rPr>
          <w:rFonts w:hint="eastAsia" w:asciiTheme="minorEastAsia" w:hAnsiTheme="minorEastAsia" w:eastAsiaTheme="minorEastAsia" w:cstheme="minorEastAsia"/>
          <w:color w:val="auto"/>
          <w:sz w:val="21"/>
          <w:szCs w:val="21"/>
          <w:highlight w:val="none"/>
        </w:rPr>
      </w:pPr>
      <w:bookmarkStart w:id="32" w:name="_Toc35393795"/>
      <w:bookmarkStart w:id="33" w:name="_Toc20028"/>
      <w:bookmarkStart w:id="34" w:name="_Toc35393626"/>
      <w:bookmarkStart w:id="35" w:name="_Toc63327621"/>
      <w:r>
        <w:rPr>
          <w:rFonts w:hint="eastAsia" w:asciiTheme="minorEastAsia" w:hAnsiTheme="minorEastAsia" w:eastAsiaTheme="minorEastAsia" w:cstheme="minorEastAsia"/>
          <w:color w:val="auto"/>
          <w:sz w:val="21"/>
          <w:szCs w:val="21"/>
          <w:highlight w:val="none"/>
        </w:rPr>
        <w:t>其他补充事宜</w:t>
      </w:r>
      <w:bookmarkEnd w:id="32"/>
      <w:bookmarkEnd w:id="33"/>
      <w:bookmarkEnd w:id="34"/>
      <w:bookmarkEnd w:id="35"/>
    </w:p>
    <w:p>
      <w:pPr>
        <w:pStyle w:val="6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lang w:val="en-US" w:eastAsia="zh-CN"/>
        </w:rPr>
        <w:t>1</w:t>
      </w:r>
      <w:r>
        <w:rPr>
          <w:rFonts w:hint="eastAsia" w:asciiTheme="minorEastAsia" w:hAnsiTheme="minorEastAsia" w:eastAsiaTheme="minorEastAsia" w:cstheme="minorEastAsia"/>
          <w:color w:val="auto"/>
          <w:kern w:val="0"/>
          <w:szCs w:val="24"/>
          <w:highlight w:val="none"/>
          <w:lang w:val="zh-CN"/>
        </w:rPr>
        <w:t>.</w:t>
      </w:r>
      <w:r>
        <w:rPr>
          <w:rFonts w:hint="eastAsia" w:asciiTheme="minorEastAsia" w:hAnsiTheme="minorEastAsia" w:eastAsiaTheme="minorEastAsia" w:cstheme="minorEastAsia"/>
          <w:color w:val="auto"/>
          <w:kern w:val="0"/>
          <w:szCs w:val="24"/>
          <w:highlight w:val="none"/>
        </w:rPr>
        <w:t>有效</w:t>
      </w:r>
      <w:r>
        <w:rPr>
          <w:rFonts w:hint="eastAsia" w:asciiTheme="minorEastAsia" w:hAnsiTheme="minorEastAsia" w:eastAsiaTheme="minorEastAsia" w:cstheme="minorEastAsia"/>
          <w:color w:val="auto"/>
          <w:kern w:val="0"/>
          <w:szCs w:val="24"/>
          <w:highlight w:val="none"/>
          <w:lang w:eastAsia="zh-CN"/>
        </w:rPr>
        <w:t>供应商</w:t>
      </w:r>
      <w:r>
        <w:rPr>
          <w:rFonts w:hint="eastAsia" w:asciiTheme="minorEastAsia" w:hAnsiTheme="minorEastAsia" w:eastAsiaTheme="minorEastAsia" w:cstheme="minorEastAsia"/>
          <w:color w:val="auto"/>
          <w:kern w:val="0"/>
          <w:szCs w:val="24"/>
          <w:highlight w:val="none"/>
        </w:rPr>
        <w:t>不足三家时，采购人另行组织招标。</w:t>
      </w:r>
    </w:p>
    <w:p>
      <w:pPr>
        <w:pStyle w:val="6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kern w:val="0"/>
          <w:szCs w:val="24"/>
          <w:highlight w:val="none"/>
          <w:lang w:val="zh-CN"/>
        </w:rPr>
      </w:pPr>
      <w:r>
        <w:rPr>
          <w:rFonts w:hint="eastAsia" w:asciiTheme="minorEastAsia" w:hAnsiTheme="minorEastAsia" w:eastAsiaTheme="minorEastAsia" w:cstheme="minorEastAsia"/>
          <w:color w:val="auto"/>
          <w:kern w:val="0"/>
          <w:szCs w:val="24"/>
          <w:highlight w:val="none"/>
          <w:lang w:val="en-US" w:eastAsia="zh-CN"/>
        </w:rPr>
        <w:t>2</w:t>
      </w:r>
      <w:r>
        <w:rPr>
          <w:rFonts w:hint="eastAsia" w:asciiTheme="minorEastAsia" w:hAnsiTheme="minorEastAsia" w:eastAsiaTheme="minorEastAsia" w:cstheme="minorEastAsia"/>
          <w:color w:val="auto"/>
          <w:kern w:val="0"/>
          <w:szCs w:val="24"/>
          <w:highlight w:val="none"/>
          <w:lang w:val="zh-CN"/>
        </w:rPr>
        <w:t>.发布公告的媒介：本次招标公告在“政采云”平台（同步推送到吉林省公共资源交易公共服务平台、吉林省政府采购网、中国政府采购网）上发布。</w:t>
      </w:r>
    </w:p>
    <w:p>
      <w:pPr>
        <w:pStyle w:val="6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3.采购项目需要落实的政府采购政策：《财政部关于进一步加大政府采购支持中小企业力度的通知》（财库[2022]19号）、《政府采购促进中小企业发展管理办法》（财库[2020]46号）、《关于政府采购支持监狱企业发展有关问题的通知》（财库[2014]68号）、《三部门联合发布关于促进残疾人就业政府采购政策的通知》（财库[2017]141号）、《关于调整优化节能产品、环境标志产品政府采购执行机制的通知》（财库[2019]9号）等国家最新政策。</w:t>
      </w:r>
    </w:p>
    <w:p>
      <w:pPr>
        <w:pStyle w:val="67"/>
        <w:pageBreakBefore w:val="0"/>
        <w:widowControl w:val="0"/>
        <w:kinsoku/>
        <w:wordWrap/>
        <w:overflowPunct/>
        <w:topLinePunct w:val="0"/>
        <w:autoSpaceDE/>
        <w:autoSpaceDN/>
        <w:bidi w:val="0"/>
        <w:spacing w:line="400" w:lineRule="exact"/>
        <w:textAlignment w:val="auto"/>
        <w:rPr>
          <w:rFonts w:hint="default"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4.供应商的其他要求</w:t>
      </w:r>
    </w:p>
    <w:p>
      <w:pPr>
        <w:pStyle w:val="6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4.1拒绝列入政府取消投标资格记录期间的企业或个人投标；</w:t>
      </w:r>
    </w:p>
    <w:p>
      <w:pPr>
        <w:pStyle w:val="6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4.2根据《关于在政府采购活动中查询及使用信用记录有关问题的通知》（财库[2016]125号）的规定，采购人、采购代理机构将通过“信用中国”网站（www.creditchina.gov.cn）、中国政府采购网（www.ccgp.gov.cn）等渠道查询相关主体信用记录。对列入失信被执行人、重大税收违法失信主体、政府采购严重违法失信行为记录名单及其他不符合《中华人民共和国政府采购法》第二十二条规定条件的供应商，将拒绝其参与政府采购活动；</w:t>
      </w:r>
    </w:p>
    <w:p>
      <w:pPr>
        <w:pStyle w:val="6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4.3与采购人存在利害关系可能影响招标公正性的法人、其他组织或者个人，不得参加投标。单位负责人为同一人或者存在控股、管理关系的不同单位，不得参加同一招标项目投标。违反这两款规定的，相关投标均无效。</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 w:val="21"/>
          <w:szCs w:val="24"/>
          <w:lang w:val="en-US" w:eastAsia="zh-CN" w:bidi="ar-SA"/>
        </w:rPr>
        <w:t>5.</w:t>
      </w:r>
      <w:r>
        <w:rPr>
          <w:rFonts w:hint="eastAsia" w:asciiTheme="minorEastAsia" w:hAnsiTheme="minorEastAsia" w:eastAsiaTheme="minorEastAsia" w:cstheme="minorEastAsia"/>
          <w:color w:val="auto"/>
          <w:kern w:val="0"/>
          <w:szCs w:val="24"/>
          <w:highlight w:val="none"/>
          <w:lang w:val="en-US" w:eastAsia="zh-CN"/>
        </w:rPr>
        <w:t>电子化平台相关注意事项：</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5.1供应商在电子化平台参与政府采购项目前，应在电子化平台完成信息注册；</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5.2 CA数字证书申请：未进行政采云注册并办理数字证书（CA认证）的供应商将无法参与本项目政府采购活动，潜在供应商应当在响应截止时间前，完成政采云平台上的CA数字证书办理及投标文件的提交。供应商须自行考虑办理时间，由于供应商自身原因导致无法完成办理的，后果自负；（安信CA申请流程：http://www.anxinca.com/kehu/zcy/kh-zcy-zsshenqing.html；翔晟CA申请流程：</w:t>
      </w:r>
      <w:r>
        <w:rPr>
          <w:rFonts w:hint="eastAsia" w:asciiTheme="minorEastAsia" w:hAnsiTheme="minorEastAsia" w:eastAsiaTheme="minorEastAsia" w:cstheme="minorEastAsia"/>
          <w:color w:val="auto"/>
          <w:kern w:val="0"/>
          <w:szCs w:val="24"/>
          <w:highlight w:val="none"/>
          <w:lang w:val="en-US" w:eastAsia="zh-CN"/>
        </w:rPr>
        <w:fldChar w:fldCharType="begin"/>
      </w:r>
      <w:r>
        <w:rPr>
          <w:rFonts w:hint="eastAsia" w:asciiTheme="minorEastAsia" w:hAnsiTheme="minorEastAsia" w:eastAsiaTheme="minorEastAsia" w:cstheme="minorEastAsia"/>
          <w:color w:val="auto"/>
          <w:kern w:val="0"/>
          <w:szCs w:val="24"/>
          <w:highlight w:val="none"/>
          <w:lang w:val="en-US" w:eastAsia="zh-CN"/>
        </w:rPr>
        <w:instrText xml:space="preserve"> HYPERLINK "http://www.share-sun.com/xsapply/admin/login.aspx?unitname=jilin）" </w:instrText>
      </w:r>
      <w:r>
        <w:rPr>
          <w:rFonts w:hint="eastAsia" w:asciiTheme="minorEastAsia" w:hAnsiTheme="minorEastAsia" w:eastAsiaTheme="minorEastAsia" w:cstheme="minorEastAsia"/>
          <w:color w:val="auto"/>
          <w:kern w:val="0"/>
          <w:szCs w:val="24"/>
          <w:highlight w:val="none"/>
          <w:lang w:val="en-US" w:eastAsia="zh-CN"/>
        </w:rPr>
        <w:fldChar w:fldCharType="separate"/>
      </w:r>
      <w:r>
        <w:rPr>
          <w:rFonts w:hint="eastAsia" w:asciiTheme="minorEastAsia" w:hAnsiTheme="minorEastAsia" w:eastAsiaTheme="minorEastAsia" w:cstheme="minorEastAsia"/>
          <w:color w:val="auto"/>
          <w:kern w:val="0"/>
          <w:szCs w:val="24"/>
          <w:highlight w:val="none"/>
          <w:lang w:val="en-US" w:eastAsia="zh-CN"/>
        </w:rPr>
        <w:t>http://www.share-sun.com/xsapply/admin/login.aspx?unitname=jilin）</w:t>
      </w:r>
      <w:r>
        <w:rPr>
          <w:rFonts w:hint="eastAsia" w:asciiTheme="minorEastAsia" w:hAnsiTheme="minorEastAsia" w:eastAsiaTheme="minorEastAsia" w:cstheme="minorEastAsia"/>
          <w:color w:val="auto"/>
          <w:kern w:val="0"/>
          <w:szCs w:val="24"/>
          <w:highlight w:val="none"/>
          <w:lang w:val="en-US" w:eastAsia="zh-CN"/>
        </w:rPr>
        <w:fldChar w:fldCharType="end"/>
      </w:r>
      <w:r>
        <w:rPr>
          <w:rFonts w:hint="eastAsia" w:asciiTheme="minorEastAsia" w:hAnsiTheme="minorEastAsia" w:eastAsiaTheme="minorEastAsia" w:cstheme="minorEastAsia"/>
          <w:color w:val="auto"/>
          <w:kern w:val="0"/>
          <w:szCs w:val="24"/>
          <w:highlight w:val="none"/>
          <w:lang w:val="en-US" w:eastAsia="zh-CN"/>
        </w:rPr>
        <w:t>；</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5.3为确保网上操作合法、有效和安全，请供应商确保在电子响应过程中能够对相关数据电文进行加密和使用电子签章，妥善保管CA数字证书并使用有效的CA数字证书参与整个采购活动；</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5.4若对项目采购电子交易系统操作有疑问，可登录“政采云”平台，点击右侧咨询小采，获取智能服务管家帮助，或拨打政采云服务热线95763获取帮助。</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5.5本项目采用“双盲”评审。供应商应按照招标文件要求对投标文件的商务标“明标”、技术标“暗标”分开制作，评标委员会按要求对商务标采取明标评审、对技术标采取暗标评审。</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6.供应商请注意：请潜在供应商在参加本项目活动期间关注网站信息，有投标意愿的供应商有义务在上述网站自行查询，无需书面回复。采购文件、澄清、修改、变更、延期等文件一经发布即视为已告知所有已获取采购文件的供应商，因供应商自身原因没有及时查看、下载文件导致的一切后果由供应商自行负责。</w:t>
      </w:r>
    </w:p>
    <w:p>
      <w:pPr>
        <w:pStyle w:val="3"/>
        <w:pageBreakBefore w:val="0"/>
        <w:widowControl w:val="0"/>
        <w:kinsoku/>
        <w:wordWrap/>
        <w:overflowPunct/>
        <w:topLinePunct w:val="0"/>
        <w:autoSpaceDE/>
        <w:autoSpaceDN/>
        <w:bidi w:val="0"/>
        <w:spacing w:before="0" w:after="0" w:line="400" w:lineRule="exact"/>
        <w:textAlignment w:val="auto"/>
        <w:rPr>
          <w:rFonts w:hint="eastAsia" w:asciiTheme="minorEastAsia" w:hAnsiTheme="minorEastAsia" w:eastAsiaTheme="minorEastAsia" w:cstheme="minorEastAsia"/>
          <w:color w:val="auto"/>
          <w:sz w:val="21"/>
          <w:szCs w:val="21"/>
          <w:highlight w:val="none"/>
        </w:rPr>
      </w:pPr>
      <w:bookmarkStart w:id="36" w:name="_Toc28359085"/>
      <w:bookmarkStart w:id="37" w:name="_Toc35393627"/>
      <w:bookmarkStart w:id="38" w:name="_Toc35393796"/>
      <w:bookmarkStart w:id="39" w:name="_Toc63327622"/>
      <w:bookmarkStart w:id="40" w:name="_Toc1066"/>
      <w:bookmarkStart w:id="41" w:name="_Toc28359008"/>
      <w:r>
        <w:rPr>
          <w:rFonts w:hint="eastAsia" w:asciiTheme="minorEastAsia" w:hAnsiTheme="minorEastAsia" w:eastAsiaTheme="minorEastAsia" w:cstheme="minorEastAsia"/>
          <w:color w:val="auto"/>
          <w:sz w:val="21"/>
          <w:szCs w:val="21"/>
          <w:highlight w:val="none"/>
        </w:rPr>
        <w:t>七、对本次招标提出询问，请按以下方式联系。</w:t>
      </w:r>
      <w:bookmarkEnd w:id="36"/>
      <w:bookmarkEnd w:id="37"/>
      <w:bookmarkEnd w:id="38"/>
      <w:bookmarkEnd w:id="39"/>
      <w:bookmarkEnd w:id="40"/>
      <w:bookmarkEnd w:id="41"/>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lang w:eastAsia="zh-CN"/>
        </w:rPr>
        <w:t>吉林省体育局乒乓球曲棍球篮球武术运动管理中心</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eastAsia="zh-CN"/>
        </w:rPr>
        <w:t>吉林省长春市南关区南岭街道自由大路2692号</w:t>
      </w:r>
    </w:p>
    <w:p>
      <w:pPr>
        <w:pageBreakBefore w:val="0"/>
        <w:widowControl w:val="0"/>
        <w:kinsoku/>
        <w:wordWrap/>
        <w:overflowPunct/>
        <w:topLinePunct w:val="0"/>
        <w:autoSpaceDE/>
        <w:autoSpaceDN/>
        <w:bidi w:val="0"/>
        <w:spacing w:line="400" w:lineRule="exact"/>
        <w:ind w:firstLine="420" w:firstLineChars="200"/>
        <w:textAlignment w:val="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联系方式：0431-</w:t>
      </w:r>
      <w:r>
        <w:rPr>
          <w:rFonts w:hint="eastAsia" w:asciiTheme="minorEastAsia" w:hAnsiTheme="minorEastAsia" w:eastAsiaTheme="minorEastAsia" w:cstheme="minorEastAsia"/>
          <w:color w:val="auto"/>
          <w:szCs w:val="21"/>
          <w:highlight w:val="none"/>
          <w:lang w:val="en-US" w:eastAsia="zh-CN"/>
        </w:rPr>
        <w:t>85697661</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lang w:eastAsia="zh-CN"/>
        </w:rPr>
        <w:t>中安实信（吉林）项目管理有限责任公司</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地址：长春市二道区荣光路913号吉柴宿舍71栋3门202室</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r>
        <w:rPr>
          <w:rFonts w:hint="eastAsia" w:asciiTheme="minorEastAsia" w:hAnsiTheme="minorEastAsia" w:eastAsiaTheme="minorEastAsia" w:cstheme="minorEastAsia"/>
          <w:color w:val="auto"/>
          <w:szCs w:val="21"/>
          <w:highlight w:val="none"/>
          <w:lang w:eastAsia="zh-CN"/>
        </w:rPr>
        <w:t>15643188186</w:t>
      </w:r>
      <w:r>
        <w:rPr>
          <w:rFonts w:hint="eastAsia" w:asciiTheme="minorEastAsia" w:hAnsiTheme="minorEastAsia" w:eastAsiaTheme="minorEastAsia" w:cstheme="minorEastAsia"/>
          <w:color w:val="auto"/>
          <w:szCs w:val="21"/>
          <w:highlight w:val="none"/>
        </w:rPr>
        <w:t>（办公电话）</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联系人：白悦明</w:t>
      </w: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Cs w:val="21"/>
          <w:highlight w:val="none"/>
          <w:lang w:val="en-US" w:eastAsia="zh-CN"/>
        </w:rPr>
      </w:pPr>
    </w:p>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highlight w:val="none"/>
          <w:lang w:eastAsia="zh-CN"/>
        </w:rPr>
        <w:sectPr>
          <w:footerReference r:id="rId9" w:type="first"/>
          <w:footerReference r:id="rId8" w:type="default"/>
          <w:pgSz w:w="11910" w:h="16840"/>
          <w:pgMar w:top="1440" w:right="1080" w:bottom="1440" w:left="1080" w:header="0" w:footer="1329" w:gutter="0"/>
          <w:pgNumType w:fmt="decimal"/>
          <w:cols w:space="720" w:num="1"/>
          <w:titlePg/>
          <w:docGrid w:linePitch="286" w:charSpace="0"/>
        </w:sectPr>
      </w:pPr>
    </w:p>
    <w:p>
      <w:pPr>
        <w:topLinePunct/>
        <w:adjustRightInd w:val="0"/>
        <w:snapToGrid w:val="0"/>
        <w:spacing w:before="36" w:beforeLines="15"/>
        <w:jc w:val="center"/>
        <w:outlineLvl w:val="0"/>
        <w:rPr>
          <w:rFonts w:hint="eastAsia" w:asciiTheme="minorEastAsia" w:hAnsiTheme="minorEastAsia" w:eastAsiaTheme="minorEastAsia" w:cstheme="minorEastAsia"/>
          <w:b/>
          <w:color w:val="auto"/>
          <w:sz w:val="36"/>
          <w:szCs w:val="36"/>
          <w:highlight w:val="none"/>
        </w:rPr>
      </w:pPr>
      <w:bookmarkStart w:id="42" w:name="_Toc7742"/>
      <w:r>
        <w:rPr>
          <w:rFonts w:hint="eastAsia" w:asciiTheme="minorEastAsia" w:hAnsiTheme="minorEastAsia" w:eastAsiaTheme="minorEastAsia" w:cstheme="minorEastAsia"/>
          <w:b/>
          <w:color w:val="auto"/>
          <w:sz w:val="36"/>
          <w:szCs w:val="36"/>
          <w:highlight w:val="none"/>
        </w:rPr>
        <w:t xml:space="preserve">第二章  </w:t>
      </w:r>
      <w:r>
        <w:rPr>
          <w:rFonts w:hint="eastAsia" w:asciiTheme="minorEastAsia" w:hAnsiTheme="minorEastAsia" w:eastAsiaTheme="minorEastAsia" w:cstheme="minorEastAsia"/>
          <w:b/>
          <w:color w:val="auto"/>
          <w:sz w:val="36"/>
          <w:szCs w:val="36"/>
          <w:highlight w:val="none"/>
          <w:lang w:eastAsia="zh-CN"/>
        </w:rPr>
        <w:t>供应商</w:t>
      </w:r>
      <w:r>
        <w:rPr>
          <w:rFonts w:hint="eastAsia" w:asciiTheme="minorEastAsia" w:hAnsiTheme="minorEastAsia" w:eastAsiaTheme="minorEastAsia" w:cstheme="minorEastAsia"/>
          <w:b/>
          <w:color w:val="auto"/>
          <w:sz w:val="36"/>
          <w:szCs w:val="36"/>
          <w:highlight w:val="none"/>
        </w:rPr>
        <w:t>须知</w:t>
      </w:r>
      <w:bookmarkEnd w:id="42"/>
    </w:p>
    <w:p>
      <w:pPr>
        <w:topLinePunct/>
        <w:adjustRightInd w:val="0"/>
        <w:snapToGrid w:val="0"/>
        <w:spacing w:before="36" w:beforeLines="15"/>
        <w:jc w:val="center"/>
        <w:outlineLvl w:val="0"/>
        <w:rPr>
          <w:rFonts w:hint="eastAsia" w:asciiTheme="minorEastAsia" w:hAnsiTheme="minorEastAsia" w:eastAsiaTheme="minorEastAsia" w:cstheme="minorEastAsia"/>
          <w:b/>
          <w:color w:val="auto"/>
          <w:sz w:val="24"/>
          <w:highlight w:val="none"/>
        </w:rPr>
      </w:pPr>
      <w:bookmarkStart w:id="43" w:name="_Toc63327624"/>
      <w:bookmarkStart w:id="44" w:name="_Toc25947"/>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须知前附表</w:t>
      </w:r>
      <w:bookmarkEnd w:id="43"/>
      <w:bookmarkEnd w:id="44"/>
    </w:p>
    <w:tbl>
      <w:tblPr>
        <w:tblStyle w:val="37"/>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2258"/>
        <w:gridCol w:w="6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条款号</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条款名称</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采购人</w:t>
            </w:r>
          </w:p>
        </w:tc>
        <w:tc>
          <w:tcPr>
            <w:tcW w:w="3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w:t>
            </w:r>
            <w:r>
              <w:rPr>
                <w:rFonts w:hint="eastAsia" w:asciiTheme="minorEastAsia" w:hAnsiTheme="minorEastAsia" w:eastAsiaTheme="minorEastAsia" w:cstheme="minorEastAsia"/>
                <w:color w:val="auto"/>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称：吉林省体育局乒乓球曲棍球篮球武术运动管理中心</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w:t>
            </w:r>
            <w:r>
              <w:rPr>
                <w:rFonts w:hint="eastAsia" w:asciiTheme="minorEastAsia" w:hAnsiTheme="minorEastAsia" w:eastAsiaTheme="minorEastAsia" w:cstheme="minorEastAsia"/>
                <w:color w:val="auto"/>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址：吉林省长春市南关区南岭街道自由大路2692号</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联系人：</w:t>
            </w:r>
            <w:r>
              <w:rPr>
                <w:rFonts w:hint="eastAsia" w:asciiTheme="minorEastAsia" w:hAnsiTheme="minorEastAsia" w:eastAsiaTheme="minorEastAsia" w:cstheme="minorEastAsia"/>
                <w:color w:val="auto"/>
                <w:sz w:val="21"/>
                <w:szCs w:val="21"/>
                <w:highlight w:val="none"/>
                <w:lang w:val="en-US" w:eastAsia="zh-CN"/>
              </w:rPr>
              <w:t>刘洋</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联系方式：0431-85697661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采购代理机构</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w:t>
            </w:r>
            <w:r>
              <w:rPr>
                <w:rFonts w:hint="eastAsia" w:asciiTheme="minorEastAsia" w:hAnsiTheme="minorEastAsia" w:eastAsiaTheme="minorEastAsia" w:cstheme="minorEastAsia"/>
                <w:color w:val="auto"/>
                <w:sz w:val="21"/>
                <w:szCs w:val="21"/>
                <w:highlight w:val="none"/>
                <w:lang w:eastAsia="zh-CN"/>
              </w:rPr>
              <w:tab/>
            </w:r>
            <w:r>
              <w:rPr>
                <w:rFonts w:hint="eastAsia" w:asciiTheme="minorEastAsia" w:hAnsiTheme="minorEastAsia" w:eastAsiaTheme="minorEastAsia" w:cstheme="minorEastAsia"/>
                <w:color w:val="auto"/>
                <w:sz w:val="21"/>
                <w:szCs w:val="21"/>
                <w:highlight w:val="none"/>
                <w:lang w:eastAsia="zh-CN"/>
              </w:rPr>
              <w:t>称：中安实信（吉林）项目管理有限责任公司</w:t>
            </w:r>
          </w:p>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地址：长春市二道区荣光路913号吉柴宿舍71栋3门202室</w:t>
            </w:r>
          </w:p>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联系人：白悦明</w:t>
            </w:r>
          </w:p>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15643188186</w:t>
            </w:r>
            <w:r>
              <w:rPr>
                <w:rFonts w:hint="eastAsia" w:asciiTheme="minorEastAsia" w:hAnsiTheme="minorEastAsia" w:eastAsiaTheme="minorEastAsia" w:cstheme="minorEastAsia"/>
                <w:color w:val="auto"/>
                <w:sz w:val="21"/>
                <w:szCs w:val="21"/>
                <w:highlight w:val="none"/>
                <w:lang w:eastAsia="zh-CN"/>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包</w:t>
            </w:r>
            <w:r>
              <w:rPr>
                <w:rFonts w:hint="eastAsia" w:asciiTheme="minorEastAsia" w:hAnsiTheme="minorEastAsia" w:eastAsiaTheme="minorEastAsia" w:cstheme="minorEastAsia"/>
                <w:color w:val="auto"/>
                <w:sz w:val="21"/>
                <w:szCs w:val="21"/>
                <w:highlight w:val="none"/>
              </w:rPr>
              <w:t>名称</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配合吉林省体育局乒曲篮武中心运动队提供赛事服务保障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项目地点</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中心日常训练场馆/基地及2026年全国各项目赛事指定举办地（含四川、陕西、江苏、山西、山东、河南、内蒙古、辽宁、黑龙江、浙江、河北、湖北、广东、湖南、重庆等省市赛区）。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出资比例</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资金落实情况</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Cs/>
                <w:color w:val="auto"/>
                <w:sz w:val="21"/>
                <w:szCs w:val="21"/>
                <w:highlight w:val="none"/>
                <w:lang w:val="zh-CN"/>
              </w:rPr>
            </w:pPr>
            <w:r>
              <w:rPr>
                <w:rFonts w:hint="eastAsia" w:ascii="宋体" w:hAnsi="宋体" w:cs="宋体"/>
                <w:caps w:val="0"/>
                <w:vanish w:val="0"/>
                <w:color w:val="auto"/>
                <w:kern w:val="0"/>
                <w:sz w:val="21"/>
                <w:szCs w:val="21"/>
                <w:highlight w:val="none"/>
                <w:vertAlign w:val="baseline"/>
                <w:lang w:val="en-US" w:eastAsia="zh-CN"/>
              </w:rPr>
              <w:t>配合吉林省体育局乒曲篮武中心运动队提供赛事服务保障，具体内容详见招标文件第五章采购需求。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 xml:space="preserve">合同履行期限 </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自合同签订之日起至2026年12月31日（与中心全年训练备战周期、全国赛事计划同步保障）。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rPr>
              <w:t>质量要求</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符合国家及现行行业相关标准并满足采购人要求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资质条件、</w:t>
            </w:r>
          </w:p>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能力和信誉</w:t>
            </w:r>
          </w:p>
        </w:tc>
        <w:tc>
          <w:tcPr>
            <w:tcW w:w="3399" w:type="pct"/>
            <w:vAlign w:val="center"/>
          </w:tcPr>
          <w:p>
            <w:pPr>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outlineLvl w:val="9"/>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iCs/>
                <w:color w:val="auto"/>
                <w:sz w:val="21"/>
                <w:szCs w:val="21"/>
                <w:highlight w:val="none"/>
                <w:lang w:eastAsia="zh-CN"/>
              </w:rPr>
              <w:t>本项目专门面向中小企业采购</w:t>
            </w:r>
            <w:r>
              <w:rPr>
                <w:rFonts w:hint="eastAsia" w:ascii="宋体" w:hAnsi="宋体" w:eastAsia="宋体" w:cs="宋体"/>
                <w:color w:val="auto"/>
                <w:sz w:val="21"/>
                <w:szCs w:val="21"/>
                <w:highlight w:val="none"/>
                <w:lang w:eastAsia="zh-CN"/>
              </w:rPr>
              <w:t>，供应商应为中小微企业、监狱企业、残疾人福利性单位</w:t>
            </w:r>
            <w:r>
              <w:rPr>
                <w:rFonts w:hint="eastAsia" w:asciiTheme="minorEastAsia" w:hAnsiTheme="minorEastAsia" w:eastAsiaTheme="minorEastAsia" w:cstheme="minorEastAsia"/>
                <w:iCs/>
                <w:color w:val="auto"/>
                <w:sz w:val="21"/>
                <w:szCs w:val="21"/>
                <w:highlight w:val="none"/>
                <w:lang w:eastAsia="zh-CN"/>
              </w:rPr>
              <w:t>。</w:t>
            </w:r>
          </w:p>
          <w:p>
            <w:pPr>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outlineLvl w:val="9"/>
              <w:rPr>
                <w:rFonts w:hint="eastAsia" w:asciiTheme="minorEastAsia" w:hAnsiTheme="minorEastAsia" w:eastAsiaTheme="minorEastAsia" w:cstheme="minorEastAsia"/>
                <w:iCs/>
                <w:color w:val="auto"/>
                <w:sz w:val="21"/>
                <w:szCs w:val="21"/>
                <w:highlight w:val="none"/>
                <w:lang w:eastAsia="zh-CN"/>
              </w:rPr>
            </w:pPr>
            <w:r>
              <w:rPr>
                <w:rFonts w:hint="eastAsia" w:asciiTheme="minorEastAsia" w:hAnsiTheme="minorEastAsia" w:eastAsiaTheme="minorEastAsia" w:cstheme="minorEastAsia"/>
                <w:iCs/>
                <w:color w:val="auto"/>
                <w:sz w:val="21"/>
                <w:szCs w:val="21"/>
                <w:highlight w:val="none"/>
              </w:rPr>
              <w:t>3.1</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须是在中华人民共和国境内登记注册具有独立承担民事责任能力的法人或其他组织，具有有效的营业执照</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并在人员、设备、资金等方面具有完成本采购项目的</w:t>
            </w:r>
            <w:r>
              <w:rPr>
                <w:rFonts w:hint="eastAsia" w:asciiTheme="minorEastAsia" w:hAnsiTheme="minorEastAsia" w:eastAsiaTheme="minorEastAsia" w:cstheme="minorEastAsia"/>
                <w:color w:val="auto"/>
                <w:szCs w:val="21"/>
                <w:highlight w:val="none"/>
                <w:lang w:val="en-US" w:eastAsia="zh-CN"/>
              </w:rPr>
              <w:t>服务</w:t>
            </w:r>
            <w:r>
              <w:rPr>
                <w:rFonts w:hint="eastAsia" w:asciiTheme="minorEastAsia" w:hAnsiTheme="minorEastAsia" w:eastAsiaTheme="minorEastAsia" w:cstheme="minorEastAsia"/>
                <w:color w:val="auto"/>
                <w:szCs w:val="21"/>
                <w:highlight w:val="none"/>
              </w:rPr>
              <w:t>能力</w:t>
            </w:r>
            <w:r>
              <w:rPr>
                <w:rFonts w:hint="eastAsia" w:asciiTheme="minorEastAsia" w:hAnsiTheme="minorEastAsia" w:eastAsiaTheme="minorEastAsia" w:cstheme="minorEastAsia"/>
                <w:iCs/>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outlineLvl w:val="9"/>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3.</w:t>
            </w:r>
            <w:r>
              <w:rPr>
                <w:rFonts w:hint="eastAsia" w:asciiTheme="minorEastAsia" w:hAnsiTheme="minorEastAsia" w:eastAsiaTheme="minorEastAsia" w:cstheme="minorEastAsia"/>
                <w:iCs/>
                <w:color w:val="auto"/>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en-US" w:eastAsia="zh-CN" w:bidi="ar-SA"/>
              </w:rPr>
              <w:t>供</w:t>
            </w:r>
            <w:r>
              <w:rPr>
                <w:rFonts w:hint="eastAsia" w:asciiTheme="minorEastAsia" w:hAnsiTheme="minorEastAsia" w:eastAsiaTheme="minorEastAsia" w:cstheme="minorEastAsia"/>
                <w:color w:val="auto"/>
                <w:szCs w:val="21"/>
                <w:highlight w:val="none"/>
                <w:lang w:val="en-US" w:eastAsia="zh-CN"/>
              </w:rPr>
              <w:t>应商应按照《长春市财政局关于加强政府采购信用体系建设简化供应商资格条件有关事项的通知》（长财采购[2022]2066号）文件要求在响应文件中提交反映其财务状况、依法缴纳税收和社保保障资金情况的资格条件承诺函，并对资格条件承诺函有关内容的真实性、有效性、合法性负责</w:t>
            </w:r>
            <w:r>
              <w:rPr>
                <w:rFonts w:hint="eastAsia" w:asciiTheme="minorEastAsia" w:hAnsiTheme="minorEastAsia" w:eastAsiaTheme="minorEastAsia" w:cstheme="minorEastAsia"/>
                <w:iCs/>
                <w:color w:val="auto"/>
                <w:sz w:val="21"/>
                <w:szCs w:val="21"/>
                <w:highlight w:val="none"/>
              </w:rPr>
              <w:t>；</w:t>
            </w:r>
          </w:p>
          <w:p>
            <w:pPr>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拒绝列入政府取消投标资格记录期间的企业或个人投标；</w:t>
            </w:r>
          </w:p>
          <w:p>
            <w:pPr>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根据《关于在政府采购活动中查询及使用信用记录有关问题的通知》（财库[2016]125号）的规定，采购人、采购代理机构将通过“信用中国”网站（www.creditchina.gov.cn）、中国政府采购网（www.ccgp.gov.cn）等渠道查询相关主体信用记录。对列入失信被执行人、</w:t>
            </w:r>
            <w:r>
              <w:rPr>
                <w:rFonts w:hint="eastAsia" w:asciiTheme="minorEastAsia" w:hAnsiTheme="minorEastAsia" w:eastAsiaTheme="minorEastAsia" w:cstheme="minorEastAsia"/>
                <w:color w:val="auto"/>
                <w:szCs w:val="21"/>
                <w:highlight w:val="none"/>
                <w:lang w:eastAsia="zh-CN"/>
              </w:rPr>
              <w:t>重大税收违法失信主体</w:t>
            </w:r>
            <w:r>
              <w:rPr>
                <w:rFonts w:hint="eastAsia" w:asciiTheme="minorEastAsia" w:hAnsiTheme="minorEastAsia" w:eastAsiaTheme="minorEastAsia" w:cstheme="minorEastAsia"/>
                <w:color w:val="auto"/>
                <w:szCs w:val="21"/>
                <w:highlight w:val="none"/>
              </w:rPr>
              <w:t>、政府采购严重违法失信行为记录名单及其他不符合《中华人民共和国政府采购法》第二十二条规定条件的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，将拒绝其参与政府采购活动；</w:t>
            </w:r>
          </w:p>
          <w:p>
            <w:pPr>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iCs/>
                <w:color w:val="auto"/>
                <w:sz w:val="21"/>
                <w:szCs w:val="21"/>
                <w:highlight w:val="none"/>
                <w:lang w:eastAsia="zh-CN"/>
              </w:rPr>
              <w:t>与</w:t>
            </w:r>
            <w:r>
              <w:rPr>
                <w:rFonts w:hint="eastAsia" w:asciiTheme="minorEastAsia" w:hAnsiTheme="minorEastAsia" w:eastAsiaTheme="minorEastAsia" w:cstheme="minorEastAsia"/>
                <w:iCs/>
                <w:color w:val="auto"/>
                <w:sz w:val="21"/>
                <w:szCs w:val="21"/>
                <w:highlight w:val="none"/>
                <w:lang w:val="en-US" w:eastAsia="zh-CN"/>
              </w:rPr>
              <w:t>采购</w:t>
            </w:r>
            <w:r>
              <w:rPr>
                <w:rFonts w:hint="eastAsia" w:asciiTheme="minorEastAsia" w:hAnsiTheme="minorEastAsia" w:eastAsiaTheme="minorEastAsia" w:cstheme="minorEastAsia"/>
                <w:iCs/>
                <w:color w:val="auto"/>
                <w:sz w:val="21"/>
                <w:szCs w:val="21"/>
                <w:highlight w:val="none"/>
                <w:lang w:eastAsia="zh-CN"/>
              </w:rPr>
              <w:t>人存在利害关系可能影响招标公正性的法人、其他组织或者个人，不得参加投标。单位负责人为同一人或者存在控股、管理关系的不同单位，不得参加同一招标项目投标。违反这两款规定的，相关投标均无效。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是否接受联合体投标</w:t>
            </w:r>
          </w:p>
        </w:tc>
        <w:tc>
          <w:tcPr>
            <w:tcW w:w="3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踏勘现场</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投标答疑会</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提出问题</w:t>
            </w:r>
          </w:p>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的截止时间</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投标疑问的提出：</w:t>
            </w:r>
          </w:p>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不召开答疑会，</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如有疑问请以书面形式提出。</w:t>
            </w:r>
          </w:p>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提出疑问的截止时间及方式：</w:t>
            </w:r>
          </w:p>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"mailto:投标人应在2021年12月28日11时00分前将疑问电子版文件传至采购代理机构邮箱（SYZB8680@163.com），格式见附页，要求同时提交word版本及加盖公章（鲜章）的PDF扫描件版本。"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应在开标15日前将疑问</w:t>
            </w:r>
            <w:r>
              <w:rPr>
                <w:rFonts w:hint="eastAsia" w:asciiTheme="minorEastAsia" w:hAnsiTheme="minorEastAsia" w:eastAsiaTheme="minorEastAsia" w:cstheme="minorEastAsia"/>
                <w:color w:val="auto"/>
                <w:sz w:val="21"/>
                <w:szCs w:val="21"/>
                <w:highlight w:val="none"/>
                <w:lang w:val="en-US" w:eastAsia="zh-CN"/>
              </w:rPr>
              <w:t>按</w:t>
            </w:r>
            <w:r>
              <w:rPr>
                <w:rFonts w:hint="eastAsia" w:asciiTheme="minorEastAsia" w:hAnsiTheme="minorEastAsia" w:eastAsiaTheme="minorEastAsia" w:cstheme="minorEastAsia"/>
                <w:color w:val="auto"/>
                <w:sz w:val="21"/>
                <w:szCs w:val="21"/>
                <w:highlight w:val="none"/>
                <w:lang w:val="zh-CN" w:eastAsia="zh-CN"/>
              </w:rPr>
              <w:t>政府采购云平台电子标要求在政府采购云平台提出，并电话告知</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fldChar w:fldCharType="end"/>
            </w:r>
          </w:p>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联系人：白悦明</w:t>
            </w:r>
          </w:p>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联系电话：15643188186（办公电话）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采购人书面澄清的时间</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投标截止时间前15天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分包、转包</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w:t>
            </w:r>
          </w:p>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的其他材料</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确认收到招标文件澄清的时间</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在收到相应澄清文件后</w:t>
            </w:r>
            <w:r>
              <w:rPr>
                <w:rFonts w:hint="eastAsia" w:asciiTheme="minorEastAsia" w:hAnsiTheme="minorEastAsia" w:eastAsiaTheme="minorEastAsia" w:cstheme="minorEastAsia"/>
                <w:color w:val="auto"/>
                <w:sz w:val="21"/>
                <w:szCs w:val="21"/>
                <w:highlight w:val="none"/>
                <w:u w:val="single"/>
              </w:rPr>
              <w:t xml:space="preserve"> 24 </w:t>
            </w:r>
            <w:r>
              <w:rPr>
                <w:rFonts w:hint="eastAsia" w:asciiTheme="minorEastAsia" w:hAnsiTheme="minorEastAsia" w:eastAsiaTheme="minorEastAsia" w:cstheme="minorEastAsia"/>
                <w:color w:val="auto"/>
                <w:sz w:val="21"/>
                <w:szCs w:val="21"/>
                <w:highlight w:val="none"/>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确认收到招标文件修改的时间</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在收到相应修改文件后</w:t>
            </w:r>
            <w:r>
              <w:rPr>
                <w:rFonts w:hint="eastAsia" w:asciiTheme="minorEastAsia" w:hAnsiTheme="minorEastAsia" w:eastAsiaTheme="minorEastAsia" w:cstheme="minorEastAsia"/>
                <w:color w:val="auto"/>
                <w:sz w:val="21"/>
                <w:szCs w:val="21"/>
                <w:highlight w:val="none"/>
                <w:u w:val="single"/>
              </w:rPr>
              <w:t xml:space="preserve"> 24 </w:t>
            </w:r>
            <w:r>
              <w:rPr>
                <w:rFonts w:hint="eastAsia" w:asciiTheme="minorEastAsia" w:hAnsiTheme="minorEastAsia" w:eastAsiaTheme="minorEastAsia" w:cstheme="minorEastAsia"/>
                <w:color w:val="auto"/>
                <w:sz w:val="21"/>
                <w:szCs w:val="21"/>
                <w:highlight w:val="none"/>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构成投标文件</w:t>
            </w:r>
          </w:p>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的其他材料</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供应商</w:t>
            </w:r>
            <w:r>
              <w:rPr>
                <w:rFonts w:hint="eastAsia" w:asciiTheme="minorEastAsia" w:hAnsiTheme="minorEastAsia" w:eastAsiaTheme="minorEastAsia" w:cstheme="minorEastAsia"/>
                <w:b/>
                <w:bCs/>
                <w:color w:val="auto"/>
                <w:sz w:val="21"/>
                <w:szCs w:val="21"/>
                <w:highlight w:val="none"/>
              </w:rPr>
              <w:t>需提供评标办法中要求的证明材料。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lang w:val="en-US" w:eastAsia="zh-CN"/>
              </w:rPr>
              <w:t>采购预算</w:t>
            </w:r>
          </w:p>
        </w:tc>
        <w:tc>
          <w:tcPr>
            <w:tcW w:w="3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投标报价：</w:t>
            </w:r>
            <w:r>
              <w:rPr>
                <w:rFonts w:hint="eastAsia" w:asciiTheme="minorEastAsia" w:hAnsiTheme="minorEastAsia" w:eastAsiaTheme="minorEastAsia" w:cstheme="minorEastAsia"/>
                <w:color w:val="auto"/>
                <w:sz w:val="21"/>
                <w:szCs w:val="21"/>
                <w:highlight w:val="none"/>
              </w:rPr>
              <w:t>本项目以</w:t>
            </w:r>
            <w:r>
              <w:rPr>
                <w:rFonts w:hint="eastAsia" w:asciiTheme="minorEastAsia" w:hAnsiTheme="minorEastAsia" w:eastAsiaTheme="minorEastAsia" w:cstheme="minorEastAsia"/>
                <w:color w:val="auto"/>
                <w:sz w:val="21"/>
                <w:szCs w:val="21"/>
                <w:highlight w:val="none"/>
                <w:lang w:val="en-US" w:eastAsia="zh-CN"/>
              </w:rPr>
              <w:t>金额</w:t>
            </w:r>
            <w:r>
              <w:rPr>
                <w:rFonts w:hint="eastAsia" w:asciiTheme="minorEastAsia" w:hAnsiTheme="minorEastAsia" w:eastAsiaTheme="minorEastAsia" w:cstheme="minorEastAsia"/>
                <w:color w:val="auto"/>
                <w:sz w:val="21"/>
                <w:szCs w:val="21"/>
                <w:highlight w:val="none"/>
              </w:rPr>
              <w:t>方式进行报价</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最高</w:t>
            </w:r>
            <w:r>
              <w:rPr>
                <w:rFonts w:hint="eastAsia" w:asciiTheme="minorEastAsia" w:hAnsiTheme="minorEastAsia" w:eastAsiaTheme="minorEastAsia" w:cstheme="minorEastAsia"/>
                <w:b/>
                <w:bCs/>
                <w:color w:val="auto"/>
                <w:sz w:val="21"/>
                <w:szCs w:val="21"/>
                <w:highlight w:val="none"/>
                <w:lang w:val="en-US" w:eastAsia="zh-CN"/>
              </w:rPr>
              <w:t>限价</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460万元</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投标报价不</w:t>
            </w:r>
            <w:r>
              <w:rPr>
                <w:rFonts w:hint="eastAsia" w:asciiTheme="minorEastAsia" w:hAnsiTheme="minorEastAsia" w:eastAsiaTheme="minorEastAsia" w:cstheme="minorEastAsia"/>
                <w:b/>
                <w:bCs/>
                <w:color w:val="auto"/>
                <w:sz w:val="21"/>
                <w:szCs w:val="21"/>
                <w:highlight w:val="none"/>
                <w:lang w:eastAsia="zh-CN"/>
              </w:rPr>
              <w:t>得</w:t>
            </w:r>
            <w:r>
              <w:rPr>
                <w:rFonts w:hint="eastAsia" w:asciiTheme="minorEastAsia" w:hAnsiTheme="minorEastAsia" w:eastAsiaTheme="minorEastAsia" w:cstheme="minorEastAsia"/>
                <w:b/>
                <w:bCs/>
                <w:color w:val="auto"/>
                <w:sz w:val="21"/>
                <w:szCs w:val="21"/>
                <w:highlight w:val="none"/>
              </w:rPr>
              <w:t>超过最高</w:t>
            </w:r>
            <w:r>
              <w:rPr>
                <w:rFonts w:hint="eastAsia" w:asciiTheme="minorEastAsia" w:hAnsiTheme="minorEastAsia" w:eastAsiaTheme="minorEastAsia" w:cstheme="minorEastAsia"/>
                <w:b/>
                <w:bCs/>
                <w:color w:val="auto"/>
                <w:sz w:val="21"/>
                <w:szCs w:val="21"/>
                <w:highlight w:val="none"/>
                <w:lang w:val="en-US" w:eastAsia="zh-CN"/>
              </w:rPr>
              <w:t>限价</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否则</w:t>
            </w:r>
            <w:r>
              <w:rPr>
                <w:rFonts w:hint="eastAsia" w:asciiTheme="minorEastAsia" w:hAnsiTheme="minorEastAsia" w:eastAsiaTheme="minorEastAsia" w:cstheme="minorEastAsia"/>
                <w:b/>
                <w:bCs/>
                <w:color w:val="auto"/>
                <w:sz w:val="21"/>
                <w:szCs w:val="21"/>
                <w:highlight w:val="none"/>
              </w:rPr>
              <w:t>，投标无效。</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2、超过采购预算、最高限价的投标文件作为无效文件。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3399"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是否允许递交</w:t>
            </w:r>
          </w:p>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备选投标方案</w:t>
            </w:r>
          </w:p>
        </w:tc>
        <w:tc>
          <w:tcPr>
            <w:tcW w:w="3399"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1137" w:type="pc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lang w:val="zh-CN" w:eastAsia="zh-CN" w:bidi="ar-SA"/>
              </w:rPr>
              <w:t>投标文件编制</w:t>
            </w:r>
          </w:p>
        </w:tc>
        <w:tc>
          <w:tcPr>
            <w:tcW w:w="3399"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1、投标人应按招标文件要求编制投标文件，将所有投标文件内容上传至“政采云”平台。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2、投标文件中反应投标人资格审查的图片、扫描件、文字描述等，必须清晰可见。其中所有证书和执照必须为原件扫描。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3、若投标人上传的电子投标文件因无法解密而对投标文件无法进行评价的，采购人可以拒绝该投标人投标。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4、未进行网上注册并办理数字证书（CA 认证）的投标人将无法参与本项目政府采购活动，潜在投标人应当在提交投标文件截止时间前，完成电子交易平台上的CA 数字证书办理及投标文件的提交。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5、投标人应当在提交投标文件截止时间前完成电子投标文件的上传、递交，提交投标文件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1137"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w:t>
            </w:r>
          </w:p>
        </w:tc>
        <w:tc>
          <w:tcPr>
            <w:tcW w:w="3399" w:type="pct"/>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供应商在“政采云”平台（http：//www.zcygov.cn）上制作响应文件一份（此响应文件须上传至“政采云”平台）。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1137" w:type="pct"/>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投标文件</w:t>
            </w:r>
            <w:r>
              <w:rPr>
                <w:rFonts w:hint="eastAsia" w:asciiTheme="minorEastAsia" w:hAnsiTheme="minorEastAsia" w:eastAsiaTheme="minorEastAsia" w:cstheme="minorEastAsia"/>
                <w:color w:val="auto"/>
                <w:sz w:val="21"/>
                <w:szCs w:val="21"/>
                <w:highlight w:val="none"/>
              </w:rPr>
              <w:t>递交</w:t>
            </w:r>
          </w:p>
        </w:tc>
        <w:tc>
          <w:tcPr>
            <w:tcW w:w="339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文件提交方式：本项目为全流程电子化项目，通过“政采云”平台（http：//www.zcygov.cn）实行在线电子招投标，投标人应先安装“政采云电子交易客户端”（请自行前往“政采云”平台进行下载），并按照本项目招标文件和“政采云”平台的要求编制、加密后在提交投标文件截止时间前通过网络上传至“政采云”平台，投标人在“政采云”平台提交电子版投标文件时，请填写参加开标活动经办人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2.CA 证书在线解密：投标人投标时，需携带制作投标文件时用来加密的有效数字证书(CA认证)登录“政采云”平台电子开标大厅按规定时间对加密的投标文件进行解密，未能按要求进行解密的，由此产生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11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投标截止时间</w:t>
            </w:r>
          </w:p>
        </w:tc>
        <w:tc>
          <w:tcPr>
            <w:tcW w:w="3399" w:type="pct"/>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left"/>
              <w:textAlignment w:val="auto"/>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Cs/>
                <w:color w:val="auto"/>
                <w:highlight w:val="none"/>
                <w:lang w:eastAsia="zh-CN"/>
              </w:rPr>
              <w:t>202</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lang w:eastAsia="zh-CN"/>
              </w:rPr>
              <w:t>年</w:t>
            </w:r>
            <w:r>
              <w:rPr>
                <w:rFonts w:hint="eastAsia" w:asciiTheme="minorEastAsia" w:hAnsiTheme="minorEastAsia" w:eastAsiaTheme="minorEastAsia" w:cstheme="minorEastAsia"/>
                <w:bCs/>
                <w:color w:val="auto"/>
                <w:highlight w:val="none"/>
                <w:lang w:val="en-US" w:eastAsia="zh-CN"/>
              </w:rPr>
              <w:t>06</w:t>
            </w:r>
            <w:r>
              <w:rPr>
                <w:rFonts w:hint="eastAsia" w:asciiTheme="minorEastAsia" w:hAnsiTheme="minorEastAsia" w:eastAsiaTheme="minorEastAsia" w:cstheme="minorEastAsia"/>
                <w:bCs/>
                <w:color w:val="auto"/>
                <w:highlight w:val="none"/>
                <w:lang w:eastAsia="zh-CN"/>
              </w:rPr>
              <w:t>月</w:t>
            </w:r>
            <w:r>
              <w:rPr>
                <w:rFonts w:hint="eastAsia" w:asciiTheme="minorEastAsia" w:hAnsiTheme="minorEastAsia" w:eastAsiaTheme="minorEastAsia" w:cstheme="minorEastAsia"/>
                <w:bCs/>
                <w:color w:val="auto"/>
                <w:highlight w:val="none"/>
                <w:lang w:val="en-US" w:eastAsia="zh-CN"/>
              </w:rPr>
              <w:t>18</w:t>
            </w:r>
            <w:r>
              <w:rPr>
                <w:rFonts w:hint="eastAsia" w:asciiTheme="minorEastAsia" w:hAnsiTheme="minorEastAsia" w:eastAsiaTheme="minorEastAsia" w:cstheme="minorEastAsia"/>
                <w:bCs/>
                <w:color w:val="auto"/>
                <w:highlight w:val="none"/>
                <w:lang w:eastAsia="zh-CN"/>
              </w:rPr>
              <w:t>日</w:t>
            </w:r>
            <w:r>
              <w:rPr>
                <w:rFonts w:hint="eastAsia" w:asciiTheme="minorEastAsia" w:hAnsiTheme="minorEastAsia" w:eastAsiaTheme="minorEastAsia" w:cstheme="minorEastAsia"/>
                <w:bCs/>
                <w:color w:val="auto"/>
                <w:highlight w:val="none"/>
                <w:lang w:val="en-US" w:eastAsia="zh-CN"/>
              </w:rPr>
              <w:t>13</w:t>
            </w:r>
            <w:r>
              <w:rPr>
                <w:rFonts w:hint="eastAsia" w:asciiTheme="minorEastAsia" w:hAnsiTheme="minorEastAsia" w:eastAsiaTheme="minorEastAsia" w:cstheme="minorEastAsia"/>
                <w:bCs/>
                <w:color w:val="auto"/>
                <w:highlight w:val="none"/>
                <w:lang w:eastAsia="zh-CN"/>
              </w:rPr>
              <w:t>时</w:t>
            </w:r>
            <w:r>
              <w:rPr>
                <w:rFonts w:hint="eastAsia" w:asciiTheme="minorEastAsia" w:hAnsiTheme="minorEastAsia" w:eastAsiaTheme="minorEastAsia" w:cstheme="minorEastAsia"/>
                <w:bCs/>
                <w:color w:val="auto"/>
                <w:highlight w:val="none"/>
                <w:lang w:val="en-US" w:eastAsia="zh-CN"/>
              </w:rPr>
              <w:t>00</w:t>
            </w:r>
            <w:r>
              <w:rPr>
                <w:rFonts w:hint="eastAsia" w:asciiTheme="minorEastAsia" w:hAnsiTheme="minorEastAsia" w:eastAsiaTheme="minorEastAsia" w:cstheme="minorEastAsia"/>
                <w:bCs/>
                <w:color w:val="auto"/>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11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递交投标文件地点</w:t>
            </w:r>
          </w:p>
        </w:tc>
        <w:tc>
          <w:tcPr>
            <w:tcW w:w="3399" w:type="pct"/>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left"/>
              <w:textAlignment w:val="auto"/>
              <w:rPr>
                <w:rFonts w:hint="eastAsia" w:asciiTheme="minorEastAsia" w:hAnsiTheme="minorEastAsia" w:eastAsiaTheme="minorEastAsia" w:cstheme="minorEastAsia"/>
                <w:bCs/>
                <w:color w:val="auto"/>
                <w:kern w:val="15"/>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投标人在“政采云”平台提交电子版投标文件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w:t>
            </w:r>
          </w:p>
        </w:tc>
        <w:tc>
          <w:tcPr>
            <w:tcW w:w="11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是否退还投标文件</w:t>
            </w:r>
          </w:p>
        </w:tc>
        <w:tc>
          <w:tcPr>
            <w:tcW w:w="3399" w:type="pct"/>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否，</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自行做好备份</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p>
        </w:tc>
        <w:tc>
          <w:tcPr>
            <w:tcW w:w="11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开标时间和地点</w:t>
            </w:r>
          </w:p>
        </w:tc>
        <w:tc>
          <w:tcPr>
            <w:tcW w:w="3399" w:type="pct"/>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bCs/>
                <w:color w:val="auto"/>
                <w:highlight w:val="none"/>
                <w:lang w:eastAsia="zh-CN"/>
              </w:rPr>
              <w:t>202</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lang w:eastAsia="zh-CN"/>
              </w:rPr>
              <w:t>年</w:t>
            </w:r>
            <w:r>
              <w:rPr>
                <w:rFonts w:hint="eastAsia" w:asciiTheme="minorEastAsia" w:hAnsiTheme="minorEastAsia" w:eastAsiaTheme="minorEastAsia" w:cstheme="minorEastAsia"/>
                <w:bCs/>
                <w:color w:val="auto"/>
                <w:highlight w:val="none"/>
                <w:lang w:val="en-US" w:eastAsia="zh-CN"/>
              </w:rPr>
              <w:t>06</w:t>
            </w:r>
            <w:r>
              <w:rPr>
                <w:rFonts w:hint="eastAsia" w:asciiTheme="minorEastAsia" w:hAnsiTheme="minorEastAsia" w:eastAsiaTheme="minorEastAsia" w:cstheme="minorEastAsia"/>
                <w:bCs/>
                <w:color w:val="auto"/>
                <w:highlight w:val="none"/>
                <w:lang w:eastAsia="zh-CN"/>
              </w:rPr>
              <w:t>月</w:t>
            </w:r>
            <w:r>
              <w:rPr>
                <w:rFonts w:hint="eastAsia" w:asciiTheme="minorEastAsia" w:hAnsiTheme="minorEastAsia" w:eastAsiaTheme="minorEastAsia" w:cstheme="minorEastAsia"/>
                <w:bCs/>
                <w:color w:val="auto"/>
                <w:highlight w:val="none"/>
                <w:lang w:val="en-US" w:eastAsia="zh-CN"/>
              </w:rPr>
              <w:t>18</w:t>
            </w:r>
            <w:r>
              <w:rPr>
                <w:rFonts w:hint="eastAsia" w:asciiTheme="minorEastAsia" w:hAnsiTheme="minorEastAsia" w:eastAsiaTheme="minorEastAsia" w:cstheme="minorEastAsia"/>
                <w:bCs/>
                <w:color w:val="auto"/>
                <w:highlight w:val="none"/>
                <w:lang w:eastAsia="zh-CN"/>
              </w:rPr>
              <w:t>日</w:t>
            </w:r>
            <w:r>
              <w:rPr>
                <w:rFonts w:hint="eastAsia" w:asciiTheme="minorEastAsia" w:hAnsiTheme="minorEastAsia" w:eastAsiaTheme="minorEastAsia" w:cstheme="minorEastAsia"/>
                <w:bCs/>
                <w:color w:val="auto"/>
                <w:highlight w:val="none"/>
                <w:lang w:val="en-US" w:eastAsia="zh-CN"/>
              </w:rPr>
              <w:t>13</w:t>
            </w:r>
            <w:r>
              <w:rPr>
                <w:rFonts w:hint="eastAsia" w:asciiTheme="minorEastAsia" w:hAnsiTheme="minorEastAsia" w:eastAsiaTheme="minorEastAsia" w:cstheme="minorEastAsia"/>
                <w:bCs/>
                <w:color w:val="auto"/>
                <w:highlight w:val="none"/>
                <w:lang w:eastAsia="zh-CN"/>
              </w:rPr>
              <w:t>时</w:t>
            </w:r>
            <w:r>
              <w:rPr>
                <w:rFonts w:hint="eastAsia" w:asciiTheme="minorEastAsia" w:hAnsiTheme="minorEastAsia" w:eastAsiaTheme="minorEastAsia" w:cstheme="minorEastAsia"/>
                <w:bCs/>
                <w:color w:val="auto"/>
                <w:highlight w:val="none"/>
                <w:lang w:val="en-US" w:eastAsia="zh-CN"/>
              </w:rPr>
              <w:t>00</w:t>
            </w:r>
            <w:r>
              <w:rPr>
                <w:rFonts w:hint="eastAsia" w:asciiTheme="minorEastAsia" w:hAnsiTheme="minorEastAsia" w:eastAsiaTheme="minorEastAsia" w:cstheme="minorEastAsia"/>
                <w:bCs/>
                <w:color w:val="auto"/>
                <w:highlight w:val="none"/>
                <w:lang w:eastAsia="zh-CN"/>
              </w:rPr>
              <w:t>分</w:t>
            </w:r>
            <w:r>
              <w:rPr>
                <w:rFonts w:hint="eastAsia" w:asciiTheme="minorEastAsia" w:hAnsiTheme="minorEastAsia" w:eastAsiaTheme="minorEastAsia" w:cstheme="minorEastAsia"/>
                <w:color w:val="auto"/>
                <w:kern w:val="0"/>
                <w:szCs w:val="24"/>
                <w:highlight w:val="none"/>
                <w:lang w:val="en-US" w:eastAsia="zh-CN"/>
              </w:rPr>
              <w:t>（北京时间）</w:t>
            </w:r>
          </w:p>
          <w:p>
            <w:pPr>
              <w:keepNext w:val="0"/>
              <w:keepLines w:val="0"/>
              <w:pageBreakBefore w:val="0"/>
              <w:widowControl w:val="0"/>
              <w:kinsoku/>
              <w:wordWrap/>
              <w:overflowPunct/>
              <w:topLinePunct w:val="0"/>
              <w:bidi w:val="0"/>
              <w:adjustRightInd w:val="0"/>
              <w:snapToGrid w:val="0"/>
              <w:spacing w:line="400" w:lineRule="exact"/>
              <w:ind w:left="1024" w:leftChars="0" w:right="0" w:rightChars="0" w:hanging="1024" w:hangingChars="488"/>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开标地点：长春市二道区洋浦大街6999号凯利中心AB栋101</w:t>
            </w:r>
            <w:r>
              <w:rPr>
                <w:rFonts w:hint="eastAsia" w:asciiTheme="minorEastAsia" w:hAnsiTheme="minorEastAsia" w:eastAsiaTheme="minorEastAsia" w:cstheme="minorEastAsia"/>
                <w:color w:val="auto"/>
                <w:kern w:val="0"/>
                <w:szCs w:val="24"/>
                <w:highlight w:val="none"/>
                <w:lang w:val="en-US" w:eastAsia="zh-CN"/>
              </w:rPr>
              <w:t>开标四室。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w:t>
            </w:r>
          </w:p>
        </w:tc>
        <w:tc>
          <w:tcPr>
            <w:tcW w:w="11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开标程序</w:t>
            </w:r>
          </w:p>
        </w:tc>
        <w:tc>
          <w:tcPr>
            <w:tcW w:w="3399" w:type="pct"/>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开标顺序：</w:t>
            </w:r>
            <w:r>
              <w:rPr>
                <w:rFonts w:hint="eastAsia" w:asciiTheme="minorEastAsia" w:hAnsiTheme="minorEastAsia" w:eastAsiaTheme="minorEastAsia" w:cstheme="minorEastAsia"/>
                <w:color w:val="auto"/>
                <w:sz w:val="21"/>
                <w:szCs w:val="21"/>
                <w:highlight w:val="none"/>
                <w:lang w:eastAsia="zh-CN"/>
              </w:rPr>
              <w:t>按</w:t>
            </w:r>
            <w:r>
              <w:rPr>
                <w:rFonts w:hint="eastAsia" w:asciiTheme="minorEastAsia" w:hAnsiTheme="minorEastAsia" w:eastAsiaTheme="minorEastAsia" w:cstheme="minorEastAsia"/>
                <w:color w:val="auto"/>
                <w:sz w:val="21"/>
                <w:szCs w:val="21"/>
                <w:highlight w:val="none"/>
                <w:lang w:val="zh-CN"/>
              </w:rPr>
              <w:t>政府采购云平台电子标默认的顺序开标。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w:t>
            </w:r>
          </w:p>
        </w:tc>
        <w:tc>
          <w:tcPr>
            <w:tcW w:w="11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评标委员会的组建</w:t>
            </w:r>
          </w:p>
        </w:tc>
        <w:tc>
          <w:tcPr>
            <w:tcW w:w="3399" w:type="pct"/>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评标委员会构成：经济、技术专家</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人，评标专家确定方式：从政府采购评审专家库中随机抽取产生。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w:t>
            </w:r>
          </w:p>
        </w:tc>
        <w:tc>
          <w:tcPr>
            <w:tcW w:w="11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是否授权评标委员会确定</w:t>
            </w:r>
            <w:r>
              <w:rPr>
                <w:rFonts w:hint="eastAsia" w:asciiTheme="minorEastAsia" w:hAnsiTheme="minorEastAsia" w:eastAsiaTheme="minorEastAsia" w:cstheme="minorEastAsia"/>
                <w:color w:val="auto"/>
                <w:sz w:val="21"/>
                <w:szCs w:val="21"/>
                <w:highlight w:val="none"/>
                <w:lang w:eastAsia="zh-CN"/>
              </w:rPr>
              <w:t>中标人</w:t>
            </w:r>
          </w:p>
        </w:tc>
        <w:tc>
          <w:tcPr>
            <w:tcW w:w="3399" w:type="pct"/>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否，</w:t>
            </w:r>
            <w:r>
              <w:rPr>
                <w:rFonts w:hint="eastAsia" w:asciiTheme="minorEastAsia" w:hAnsiTheme="minorEastAsia" w:eastAsiaTheme="minorEastAsia" w:cstheme="minorEastAsia"/>
                <w:color w:val="auto"/>
                <w:szCs w:val="21"/>
                <w:highlight w:val="none"/>
              </w:rPr>
              <w:t>推荐3名中标候选人，按照综合得分高低标明排列顺序。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w:t>
            </w:r>
          </w:p>
        </w:tc>
        <w:tc>
          <w:tcPr>
            <w:tcW w:w="11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eastAsia="zh-CN"/>
              </w:rPr>
              <w:t>中标结果</w:t>
            </w:r>
            <w:r>
              <w:rPr>
                <w:rFonts w:hint="eastAsia" w:asciiTheme="minorEastAsia" w:hAnsiTheme="minorEastAsia" w:eastAsiaTheme="minorEastAsia" w:cstheme="minorEastAsia"/>
                <w:bCs/>
                <w:color w:val="auto"/>
                <w:sz w:val="21"/>
                <w:szCs w:val="21"/>
                <w:highlight w:val="none"/>
              </w:rPr>
              <w:t>公告媒介</w:t>
            </w:r>
          </w:p>
        </w:tc>
        <w:tc>
          <w:tcPr>
            <w:tcW w:w="3399" w:type="pct"/>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zh-CN"/>
              </w:rPr>
              <w:t>招标公告的同步媒介。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137" w:type="pct"/>
            <w:shd w:val="clear" w:color="auto" w:fill="auto"/>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履约保证金</w:t>
            </w:r>
          </w:p>
        </w:tc>
        <w:tc>
          <w:tcPr>
            <w:tcW w:w="3399" w:type="pct"/>
            <w:shd w:val="clear" w:color="auto" w:fill="auto"/>
            <w:vAlign w:val="center"/>
          </w:tcPr>
          <w:p>
            <w:pPr>
              <w:keepNext w:val="0"/>
              <w:keepLines w:val="0"/>
              <w:pageBreakBefore w:val="0"/>
              <w:widowControl w:val="0"/>
              <w:kinsoku/>
              <w:wordWrap/>
              <w:overflowPunct/>
              <w:topLinePunct w:val="0"/>
              <w:bidi w:val="0"/>
              <w:spacing w:line="40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w:t>
            </w:r>
          </w:p>
        </w:tc>
        <w:tc>
          <w:tcPr>
            <w:tcW w:w="4536" w:type="pct"/>
            <w:gridSpan w:val="2"/>
            <w:vAlign w:val="center"/>
          </w:tcPr>
          <w:p>
            <w:pPr>
              <w:keepNext w:val="0"/>
              <w:keepLines w:val="0"/>
              <w:pageBreakBefore w:val="0"/>
              <w:widowControl w:val="0"/>
              <w:kinsoku/>
              <w:wordWrap/>
              <w:overflowPunct/>
              <w:topLinePunct w:val="0"/>
              <w:bidi w:val="0"/>
              <w:spacing w:line="40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3" w:type="pct"/>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38.1</w:t>
            </w:r>
          </w:p>
        </w:tc>
        <w:tc>
          <w:tcPr>
            <w:tcW w:w="4536" w:type="pct"/>
            <w:gridSpan w:val="2"/>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1.按照《中小企业划分标准规定》（工信部联企业【2011】300号）的标准，属于小型和微型企业的中国企业，且投标产品是中国小型和微型企业生产的，应按照《政府采购促进中小企业发展管理办法》（财库[2020]046号）提交中小企业声明函。</w:t>
            </w:r>
            <w:r>
              <w:rPr>
                <w:rFonts w:hint="eastAsia" w:asciiTheme="minorEastAsia" w:hAnsiTheme="minorEastAsia" w:eastAsiaTheme="minorEastAsia" w:cstheme="minorEastAsia"/>
                <w:color w:val="auto"/>
                <w:sz w:val="21"/>
                <w:szCs w:val="21"/>
                <w:highlight w:val="none"/>
                <w:u w:val="none"/>
                <w:lang w:eastAsia="zh-CN"/>
              </w:rPr>
              <w:t>供应商</w:t>
            </w:r>
            <w:r>
              <w:rPr>
                <w:rFonts w:hint="eastAsia" w:asciiTheme="minorEastAsia" w:hAnsiTheme="minorEastAsia" w:eastAsiaTheme="minorEastAsia" w:cstheme="minorEastAsia"/>
                <w:color w:val="auto"/>
                <w:sz w:val="21"/>
                <w:szCs w:val="21"/>
                <w:highlight w:val="none"/>
                <w:u w:val="none"/>
              </w:rPr>
              <w:t>应对提交的中小企业声明函的真实性负责。提交的中小企业声明函不真实的，应承担相应的法律责任。</w:t>
            </w:r>
          </w:p>
          <w:p>
            <w:pPr>
              <w:keepNext w:val="0"/>
              <w:keepLines w:val="0"/>
              <w:pageBreakBefore w:val="0"/>
              <w:widowControl w:val="0"/>
              <w:kinsoku/>
              <w:wordWrap/>
              <w:overflowPunct/>
              <w:topLinePunct w:val="0"/>
              <w:bidi w:val="0"/>
              <w:adjustRightInd w:val="0"/>
              <w:snapToGrid w:val="0"/>
              <w:spacing w:line="400" w:lineRule="exact"/>
              <w:ind w:left="0" w:right="0" w:right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2.监狱企业视同小型、微型企业。</w:t>
            </w:r>
            <w:r>
              <w:rPr>
                <w:rFonts w:hint="eastAsia" w:asciiTheme="minorEastAsia" w:hAnsiTheme="minorEastAsia" w:eastAsiaTheme="minorEastAsia" w:cstheme="minorEastAsia"/>
                <w:color w:val="auto"/>
                <w:sz w:val="21"/>
                <w:szCs w:val="21"/>
                <w:highlight w:val="none"/>
                <w:u w:val="none"/>
                <w:lang w:eastAsia="zh-CN"/>
              </w:rPr>
              <w:t>供应商</w:t>
            </w:r>
            <w:r>
              <w:rPr>
                <w:rFonts w:hint="eastAsia" w:asciiTheme="minorEastAsia" w:hAnsiTheme="minorEastAsia" w:eastAsiaTheme="minorEastAsia" w:cstheme="minorEastAsia"/>
                <w:color w:val="auto"/>
                <w:sz w:val="21"/>
                <w:szCs w:val="21"/>
                <w:highlight w:val="none"/>
                <w:u w:val="none"/>
              </w:rPr>
              <w:t>为监狱企业的，应提供由省级以上监狱管理局、戒毒管理局（含新疆生产建设兵团）出具的属于监狱企业的证明文件。</w:t>
            </w:r>
            <w:r>
              <w:rPr>
                <w:rFonts w:hint="eastAsia" w:asciiTheme="minorEastAsia" w:hAnsiTheme="minorEastAsia" w:eastAsiaTheme="minorEastAsia" w:cstheme="minorEastAsia"/>
                <w:color w:val="auto"/>
                <w:sz w:val="21"/>
                <w:szCs w:val="21"/>
                <w:highlight w:val="none"/>
                <w:u w:val="none"/>
                <w:lang w:eastAsia="zh-CN"/>
              </w:rPr>
              <w:t>供应商</w:t>
            </w:r>
            <w:r>
              <w:rPr>
                <w:rFonts w:hint="eastAsia" w:asciiTheme="minorEastAsia" w:hAnsiTheme="minorEastAsia" w:eastAsiaTheme="minorEastAsia" w:cstheme="minorEastAsia"/>
                <w:color w:val="auto"/>
                <w:sz w:val="21"/>
                <w:szCs w:val="21"/>
                <w:highlight w:val="none"/>
                <w:u w:val="none"/>
              </w:rPr>
              <w:t>应对提交的属于监狱企业的证明文件的真实性负责。提交的监狱企业的证明文件不真实的，应承担相应的法律责任。</w:t>
            </w:r>
          </w:p>
          <w:p>
            <w:pPr>
              <w:keepNext w:val="0"/>
              <w:keepLines w:val="0"/>
              <w:pageBreakBefore w:val="0"/>
              <w:widowControl w:val="0"/>
              <w:kinsoku/>
              <w:wordWrap/>
              <w:overflowPunct/>
              <w:topLinePunct w:val="0"/>
              <w:bidi w:val="0"/>
              <w:adjustRightInd w:val="0"/>
              <w:snapToGrid w:val="0"/>
              <w:spacing w:line="400" w:lineRule="exact"/>
              <w:ind w:left="0" w:right="0" w:right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3.残疾人福利性单位视同小型、微型企业。符合条件的残疾人福利性单位应当提供《残疾人福利性单位声明函》。</w:t>
            </w:r>
            <w:r>
              <w:rPr>
                <w:rFonts w:hint="eastAsia" w:asciiTheme="minorEastAsia" w:hAnsiTheme="minorEastAsia" w:eastAsiaTheme="minorEastAsia" w:cstheme="minorEastAsia"/>
                <w:color w:val="auto"/>
                <w:sz w:val="21"/>
                <w:szCs w:val="21"/>
                <w:highlight w:val="none"/>
                <w:u w:val="none"/>
                <w:lang w:eastAsia="zh-CN"/>
              </w:rPr>
              <w:t>供应商</w:t>
            </w:r>
            <w:r>
              <w:rPr>
                <w:rFonts w:hint="eastAsia" w:asciiTheme="minorEastAsia" w:hAnsiTheme="minorEastAsia" w:eastAsiaTheme="minorEastAsia" w:cstheme="minorEastAsia"/>
                <w:color w:val="auto"/>
                <w:sz w:val="21"/>
                <w:szCs w:val="21"/>
                <w:highlight w:val="none"/>
                <w:u w:val="none"/>
              </w:rPr>
              <w:t>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bidi w:val="0"/>
              <w:adjustRightInd w:val="0"/>
              <w:snapToGrid w:val="0"/>
              <w:spacing w:line="400" w:lineRule="exact"/>
              <w:ind w:left="0" w:leftChars="0" w:right="0" w:rightChars="0"/>
              <w:textAlignment w:val="auto"/>
              <w:rPr>
                <w:rFonts w:hint="eastAsia" w:asciiTheme="minorEastAsia" w:hAnsiTheme="minorEastAsia" w:eastAsiaTheme="minorEastAsia" w:cstheme="minorEastAsia"/>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sz w:val="21"/>
                <w:szCs w:val="21"/>
                <w:highlight w:val="none"/>
                <w:u w:val="none"/>
              </w:rPr>
              <w:t>4.本项目所属行业为</w:t>
            </w:r>
            <w:r>
              <w:rPr>
                <w:rFonts w:hint="eastAsia" w:asciiTheme="minorEastAsia" w:hAnsiTheme="minorEastAsia" w:eastAsiaTheme="minorEastAsia" w:cstheme="minorEastAsia"/>
                <w:b/>
                <w:bCs/>
                <w:color w:val="auto"/>
                <w:sz w:val="21"/>
                <w:szCs w:val="21"/>
                <w:highlight w:val="none"/>
                <w:u w:val="none"/>
              </w:rPr>
              <w:t>：其他未列明行业</w:t>
            </w:r>
            <w:r>
              <w:rPr>
                <w:rFonts w:hint="eastAsia" w:asciiTheme="minorEastAsia" w:hAnsiTheme="minorEastAsia" w:eastAsiaTheme="minorEastAsia" w:cstheme="minorEastAsia"/>
                <w:b/>
                <w:bCs/>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38.2</w:t>
            </w:r>
          </w:p>
        </w:tc>
        <w:tc>
          <w:tcPr>
            <w:tcW w:w="4536" w:type="pct"/>
            <w:gridSpan w:val="2"/>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u w:val="none"/>
                <w:lang w:eastAsia="zh-CN"/>
              </w:rPr>
              <w:t>付款</w:t>
            </w:r>
            <w:r>
              <w:rPr>
                <w:rFonts w:hint="eastAsia" w:asciiTheme="minorEastAsia" w:hAnsiTheme="minorEastAsia" w:eastAsiaTheme="minorEastAsia" w:cstheme="minorEastAsia"/>
                <w:color w:val="auto"/>
                <w:sz w:val="21"/>
                <w:szCs w:val="21"/>
                <w:highlight w:val="none"/>
                <w:u w:val="none"/>
              </w:rPr>
              <w:t>方式：合同签订后按服务进度分期支付，每阶段服务验收合格后支付对应款项，项目全部服务结束并完成最终验收后付清尾款。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 w:type="pct"/>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38.3</w:t>
            </w:r>
          </w:p>
        </w:tc>
        <w:tc>
          <w:tcPr>
            <w:tcW w:w="4536" w:type="pct"/>
            <w:gridSpan w:val="2"/>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依据</w:t>
            </w:r>
            <w:r>
              <w:rPr>
                <w:rFonts w:hint="eastAsia" w:asciiTheme="minorEastAsia" w:hAnsiTheme="minorEastAsia" w:eastAsiaTheme="minorEastAsia" w:cstheme="minorEastAsia"/>
                <w:bCs/>
                <w:color w:val="auto"/>
                <w:sz w:val="21"/>
                <w:szCs w:val="21"/>
                <w:highlight w:val="none"/>
              </w:rPr>
              <w:t>《政府采购促进中小企业发展管理办法》</w:t>
            </w:r>
            <w:r>
              <w:rPr>
                <w:rFonts w:hint="eastAsia" w:asciiTheme="minorEastAsia" w:hAnsiTheme="minorEastAsia" w:eastAsiaTheme="minorEastAsia" w:cstheme="minorEastAsia"/>
                <w:color w:val="auto"/>
                <w:spacing w:val="-1"/>
                <w:sz w:val="21"/>
                <w:szCs w:val="21"/>
                <w:highlight w:val="none"/>
              </w:rPr>
              <w:t>规定享受扶持政策获得政府采购</w:t>
            </w:r>
            <w:r>
              <w:rPr>
                <w:rFonts w:hint="eastAsia" w:asciiTheme="minorEastAsia" w:hAnsiTheme="minorEastAsia" w:eastAsiaTheme="minorEastAsia" w:cstheme="minorEastAsia"/>
                <w:color w:val="auto"/>
                <w:spacing w:val="-3"/>
                <w:sz w:val="21"/>
                <w:szCs w:val="21"/>
                <w:highlight w:val="none"/>
              </w:rPr>
              <w:t>合同的，小微企业不得将合同分包给大中型企业，中型企业</w:t>
            </w:r>
            <w:r>
              <w:rPr>
                <w:rFonts w:hint="eastAsia" w:asciiTheme="minorEastAsia" w:hAnsiTheme="minorEastAsia" w:eastAsiaTheme="minorEastAsia" w:cstheme="minorEastAsia"/>
                <w:color w:val="auto"/>
                <w:sz w:val="21"/>
                <w:szCs w:val="21"/>
                <w:highlight w:val="none"/>
              </w:rPr>
              <w:t>不得</w:t>
            </w:r>
            <w:r>
              <w:rPr>
                <w:rFonts w:hint="eastAsia" w:asciiTheme="minorEastAsia" w:hAnsiTheme="minorEastAsia" w:eastAsiaTheme="minorEastAsia" w:cstheme="minorEastAsia"/>
                <w:color w:val="auto"/>
                <w:spacing w:val="-3"/>
                <w:sz w:val="21"/>
                <w:szCs w:val="21"/>
                <w:highlight w:val="none"/>
              </w:rPr>
              <w:t>将合同分包给大型企业。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38.4</w:t>
            </w:r>
          </w:p>
        </w:tc>
        <w:tc>
          <w:tcPr>
            <w:tcW w:w="4536" w:type="pct"/>
            <w:gridSpan w:val="2"/>
            <w:shd w:val="clear" w:color="auto" w:fill="auto"/>
            <w:vAlign w:val="center"/>
          </w:tcPr>
          <w:p>
            <w:pPr>
              <w:pStyle w:val="58"/>
              <w:keepNext w:val="0"/>
              <w:keepLines w:val="0"/>
              <w:pageBreakBefore w:val="0"/>
              <w:widowControl w:val="0"/>
              <w:kinsoku/>
              <w:wordWrap/>
              <w:overflowPunct/>
              <w:topLinePunct w:val="0"/>
              <w:bidi w:val="0"/>
              <w:adjustRightInd w:val="0"/>
              <w:snapToGrid w:val="0"/>
              <w:spacing w:line="400" w:lineRule="exact"/>
              <w:ind w:left="0" w:leftChars="0" w:right="0" w:rightChars="0"/>
              <w:textAlignment w:val="auto"/>
              <w:rPr>
                <w:rFonts w:hint="default"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代理</w:t>
            </w:r>
            <w:r>
              <w:rPr>
                <w:rFonts w:hint="eastAsia" w:asciiTheme="minorEastAsia" w:hAnsiTheme="minorEastAsia" w:eastAsiaTheme="minorEastAsia" w:cstheme="minorEastAsia"/>
                <w:color w:val="auto"/>
                <w:sz w:val="21"/>
                <w:szCs w:val="21"/>
                <w:highlight w:val="none"/>
              </w:rPr>
              <w:t>服务费收取</w:t>
            </w:r>
            <w:r>
              <w:rPr>
                <w:rFonts w:hint="eastAsia" w:asciiTheme="minorEastAsia" w:hAnsiTheme="minorEastAsia" w:eastAsiaTheme="minorEastAsia" w:cstheme="minorEastAsia"/>
                <w:color w:val="auto"/>
                <w:sz w:val="21"/>
                <w:szCs w:val="21"/>
                <w:highlight w:val="none"/>
                <w:lang w:val="en-US" w:eastAsia="zh-CN"/>
              </w:rPr>
              <w:t>方式及标准</w:t>
            </w:r>
            <w:r>
              <w:rPr>
                <w:rFonts w:hint="eastAsia" w:asciiTheme="minorEastAsia" w:hAnsiTheme="minorEastAsia" w:eastAsiaTheme="minorEastAsia" w:cstheme="minorEastAsia"/>
                <w:color w:val="auto"/>
                <w:sz w:val="21"/>
                <w:szCs w:val="21"/>
                <w:highlight w:val="none"/>
              </w:rPr>
              <w:t>：</w:t>
            </w:r>
            <w:bookmarkStart w:id="45" w:name="OLE_LINK1"/>
            <w:r>
              <w:rPr>
                <w:rFonts w:hint="eastAsia" w:asciiTheme="minorEastAsia" w:hAnsiTheme="minorEastAsia" w:eastAsiaTheme="minorEastAsia" w:cstheme="minorEastAsia"/>
                <w:color w:val="auto"/>
                <w:sz w:val="21"/>
                <w:szCs w:val="21"/>
                <w:highlight w:val="none"/>
                <w:lang w:val="en-US" w:eastAsia="zh-CN"/>
              </w:rPr>
              <w:t>本项目招标代理服务费依据发改价格〔2015〕299号文件和财库</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2018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2号文件执行</w:t>
            </w:r>
            <w:bookmarkEnd w:id="45"/>
            <w:r>
              <w:rPr>
                <w:rFonts w:hint="eastAsia" w:asciiTheme="minorEastAsia" w:hAnsiTheme="minorEastAsia" w:eastAsiaTheme="minorEastAsia" w:cstheme="minorEastAsia"/>
                <w:color w:val="auto"/>
                <w:sz w:val="21"/>
                <w:szCs w:val="21"/>
                <w:highlight w:val="none"/>
                <w:lang w:val="en-US" w:eastAsia="zh-CN"/>
              </w:rPr>
              <w:t>，由中标人承担并在领取中标通知书前支付，支付金额为成交金额的1.5%。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3" w:type="pct"/>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38.5</w:t>
            </w:r>
          </w:p>
        </w:tc>
        <w:tc>
          <w:tcPr>
            <w:tcW w:w="4536" w:type="pct"/>
            <w:gridSpan w:val="2"/>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采购项目需要落实的政府采购政策</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1、小微企业投标优惠政策：</w:t>
            </w:r>
          </w:p>
          <w:p>
            <w:pPr>
              <w:keepNext w:val="0"/>
              <w:keepLines w:val="0"/>
              <w:pageBreakBefore w:val="0"/>
              <w:widowControl w:val="0"/>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(1)对于小型或微型企业参与本项目投标的，</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须提供《小微企业声明函》，小微企业报价给</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%的扣除，用扣除后的价格参加评审</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widowControl w:val="0"/>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、监狱企业视同小微企业，监狱企业参加采购活动的提供由省级以上监狱管理局、戒毒管理局(含新疆生产建设兵团)出具的属于监狱企业的证明文件，不再提供《中小微企业声明函》；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、残疾人福利性单位视同小型、微型企业，残疾人福利性单位属于小型、微型企业的，不重复享受政策。符合条件的残疾人福利性单位在参加政府采购活动时，应当提供《残疾人福利性单位声明函》。</w:t>
            </w:r>
          </w:p>
          <w:p>
            <w:pPr>
              <w:keepNext w:val="0"/>
              <w:keepLines w:val="0"/>
              <w:pageBreakBefore w:val="0"/>
              <w:widowControl w:val="0"/>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、详见《政府采购促进中小企业发展管理办法》（财库﹝2020﹞46号）的规定</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Align w:val="center"/>
          </w:tcPr>
          <w:p>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38.6</w:t>
            </w:r>
          </w:p>
        </w:tc>
        <w:tc>
          <w:tcPr>
            <w:tcW w:w="4536" w:type="pct"/>
            <w:gridSpan w:val="2"/>
            <w:shd w:val="clear" w:color="auto" w:fill="auto"/>
            <w:vAlign w:val="center"/>
          </w:tcPr>
          <w:p>
            <w:pPr>
              <w:keepNext w:val="0"/>
              <w:keepLines w:val="0"/>
              <w:pageBreakBefore w:val="0"/>
              <w:widowControl w:val="0"/>
              <w:shd w:val="clear" w:color="auto" w:fill="auto"/>
              <w:kinsoku/>
              <w:wordWrap/>
              <w:overflowPunct/>
              <w:topLinePunct w:val="0"/>
              <w:bidi w:val="0"/>
              <w:adjustRightInd w:val="0"/>
              <w:snapToGrid w:val="0"/>
              <w:spacing w:line="400" w:lineRule="exact"/>
              <w:ind w:left="0" w:right="0" w:rightChars="0"/>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zh-CN"/>
              </w:rPr>
              <w:t>电子标说明</w:t>
            </w:r>
            <w:r>
              <w:rPr>
                <w:rFonts w:hint="eastAsia" w:asciiTheme="minorEastAsia" w:hAnsiTheme="minorEastAsia" w:eastAsiaTheme="minorEastAsia" w:cstheme="minorEastAsia"/>
                <w:color w:val="auto"/>
                <w:sz w:val="21"/>
                <w:szCs w:val="21"/>
                <w:highlight w:val="none"/>
                <w:lang w:val="zh-CN" w:eastAsia="zh-CN"/>
              </w:rPr>
              <w:t>：</w:t>
            </w:r>
          </w:p>
          <w:p>
            <w:pPr>
              <w:keepNext w:val="0"/>
              <w:keepLines w:val="0"/>
              <w:pageBreakBefore w:val="0"/>
              <w:widowControl w:val="0"/>
              <w:shd w:val="clear" w:color="auto" w:fill="auto"/>
              <w:kinsoku/>
              <w:wordWrap/>
              <w:overflowPunct/>
              <w:topLinePunct w:val="0"/>
              <w:bidi w:val="0"/>
              <w:adjustRightInd w:val="0"/>
              <w:snapToGrid w:val="0"/>
              <w:spacing w:line="400" w:lineRule="exact"/>
              <w:ind w:left="0" w:right="0" w:rightChars="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上传的电子证件及资料均需按要求签字盖章上传，否则按未签章处理。</w:t>
            </w:r>
          </w:p>
          <w:p>
            <w:pPr>
              <w:keepNext w:val="0"/>
              <w:keepLines w:val="0"/>
              <w:pageBreakBefore w:val="0"/>
              <w:widowControl w:val="0"/>
              <w:shd w:val="clear" w:color="auto" w:fill="auto"/>
              <w:kinsoku/>
              <w:wordWrap/>
              <w:overflowPunct/>
              <w:topLinePunct w:val="0"/>
              <w:bidi w:val="0"/>
              <w:adjustRightInd w:val="0"/>
              <w:snapToGrid w:val="0"/>
              <w:spacing w:line="400" w:lineRule="exact"/>
              <w:ind w:left="0" w:right="0" w:righ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投标文件电子版方面技术支持：95763</w:t>
            </w:r>
          </w:p>
          <w:p>
            <w:pPr>
              <w:keepNext w:val="0"/>
              <w:keepLines w:val="0"/>
              <w:pageBreakBefore w:val="0"/>
              <w:widowControl w:val="0"/>
              <w:shd w:val="clear" w:color="auto" w:fill="auto"/>
              <w:kinsoku/>
              <w:wordWrap/>
              <w:overflowPunct/>
              <w:topLinePunct w:val="0"/>
              <w:bidi w:val="0"/>
              <w:adjustRightInd w:val="0"/>
              <w:snapToGrid w:val="0"/>
              <w:spacing w:line="400" w:lineRule="exact"/>
              <w:ind w:left="0" w:right="0" w:rightChars="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供应商在政府采购云平台（网址：http:// www.zcygov.cn）通过数字证书制作投标文件1份（此投标文件需上传至政府采购云平台，并在开标</w:t>
            </w:r>
            <w:r>
              <w:rPr>
                <w:rFonts w:hint="eastAsia" w:asciiTheme="minorEastAsia" w:hAnsiTheme="minorEastAsia" w:eastAsiaTheme="minorEastAsia" w:cstheme="minorEastAsia"/>
                <w:color w:val="auto"/>
                <w:sz w:val="21"/>
                <w:szCs w:val="21"/>
                <w:highlight w:val="none"/>
                <w:lang w:val="en-US" w:eastAsia="zh-CN"/>
              </w:rPr>
              <w:t>时</w:t>
            </w:r>
            <w:r>
              <w:rPr>
                <w:rFonts w:hint="eastAsia" w:asciiTheme="minorEastAsia" w:hAnsiTheme="minorEastAsia" w:eastAsiaTheme="minorEastAsia" w:cstheme="minorEastAsia"/>
                <w:color w:val="auto"/>
                <w:sz w:val="21"/>
                <w:szCs w:val="21"/>
                <w:highlight w:val="none"/>
                <w:lang w:val="zh-CN"/>
              </w:rPr>
              <w:t>持编制投标文件的供应商数字证书解密）。</w:t>
            </w:r>
          </w:p>
          <w:p>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备注：用数字证书编制的电子版按政府采购云平台要求进行投标操作。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63" w:type="pct"/>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38.7</w:t>
            </w:r>
          </w:p>
        </w:tc>
        <w:tc>
          <w:tcPr>
            <w:tcW w:w="4536" w:type="pct"/>
            <w:gridSpan w:val="2"/>
            <w:shd w:val="clear" w:color="auto" w:fill="auto"/>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shd w:val="solid" w:color="FFFFFF" w:fill="FFFFFF"/>
                <w:lang w:val="en-US" w:eastAsia="zh-CN" w:bidi="ar-SA"/>
              </w:rPr>
              <w:t>如发现提供的资料虚假资料的，采购人有权取消中标人中标资格，由此对采购人造成的一切损失由供应商承担。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63" w:type="pct"/>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w:t>
            </w:r>
            <w:r>
              <w:rPr>
                <w:rFonts w:hint="eastAsia" w:asciiTheme="minorEastAsia" w:hAnsiTheme="minorEastAsia" w:eastAsiaTheme="minorEastAsia" w:cstheme="minorEastAsia"/>
                <w:b w:val="0"/>
                <w:bCs w:val="0"/>
                <w:color w:val="auto"/>
                <w:sz w:val="21"/>
                <w:szCs w:val="21"/>
                <w:highlight w:val="none"/>
                <w:lang w:val="en-US" w:eastAsia="zh-CN"/>
              </w:rPr>
              <w:t>.8</w:t>
            </w:r>
          </w:p>
        </w:tc>
        <w:tc>
          <w:tcPr>
            <w:tcW w:w="4536" w:type="pct"/>
            <w:gridSpan w:val="2"/>
            <w:shd w:val="clear" w:color="auto" w:fill="auto"/>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投标文件内附复印件均应清晰可辨，任何不可辨识信息导致评标委员会无法进行评审的，由供应商自行负责。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宋体" w:hAnsi="宋体" w:eastAsia="宋体" w:cs="宋体"/>
                <w:b w:val="0"/>
                <w:bCs/>
                <w:caps w:val="0"/>
                <w:color w:val="auto"/>
                <w:kern w:val="15"/>
                <w:sz w:val="21"/>
                <w:szCs w:val="21"/>
                <w:highlight w:val="none"/>
                <w:vertAlign w:val="baseline"/>
                <w:lang w:val="en-US" w:eastAsia="zh-CN" w:bidi="ar"/>
              </w:rPr>
              <w:t>注意事项：本项目招标公告与招标文件中内容有不符之处，以本招标文件中内容为准。</w:t>
            </w:r>
          </w:p>
        </w:tc>
      </w:tr>
    </w:tbl>
    <w:p>
      <w:pPr>
        <w:pStyle w:val="21"/>
        <w:spacing w:line="300" w:lineRule="exact"/>
        <w:ind w:right="420"/>
        <w:rPr>
          <w:rFonts w:hint="eastAsia" w:asciiTheme="minorEastAsia" w:hAnsiTheme="minorEastAsia" w:eastAsiaTheme="minorEastAsia" w:cstheme="minorEastAsia"/>
          <w:b/>
          <w:color w:val="auto"/>
          <w:kern w:val="0"/>
          <w:szCs w:val="21"/>
          <w:highlight w:val="none"/>
        </w:rPr>
      </w:pPr>
    </w:p>
    <w:p>
      <w:pP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p>
    <w:p>
      <w:pPr>
        <w:pStyle w:val="21"/>
        <w:keepNext w:val="0"/>
        <w:keepLines w:val="0"/>
        <w:pageBreakBefore w:val="0"/>
        <w:kinsoku/>
        <w:wordWrap/>
        <w:overflowPunct/>
        <w:topLinePunct w:val="0"/>
        <w:bidi w:val="0"/>
        <w:adjustRightInd/>
        <w:snapToGrid/>
        <w:spacing w:line="400" w:lineRule="exact"/>
        <w:ind w:left="0" w:leftChars="0" w:right="420" w:firstLine="0" w:firstLineChars="0"/>
        <w:jc w:val="center"/>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 总则</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 项目概况</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1.1.1</w:t>
      </w:r>
      <w:r>
        <w:rPr>
          <w:rFonts w:hint="eastAsia" w:asciiTheme="minorEastAsia" w:hAnsiTheme="minorEastAsia" w:eastAsiaTheme="minorEastAsia" w:cstheme="minorEastAsia"/>
          <w:color w:val="auto"/>
          <w:szCs w:val="21"/>
          <w:highlight w:val="none"/>
        </w:rPr>
        <w:t>根据《中华人民共和国政府采购法》等有关法律、法规和规章的规定，本招标项目已具备招标条件，</w:t>
      </w:r>
      <w:r>
        <w:rPr>
          <w:rFonts w:hint="eastAsia" w:asciiTheme="minorEastAsia" w:hAnsiTheme="minorEastAsia" w:eastAsiaTheme="minorEastAsia" w:cstheme="minorEastAsia"/>
          <w:color w:val="auto"/>
          <w:kern w:val="0"/>
          <w:szCs w:val="21"/>
          <w:highlight w:val="none"/>
        </w:rPr>
        <w:t>现对本项目进行招标。</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1.1.2 本招标项目的采购人：见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1.1.3 本招标项目的采购代理机构：见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1.1.4 本招标项目的项目名称：见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1.1.5 本招标项目的</w:t>
      </w:r>
      <w:r>
        <w:rPr>
          <w:rFonts w:hint="eastAsia" w:asciiTheme="minorEastAsia" w:hAnsiTheme="minorEastAsia" w:eastAsiaTheme="minorEastAsia" w:cstheme="minorEastAsia"/>
          <w:color w:val="auto"/>
          <w:kern w:val="0"/>
          <w:szCs w:val="21"/>
          <w:highlight w:val="none"/>
          <w:lang w:eastAsia="zh-CN"/>
        </w:rPr>
        <w:t>项目地点</w:t>
      </w:r>
      <w:r>
        <w:rPr>
          <w:rFonts w:hint="eastAsia" w:asciiTheme="minorEastAsia" w:hAnsiTheme="minorEastAsia" w:eastAsiaTheme="minorEastAsia" w:cstheme="minorEastAsia"/>
          <w:color w:val="auto"/>
          <w:kern w:val="0"/>
          <w:szCs w:val="21"/>
          <w:highlight w:val="none"/>
        </w:rPr>
        <w:t>：见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 资金来源、出资比例和资金落实情况</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1.2.1 本招标项目的资金来源：见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1.2.2 本招标项目的出资比例：见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1.2.3 本招标项目的资金落实情况：见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1.3</w:t>
      </w:r>
      <w:r>
        <w:rPr>
          <w:rFonts w:hint="eastAsia" w:asciiTheme="minorEastAsia" w:hAnsiTheme="minorEastAsia" w:eastAsiaTheme="minorEastAsia" w:cstheme="minorEastAsia"/>
          <w:bCs/>
          <w:color w:val="auto"/>
          <w:szCs w:val="21"/>
          <w:highlight w:val="none"/>
        </w:rPr>
        <w:t>采购需求</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bCs/>
          <w:color w:val="auto"/>
          <w:kern w:val="0"/>
          <w:szCs w:val="21"/>
          <w:highlight w:val="none"/>
        </w:rPr>
        <w:t>合同履行期限</w:t>
      </w:r>
      <w:r>
        <w:rPr>
          <w:rFonts w:hint="eastAsia" w:asciiTheme="minorEastAsia" w:hAnsiTheme="minorEastAsia" w:eastAsiaTheme="minorEastAsia" w:cstheme="minorEastAsia"/>
          <w:color w:val="auto"/>
          <w:kern w:val="0"/>
          <w:szCs w:val="21"/>
          <w:highlight w:val="none"/>
        </w:rPr>
        <w:t>和</w:t>
      </w:r>
      <w:r>
        <w:rPr>
          <w:rFonts w:hint="eastAsia" w:asciiTheme="minorEastAsia" w:hAnsiTheme="minorEastAsia" w:eastAsiaTheme="minorEastAsia" w:cstheme="minorEastAsia"/>
          <w:color w:val="auto"/>
          <w:kern w:val="0"/>
          <w:szCs w:val="21"/>
          <w:highlight w:val="none"/>
          <w:lang w:eastAsia="zh-CN"/>
        </w:rPr>
        <w:t>质量标准</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1.3.1 本次招标项目的</w:t>
      </w:r>
      <w:r>
        <w:rPr>
          <w:rFonts w:hint="eastAsia" w:asciiTheme="minorEastAsia" w:hAnsiTheme="minorEastAsia" w:eastAsiaTheme="minorEastAsia" w:cstheme="minorEastAsia"/>
          <w:bCs/>
          <w:color w:val="auto"/>
          <w:szCs w:val="21"/>
          <w:highlight w:val="none"/>
        </w:rPr>
        <w:t>采购需求</w:t>
      </w:r>
      <w:r>
        <w:rPr>
          <w:rFonts w:hint="eastAsia" w:asciiTheme="minorEastAsia" w:hAnsiTheme="minorEastAsia" w:eastAsiaTheme="minorEastAsia" w:cstheme="minorEastAsia"/>
          <w:color w:val="auto"/>
          <w:kern w:val="0"/>
          <w:szCs w:val="21"/>
          <w:highlight w:val="none"/>
        </w:rPr>
        <w:t>：见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1.3.2 本招标项目的</w:t>
      </w:r>
      <w:r>
        <w:rPr>
          <w:rFonts w:hint="eastAsia" w:asciiTheme="minorEastAsia" w:hAnsiTheme="minorEastAsia" w:eastAsiaTheme="minorEastAsia" w:cstheme="minorEastAsia"/>
          <w:bCs/>
          <w:color w:val="auto"/>
          <w:kern w:val="0"/>
          <w:szCs w:val="21"/>
          <w:highlight w:val="none"/>
        </w:rPr>
        <w:t>合同履行期限</w:t>
      </w:r>
      <w:r>
        <w:rPr>
          <w:rFonts w:hint="eastAsia" w:asciiTheme="minorEastAsia" w:hAnsiTheme="minorEastAsia" w:eastAsiaTheme="minorEastAsia" w:cstheme="minorEastAsia"/>
          <w:color w:val="auto"/>
          <w:kern w:val="0"/>
          <w:szCs w:val="21"/>
          <w:highlight w:val="none"/>
        </w:rPr>
        <w:t>：见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 本招标项目的</w:t>
      </w:r>
      <w:r>
        <w:rPr>
          <w:rFonts w:hint="eastAsia" w:asciiTheme="minorEastAsia" w:hAnsiTheme="minorEastAsia" w:eastAsiaTheme="minorEastAsia" w:cstheme="minorEastAsia"/>
          <w:bCs/>
          <w:color w:val="auto"/>
          <w:szCs w:val="21"/>
          <w:highlight w:val="none"/>
          <w:lang w:val="zh-CN"/>
        </w:rPr>
        <w:t>质量标准</w:t>
      </w:r>
      <w:r>
        <w:rPr>
          <w:rFonts w:hint="eastAsia" w:asciiTheme="minorEastAsia" w:hAnsiTheme="minorEastAsia" w:eastAsiaTheme="minorEastAsia" w:cstheme="minorEastAsia"/>
          <w:color w:val="auto"/>
          <w:kern w:val="0"/>
          <w:szCs w:val="21"/>
          <w:highlight w:val="none"/>
        </w:rPr>
        <w:t>：见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1.4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资格要求</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1.4.1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应具备的资质条件、能力和信誉</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1.4.2 不接受联合体投标。</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1.4.3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不得存在下列情形之一：</w:t>
      </w:r>
    </w:p>
    <w:p>
      <w:pPr>
        <w:keepNext w:val="0"/>
        <w:keepLines w:val="0"/>
        <w:pageBreakBefore w:val="0"/>
        <w:kinsoku/>
        <w:wordWrap/>
        <w:overflowPunct/>
        <w:topLinePunct w:val="0"/>
        <w:autoSpaceDE w:val="0"/>
        <w:autoSpaceDN w:val="0"/>
        <w:bidi w:val="0"/>
        <w:adjustRightInd/>
        <w:snapToGrid/>
        <w:spacing w:line="400" w:lineRule="exact"/>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（1）为采购人不具有独立法人资格的附属机构（单位）；</w:t>
      </w:r>
    </w:p>
    <w:p>
      <w:pPr>
        <w:keepNext w:val="0"/>
        <w:keepLines w:val="0"/>
        <w:pageBreakBefore w:val="0"/>
        <w:kinsoku/>
        <w:wordWrap/>
        <w:overflowPunct/>
        <w:topLinePunct w:val="0"/>
        <w:autoSpaceDE w:val="0"/>
        <w:autoSpaceDN w:val="0"/>
        <w:bidi w:val="0"/>
        <w:adjustRightInd/>
        <w:snapToGrid/>
        <w:spacing w:line="400" w:lineRule="exact"/>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（2）被责令停业的；</w:t>
      </w:r>
    </w:p>
    <w:p>
      <w:pPr>
        <w:keepNext w:val="0"/>
        <w:keepLines w:val="0"/>
        <w:pageBreakBefore w:val="0"/>
        <w:kinsoku/>
        <w:wordWrap/>
        <w:overflowPunct/>
        <w:topLinePunct w:val="0"/>
        <w:autoSpaceDE w:val="0"/>
        <w:autoSpaceDN w:val="0"/>
        <w:bidi w:val="0"/>
        <w:adjustRightInd/>
        <w:snapToGrid/>
        <w:spacing w:line="400" w:lineRule="exact"/>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（3）被暂停或取消投标资格的；</w:t>
      </w:r>
    </w:p>
    <w:p>
      <w:pPr>
        <w:keepNext w:val="0"/>
        <w:keepLines w:val="0"/>
        <w:pageBreakBefore w:val="0"/>
        <w:kinsoku/>
        <w:wordWrap/>
        <w:overflowPunct/>
        <w:topLinePunct w:val="0"/>
        <w:autoSpaceDE w:val="0"/>
        <w:autoSpaceDN w:val="0"/>
        <w:bidi w:val="0"/>
        <w:adjustRightInd/>
        <w:snapToGrid/>
        <w:spacing w:line="400" w:lineRule="exact"/>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（4）财产被接管或冻结的；</w:t>
      </w:r>
    </w:p>
    <w:p>
      <w:pPr>
        <w:keepNext w:val="0"/>
        <w:keepLines w:val="0"/>
        <w:pageBreakBefore w:val="0"/>
        <w:kinsoku/>
        <w:wordWrap/>
        <w:overflowPunct/>
        <w:topLinePunct w:val="0"/>
        <w:autoSpaceDE w:val="0"/>
        <w:autoSpaceDN w:val="0"/>
        <w:bidi w:val="0"/>
        <w:adjustRightInd/>
        <w:snapToGrid/>
        <w:spacing w:line="400" w:lineRule="exact"/>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（5）在最近三年内有骗取</w:t>
      </w:r>
      <w:r>
        <w:rPr>
          <w:rFonts w:hint="eastAsia" w:asciiTheme="minorEastAsia" w:hAnsiTheme="minorEastAsia" w:eastAsiaTheme="minorEastAsia" w:cstheme="minorEastAsia"/>
          <w:color w:val="auto"/>
          <w:kern w:val="0"/>
          <w:szCs w:val="21"/>
          <w:highlight w:val="none"/>
          <w:lang w:eastAsia="zh-CN"/>
        </w:rPr>
        <w:t>中标</w:t>
      </w:r>
      <w:r>
        <w:rPr>
          <w:rFonts w:hint="eastAsia" w:asciiTheme="minorEastAsia" w:hAnsiTheme="minorEastAsia" w:eastAsiaTheme="minorEastAsia" w:cstheme="minorEastAsia"/>
          <w:color w:val="auto"/>
          <w:kern w:val="0"/>
          <w:szCs w:val="21"/>
          <w:highlight w:val="none"/>
        </w:rPr>
        <w:t>或严重违约或重大质量问题的。</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 xml:space="preserve">    1.4.4 单位负责人为同一人或者存在控股、管理关系的不同</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szCs w:val="21"/>
          <w:highlight w:val="none"/>
        </w:rPr>
        <w:t>不得参加同一合同项下的政府采购活动</w:t>
      </w:r>
      <w:r>
        <w:rPr>
          <w:rFonts w:hint="eastAsia" w:asciiTheme="minorEastAsia" w:hAnsiTheme="minorEastAsia" w:eastAsiaTheme="minorEastAsia" w:cstheme="minorEastAsia"/>
          <w:color w:val="auto"/>
          <w:szCs w:val="21"/>
          <w:highlight w:val="none"/>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 费用承担</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准备和参加投标活动发生的费用自理。</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 保密</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参与招标投标活动的各方应对招标文件和投标文件中的商业和技术等秘密保密，违者应对由此造成的后果承担法律责任。</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 语言文字</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除专用术语外，与招标投标有关的语言均使用中文。必要时专用术语应附有中文注释。</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 计量单位</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所有计量均采用中华人民共和国法定计量单位。</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 踏勘现场</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不组织</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1.10 投标答疑会</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1.10.1 不召开答疑会。</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1.10.2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应在</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须知前附表规定的时间前，以书面形式将提出的问题送达采购人，以便采购人在会议期间澄清。</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1.10.3 采购人在</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须知前附表规定的时间内，将对</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所提问题的澄清，以书面方式通知所有购买招标文件的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。该澄清内容为招标文件的组成部分。</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1.11</w:t>
      </w:r>
      <w:r>
        <w:rPr>
          <w:rFonts w:hint="eastAsia" w:asciiTheme="minorEastAsia" w:hAnsiTheme="minorEastAsia" w:eastAsiaTheme="minorEastAsia" w:cstheme="minorEastAsia"/>
          <w:color w:val="auto"/>
          <w:szCs w:val="21"/>
          <w:highlight w:val="none"/>
        </w:rPr>
        <w:t>分包、转包</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不允许。</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1.12偏离</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不允许负偏离。</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2. 招标文件</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 招标文件的组成</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本招标文件包括：</w:t>
      </w:r>
    </w:p>
    <w:p>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  招标公告</w:t>
      </w:r>
    </w:p>
    <w:p>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第二章  </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w:t>
      </w:r>
    </w:p>
    <w:p>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第三章  评标办法（综合评分法）</w:t>
      </w:r>
    </w:p>
    <w:p>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第四章  </w:t>
      </w:r>
      <w:r>
        <w:rPr>
          <w:rFonts w:hint="eastAsia" w:asciiTheme="minorEastAsia" w:hAnsiTheme="minorEastAsia" w:eastAsiaTheme="minorEastAsia" w:cstheme="minorEastAsia"/>
          <w:color w:val="auto"/>
          <w:szCs w:val="21"/>
          <w:highlight w:val="none"/>
          <w:lang w:eastAsia="zh-CN"/>
        </w:rPr>
        <w:t>合同主要条款</w:t>
      </w:r>
    </w:p>
    <w:p>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第五章  采购需求</w:t>
      </w:r>
    </w:p>
    <w:p>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第六章  投标文件格式</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根据本章第2.2 款和第2.3 款对招标文件所作的澄清、修改，构成招标文件的组成部分。</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 招标文件的澄清</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2.2.1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应仔细阅读和检查招标文件的全部内容。如发现缺页或附件不全，应及时向采购人提出，以便补齐。如有疑问，应在</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须知前附表规定的时间前以书面形式（包括信函、电报、传真等可以有形地表现所载内容的形式，下同），要求采购人对招标文件予以澄清。</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 招标文件的澄清将在</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须知前附表规定的投标截止时间15天前以书面形式发给所有购买招标文件的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，但不指明澄清问题的来源。如果澄清发出的时间距投标截止时间不足15天，且澄清的内容影响投标文件编制的，相应延长投标截止时间。</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2.2.3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在收到澄清后，应在</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须知前附表规定的时间内以书面形式通知采购人，确认已收到该澄清。</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 招标文件的修改</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2.3.1 在投标截止时间前，采购人可以书面形式修改招标文件，并通知所有已购买招标文件的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。如果修改招标文件的时间距投标截止时间不足15天，且修改的内容影响投标文件编制的，相应延长投标截止时间。</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2.3.2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收到修改内容后，应在</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须知前附表规定的时间内以书面形式通知采购人，确认已收到该修改。</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3. 投标文件</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 投标文件的组成</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投标文件应包括下列内容：</w:t>
      </w:r>
    </w:p>
    <w:p>
      <w:pPr>
        <w:spacing w:line="400" w:lineRule="exact"/>
        <w:ind w:firstLine="359" w:firstLineChars="17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一、投标函</w:t>
      </w:r>
    </w:p>
    <w:p>
      <w:pPr>
        <w:spacing w:line="400" w:lineRule="exact"/>
        <w:ind w:firstLine="359" w:firstLineChars="17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w:t>
      </w:r>
    </w:p>
    <w:p>
      <w:pPr>
        <w:spacing w:line="400" w:lineRule="exact"/>
        <w:ind w:firstLine="359" w:firstLineChars="17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三、授权委托书</w:t>
      </w:r>
    </w:p>
    <w:p>
      <w:pPr>
        <w:spacing w:line="400" w:lineRule="exact"/>
        <w:ind w:firstLine="359" w:firstLineChars="17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四、投标</w:t>
      </w:r>
      <w:r>
        <w:rPr>
          <w:rFonts w:hint="eastAsia" w:asciiTheme="minorEastAsia" w:hAnsiTheme="minorEastAsia" w:eastAsiaTheme="minorEastAsia" w:cstheme="minorEastAsia"/>
          <w:color w:val="auto"/>
          <w:highlight w:val="none"/>
          <w:lang w:val="en-US" w:eastAsia="zh-CN"/>
        </w:rPr>
        <w:t>报价表</w:t>
      </w:r>
    </w:p>
    <w:p>
      <w:pPr>
        <w:spacing w:line="400" w:lineRule="exact"/>
        <w:ind w:firstLine="359" w:firstLineChars="171"/>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highlight w:val="none"/>
        </w:rPr>
        <w:t>五、</w:t>
      </w:r>
      <w:r>
        <w:rPr>
          <w:rFonts w:hint="eastAsia" w:asciiTheme="minorEastAsia" w:hAnsiTheme="minorEastAsia" w:eastAsiaTheme="minorEastAsia" w:cstheme="minorEastAsia"/>
          <w:color w:val="auto"/>
          <w:kern w:val="0"/>
          <w:highlight w:val="none"/>
          <w:lang w:eastAsia="zh-CN"/>
        </w:rPr>
        <w:t>报价</w:t>
      </w:r>
      <w:r>
        <w:rPr>
          <w:rFonts w:hint="eastAsia" w:asciiTheme="minorEastAsia" w:hAnsiTheme="minorEastAsia" w:eastAsiaTheme="minorEastAsia" w:cstheme="minorEastAsia"/>
          <w:color w:val="auto"/>
          <w:kern w:val="0"/>
          <w:highlight w:val="none"/>
          <w:lang w:val="en-US" w:eastAsia="zh-CN"/>
        </w:rPr>
        <w:t>明细表</w:t>
      </w:r>
    </w:p>
    <w:p>
      <w:pPr>
        <w:spacing w:line="400" w:lineRule="exact"/>
        <w:ind w:firstLine="359" w:firstLineChars="171"/>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rPr>
        <w:t>六、商务条款偏离表</w:t>
      </w:r>
    </w:p>
    <w:p>
      <w:pPr>
        <w:spacing w:line="400" w:lineRule="exact"/>
        <w:ind w:firstLine="359" w:firstLineChars="17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、投标人资格声明</w:t>
      </w:r>
    </w:p>
    <w:p>
      <w:pPr>
        <w:spacing w:line="400" w:lineRule="exact"/>
        <w:ind w:firstLine="359" w:firstLineChars="17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八</w:t>
      </w:r>
      <w:r>
        <w:rPr>
          <w:rFonts w:hint="eastAsia" w:asciiTheme="minorEastAsia" w:hAnsiTheme="minorEastAsia" w:eastAsiaTheme="minorEastAsia" w:cstheme="minorEastAsia"/>
          <w:color w:val="auto"/>
          <w:highlight w:val="none"/>
        </w:rPr>
        <w:t>、资格条件承诺函</w:t>
      </w:r>
    </w:p>
    <w:p>
      <w:pPr>
        <w:spacing w:line="400" w:lineRule="exact"/>
        <w:ind w:firstLine="359" w:firstLineChars="17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九、</w:t>
      </w:r>
      <w:bookmarkStart w:id="94" w:name="_GoBack"/>
      <w:bookmarkEnd w:id="94"/>
      <w:r>
        <w:rPr>
          <w:rFonts w:hint="eastAsia" w:asciiTheme="minorEastAsia" w:hAnsiTheme="minorEastAsia" w:eastAsiaTheme="minorEastAsia" w:cstheme="minorEastAsia"/>
          <w:color w:val="auto"/>
          <w:highlight w:val="none"/>
        </w:rPr>
        <w:t>其他材料</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 投标报价</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3.2.1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所报价格在合同执行过程中是固定不变的，不得以任何理由予以变更。任何包含价格调整要求的投标，将被认为是非响应性投标而予以拒绝。</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3.2.2 </w:t>
      </w:r>
      <w:r>
        <w:rPr>
          <w:rFonts w:hint="eastAsia" w:asciiTheme="minorEastAsia" w:hAnsiTheme="minorEastAsia" w:eastAsiaTheme="minorEastAsia" w:cstheme="minorEastAsia"/>
          <w:color w:val="auto"/>
          <w:szCs w:val="21"/>
          <w:highlight w:val="none"/>
        </w:rPr>
        <w:t>采购人设有采购预算的，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的投标报价不得超过采购预算，采购预算在</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须知前附表中载明。</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3.2.3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不得以低于成本的报价竞标。最低投标价不是被授予合同的唯一保证。</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3.2.4 报价应一次性报定。</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 投标有效期</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3.3.1 在</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须知前附表规定的投标有效期内，</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不得要求撤销或修改其投标文件。</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3.3.2 出现特殊情况需要延长投标有效期的，采购人以书面形式通知所有</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延长投标有效期。</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同意延长的，应相应延长其投标保证金的有效期，但不得要求或被允许修改或撤销其投标文件；</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拒绝延长的，其投标失效，但</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有权收回其投标保证金。</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3.4 投标保证金</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3.4.1 本项目不收取投标保证金。</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3.5 资格审查资料</w:t>
      </w:r>
    </w:p>
    <w:p>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color w:val="auto"/>
          <w:kern w:val="0"/>
          <w:szCs w:val="21"/>
          <w:highlight w:val="none"/>
        </w:rPr>
      </w:pPr>
      <w:r>
        <w:rPr>
          <w:rFonts w:hint="eastAsia" w:asciiTheme="minorEastAsia" w:hAnsiTheme="minorEastAsia" w:eastAsiaTheme="minorEastAsia" w:cstheme="minorEastAsia"/>
          <w:b w:val="0"/>
          <w:bCs w:val="0"/>
          <w:color w:val="auto"/>
          <w:kern w:val="0"/>
          <w:szCs w:val="21"/>
          <w:highlight w:val="none"/>
        </w:rPr>
        <w:t>3.5.1 应附</w:t>
      </w:r>
      <w:r>
        <w:rPr>
          <w:rFonts w:hint="eastAsia" w:asciiTheme="minorEastAsia" w:hAnsiTheme="minorEastAsia" w:eastAsiaTheme="minorEastAsia" w:cstheme="minorEastAsia"/>
          <w:b w:val="0"/>
          <w:bCs w:val="0"/>
          <w:color w:val="auto"/>
          <w:kern w:val="0"/>
          <w:szCs w:val="21"/>
          <w:highlight w:val="none"/>
          <w:lang w:eastAsia="zh-CN"/>
        </w:rPr>
        <w:t>供应商</w:t>
      </w:r>
      <w:r>
        <w:rPr>
          <w:rFonts w:hint="eastAsia" w:asciiTheme="minorEastAsia" w:hAnsiTheme="minorEastAsia" w:eastAsiaTheme="minorEastAsia" w:cstheme="minorEastAsia"/>
          <w:b w:val="0"/>
          <w:bCs w:val="0"/>
          <w:color w:val="auto"/>
          <w:kern w:val="0"/>
          <w:szCs w:val="21"/>
          <w:highlight w:val="none"/>
        </w:rPr>
        <w:t>营业执照副本等材料复印件</w:t>
      </w:r>
      <w:r>
        <w:rPr>
          <w:rFonts w:hint="eastAsia" w:asciiTheme="minorEastAsia" w:hAnsiTheme="minorEastAsia" w:eastAsiaTheme="minorEastAsia" w:cstheme="minorEastAsia"/>
          <w:b w:val="0"/>
          <w:bCs w:val="0"/>
          <w:color w:val="auto"/>
          <w:kern w:val="2"/>
          <w:sz w:val="21"/>
          <w:szCs w:val="21"/>
          <w:highlight w:val="none"/>
          <w:lang w:val="zh-CN" w:eastAsia="zh-CN" w:bidi="ar-SA"/>
        </w:rPr>
        <w:t>并加盖公章</w:t>
      </w:r>
      <w:r>
        <w:rPr>
          <w:rFonts w:hint="eastAsia" w:asciiTheme="minorEastAsia" w:hAnsiTheme="minorEastAsia" w:eastAsiaTheme="minorEastAsia" w:cstheme="minorEastAsia"/>
          <w:b w:val="0"/>
          <w:bCs w:val="0"/>
          <w:color w:val="auto"/>
          <w:kern w:val="0"/>
          <w:szCs w:val="21"/>
          <w:highlight w:val="none"/>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3.6 备选投标方案</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不允许。</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3.7 投标文件的编制</w:t>
      </w:r>
    </w:p>
    <w:p>
      <w:pPr>
        <w:autoSpaceDE w:val="0"/>
        <w:autoSpaceDN w:val="0"/>
        <w:adjustRightInd w:val="0"/>
        <w:spacing w:line="440" w:lineRule="exact"/>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 xml:space="preserve"> </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lang w:val="zh-CN"/>
        </w:rPr>
        <w:t>3.7.1 投标文件应按“投标文件格式”进行编写，如有必要，可以增加附页，作为投标文件的组成部分。其中，投标函附录在满足招标文件实质性要求的基础上，可以提出比招标文件要求更有利于采购人的承诺。</w:t>
      </w:r>
    </w:p>
    <w:p>
      <w:pPr>
        <w:autoSpaceDE w:val="0"/>
        <w:autoSpaceDN w:val="0"/>
        <w:adjustRightInd w:val="0"/>
        <w:spacing w:line="440" w:lineRule="exact"/>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 xml:space="preserve">    3.7.2 投标文件应当对招标文件有关项目投标有效期、质量要求、</w:t>
      </w:r>
      <w:r>
        <w:rPr>
          <w:rFonts w:hint="eastAsia" w:asciiTheme="minorEastAsia" w:hAnsiTheme="minorEastAsia" w:eastAsiaTheme="minorEastAsia" w:cstheme="minorEastAsia"/>
          <w:bCs/>
          <w:szCs w:val="21"/>
          <w:lang w:val="en-US" w:eastAsia="zh-CN"/>
        </w:rPr>
        <w:t>采购</w:t>
      </w:r>
      <w:r>
        <w:rPr>
          <w:rFonts w:hint="eastAsia" w:asciiTheme="minorEastAsia" w:hAnsiTheme="minorEastAsia" w:eastAsiaTheme="minorEastAsia" w:cstheme="minorEastAsia"/>
          <w:bCs/>
          <w:szCs w:val="21"/>
          <w:lang w:val="zh-CN"/>
        </w:rPr>
        <w:t>范围等实质性内容作出响应。</w:t>
      </w:r>
    </w:p>
    <w:p>
      <w:pPr>
        <w:spacing w:line="400" w:lineRule="exact"/>
        <w:ind w:firstLine="420" w:firstLineChars="200"/>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highlight w:val="none"/>
          <w:lang w:val="zh-CN"/>
        </w:rPr>
        <w:t xml:space="preserve">3.7.3 </w:t>
      </w:r>
      <w:r>
        <w:rPr>
          <w:rFonts w:hint="eastAsia" w:asciiTheme="minorEastAsia" w:hAnsiTheme="minorEastAsia" w:eastAsiaTheme="minorEastAsia" w:cstheme="minorEastAsia"/>
          <w:bCs/>
          <w:highlight w:val="none"/>
        </w:rPr>
        <w:t>委托代理人签字的，投标文件应附法定代表人签署的授权委托书。</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4. 投标</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4.1 投标文件的密封和标记</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不适用</w:t>
      </w:r>
      <w:r>
        <w:rPr>
          <w:rFonts w:hint="eastAsia" w:asciiTheme="minorEastAsia" w:hAnsiTheme="minorEastAsia" w:eastAsiaTheme="minorEastAsia" w:cstheme="minorEastAsia"/>
          <w:color w:val="auto"/>
          <w:kern w:val="0"/>
          <w:szCs w:val="21"/>
          <w:highlight w:val="none"/>
          <w:lang w:eastAsia="zh-CN"/>
        </w:rPr>
        <w:t>）</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纸质投标文件的正本与副本应合并包装，加贴封条，并在封套的封口处加盖投标人单位公章。在开标后1日内送到采购代理公司。</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 投标文件的递交</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4.2.1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应在本章第4.2.1项规定的投标截止时间前递交投标文件。</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4.2.2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递交投标文件的地点：见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 除</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须知前附表另有规定外，</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 xml:space="preserve"> 逾期送达的或者未送达指定地点的投标文件，采购人不予受理。</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 投标文件的修改与撤回</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4.3.1 在第二章第4.2.1项规定的投标截止时间前，</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可以修改或撤回已递交的投标文件。</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 xml:space="preserve">4.3.2 </w:t>
      </w:r>
      <w:r>
        <w:rPr>
          <w:rFonts w:hint="eastAsia" w:asciiTheme="minorEastAsia" w:hAnsiTheme="minorEastAsia" w:eastAsiaTheme="minorEastAsia" w:cstheme="minorEastAsia"/>
          <w:color w:val="auto"/>
          <w:kern w:val="0"/>
          <w:szCs w:val="21"/>
          <w:highlight w:val="none"/>
          <w:lang w:val="zh-CN"/>
        </w:rPr>
        <w:t>政府采购云平台电子版投标文件</w:t>
      </w:r>
      <w:r>
        <w:rPr>
          <w:rFonts w:hint="eastAsia" w:asciiTheme="minorEastAsia" w:hAnsiTheme="minorEastAsia" w:eastAsiaTheme="minorEastAsia" w:cstheme="minorEastAsia"/>
          <w:color w:val="auto"/>
          <w:kern w:val="0"/>
          <w:szCs w:val="21"/>
          <w:highlight w:val="none"/>
        </w:rPr>
        <w:t>的修改与撤回</w:t>
      </w:r>
      <w:r>
        <w:rPr>
          <w:rFonts w:hint="eastAsia" w:asciiTheme="minorEastAsia" w:hAnsiTheme="minorEastAsia" w:eastAsiaTheme="minorEastAsia" w:cstheme="minorEastAsia"/>
          <w:color w:val="auto"/>
          <w:kern w:val="0"/>
          <w:szCs w:val="21"/>
          <w:highlight w:val="none"/>
          <w:lang w:eastAsia="zh-CN"/>
        </w:rPr>
        <w:t>按</w:t>
      </w:r>
      <w:r>
        <w:rPr>
          <w:rFonts w:hint="eastAsia" w:asciiTheme="minorEastAsia" w:hAnsiTheme="minorEastAsia" w:eastAsiaTheme="minorEastAsia" w:cstheme="minorEastAsia"/>
          <w:color w:val="auto"/>
          <w:kern w:val="0"/>
          <w:szCs w:val="21"/>
          <w:highlight w:val="none"/>
          <w:lang w:val="zh-CN"/>
        </w:rPr>
        <w:t>政府采购云平台</w:t>
      </w:r>
      <w:r>
        <w:rPr>
          <w:rFonts w:hint="eastAsia" w:asciiTheme="minorEastAsia" w:hAnsiTheme="minorEastAsia" w:eastAsiaTheme="minorEastAsia" w:cstheme="minorEastAsia"/>
          <w:color w:val="auto"/>
          <w:kern w:val="2"/>
          <w:sz w:val="21"/>
          <w:szCs w:val="21"/>
          <w:highlight w:val="none"/>
          <w:lang w:val="zh-CN"/>
        </w:rPr>
        <w:t>要求进行。</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5. 开标</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5.1 开标时间和地点</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采购人在第二章第4.2.1项规定的投标截止时间（开标时间）和</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须知前附表规定的地点开标。</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5.2 开标程序</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主持人按下列程序进行开标：</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eastAsia="zh-CN"/>
        </w:rPr>
        <w:t>按</w:t>
      </w:r>
      <w:r>
        <w:rPr>
          <w:rFonts w:hint="eastAsia" w:asciiTheme="minorEastAsia" w:hAnsiTheme="minorEastAsia" w:eastAsiaTheme="minorEastAsia" w:cstheme="minorEastAsia"/>
          <w:color w:val="auto"/>
          <w:highlight w:val="none"/>
          <w:lang w:val="zh-CN"/>
        </w:rPr>
        <w:t>政府采购云平台电子标默认的顺序开标。</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5.3 开标异议</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对开标有异议的，应当在开标过程中提出，采购人当场作出答复，并制作记录。</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6. 评标</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6.1 评标委员会</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6.1.1 评标由采购人依法组建的评标委员会负责</w:t>
      </w:r>
      <w:r>
        <w:rPr>
          <w:rFonts w:hint="eastAsia" w:asciiTheme="minorEastAsia" w:hAnsiTheme="minorEastAsia" w:eastAsiaTheme="minorEastAsia" w:cstheme="minorEastAsia"/>
          <w:color w:val="auto"/>
          <w:szCs w:val="21"/>
          <w:highlight w:val="none"/>
        </w:rPr>
        <w:t>。评标委员会由采购人熟悉相关业务的代表，以及有关技术、经济等方面的专家组成。评标委员会成员人数以及技术、经济等方面专家的确定方式见</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6.1.2 评标委员会成员有下列情形之一的，应当回避：</w:t>
      </w:r>
    </w:p>
    <w:p>
      <w:pPr>
        <w:keepNext w:val="0"/>
        <w:keepLines w:val="0"/>
        <w:pageBreakBefore w:val="0"/>
        <w:kinsoku/>
        <w:wordWrap/>
        <w:overflowPunct/>
        <w:topLinePunct w:val="0"/>
        <w:autoSpaceDE w:val="0"/>
        <w:autoSpaceDN w:val="0"/>
        <w:bidi w:val="0"/>
        <w:adjustRightInd/>
        <w:snapToGrid/>
        <w:spacing w:line="400" w:lineRule="exact"/>
        <w:ind w:firstLine="210" w:firstLineChars="1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或</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主要负责人的近亲属；</w:t>
      </w:r>
    </w:p>
    <w:p>
      <w:pPr>
        <w:keepNext w:val="0"/>
        <w:keepLines w:val="0"/>
        <w:pageBreakBefore w:val="0"/>
        <w:kinsoku/>
        <w:wordWrap/>
        <w:overflowPunct/>
        <w:topLinePunct w:val="0"/>
        <w:autoSpaceDE w:val="0"/>
        <w:autoSpaceDN w:val="0"/>
        <w:bidi w:val="0"/>
        <w:adjustRightInd/>
        <w:snapToGrid/>
        <w:spacing w:line="400" w:lineRule="exact"/>
        <w:ind w:firstLine="210" w:firstLineChars="1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（2）项目主管部门或者行政监督部门的人员；</w:t>
      </w:r>
    </w:p>
    <w:p>
      <w:pPr>
        <w:keepNext w:val="0"/>
        <w:keepLines w:val="0"/>
        <w:pageBreakBefore w:val="0"/>
        <w:kinsoku/>
        <w:wordWrap/>
        <w:overflowPunct/>
        <w:topLinePunct w:val="0"/>
        <w:autoSpaceDE w:val="0"/>
        <w:autoSpaceDN w:val="0"/>
        <w:bidi w:val="0"/>
        <w:adjustRightInd/>
        <w:snapToGrid/>
        <w:spacing w:line="400" w:lineRule="exact"/>
        <w:ind w:firstLine="210" w:firstLineChars="1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（3）与</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有经济利益关系；</w:t>
      </w:r>
    </w:p>
    <w:p>
      <w:pPr>
        <w:keepNext w:val="0"/>
        <w:keepLines w:val="0"/>
        <w:pageBreakBefore w:val="0"/>
        <w:kinsoku/>
        <w:wordWrap/>
        <w:overflowPunct/>
        <w:topLinePunct w:val="0"/>
        <w:autoSpaceDE w:val="0"/>
        <w:autoSpaceDN w:val="0"/>
        <w:bidi w:val="0"/>
        <w:adjustRightInd/>
        <w:snapToGrid/>
        <w:spacing w:line="400" w:lineRule="exact"/>
        <w:ind w:firstLine="210" w:firstLineChars="1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（4）曾因在招标、评标以及其他与招标投标有关活动中从事违法行为而受过行政处罚或刑事处罚的；</w:t>
      </w:r>
    </w:p>
    <w:p>
      <w:pPr>
        <w:keepNext w:val="0"/>
        <w:keepLines w:val="0"/>
        <w:pageBreakBefore w:val="0"/>
        <w:kinsoku/>
        <w:wordWrap/>
        <w:overflowPunct/>
        <w:topLinePunct w:val="0"/>
        <w:autoSpaceDE w:val="0"/>
        <w:autoSpaceDN w:val="0"/>
        <w:bidi w:val="0"/>
        <w:adjustRightInd/>
        <w:snapToGrid/>
        <w:spacing w:line="400" w:lineRule="exact"/>
        <w:ind w:firstLine="210" w:firstLineChars="1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（5）与</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有其他利害关系。</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6.2 评标原则</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评标活动遵循公平、公正、科学和择优的原则。</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6.3 评标</w:t>
      </w:r>
    </w:p>
    <w:p>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评标委员会按照第三章“评标办法”规定的方法、评审因素、标准和程序对投标文件进行评审。第三章“评标办法”没有规定的方法、评审因素和标准，不作为评标依据。</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7. 合同授予</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7.1 定标方式</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须知前附表规定评标委员会直接确定</w:t>
      </w:r>
      <w:r>
        <w:rPr>
          <w:rFonts w:hint="eastAsia" w:asciiTheme="minorEastAsia" w:hAnsiTheme="minorEastAsia" w:eastAsiaTheme="minorEastAsia" w:cstheme="minorEastAsia"/>
          <w:color w:val="auto"/>
          <w:szCs w:val="21"/>
          <w:highlight w:val="none"/>
          <w:lang w:eastAsia="zh-CN"/>
        </w:rPr>
        <w:t>中标人</w:t>
      </w:r>
      <w:r>
        <w:rPr>
          <w:rFonts w:hint="eastAsia" w:asciiTheme="minorEastAsia" w:hAnsiTheme="minorEastAsia" w:eastAsiaTheme="minorEastAsia" w:cstheme="minorEastAsia"/>
          <w:color w:val="auto"/>
          <w:szCs w:val="21"/>
          <w:highlight w:val="none"/>
        </w:rPr>
        <w:t>外，采购人依据评标委员会推荐的</w:t>
      </w:r>
      <w:r>
        <w:rPr>
          <w:rFonts w:hint="eastAsia" w:asciiTheme="minorEastAsia" w:hAnsiTheme="minorEastAsia" w:eastAsiaTheme="minorEastAsia" w:cstheme="minorEastAsia"/>
          <w:color w:val="auto"/>
          <w:szCs w:val="21"/>
          <w:highlight w:val="none"/>
          <w:lang w:eastAsia="zh-CN"/>
        </w:rPr>
        <w:t>中标候选人</w:t>
      </w:r>
      <w:r>
        <w:rPr>
          <w:rFonts w:hint="eastAsia" w:asciiTheme="minorEastAsia" w:hAnsiTheme="minorEastAsia" w:eastAsiaTheme="minorEastAsia" w:cstheme="minorEastAsia"/>
          <w:color w:val="auto"/>
          <w:szCs w:val="21"/>
          <w:highlight w:val="none"/>
        </w:rPr>
        <w:t>确定</w:t>
      </w:r>
      <w:r>
        <w:rPr>
          <w:rFonts w:hint="eastAsia" w:asciiTheme="minorEastAsia" w:hAnsiTheme="minorEastAsia" w:eastAsiaTheme="minorEastAsia" w:cstheme="minorEastAsia"/>
          <w:color w:val="auto"/>
          <w:szCs w:val="21"/>
          <w:highlight w:val="none"/>
          <w:lang w:eastAsia="zh-CN"/>
        </w:rPr>
        <w:t>中标人</w:t>
      </w:r>
      <w:r>
        <w:rPr>
          <w:rFonts w:hint="eastAsia" w:asciiTheme="minorEastAsia" w:hAnsiTheme="minorEastAsia" w:eastAsiaTheme="minorEastAsia" w:cstheme="minorEastAsia"/>
          <w:color w:val="auto"/>
          <w:szCs w:val="21"/>
          <w:highlight w:val="none"/>
        </w:rPr>
        <w:t>，评标委员会推荐</w:t>
      </w:r>
      <w:r>
        <w:rPr>
          <w:rFonts w:hint="eastAsia" w:asciiTheme="minorEastAsia" w:hAnsiTheme="minorEastAsia" w:eastAsiaTheme="minorEastAsia" w:cstheme="minorEastAsia"/>
          <w:color w:val="auto"/>
          <w:szCs w:val="21"/>
          <w:highlight w:val="none"/>
          <w:lang w:eastAsia="zh-CN"/>
        </w:rPr>
        <w:t>中标候选人</w:t>
      </w:r>
      <w:r>
        <w:rPr>
          <w:rFonts w:hint="eastAsia" w:asciiTheme="minorEastAsia" w:hAnsiTheme="minorEastAsia" w:eastAsiaTheme="minorEastAsia" w:cstheme="minorEastAsia"/>
          <w:color w:val="auto"/>
          <w:szCs w:val="21"/>
          <w:highlight w:val="none"/>
        </w:rPr>
        <w:t>的数量见</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7.2 </w:t>
      </w:r>
      <w:r>
        <w:rPr>
          <w:rFonts w:hint="eastAsia" w:asciiTheme="minorEastAsia" w:hAnsiTheme="minorEastAsia" w:eastAsiaTheme="minorEastAsia" w:cstheme="minorEastAsia"/>
          <w:color w:val="auto"/>
          <w:szCs w:val="21"/>
          <w:highlight w:val="none"/>
          <w:lang w:eastAsia="zh-CN"/>
        </w:rPr>
        <w:t>中标结果</w:t>
      </w:r>
      <w:r>
        <w:rPr>
          <w:rFonts w:hint="eastAsia" w:asciiTheme="minorEastAsia" w:hAnsiTheme="minorEastAsia" w:eastAsiaTheme="minorEastAsia" w:cstheme="minorEastAsia"/>
          <w:color w:val="auto"/>
          <w:szCs w:val="21"/>
          <w:highlight w:val="none"/>
        </w:rPr>
        <w:t>公告媒介</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采购人在</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须知前附表规定的媒介公示</w:t>
      </w:r>
      <w:r>
        <w:rPr>
          <w:rFonts w:hint="eastAsia" w:asciiTheme="minorEastAsia" w:hAnsiTheme="minorEastAsia" w:eastAsiaTheme="minorEastAsia" w:cstheme="minorEastAsia"/>
          <w:color w:val="auto"/>
          <w:szCs w:val="21"/>
          <w:highlight w:val="none"/>
          <w:lang w:eastAsia="zh-CN"/>
        </w:rPr>
        <w:t>中标结果</w:t>
      </w:r>
      <w:r>
        <w:rPr>
          <w:rFonts w:hint="eastAsia" w:asciiTheme="minorEastAsia" w:hAnsiTheme="minorEastAsia" w:eastAsiaTheme="minorEastAsia" w:cstheme="minorEastAsia"/>
          <w:color w:val="auto"/>
          <w:szCs w:val="21"/>
          <w:highlight w:val="none"/>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中标</w:t>
      </w:r>
      <w:r>
        <w:rPr>
          <w:rFonts w:hint="eastAsia" w:asciiTheme="minorEastAsia" w:hAnsiTheme="minorEastAsia" w:eastAsiaTheme="minorEastAsia" w:cstheme="minorEastAsia"/>
          <w:color w:val="auto"/>
          <w:szCs w:val="21"/>
          <w:highlight w:val="none"/>
        </w:rPr>
        <w:t>通知</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在本章第3.3款规定的投标有效期内，采购人以书面形式向</w:t>
      </w:r>
      <w:r>
        <w:rPr>
          <w:rFonts w:hint="eastAsia" w:asciiTheme="minorEastAsia" w:hAnsiTheme="minorEastAsia" w:eastAsiaTheme="minorEastAsia" w:cstheme="minorEastAsia"/>
          <w:color w:val="auto"/>
          <w:szCs w:val="21"/>
          <w:highlight w:val="none"/>
          <w:lang w:eastAsia="zh-CN"/>
        </w:rPr>
        <w:t>中标人</w:t>
      </w:r>
      <w:r>
        <w:rPr>
          <w:rFonts w:hint="eastAsia" w:asciiTheme="minorEastAsia" w:hAnsiTheme="minorEastAsia" w:eastAsiaTheme="minorEastAsia" w:cstheme="minorEastAsia"/>
          <w:color w:val="auto"/>
          <w:szCs w:val="21"/>
          <w:highlight w:val="none"/>
        </w:rPr>
        <w:t>发出</w:t>
      </w:r>
      <w:r>
        <w:rPr>
          <w:rFonts w:hint="eastAsia" w:asciiTheme="minorEastAsia" w:hAnsiTheme="minorEastAsia" w:eastAsiaTheme="minorEastAsia" w:cstheme="minorEastAsia"/>
          <w:color w:val="auto"/>
          <w:szCs w:val="21"/>
          <w:highlight w:val="none"/>
          <w:lang w:eastAsia="zh-CN"/>
        </w:rPr>
        <w:t>中标通知书</w:t>
      </w:r>
      <w:r>
        <w:rPr>
          <w:rFonts w:hint="eastAsia" w:asciiTheme="minorEastAsia" w:hAnsiTheme="minorEastAsia" w:eastAsiaTheme="minorEastAsia" w:cstheme="minorEastAsia"/>
          <w:color w:val="auto"/>
          <w:szCs w:val="21"/>
          <w:highlight w:val="none"/>
        </w:rPr>
        <w:t>，同时将</w:t>
      </w:r>
      <w:r>
        <w:rPr>
          <w:rFonts w:hint="eastAsia" w:asciiTheme="minorEastAsia" w:hAnsiTheme="minorEastAsia" w:eastAsiaTheme="minorEastAsia" w:cstheme="minorEastAsia"/>
          <w:color w:val="auto"/>
          <w:szCs w:val="21"/>
          <w:highlight w:val="none"/>
          <w:lang w:eastAsia="zh-CN"/>
        </w:rPr>
        <w:t>中标结果</w:t>
      </w:r>
      <w:r>
        <w:rPr>
          <w:rFonts w:hint="eastAsia" w:asciiTheme="minorEastAsia" w:hAnsiTheme="minorEastAsia" w:eastAsiaTheme="minorEastAsia" w:cstheme="minorEastAsia"/>
          <w:color w:val="auto"/>
          <w:szCs w:val="21"/>
          <w:highlight w:val="none"/>
        </w:rPr>
        <w:t>通知未</w:t>
      </w:r>
      <w:r>
        <w:rPr>
          <w:rFonts w:hint="eastAsia" w:asciiTheme="minorEastAsia" w:hAnsiTheme="minorEastAsia" w:eastAsiaTheme="minorEastAsia" w:cstheme="minorEastAsia"/>
          <w:color w:val="auto"/>
          <w:szCs w:val="21"/>
          <w:highlight w:val="none"/>
          <w:lang w:eastAsia="zh-CN"/>
        </w:rPr>
        <w:t>中标</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履约担保</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见</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须知前附表。</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7.5签订合同</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7.5.1采购人和</w:t>
      </w:r>
      <w:r>
        <w:rPr>
          <w:rFonts w:hint="eastAsia" w:asciiTheme="minorEastAsia" w:hAnsiTheme="minorEastAsia" w:eastAsiaTheme="minorEastAsia" w:cstheme="minorEastAsia"/>
          <w:color w:val="auto"/>
          <w:kern w:val="0"/>
          <w:szCs w:val="21"/>
          <w:highlight w:val="none"/>
          <w:lang w:eastAsia="zh-CN"/>
        </w:rPr>
        <w:t>中标人</w:t>
      </w:r>
      <w:r>
        <w:rPr>
          <w:rFonts w:hint="eastAsia" w:asciiTheme="minorEastAsia" w:hAnsiTheme="minorEastAsia" w:eastAsiaTheme="minorEastAsia" w:cstheme="minorEastAsia"/>
          <w:color w:val="auto"/>
          <w:kern w:val="0"/>
          <w:szCs w:val="21"/>
          <w:highlight w:val="none"/>
        </w:rPr>
        <w:t>应当自</w:t>
      </w:r>
      <w:r>
        <w:rPr>
          <w:rFonts w:hint="eastAsia" w:asciiTheme="minorEastAsia" w:hAnsiTheme="minorEastAsia" w:eastAsiaTheme="minorEastAsia" w:cstheme="minorEastAsia"/>
          <w:color w:val="auto"/>
          <w:kern w:val="0"/>
          <w:szCs w:val="21"/>
          <w:highlight w:val="none"/>
          <w:lang w:eastAsia="zh-CN"/>
        </w:rPr>
        <w:t>中标通知书</w:t>
      </w:r>
      <w:r>
        <w:rPr>
          <w:rFonts w:hint="eastAsia" w:asciiTheme="minorEastAsia" w:hAnsiTheme="minorEastAsia" w:eastAsiaTheme="minorEastAsia" w:cstheme="minorEastAsia"/>
          <w:color w:val="auto"/>
          <w:kern w:val="0"/>
          <w:szCs w:val="21"/>
          <w:highlight w:val="none"/>
        </w:rPr>
        <w:t>发出之日起30天内，根据招标文件和</w:t>
      </w:r>
      <w:r>
        <w:rPr>
          <w:rFonts w:hint="eastAsia" w:asciiTheme="minorEastAsia" w:hAnsiTheme="minorEastAsia" w:eastAsiaTheme="minorEastAsia" w:cstheme="minorEastAsia"/>
          <w:color w:val="auto"/>
          <w:kern w:val="0"/>
          <w:szCs w:val="21"/>
          <w:highlight w:val="none"/>
          <w:lang w:eastAsia="zh-CN"/>
        </w:rPr>
        <w:t>中标人</w:t>
      </w:r>
      <w:r>
        <w:rPr>
          <w:rFonts w:hint="eastAsia" w:asciiTheme="minorEastAsia" w:hAnsiTheme="minorEastAsia" w:eastAsiaTheme="minorEastAsia" w:cstheme="minorEastAsia"/>
          <w:color w:val="auto"/>
          <w:kern w:val="0"/>
          <w:szCs w:val="21"/>
          <w:highlight w:val="none"/>
        </w:rPr>
        <w:t>的投标文件订立书面合同。</w:t>
      </w:r>
      <w:r>
        <w:rPr>
          <w:rFonts w:hint="eastAsia" w:asciiTheme="minorEastAsia" w:hAnsiTheme="minorEastAsia" w:eastAsiaTheme="minorEastAsia" w:cstheme="minorEastAsia"/>
          <w:color w:val="auto"/>
          <w:kern w:val="0"/>
          <w:szCs w:val="21"/>
          <w:highlight w:val="none"/>
          <w:lang w:eastAsia="zh-CN"/>
        </w:rPr>
        <w:t>中标人</w:t>
      </w:r>
      <w:r>
        <w:rPr>
          <w:rFonts w:hint="eastAsia" w:asciiTheme="minorEastAsia" w:hAnsiTheme="minorEastAsia" w:eastAsiaTheme="minorEastAsia" w:cstheme="minorEastAsia"/>
          <w:color w:val="auto"/>
          <w:kern w:val="0"/>
          <w:szCs w:val="21"/>
          <w:highlight w:val="none"/>
        </w:rPr>
        <w:t>无正当理由拒签合同的</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采购人取消其</w:t>
      </w:r>
      <w:r>
        <w:rPr>
          <w:rFonts w:hint="eastAsia" w:asciiTheme="minorEastAsia" w:hAnsiTheme="minorEastAsia" w:eastAsiaTheme="minorEastAsia" w:cstheme="minorEastAsia"/>
          <w:color w:val="auto"/>
          <w:kern w:val="0"/>
          <w:szCs w:val="21"/>
          <w:highlight w:val="none"/>
          <w:lang w:eastAsia="zh-CN"/>
        </w:rPr>
        <w:t>中标资格</w:t>
      </w:r>
      <w:r>
        <w:rPr>
          <w:rFonts w:hint="eastAsia" w:asciiTheme="minorEastAsia" w:hAnsiTheme="minorEastAsia" w:eastAsiaTheme="minorEastAsia" w:cstheme="minorEastAsia"/>
          <w:color w:val="auto"/>
          <w:kern w:val="0"/>
          <w:szCs w:val="21"/>
          <w:highlight w:val="none"/>
        </w:rPr>
        <w:t>，其投标保证金不予退还；给采购人造成的损失超过投标保证金数额的，</w:t>
      </w:r>
      <w:r>
        <w:rPr>
          <w:rFonts w:hint="eastAsia" w:asciiTheme="minorEastAsia" w:hAnsiTheme="minorEastAsia" w:eastAsiaTheme="minorEastAsia" w:cstheme="minorEastAsia"/>
          <w:color w:val="auto"/>
          <w:kern w:val="0"/>
          <w:szCs w:val="21"/>
          <w:highlight w:val="none"/>
          <w:lang w:eastAsia="zh-CN"/>
        </w:rPr>
        <w:t>中标人</w:t>
      </w:r>
      <w:r>
        <w:rPr>
          <w:rFonts w:hint="eastAsia" w:asciiTheme="minorEastAsia" w:hAnsiTheme="minorEastAsia" w:eastAsiaTheme="minorEastAsia" w:cstheme="minorEastAsia"/>
          <w:color w:val="auto"/>
          <w:kern w:val="0"/>
          <w:szCs w:val="21"/>
          <w:highlight w:val="none"/>
        </w:rPr>
        <w:t>还应当对超过部分予以赔偿。</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7.5.2 发出</w:t>
      </w:r>
      <w:r>
        <w:rPr>
          <w:rFonts w:hint="eastAsia" w:asciiTheme="minorEastAsia" w:hAnsiTheme="minorEastAsia" w:eastAsiaTheme="minorEastAsia" w:cstheme="minorEastAsia"/>
          <w:color w:val="auto"/>
          <w:kern w:val="0"/>
          <w:szCs w:val="21"/>
          <w:highlight w:val="none"/>
          <w:lang w:eastAsia="zh-CN"/>
        </w:rPr>
        <w:t>中标通知书</w:t>
      </w:r>
      <w:r>
        <w:rPr>
          <w:rFonts w:hint="eastAsia" w:asciiTheme="minorEastAsia" w:hAnsiTheme="minorEastAsia" w:eastAsiaTheme="minorEastAsia" w:cstheme="minorEastAsia"/>
          <w:color w:val="auto"/>
          <w:kern w:val="0"/>
          <w:szCs w:val="21"/>
          <w:highlight w:val="none"/>
        </w:rPr>
        <w:t>后，采购人无正当理由拒签合同的，采购人向</w:t>
      </w:r>
      <w:r>
        <w:rPr>
          <w:rFonts w:hint="eastAsia" w:asciiTheme="minorEastAsia" w:hAnsiTheme="minorEastAsia" w:eastAsiaTheme="minorEastAsia" w:cstheme="minorEastAsia"/>
          <w:color w:val="auto"/>
          <w:kern w:val="0"/>
          <w:szCs w:val="21"/>
          <w:highlight w:val="none"/>
          <w:lang w:eastAsia="zh-CN"/>
        </w:rPr>
        <w:t>中标人</w:t>
      </w:r>
      <w:r>
        <w:rPr>
          <w:rFonts w:hint="eastAsia" w:asciiTheme="minorEastAsia" w:hAnsiTheme="minorEastAsia" w:eastAsiaTheme="minorEastAsia" w:cstheme="minorEastAsia"/>
          <w:color w:val="auto"/>
          <w:kern w:val="0"/>
          <w:szCs w:val="21"/>
          <w:highlight w:val="none"/>
        </w:rPr>
        <w:t>退还投标保证金；给</w:t>
      </w:r>
      <w:r>
        <w:rPr>
          <w:rFonts w:hint="eastAsia" w:asciiTheme="minorEastAsia" w:hAnsiTheme="minorEastAsia" w:eastAsiaTheme="minorEastAsia" w:cstheme="minorEastAsia"/>
          <w:color w:val="auto"/>
          <w:kern w:val="0"/>
          <w:szCs w:val="21"/>
          <w:highlight w:val="none"/>
          <w:lang w:eastAsia="zh-CN"/>
        </w:rPr>
        <w:t>中标人</w:t>
      </w:r>
      <w:r>
        <w:rPr>
          <w:rFonts w:hint="eastAsia" w:asciiTheme="minorEastAsia" w:hAnsiTheme="minorEastAsia" w:eastAsiaTheme="minorEastAsia" w:cstheme="minorEastAsia"/>
          <w:color w:val="auto"/>
          <w:kern w:val="0"/>
          <w:szCs w:val="21"/>
          <w:highlight w:val="none"/>
        </w:rPr>
        <w:t>造成损失的，还应当赔偿损失。</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8. 重新招标</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8.1 重新招标</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有下列情形之一的，采购人将重新招标：</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highlight w:val="none"/>
        </w:rPr>
        <w:t>投标截止时间止，</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少于3个的；</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（2）符合专业条件的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或者对招标文件作实质响应的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不足三家的。</w:t>
      </w:r>
    </w:p>
    <w:p>
      <w:pPr>
        <w:keepNext w:val="0"/>
        <w:keepLines w:val="0"/>
        <w:pageBreakBefore w:val="0"/>
        <w:widowControl/>
        <w:kinsoku/>
        <w:wordWrap/>
        <w:overflowPunct/>
        <w:topLinePunct w:val="0"/>
        <w:bidi w:val="0"/>
        <w:adjustRightInd/>
        <w:snapToGrid/>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（3）其他法律法规相关要求。</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9. 纪律和监督</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9.1 对采购人的纪律要求</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采购人不得泄漏招标投标活动中应当保密的情况和资料，不得与</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串通损害国家利益、社会公共利益或者他人合法权益。</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9.2 对</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的纪律要求</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不得相互串通投标或者与采购人串通投标，不得向采购人或者评标委员会成员行贿谋取</w:t>
      </w:r>
      <w:r>
        <w:rPr>
          <w:rFonts w:hint="eastAsia" w:asciiTheme="minorEastAsia" w:hAnsiTheme="minorEastAsia" w:eastAsiaTheme="minorEastAsia" w:cstheme="minorEastAsia"/>
          <w:color w:val="auto"/>
          <w:kern w:val="0"/>
          <w:szCs w:val="21"/>
          <w:highlight w:val="none"/>
          <w:lang w:eastAsia="zh-CN"/>
        </w:rPr>
        <w:t>中标</w:t>
      </w:r>
      <w:r>
        <w:rPr>
          <w:rFonts w:hint="eastAsia" w:asciiTheme="minorEastAsia" w:hAnsiTheme="minorEastAsia" w:eastAsiaTheme="minorEastAsia" w:cstheme="minorEastAsia"/>
          <w:color w:val="auto"/>
          <w:kern w:val="0"/>
          <w:szCs w:val="21"/>
          <w:highlight w:val="none"/>
        </w:rPr>
        <w:t>，不得以他人名义投标或者以其他方式弄虚作假骗取</w:t>
      </w:r>
      <w:r>
        <w:rPr>
          <w:rFonts w:hint="eastAsia" w:asciiTheme="minorEastAsia" w:hAnsiTheme="minorEastAsia" w:eastAsiaTheme="minorEastAsia" w:cstheme="minorEastAsia"/>
          <w:color w:val="auto"/>
          <w:kern w:val="0"/>
          <w:szCs w:val="21"/>
          <w:highlight w:val="none"/>
          <w:lang w:eastAsia="zh-CN"/>
        </w:rPr>
        <w:t>中标</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不得以任何方式干扰、影响评标工作。</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9.3 对评标委员会成员的纪律要求</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评标委员会成员不得收受他人的财物或者其他好处，不得向他人透漏对投标文件的评审和比较、</w:t>
      </w:r>
      <w:r>
        <w:rPr>
          <w:rFonts w:hint="eastAsia" w:asciiTheme="minorEastAsia" w:hAnsiTheme="minorEastAsia" w:eastAsiaTheme="minorEastAsia" w:cstheme="minorEastAsia"/>
          <w:color w:val="auto"/>
          <w:kern w:val="0"/>
          <w:szCs w:val="21"/>
          <w:highlight w:val="none"/>
          <w:lang w:eastAsia="zh-CN"/>
        </w:rPr>
        <w:t>中标候选人</w:t>
      </w:r>
      <w:r>
        <w:rPr>
          <w:rFonts w:hint="eastAsia" w:asciiTheme="minorEastAsia" w:hAnsiTheme="minorEastAsia" w:eastAsiaTheme="minorEastAsia" w:cstheme="minorEastAsia"/>
          <w:color w:val="auto"/>
          <w:kern w:val="0"/>
          <w:szCs w:val="21"/>
          <w:highlight w:val="none"/>
        </w:rPr>
        <w:t>的推荐情况以及评标有关的其他情况。在评标活动中，</w:t>
      </w:r>
      <w:r>
        <w:rPr>
          <w:rFonts w:hint="eastAsia" w:asciiTheme="minorEastAsia" w:hAnsiTheme="minorEastAsia" w:eastAsiaTheme="minorEastAsia" w:cstheme="minorEastAsia"/>
          <w:color w:val="auto"/>
          <w:szCs w:val="21"/>
          <w:highlight w:val="none"/>
        </w:rPr>
        <w:t>评标委员会成员应当客观、公正地履行职责，遵守职业道德，不得擅离职守，影响评标程序正常进行，</w:t>
      </w:r>
      <w:r>
        <w:rPr>
          <w:rFonts w:hint="eastAsia" w:asciiTheme="minorEastAsia" w:hAnsiTheme="minorEastAsia" w:eastAsiaTheme="minorEastAsia" w:cstheme="minorEastAsia"/>
          <w:color w:val="auto"/>
          <w:kern w:val="0"/>
          <w:szCs w:val="21"/>
          <w:highlight w:val="none"/>
        </w:rPr>
        <w:t>不得使用第三章“评标办法”没有规定的评审因素和标准进行评标。</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9.4 对与评标活动有关的工作人员的纪律要求</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与评标活动有关的工作人员不得收受他人的财物或者其他好处，不得向他人透漏对投标文件的评审和比较、</w:t>
      </w:r>
      <w:r>
        <w:rPr>
          <w:rFonts w:hint="eastAsia" w:asciiTheme="minorEastAsia" w:hAnsiTheme="minorEastAsia" w:eastAsiaTheme="minorEastAsia" w:cstheme="minorEastAsia"/>
          <w:color w:val="auto"/>
          <w:kern w:val="0"/>
          <w:szCs w:val="21"/>
          <w:highlight w:val="none"/>
          <w:lang w:eastAsia="zh-CN"/>
        </w:rPr>
        <w:t>中标候选人</w:t>
      </w:r>
      <w:r>
        <w:rPr>
          <w:rFonts w:hint="eastAsia" w:asciiTheme="minorEastAsia" w:hAnsiTheme="minorEastAsia" w:eastAsiaTheme="minorEastAsia" w:cstheme="minorEastAsia"/>
          <w:color w:val="auto"/>
          <w:kern w:val="0"/>
          <w:szCs w:val="21"/>
          <w:highlight w:val="none"/>
        </w:rPr>
        <w:t>的推荐情况以及评标有关的其他情况。在评标活动中，与评标活动有关的工作人员不得擅离职守，影响评标程序正常进行。</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9.5 投诉</w:t>
      </w:r>
    </w:p>
    <w:p>
      <w:pPr>
        <w:keepNext w:val="0"/>
        <w:keepLines w:val="0"/>
        <w:pageBreakBefore w:val="0"/>
        <w:kinsoku/>
        <w:wordWrap/>
        <w:overflowPunct/>
        <w:topLinePunct w:val="0"/>
        <w:autoSpaceDE w:val="0"/>
        <w:autoSpaceDN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和其他利害关系人认为本次招标活动违反法律、法规和规章规定的，有权向有关行政监督部门投诉。</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10. 需要补充的其他内容</w:t>
      </w:r>
    </w:p>
    <w:p>
      <w:pPr>
        <w:keepNext w:val="0"/>
        <w:keepLines w:val="0"/>
        <w:pageBreakBefore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见</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须知前附表。</w:t>
      </w:r>
    </w:p>
    <w:p>
      <w:pPr>
        <w:spacing w:before="240" w:beforeLines="100" w:after="240" w:afterLines="100"/>
        <w:jc w:val="both"/>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color w:val="auto"/>
          <w:sz w:val="24"/>
          <w:highlight w:val="none"/>
        </w:rPr>
        <w:t>附件一：投标疑问</w:t>
      </w:r>
    </w:p>
    <w:p>
      <w:pPr>
        <w:spacing w:before="240" w:beforeLines="100" w:after="240" w:afterLines="10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投标疑问</w:t>
      </w:r>
    </w:p>
    <w:p>
      <w:pPr>
        <w:snapToGrid w:val="0"/>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p>
      <w:pPr>
        <w:snapToGrid w:val="0"/>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投标编号：</w:t>
      </w:r>
    </w:p>
    <w:tbl>
      <w:tblPr>
        <w:tblStyle w:val="3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8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8" w:type="pct"/>
            <w:vAlign w:val="center"/>
          </w:tcPr>
          <w:p>
            <w:pPr>
              <w:snapToGrid w:val="0"/>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投标单位名称</w:t>
            </w:r>
          </w:p>
        </w:tc>
        <w:tc>
          <w:tcPr>
            <w:tcW w:w="4171" w:type="pct"/>
            <w:vAlign w:val="center"/>
          </w:tcPr>
          <w:p>
            <w:pPr>
              <w:snapToGrid w:val="0"/>
              <w:spacing w:line="360" w:lineRule="auto"/>
              <w:rPr>
                <w:rFonts w:hint="eastAsia" w:asciiTheme="minorEastAsia" w:hAnsiTheme="minorEastAsia" w:eastAsiaTheme="minorEastAsia" w:cstheme="minorEastAsia"/>
                <w:b/>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8" w:hRule="atLeast"/>
        </w:trPr>
        <w:tc>
          <w:tcPr>
            <w:tcW w:w="5000" w:type="pct"/>
            <w:gridSpan w:val="2"/>
          </w:tcPr>
          <w:p>
            <w:pPr>
              <w:snapToGrid w:val="0"/>
              <w:spacing w:line="360" w:lineRule="auto"/>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color w:val="auto"/>
                <w:highlight w:val="none"/>
              </w:rPr>
            </w:pPr>
          </w:p>
        </w:tc>
      </w:tr>
    </w:tbl>
    <w:p>
      <w:pPr>
        <w:snapToGrid w:val="0"/>
        <w:spacing w:line="240" w:lineRule="auto"/>
        <w:jc w:val="right"/>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投标单位：（公章）</w:t>
      </w:r>
    </w:p>
    <w:p>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6090" w:firstLineChars="29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 xml:space="preserve">日    期：          </w:t>
      </w:r>
    </w:p>
    <w:p>
      <w:pPr>
        <w:spacing w:line="200" w:lineRule="exact"/>
        <w:jc w:val="right"/>
        <w:rPr>
          <w:rFonts w:hint="eastAsia" w:asciiTheme="minorEastAsia" w:hAnsiTheme="minorEastAsia" w:eastAsiaTheme="minorEastAsia" w:cstheme="minorEastAsia"/>
          <w:color w:val="auto"/>
          <w:sz w:val="24"/>
          <w:highlight w:val="none"/>
        </w:rPr>
      </w:pPr>
    </w:p>
    <w:p>
      <w:pPr>
        <w:spacing w:line="200" w:lineRule="exact"/>
        <w:jc w:val="right"/>
        <w:rPr>
          <w:rFonts w:hint="eastAsia" w:asciiTheme="minorEastAsia" w:hAnsiTheme="minorEastAsia" w:eastAsiaTheme="minorEastAsia" w:cstheme="minorEastAsia"/>
          <w:color w:val="auto"/>
          <w:sz w:val="24"/>
          <w:highlight w:val="none"/>
        </w:rPr>
      </w:pPr>
    </w:p>
    <w:p>
      <w:pPr>
        <w:spacing w:line="200" w:lineRule="exact"/>
        <w:jc w:val="left"/>
        <w:rPr>
          <w:rFonts w:hint="eastAsia" w:asciiTheme="minorEastAsia" w:hAnsiTheme="minorEastAsia" w:eastAsiaTheme="minorEastAsia" w:cstheme="minorEastAsia"/>
          <w:color w:val="auto"/>
          <w:sz w:val="24"/>
          <w:highlight w:val="none"/>
        </w:rPr>
      </w:pPr>
    </w:p>
    <w:p>
      <w:pPr>
        <w:spacing w:line="239" w:lineRule="auto"/>
        <w:ind w:left="140"/>
        <w:jc w:val="left"/>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br w:type="page"/>
      </w:r>
    </w:p>
    <w:p>
      <w:pPr>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lang w:eastAsia="zh-CN"/>
        </w:rPr>
        <w:t>二</w:t>
      </w:r>
      <w:r>
        <w:rPr>
          <w:rFonts w:hint="eastAsia" w:asciiTheme="minorEastAsia" w:hAnsiTheme="minorEastAsia" w:eastAsiaTheme="minorEastAsia" w:cstheme="minorEastAsia"/>
          <w:b/>
          <w:color w:val="auto"/>
          <w:sz w:val="24"/>
          <w:highlight w:val="none"/>
        </w:rPr>
        <w:t>： 质疑函范本</w:t>
      </w:r>
    </w:p>
    <w:p>
      <w:pPr>
        <w:keepNext w:val="0"/>
        <w:keepLines w:val="0"/>
        <w:pageBreakBefore w:val="0"/>
        <w:widowControl w:val="0"/>
        <w:kinsoku/>
        <w:wordWrap/>
        <w:overflowPunct/>
        <w:topLinePunct w:val="0"/>
        <w:autoSpaceDE/>
        <w:autoSpaceDN/>
        <w:bidi w:val="0"/>
        <w:adjustRightInd w:val="0"/>
        <w:snapToGrid w:val="0"/>
        <w:spacing w:before="240" w:beforeLines="100" w:line="400" w:lineRule="exac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一、质疑</w:t>
      </w:r>
      <w:r>
        <w:rPr>
          <w:rFonts w:hint="eastAsia" w:asciiTheme="minorEastAsia" w:hAnsiTheme="minorEastAsia" w:eastAsiaTheme="minorEastAsia" w:cstheme="minorEastAsia"/>
          <w:bCs/>
          <w:color w:val="auto"/>
          <w:szCs w:val="21"/>
          <w:highlight w:val="none"/>
          <w:lang w:eastAsia="zh-CN"/>
        </w:rPr>
        <w:t>供应商</w:t>
      </w:r>
      <w:r>
        <w:rPr>
          <w:rFonts w:hint="eastAsia" w:asciiTheme="minorEastAsia" w:hAnsiTheme="minorEastAsia" w:eastAsiaTheme="minorEastAsia" w:cstheme="minorEastAsia"/>
          <w:bCs/>
          <w:color w:val="auto"/>
          <w:szCs w:val="21"/>
          <w:highlight w:val="none"/>
        </w:rPr>
        <w:t>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质疑</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地址：邮编：</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联系人：联系电话：</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授权代表：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 邮编：</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质疑项目的名称：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质疑项目的编号：包号：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采购人名称：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采购文件获取日期：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质疑事项1：</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事实依据：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法律依据：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请求：</w:t>
      </w:r>
    </w:p>
    <w:p>
      <w:pPr>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日期：    </w:t>
      </w:r>
    </w:p>
    <w:p>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color w:val="auto"/>
          <w:szCs w:val="21"/>
          <w:highlight w:val="none"/>
        </w:rPr>
        <w:t>质疑函制作说明：</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提出质疑时，应提交质疑函和必要的证明材料。</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2.质疑</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签署的授权委托书。授权委托书应载明代理人的姓名或者名称、代理事项、具体权限、期限和相关事项。</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3.质疑</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若对项目的某一分包进行质疑，质疑函中应列明具体分包号。</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4.质疑函的质疑事项应具体、明确，并有必要的事实依据和法律依据。</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5.质疑函的质疑请求应与质疑事项相关。</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6.质疑</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为自然人的，质疑函应由本人签字；质疑</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为法人或者其他组织的，质疑函应由法定代表人、主要负责人，或者其授权代表签字或者盖章，并加盖公章。</w:t>
      </w:r>
    </w:p>
    <w:p>
      <w:pPr>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lang w:eastAsia="zh-CN"/>
        </w:rPr>
        <w:t>三</w:t>
      </w:r>
      <w:r>
        <w:rPr>
          <w:rFonts w:hint="eastAsia" w:asciiTheme="minorEastAsia" w:hAnsiTheme="minorEastAsia" w:eastAsiaTheme="minorEastAsia" w:cstheme="minorEastAsia"/>
          <w:b/>
          <w:color w:val="auto"/>
          <w:sz w:val="24"/>
          <w:highlight w:val="none"/>
        </w:rPr>
        <w:t>：投诉书范本</w:t>
      </w:r>
    </w:p>
    <w:p>
      <w:pPr>
        <w:spacing w:line="400" w:lineRule="exact"/>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投诉人：</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     址：邮编：</w:t>
      </w:r>
    </w:p>
    <w:p>
      <w:pPr>
        <w:tabs>
          <w:tab w:val="left" w:pos="6510"/>
        </w:tabs>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法定代表人/主要负责人：</w:t>
      </w:r>
    </w:p>
    <w:p>
      <w:pPr>
        <w:tabs>
          <w:tab w:val="left" w:pos="6510"/>
        </w:tabs>
        <w:spacing w:line="400" w:lineRule="exact"/>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联系电话：</w:t>
      </w:r>
    </w:p>
    <w:p>
      <w:pPr>
        <w:spacing w:line="400" w:lineRule="exact"/>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授权代表：联系电话</w:t>
      </w:r>
      <w:r>
        <w:rPr>
          <w:rFonts w:hint="eastAsia" w:asciiTheme="minorEastAsia" w:hAnsiTheme="minorEastAsia" w:eastAsiaTheme="minorEastAsia" w:cstheme="minorEastAsia"/>
          <w:color w:val="auto"/>
          <w:szCs w:val="21"/>
          <w:highlight w:val="none"/>
          <w:u w:val="dotted"/>
        </w:rPr>
        <w:t xml:space="preserve">：                  </w:t>
      </w:r>
    </w:p>
    <w:p>
      <w:pPr>
        <w:spacing w:line="400" w:lineRule="exact"/>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地     址：邮编：</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被投诉人1：</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     址：邮编：</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联系人：联系电话：</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被投诉人2……</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     址：邮编：</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联系人：联系电话：</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二、投诉项目基本情况</w:t>
      </w:r>
    </w:p>
    <w:p>
      <w:pPr>
        <w:spacing w:line="400" w:lineRule="exact"/>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采购项目名称：</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采购项目编号：包号：</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采购人名称：</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代理机构名称：</w:t>
      </w:r>
    </w:p>
    <w:p>
      <w:pPr>
        <w:spacing w:line="400" w:lineRule="exact"/>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采购文件公告:</w:t>
      </w:r>
      <w:r>
        <w:rPr>
          <w:rFonts w:hint="eastAsia" w:asciiTheme="minorEastAsia" w:hAnsiTheme="minorEastAsia" w:eastAsiaTheme="minorEastAsia" w:cstheme="minorEastAsia"/>
          <w:color w:val="auto"/>
          <w:szCs w:val="21"/>
          <w:highlight w:val="none"/>
          <w:u w:val="dotted"/>
        </w:rPr>
        <w:t xml:space="preserve">是/否 </w:t>
      </w:r>
      <w:r>
        <w:rPr>
          <w:rFonts w:hint="eastAsia" w:asciiTheme="minorEastAsia" w:hAnsiTheme="minorEastAsia" w:eastAsiaTheme="minorEastAsia" w:cstheme="minorEastAsia"/>
          <w:color w:val="auto"/>
          <w:szCs w:val="21"/>
          <w:highlight w:val="none"/>
        </w:rPr>
        <w:t>公告期限：</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采购结果公告:</w:t>
      </w:r>
      <w:r>
        <w:rPr>
          <w:rFonts w:hint="eastAsia" w:asciiTheme="minorEastAsia" w:hAnsiTheme="minorEastAsia" w:eastAsiaTheme="minorEastAsia" w:cstheme="minorEastAsia"/>
          <w:color w:val="auto"/>
          <w:szCs w:val="21"/>
          <w:highlight w:val="none"/>
          <w:u w:val="dotted"/>
        </w:rPr>
        <w:t xml:space="preserve">是/否 </w:t>
      </w:r>
      <w:r>
        <w:rPr>
          <w:rFonts w:hint="eastAsia" w:asciiTheme="minorEastAsia" w:hAnsiTheme="minorEastAsia" w:eastAsiaTheme="minorEastAsia" w:cstheme="minorEastAsia"/>
          <w:color w:val="auto"/>
          <w:szCs w:val="21"/>
          <w:highlight w:val="none"/>
        </w:rPr>
        <w:t>公告期限：</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三、质疑基本情况</w:t>
      </w:r>
    </w:p>
    <w:p>
      <w:pPr>
        <w:spacing w:line="400" w:lineRule="exact"/>
        <w:ind w:firstLine="420" w:firstLineChars="200"/>
        <w:rPr>
          <w:rFonts w:hint="eastAsia" w:asciiTheme="minorEastAsia" w:hAnsiTheme="minorEastAsia" w:eastAsiaTheme="minorEastAsia" w:cstheme="minorEastAsia"/>
          <w:color w:val="auto"/>
          <w:szCs w:val="21"/>
          <w:highlight w:val="none"/>
          <w:u w:val="dotted"/>
        </w:rPr>
      </w:pPr>
      <w:r>
        <w:rPr>
          <w:rFonts w:hint="eastAsia" w:asciiTheme="minorEastAsia" w:hAnsiTheme="minorEastAsia" w:eastAsiaTheme="minorEastAsia" w:cstheme="minorEastAsia"/>
          <w:color w:val="auto"/>
          <w:szCs w:val="21"/>
          <w:highlight w:val="none"/>
        </w:rPr>
        <w:t>投诉人于年月日,向提出质疑，质疑事项为：</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dotted"/>
        </w:rPr>
        <w:t>采购人/代理机构</w:t>
      </w:r>
      <w:r>
        <w:rPr>
          <w:rFonts w:hint="eastAsia" w:asciiTheme="minorEastAsia" w:hAnsiTheme="minorEastAsia" w:eastAsiaTheme="minorEastAsia" w:cstheme="minorEastAsia"/>
          <w:color w:val="auto"/>
          <w:szCs w:val="21"/>
          <w:highlight w:val="none"/>
        </w:rPr>
        <w:t>于年月日,就质疑事项作出了答复/没有在法定期限内作出答复。</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四、投诉事项具体内容</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投诉事项 1：</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事实依据：</w:t>
      </w:r>
    </w:p>
    <w:p>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法律依据：</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投诉事项2……</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五、与投诉事项相关的投诉请求</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请求：</w:t>
      </w:r>
    </w:p>
    <w:p>
      <w:pPr>
        <w:spacing w:line="400" w:lineRule="exact"/>
        <w:rPr>
          <w:rFonts w:hint="eastAsia" w:asciiTheme="minorEastAsia" w:hAnsiTheme="minorEastAsia" w:eastAsiaTheme="minorEastAsia" w:cstheme="minorEastAsia"/>
          <w:color w:val="auto"/>
          <w:szCs w:val="21"/>
          <w:highlight w:val="none"/>
          <w:u w:val="single"/>
        </w:rPr>
      </w:pPr>
    </w:p>
    <w:p>
      <w:pPr>
        <w:spacing w:line="40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Cs w:val="21"/>
          <w:highlight w:val="none"/>
        </w:rPr>
        <w:t xml:space="preserve">签字(签章)：                   公章：                      日期： </w:t>
      </w:r>
    </w:p>
    <w:p>
      <w:pPr>
        <w:snapToGrid w:val="0"/>
        <w:spacing w:after="120" w:afterLines="50" w:line="360" w:lineRule="auto"/>
        <w:ind w:firstLine="422" w:firstLineChars="200"/>
        <w:rPr>
          <w:rFonts w:hint="eastAsia" w:asciiTheme="minorEastAsia" w:hAnsiTheme="minorEastAsia" w:eastAsiaTheme="minorEastAsia" w:cstheme="minorEastAsia"/>
          <w:b/>
          <w:bCs/>
          <w:color w:val="auto"/>
          <w:szCs w:val="21"/>
          <w:highlight w:val="none"/>
        </w:rPr>
      </w:pPr>
    </w:p>
    <w:p>
      <w:pPr>
        <w:snapToGrid w:val="0"/>
        <w:spacing w:after="120" w:afterLines="5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投诉书制作说明：</w:t>
      </w:r>
    </w:p>
    <w:p>
      <w:pPr>
        <w:snapToGrid w:val="0"/>
        <w:spacing w:after="120" w:afterLines="5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1.投诉人提起投诉时，应当提交投诉书和必要的证明材料，并按照被投诉人和与投诉事项有关的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数量提供投诉书副本。</w:t>
      </w:r>
    </w:p>
    <w:p>
      <w:pPr>
        <w:snapToGrid w:val="0"/>
        <w:spacing w:after="120" w:afterLines="5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napToGrid w:val="0"/>
        <w:spacing w:after="120" w:afterLines="5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3.投诉人若对项目的某一分包进行投诉，投诉书应列明具体分包号。</w:t>
      </w:r>
    </w:p>
    <w:p>
      <w:pPr>
        <w:snapToGrid w:val="0"/>
        <w:spacing w:after="120" w:afterLines="5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4.投诉书应简要列明质疑事项，质疑函、质疑答复等作为附件材料提供。</w:t>
      </w:r>
    </w:p>
    <w:p>
      <w:pPr>
        <w:snapToGrid w:val="0"/>
        <w:spacing w:after="120" w:afterLines="5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5.投诉书的投诉事项应具体、明确，并有必要的事实依据和法律依据。</w:t>
      </w:r>
    </w:p>
    <w:p>
      <w:pPr>
        <w:snapToGrid w:val="0"/>
        <w:spacing w:after="120" w:afterLines="5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6.投诉书的投诉请求应与投诉事项相关。</w:t>
      </w:r>
    </w:p>
    <w:p>
      <w:pPr>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7.投诉人为自然人的，投诉书应当由本人签字；投诉人为法人或者其他组织的，投诉书应当由法定代表人、主要负责人，或者其授权代表签字或者盖章，并加盖公章。</w:t>
      </w:r>
    </w:p>
    <w:p>
      <w:pPr>
        <w:pStyle w:val="3"/>
        <w:spacing w:before="0" w:after="0"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Cs w:val="21"/>
          <w:highlight w:val="none"/>
        </w:rPr>
        <w:br w:type="page"/>
      </w:r>
      <w:bookmarkStart w:id="46" w:name="_Toc13613"/>
      <w:r>
        <w:rPr>
          <w:rFonts w:hint="eastAsia" w:asciiTheme="minorEastAsia" w:hAnsiTheme="minorEastAsia" w:eastAsiaTheme="minorEastAsia" w:cstheme="minorEastAsia"/>
          <w:b/>
          <w:color w:val="auto"/>
          <w:sz w:val="36"/>
          <w:szCs w:val="36"/>
          <w:highlight w:val="none"/>
        </w:rPr>
        <w:t>第三章 评标办法（综合评分法）</w:t>
      </w:r>
      <w:bookmarkEnd w:id="46"/>
      <w:bookmarkStart w:id="47" w:name="_Toc534185418"/>
    </w:p>
    <w:p>
      <w:pPr>
        <w:widowControl/>
        <w:autoSpaceDN w:val="0"/>
        <w:spacing w:line="360" w:lineRule="auto"/>
        <w:jc w:val="center"/>
        <w:rPr>
          <w:rFonts w:ascii="宋体" w:hAnsi="宋体" w:eastAsia="宋体" w:cs="宋体"/>
          <w:color w:val="auto"/>
          <w:szCs w:val="21"/>
        </w:rPr>
      </w:pPr>
      <w:bookmarkStart w:id="48" w:name="_Toc26283"/>
      <w:r>
        <w:rPr>
          <w:rFonts w:hint="eastAsia" w:ascii="宋体" w:hAnsi="宋体" w:eastAsia="宋体" w:cs="宋体"/>
          <w:color w:val="auto"/>
          <w:kern w:val="0"/>
          <w:szCs w:val="21"/>
        </w:rPr>
        <w:t>评标办法</w:t>
      </w:r>
    </w:p>
    <w:p>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rPr>
        <w:t>按照国家相关部门的规定，遵循公开、公平、公正和诚实信用的原则，结合本招标项目的实际情况，制定本招标项目评标办法。</w:t>
      </w:r>
    </w:p>
    <w:p>
      <w:pPr>
        <w:widowControl/>
        <w:autoSpaceDN w:val="0"/>
        <w:spacing w:before="156" w:after="156" w:line="360" w:lineRule="auto"/>
        <w:jc w:val="center"/>
        <w:outlineLvl w:val="1"/>
        <w:rPr>
          <w:rFonts w:ascii="宋体" w:hAnsi="宋体" w:eastAsia="宋体" w:cs="宋体"/>
          <w:b/>
          <w:bCs/>
          <w:color w:val="auto"/>
          <w:szCs w:val="21"/>
        </w:rPr>
      </w:pPr>
      <w:r>
        <w:rPr>
          <w:rFonts w:hint="eastAsia" w:ascii="宋体" w:hAnsi="宋体" w:eastAsia="宋体" w:cs="宋体"/>
          <w:b/>
          <w:bCs/>
          <w:color w:val="auto"/>
          <w:kern w:val="0"/>
          <w:szCs w:val="21"/>
        </w:rPr>
        <w:t>一、评 标 程 序</w:t>
      </w:r>
    </w:p>
    <w:p>
      <w:pPr>
        <w:widowControl/>
        <w:autoSpaceDN w:val="0"/>
        <w:spacing w:before="156" w:after="156" w:line="360" w:lineRule="auto"/>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rPr>
        <w:t>（一）组成评标委员会</w:t>
      </w:r>
    </w:p>
    <w:p>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rPr>
        <w:t>按照国家有关部委及省、市的相关规定</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从政府采购云平台评标专家库中随机抽取有关</w:t>
      </w:r>
      <w:r>
        <w:rPr>
          <w:rFonts w:hint="eastAsia" w:ascii="宋体" w:hAnsi="宋体" w:eastAsia="宋体" w:cs="Times New Roman"/>
          <w:color w:val="auto"/>
          <w:kern w:val="0"/>
          <w:szCs w:val="21"/>
        </w:rPr>
        <w:t>经济、技术等方面的专家5人</w:t>
      </w:r>
      <w:r>
        <w:rPr>
          <w:rFonts w:hint="eastAsia" w:ascii="宋体" w:hAnsi="宋体" w:eastAsia="宋体" w:cs="宋体"/>
          <w:color w:val="auto"/>
          <w:kern w:val="0"/>
          <w:szCs w:val="21"/>
        </w:rPr>
        <w:t>组成评标委员会。为保证评标工作的顺利进行，推荐一名评委担任评委会主任，负责评标全面工作。</w:t>
      </w:r>
    </w:p>
    <w:p>
      <w:pPr>
        <w:pStyle w:val="150"/>
        <w:autoSpaceDN w:val="0"/>
        <w:spacing w:before="156" w:after="156" w:line="360" w:lineRule="auto"/>
        <w:ind w:firstLine="422" w:firstLineChars="200"/>
        <w:rPr>
          <w:rFonts w:ascii="宋体" w:eastAsia="宋体" w:cs="宋体"/>
          <w:b/>
          <w:bCs/>
          <w:color w:val="auto"/>
          <w:sz w:val="21"/>
          <w:szCs w:val="21"/>
        </w:rPr>
      </w:pPr>
      <w:r>
        <w:rPr>
          <w:rFonts w:hint="eastAsia" w:ascii="宋体" w:eastAsia="宋体" w:cs="宋体"/>
          <w:b/>
          <w:bCs/>
          <w:color w:val="auto"/>
          <w:sz w:val="21"/>
          <w:szCs w:val="21"/>
        </w:rPr>
        <w:t>（二）评标工作</w:t>
      </w:r>
    </w:p>
    <w:p>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rPr>
        <w:t>评标本着客观公正、公平竞争、择优推荐、规范合法的原则进行。评标工作分为资格审查、初步评审和详细评审三个步骤。</w:t>
      </w:r>
    </w:p>
    <w:p>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rPr>
        <w:t>1.资格审查。采购人或代理机构对各投标人的资格进行审查。资格审查合格的投标人方可进入符合性审查。</w:t>
      </w:r>
    </w:p>
    <w:p>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rPr>
        <w:t>2.符合性审查。评委会对投标人的投标文件进行符合性鉴定。符合性审查合格的投标人方可进入详细评审。</w:t>
      </w:r>
    </w:p>
    <w:p>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rPr>
        <w:t>3.详细评审。详细评审采用</w:t>
      </w:r>
      <w:r>
        <w:rPr>
          <w:rFonts w:hint="eastAsia" w:ascii="宋体" w:hAnsi="宋体" w:eastAsia="宋体" w:cs="Times New Roman"/>
          <w:color w:val="auto"/>
          <w:kern w:val="0"/>
          <w:szCs w:val="21"/>
        </w:rPr>
        <w:t>综合评分法</w:t>
      </w:r>
      <w:r>
        <w:rPr>
          <w:rFonts w:hint="eastAsia" w:ascii="宋体" w:hAnsi="宋体" w:eastAsia="宋体" w:cs="宋体"/>
          <w:color w:val="auto"/>
          <w:kern w:val="0"/>
          <w:szCs w:val="21"/>
        </w:rPr>
        <w:t>。评委依据评标办法分别对各投标人的投标文件进行评审、赋分。</w:t>
      </w:r>
    </w:p>
    <w:p>
      <w:pPr>
        <w:widowControl/>
        <w:autoSpaceDN w:val="0"/>
        <w:spacing w:before="156" w:after="156" w:line="360" w:lineRule="auto"/>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rPr>
        <w:t>（三）询标（必要时）</w:t>
      </w:r>
    </w:p>
    <w:p>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rPr>
        <w:t>评标委员会对投标文件需要澄清的问题，采用集体询标方式进行。</w:t>
      </w:r>
    </w:p>
    <w:p>
      <w:pPr>
        <w:widowControl/>
        <w:autoSpaceDN w:val="0"/>
        <w:spacing w:before="156" w:after="156" w:line="360" w:lineRule="auto"/>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rPr>
        <w:t>（四）确定中标人</w:t>
      </w:r>
    </w:p>
    <w:p>
      <w:pPr>
        <w:pStyle w:val="35"/>
        <w:autoSpaceDN w:val="0"/>
        <w:rPr>
          <w:rFonts w:ascii="宋体" w:hAnsi="宋体" w:cs="宋体"/>
          <w:color w:val="auto"/>
          <w:sz w:val="21"/>
          <w:szCs w:val="21"/>
        </w:rPr>
      </w:pPr>
      <w:r>
        <w:rPr>
          <w:rFonts w:hint="eastAsia" w:ascii="宋体" w:hAnsi="宋体" w:cs="宋体"/>
          <w:color w:val="auto"/>
          <w:sz w:val="21"/>
          <w:szCs w:val="21"/>
        </w:rPr>
        <w:t>按最终综合得分由高到低的顺序推荐中标候选人1家。</w:t>
      </w:r>
    </w:p>
    <w:p>
      <w:pPr>
        <w:widowControl/>
        <w:autoSpaceDN w:val="0"/>
        <w:spacing w:before="156" w:after="156" w:line="360" w:lineRule="auto"/>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rPr>
        <w:t>（五）评标报告</w:t>
      </w:r>
    </w:p>
    <w:p>
      <w:pPr>
        <w:widowControl/>
        <w:autoSpaceDN w:val="0"/>
        <w:spacing w:line="360" w:lineRule="auto"/>
        <w:ind w:firstLine="420" w:firstLineChars="200"/>
        <w:jc w:val="left"/>
        <w:rPr>
          <w:rFonts w:hint="eastAsia" w:ascii="宋体" w:hAnsi="宋体" w:eastAsia="宋体" w:cs="宋体"/>
          <w:color w:val="auto"/>
          <w:kern w:val="0"/>
          <w:szCs w:val="21"/>
        </w:rPr>
        <w:sectPr>
          <w:pgSz w:w="11910" w:h="16840"/>
          <w:pgMar w:top="1440" w:right="1080" w:bottom="1440" w:left="1080" w:header="0" w:footer="1329" w:gutter="0"/>
          <w:pgNumType w:fmt="decimal"/>
          <w:cols w:space="720" w:num="1"/>
          <w:titlePg/>
          <w:docGrid w:linePitch="286" w:charSpace="0"/>
        </w:sectPr>
      </w:pPr>
      <w:r>
        <w:rPr>
          <w:rFonts w:hint="eastAsia" w:ascii="宋体" w:hAnsi="宋体" w:eastAsia="宋体" w:cs="宋体"/>
          <w:color w:val="auto"/>
          <w:kern w:val="0"/>
          <w:szCs w:val="21"/>
        </w:rPr>
        <w:t>评标工作结束时，评委会将本项目综合评审结果向采购人提交书面“评标报告”，各评委对评标报告内容讨论通过后，在“评标报告”上签字，对评标结果予以确认。</w:t>
      </w:r>
    </w:p>
    <w:p>
      <w:pPr>
        <w:widowControl/>
        <w:autoSpaceDN w:val="0"/>
        <w:spacing w:before="156" w:after="156" w:line="360" w:lineRule="auto"/>
        <w:jc w:val="center"/>
        <w:outlineLvl w:val="1"/>
        <w:rPr>
          <w:rFonts w:ascii="宋体" w:hAnsi="宋体" w:eastAsia="宋体" w:cs="宋体"/>
          <w:b/>
          <w:bCs/>
          <w:color w:val="auto"/>
          <w:szCs w:val="21"/>
        </w:rPr>
      </w:pPr>
      <w:r>
        <w:rPr>
          <w:rFonts w:hint="eastAsia" w:ascii="宋体" w:hAnsi="宋体" w:eastAsia="宋体" w:cs="宋体"/>
          <w:b/>
          <w:bCs/>
          <w:color w:val="auto"/>
          <w:kern w:val="0"/>
          <w:szCs w:val="21"/>
        </w:rPr>
        <w:t>二、评 标 办 法</w:t>
      </w:r>
    </w:p>
    <w:p>
      <w:pPr>
        <w:widowControl/>
        <w:autoSpaceDN w:val="0"/>
        <w:jc w:val="left"/>
        <w:rPr>
          <w:rFonts w:ascii="宋体" w:hAnsi="宋体" w:eastAsia="宋体" w:cs="宋体"/>
          <w:b/>
          <w:bCs/>
          <w:color w:val="auto"/>
          <w:sz w:val="24"/>
        </w:rPr>
      </w:pPr>
      <w:r>
        <w:rPr>
          <w:rFonts w:hint="eastAsia" w:ascii="宋体" w:hAnsi="宋体" w:eastAsia="宋体" w:cs="宋体"/>
          <w:b/>
          <w:bCs/>
          <w:color w:val="auto"/>
          <w:kern w:val="0"/>
          <w:sz w:val="24"/>
        </w:rPr>
        <w:t>（一）资格审查</w:t>
      </w:r>
    </w:p>
    <w:p>
      <w:pPr>
        <w:widowControl/>
        <w:autoSpaceDN w:val="0"/>
        <w:spacing w:line="400" w:lineRule="exact"/>
        <w:jc w:val="center"/>
        <w:rPr>
          <w:rFonts w:ascii="宋体" w:hAnsi="宋体" w:eastAsia="宋体" w:cs="宋体"/>
          <w:b/>
          <w:bCs/>
          <w:color w:val="auto"/>
          <w:sz w:val="24"/>
        </w:rPr>
      </w:pPr>
      <w:r>
        <w:rPr>
          <w:rFonts w:hint="eastAsia" w:ascii="宋体" w:hAnsi="宋体" w:eastAsia="宋体" w:cs="宋体"/>
          <w:b/>
          <w:bCs/>
          <w:color w:val="auto"/>
          <w:kern w:val="0"/>
          <w:sz w:val="24"/>
        </w:rPr>
        <w:t>资格审查表</w:t>
      </w:r>
    </w:p>
    <w:tbl>
      <w:tblPr>
        <w:tblStyle w:val="37"/>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877"/>
        <w:gridCol w:w="5821"/>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817" w:type="dxa"/>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877" w:type="dxa"/>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资格审查内容</w:t>
            </w:r>
          </w:p>
        </w:tc>
        <w:tc>
          <w:tcPr>
            <w:tcW w:w="5821" w:type="dxa"/>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评审标准</w:t>
            </w:r>
          </w:p>
        </w:tc>
        <w:tc>
          <w:tcPr>
            <w:tcW w:w="1043" w:type="dxa"/>
            <w:vAlign w:val="center"/>
          </w:tcPr>
          <w:p>
            <w:pPr>
              <w:rPr>
                <w:rFonts w:ascii="宋体" w:hAnsi="宋体" w:eastAsia="宋体" w:cs="宋体"/>
                <w:b/>
                <w:bCs/>
                <w:color w:val="auto"/>
                <w:szCs w:val="21"/>
              </w:rPr>
            </w:pPr>
            <w:r>
              <w:rPr>
                <w:rFonts w:hint="eastAsia" w:ascii="宋体" w:hAnsi="宋体" w:eastAsia="宋体" w:cs="宋体"/>
                <w:b/>
                <w:bCs/>
                <w:color w:val="auto"/>
                <w:szCs w:val="21"/>
              </w:rPr>
              <w:t>评审结论（√/×）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17"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1</w:t>
            </w:r>
          </w:p>
        </w:tc>
        <w:tc>
          <w:tcPr>
            <w:tcW w:w="1877" w:type="dxa"/>
            <w:vAlign w:val="center"/>
          </w:tcPr>
          <w:p>
            <w:pPr>
              <w:spacing w:line="360" w:lineRule="exact"/>
              <w:jc w:val="center"/>
              <w:rPr>
                <w:rFonts w:ascii="宋体" w:hAnsi="宋体" w:eastAsia="宋体" w:cs="宋体"/>
                <w:color w:val="auto"/>
                <w:szCs w:val="21"/>
              </w:rPr>
            </w:pPr>
            <w:r>
              <w:rPr>
                <w:rFonts w:hint="eastAsia" w:ascii="宋体" w:hAnsi="宋体" w:eastAsia="宋体" w:cs="宋体"/>
                <w:color w:val="auto"/>
                <w:szCs w:val="21"/>
              </w:rPr>
              <w:t>营业执照</w:t>
            </w:r>
          </w:p>
        </w:tc>
        <w:tc>
          <w:tcPr>
            <w:tcW w:w="5821" w:type="dxa"/>
            <w:vAlign w:val="center"/>
          </w:tcPr>
          <w:p>
            <w:pPr>
              <w:spacing w:line="360" w:lineRule="exact"/>
              <w:rPr>
                <w:rFonts w:ascii="宋体" w:hAnsi="宋体" w:eastAsia="宋体" w:cs="宋体"/>
                <w:color w:val="auto"/>
                <w:szCs w:val="21"/>
              </w:rPr>
            </w:pPr>
            <w:r>
              <w:rPr>
                <w:rFonts w:hint="eastAsia" w:ascii="宋体" w:hAnsi="宋体" w:eastAsia="宋体" w:cs="宋体"/>
                <w:color w:val="auto"/>
                <w:szCs w:val="21"/>
              </w:rPr>
              <w:t>具备有效的营业执照；</w:t>
            </w:r>
          </w:p>
          <w:p>
            <w:pPr>
              <w:spacing w:line="360" w:lineRule="exact"/>
              <w:rPr>
                <w:rFonts w:ascii="宋体" w:hAnsi="宋体" w:eastAsia="宋体" w:cs="宋体"/>
                <w:color w:val="auto"/>
                <w:szCs w:val="21"/>
              </w:rPr>
            </w:pPr>
            <w:r>
              <w:rPr>
                <w:rFonts w:hint="eastAsia" w:ascii="宋体" w:hAnsi="宋体" w:eastAsia="宋体" w:cs="宋体"/>
                <w:color w:val="auto"/>
                <w:szCs w:val="21"/>
              </w:rPr>
              <w:t>响应文件内附扫描件加盖公章。</w:t>
            </w:r>
          </w:p>
        </w:tc>
        <w:tc>
          <w:tcPr>
            <w:tcW w:w="1043" w:type="dxa"/>
            <w:vAlign w:val="center"/>
          </w:tcPr>
          <w:p>
            <w:pPr>
              <w:rPr>
                <w:rFonts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817"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2</w:t>
            </w:r>
          </w:p>
        </w:tc>
        <w:tc>
          <w:tcPr>
            <w:tcW w:w="1877" w:type="dxa"/>
            <w:shd w:val="clear" w:color="auto" w:fill="auto"/>
            <w:vAlign w:val="center"/>
          </w:tcPr>
          <w:p>
            <w:pPr>
              <w:spacing w:line="360" w:lineRule="exact"/>
              <w:jc w:val="center"/>
              <w:rPr>
                <w:rFonts w:ascii="宋体" w:hAnsi="宋体" w:eastAsia="宋体" w:cs="宋体"/>
                <w:color w:val="auto"/>
                <w:szCs w:val="21"/>
              </w:rPr>
            </w:pPr>
            <w:r>
              <w:rPr>
                <w:rFonts w:hint="eastAsia" w:ascii="宋体" w:hAnsi="宋体" w:eastAsia="宋体" w:cs="宋体"/>
                <w:color w:val="auto"/>
                <w:szCs w:val="21"/>
              </w:rPr>
              <w:t>财务状况</w:t>
            </w:r>
          </w:p>
        </w:tc>
        <w:tc>
          <w:tcPr>
            <w:tcW w:w="5821" w:type="dxa"/>
            <w:shd w:val="clear" w:color="auto" w:fill="auto"/>
            <w:vAlign w:val="center"/>
          </w:tcPr>
          <w:p>
            <w:pPr>
              <w:spacing w:line="360" w:lineRule="exact"/>
              <w:rPr>
                <w:rFonts w:ascii="宋体" w:hAnsi="宋体" w:eastAsia="宋体" w:cs="宋体"/>
                <w:color w:val="auto"/>
                <w:szCs w:val="21"/>
              </w:rPr>
            </w:pPr>
            <w:r>
              <w:rPr>
                <w:rFonts w:hint="eastAsia" w:ascii="宋体" w:hAnsi="宋体" w:eastAsia="宋体" w:cs="宋体"/>
                <w:color w:val="auto"/>
                <w:szCs w:val="21"/>
              </w:rPr>
              <w:t>附资格条件承诺函，签字并加盖单位公章。</w:t>
            </w:r>
          </w:p>
        </w:tc>
        <w:tc>
          <w:tcPr>
            <w:tcW w:w="1043" w:type="dxa"/>
            <w:vAlign w:val="center"/>
          </w:tcPr>
          <w:p>
            <w:pPr>
              <w:rPr>
                <w:rFonts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17"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3</w:t>
            </w:r>
          </w:p>
        </w:tc>
        <w:tc>
          <w:tcPr>
            <w:tcW w:w="1877" w:type="dxa"/>
            <w:shd w:val="clear" w:color="auto" w:fill="auto"/>
            <w:vAlign w:val="center"/>
          </w:tcPr>
          <w:p>
            <w:pPr>
              <w:spacing w:line="360" w:lineRule="exact"/>
              <w:jc w:val="center"/>
              <w:rPr>
                <w:rFonts w:ascii="宋体" w:hAnsi="宋体" w:eastAsia="宋体" w:cs="宋体"/>
                <w:color w:val="auto"/>
                <w:szCs w:val="21"/>
              </w:rPr>
            </w:pPr>
            <w:r>
              <w:rPr>
                <w:rFonts w:hint="eastAsia" w:ascii="宋体" w:hAnsi="宋体" w:eastAsia="宋体" w:cs="宋体"/>
                <w:color w:val="auto"/>
                <w:szCs w:val="21"/>
              </w:rPr>
              <w:t>依法缴纳税收和社会保障资金</w:t>
            </w:r>
          </w:p>
        </w:tc>
        <w:tc>
          <w:tcPr>
            <w:tcW w:w="5821" w:type="dxa"/>
            <w:shd w:val="clear" w:color="auto" w:fill="auto"/>
            <w:vAlign w:val="center"/>
          </w:tcPr>
          <w:p>
            <w:pPr>
              <w:spacing w:line="360" w:lineRule="exact"/>
              <w:rPr>
                <w:rFonts w:ascii="宋体" w:hAnsi="宋体" w:eastAsia="宋体" w:cs="宋体"/>
                <w:color w:val="auto"/>
                <w:szCs w:val="21"/>
              </w:rPr>
            </w:pPr>
            <w:r>
              <w:rPr>
                <w:rFonts w:hint="eastAsia" w:ascii="宋体" w:hAnsi="宋体" w:eastAsia="宋体" w:cs="宋体"/>
                <w:color w:val="auto"/>
                <w:szCs w:val="21"/>
              </w:rPr>
              <w:t>附资格条件承诺函，签字并加盖单位公章。</w:t>
            </w:r>
          </w:p>
        </w:tc>
        <w:tc>
          <w:tcPr>
            <w:tcW w:w="1043" w:type="dxa"/>
            <w:vAlign w:val="center"/>
          </w:tcPr>
          <w:p>
            <w:pPr>
              <w:rPr>
                <w:rFonts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7" w:hRule="atLeast"/>
          <w:jc w:val="center"/>
        </w:trPr>
        <w:tc>
          <w:tcPr>
            <w:tcW w:w="817"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4</w:t>
            </w:r>
          </w:p>
        </w:tc>
        <w:tc>
          <w:tcPr>
            <w:tcW w:w="1877" w:type="dxa"/>
            <w:shd w:val="clear" w:color="auto" w:fill="auto"/>
            <w:vAlign w:val="center"/>
          </w:tcPr>
          <w:p>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信誉要求</w:t>
            </w:r>
          </w:p>
        </w:tc>
        <w:tc>
          <w:tcPr>
            <w:tcW w:w="5821" w:type="dxa"/>
            <w:shd w:val="clear" w:color="auto" w:fill="auto"/>
            <w:vAlign w:val="center"/>
          </w:tcPr>
          <w:p>
            <w:pPr>
              <w:spacing w:line="3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①不接受被政府列入取消投标资格期限内的企业或个人参加投标。②</w:t>
            </w:r>
            <w:r>
              <w:rPr>
                <w:rFonts w:hint="eastAsia" w:asciiTheme="minorEastAsia" w:hAnsiTheme="minorEastAsia" w:eastAsiaTheme="minorEastAsia" w:cstheme="minorEastAsia"/>
                <w:color w:val="auto"/>
                <w:szCs w:val="21"/>
                <w:highlight w:val="none"/>
              </w:rPr>
              <w:t>参加政府采购活动前3年内在经营活动中没有重大违法记录</w:t>
            </w:r>
            <w:r>
              <w:rPr>
                <w:rFonts w:hint="eastAsia" w:asciiTheme="minorEastAsia" w:hAnsiTheme="minorEastAsia" w:eastAsiaTheme="minorEastAsia" w:cstheme="minorEastAsia"/>
                <w:bCs/>
                <w:color w:val="auto"/>
                <w:szCs w:val="21"/>
                <w:highlight w:val="none"/>
              </w:rPr>
              <w:t>。</w:t>
            </w:r>
            <w:r>
              <w:rPr>
                <w:rFonts w:hint="eastAsia" w:ascii="宋体" w:hAnsi="宋体" w:eastAsia="宋体" w:cs="宋体"/>
                <w:b w:val="0"/>
                <w:bCs w:val="0"/>
                <w:color w:val="auto"/>
                <w:szCs w:val="21"/>
                <w:highlight w:val="none"/>
              </w:rPr>
              <w:t>③未被“信用中国”网站（www.creditchina.gov.cn）列入重大税收违法失信主体、政府采购严重违法失信行为记录名单、失信被执行人；④</w:t>
            </w:r>
            <w:r>
              <w:rPr>
                <w:rFonts w:hint="eastAsia" w:ascii="宋体" w:hAnsi="宋体" w:cs="宋体"/>
                <w:b w:val="0"/>
                <w:bCs w:val="0"/>
                <w:color w:val="auto"/>
                <w:szCs w:val="21"/>
                <w:highlight w:val="none"/>
                <w:lang w:val="en-US" w:eastAsia="zh-CN"/>
              </w:rPr>
              <w:t>未被</w:t>
            </w:r>
            <w:r>
              <w:rPr>
                <w:rFonts w:hint="eastAsia" w:ascii="宋体" w:hAnsi="宋体" w:eastAsia="宋体" w:cs="宋体"/>
                <w:b w:val="0"/>
                <w:bCs w:val="0"/>
                <w:color w:val="auto"/>
                <w:szCs w:val="21"/>
                <w:highlight w:val="none"/>
              </w:rPr>
              <w:t>中国政府采购网（www.ccgp.gov.cn）列入政府采购严重违法失信行为记录名单及其他不符合《中华人民共和国政府采购法》第二十二条规定；</w:t>
            </w:r>
          </w:p>
          <w:p>
            <w:pPr>
              <w:spacing w:line="3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①②附法定代表人或委托代理人签字或盖章并加盖公章的承诺书，③④附网站截图，并加盖公章。</w:t>
            </w:r>
          </w:p>
        </w:tc>
        <w:tc>
          <w:tcPr>
            <w:tcW w:w="1043" w:type="dxa"/>
            <w:vAlign w:val="center"/>
          </w:tcPr>
          <w:p>
            <w:pPr>
              <w:rPr>
                <w:rFonts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817"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877" w:type="dxa"/>
            <w:shd w:val="clear" w:color="auto" w:fill="auto"/>
            <w:vAlign w:val="center"/>
          </w:tcPr>
          <w:p>
            <w:pPr>
              <w:spacing w:line="400" w:lineRule="exact"/>
              <w:jc w:val="center"/>
              <w:rPr>
                <w:rFonts w:hint="eastAsia" w:ascii="宋体" w:hAnsi="宋体" w:eastAsia="宋体" w:cs="宋体"/>
                <w:color w:val="auto"/>
                <w:szCs w:val="21"/>
                <w:highlight w:val="none"/>
              </w:rPr>
            </w:pPr>
            <w:r>
              <w:rPr>
                <w:rFonts w:hint="eastAsia" w:asciiTheme="minorEastAsia" w:hAnsiTheme="minorEastAsia" w:eastAsiaTheme="minorEastAsia" w:cstheme="minorEastAsia"/>
                <w:color w:val="auto"/>
                <w:szCs w:val="21"/>
                <w:highlight w:val="none"/>
                <w:lang w:val="en-US" w:eastAsia="zh-CN"/>
              </w:rPr>
              <w:t>中小企业声明函</w:t>
            </w:r>
          </w:p>
        </w:tc>
        <w:tc>
          <w:tcPr>
            <w:tcW w:w="5821" w:type="dxa"/>
            <w:shd w:val="clear" w:color="auto" w:fill="auto"/>
            <w:vAlign w:val="center"/>
          </w:tcPr>
          <w:p>
            <w:pPr>
              <w:spacing w:line="400" w:lineRule="exact"/>
              <w:jc w:val="both"/>
              <w:rPr>
                <w:rFonts w:hint="eastAsia" w:ascii="宋体" w:hAnsi="宋体" w:eastAsia="宋体" w:cs="宋体"/>
                <w:b w:val="0"/>
                <w:bCs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t>提供有效的中小企业声明函加盖投标单位公章。</w:t>
            </w:r>
          </w:p>
        </w:tc>
        <w:tc>
          <w:tcPr>
            <w:tcW w:w="1043" w:type="dxa"/>
            <w:vAlign w:val="center"/>
          </w:tcPr>
          <w:p>
            <w:pPr>
              <w:rPr>
                <w:rFonts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817"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877" w:type="dxa"/>
            <w:shd w:val="clear" w:color="auto" w:fill="auto"/>
            <w:vAlign w:val="center"/>
          </w:tcPr>
          <w:p>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5821" w:type="dxa"/>
            <w:shd w:val="clear" w:color="auto" w:fill="auto"/>
            <w:vAlign w:val="center"/>
          </w:tcPr>
          <w:p>
            <w:pPr>
              <w:spacing w:line="3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单位负责人为同一人或者存在直接控股、管理关系的不同投标人，不得参加同一合同项下的政府采购活动。</w:t>
            </w:r>
          </w:p>
          <w:p>
            <w:pPr>
              <w:spacing w:line="360" w:lineRule="exact"/>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提供不存在以上情形承诺书，由法定代表人及委托代理人签字或盖章并加盖公章。</w:t>
            </w:r>
          </w:p>
        </w:tc>
        <w:tc>
          <w:tcPr>
            <w:tcW w:w="1043" w:type="dxa"/>
            <w:vAlign w:val="center"/>
          </w:tcPr>
          <w:p>
            <w:pPr>
              <w:rPr>
                <w:rFonts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2694" w:type="dxa"/>
            <w:gridSpan w:val="2"/>
            <w:vAlign w:val="center"/>
          </w:tcPr>
          <w:p>
            <w:pPr>
              <w:rPr>
                <w:rFonts w:ascii="宋体" w:hAnsi="宋体" w:eastAsia="宋体" w:cs="宋体"/>
                <w:color w:val="auto"/>
                <w:szCs w:val="21"/>
              </w:rPr>
            </w:pPr>
            <w:r>
              <w:rPr>
                <w:rFonts w:hint="eastAsia" w:ascii="宋体" w:hAnsi="宋体" w:eastAsia="宋体" w:cs="宋体"/>
                <w:color w:val="auto"/>
                <w:szCs w:val="21"/>
              </w:rPr>
              <w:t>评审结论（合格/不合格）</w:t>
            </w:r>
          </w:p>
        </w:tc>
        <w:tc>
          <w:tcPr>
            <w:tcW w:w="6864" w:type="dxa"/>
            <w:gridSpan w:val="2"/>
            <w:vAlign w:val="center"/>
          </w:tcPr>
          <w:p>
            <w:pPr>
              <w:rPr>
                <w:rFonts w:ascii="宋体" w:hAnsi="宋体" w:eastAsia="宋体" w:cs="宋体"/>
                <w:color w:val="auto"/>
                <w:szCs w:val="21"/>
              </w:rPr>
            </w:pPr>
          </w:p>
        </w:tc>
      </w:tr>
    </w:tbl>
    <w:p>
      <w:pPr>
        <w:widowControl/>
        <w:autoSpaceDN w:val="0"/>
        <w:spacing w:line="300" w:lineRule="exact"/>
        <w:ind w:firstLine="420" w:firstLineChars="200"/>
        <w:jc w:val="left"/>
        <w:rPr>
          <w:rFonts w:ascii="宋体" w:hAnsi="宋体" w:eastAsia="宋体" w:cs="宋体"/>
          <w:color w:val="auto"/>
          <w:szCs w:val="21"/>
          <w:lang w:val="zh-CN"/>
        </w:rPr>
      </w:pPr>
      <w:r>
        <w:rPr>
          <w:rFonts w:hint="eastAsia" w:ascii="宋体" w:hAnsi="宋体" w:eastAsia="宋体" w:cs="宋体"/>
          <w:color w:val="auto"/>
          <w:kern w:val="0"/>
          <w:szCs w:val="21"/>
          <w:lang w:val="zh-CN"/>
        </w:rPr>
        <w:t>注：</w:t>
      </w:r>
    </w:p>
    <w:p>
      <w:pPr>
        <w:widowControl/>
        <w:autoSpaceDN w:val="0"/>
        <w:spacing w:line="300" w:lineRule="exact"/>
        <w:ind w:firstLine="420" w:firstLineChars="200"/>
        <w:jc w:val="left"/>
        <w:rPr>
          <w:rFonts w:ascii="宋体" w:hAnsi="宋体" w:eastAsia="宋体" w:cs="宋体"/>
          <w:color w:val="auto"/>
          <w:szCs w:val="21"/>
          <w:lang w:val="zh-CN"/>
        </w:rPr>
      </w:pPr>
      <w:r>
        <w:rPr>
          <w:rFonts w:hint="eastAsia" w:ascii="宋体" w:hAnsi="宋体" w:eastAsia="宋体" w:cs="宋体"/>
          <w:color w:val="auto"/>
          <w:kern w:val="0"/>
          <w:szCs w:val="21"/>
          <w:lang w:val="zh-CN"/>
        </w:rPr>
        <w:t>（1）上述内容中有一项不合格，则资格审查不合格，不进入符合性审查、详细评审；</w:t>
      </w:r>
    </w:p>
    <w:p>
      <w:pPr>
        <w:widowControl/>
        <w:autoSpaceDN w:val="0"/>
        <w:spacing w:line="300" w:lineRule="exact"/>
        <w:ind w:firstLine="420" w:firstLineChars="200"/>
        <w:jc w:val="left"/>
        <w:rPr>
          <w:rFonts w:ascii="宋体" w:hAnsi="宋体" w:eastAsia="宋体" w:cs="宋体"/>
          <w:color w:val="auto"/>
          <w:szCs w:val="21"/>
          <w:lang w:val="zh-CN"/>
        </w:rPr>
      </w:pPr>
      <w:r>
        <w:rPr>
          <w:rFonts w:hint="eastAsia" w:ascii="宋体" w:hAnsi="宋体" w:eastAsia="宋体" w:cs="宋体"/>
          <w:color w:val="auto"/>
          <w:kern w:val="0"/>
          <w:szCs w:val="21"/>
          <w:lang w:val="zh-CN"/>
        </w:rPr>
        <w:t>（2）上述审查内容，如某一证件正在年检或换证，需年检或换证部门出具有效证明方可确认；</w:t>
      </w:r>
    </w:p>
    <w:p>
      <w:pPr>
        <w:widowControl/>
        <w:autoSpaceDN w:val="0"/>
        <w:spacing w:line="300" w:lineRule="exact"/>
        <w:ind w:firstLine="420" w:firstLineChars="200"/>
        <w:jc w:val="left"/>
        <w:rPr>
          <w:rFonts w:ascii="宋体" w:hAnsi="宋体" w:eastAsia="宋体" w:cs="宋体"/>
          <w:color w:val="auto"/>
          <w:szCs w:val="21"/>
          <w:lang w:val="zh-CN"/>
        </w:rPr>
      </w:pPr>
      <w:r>
        <w:rPr>
          <w:rFonts w:hint="eastAsia" w:ascii="宋体" w:hAnsi="宋体" w:eastAsia="宋体" w:cs="宋体"/>
          <w:color w:val="auto"/>
          <w:kern w:val="0"/>
          <w:szCs w:val="21"/>
          <w:lang w:val="zh-CN"/>
        </w:rPr>
        <w:t>（3）资格审查结束后，合格的投标人进入符合性审查。</w:t>
      </w:r>
    </w:p>
    <w:p>
      <w:pPr>
        <w:widowControl/>
        <w:autoSpaceDN w:val="0"/>
        <w:jc w:val="left"/>
        <w:rPr>
          <w:rFonts w:ascii="宋体" w:hAnsi="宋体" w:eastAsia="宋体" w:cs="宋体"/>
          <w:color w:val="auto"/>
          <w:sz w:val="24"/>
          <w:lang w:val="zh-CN"/>
        </w:rPr>
      </w:pPr>
      <w:r>
        <w:rPr>
          <w:rFonts w:hint="eastAsia" w:ascii="宋体" w:hAnsi="宋体" w:eastAsia="宋体" w:cs="宋体"/>
          <w:color w:val="auto"/>
          <w:kern w:val="0"/>
          <w:sz w:val="24"/>
          <w:lang w:val="zh-CN"/>
        </w:rPr>
        <w:br w:type="page"/>
      </w:r>
    </w:p>
    <w:p>
      <w:pPr>
        <w:widowControl/>
        <w:autoSpaceDN w:val="0"/>
        <w:jc w:val="left"/>
        <w:rPr>
          <w:rFonts w:ascii="宋体" w:hAnsi="宋体" w:eastAsia="宋体" w:cs="宋体"/>
          <w:b/>
          <w:bCs/>
          <w:color w:val="auto"/>
          <w:sz w:val="24"/>
        </w:rPr>
      </w:pPr>
      <w:r>
        <w:rPr>
          <w:rFonts w:hint="eastAsia" w:ascii="宋体" w:hAnsi="宋体" w:eastAsia="宋体" w:cs="宋体"/>
          <w:b/>
          <w:bCs/>
          <w:color w:val="auto"/>
          <w:kern w:val="0"/>
          <w:sz w:val="24"/>
        </w:rPr>
        <w:t>（二）符合性审查表</w:t>
      </w:r>
    </w:p>
    <w:p>
      <w:pPr>
        <w:widowControl/>
        <w:autoSpaceDN w:val="0"/>
        <w:jc w:val="center"/>
        <w:rPr>
          <w:rFonts w:ascii="宋体" w:hAnsi="宋体" w:eastAsia="宋体" w:cs="宋体"/>
          <w:b/>
          <w:bCs/>
          <w:color w:val="auto"/>
          <w:sz w:val="24"/>
        </w:rPr>
      </w:pPr>
      <w:r>
        <w:rPr>
          <w:rFonts w:hint="eastAsia" w:ascii="宋体" w:hAnsi="宋体" w:eastAsia="宋体" w:cs="宋体"/>
          <w:b/>
          <w:bCs/>
          <w:color w:val="auto"/>
          <w:kern w:val="0"/>
          <w:sz w:val="24"/>
        </w:rPr>
        <w:t>符合性审查表</w:t>
      </w:r>
    </w:p>
    <w:tbl>
      <w:tblPr>
        <w:tblStyle w:val="37"/>
        <w:tblW w:w="101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8"/>
        <w:gridCol w:w="1511"/>
        <w:gridCol w:w="6811"/>
        <w:gridCol w:w="10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798" w:type="dxa"/>
            <w:vAlign w:val="center"/>
          </w:tcPr>
          <w:p>
            <w:pPr>
              <w:spacing w:line="320" w:lineRule="exact"/>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511" w:type="dxa"/>
            <w:vAlign w:val="center"/>
          </w:tcPr>
          <w:p>
            <w:pPr>
              <w:spacing w:line="320" w:lineRule="exact"/>
              <w:jc w:val="center"/>
              <w:rPr>
                <w:rFonts w:ascii="宋体" w:hAnsi="宋体" w:eastAsia="宋体" w:cs="宋体"/>
                <w:b/>
                <w:bCs/>
                <w:color w:val="auto"/>
                <w:szCs w:val="21"/>
              </w:rPr>
            </w:pPr>
            <w:r>
              <w:rPr>
                <w:rFonts w:hint="eastAsia" w:ascii="宋体" w:hAnsi="宋体" w:eastAsia="宋体" w:cs="宋体"/>
                <w:b/>
                <w:bCs/>
                <w:color w:val="auto"/>
                <w:szCs w:val="21"/>
              </w:rPr>
              <w:t>评审项目</w:t>
            </w:r>
          </w:p>
        </w:tc>
        <w:tc>
          <w:tcPr>
            <w:tcW w:w="6811" w:type="dxa"/>
            <w:vAlign w:val="center"/>
          </w:tcPr>
          <w:p>
            <w:pPr>
              <w:spacing w:line="320" w:lineRule="exact"/>
              <w:jc w:val="center"/>
              <w:rPr>
                <w:rFonts w:ascii="宋体" w:hAnsi="宋体" w:eastAsia="宋体" w:cs="宋体"/>
                <w:b/>
                <w:bCs/>
                <w:color w:val="auto"/>
                <w:szCs w:val="21"/>
              </w:rPr>
            </w:pPr>
            <w:r>
              <w:rPr>
                <w:rFonts w:hint="eastAsia" w:ascii="宋体" w:hAnsi="宋体" w:eastAsia="宋体" w:cs="宋体"/>
                <w:b/>
                <w:bCs/>
                <w:color w:val="auto"/>
                <w:szCs w:val="21"/>
              </w:rPr>
              <w:t>评审标准</w:t>
            </w:r>
          </w:p>
        </w:tc>
        <w:tc>
          <w:tcPr>
            <w:tcW w:w="1016" w:type="dxa"/>
            <w:vAlign w:val="center"/>
          </w:tcPr>
          <w:p>
            <w:pPr>
              <w:spacing w:line="320" w:lineRule="exact"/>
              <w:jc w:val="center"/>
              <w:rPr>
                <w:rFonts w:ascii="宋体" w:hAnsi="宋体" w:eastAsia="宋体" w:cs="宋体"/>
                <w:b/>
                <w:bCs/>
                <w:color w:val="auto"/>
                <w:szCs w:val="21"/>
              </w:rPr>
            </w:pPr>
            <w:r>
              <w:rPr>
                <w:rFonts w:hint="eastAsia" w:ascii="宋体" w:hAnsi="宋体" w:eastAsia="宋体" w:cs="宋体"/>
                <w:b/>
                <w:bCs/>
                <w:color w:val="auto"/>
                <w:szCs w:val="21"/>
              </w:rPr>
              <w:t>评审结论（√/×）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0" w:hRule="atLeast"/>
          <w:jc w:val="center"/>
        </w:trPr>
        <w:tc>
          <w:tcPr>
            <w:tcW w:w="798" w:type="dxa"/>
            <w:vAlign w:val="center"/>
          </w:tcPr>
          <w:p>
            <w:pPr>
              <w:spacing w:line="320" w:lineRule="exact"/>
              <w:jc w:val="center"/>
              <w:rPr>
                <w:rFonts w:ascii="宋体" w:hAnsi="宋体" w:eastAsia="宋体" w:cs="宋体"/>
                <w:b/>
                <w:bCs/>
                <w:color w:val="auto"/>
                <w:szCs w:val="21"/>
              </w:rPr>
            </w:pPr>
            <w:r>
              <w:rPr>
                <w:rFonts w:hint="eastAsia" w:ascii="宋体" w:hAnsi="宋体" w:eastAsia="宋体" w:cs="宋体"/>
                <w:color w:val="auto"/>
                <w:szCs w:val="21"/>
              </w:rPr>
              <w:t>1</w:t>
            </w:r>
          </w:p>
        </w:tc>
        <w:tc>
          <w:tcPr>
            <w:tcW w:w="1511" w:type="dxa"/>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技术标格式</w:t>
            </w:r>
          </w:p>
        </w:tc>
        <w:tc>
          <w:tcPr>
            <w:tcW w:w="6811" w:type="dxa"/>
            <w:vAlign w:val="center"/>
          </w:tcPr>
          <w:p>
            <w:pPr>
              <w:spacing w:line="320" w:lineRule="exact"/>
              <w:rPr>
                <w:rFonts w:hint="eastAsia" w:ascii="宋体" w:hAnsi="宋体" w:eastAsia="宋体" w:cs="宋体"/>
                <w:color w:val="auto"/>
                <w:szCs w:val="21"/>
              </w:rPr>
            </w:pPr>
            <w:r>
              <w:rPr>
                <w:rFonts w:hint="eastAsia" w:ascii="宋体" w:hAnsi="宋体" w:eastAsia="宋体" w:cs="宋体"/>
                <w:color w:val="auto"/>
                <w:szCs w:val="21"/>
              </w:rPr>
              <w:t>技术标文件（暗标）未按以下“盲评”要求制作的，为无效投标，除下述要求外，不得因暗标格式问题认定为无效投标：</w:t>
            </w:r>
          </w:p>
          <w:p>
            <w:pPr>
              <w:spacing w:line="320" w:lineRule="exact"/>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、版面要求：A4纸张大小；</w:t>
            </w:r>
          </w:p>
          <w:p>
            <w:pPr>
              <w:spacing w:line="320" w:lineRule="exact"/>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、颜色要求：所有文字、图、表均为黑色；</w:t>
            </w:r>
          </w:p>
          <w:p>
            <w:pPr>
              <w:spacing w:line="320" w:lineRule="exact"/>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、字体要求：标题及正文部分所用文字均采用“宋体”四号“常规”字；所有字体均不得出现加粗、加色、倾斜、下划线等标记；</w:t>
            </w:r>
          </w:p>
          <w:p>
            <w:pPr>
              <w:spacing w:line="320" w:lineRule="exact"/>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排版要求：页边距要求上边距2.5厘米，其余均为2厘米；不得设置封面、目录；正文行间距为固定值30磅；文字内容（含正文标题、正文）统一设为左对齐，首行缩进2字符，段落前后不设置空行；不得设置页眉、页脚和页码；</w:t>
            </w:r>
          </w:p>
          <w:p>
            <w:pPr>
              <w:spacing w:line="320" w:lineRule="exact"/>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pPr>
              <w:spacing w:line="320" w:lineRule="exact"/>
              <w:rPr>
                <w:rFonts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、其它：除满足上述各项要求外，构成投标文件的“技术暗标”的正文中均不得出现供应商的名称和其它可识别供应商身份的字符、徽标、人员名称以及其他可能被辨别出供应商身份的任何标记。</w:t>
            </w:r>
          </w:p>
        </w:tc>
        <w:tc>
          <w:tcPr>
            <w:tcW w:w="1016" w:type="dxa"/>
            <w:vAlign w:val="center"/>
          </w:tcPr>
          <w:p>
            <w:pPr>
              <w:spacing w:line="320" w:lineRule="exact"/>
              <w:jc w:val="center"/>
              <w:rPr>
                <w:rFonts w:ascii="宋体" w:hAnsi="宋体" w:eastAsia="宋体" w:cs="宋体"/>
                <w:b/>
                <w:bCs/>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9" w:hRule="atLeast"/>
          <w:jc w:val="center"/>
        </w:trPr>
        <w:tc>
          <w:tcPr>
            <w:tcW w:w="798" w:type="dxa"/>
            <w:shd w:val="clear" w:color="auto" w:fill="auto"/>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1511" w:type="dxa"/>
            <w:shd w:val="clear" w:color="auto" w:fill="auto"/>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投标保证金</w:t>
            </w:r>
          </w:p>
        </w:tc>
        <w:tc>
          <w:tcPr>
            <w:tcW w:w="6811" w:type="dxa"/>
            <w:shd w:val="clear" w:color="auto" w:fill="auto"/>
            <w:vAlign w:val="center"/>
          </w:tcPr>
          <w:p>
            <w:pPr>
              <w:spacing w:line="320" w:lineRule="exact"/>
              <w:rPr>
                <w:rFonts w:ascii="宋体" w:hAnsi="宋体" w:eastAsia="宋体" w:cs="宋体"/>
                <w:color w:val="auto"/>
                <w:szCs w:val="21"/>
              </w:rPr>
            </w:pPr>
            <w:r>
              <w:rPr>
                <w:rFonts w:hint="eastAsia" w:ascii="宋体" w:hAnsi="宋体" w:eastAsia="宋体" w:cs="宋体"/>
                <w:color w:val="auto"/>
                <w:szCs w:val="21"/>
              </w:rPr>
              <w:t>依据长财采购</w:t>
            </w:r>
            <w:r>
              <w:rPr>
                <w:rFonts w:hint="eastAsia" w:ascii="宋体" w:hAnsi="宋体" w:eastAsia="宋体" w:cs="宋体"/>
                <w:color w:val="auto"/>
                <w:szCs w:val="21"/>
                <w:lang w:eastAsia="zh-CN"/>
              </w:rPr>
              <w:t>〔2021〕695号</w:t>
            </w:r>
            <w:r>
              <w:rPr>
                <w:rFonts w:hint="eastAsia" w:ascii="宋体" w:hAnsi="宋体" w:eastAsia="宋体" w:cs="宋体"/>
                <w:color w:val="auto"/>
                <w:szCs w:val="21"/>
              </w:rPr>
              <w:t>文件规定，对于诚信良好的投标人可免收投标保证金</w:t>
            </w:r>
            <w:r>
              <w:rPr>
                <w:rFonts w:hint="eastAsia" w:ascii="宋体" w:hAnsi="宋体" w:eastAsia="宋体" w:cs="宋体"/>
                <w:color w:val="auto"/>
                <w:szCs w:val="21"/>
                <w:lang w:eastAsia="zh-CN"/>
              </w:rPr>
              <w:t>，并</w:t>
            </w:r>
            <w:r>
              <w:rPr>
                <w:rFonts w:hint="eastAsia" w:ascii="宋体" w:hAnsi="宋体" w:eastAsia="宋体" w:cs="宋体"/>
                <w:color w:val="auto"/>
                <w:szCs w:val="21"/>
              </w:rPr>
              <w:t>提供网站截图；但对于满足《中华人民共和国政府采购法》第二十二条有关规定，经“信用中国”网站查询存在行政处罚信息的投标人，须按规定提交投标保证金，并提供缴纳证明。</w:t>
            </w:r>
          </w:p>
        </w:tc>
        <w:tc>
          <w:tcPr>
            <w:tcW w:w="1016" w:type="dxa"/>
            <w:vAlign w:val="center"/>
          </w:tcPr>
          <w:p>
            <w:pPr>
              <w:spacing w:line="320" w:lineRule="exact"/>
              <w:jc w:val="center"/>
              <w:rPr>
                <w:rFonts w:ascii="宋体" w:hAnsi="宋体" w:eastAsia="宋体" w:cs="宋体"/>
                <w:b/>
                <w:bCs/>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jc w:val="center"/>
        </w:trPr>
        <w:tc>
          <w:tcPr>
            <w:tcW w:w="798" w:type="dxa"/>
            <w:shd w:val="clear" w:color="auto" w:fill="auto"/>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1511" w:type="dxa"/>
            <w:vAlign w:val="center"/>
          </w:tcPr>
          <w:p>
            <w:pPr>
              <w:spacing w:line="32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法人授权委托书</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p>
        </w:tc>
        <w:tc>
          <w:tcPr>
            <w:tcW w:w="6811" w:type="dxa"/>
            <w:vAlign w:val="center"/>
          </w:tcPr>
          <w:p>
            <w:pPr>
              <w:spacing w:line="320" w:lineRule="exact"/>
              <w:rPr>
                <w:rFonts w:ascii="宋体" w:hAnsi="宋体" w:eastAsia="宋体" w:cs="宋体"/>
                <w:color w:val="auto"/>
                <w:szCs w:val="21"/>
              </w:rPr>
            </w:pPr>
            <w:r>
              <w:rPr>
                <w:rFonts w:hint="eastAsia" w:ascii="宋体" w:hAnsi="宋体" w:eastAsia="宋体" w:cs="宋体"/>
                <w:color w:val="auto"/>
                <w:szCs w:val="21"/>
              </w:rPr>
              <w:t>由法定代表人及委托代理人签字并加盖公章，响应文件附扫描件加盖公章。</w:t>
            </w:r>
          </w:p>
        </w:tc>
        <w:tc>
          <w:tcPr>
            <w:tcW w:w="1016" w:type="dxa"/>
            <w:vAlign w:val="center"/>
          </w:tcPr>
          <w:p>
            <w:pPr>
              <w:spacing w:line="320" w:lineRule="exact"/>
              <w:rPr>
                <w:rFonts w:ascii="宋体" w:hAnsi="宋体" w:eastAsia="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jc w:val="center"/>
        </w:trPr>
        <w:tc>
          <w:tcPr>
            <w:tcW w:w="798" w:type="dxa"/>
            <w:shd w:val="clear" w:color="auto" w:fill="auto"/>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1511" w:type="dxa"/>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投标文件签署盖章</w:t>
            </w:r>
          </w:p>
        </w:tc>
        <w:tc>
          <w:tcPr>
            <w:tcW w:w="6811" w:type="dxa"/>
            <w:vAlign w:val="center"/>
          </w:tcPr>
          <w:p>
            <w:pPr>
              <w:spacing w:line="320" w:lineRule="exact"/>
              <w:rPr>
                <w:rFonts w:ascii="宋体" w:hAnsi="宋体" w:eastAsia="宋体" w:cs="宋体"/>
                <w:color w:val="auto"/>
                <w:szCs w:val="21"/>
              </w:rPr>
            </w:pPr>
            <w:r>
              <w:rPr>
                <w:rFonts w:hint="eastAsia" w:ascii="宋体" w:hAnsi="宋体" w:eastAsia="宋体" w:cs="宋体"/>
                <w:color w:val="auto"/>
                <w:szCs w:val="21"/>
              </w:rPr>
              <w:t>按招标文件要求在规定位置加盖投标人公章和（或）有法定代表人或其授权代表签字或加盖人名章的。</w:t>
            </w:r>
          </w:p>
        </w:tc>
        <w:tc>
          <w:tcPr>
            <w:tcW w:w="1016" w:type="dxa"/>
            <w:vAlign w:val="center"/>
          </w:tcPr>
          <w:p>
            <w:pPr>
              <w:spacing w:line="320" w:lineRule="exact"/>
              <w:rPr>
                <w:rFonts w:ascii="宋体" w:hAnsi="宋体" w:eastAsia="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798" w:type="dxa"/>
            <w:shd w:val="clear" w:color="auto" w:fill="auto"/>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5</w:t>
            </w:r>
          </w:p>
        </w:tc>
        <w:tc>
          <w:tcPr>
            <w:tcW w:w="1511" w:type="dxa"/>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报价</w:t>
            </w:r>
          </w:p>
        </w:tc>
        <w:tc>
          <w:tcPr>
            <w:tcW w:w="6811" w:type="dxa"/>
            <w:vAlign w:val="center"/>
          </w:tcPr>
          <w:p>
            <w:pPr>
              <w:spacing w:line="320" w:lineRule="exact"/>
              <w:rPr>
                <w:rFonts w:ascii="宋体" w:hAnsi="宋体" w:eastAsia="宋体" w:cs="宋体"/>
                <w:color w:val="auto"/>
                <w:szCs w:val="21"/>
              </w:rPr>
            </w:pPr>
            <w:r>
              <w:rPr>
                <w:rFonts w:hint="eastAsia" w:ascii="宋体" w:hAnsi="宋体" w:eastAsia="宋体" w:cs="宋体"/>
                <w:color w:val="auto"/>
                <w:szCs w:val="21"/>
              </w:rPr>
              <w:t>报价未超过预算金额（招标文件有最高限价的，报价未超过最高限价）。</w:t>
            </w:r>
          </w:p>
        </w:tc>
        <w:tc>
          <w:tcPr>
            <w:tcW w:w="1016" w:type="dxa"/>
            <w:vAlign w:val="center"/>
          </w:tcPr>
          <w:p>
            <w:pPr>
              <w:spacing w:line="320" w:lineRule="exact"/>
              <w:rPr>
                <w:rFonts w:ascii="宋体" w:hAnsi="宋体" w:eastAsia="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jc w:val="center"/>
        </w:trPr>
        <w:tc>
          <w:tcPr>
            <w:tcW w:w="798" w:type="dxa"/>
            <w:shd w:val="clear" w:color="auto" w:fill="auto"/>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6</w:t>
            </w:r>
          </w:p>
        </w:tc>
        <w:tc>
          <w:tcPr>
            <w:tcW w:w="1511" w:type="dxa"/>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合同履行期限</w:t>
            </w:r>
          </w:p>
        </w:tc>
        <w:tc>
          <w:tcPr>
            <w:tcW w:w="6811" w:type="dxa"/>
            <w:vAlign w:val="center"/>
          </w:tcPr>
          <w:p>
            <w:pPr>
              <w:spacing w:line="320" w:lineRule="exact"/>
              <w:rPr>
                <w:rFonts w:ascii="宋体" w:hAnsi="宋体" w:eastAsia="宋体" w:cs="宋体"/>
                <w:color w:val="auto"/>
                <w:szCs w:val="21"/>
              </w:rPr>
            </w:pPr>
            <w:r>
              <w:rPr>
                <w:rFonts w:hint="eastAsia" w:ascii="宋体" w:hAnsi="宋体" w:eastAsia="宋体" w:cs="宋体"/>
                <w:color w:val="auto"/>
                <w:szCs w:val="21"/>
              </w:rPr>
              <w:t>满足招标文件要求。</w:t>
            </w:r>
          </w:p>
        </w:tc>
        <w:tc>
          <w:tcPr>
            <w:tcW w:w="1016" w:type="dxa"/>
            <w:vAlign w:val="center"/>
          </w:tcPr>
          <w:p>
            <w:pPr>
              <w:spacing w:line="320" w:lineRule="exact"/>
              <w:rPr>
                <w:rFonts w:ascii="宋体" w:hAnsi="宋体" w:eastAsia="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798" w:type="dxa"/>
            <w:shd w:val="clear" w:color="auto" w:fill="auto"/>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7</w:t>
            </w:r>
          </w:p>
        </w:tc>
        <w:tc>
          <w:tcPr>
            <w:tcW w:w="1511" w:type="dxa"/>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投标有效期</w:t>
            </w:r>
          </w:p>
        </w:tc>
        <w:tc>
          <w:tcPr>
            <w:tcW w:w="6811" w:type="dxa"/>
            <w:vAlign w:val="center"/>
          </w:tcPr>
          <w:p>
            <w:pPr>
              <w:spacing w:line="320" w:lineRule="exact"/>
              <w:rPr>
                <w:rFonts w:ascii="宋体" w:hAnsi="宋体" w:eastAsia="宋体" w:cs="宋体"/>
                <w:color w:val="auto"/>
                <w:szCs w:val="21"/>
              </w:rPr>
            </w:pPr>
            <w:r>
              <w:rPr>
                <w:rFonts w:hint="eastAsia" w:ascii="宋体" w:hAnsi="宋体" w:eastAsia="宋体" w:cs="宋体"/>
                <w:color w:val="auto"/>
                <w:szCs w:val="21"/>
              </w:rPr>
              <w:t>投标有效期满足招标文件要求。</w:t>
            </w:r>
          </w:p>
        </w:tc>
        <w:tc>
          <w:tcPr>
            <w:tcW w:w="1016" w:type="dxa"/>
            <w:vAlign w:val="center"/>
          </w:tcPr>
          <w:p>
            <w:pPr>
              <w:spacing w:line="320" w:lineRule="exact"/>
              <w:rPr>
                <w:rFonts w:ascii="宋体" w:hAnsi="宋体" w:eastAsia="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798" w:type="dxa"/>
            <w:shd w:val="clear" w:color="auto" w:fill="auto"/>
            <w:vAlign w:val="center"/>
          </w:tcPr>
          <w:p>
            <w:pPr>
              <w:spacing w:line="3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1511" w:type="dxa"/>
            <w:vAlign w:val="center"/>
          </w:tcPr>
          <w:p>
            <w:pPr>
              <w:spacing w:line="3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技术要求</w:t>
            </w:r>
          </w:p>
        </w:tc>
        <w:tc>
          <w:tcPr>
            <w:tcW w:w="6811" w:type="dxa"/>
            <w:vAlign w:val="center"/>
          </w:tcPr>
          <w:p>
            <w:pPr>
              <w:spacing w:line="320" w:lineRule="exact"/>
              <w:rPr>
                <w:rFonts w:ascii="宋体" w:hAnsi="宋体" w:eastAsia="宋体" w:cs="宋体"/>
                <w:color w:val="auto"/>
                <w:szCs w:val="21"/>
                <w:highlight w:val="none"/>
              </w:rPr>
            </w:pPr>
            <w:r>
              <w:rPr>
                <w:rFonts w:hint="eastAsia" w:asciiTheme="minorEastAsia" w:hAnsiTheme="minorEastAsia" w:eastAsiaTheme="minorEastAsia" w:cstheme="minorEastAsia"/>
                <w:color w:val="auto"/>
                <w:szCs w:val="21"/>
                <w:highlight w:val="none"/>
                <w:lang w:val="zh-CN"/>
              </w:rPr>
              <w:t>符合</w:t>
            </w:r>
            <w:r>
              <w:rPr>
                <w:rFonts w:hint="eastAsia" w:asciiTheme="minorEastAsia" w:hAnsiTheme="minorEastAsia" w:eastAsiaTheme="minorEastAsia" w:cstheme="minorEastAsia"/>
                <w:color w:val="auto"/>
                <w:szCs w:val="21"/>
                <w:highlight w:val="none"/>
                <w:lang w:val="en-US" w:eastAsia="zh-CN"/>
              </w:rPr>
              <w:t>招标文件</w:t>
            </w:r>
            <w:r>
              <w:rPr>
                <w:rFonts w:hint="eastAsia" w:asciiTheme="minorEastAsia" w:hAnsiTheme="minorEastAsia" w:eastAsiaTheme="minorEastAsia" w:cstheme="minorEastAsia"/>
                <w:color w:val="auto"/>
                <w:szCs w:val="21"/>
                <w:highlight w:val="none"/>
                <w:lang w:val="zh-CN"/>
              </w:rPr>
              <w:t>采购</w:t>
            </w:r>
            <w:r>
              <w:rPr>
                <w:rFonts w:hint="eastAsia" w:asciiTheme="minorEastAsia" w:hAnsiTheme="minorEastAsia" w:eastAsiaTheme="minorEastAsia" w:cstheme="minorEastAsia"/>
                <w:color w:val="auto"/>
                <w:szCs w:val="21"/>
                <w:highlight w:val="none"/>
                <w:lang w:val="en-US" w:eastAsia="zh-CN"/>
              </w:rPr>
              <w:t>需求的要求</w:t>
            </w:r>
            <w:r>
              <w:rPr>
                <w:rFonts w:hint="eastAsia" w:asciiTheme="minorEastAsia" w:hAnsiTheme="minorEastAsia" w:eastAsiaTheme="minorEastAsia" w:cstheme="minorEastAsia"/>
                <w:color w:val="auto"/>
                <w:szCs w:val="21"/>
                <w:highlight w:val="none"/>
                <w:lang w:val="zh-CN"/>
              </w:rPr>
              <w:t>。</w:t>
            </w:r>
          </w:p>
        </w:tc>
        <w:tc>
          <w:tcPr>
            <w:tcW w:w="1016" w:type="dxa"/>
            <w:vAlign w:val="center"/>
          </w:tcPr>
          <w:p>
            <w:pPr>
              <w:spacing w:line="320" w:lineRule="exact"/>
              <w:rPr>
                <w:rFonts w:ascii="宋体" w:hAnsi="宋体" w:eastAsia="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jc w:val="center"/>
        </w:trPr>
        <w:tc>
          <w:tcPr>
            <w:tcW w:w="798" w:type="dxa"/>
            <w:vAlign w:val="center"/>
          </w:tcPr>
          <w:p>
            <w:pPr>
              <w:spacing w:line="3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11" w:type="dxa"/>
            <w:vAlign w:val="center"/>
          </w:tcPr>
          <w:p>
            <w:pPr>
              <w:spacing w:line="320" w:lineRule="exact"/>
              <w:jc w:val="center"/>
              <w:rPr>
                <w:rFonts w:ascii="宋体" w:hAnsi="宋体" w:eastAsia="宋体" w:cs="宋体"/>
                <w:color w:val="auto"/>
                <w:szCs w:val="21"/>
              </w:rPr>
            </w:pPr>
            <w:r>
              <w:rPr>
                <w:rFonts w:hint="eastAsia" w:ascii="宋体" w:hAnsi="宋体" w:eastAsia="宋体" w:cs="宋体"/>
                <w:color w:val="auto"/>
                <w:szCs w:val="21"/>
              </w:rPr>
              <w:t>其他无效情形</w:t>
            </w:r>
          </w:p>
        </w:tc>
        <w:tc>
          <w:tcPr>
            <w:tcW w:w="6811" w:type="dxa"/>
            <w:vAlign w:val="center"/>
          </w:tcPr>
          <w:p>
            <w:pPr>
              <w:spacing w:line="320" w:lineRule="exact"/>
              <w:rPr>
                <w:rFonts w:ascii="宋体" w:hAnsi="宋体" w:eastAsia="宋体" w:cs="宋体"/>
                <w:color w:val="auto"/>
                <w:szCs w:val="21"/>
              </w:rPr>
            </w:pPr>
            <w:r>
              <w:rPr>
                <w:rFonts w:hint="eastAsia" w:ascii="宋体" w:hAnsi="宋体" w:eastAsia="宋体" w:cs="宋体"/>
                <w:color w:val="auto"/>
                <w:szCs w:val="21"/>
                <w:lang w:eastAsia="zh-CN"/>
              </w:rPr>
              <w:t>法律法规</w:t>
            </w:r>
            <w:r>
              <w:rPr>
                <w:rFonts w:hint="eastAsia" w:ascii="宋体" w:hAnsi="宋体" w:eastAsia="宋体" w:cs="宋体"/>
                <w:color w:val="auto"/>
                <w:szCs w:val="21"/>
              </w:rPr>
              <w:t>和招标文件规定的其他无效情形。</w:t>
            </w:r>
          </w:p>
        </w:tc>
        <w:tc>
          <w:tcPr>
            <w:tcW w:w="1016" w:type="dxa"/>
            <w:vAlign w:val="center"/>
          </w:tcPr>
          <w:p>
            <w:pPr>
              <w:spacing w:line="320" w:lineRule="exact"/>
              <w:rPr>
                <w:rFonts w:ascii="宋体" w:hAnsi="宋体" w:eastAsia="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jc w:val="center"/>
        </w:trPr>
        <w:tc>
          <w:tcPr>
            <w:tcW w:w="2309" w:type="dxa"/>
            <w:gridSpan w:val="2"/>
            <w:vAlign w:val="center"/>
          </w:tcPr>
          <w:p>
            <w:pPr>
              <w:spacing w:line="320" w:lineRule="exact"/>
              <w:rPr>
                <w:rFonts w:ascii="宋体" w:hAnsi="宋体" w:eastAsia="宋体" w:cs="宋体"/>
                <w:color w:val="auto"/>
                <w:szCs w:val="21"/>
              </w:rPr>
            </w:pPr>
            <w:r>
              <w:rPr>
                <w:rFonts w:hint="eastAsia" w:ascii="宋体" w:hAnsi="宋体" w:eastAsia="宋体" w:cs="宋体"/>
                <w:color w:val="auto"/>
                <w:szCs w:val="21"/>
              </w:rPr>
              <w:t>评审结论（合格/不合格）</w:t>
            </w:r>
          </w:p>
        </w:tc>
        <w:tc>
          <w:tcPr>
            <w:tcW w:w="7827" w:type="dxa"/>
            <w:gridSpan w:val="2"/>
            <w:vAlign w:val="center"/>
          </w:tcPr>
          <w:p>
            <w:pPr>
              <w:spacing w:line="320" w:lineRule="exact"/>
              <w:rPr>
                <w:rFonts w:ascii="宋体" w:hAnsi="宋体" w:eastAsia="宋体" w:cs="宋体"/>
                <w:color w:val="auto"/>
                <w:szCs w:val="21"/>
              </w:rPr>
            </w:pPr>
          </w:p>
        </w:tc>
      </w:tr>
    </w:tbl>
    <w:p>
      <w:pPr>
        <w:widowControl/>
        <w:autoSpaceDN w:val="0"/>
        <w:ind w:firstLine="420" w:firstLineChars="200"/>
        <w:jc w:val="left"/>
        <w:rPr>
          <w:rFonts w:ascii="宋体" w:hAnsi="宋体" w:eastAsia="宋体" w:cs="宋体"/>
          <w:color w:val="auto"/>
          <w:szCs w:val="21"/>
          <w:lang w:val="zh-CN"/>
        </w:rPr>
      </w:pPr>
      <w:r>
        <w:rPr>
          <w:rFonts w:hint="eastAsia" w:ascii="宋体" w:hAnsi="宋体" w:eastAsia="宋体" w:cs="宋体"/>
          <w:color w:val="auto"/>
          <w:kern w:val="0"/>
          <w:szCs w:val="21"/>
          <w:lang w:val="zh-CN"/>
        </w:rPr>
        <w:t>注：</w:t>
      </w:r>
    </w:p>
    <w:p>
      <w:pPr>
        <w:widowControl/>
        <w:autoSpaceDN w:val="0"/>
        <w:ind w:firstLine="420" w:firstLineChars="200"/>
        <w:jc w:val="left"/>
        <w:rPr>
          <w:rFonts w:ascii="宋体" w:hAnsi="宋体" w:eastAsia="宋体" w:cs="宋体"/>
          <w:color w:val="auto"/>
          <w:szCs w:val="21"/>
          <w:lang w:val="zh-CN"/>
        </w:rPr>
      </w:pPr>
      <w:r>
        <w:rPr>
          <w:rFonts w:hint="eastAsia" w:ascii="宋体" w:hAnsi="宋体" w:eastAsia="宋体" w:cs="宋体"/>
          <w:color w:val="auto"/>
          <w:kern w:val="0"/>
          <w:szCs w:val="21"/>
          <w:lang w:val="zh-CN"/>
        </w:rPr>
        <w:t>（1）投标人或其投标文件不符合上述情况之一的，则符合性审查不合格，不进入详细评审；</w:t>
      </w:r>
    </w:p>
    <w:p>
      <w:pPr>
        <w:widowControl/>
        <w:autoSpaceDN w:val="0"/>
        <w:ind w:firstLine="420" w:firstLineChars="200"/>
        <w:jc w:val="left"/>
        <w:rPr>
          <w:rFonts w:ascii="宋体" w:hAnsi="宋体" w:eastAsia="宋体" w:cs="宋体"/>
          <w:color w:val="auto"/>
          <w:szCs w:val="21"/>
          <w:lang w:val="zh-CN"/>
        </w:rPr>
      </w:pPr>
      <w:r>
        <w:rPr>
          <w:rFonts w:hint="eastAsia" w:ascii="宋体" w:hAnsi="宋体" w:eastAsia="宋体" w:cs="宋体"/>
          <w:color w:val="auto"/>
          <w:kern w:val="0"/>
          <w:szCs w:val="21"/>
          <w:lang w:val="zh-CN"/>
        </w:rPr>
        <w:t>（2）符合性审查结束后，合格的投标人进入详细评审。</w:t>
      </w:r>
    </w:p>
    <w:p>
      <w:pPr>
        <w:widowControl/>
        <w:autoSpaceDN w:val="0"/>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除此之外的内容，不作为本次资格审查及</w:t>
      </w:r>
      <w:r>
        <w:rPr>
          <w:rFonts w:hint="eastAsia" w:ascii="宋体" w:hAnsi="宋体" w:eastAsia="宋体" w:cs="宋体"/>
          <w:color w:val="auto"/>
          <w:kern w:val="0"/>
          <w:szCs w:val="21"/>
          <w:lang w:val="zh-CN"/>
        </w:rPr>
        <w:t>符合性审查</w:t>
      </w:r>
      <w:r>
        <w:rPr>
          <w:rFonts w:hint="eastAsia" w:ascii="宋体" w:hAnsi="宋体" w:eastAsia="宋体" w:cs="宋体"/>
          <w:color w:val="auto"/>
          <w:kern w:val="0"/>
          <w:szCs w:val="21"/>
        </w:rPr>
        <w:t>的内容。</w:t>
      </w:r>
    </w:p>
    <w:p>
      <w:pPr>
        <w:widowControl/>
        <w:autoSpaceDN w:val="0"/>
        <w:spacing w:line="400" w:lineRule="exact"/>
        <w:jc w:val="left"/>
        <w:rPr>
          <w:rFonts w:ascii="宋体" w:hAnsi="宋体" w:eastAsia="宋体" w:cs="黑体"/>
          <w:b/>
          <w:bCs/>
          <w:color w:val="auto"/>
          <w:sz w:val="24"/>
          <w:highlight w:val="none"/>
        </w:rPr>
      </w:pPr>
      <w:r>
        <w:rPr>
          <w:rFonts w:hint="eastAsia" w:ascii="宋体" w:hAnsi="宋体" w:eastAsia="宋体" w:cs="宋体"/>
          <w:b/>
          <w:bCs/>
          <w:color w:val="auto"/>
          <w:kern w:val="0"/>
          <w:sz w:val="24"/>
          <w:highlight w:val="none"/>
        </w:rPr>
        <w:t xml:space="preserve">（三）详细评审 </w:t>
      </w:r>
    </w:p>
    <w:p>
      <w:pPr>
        <w:pStyle w:val="20"/>
        <w:tabs>
          <w:tab w:val="left" w:pos="6840"/>
        </w:tabs>
        <w:autoSpaceDN w:val="0"/>
        <w:ind w:right="-57"/>
        <w:jc w:val="center"/>
        <w:rPr>
          <w:rFonts w:hint="default" w:cs="宋体"/>
          <w:b/>
          <w:bCs/>
          <w:color w:val="auto"/>
          <w:highlight w:val="none"/>
        </w:rPr>
      </w:pPr>
      <w:r>
        <w:rPr>
          <w:rFonts w:cs="宋体"/>
          <w:b/>
          <w:bCs/>
          <w:color w:val="auto"/>
          <w:highlight w:val="none"/>
        </w:rPr>
        <w:t>详细评审表</w:t>
      </w:r>
    </w:p>
    <w:p>
      <w:pPr>
        <w:keepNext w:val="0"/>
        <w:keepLines w:val="0"/>
        <w:pageBreakBefore w:val="0"/>
        <w:widowControl/>
        <w:kinsoku/>
        <w:wordWrap/>
        <w:overflowPunct/>
        <w:topLinePunct w:val="0"/>
        <w:autoSpaceDE/>
        <w:autoSpaceDN w:val="0"/>
        <w:bidi w:val="0"/>
        <w:adjustRightInd/>
        <w:snapToGrid/>
        <w:spacing w:line="300" w:lineRule="exact"/>
        <w:jc w:val="left"/>
        <w:textAlignment w:val="auto"/>
        <w:rPr>
          <w:rFonts w:hint="eastAsia" w:ascii="宋体" w:hAnsi="宋体" w:eastAsia="宋体" w:cs="宋体"/>
          <w:b/>
          <w:bCs/>
          <w:color w:val="auto"/>
          <w:kern w:val="0"/>
          <w:sz w:val="24"/>
          <w:lang w:eastAsia="zh-CN"/>
        </w:rPr>
      </w:pPr>
    </w:p>
    <w:tbl>
      <w:tblPr>
        <w:tblStyle w:val="37"/>
        <w:tblW w:w="1041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82"/>
        <w:gridCol w:w="1794"/>
        <w:gridCol w:w="6722"/>
        <w:gridCol w:w="9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5" w:hRule="atLeast"/>
          <w:jc w:val="center"/>
        </w:trPr>
        <w:tc>
          <w:tcPr>
            <w:tcW w:w="27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pageBreakBefore w:val="0"/>
              <w:kinsoku/>
              <w:wordWrap/>
              <w:overflowPunct/>
              <w:topLinePunct w:val="0"/>
              <w:autoSpaceDN w:val="0"/>
              <w:bidi w:val="0"/>
              <w:adjustRightInd w:val="0"/>
              <w:snapToGrid w:val="0"/>
              <w:spacing w:beforeLines="15" w:line="340" w:lineRule="exact"/>
              <w:ind w:right="-56"/>
              <w:jc w:val="center"/>
              <w:textAlignment w:val="auto"/>
              <w:rPr>
                <w:rFonts w:hint="default" w:cs="宋体"/>
                <w:color w:val="auto"/>
              </w:rPr>
            </w:pPr>
            <w:r>
              <w:rPr>
                <w:rFonts w:cs="宋体"/>
                <w:color w:val="auto"/>
              </w:rPr>
              <w:t>评审内容</w:t>
            </w:r>
          </w:p>
        </w:tc>
        <w:tc>
          <w:tcPr>
            <w:tcW w:w="6722" w:type="dxa"/>
            <w:tcBorders>
              <w:top w:val="single" w:color="auto" w:sz="4" w:space="0"/>
              <w:left w:val="nil"/>
              <w:bottom w:val="single" w:color="auto" w:sz="4" w:space="0"/>
              <w:right w:val="single" w:color="auto" w:sz="4" w:space="0"/>
            </w:tcBorders>
            <w:shd w:val="clear" w:color="auto" w:fill="auto"/>
            <w:vAlign w:val="center"/>
          </w:tcPr>
          <w:p>
            <w:pPr>
              <w:pStyle w:val="20"/>
              <w:keepNext w:val="0"/>
              <w:keepLines w:val="0"/>
              <w:pageBreakBefore w:val="0"/>
              <w:kinsoku/>
              <w:wordWrap/>
              <w:overflowPunct/>
              <w:topLinePunct w:val="0"/>
              <w:autoSpaceDN w:val="0"/>
              <w:bidi w:val="0"/>
              <w:adjustRightInd w:val="0"/>
              <w:snapToGrid w:val="0"/>
              <w:spacing w:beforeLines="15" w:line="340" w:lineRule="exact"/>
              <w:ind w:right="-56"/>
              <w:jc w:val="center"/>
              <w:textAlignment w:val="auto"/>
              <w:rPr>
                <w:rFonts w:hint="default" w:cs="宋体"/>
                <w:color w:val="auto"/>
              </w:rPr>
            </w:pPr>
            <w:r>
              <w:rPr>
                <w:rFonts w:cs="宋体"/>
                <w:color w:val="auto"/>
              </w:rPr>
              <w:t>评审标准</w:t>
            </w:r>
          </w:p>
        </w:tc>
        <w:tc>
          <w:tcPr>
            <w:tcW w:w="920" w:type="dxa"/>
            <w:tcBorders>
              <w:top w:val="single" w:color="auto" w:sz="4" w:space="0"/>
              <w:left w:val="nil"/>
              <w:bottom w:val="single" w:color="auto" w:sz="4" w:space="0"/>
              <w:right w:val="single" w:color="auto" w:sz="4" w:space="0"/>
            </w:tcBorders>
            <w:shd w:val="clear" w:color="auto" w:fill="auto"/>
            <w:vAlign w:val="center"/>
          </w:tcPr>
          <w:p>
            <w:pPr>
              <w:pStyle w:val="20"/>
              <w:keepNext w:val="0"/>
              <w:keepLines w:val="0"/>
              <w:pageBreakBefore w:val="0"/>
              <w:kinsoku/>
              <w:wordWrap/>
              <w:overflowPunct/>
              <w:topLinePunct w:val="0"/>
              <w:autoSpaceDN w:val="0"/>
              <w:bidi w:val="0"/>
              <w:adjustRightInd w:val="0"/>
              <w:snapToGrid w:val="0"/>
              <w:spacing w:beforeLines="15" w:line="340" w:lineRule="exact"/>
              <w:ind w:right="-56"/>
              <w:jc w:val="center"/>
              <w:textAlignment w:val="auto"/>
              <w:rPr>
                <w:rFonts w:hint="default" w:cs="宋体"/>
                <w:color w:val="auto"/>
              </w:rPr>
            </w:pPr>
            <w:r>
              <w:rPr>
                <w:rFonts w:cs="宋体"/>
                <w:color w:val="auto"/>
              </w:rPr>
              <w:t>分值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262" w:hRule="atLeast"/>
          <w:jc w:val="center"/>
        </w:trPr>
        <w:tc>
          <w:tcPr>
            <w:tcW w:w="27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auto"/>
              <w:rPr>
                <w:rFonts w:ascii="宋体" w:hAnsi="宋体" w:eastAsia="宋体" w:cs="宋体"/>
                <w:color w:val="auto"/>
                <w:szCs w:val="21"/>
                <w:highlight w:val="none"/>
              </w:rPr>
            </w:pPr>
            <w:r>
              <w:rPr>
                <w:rFonts w:hint="eastAsia" w:ascii="宋体" w:hAnsi="宋体" w:eastAsia="宋体" w:cs="宋体"/>
                <w:bCs/>
                <w:color w:val="auto"/>
                <w:kern w:val="0"/>
                <w:szCs w:val="21"/>
                <w:highlight w:val="none"/>
                <w:lang w:val="zh-CN"/>
              </w:rPr>
              <w:t>投标报价</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spacing w:line="40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取通过初步评审合格的有效投标报价最低价为评标基准价，其价格分为满分</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0分。其他投标人价格分按下列公式计算：投标报价得分=（评标基准价/投标报价）*</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0分。</w:t>
            </w:r>
          </w:p>
          <w:p>
            <w:pPr>
              <w:keepNext w:val="0"/>
              <w:keepLines w:val="0"/>
              <w:pageBreakBefore w:val="0"/>
              <w:widowControl/>
              <w:kinsoku/>
              <w:wordWrap/>
              <w:overflowPunct/>
              <w:topLinePunct w:val="0"/>
              <w:autoSpaceDN w:val="0"/>
              <w:bidi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注：根据</w:t>
            </w:r>
            <w:r>
              <w:rPr>
                <w:rFonts w:hint="eastAsia" w:ascii="宋体" w:hAnsi="宋体" w:eastAsia="宋体" w:cs="宋体"/>
                <w:color w:val="auto"/>
                <w:kern w:val="0"/>
                <w:szCs w:val="21"/>
                <w:highlight w:val="none"/>
              </w:rPr>
              <w:t>财库〔2026〕2号</w:t>
            </w:r>
            <w:r>
              <w:rPr>
                <w:rFonts w:hint="eastAsia" w:ascii="宋体" w:hAnsi="宋体" w:eastAsia="宋体" w:cs="宋体"/>
                <w:color w:val="auto"/>
                <w:kern w:val="0"/>
                <w:szCs w:val="21"/>
                <w:highlight w:val="none"/>
                <w:lang w:val="en-US" w:eastAsia="zh-CN"/>
              </w:rPr>
              <w:t>文件，政府采购评审中出现下列情形之一的，评审委员会应当启动异常低价投标（响应）审查程序：</w:t>
            </w:r>
          </w:p>
          <w:p>
            <w:pPr>
              <w:keepNext w:val="0"/>
              <w:keepLines w:val="0"/>
              <w:pageBreakBefore w:val="0"/>
              <w:widowControl/>
              <w:kinsoku/>
              <w:wordWrap/>
              <w:overflowPunct/>
              <w:topLinePunct w:val="0"/>
              <w:autoSpaceDN w:val="0"/>
              <w:bidi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1.投标（响应）报价低于全部通过符合性审查供应商投标（响应）报价平均值50%的，即投标（响应）报价&lt;全部通过符合性审查供应商投标（响应）报价平均值×50%；</w:t>
            </w:r>
          </w:p>
          <w:p>
            <w:pPr>
              <w:keepNext w:val="0"/>
              <w:keepLines w:val="0"/>
              <w:pageBreakBefore w:val="0"/>
              <w:widowControl/>
              <w:kinsoku/>
              <w:wordWrap/>
              <w:overflowPunct/>
              <w:topLinePunct w:val="0"/>
              <w:autoSpaceDN w:val="0"/>
              <w:bidi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2.投标（响应）报价低于通过符合性审查的次低报价供应商投标（响应）报价50%的，即投标（响应）报价&lt;通过符合性审查的次低报价供应商投标（响应）报价×50%；</w:t>
            </w:r>
          </w:p>
          <w:p>
            <w:pPr>
              <w:keepNext w:val="0"/>
              <w:keepLines w:val="0"/>
              <w:pageBreakBefore w:val="0"/>
              <w:widowControl/>
              <w:kinsoku/>
              <w:wordWrap/>
              <w:overflowPunct/>
              <w:topLinePunct w:val="0"/>
              <w:autoSpaceDN w:val="0"/>
              <w:bidi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3.投标（响应）报价低于采购项目最高限价45%的，即投标（响应）报价&lt;采购项目最高限价×45%；</w:t>
            </w:r>
          </w:p>
          <w:p>
            <w:pPr>
              <w:keepNext w:val="0"/>
              <w:keepLines w:val="0"/>
              <w:pageBreakBefore w:val="0"/>
              <w:widowControl/>
              <w:kinsoku/>
              <w:wordWrap/>
              <w:overflowPunct/>
              <w:topLinePunct w:val="0"/>
              <w:autoSpaceDN w:val="0"/>
              <w:bidi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4.评审委员会基于专业判断，认为供应商报价过低，有可能影响产品质量或者不能诚信履约的其他情形。</w:t>
            </w:r>
          </w:p>
          <w:p>
            <w:pPr>
              <w:keepNext w:val="0"/>
              <w:keepLines w:val="0"/>
              <w:pageBreakBefore w:val="0"/>
              <w:widowControl/>
              <w:kinsoku/>
              <w:wordWrap/>
              <w:overflowPunct/>
              <w:topLinePunct w:val="0"/>
              <w:autoSpaceDN w:val="0"/>
              <w:bidi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kinsoku/>
              <w:wordWrap/>
              <w:overflowPunct/>
              <w:topLinePunct w:val="0"/>
              <w:autoSpaceDN w:val="0"/>
              <w:bidi w:val="0"/>
              <w:spacing w:line="40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pacing w:line="340" w:lineRule="exact"/>
              <w:jc w:val="center"/>
              <w:textAlignment w:val="auto"/>
              <w:rPr>
                <w:rFonts w:ascii="宋体" w:hAnsi="宋体" w:eastAsia="宋体" w:cs="宋体"/>
                <w:color w:val="auto"/>
                <w:kern w:val="0"/>
                <w:szCs w:val="21"/>
              </w:rPr>
            </w:pP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334" w:hRule="atLeast"/>
          <w:jc w:val="center"/>
        </w:trPr>
        <w:tc>
          <w:tcPr>
            <w:tcW w:w="982"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line="340" w:lineRule="exact"/>
              <w:jc w:val="center"/>
              <w:textAlignment w:val="auto"/>
              <w:rPr>
                <w:rFonts w:ascii="宋体" w:hAnsi="宋体" w:eastAsia="宋体" w:cs="宋体"/>
                <w:color w:val="auto"/>
                <w:szCs w:val="21"/>
              </w:rPr>
            </w:pPr>
            <w:r>
              <w:rPr>
                <w:rFonts w:hint="eastAsia" w:ascii="宋体" w:hAnsi="宋体" w:eastAsia="宋体" w:cs="宋体"/>
                <w:color w:val="auto"/>
                <w:kern w:val="0"/>
                <w:szCs w:val="21"/>
              </w:rPr>
              <w:t>商务部分</w:t>
            </w: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训练指导类</w:t>
            </w:r>
          </w:p>
          <w:p>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sz w:val="20"/>
                <w:szCs w:val="20"/>
                <w:lang w:val="en-US" w:eastAsia="zh-CN"/>
              </w:rPr>
            </w:pPr>
            <w:r>
              <w:rPr>
                <w:rFonts w:hint="eastAsia" w:ascii="宋体" w:hAnsi="宋体" w:cs="宋体"/>
                <w:color w:val="auto"/>
                <w:kern w:val="0"/>
                <w:szCs w:val="21"/>
                <w:lang w:val="en-US" w:eastAsia="zh-CN"/>
              </w:rPr>
              <w:t>人员配置</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40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团队中具</w:t>
            </w:r>
            <w:r>
              <w:rPr>
                <w:rFonts w:hint="eastAsia" w:ascii="宋体" w:hAnsi="宋体" w:eastAsia="宋体" w:cs="宋体"/>
                <w:color w:val="auto"/>
                <w:kern w:val="0"/>
                <w:szCs w:val="21"/>
              </w:rPr>
              <w:t>有教练员</w:t>
            </w:r>
            <w:r>
              <w:rPr>
                <w:rFonts w:hint="eastAsia" w:ascii="宋体" w:hAnsi="宋体" w:cs="宋体"/>
                <w:color w:val="auto"/>
                <w:kern w:val="0"/>
                <w:szCs w:val="21"/>
                <w:lang w:val="en-US" w:eastAsia="zh-CN"/>
              </w:rPr>
              <w:t>资格证书且</w:t>
            </w:r>
            <w:r>
              <w:rPr>
                <w:rFonts w:hint="eastAsia" w:ascii="宋体" w:hAnsi="宋体" w:eastAsia="宋体" w:cs="宋体"/>
                <w:color w:val="auto"/>
                <w:kern w:val="0"/>
                <w:szCs w:val="21"/>
              </w:rPr>
              <w:t>具备2年及以上同项目专业训练、赛事指导经验的</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每提供1人得4分，最高16分；</w:t>
            </w:r>
          </w:p>
          <w:p>
            <w:pPr>
              <w:keepNext w:val="0"/>
              <w:keepLines w:val="0"/>
              <w:pageBreakBefore w:val="0"/>
              <w:widowControl/>
              <w:kinsoku/>
              <w:wordWrap/>
              <w:overflowPunct/>
              <w:topLinePunct w:val="0"/>
              <w:autoSpaceDE/>
              <w:bidi w:val="0"/>
              <w:adjustRightInd/>
              <w:snapToGrid/>
              <w:spacing w:line="40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提供身份证、资格证及劳动合同。</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beforeLines="15" w:line="34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16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59" w:hRule="atLeast"/>
          <w:jc w:val="center"/>
        </w:trPr>
        <w:tc>
          <w:tcPr>
            <w:tcW w:w="98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line="340" w:lineRule="exact"/>
              <w:jc w:val="center"/>
              <w:textAlignment w:val="auto"/>
              <w:rPr>
                <w:rFonts w:hint="eastAsia" w:ascii="宋体" w:hAnsi="宋体" w:eastAsia="宋体" w:cs="宋体"/>
                <w:color w:val="auto"/>
                <w:kern w:val="0"/>
                <w:szCs w:val="21"/>
              </w:rPr>
            </w:pP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医疗保障类</w:t>
            </w:r>
          </w:p>
          <w:p>
            <w:pPr>
              <w:keepNext w:val="0"/>
              <w:keepLines w:val="0"/>
              <w:pageBreakBefore w:val="0"/>
              <w:widowControl/>
              <w:kinsoku/>
              <w:wordWrap/>
              <w:overflowPunct/>
              <w:topLinePunct w:val="0"/>
              <w:bidi w:val="0"/>
              <w:spacing w:line="340" w:lineRule="exact"/>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人员配置</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40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团队中具有康复医学治疗师执业证书的，每提供1人得4分，最高8分。</w:t>
            </w:r>
          </w:p>
          <w:p>
            <w:pPr>
              <w:keepNext w:val="0"/>
              <w:keepLines w:val="0"/>
              <w:pageBreakBefore w:val="0"/>
              <w:widowControl/>
              <w:kinsoku/>
              <w:wordWrap/>
              <w:overflowPunct/>
              <w:topLinePunct w:val="0"/>
              <w:autoSpaceDE/>
              <w:bidi w:val="0"/>
              <w:adjustRightInd/>
              <w:snapToGrid/>
              <w:spacing w:line="400" w:lineRule="exact"/>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提供身份证、执业资格证及劳动合同。</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beforeLines="15" w:line="34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59" w:hRule="atLeast"/>
          <w:jc w:val="center"/>
        </w:trPr>
        <w:tc>
          <w:tcPr>
            <w:tcW w:w="98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line="340" w:lineRule="exact"/>
              <w:jc w:val="center"/>
              <w:textAlignment w:val="auto"/>
              <w:rPr>
                <w:rFonts w:hint="eastAsia" w:ascii="宋体" w:hAnsi="宋体" w:eastAsia="宋体" w:cs="宋体"/>
                <w:color w:val="auto"/>
                <w:kern w:val="0"/>
                <w:szCs w:val="21"/>
              </w:rPr>
            </w:pP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保障团队</w:t>
            </w:r>
          </w:p>
          <w:p>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人员配置</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400" w:lineRule="exact"/>
              <w:jc w:val="left"/>
              <w:textAlignment w:val="auto"/>
              <w:rPr>
                <w:rFonts w:hint="default" w:ascii="宋体" w:hAnsi="宋体" w:cs="宋体"/>
                <w:color w:val="auto"/>
                <w:kern w:val="0"/>
                <w:szCs w:val="21"/>
                <w:lang w:val="en-US" w:eastAsia="zh-CN"/>
              </w:rPr>
            </w:pPr>
            <w:r>
              <w:rPr>
                <w:rFonts w:hint="default" w:ascii="宋体" w:hAnsi="宋体" w:cs="宋体"/>
                <w:color w:val="auto"/>
                <w:kern w:val="0"/>
                <w:szCs w:val="21"/>
                <w:lang w:val="en-US" w:eastAsia="zh-CN"/>
              </w:rPr>
              <w:t>1.配备专职项目负责人统筹整体服务工作，得2分；</w:t>
            </w:r>
          </w:p>
          <w:p>
            <w:pPr>
              <w:keepNext w:val="0"/>
              <w:keepLines w:val="0"/>
              <w:pageBreakBefore w:val="0"/>
              <w:widowControl/>
              <w:kinsoku/>
              <w:wordWrap/>
              <w:overflowPunct/>
              <w:topLinePunct w:val="0"/>
              <w:autoSpaceDE/>
              <w:bidi w:val="0"/>
              <w:adjustRightInd/>
              <w:snapToGrid/>
              <w:spacing w:line="400" w:lineRule="exact"/>
              <w:jc w:val="left"/>
              <w:textAlignment w:val="auto"/>
              <w:rPr>
                <w:rFonts w:hint="default" w:ascii="宋体" w:hAnsi="宋体" w:cs="宋体"/>
                <w:color w:val="auto"/>
                <w:kern w:val="0"/>
                <w:szCs w:val="21"/>
                <w:lang w:val="en-US" w:eastAsia="zh-CN"/>
              </w:rPr>
            </w:pPr>
            <w:r>
              <w:rPr>
                <w:rFonts w:hint="default" w:ascii="宋体" w:hAnsi="宋体" w:cs="宋体"/>
                <w:color w:val="auto"/>
                <w:kern w:val="0"/>
                <w:szCs w:val="21"/>
                <w:lang w:val="en-US" w:eastAsia="zh-CN"/>
              </w:rPr>
              <w:t>2.团队覆盖训练指导、医疗救治、康复理疗、后勤保障等核心岗位，岗位设置齐全，得4分</w:t>
            </w:r>
            <w:r>
              <w:rPr>
                <w:rFonts w:hint="eastAsia" w:ascii="宋体" w:hAnsi="宋体" w:cs="宋体"/>
                <w:color w:val="auto"/>
                <w:kern w:val="0"/>
                <w:szCs w:val="21"/>
                <w:lang w:val="en-US" w:eastAsia="zh-CN"/>
              </w:rPr>
              <w:t>。</w:t>
            </w:r>
          </w:p>
          <w:p>
            <w:pPr>
              <w:keepNext w:val="0"/>
              <w:keepLines w:val="0"/>
              <w:pageBreakBefore w:val="0"/>
              <w:widowControl/>
              <w:kinsoku/>
              <w:wordWrap/>
              <w:overflowPunct/>
              <w:topLinePunct w:val="0"/>
              <w:autoSpaceDE/>
              <w:bidi w:val="0"/>
              <w:adjustRightInd/>
              <w:snapToGrid/>
              <w:spacing w:line="400" w:lineRule="exact"/>
              <w:jc w:val="left"/>
              <w:textAlignment w:val="auto"/>
              <w:rPr>
                <w:rFonts w:hint="default" w:ascii="宋体" w:hAnsi="宋体" w:cs="宋体"/>
                <w:color w:val="auto"/>
                <w:kern w:val="0"/>
                <w:szCs w:val="21"/>
                <w:lang w:val="en-US" w:eastAsia="zh-CN"/>
              </w:rPr>
            </w:pPr>
            <w:r>
              <w:rPr>
                <w:rFonts w:hint="default" w:ascii="宋体" w:hAnsi="宋体" w:cs="宋体"/>
                <w:color w:val="auto"/>
                <w:kern w:val="0"/>
                <w:szCs w:val="21"/>
                <w:lang w:val="en-US" w:eastAsia="zh-CN"/>
              </w:rPr>
              <w:t>备注：须提供人员岗位职责说明，同一人员不得跨岗位重复认定。</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beforeLines="15" w:line="34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25" w:hRule="atLeast"/>
          <w:jc w:val="center"/>
        </w:trPr>
        <w:tc>
          <w:tcPr>
            <w:tcW w:w="98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line="340" w:lineRule="exact"/>
              <w:jc w:val="center"/>
              <w:textAlignment w:val="auto"/>
              <w:rPr>
                <w:rFonts w:hint="eastAsia" w:ascii="宋体" w:hAnsi="宋体" w:eastAsia="宋体" w:cs="宋体"/>
                <w:color w:val="auto"/>
                <w:kern w:val="0"/>
                <w:szCs w:val="21"/>
              </w:rPr>
            </w:pP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同类业绩</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40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提供投标人近三年（2023年5月至投标截止日，以合同签订日期为准）</w:t>
            </w:r>
          </w:p>
          <w:p>
            <w:pPr>
              <w:keepNext w:val="0"/>
              <w:keepLines w:val="0"/>
              <w:pageBreakBefore w:val="0"/>
              <w:widowControl/>
              <w:kinsoku/>
              <w:wordWrap/>
              <w:overflowPunct/>
              <w:topLinePunct w:val="0"/>
              <w:autoSpaceDE/>
              <w:bidi w:val="0"/>
              <w:adjustRightInd/>
              <w:snapToGrid/>
              <w:spacing w:line="40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具有体育竞赛训练全流程保障技术服务同类业绩的，每提供一份业绩得2分，最高得6分。</w:t>
            </w:r>
          </w:p>
          <w:p>
            <w:pPr>
              <w:keepNext w:val="0"/>
              <w:keepLines w:val="0"/>
              <w:pageBreakBefore w:val="0"/>
              <w:widowControl/>
              <w:kinsoku/>
              <w:wordWrap/>
              <w:overflowPunct/>
              <w:topLinePunct w:val="0"/>
              <w:autoSpaceDE/>
              <w:bidi w:val="0"/>
              <w:adjustRightInd/>
              <w:snapToGrid/>
              <w:spacing w:line="40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注：业绩证明材料以合同或中标通知书复印件并加盖公章提供为准。</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beforeLines="15" w:line="34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653" w:hRule="atLeast"/>
          <w:jc w:val="center"/>
        </w:trPr>
        <w:tc>
          <w:tcPr>
            <w:tcW w:w="982" w:type="dxa"/>
            <w:vMerge w:val="restart"/>
            <w:tcBorders>
              <w:top w:val="nil"/>
              <w:left w:val="single" w:color="auto" w:sz="4" w:space="0"/>
              <w:bottom w:val="inset" w:color="auto" w:sz="6"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beforeLines="15" w:line="340" w:lineRule="exact"/>
              <w:jc w:val="center"/>
              <w:textAlignment w:val="auto"/>
              <w:rPr>
                <w:rFonts w:ascii="宋体" w:hAnsi="宋体" w:eastAsia="宋体" w:cs="宋体"/>
                <w:color w:val="auto"/>
                <w:szCs w:val="21"/>
              </w:rPr>
            </w:pPr>
            <w:r>
              <w:rPr>
                <w:rFonts w:hint="eastAsia" w:ascii="宋体" w:hAnsi="宋体" w:eastAsia="宋体" w:cs="宋体"/>
                <w:color w:val="auto"/>
                <w:kern w:val="0"/>
                <w:szCs w:val="21"/>
              </w:rPr>
              <w:t>技术部分</w:t>
            </w: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ascii="宋体" w:hAnsi="宋体" w:cs="宋体"/>
                <w:color w:val="auto"/>
                <w:kern w:val="0"/>
                <w:szCs w:val="21"/>
              </w:rPr>
            </w:pPr>
            <w:r>
              <w:rPr>
                <w:rFonts w:hint="eastAsia" w:ascii="宋体" w:hAnsi="宋体" w:cs="宋体"/>
                <w:color w:val="auto"/>
                <w:kern w:val="0"/>
                <w:szCs w:val="21"/>
              </w:rPr>
              <w:t>整体</w:t>
            </w:r>
            <w:r>
              <w:rPr>
                <w:rFonts w:hint="eastAsia" w:ascii="宋体" w:hAnsi="宋体" w:cs="宋体"/>
                <w:color w:val="auto"/>
                <w:kern w:val="0"/>
                <w:szCs w:val="21"/>
                <w:lang w:val="en-US" w:eastAsia="zh-CN"/>
              </w:rPr>
              <w:t>服务</w:t>
            </w:r>
            <w:r>
              <w:rPr>
                <w:rFonts w:hint="eastAsia" w:ascii="宋体" w:hAnsi="宋体" w:cs="宋体"/>
                <w:color w:val="auto"/>
                <w:kern w:val="0"/>
                <w:szCs w:val="21"/>
              </w:rPr>
              <w:t>方案内容</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val="0"/>
              <w:bidi w:val="0"/>
              <w:adjustRightInd/>
              <w:snapToGrid/>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整体</w:t>
            </w:r>
            <w:r>
              <w:rPr>
                <w:rFonts w:hint="eastAsia" w:ascii="宋体" w:hAnsi="宋体" w:cs="宋体"/>
                <w:color w:val="auto"/>
                <w:kern w:val="0"/>
                <w:szCs w:val="21"/>
                <w:lang w:val="en-US" w:eastAsia="zh-CN"/>
              </w:rPr>
              <w:t>服务</w:t>
            </w:r>
            <w:r>
              <w:rPr>
                <w:rFonts w:hint="eastAsia" w:ascii="宋体" w:hAnsi="宋体" w:eastAsia="宋体" w:cs="宋体"/>
                <w:color w:val="auto"/>
                <w:kern w:val="0"/>
                <w:szCs w:val="21"/>
              </w:rPr>
              <w:t>方案内容包括但不仅限于：</w:t>
            </w:r>
          </w:p>
          <w:p>
            <w:pPr>
              <w:keepNext w:val="0"/>
              <w:keepLines w:val="0"/>
              <w:pageBreakBefore w:val="0"/>
              <w:widowControl/>
              <w:kinsoku/>
              <w:wordWrap/>
              <w:overflowPunct/>
              <w:topLinePunct w:val="0"/>
              <w:autoSpaceDE/>
              <w:autoSpaceDN w:val="0"/>
              <w:bidi w:val="0"/>
              <w:adjustRightInd/>
              <w:snapToGrid/>
              <w:spacing w:line="400" w:lineRule="exact"/>
              <w:jc w:val="left"/>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①</w:t>
            </w:r>
            <w:r>
              <w:rPr>
                <w:rFonts w:hint="eastAsia" w:ascii="宋体" w:hAnsi="宋体" w:cs="宋体"/>
                <w:sz w:val="21"/>
                <w:szCs w:val="21"/>
                <w:highlight w:val="none"/>
                <w:lang w:val="en-US" w:eastAsia="zh-CN"/>
              </w:rPr>
              <w:t>对本项目的理解；</w:t>
            </w:r>
            <w:r>
              <w:rPr>
                <w:rFonts w:hint="eastAsia" w:ascii="宋体" w:hAnsi="宋体" w:eastAsia="宋体" w:cs="宋体"/>
                <w:color w:val="auto"/>
                <w:kern w:val="0"/>
                <w:szCs w:val="21"/>
              </w:rPr>
              <w:t>②</w:t>
            </w:r>
            <w:r>
              <w:rPr>
                <w:rFonts w:hint="eastAsia" w:ascii="宋体" w:hAnsi="宋体" w:cs="宋体"/>
                <w:sz w:val="21"/>
                <w:szCs w:val="21"/>
                <w:highlight w:val="none"/>
                <w:lang w:val="en-US" w:eastAsia="zh-CN"/>
              </w:rPr>
              <w:t>重点难点分析；</w:t>
            </w:r>
            <w:r>
              <w:rPr>
                <w:rFonts w:hint="eastAsia" w:ascii="宋体" w:hAnsi="宋体" w:eastAsia="宋体" w:cs="宋体"/>
                <w:color w:val="auto"/>
                <w:kern w:val="0"/>
                <w:szCs w:val="21"/>
              </w:rPr>
              <w:t>③</w:t>
            </w:r>
            <w:r>
              <w:rPr>
                <w:rFonts w:hint="eastAsia" w:hAnsi="宋体" w:cs="宋体"/>
                <w:sz w:val="21"/>
                <w:szCs w:val="21"/>
                <w:highlight w:val="none"/>
                <w:lang w:val="en-US" w:eastAsia="zh-CN"/>
              </w:rPr>
              <w:t>组织架构与人员安排；</w:t>
            </w:r>
            <w:r>
              <w:rPr>
                <w:rFonts w:hint="eastAsia" w:ascii="宋体" w:hAnsi="宋体" w:eastAsia="宋体" w:cs="宋体"/>
                <w:color w:val="auto"/>
                <w:kern w:val="0"/>
                <w:szCs w:val="21"/>
              </w:rPr>
              <w:t>④服务</w:t>
            </w:r>
            <w:r>
              <w:rPr>
                <w:rFonts w:hint="eastAsia" w:ascii="宋体" w:hAnsi="宋体" w:cs="宋体"/>
                <w:color w:val="auto"/>
                <w:kern w:val="0"/>
                <w:szCs w:val="21"/>
                <w:lang w:val="en-US" w:eastAsia="zh-CN"/>
              </w:rPr>
              <w:t>质量保障体系；</w:t>
            </w:r>
            <w:r>
              <w:rPr>
                <w:rFonts w:hint="eastAsia" w:ascii="宋体" w:hAnsi="宋体" w:eastAsia="宋体" w:cs="宋体"/>
                <w:color w:val="auto"/>
                <w:kern w:val="0"/>
                <w:szCs w:val="21"/>
              </w:rPr>
              <w:t>⑤</w:t>
            </w:r>
            <w:r>
              <w:rPr>
                <w:rFonts w:hint="eastAsia" w:ascii="宋体" w:hAnsi="宋体" w:cs="宋体"/>
                <w:color w:val="auto"/>
                <w:kern w:val="0"/>
                <w:szCs w:val="21"/>
                <w:lang w:val="en-US" w:eastAsia="zh-CN"/>
              </w:rPr>
              <w:t>应急处置与风险防控；</w:t>
            </w:r>
            <w:r>
              <w:rPr>
                <w:rFonts w:hint="eastAsia" w:ascii="宋体" w:hAnsi="宋体" w:eastAsia="宋体" w:cs="宋体"/>
                <w:color w:val="auto"/>
                <w:kern w:val="0"/>
                <w:szCs w:val="21"/>
                <w:lang w:val="en-US" w:eastAsia="zh-CN"/>
              </w:rPr>
              <w:t>⑥</w:t>
            </w:r>
            <w:r>
              <w:rPr>
                <w:rFonts w:hint="eastAsia" w:ascii="宋体" w:hAnsi="宋体" w:cs="宋体"/>
                <w:color w:val="auto"/>
                <w:kern w:val="0"/>
                <w:szCs w:val="21"/>
                <w:lang w:val="en-US" w:eastAsia="zh-CN"/>
              </w:rPr>
              <w:t>服务承诺</w:t>
            </w:r>
          </w:p>
          <w:p>
            <w:pPr>
              <w:keepNext w:val="0"/>
              <w:keepLines w:val="0"/>
              <w:pageBreakBefore w:val="0"/>
              <w:widowControl/>
              <w:kinsoku/>
              <w:wordWrap/>
              <w:overflowPunct/>
              <w:topLinePunct w:val="0"/>
              <w:autoSpaceDE/>
              <w:autoSpaceDN w:val="0"/>
              <w:bidi w:val="0"/>
              <w:adjustRightInd/>
              <w:snapToGrid/>
              <w:spacing w:line="40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lang w:val="zh-CN"/>
              </w:rPr>
              <w:t>以上</w:t>
            </w:r>
            <w:r>
              <w:rPr>
                <w:rFonts w:hint="eastAsia" w:ascii="宋体" w:hAnsi="宋体" w:eastAsia="宋体" w:cs="宋体"/>
                <w:color w:val="auto"/>
                <w:kern w:val="0"/>
                <w:szCs w:val="21"/>
              </w:rPr>
              <w:t>内容</w:t>
            </w:r>
            <w:r>
              <w:rPr>
                <w:rFonts w:hint="eastAsia" w:ascii="宋体" w:hAnsi="宋体" w:eastAsia="宋体" w:cs="宋体"/>
                <w:color w:val="auto"/>
                <w:kern w:val="0"/>
                <w:szCs w:val="21"/>
                <w:lang w:val="zh-CN"/>
              </w:rPr>
              <w:t>每提供一小项内容</w:t>
            </w:r>
            <w:r>
              <w:rPr>
                <w:rFonts w:hint="eastAsia" w:ascii="宋体" w:hAnsi="宋体" w:eastAsia="宋体" w:cs="宋体"/>
                <w:color w:val="auto"/>
                <w:kern w:val="0"/>
                <w:szCs w:val="21"/>
              </w:rPr>
              <w:t>完整、与项目需求吻合、思路清晰、层次细化、有具体详细地阐述且科学合理符合项目要求的得</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分，最高得</w:t>
            </w:r>
            <w:r>
              <w:rPr>
                <w:rFonts w:hint="eastAsia" w:ascii="宋体" w:hAnsi="宋体" w:cs="宋体"/>
                <w:color w:val="auto"/>
                <w:kern w:val="0"/>
                <w:szCs w:val="21"/>
                <w:lang w:val="en-US" w:eastAsia="zh-CN"/>
              </w:rPr>
              <w:t>18</w:t>
            </w:r>
            <w:r>
              <w:rPr>
                <w:rFonts w:hint="eastAsia" w:ascii="宋体" w:hAnsi="宋体" w:eastAsia="宋体" w:cs="宋体"/>
                <w:color w:val="auto"/>
                <w:kern w:val="0"/>
                <w:szCs w:val="21"/>
              </w:rPr>
              <w:t>分</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每缺少一项内容的扣</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分，每有一处需求分析内容存在缺陷或不足的扣1分，扣完为止。</w:t>
            </w:r>
          </w:p>
          <w:p>
            <w:pPr>
              <w:keepNext w:val="0"/>
              <w:keepLines w:val="0"/>
              <w:pageBreakBefore w:val="0"/>
              <w:widowControl/>
              <w:kinsoku/>
              <w:wordWrap/>
              <w:overflowPunct/>
              <w:topLinePunct w:val="0"/>
              <w:autoSpaceDE/>
              <w:autoSpaceDN w:val="0"/>
              <w:bidi w:val="0"/>
              <w:adjustRightInd/>
              <w:snapToGrid/>
              <w:spacing w:line="40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653" w:hRule="atLeast"/>
          <w:jc w:val="center"/>
        </w:trPr>
        <w:tc>
          <w:tcPr>
            <w:tcW w:w="982" w:type="dxa"/>
            <w:vMerge w:val="continue"/>
            <w:tcBorders>
              <w:top w:val="nil"/>
              <w:left w:val="single" w:color="auto" w:sz="4" w:space="0"/>
              <w:bottom w:val="inset" w:color="auto" w:sz="6" w:space="0"/>
              <w:right w:val="single" w:color="auto" w:sz="4" w:space="0"/>
            </w:tcBorders>
            <w:shd w:val="clear" w:color="auto" w:fill="auto"/>
            <w:vAlign w:val="center"/>
          </w:tcPr>
          <w:p>
            <w:pPr>
              <w:keepNext w:val="0"/>
              <w:keepLines w:val="0"/>
              <w:pageBreakBefore w:val="0"/>
              <w:kinsoku/>
              <w:wordWrap/>
              <w:overflowPunct/>
              <w:topLinePunct w:val="0"/>
              <w:bidi w:val="0"/>
              <w:spacing w:line="340" w:lineRule="exact"/>
              <w:textAlignment w:val="auto"/>
              <w:rPr>
                <w:rFonts w:ascii="宋体"/>
                <w:color w:val="auto"/>
                <w:sz w:val="24"/>
              </w:rPr>
            </w:pP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服务质量</w:t>
            </w:r>
          </w:p>
          <w:p>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保障措施</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val="0"/>
              <w:bidi w:val="0"/>
              <w:adjustRightInd/>
              <w:snapToGrid/>
              <w:spacing w:line="400" w:lineRule="exact"/>
              <w:jc w:val="left"/>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服务</w:t>
            </w:r>
            <w:r>
              <w:rPr>
                <w:rFonts w:hint="eastAsia" w:ascii="宋体" w:hAnsi="宋体" w:eastAsia="宋体" w:cs="宋体"/>
                <w:color w:val="auto"/>
                <w:kern w:val="0"/>
                <w:szCs w:val="21"/>
              </w:rPr>
              <w:t>质量保证措施包括但不仅限于：①进度保障措施；②质量保障措施；③质量</w:t>
            </w:r>
            <w:r>
              <w:rPr>
                <w:rFonts w:hint="eastAsia" w:ascii="宋体" w:hAnsi="宋体" w:cs="宋体"/>
                <w:color w:val="auto"/>
                <w:kern w:val="0"/>
                <w:szCs w:val="21"/>
                <w:lang w:val="en-US" w:eastAsia="zh-CN"/>
              </w:rPr>
              <w:t>管控机制</w:t>
            </w:r>
          </w:p>
          <w:p>
            <w:pPr>
              <w:keepNext w:val="0"/>
              <w:keepLines w:val="0"/>
              <w:pageBreakBefore w:val="0"/>
              <w:widowControl/>
              <w:kinsoku/>
              <w:wordWrap/>
              <w:overflowPunct/>
              <w:topLinePunct w:val="0"/>
              <w:autoSpaceDE/>
              <w:autoSpaceDN w:val="0"/>
              <w:bidi w:val="0"/>
              <w:adjustRightInd/>
              <w:snapToGrid/>
              <w:spacing w:line="40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lang w:val="zh-CN"/>
              </w:rPr>
              <w:t>以上</w:t>
            </w:r>
            <w:r>
              <w:rPr>
                <w:rFonts w:hint="eastAsia" w:ascii="宋体" w:hAnsi="宋体" w:eastAsia="宋体" w:cs="宋体"/>
                <w:color w:val="auto"/>
                <w:kern w:val="0"/>
                <w:szCs w:val="21"/>
              </w:rPr>
              <w:t>内容</w:t>
            </w:r>
            <w:r>
              <w:rPr>
                <w:rFonts w:hint="eastAsia" w:ascii="宋体" w:hAnsi="宋体" w:eastAsia="宋体" w:cs="宋体"/>
                <w:color w:val="auto"/>
                <w:kern w:val="0"/>
                <w:szCs w:val="21"/>
                <w:lang w:val="zh-CN"/>
              </w:rPr>
              <w:t>每提供一小项内容</w:t>
            </w:r>
            <w:r>
              <w:rPr>
                <w:rFonts w:hint="eastAsia" w:ascii="宋体" w:hAnsi="宋体" w:eastAsia="宋体" w:cs="宋体"/>
                <w:color w:val="auto"/>
                <w:kern w:val="0"/>
                <w:szCs w:val="21"/>
              </w:rPr>
              <w:t>完整、与项目需求吻合、思路清晰、层次细化、有具体详细地阐述且科学合理符合项目要求的得</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分，最高得</w:t>
            </w:r>
            <w:r>
              <w:rPr>
                <w:rFonts w:hint="eastAsia" w:ascii="宋体" w:hAnsi="宋体" w:cs="宋体"/>
                <w:color w:val="auto"/>
                <w:kern w:val="0"/>
                <w:szCs w:val="21"/>
                <w:lang w:val="en-US" w:eastAsia="zh-CN"/>
              </w:rPr>
              <w:t>9</w:t>
            </w:r>
            <w:r>
              <w:rPr>
                <w:rFonts w:hint="eastAsia" w:ascii="宋体" w:hAnsi="宋体" w:eastAsia="宋体" w:cs="宋体"/>
                <w:color w:val="auto"/>
                <w:kern w:val="0"/>
                <w:szCs w:val="21"/>
              </w:rPr>
              <w:t>分</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每缺少一项内容的扣</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分，每有一处方案内容存在缺陷或不足的扣1分，扣完为止。</w:t>
            </w:r>
          </w:p>
          <w:p>
            <w:pPr>
              <w:keepNext w:val="0"/>
              <w:keepLines w:val="0"/>
              <w:pageBreakBefore w:val="0"/>
              <w:widowControl/>
              <w:kinsoku/>
              <w:wordWrap/>
              <w:overflowPunct/>
              <w:topLinePunct w:val="0"/>
              <w:autoSpaceDE/>
              <w:autoSpaceDN w:val="0"/>
              <w:bidi w:val="0"/>
              <w:adjustRightInd/>
              <w:snapToGrid/>
              <w:spacing w:line="40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653" w:hRule="atLeast"/>
          <w:jc w:val="center"/>
        </w:trPr>
        <w:tc>
          <w:tcPr>
            <w:tcW w:w="982" w:type="dxa"/>
            <w:vMerge w:val="continue"/>
            <w:tcBorders>
              <w:top w:val="nil"/>
              <w:left w:val="single" w:color="auto" w:sz="4" w:space="0"/>
              <w:bottom w:val="inset" w:color="auto" w:sz="6" w:space="0"/>
              <w:right w:val="single" w:color="auto" w:sz="4" w:space="0"/>
            </w:tcBorders>
            <w:shd w:val="clear" w:color="auto" w:fill="auto"/>
            <w:vAlign w:val="center"/>
          </w:tcPr>
          <w:p>
            <w:pPr>
              <w:keepNext w:val="0"/>
              <w:keepLines w:val="0"/>
              <w:pageBreakBefore w:val="0"/>
              <w:kinsoku/>
              <w:wordWrap/>
              <w:overflowPunct/>
              <w:topLinePunct w:val="0"/>
              <w:bidi w:val="0"/>
              <w:spacing w:line="340" w:lineRule="exact"/>
              <w:textAlignment w:val="auto"/>
              <w:rPr>
                <w:rFonts w:ascii="宋体"/>
                <w:color w:val="auto"/>
                <w:sz w:val="24"/>
              </w:rPr>
            </w:pP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人员配置方案</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ascii="宋体" w:hAnsi="宋体" w:eastAsia="宋体" w:cs="宋体"/>
                <w:color w:val="auto"/>
                <w:kern w:val="0"/>
                <w:szCs w:val="21"/>
              </w:rPr>
            </w:pPr>
            <w:r>
              <w:rPr>
                <w:rFonts w:hint="eastAsia" w:ascii="宋体" w:hAnsi="宋体" w:cs="宋体"/>
                <w:color w:val="auto"/>
                <w:kern w:val="0"/>
                <w:szCs w:val="21"/>
                <w:lang w:val="en-US" w:eastAsia="zh-CN"/>
              </w:rPr>
              <w:t>人员配置方案</w:t>
            </w:r>
            <w:r>
              <w:rPr>
                <w:rFonts w:hint="eastAsia" w:ascii="宋体" w:hAnsi="宋体" w:eastAsia="宋体" w:cs="宋体"/>
                <w:color w:val="auto"/>
                <w:kern w:val="0"/>
                <w:szCs w:val="21"/>
              </w:rPr>
              <w:t>包括但不仅限于：①</w:t>
            </w:r>
            <w:r>
              <w:rPr>
                <w:rFonts w:hint="eastAsia" w:ascii="宋体" w:hAnsi="宋体" w:cs="宋体"/>
                <w:color w:val="auto"/>
                <w:kern w:val="0"/>
                <w:szCs w:val="21"/>
                <w:lang w:val="en-US" w:eastAsia="zh-CN"/>
              </w:rPr>
              <w:t>组织架构与岗位分工</w:t>
            </w:r>
            <w:r>
              <w:rPr>
                <w:rFonts w:hint="eastAsia" w:ascii="宋体" w:hAnsi="宋体" w:eastAsia="宋体" w:cs="宋体"/>
                <w:color w:val="auto"/>
                <w:kern w:val="0"/>
                <w:szCs w:val="21"/>
              </w:rPr>
              <w:t>；②</w:t>
            </w:r>
            <w:r>
              <w:rPr>
                <w:rFonts w:hint="eastAsia" w:ascii="宋体" w:hAnsi="宋体" w:cs="宋体"/>
                <w:color w:val="auto"/>
                <w:kern w:val="0"/>
                <w:szCs w:val="21"/>
                <w:lang w:val="en-US" w:eastAsia="zh-CN"/>
              </w:rPr>
              <w:t>人员管理制度与奖惩措施</w:t>
            </w:r>
            <w:r>
              <w:rPr>
                <w:rFonts w:hint="eastAsia" w:ascii="宋体" w:hAnsi="宋体" w:eastAsia="宋体" w:cs="宋体"/>
                <w:color w:val="auto"/>
                <w:kern w:val="0"/>
                <w:szCs w:val="21"/>
              </w:rPr>
              <w:t>；③</w:t>
            </w:r>
            <w:r>
              <w:rPr>
                <w:rFonts w:hint="eastAsia" w:ascii="宋体" w:hAnsi="宋体" w:cs="宋体"/>
                <w:color w:val="auto"/>
                <w:kern w:val="0"/>
                <w:szCs w:val="21"/>
                <w:lang w:val="en-US" w:eastAsia="zh-CN"/>
              </w:rPr>
              <w:t>人员培训方案</w:t>
            </w:r>
          </w:p>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lang w:val="zh-CN"/>
              </w:rPr>
              <w:t>以上</w:t>
            </w:r>
            <w:r>
              <w:rPr>
                <w:rFonts w:hint="eastAsia" w:ascii="宋体" w:hAnsi="宋体" w:eastAsia="宋体" w:cs="宋体"/>
                <w:color w:val="auto"/>
                <w:kern w:val="0"/>
                <w:szCs w:val="21"/>
              </w:rPr>
              <w:t>内容</w:t>
            </w:r>
            <w:r>
              <w:rPr>
                <w:rFonts w:hint="eastAsia" w:ascii="宋体" w:hAnsi="宋体" w:eastAsia="宋体" w:cs="宋体"/>
                <w:color w:val="auto"/>
                <w:kern w:val="0"/>
                <w:szCs w:val="21"/>
                <w:lang w:val="zh-CN"/>
              </w:rPr>
              <w:t>每提供一小项内容</w:t>
            </w:r>
            <w:r>
              <w:rPr>
                <w:rFonts w:hint="eastAsia" w:ascii="宋体" w:hAnsi="宋体" w:eastAsia="宋体" w:cs="宋体"/>
                <w:color w:val="auto"/>
                <w:kern w:val="0"/>
                <w:szCs w:val="21"/>
              </w:rPr>
              <w:t>完整、与项目需求吻合、思路清晰、层次细化、有具体详细地阐述且科学合理符合项目要求的得</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分，最高得</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分</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每缺少一项内容的扣</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分，每有一处方案内容存在缺陷或不足的扣1分，扣完为止。</w:t>
            </w:r>
          </w:p>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653" w:hRule="atLeast"/>
          <w:jc w:val="center"/>
        </w:trPr>
        <w:tc>
          <w:tcPr>
            <w:tcW w:w="982" w:type="dxa"/>
            <w:vMerge w:val="continue"/>
            <w:tcBorders>
              <w:top w:val="nil"/>
              <w:left w:val="single" w:color="auto" w:sz="4" w:space="0"/>
              <w:bottom w:val="inset" w:color="auto" w:sz="6" w:space="0"/>
              <w:right w:val="single" w:color="auto" w:sz="4" w:space="0"/>
            </w:tcBorders>
            <w:shd w:val="clear" w:color="auto" w:fill="auto"/>
            <w:vAlign w:val="center"/>
          </w:tcPr>
          <w:p>
            <w:pPr>
              <w:keepNext w:val="0"/>
              <w:keepLines w:val="0"/>
              <w:pageBreakBefore w:val="0"/>
              <w:kinsoku/>
              <w:wordWrap/>
              <w:overflowPunct/>
              <w:topLinePunct w:val="0"/>
              <w:bidi w:val="0"/>
              <w:spacing w:line="340" w:lineRule="exact"/>
              <w:textAlignment w:val="auto"/>
              <w:rPr>
                <w:rFonts w:ascii="宋体"/>
                <w:color w:val="auto"/>
                <w:sz w:val="24"/>
              </w:rPr>
            </w:pP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成果交付方案</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ascii="宋体" w:hAnsi="宋体" w:eastAsia="宋体" w:cs="宋体"/>
                <w:color w:val="auto"/>
                <w:kern w:val="0"/>
                <w:szCs w:val="21"/>
              </w:rPr>
            </w:pPr>
            <w:r>
              <w:rPr>
                <w:rFonts w:hint="eastAsia" w:ascii="宋体" w:hAnsi="宋体" w:cs="宋体"/>
                <w:color w:val="auto"/>
                <w:kern w:val="0"/>
                <w:szCs w:val="21"/>
                <w:lang w:val="en-US" w:eastAsia="zh-CN"/>
              </w:rPr>
              <w:t>成果交付方案</w:t>
            </w:r>
            <w:r>
              <w:rPr>
                <w:rFonts w:hint="eastAsia" w:ascii="宋体" w:hAnsi="宋体" w:eastAsia="宋体" w:cs="宋体"/>
                <w:color w:val="auto"/>
                <w:kern w:val="0"/>
                <w:szCs w:val="21"/>
              </w:rPr>
              <w:t>包括但不仅限于：①</w:t>
            </w:r>
            <w:r>
              <w:rPr>
                <w:rFonts w:hint="eastAsia" w:ascii="宋体" w:hAnsi="宋体" w:cs="宋体"/>
                <w:color w:val="auto"/>
                <w:kern w:val="0"/>
                <w:szCs w:val="21"/>
                <w:lang w:val="en-US" w:eastAsia="zh-CN"/>
              </w:rPr>
              <w:t>报告、日志、档案的归档流程</w:t>
            </w:r>
            <w:r>
              <w:rPr>
                <w:rFonts w:hint="eastAsia" w:ascii="宋体" w:hAnsi="宋体" w:eastAsia="宋体" w:cs="宋体"/>
                <w:color w:val="auto"/>
                <w:kern w:val="0"/>
                <w:szCs w:val="21"/>
              </w:rPr>
              <w:t>；②</w:t>
            </w:r>
            <w:r>
              <w:rPr>
                <w:rFonts w:hint="eastAsia" w:ascii="宋体" w:hAnsi="宋体" w:cs="宋体"/>
                <w:color w:val="auto"/>
                <w:kern w:val="0"/>
                <w:szCs w:val="21"/>
                <w:lang w:val="en-US" w:eastAsia="zh-CN"/>
              </w:rPr>
              <w:t>档案管理制度</w:t>
            </w:r>
            <w:r>
              <w:rPr>
                <w:rFonts w:hint="eastAsia" w:ascii="宋体" w:hAnsi="宋体" w:eastAsia="宋体" w:cs="宋体"/>
                <w:color w:val="auto"/>
                <w:kern w:val="0"/>
                <w:szCs w:val="21"/>
              </w:rPr>
              <w:t>；</w:t>
            </w:r>
          </w:p>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lang w:val="zh-CN"/>
              </w:rPr>
              <w:t>以上</w:t>
            </w:r>
            <w:r>
              <w:rPr>
                <w:rFonts w:hint="eastAsia" w:ascii="宋体" w:hAnsi="宋体" w:eastAsia="宋体" w:cs="宋体"/>
                <w:color w:val="auto"/>
                <w:kern w:val="0"/>
                <w:szCs w:val="21"/>
              </w:rPr>
              <w:t>内容</w:t>
            </w:r>
            <w:r>
              <w:rPr>
                <w:rFonts w:hint="eastAsia" w:ascii="宋体" w:hAnsi="宋体" w:eastAsia="宋体" w:cs="宋体"/>
                <w:color w:val="auto"/>
                <w:kern w:val="0"/>
                <w:szCs w:val="21"/>
                <w:lang w:val="zh-CN"/>
              </w:rPr>
              <w:t>每提供一小项内容</w:t>
            </w:r>
            <w:r>
              <w:rPr>
                <w:rFonts w:hint="eastAsia" w:ascii="宋体" w:hAnsi="宋体" w:eastAsia="宋体" w:cs="宋体"/>
                <w:color w:val="auto"/>
                <w:kern w:val="0"/>
                <w:szCs w:val="21"/>
              </w:rPr>
              <w:t>完整、与项目需求吻合、思路清晰、层次细化、有具体详细地阐述且科学合理符合项目要求的得</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分，最高得</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分</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每缺少一项内容的扣</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分，每有一处需求分析内容存在缺陷或不足的扣1分，扣完为止。</w:t>
            </w:r>
          </w:p>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84" w:hRule="atLeast"/>
          <w:jc w:val="center"/>
        </w:trPr>
        <w:tc>
          <w:tcPr>
            <w:tcW w:w="982" w:type="dxa"/>
            <w:vMerge w:val="continue"/>
            <w:tcBorders>
              <w:top w:val="nil"/>
              <w:left w:val="single" w:color="auto" w:sz="4" w:space="0"/>
              <w:bottom w:val="inset" w:color="auto" w:sz="6" w:space="0"/>
              <w:right w:val="single" w:color="auto" w:sz="4" w:space="0"/>
            </w:tcBorders>
            <w:shd w:val="clear" w:color="auto" w:fill="auto"/>
            <w:vAlign w:val="center"/>
          </w:tcPr>
          <w:p>
            <w:pPr>
              <w:keepNext w:val="0"/>
              <w:keepLines w:val="0"/>
              <w:pageBreakBefore w:val="0"/>
              <w:kinsoku/>
              <w:wordWrap/>
              <w:overflowPunct/>
              <w:topLinePunct w:val="0"/>
              <w:bidi w:val="0"/>
              <w:spacing w:line="340" w:lineRule="exact"/>
              <w:textAlignment w:val="auto"/>
              <w:rPr>
                <w:rFonts w:ascii="宋体"/>
                <w:color w:val="auto"/>
                <w:sz w:val="24"/>
              </w:rPr>
            </w:pPr>
          </w:p>
        </w:tc>
        <w:tc>
          <w:tcPr>
            <w:tcW w:w="1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应急处置措施与风险防控方案</w:t>
            </w:r>
          </w:p>
        </w:tc>
        <w:tc>
          <w:tcPr>
            <w:tcW w:w="67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ascii="宋体" w:hAnsi="宋体" w:eastAsia="宋体" w:cs="宋体"/>
                <w:color w:val="auto"/>
                <w:kern w:val="0"/>
                <w:szCs w:val="21"/>
              </w:rPr>
            </w:pPr>
            <w:r>
              <w:rPr>
                <w:rFonts w:hint="eastAsia" w:ascii="宋体" w:hAnsi="宋体" w:cs="宋体"/>
                <w:color w:val="auto"/>
                <w:kern w:val="0"/>
                <w:szCs w:val="21"/>
                <w:lang w:val="en-US" w:eastAsia="zh-CN"/>
              </w:rPr>
              <w:t>应急处置措施与风险防控方案</w:t>
            </w:r>
            <w:r>
              <w:rPr>
                <w:rFonts w:hint="eastAsia" w:ascii="宋体" w:hAnsi="宋体" w:eastAsia="宋体" w:cs="宋体"/>
                <w:color w:val="auto"/>
                <w:kern w:val="0"/>
                <w:szCs w:val="21"/>
              </w:rPr>
              <w:t>包括但不仅限于：①</w:t>
            </w:r>
            <w:r>
              <w:rPr>
                <w:rFonts w:hint="eastAsia" w:ascii="宋体" w:hAnsi="宋体" w:cs="宋体"/>
                <w:color w:val="auto"/>
                <w:kern w:val="0"/>
                <w:szCs w:val="21"/>
                <w:lang w:val="en-US" w:eastAsia="zh-CN"/>
              </w:rPr>
              <w:t>应急预案</w:t>
            </w:r>
            <w:r>
              <w:rPr>
                <w:rFonts w:hint="eastAsia" w:ascii="宋体" w:hAnsi="宋体" w:eastAsia="宋体" w:cs="宋体"/>
                <w:color w:val="auto"/>
                <w:kern w:val="0"/>
                <w:szCs w:val="21"/>
              </w:rPr>
              <w:t>；②</w:t>
            </w:r>
            <w:r>
              <w:rPr>
                <w:rFonts w:hint="eastAsia" w:ascii="宋体" w:hAnsi="宋体" w:cs="宋体"/>
                <w:color w:val="auto"/>
                <w:kern w:val="0"/>
                <w:szCs w:val="21"/>
                <w:lang w:val="en-US" w:eastAsia="zh-CN"/>
              </w:rPr>
              <w:t>应急处置措施</w:t>
            </w:r>
            <w:r>
              <w:rPr>
                <w:rFonts w:hint="eastAsia" w:ascii="宋体" w:hAnsi="宋体" w:eastAsia="宋体" w:cs="宋体"/>
                <w:color w:val="auto"/>
                <w:kern w:val="0"/>
                <w:szCs w:val="21"/>
              </w:rPr>
              <w:t>；③</w:t>
            </w:r>
            <w:r>
              <w:rPr>
                <w:rFonts w:hint="eastAsia" w:ascii="宋体" w:hAnsi="宋体" w:cs="宋体"/>
                <w:color w:val="auto"/>
                <w:kern w:val="0"/>
                <w:szCs w:val="21"/>
                <w:lang w:val="en-US" w:eastAsia="zh-CN"/>
              </w:rPr>
              <w:t>风险防控措施</w:t>
            </w:r>
            <w:r>
              <w:rPr>
                <w:rFonts w:hint="eastAsia" w:ascii="宋体" w:hAnsi="宋体" w:eastAsia="宋体" w:cs="宋体"/>
                <w:color w:val="auto"/>
                <w:kern w:val="0"/>
                <w:szCs w:val="21"/>
              </w:rPr>
              <w:t>；④</w:t>
            </w:r>
            <w:r>
              <w:rPr>
                <w:rFonts w:hint="eastAsia" w:ascii="宋体" w:hAnsi="宋体" w:cs="宋体"/>
                <w:color w:val="auto"/>
                <w:kern w:val="0"/>
                <w:szCs w:val="21"/>
                <w:lang w:val="en-US" w:eastAsia="zh-CN"/>
              </w:rPr>
              <w:t>投诉处理措施</w:t>
            </w:r>
            <w:r>
              <w:rPr>
                <w:rFonts w:hint="eastAsia" w:ascii="宋体" w:hAnsi="宋体" w:eastAsia="宋体" w:cs="宋体"/>
                <w:color w:val="auto"/>
                <w:kern w:val="0"/>
                <w:szCs w:val="21"/>
              </w:rPr>
              <w:t>；⑤与采购人的协调配合</w:t>
            </w:r>
          </w:p>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lang w:val="zh-CN"/>
              </w:rPr>
              <w:t>以上</w:t>
            </w:r>
            <w:r>
              <w:rPr>
                <w:rFonts w:hint="eastAsia" w:ascii="宋体" w:hAnsi="宋体" w:eastAsia="宋体" w:cs="宋体"/>
                <w:color w:val="auto"/>
                <w:kern w:val="0"/>
                <w:szCs w:val="21"/>
              </w:rPr>
              <w:t>内容</w:t>
            </w:r>
            <w:r>
              <w:rPr>
                <w:rFonts w:hint="eastAsia" w:ascii="宋体" w:hAnsi="宋体" w:eastAsia="宋体" w:cs="宋体"/>
                <w:color w:val="auto"/>
                <w:kern w:val="0"/>
                <w:szCs w:val="21"/>
                <w:lang w:val="zh-CN"/>
              </w:rPr>
              <w:t>每提供一小项内容</w:t>
            </w:r>
            <w:r>
              <w:rPr>
                <w:rFonts w:hint="eastAsia" w:ascii="宋体" w:hAnsi="宋体" w:eastAsia="宋体" w:cs="宋体"/>
                <w:color w:val="auto"/>
                <w:kern w:val="0"/>
                <w:szCs w:val="21"/>
              </w:rPr>
              <w:t>完整、与项目需求吻合、思路清晰、层次细化、有具体详细地阐述且科学合理符合项目要求的得</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分，最高得1</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每缺少一项内容的扣</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分，每有一处方案内容存在缺陷或不足的扣1分，扣完为止。</w:t>
            </w:r>
          </w:p>
          <w:p>
            <w:pPr>
              <w:keepNext w:val="0"/>
              <w:keepLines w:val="0"/>
              <w:pageBreakBefore w:val="0"/>
              <w:widowControl/>
              <w:kinsoku/>
              <w:wordWrap/>
              <w:overflowPunct/>
              <w:topLinePunct w:val="0"/>
              <w:autoSpaceDE/>
              <w:autoSpaceDN w:val="0"/>
              <w:bidi w:val="0"/>
              <w:adjustRightInd/>
              <w:snapToGrid/>
              <w:spacing w:line="360" w:lineRule="exact"/>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cs="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5" w:hRule="atLeast"/>
          <w:jc w:val="center"/>
        </w:trPr>
        <w:tc>
          <w:tcPr>
            <w:tcW w:w="94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beforeLines="15" w:line="340" w:lineRule="exact"/>
              <w:jc w:val="center"/>
              <w:textAlignment w:val="auto"/>
              <w:rPr>
                <w:rFonts w:ascii="宋体" w:hAnsi="宋体" w:eastAsia="宋体" w:cs="宋体"/>
                <w:color w:val="auto"/>
                <w:szCs w:val="21"/>
              </w:rPr>
            </w:pPr>
            <w:r>
              <w:rPr>
                <w:rFonts w:hint="eastAsia" w:ascii="宋体" w:hAnsi="宋体" w:eastAsia="宋体" w:cs="宋体"/>
                <w:color w:val="auto"/>
                <w:kern w:val="0"/>
                <w:szCs w:val="21"/>
              </w:rPr>
              <w:t>合计</w:t>
            </w:r>
          </w:p>
        </w:tc>
        <w:tc>
          <w:tcPr>
            <w:tcW w:w="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val="0"/>
              <w:bidi w:val="0"/>
              <w:adjustRightInd w:val="0"/>
              <w:snapToGrid w:val="0"/>
              <w:spacing w:beforeLines="15" w:line="340" w:lineRule="exact"/>
              <w:jc w:val="center"/>
              <w:textAlignment w:val="auto"/>
              <w:rPr>
                <w:rFonts w:ascii="宋体" w:hAnsi="宋体" w:eastAsia="宋体" w:cs="宋体"/>
                <w:color w:val="auto"/>
                <w:szCs w:val="21"/>
              </w:rPr>
            </w:pPr>
            <w:r>
              <w:rPr>
                <w:rFonts w:hint="eastAsia" w:ascii="宋体" w:hAnsi="宋体" w:eastAsia="宋体" w:cs="宋体"/>
                <w:color w:val="auto"/>
                <w:kern w:val="0"/>
                <w:szCs w:val="21"/>
              </w:rPr>
              <w:t>100分</w:t>
            </w:r>
          </w:p>
        </w:tc>
      </w:tr>
    </w:tbl>
    <w:p>
      <w:pPr>
        <w:keepNext w:val="0"/>
        <w:keepLines w:val="0"/>
        <w:pageBreakBefore w:val="0"/>
        <w:widowControl/>
        <w:kinsoku/>
        <w:wordWrap/>
        <w:overflowPunct/>
        <w:topLinePunct w:val="0"/>
        <w:autoSpaceDE/>
        <w:autoSpaceDN w:val="0"/>
        <w:bidi w:val="0"/>
        <w:adjustRightInd/>
        <w:snapToGrid/>
        <w:spacing w:line="300" w:lineRule="exact"/>
        <w:jc w:val="left"/>
        <w:textAlignment w:val="auto"/>
        <w:rPr>
          <w:rFonts w:ascii="宋体" w:hAnsi="宋体" w:eastAsia="宋体" w:cs="宋体"/>
          <w:b/>
          <w:bCs/>
          <w:color w:val="auto"/>
          <w:sz w:val="24"/>
        </w:rPr>
      </w:pPr>
      <w:r>
        <w:rPr>
          <w:rFonts w:hint="eastAsia" w:ascii="宋体" w:hAnsi="宋体" w:eastAsia="宋体" w:cs="宋体"/>
          <w:b/>
          <w:bCs/>
          <w:color w:val="auto"/>
          <w:kern w:val="0"/>
          <w:sz w:val="24"/>
          <w:lang w:eastAsia="zh-CN"/>
        </w:rPr>
        <w:t>（四）</w:t>
      </w:r>
      <w:r>
        <w:rPr>
          <w:rFonts w:hint="eastAsia" w:ascii="宋体" w:hAnsi="宋体" w:eastAsia="宋体" w:cs="宋体"/>
          <w:color w:val="auto"/>
          <w:kern w:val="0"/>
          <w:szCs w:val="21"/>
        </w:rPr>
        <w:t xml:space="preserve"> 说  明</w:t>
      </w:r>
    </w:p>
    <w:p>
      <w:pPr>
        <w:keepNext w:val="0"/>
        <w:keepLines w:val="0"/>
        <w:pageBreakBefore w:val="0"/>
        <w:widowControl/>
        <w:kinsoku/>
        <w:wordWrap/>
        <w:overflowPunct/>
        <w:topLinePunct w:val="0"/>
        <w:autoSpaceDE/>
        <w:autoSpaceDN w:val="0"/>
        <w:bidi w:val="0"/>
        <w:adjustRightInd/>
        <w:snapToGrid/>
        <w:spacing w:line="3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kern w:val="0"/>
          <w:szCs w:val="21"/>
        </w:rPr>
        <w:t>得分出现绝对相等时，按照详细评审表中项目排序得分高低进行排序；</w:t>
      </w:r>
    </w:p>
    <w:p>
      <w:pPr>
        <w:keepNext w:val="0"/>
        <w:keepLines w:val="0"/>
        <w:pageBreakBefore w:val="0"/>
        <w:widowControl/>
        <w:kinsoku/>
        <w:wordWrap/>
        <w:overflowPunct/>
        <w:topLinePunct w:val="0"/>
        <w:autoSpaceDE/>
        <w:autoSpaceDN w:val="0"/>
        <w:bidi w:val="0"/>
        <w:adjustRightInd/>
        <w:snapToGrid/>
        <w:spacing w:line="30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kern w:val="0"/>
          <w:szCs w:val="21"/>
          <w:lang w:eastAsia="zh-CN"/>
        </w:rPr>
        <w:t>2.</w:t>
      </w:r>
      <w:r>
        <w:rPr>
          <w:rFonts w:hint="eastAsia" w:ascii="宋体" w:hAnsi="宋体" w:eastAsia="宋体" w:cs="宋体"/>
          <w:color w:val="auto"/>
          <w:kern w:val="0"/>
          <w:szCs w:val="21"/>
        </w:rPr>
        <w:t>本办法未列内容，不作为本次评审依据。</w:t>
      </w:r>
      <w:bookmarkEnd w:id="47"/>
      <w:bookmarkEnd w:id="48"/>
      <w:bookmarkStart w:id="49" w:name="_Toc217446099"/>
    </w:p>
    <w:bookmarkEnd w:id="49"/>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50" w:name="_Toc370292199"/>
      <w:bookmarkStart w:id="51" w:name="_Toc247085758"/>
      <w:bookmarkStart w:id="52" w:name="_Toc152042377"/>
      <w:bookmarkStart w:id="53" w:name="_Toc152045600"/>
      <w:bookmarkStart w:id="54" w:name="_Toc144974567"/>
      <w:bookmarkStart w:id="55" w:name="_Toc179632618"/>
      <w:bookmarkStart w:id="56" w:name="_Toc246996986"/>
      <w:bookmarkStart w:id="57" w:name="_Toc350070662"/>
      <w:bookmarkStart w:id="58" w:name="_Toc246996243"/>
      <w:bookmarkStart w:id="59" w:name="_Toc34654711"/>
    </w:p>
    <w:bookmarkEnd w:id="50"/>
    <w:bookmarkEnd w:id="51"/>
    <w:bookmarkEnd w:id="52"/>
    <w:bookmarkEnd w:id="53"/>
    <w:bookmarkEnd w:id="54"/>
    <w:bookmarkEnd w:id="55"/>
    <w:bookmarkEnd w:id="56"/>
    <w:bookmarkEnd w:id="57"/>
    <w:bookmarkEnd w:id="58"/>
    <w:bookmarkEnd w:id="59"/>
    <w:p>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附件：</w:t>
      </w:r>
    </w:p>
    <w:p>
      <w:pPr>
        <w:pStyle w:val="3"/>
        <w:keepNext w:val="0"/>
        <w:keepLines w:val="0"/>
        <w:widowControl/>
        <w:shd w:val="clear" w:color="auto" w:fill="FFFFFF"/>
        <w:adjustRightInd w:val="0"/>
        <w:snapToGrid w:val="0"/>
        <w:spacing w:before="0" w:after="0" w:line="360" w:lineRule="auto"/>
        <w:jc w:val="center"/>
        <w:rPr>
          <w:rFonts w:hint="eastAsia" w:asciiTheme="minorEastAsia" w:hAnsiTheme="minorEastAsia" w:eastAsiaTheme="minorEastAsia" w:cstheme="minorEastAsia"/>
          <w:color w:val="auto"/>
          <w:spacing w:val="7"/>
          <w:sz w:val="21"/>
          <w:szCs w:val="21"/>
          <w:highlight w:val="none"/>
        </w:rPr>
      </w:pPr>
      <w:bookmarkStart w:id="60" w:name="_Toc25170"/>
      <w:bookmarkStart w:id="61" w:name="_Toc63327628"/>
      <w:r>
        <w:rPr>
          <w:rStyle w:val="40"/>
          <w:rFonts w:hint="eastAsia" w:asciiTheme="minorEastAsia" w:hAnsiTheme="minorEastAsia" w:eastAsiaTheme="minorEastAsia" w:cstheme="minorEastAsia"/>
          <w:b w:val="0"/>
          <w:bCs w:val="0"/>
          <w:color w:val="auto"/>
          <w:spacing w:val="7"/>
          <w:sz w:val="21"/>
          <w:szCs w:val="21"/>
          <w:highlight w:val="none"/>
          <w:shd w:val="clear" w:color="auto" w:fill="FFFFFF"/>
        </w:rPr>
        <w:t>关于印发《政府采购促进中小企业发展管理办法》的通知</w:t>
      </w:r>
      <w:bookmarkEnd w:id="60"/>
      <w:bookmarkEnd w:id="61"/>
    </w:p>
    <w:p>
      <w:pPr>
        <w:pStyle w:val="32"/>
        <w:shd w:val="clear" w:color="auto" w:fill="FFFFFF"/>
        <w:adjustRightInd w:val="0"/>
        <w:snapToGrid w:val="0"/>
        <w:spacing w:before="0" w:beforeAutospacing="0" w:after="0" w:afterAutospacing="0" w:line="360" w:lineRule="auto"/>
        <w:jc w:val="center"/>
        <w:rPr>
          <w:rStyle w:val="40"/>
          <w:rFonts w:hint="eastAsia" w:asciiTheme="minorEastAsia" w:hAnsiTheme="minorEastAsia" w:eastAsiaTheme="minorEastAsia" w:cstheme="minorEastAsia"/>
          <w:color w:val="auto"/>
          <w:spacing w:val="7"/>
          <w:sz w:val="21"/>
          <w:szCs w:val="21"/>
          <w:highlight w:val="none"/>
          <w:shd w:val="clear" w:color="auto" w:fill="FFFFFF"/>
        </w:rPr>
      </w:pPr>
      <w:r>
        <w:rPr>
          <w:rStyle w:val="40"/>
          <w:rFonts w:hint="eastAsia" w:asciiTheme="minorEastAsia" w:hAnsiTheme="minorEastAsia" w:eastAsiaTheme="minorEastAsia" w:cstheme="minorEastAsia"/>
          <w:color w:val="auto"/>
          <w:spacing w:val="7"/>
          <w:sz w:val="21"/>
          <w:szCs w:val="21"/>
          <w:highlight w:val="none"/>
          <w:shd w:val="clear" w:color="auto" w:fill="FFFFFF"/>
        </w:rPr>
        <w:t>财库[2020]46号</w:t>
      </w:r>
    </w:p>
    <w:p>
      <w:pPr>
        <w:pStyle w:val="32"/>
        <w:shd w:val="clear" w:color="auto" w:fill="FFFFFF"/>
        <w:adjustRightInd w:val="0"/>
        <w:snapToGrid w:val="0"/>
        <w:spacing w:before="0" w:beforeAutospacing="0" w:after="0" w:afterAutospacing="0" w:line="276" w:lineRule="auto"/>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shd w:val="clear" w:color="auto" w:fill="FFFFFF"/>
        </w:rPr>
        <w:t>各中央预算单位办公厅（室），各省、自治区、直辖市、计划单列市财政厅（局）、工业和信息化主管部门，新疆生产建设兵团财政局、工业和信息化主管部门：</w:t>
      </w:r>
    </w:p>
    <w:p>
      <w:pPr>
        <w:pStyle w:val="32"/>
        <w:shd w:val="clear" w:color="auto" w:fill="FFFFFF"/>
        <w:adjustRightInd w:val="0"/>
        <w:snapToGrid w:val="0"/>
        <w:spacing w:before="0" w:beforeAutospacing="0" w:after="0" w:afterAutospacing="0" w:line="276" w:lineRule="auto"/>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shd w:val="clear" w:color="auto" w:fill="FFFFFF"/>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pStyle w:val="32"/>
        <w:shd w:val="clear" w:color="auto" w:fill="FFFFFF"/>
        <w:adjustRightInd w:val="0"/>
        <w:snapToGrid w:val="0"/>
        <w:spacing w:before="0" w:beforeAutospacing="0" w:after="0" w:afterAutospacing="0" w:line="276" w:lineRule="auto"/>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shd w:val="clear" w:color="auto" w:fill="FFFFFF"/>
        </w:rPr>
        <w:t>附件：政府采购促进中小企业发展管理办法</w:t>
      </w:r>
    </w:p>
    <w:p>
      <w:pPr>
        <w:pStyle w:val="32"/>
        <w:shd w:val="clear" w:color="auto" w:fill="FFFFFF"/>
        <w:adjustRightInd w:val="0"/>
        <w:snapToGrid w:val="0"/>
        <w:spacing w:before="0" w:beforeAutospacing="0" w:after="0" w:afterAutospacing="0" w:line="360" w:lineRule="auto"/>
        <w:jc w:val="right"/>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shd w:val="clear" w:color="auto" w:fill="FFFFFF"/>
        </w:rPr>
        <w:t>财政部</w:t>
      </w:r>
    </w:p>
    <w:p>
      <w:pPr>
        <w:pStyle w:val="32"/>
        <w:shd w:val="clear" w:color="auto" w:fill="FFFFFF"/>
        <w:adjustRightInd w:val="0"/>
        <w:snapToGrid w:val="0"/>
        <w:spacing w:before="0" w:beforeAutospacing="0" w:after="0" w:afterAutospacing="0" w:line="360" w:lineRule="auto"/>
        <w:jc w:val="right"/>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shd w:val="clear" w:color="auto" w:fill="FFFFFF"/>
        </w:rPr>
        <w:t>工业和信息化部</w:t>
      </w:r>
    </w:p>
    <w:p>
      <w:pPr>
        <w:pStyle w:val="32"/>
        <w:shd w:val="clear" w:color="auto" w:fill="FFFFFF"/>
        <w:adjustRightInd w:val="0"/>
        <w:snapToGrid w:val="0"/>
        <w:spacing w:before="0" w:beforeAutospacing="0" w:after="0" w:afterAutospacing="0" w:line="360" w:lineRule="auto"/>
        <w:jc w:val="right"/>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shd w:val="clear" w:color="auto" w:fill="FFFFFF"/>
        </w:rPr>
        <w:t>2020年12月18日</w:t>
      </w:r>
    </w:p>
    <w:p>
      <w:pPr>
        <w:pStyle w:val="3"/>
        <w:keepNext w:val="0"/>
        <w:keepLines w:val="0"/>
        <w:widowControl/>
        <w:shd w:val="clear" w:color="auto" w:fill="FFFFFF"/>
        <w:adjustRightInd w:val="0"/>
        <w:snapToGrid w:val="0"/>
        <w:spacing w:before="0" w:after="0" w:line="360" w:lineRule="auto"/>
        <w:jc w:val="center"/>
        <w:rPr>
          <w:rStyle w:val="40"/>
          <w:rFonts w:hint="eastAsia" w:asciiTheme="minorEastAsia" w:hAnsiTheme="minorEastAsia" w:eastAsiaTheme="minorEastAsia" w:cstheme="minorEastAsia"/>
          <w:b w:val="0"/>
          <w:bCs w:val="0"/>
          <w:color w:val="auto"/>
          <w:spacing w:val="7"/>
          <w:sz w:val="21"/>
          <w:szCs w:val="21"/>
          <w:highlight w:val="none"/>
          <w:shd w:val="clear" w:color="auto" w:fill="FFFFFF"/>
        </w:rPr>
      </w:pPr>
      <w:bookmarkStart w:id="62" w:name="_Toc63327629"/>
      <w:bookmarkStart w:id="63" w:name="_Toc4328"/>
      <w:r>
        <w:rPr>
          <w:rStyle w:val="40"/>
          <w:rFonts w:hint="eastAsia" w:asciiTheme="minorEastAsia" w:hAnsiTheme="minorEastAsia" w:eastAsiaTheme="minorEastAsia" w:cstheme="minorEastAsia"/>
          <w:b w:val="0"/>
          <w:bCs w:val="0"/>
          <w:color w:val="auto"/>
          <w:spacing w:val="7"/>
          <w:sz w:val="21"/>
          <w:szCs w:val="21"/>
          <w:highlight w:val="none"/>
          <w:shd w:val="clear" w:color="auto" w:fill="FFFFFF"/>
        </w:rPr>
        <w:t>政府采购促进中小企业发展管理办法</w:t>
      </w:r>
      <w:bookmarkEnd w:id="62"/>
      <w:bookmarkEnd w:id="63"/>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第一条　</w:t>
      </w:r>
      <w:r>
        <w:rPr>
          <w:rFonts w:hint="eastAsia" w:asciiTheme="minorEastAsia" w:hAnsiTheme="minorEastAsia" w:eastAsiaTheme="minorEastAsia" w:cstheme="minorEastAsia"/>
          <w:color w:val="auto"/>
          <w:spacing w:val="7"/>
          <w:sz w:val="21"/>
          <w:szCs w:val="21"/>
          <w:highlight w:val="none"/>
        </w:rPr>
        <w:t>为了发挥政府采购的政策功能，促进中小企业健康发展，根据《中华人民共和国政府采购法》、《中华人民共和国中小企业促进法》等有关法律法规，制定本办法。</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第二条　</w:t>
      </w:r>
      <w:r>
        <w:rPr>
          <w:rFonts w:hint="eastAsia" w:asciiTheme="minorEastAsia" w:hAnsiTheme="minorEastAsia" w:eastAsiaTheme="minorEastAsia" w:cstheme="minorEastAsia"/>
          <w:color w:val="auto"/>
          <w:spacing w:val="7"/>
          <w:sz w:val="21"/>
          <w:szCs w:val="21"/>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符合中小企业划分标准的个体工商户，在政府采购活动中视同中小企业。</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第三条　</w:t>
      </w:r>
      <w:r>
        <w:rPr>
          <w:rFonts w:hint="eastAsia" w:asciiTheme="minorEastAsia" w:hAnsiTheme="minorEastAsia" w:eastAsiaTheme="minorEastAsia" w:cstheme="minorEastAsia"/>
          <w:color w:val="auto"/>
          <w:spacing w:val="7"/>
          <w:sz w:val="21"/>
          <w:szCs w:val="21"/>
          <w:highlight w:val="none"/>
        </w:rPr>
        <w:t>采购人在政府采购活动中应当通过加强采购需求管理，落实预留采购份额、价格评审优惠、优先采购等措施，提高中小企业在政府采购中的份额，支持中小企业发展。</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第四条　</w:t>
      </w:r>
      <w:r>
        <w:rPr>
          <w:rFonts w:hint="eastAsia" w:asciiTheme="minorEastAsia" w:hAnsiTheme="minorEastAsia" w:eastAsiaTheme="minorEastAsia" w:cstheme="minorEastAsia"/>
          <w:color w:val="auto"/>
          <w:spacing w:val="7"/>
          <w:sz w:val="21"/>
          <w:szCs w:val="21"/>
          <w:highlight w:val="none"/>
        </w:rPr>
        <w:t>在政府采购活动中，</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提供的货物、工程或者服务符合下列情形的，享受本办法规定的中小企业扶持政策：</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（一）在货物采购项目中，货物由中小企业制造，即货物由中小企业生产且使用该中小企业商号或者注册商标；</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（二）在工程采购项目中，工程由中小企业承建，即工程施工单位为中小企业；</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（三）在服务采购项目中，服务由中小企业承接，即提供服务的人员为中小企业依照《中华人民共和国劳动合同法》订立劳动合同的从业人员。</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在货物采购项目中，</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提供的货物既有中小企业制造货物，也有大型企业制造货物的，不享受本办法规定的中小企业扶持政策。</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以联合体形式参加政府采购活动，联合体各方均为中小企业的，联合体视同中小企业。其中，联合体各方均为小微企业的，联合体视同小微企业。</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第五条　</w:t>
      </w:r>
      <w:r>
        <w:rPr>
          <w:rFonts w:hint="eastAsia" w:asciiTheme="minorEastAsia" w:hAnsiTheme="minorEastAsia" w:eastAsiaTheme="minorEastAsia" w:cstheme="minorEastAsia"/>
          <w:color w:val="auto"/>
          <w:spacing w:val="7"/>
          <w:sz w:val="21"/>
          <w:szCs w:val="21"/>
          <w:highlight w:val="none"/>
        </w:rPr>
        <w:t>采购人在政府采购活动中应当合理确定采购项目的采购需求，不得以企业注册资本、资产总额、营业收入、从业人员、利润、纳税额等规模条件和财务指标作为</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的资格要求或者评审因素，不得在企业股权结构、经营年限等方面对中小企业实行差别待遇或者歧视待遇。</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第六条</w:t>
      </w:r>
      <w:r>
        <w:rPr>
          <w:rFonts w:hint="eastAsia" w:asciiTheme="minorEastAsia" w:hAnsiTheme="minorEastAsia" w:eastAsiaTheme="minorEastAsia" w:cstheme="minorEastAsia"/>
          <w:color w:val="auto"/>
          <w:spacing w:val="7"/>
          <w:sz w:val="21"/>
          <w:szCs w:val="21"/>
          <w:highlight w:val="none"/>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符合下列情形之一的，可不专门面向中小企业预留采购份额：</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（一）法律法规和国家有关政策明确规定优先或者应当面向事业单位、社会组织等非企业主体采购的；</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（二）因确需使用不可替代的专利、专有技术，基础设施限制，或者提供特定公共服务等原因，只能从中小企业之外的</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处采购的；</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（三）按照本办法规定预留采购份额无法确保充分供应、充分竞争，或者存在可能影响政府采购目标实现的情形；</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（四）框架协议采购项目；</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（五）省级以上人民政府财政部门规定的其他情形。</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除上述情形外，其他均为适宜由中小企业提供的情形。</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第七条　</w:t>
      </w:r>
      <w:r>
        <w:rPr>
          <w:rFonts w:hint="eastAsia" w:asciiTheme="minorEastAsia" w:hAnsiTheme="minorEastAsia" w:eastAsiaTheme="minorEastAsia" w:cstheme="minorEastAsia"/>
          <w:color w:val="auto"/>
          <w:spacing w:val="7"/>
          <w:sz w:val="21"/>
          <w:szCs w:val="21"/>
          <w:highlight w:val="none"/>
        </w:rPr>
        <w:t>采购限额标准以上，200万元以下的货物和服务采购项目、400万元以下的工程采购项目，适宜由中小企业提供的，采购人应当专门面向中小企业采购。</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第八条</w:t>
      </w:r>
      <w:r>
        <w:rPr>
          <w:rFonts w:hint="eastAsia" w:asciiTheme="minorEastAsia" w:hAnsiTheme="minorEastAsia" w:eastAsiaTheme="minorEastAsia" w:cstheme="minorEastAsia"/>
          <w:color w:val="auto"/>
          <w:spacing w:val="7"/>
          <w:sz w:val="21"/>
          <w:szCs w:val="21"/>
          <w:highlight w:val="none"/>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（一）将采购项目整体或者设置采购包专门面向中小企业采购；</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（二）要求</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以联合体形式参加采购活动，且联合体中中小企业承担的部分达到一定比例；</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（三）要求获得采购合同的</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将采购项目中的一定比例分包给一家或者多家中小企业。</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组成联合体或者接受分包合同的中小企业与联合体内其他企业、分包企业之间不得存在直接控股、管理关系。</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第九条　</w:t>
      </w:r>
      <w:r>
        <w:rPr>
          <w:rFonts w:hint="eastAsia" w:asciiTheme="minorEastAsia" w:hAnsiTheme="minorEastAsia" w:eastAsiaTheme="minorEastAsia" w:cstheme="minorEastAsia"/>
          <w:color w:val="auto"/>
          <w:spacing w:val="7"/>
          <w:sz w:val="21"/>
          <w:szCs w:val="21"/>
          <w:highlight w:val="none"/>
        </w:rPr>
        <w:t>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第十条　</w:t>
      </w:r>
      <w:r>
        <w:rPr>
          <w:rFonts w:hint="eastAsia" w:asciiTheme="minorEastAsia" w:hAnsiTheme="minorEastAsia" w:eastAsiaTheme="minorEastAsia" w:cstheme="minorEastAsia"/>
          <w:color w:val="auto"/>
          <w:spacing w:val="7"/>
          <w:sz w:val="21"/>
          <w:szCs w:val="21"/>
          <w:highlight w:val="none"/>
        </w:rPr>
        <w:t>采购人应当严格按照本办法规定和主管预算单位制定的预留采购份额具体方案开展采购活动。预留份额的采购项目或者采购包，通过发布公告方式邀请</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后，符合资格条件的中小企业数量不足3家的，应当中止采购活动，视同未预留份额的采购项目或者采购包，按照本办法第九条有关规定重新组织采购活动。</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第十一条　</w:t>
      </w:r>
      <w:r>
        <w:rPr>
          <w:rFonts w:hint="eastAsia" w:asciiTheme="minorEastAsia" w:hAnsiTheme="minorEastAsia" w:eastAsiaTheme="minorEastAsia" w:cstheme="minorEastAsia"/>
          <w:color w:val="auto"/>
          <w:spacing w:val="7"/>
          <w:sz w:val="21"/>
          <w:szCs w:val="21"/>
          <w:highlight w:val="none"/>
        </w:rPr>
        <w:t>中小企业参加政府采购活动，应当出具本办法规定的《中小企业声明函》（附1），否则不得享受相关中小企业扶持政策。任何单位和个人不得要求</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提供《中小企业声明函》之外的中小企业身份证明文件。</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pacing w:val="7"/>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第十二条　</w:t>
      </w:r>
      <w:r>
        <w:rPr>
          <w:rFonts w:hint="eastAsia" w:asciiTheme="minorEastAsia" w:hAnsiTheme="minorEastAsia" w:eastAsiaTheme="minorEastAsia" w:cstheme="minorEastAsia"/>
          <w:color w:val="auto"/>
          <w:spacing w:val="7"/>
          <w:sz w:val="21"/>
          <w:szCs w:val="21"/>
          <w:highlight w:val="none"/>
        </w:rPr>
        <w:t>采购项目涉及中小企业采购的，采购文件应当明确以下内容：</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（一）预留份额的采购项目或者采购包，明确该项目或相关采购包专门面向中小企业采购，以及相关标的及预算金额；</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（二）要求以联合体形式参加或者合同分包的，明确联合协议或者分包意向协议中中小企业合同金额应当达到的比例，并作为</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资格条件；</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（三）非预留份额的采购项目或者采购包，明确有关价格扣除比例或者价格分加分比例；</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（四）规定依据本办法规定享受扶持政策获得政府采购合同的，小微企业不得将合同分包给大中型企业，中型企业不得将合同分包给大型企业；</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（五）采购人认为具备相关条件的，明确对中小企业在资金支付期限、预付款比例等方面的优惠措施；</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（六）明确采购标的对应的中小企业划分标准所属行业；</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（七）法律法规和省级以上人民政府财政部门规定的其他事项。</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第十三条　</w:t>
      </w:r>
      <w:r>
        <w:rPr>
          <w:rFonts w:hint="eastAsia" w:asciiTheme="minorEastAsia" w:hAnsiTheme="minorEastAsia" w:eastAsiaTheme="minorEastAsia" w:cstheme="minorEastAsia"/>
          <w:color w:val="auto"/>
          <w:spacing w:val="7"/>
          <w:sz w:val="21"/>
          <w:szCs w:val="21"/>
          <w:highlight w:val="none"/>
        </w:rPr>
        <w:t>中标、成交</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享受本办法规定的中小企业扶持政策的，采购人、采购代理机构应当随中标、成交结果公开中标、成交</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的《中小企业声明函》。</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适用招标投标法的政府采购工程建设项目，应当在公示中标候选人时公开中标候选人的《中小企业声明函》。</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第十四条</w:t>
      </w:r>
      <w:r>
        <w:rPr>
          <w:rFonts w:hint="eastAsia" w:asciiTheme="minorEastAsia" w:hAnsiTheme="minorEastAsia" w:eastAsiaTheme="minorEastAsia" w:cstheme="minorEastAsia"/>
          <w:color w:val="auto"/>
          <w:spacing w:val="7"/>
          <w:sz w:val="21"/>
          <w:szCs w:val="21"/>
          <w:highlight w:val="none"/>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第十五条　</w:t>
      </w:r>
      <w:r>
        <w:rPr>
          <w:rFonts w:hint="eastAsia" w:asciiTheme="minorEastAsia" w:hAnsiTheme="minorEastAsia" w:eastAsiaTheme="minorEastAsia" w:cstheme="minorEastAsia"/>
          <w:color w:val="auto"/>
          <w:spacing w:val="7"/>
          <w:sz w:val="21"/>
          <w:szCs w:val="21"/>
          <w:highlight w:val="none"/>
        </w:rPr>
        <w:t>鼓励各地区、各部门在采购活动中允许中小企业引入信用担保手段，为中小企业在投标（响应）保证、履约保证等方面提供专业化服务。鼓励中小企业依法合规通过政府采购合同融资。</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第十六条　</w:t>
      </w:r>
      <w:r>
        <w:rPr>
          <w:rFonts w:hint="eastAsia" w:asciiTheme="minorEastAsia" w:hAnsiTheme="minorEastAsia" w:eastAsiaTheme="minorEastAsia" w:cstheme="minorEastAsia"/>
          <w:color w:val="auto"/>
          <w:spacing w:val="7"/>
          <w:sz w:val="21"/>
          <w:szCs w:val="21"/>
          <w:highlight w:val="none"/>
        </w:rPr>
        <w:t>政府采购监督检查、投诉处理及政府采购行政处罚中对中小企业的认定，由货物制造商或者工程、服务</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注册登记所在地的县级以上人民政府中小企业主管部门负责。</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中小企业主管部门应当在收到财政部门或者有关招标投标行政监督部门关于协助开展中小企业认定函后10个工作日内做出书面答复。</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第十七条　</w:t>
      </w:r>
      <w:r>
        <w:rPr>
          <w:rFonts w:hint="eastAsia" w:asciiTheme="minorEastAsia" w:hAnsiTheme="minorEastAsia" w:eastAsiaTheme="minorEastAsia" w:cstheme="minorEastAsia"/>
          <w:color w:val="auto"/>
          <w:spacing w:val="7"/>
          <w:sz w:val="21"/>
          <w:szCs w:val="21"/>
          <w:highlight w:val="none"/>
        </w:rPr>
        <w:t>各地区、各部门应当对涉及中小企业采购的预算项目实施全过程绩效管理，合理设置绩效目标和指标，落实扶持中小企业有关政策要求，定期开展绩效监控和评价，强化绩效评价结果应用。</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第十八条　</w:t>
      </w:r>
      <w:r>
        <w:rPr>
          <w:rFonts w:hint="eastAsia" w:asciiTheme="minorEastAsia" w:hAnsiTheme="minorEastAsia" w:eastAsiaTheme="minorEastAsia" w:cstheme="minorEastAsia"/>
          <w:color w:val="auto"/>
          <w:spacing w:val="7"/>
          <w:sz w:val="21"/>
          <w:szCs w:val="21"/>
          <w:highlight w:val="none"/>
        </w:rPr>
        <w:t>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第十九条</w:t>
      </w:r>
      <w:r>
        <w:rPr>
          <w:rFonts w:hint="eastAsia" w:asciiTheme="minorEastAsia" w:hAnsiTheme="minorEastAsia" w:eastAsiaTheme="minorEastAsia" w:cstheme="minorEastAsia"/>
          <w:color w:val="auto"/>
          <w:spacing w:val="7"/>
          <w:sz w:val="21"/>
          <w:szCs w:val="21"/>
          <w:highlight w:val="none"/>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第二十条</w:t>
      </w:r>
      <w:r>
        <w:rPr>
          <w:rFonts w:hint="eastAsia" w:asciiTheme="minorEastAsia" w:hAnsiTheme="minorEastAsia" w:eastAsiaTheme="minorEastAsia" w:cstheme="minorEastAsia"/>
          <w:color w:val="auto"/>
          <w:spacing w:val="7"/>
          <w:sz w:val="21"/>
          <w:szCs w:val="21"/>
          <w:highlight w:val="none"/>
        </w:rPr>
        <w:t>　</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按照本办法规定提供声明函内容不实的，属于提供虚假材料谋取中标、成交，依照《中华人民共和国政府采购法》等国家有关规定追究相应责任。</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适用招标投标法的政府采购工程建设项目，</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按照本办法规定提供声明函内容不实的，属于弄虚作假骗取中标，依照《中华人民共和国招标投标法》等国家有关规定追究相应责任。</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第二十一条　</w:t>
      </w:r>
      <w:r>
        <w:rPr>
          <w:rFonts w:hint="eastAsia" w:asciiTheme="minorEastAsia" w:hAnsiTheme="minorEastAsia" w:eastAsiaTheme="minorEastAsia" w:cstheme="minorEastAsia"/>
          <w:color w:val="auto"/>
          <w:spacing w:val="7"/>
          <w:sz w:val="21"/>
          <w:szCs w:val="21"/>
          <w:highlight w:val="none"/>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第二十二条</w:t>
      </w:r>
      <w:r>
        <w:rPr>
          <w:rFonts w:hint="eastAsia" w:asciiTheme="minorEastAsia" w:hAnsiTheme="minorEastAsia" w:eastAsiaTheme="minorEastAsia" w:cstheme="minorEastAsia"/>
          <w:color w:val="auto"/>
          <w:spacing w:val="7"/>
          <w:sz w:val="21"/>
          <w:szCs w:val="21"/>
          <w:highlight w:val="none"/>
        </w:rPr>
        <w:t>　对外援助项目、国家相关资格或者资质管理制度另有规定的项目，不适用本办法。</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第二十三条　</w:t>
      </w:r>
      <w:r>
        <w:rPr>
          <w:rFonts w:hint="eastAsia" w:asciiTheme="minorEastAsia" w:hAnsiTheme="minorEastAsia" w:eastAsiaTheme="minorEastAsia" w:cstheme="minorEastAsia"/>
          <w:color w:val="auto"/>
          <w:spacing w:val="7"/>
          <w:sz w:val="21"/>
          <w:szCs w:val="21"/>
          <w:highlight w:val="none"/>
        </w:rPr>
        <w:t>关于视同中小企业的其他主体的政府采购扶持政策，由财政部会同有关部门另行规定。</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第二十四条</w:t>
      </w:r>
      <w:r>
        <w:rPr>
          <w:rFonts w:hint="eastAsia" w:asciiTheme="minorEastAsia" w:hAnsiTheme="minorEastAsia" w:eastAsiaTheme="minorEastAsia" w:cstheme="minorEastAsia"/>
          <w:color w:val="auto"/>
          <w:spacing w:val="7"/>
          <w:sz w:val="21"/>
          <w:szCs w:val="21"/>
          <w:highlight w:val="none"/>
        </w:rPr>
        <w:t>　省级财政部门可以会同中小企业主管部门根据本办法的规定制定具体实施办法。</w:t>
      </w:r>
    </w:p>
    <w:p>
      <w:pPr>
        <w:pStyle w:val="32"/>
        <w:adjustRightInd w:val="0"/>
        <w:snapToGrid w:val="0"/>
        <w:spacing w:before="0" w:beforeAutospacing="0" w:after="0" w:afterAutospacing="0" w:line="340" w:lineRule="exact"/>
        <w:ind w:firstLine="450" w:firstLineChars="200"/>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第二十五条</w:t>
      </w:r>
      <w:r>
        <w:rPr>
          <w:rFonts w:hint="eastAsia" w:asciiTheme="minorEastAsia" w:hAnsiTheme="minorEastAsia" w:eastAsiaTheme="minorEastAsia" w:cstheme="minorEastAsia"/>
          <w:color w:val="auto"/>
          <w:spacing w:val="7"/>
          <w:sz w:val="21"/>
          <w:szCs w:val="21"/>
          <w:highlight w:val="none"/>
        </w:rPr>
        <w:t>　本办法自2021年1月1日起施行。《财政部工业和信息化部关于印发〈政府采购促进中小企业发展暂行办法〉的通知》（财库﹝2011﹞181号）同时废止。</w:t>
      </w:r>
    </w:p>
    <w:p>
      <w:pPr>
        <w:pStyle w:val="32"/>
        <w:adjustRightInd w:val="0"/>
        <w:snapToGrid w:val="0"/>
        <w:spacing w:before="0" w:beforeAutospacing="0" w:after="0" w:afterAutospacing="0" w:line="340" w:lineRule="exact"/>
        <w:jc w:val="both"/>
        <w:rPr>
          <w:rFonts w:hint="eastAsia" w:asciiTheme="minorEastAsia" w:hAnsiTheme="minorEastAsia" w:eastAsiaTheme="minorEastAsia" w:cstheme="minorEastAsia"/>
          <w:color w:val="auto"/>
          <w:sz w:val="21"/>
          <w:szCs w:val="21"/>
          <w:highlight w:val="none"/>
        </w:rPr>
      </w:pPr>
      <w:r>
        <w:rPr>
          <w:rStyle w:val="40"/>
          <w:rFonts w:hint="eastAsia" w:asciiTheme="minorEastAsia" w:hAnsiTheme="minorEastAsia" w:eastAsiaTheme="minorEastAsia" w:cstheme="minorEastAsia"/>
          <w:color w:val="auto"/>
          <w:spacing w:val="7"/>
          <w:sz w:val="21"/>
          <w:szCs w:val="21"/>
          <w:highlight w:val="none"/>
        </w:rPr>
        <w:t>附：</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1.中小企业声明函</w:t>
      </w:r>
    </w:p>
    <w:p>
      <w:pPr>
        <w:pStyle w:val="32"/>
        <w:adjustRightInd w:val="0"/>
        <w:snapToGrid w:val="0"/>
        <w:spacing w:before="0" w:beforeAutospacing="0" w:after="0" w:afterAutospacing="0" w:line="340" w:lineRule="exact"/>
        <w:ind w:firstLine="44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2.面向中小企业预留项目执行情况公告</w:t>
      </w:r>
    </w:p>
    <w:p>
      <w:pPr>
        <w:adjustRightInd w:val="0"/>
        <w:snapToGrid w:val="0"/>
        <w:spacing w:line="300" w:lineRule="auto"/>
        <w:rPr>
          <w:rFonts w:hint="eastAsia" w:asciiTheme="minorEastAsia" w:hAnsiTheme="minorEastAsia" w:eastAsiaTheme="minorEastAsia" w:cstheme="minorEastAsia"/>
          <w:color w:val="auto"/>
          <w:szCs w:val="21"/>
          <w:highlight w:val="none"/>
        </w:rPr>
        <w:sectPr>
          <w:pgSz w:w="11910" w:h="16840"/>
          <w:pgMar w:top="1440" w:right="1080" w:bottom="1440" w:left="1080" w:header="0" w:footer="1329" w:gutter="0"/>
          <w:pgNumType w:fmt="decimal"/>
          <w:cols w:space="720" w:num="1"/>
          <w:titlePg/>
          <w:docGrid w:linePitch="286" w:charSpace="0"/>
        </w:sectPr>
      </w:pPr>
      <w:r>
        <w:rPr>
          <w:rFonts w:hint="eastAsia" w:asciiTheme="minorEastAsia" w:hAnsiTheme="minorEastAsia" w:eastAsiaTheme="minorEastAsia" w:cstheme="minorEastAsia"/>
          <w:color w:val="auto"/>
          <w:szCs w:val="21"/>
          <w:highlight w:val="none"/>
        </w:rPr>
        <mc:AlternateContent>
          <mc:Choice Requires="wps">
            <w:drawing>
              <wp:inline distT="0" distB="0" distL="0" distR="0">
                <wp:extent cx="304800" cy="304800"/>
                <wp:effectExtent l="0" t="0" r="0" b="0"/>
                <wp:docPr id="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txbx>
                        <w:txbxContent>
                          <w:p/>
                        </w:txbxContent>
                      </wps:txbx>
                      <wps:bodyPr rot="0" vert="horz" wrap="square" lIns="91440" tIns="45720" rIns="91440" bIns="45720" anchor="t" anchorCtr="0" upright="1">
                        <a:noAutofit/>
                      </wps:bodyPr>
                    </wps:wsp>
                  </a:graphicData>
                </a:graphic>
              </wp:inline>
            </w:drawing>
          </mc:Choice>
          <mc:Fallback>
            <w:pict>
              <v:rect id="图片 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zJZ00gAAAAMBAAAPAAAAAAAAAAEAIAAAACIAAABk&#10;cnMvZG93bnJldi54bWxQSwECFAAUAAAACACHTuJANgwQUgwCAAAaBAAADgAAAAAAAAABACAAAAAh&#10;AQAAZHJzL2Uyb0RvYy54bWxQSwUGAAAAAAYABgBZAQAAnwUAAAAA&#10;">
                <v:fill on="f" focussize="0,0"/>
                <v:stroke on="f"/>
                <v:imagedata o:title=""/>
                <o:lock v:ext="edit" aspectratio="t"/>
                <v:textbox>
                  <w:txbxContent>
                    <w:p/>
                  </w:txbxContent>
                </v:textbox>
                <w10:wrap type="none"/>
                <w10:anchorlock/>
              </v:rect>
            </w:pict>
          </mc:Fallback>
        </mc:AlternateContent>
      </w:r>
    </w:p>
    <w:p>
      <w:pPr>
        <w:spacing w:line="360" w:lineRule="auto"/>
        <w:jc w:val="center"/>
        <w:rPr>
          <w:rFonts w:hint="eastAsia" w:asciiTheme="minorEastAsia" w:hAnsiTheme="minorEastAsia" w:eastAsiaTheme="minorEastAsia" w:cstheme="minorEastAsia"/>
          <w:b/>
          <w:color w:val="auto"/>
          <w:sz w:val="24"/>
          <w:highlight w:val="none"/>
        </w:rPr>
      </w:pPr>
      <w:bookmarkStart w:id="64" w:name="_bookmark1"/>
      <w:bookmarkEnd w:id="64"/>
      <w:r>
        <w:rPr>
          <w:rFonts w:hint="eastAsia" w:asciiTheme="minorEastAsia" w:hAnsiTheme="minorEastAsia" w:eastAsiaTheme="minorEastAsia" w:cstheme="minorEastAsia"/>
          <w:b/>
          <w:color w:val="auto"/>
          <w:sz w:val="24"/>
          <w:highlight w:val="none"/>
        </w:rPr>
        <w:t>中小企业划型标准规定</w:t>
      </w:r>
    </w:p>
    <w:p>
      <w:pPr>
        <w:spacing w:line="312"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一、根据《中华人民共和国中小企业促进法》和《国务院关于进一步促进中小企业发展的若干意见》(国发〔2009〕36号)，制定本规定。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二、中小企业划分为中型、小型、微型三种类型，具体标准根据企业从业人员、营业收入、资产总额等指标，结合行业特点制定。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三、本规定适用的行业包括：</w:t>
      </w:r>
      <w:r>
        <w:rPr>
          <w:rFonts w:hint="eastAsia" w:asciiTheme="minorEastAsia" w:hAnsiTheme="minorEastAsia" w:eastAsiaTheme="minorEastAsia" w:cstheme="minorEastAsia"/>
          <w:color w:val="auto"/>
          <w:szCs w:val="21"/>
          <w:highlight w:val="none"/>
          <w:lang w:eastAsia="zh-CN"/>
        </w:rPr>
        <w:t>批发和零售业</w:t>
      </w:r>
      <w:r>
        <w:rPr>
          <w:rFonts w:hint="eastAsia" w:asciiTheme="minorEastAsia" w:hAnsiTheme="minorEastAsia" w:eastAsiaTheme="minorEastAsia" w:cstheme="minorEastAsia"/>
          <w:color w:val="auto"/>
          <w:szCs w:val="21"/>
          <w:highlight w:val="none"/>
        </w:rPr>
        <w:t>，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四、各行业划型标准为：</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（一）</w:t>
      </w:r>
      <w:r>
        <w:rPr>
          <w:rFonts w:hint="eastAsia" w:asciiTheme="minorEastAsia" w:hAnsiTheme="minorEastAsia" w:eastAsiaTheme="minorEastAsia" w:cstheme="minorEastAsia"/>
          <w:color w:val="auto"/>
          <w:szCs w:val="21"/>
          <w:highlight w:val="none"/>
          <w:lang w:eastAsia="zh-CN"/>
        </w:rPr>
        <w:t>批发和零售业</w:t>
      </w:r>
      <w:r>
        <w:rPr>
          <w:rFonts w:hint="eastAsia" w:asciiTheme="minorEastAsia" w:hAnsiTheme="minorEastAsia" w:eastAsiaTheme="minorEastAsia" w:cstheme="minorEastAsia"/>
          <w:color w:val="auto"/>
          <w:szCs w:val="21"/>
          <w:highlight w:val="none"/>
        </w:rPr>
        <w:t>。营业收入20000万元以下的为中小微型企业。其中，营业收入</w:t>
      </w:r>
      <w:r>
        <w:rPr>
          <w:rFonts w:hint="eastAsia" w:asciiTheme="minorEastAsia" w:hAnsiTheme="minorEastAsia" w:eastAsiaTheme="minorEastAsia" w:cstheme="minorEastAsia"/>
          <w:color w:val="auto"/>
          <w:szCs w:val="21"/>
          <w:highlight w:val="none"/>
          <w:lang w:eastAsia="zh-CN"/>
        </w:rPr>
        <w:t>1382万元</w:t>
      </w:r>
      <w:r>
        <w:rPr>
          <w:rFonts w:hint="eastAsia" w:asciiTheme="minorEastAsia" w:hAnsiTheme="minorEastAsia" w:eastAsiaTheme="minorEastAsia" w:cstheme="minorEastAsia"/>
          <w:color w:val="auto"/>
          <w:szCs w:val="21"/>
          <w:highlight w:val="none"/>
        </w:rPr>
        <w:t>及以上的为中型企业，营业收入50万元及以上的为小型企业，营业收入50万元以下的为微型企业。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（五）零售业。从业人员300人以下或营业收入20000万元以下的为中小微型企业。其中，从业人员50人及以上，且营业收入</w:t>
      </w:r>
      <w:r>
        <w:rPr>
          <w:rFonts w:hint="eastAsia" w:asciiTheme="minorEastAsia" w:hAnsiTheme="minorEastAsia" w:eastAsiaTheme="minorEastAsia" w:cstheme="minorEastAsia"/>
          <w:color w:val="auto"/>
          <w:szCs w:val="21"/>
          <w:highlight w:val="none"/>
          <w:lang w:eastAsia="zh-CN"/>
        </w:rPr>
        <w:t>1382万元</w:t>
      </w:r>
      <w:r>
        <w:rPr>
          <w:rFonts w:hint="eastAsia" w:asciiTheme="minorEastAsia" w:hAnsiTheme="minorEastAsia" w:eastAsiaTheme="minorEastAsia" w:cstheme="minorEastAsia"/>
          <w:color w:val="auto"/>
          <w:szCs w:val="21"/>
          <w:highlight w:val="none"/>
        </w:rPr>
        <w:t>及以上的为中型企业；从业人员10人及以上，且营业收入100万元及以上的为小型企业；从业人员10人以下或营业收入100万元以下的为微型企业。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（十四）物业管理。从业人员1000人以下或营业收入5000万元以下的为中小微型企业。其中，从业人员300人及以上，且营业收入1000万元及以上的为中型企业；从业人员100人及以上，且营业收入</w:t>
      </w:r>
      <w:r>
        <w:rPr>
          <w:rFonts w:hint="eastAsia" w:asciiTheme="minorEastAsia" w:hAnsiTheme="minorEastAsia" w:eastAsiaTheme="minorEastAsia" w:cstheme="minorEastAsia"/>
          <w:color w:val="auto"/>
          <w:szCs w:val="21"/>
          <w:highlight w:val="none"/>
          <w:lang w:eastAsia="zh-CN"/>
        </w:rPr>
        <w:t>1382万元</w:t>
      </w:r>
      <w:r>
        <w:rPr>
          <w:rFonts w:hint="eastAsia" w:asciiTheme="minorEastAsia" w:hAnsiTheme="minorEastAsia" w:eastAsiaTheme="minorEastAsia" w:cstheme="minorEastAsia"/>
          <w:color w:val="auto"/>
          <w:szCs w:val="21"/>
          <w:highlight w:val="none"/>
        </w:rPr>
        <w:t>及以上的为小型企业；从业人员100人以下或营业收入</w:t>
      </w:r>
      <w:r>
        <w:rPr>
          <w:rFonts w:hint="eastAsia" w:asciiTheme="minorEastAsia" w:hAnsiTheme="minorEastAsia" w:eastAsiaTheme="minorEastAsia" w:cstheme="minorEastAsia"/>
          <w:color w:val="auto"/>
          <w:szCs w:val="21"/>
          <w:highlight w:val="none"/>
          <w:lang w:eastAsia="zh-CN"/>
        </w:rPr>
        <w:t>1382万元</w:t>
      </w:r>
      <w:r>
        <w:rPr>
          <w:rFonts w:hint="eastAsia" w:asciiTheme="minorEastAsia" w:hAnsiTheme="minorEastAsia" w:eastAsiaTheme="minorEastAsia" w:cstheme="minorEastAsia"/>
          <w:color w:val="auto"/>
          <w:szCs w:val="21"/>
          <w:highlight w:val="none"/>
        </w:rPr>
        <w:t>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（十六）其他未列明行业。从业人员300人以下的为中小微型企业。其中，从业人员100人及以上的为中型企业；从业人员10人及以上的为小型企业；从业人员10人以下的为微型企业。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五、企业类型的划分以统计部门的统计数据为依据。</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六、本规定适用于在中华人民共和国境内依法设立的各类所有制和各种组织形式的企业。个体工商户和本规定以外的行业，参照本规定进行划型。</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八、本规定由工业和信息化部、国家统计局会同有关部门根据《国民经济行业分类》修订情况和企业发展变化情况适时修订。</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九、本规定由工业和信息化部、国家统计局会同有关部门负责解释。</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十、本规定自发布之日起执行，原国家经贸委、原国家计委、财政部和国家统计局2003年颁布的《中小企业标准暂行规定》同时废止。</w:t>
      </w:r>
    </w:p>
    <w:p>
      <w:pPr>
        <w:spacing w:line="360" w:lineRule="auto"/>
        <w:ind w:firstLine="424" w:firstLineChars="20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24"/>
          <w:highlight w:val="none"/>
        </w:rPr>
        <w:t>关于促进残疾人就业政府采购政策的通知</w:t>
      </w:r>
    </w:p>
    <w:p>
      <w:pPr>
        <w:pStyle w:val="32"/>
        <w:spacing w:before="0" w:beforeAutospacing="0" w:after="0" w:afterAutospacing="0" w:line="360" w:lineRule="auto"/>
        <w:ind w:firstLine="480" w:firstLineChars="200"/>
        <w:jc w:val="center"/>
        <w:rPr>
          <w:rFonts w:hint="eastAsia" w:asciiTheme="minorEastAsia" w:hAnsiTheme="minorEastAsia" w:eastAsiaTheme="minorEastAsia" w:cstheme="minorEastAsia"/>
          <w:b/>
          <w:color w:val="auto"/>
          <w:kern w:val="2"/>
          <w:szCs w:val="24"/>
          <w:highlight w:val="none"/>
        </w:rPr>
      </w:pPr>
      <w:bookmarkStart w:id="65" w:name="sendNo"/>
      <w:r>
        <w:rPr>
          <w:rFonts w:hint="eastAsia" w:asciiTheme="minorEastAsia" w:hAnsiTheme="minorEastAsia" w:eastAsiaTheme="minorEastAsia" w:cstheme="minorEastAsia"/>
          <w:color w:val="auto"/>
          <w:kern w:val="2"/>
          <w:highlight w:val="none"/>
        </w:rPr>
        <w:t>财库〔</w:t>
      </w:r>
      <w:bookmarkEnd w:id="65"/>
      <w:r>
        <w:rPr>
          <w:rFonts w:hint="eastAsia" w:asciiTheme="minorEastAsia" w:hAnsiTheme="minorEastAsia" w:eastAsiaTheme="minorEastAsia" w:cstheme="minorEastAsia"/>
          <w:color w:val="auto"/>
          <w:kern w:val="2"/>
          <w:highlight w:val="none"/>
        </w:rPr>
        <w:t>2017〕141号</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bookmarkStart w:id="66" w:name="toDeptId"/>
      <w:r>
        <w:rPr>
          <w:rFonts w:hint="eastAsia" w:asciiTheme="minorEastAsia" w:hAnsiTheme="minorEastAsia" w:eastAsiaTheme="minorEastAsia" w:cstheme="minorEastAsia"/>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66"/>
      <w:r>
        <w:rPr>
          <w:rFonts w:hint="eastAsia" w:asciiTheme="minorEastAsia" w:hAnsiTheme="minorEastAsia" w:eastAsiaTheme="minorEastAsia" w:cstheme="minorEastAsia"/>
          <w:color w:val="auto"/>
          <w:sz w:val="21"/>
          <w:szCs w:val="21"/>
          <w:highlight w:val="none"/>
          <w:shd w:val="clear" w:color="auto" w:fill="FFFFFF"/>
        </w:rPr>
        <w:t>：</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为了发挥政府采购促进残疾人就业的作用，进一步保障残疾人权益，依照《政府采购法》、《残疾人保障法》等法律法规及相关规定，现就促进残疾人就业政府采购政策通知如下：</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一、享受政府采购支持政策的残疾人福利性单位应当同时满足以下条件：</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（一）安置的残疾人占本单位在职职工人数的比例不低于25%（含25%），并且安置的残疾人人数不少于10人（含10人）；</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（二）依法与安置的每位残疾人签订了一年以上（含一年）的劳动合同或服务协议；</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（三）为安置的每位残疾人按月足额缴纳了基本养老保险、基本医疗保险、失业保险、工伤保险和生育保险等社会保险费；</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（四）通过银行等金融机构向安置的每位残疾人，按月支付了不低于单位所在区县适用的经省级人民政府批准的月最低工资标准的工资；</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（五）提供本单位制造的货物、承担的工程或者服务（以下简称产品），或者提供其他残疾人福利性单位制造的货物（不包括使用非残疾人福利性单位注册商标的货物）。</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中标、成交</w:t>
      </w:r>
      <w:r>
        <w:rPr>
          <w:rFonts w:hint="eastAsia" w:asciiTheme="minorEastAsia" w:hAnsiTheme="minorEastAsia" w:eastAsiaTheme="minorEastAsia" w:cstheme="minorEastAsia"/>
          <w:color w:val="auto"/>
          <w:sz w:val="21"/>
          <w:szCs w:val="21"/>
          <w:highlight w:val="none"/>
          <w:shd w:val="clear" w:color="auto" w:fill="FFFFFF"/>
          <w:lang w:eastAsia="zh-CN"/>
        </w:rPr>
        <w:t>供应商</w:t>
      </w:r>
      <w:r>
        <w:rPr>
          <w:rFonts w:hint="eastAsia" w:asciiTheme="minorEastAsia" w:hAnsiTheme="minorEastAsia" w:eastAsiaTheme="minorEastAsia" w:cstheme="minorEastAsia"/>
          <w:color w:val="auto"/>
          <w:sz w:val="21"/>
          <w:szCs w:val="21"/>
          <w:highlight w:val="none"/>
          <w:shd w:val="clear" w:color="auto" w:fill="FFFFFF"/>
        </w:rPr>
        <w:t>为残疾人福利性单位的，采购人或者其委托的采购代理机构应当随中标、成交结果同时公告其《残疾人福利性单位声明函》，接受社会监督。</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eastAsia="zh-CN"/>
        </w:rPr>
        <w:t>供应商</w:t>
      </w:r>
      <w:r>
        <w:rPr>
          <w:rFonts w:hint="eastAsia" w:asciiTheme="minorEastAsia" w:hAnsiTheme="minorEastAsia" w:eastAsiaTheme="minorEastAsia" w:cstheme="minorEastAsia"/>
          <w:color w:val="auto"/>
          <w:sz w:val="21"/>
          <w:szCs w:val="21"/>
          <w:highlight w:val="none"/>
          <w:shd w:val="clear" w:color="auto" w:fill="FFFFFF"/>
        </w:rPr>
        <w:t>提供的《残疾人福利性单位声明函》与事实不符的，依照《政府采购法》第七十七条第一款的规定追究法律责任。</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四、采购人采购公开招标数额标准以上的货物或者服务，因落实促进残疾人就业政策的需要，依法履行有关报批程序后，可采用公开招标以外的采购方式。</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32"/>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七、本通知自2017年10月1日起执行。</w:t>
      </w:r>
    </w:p>
    <w:p>
      <w:pPr>
        <w:pStyle w:val="32"/>
        <w:spacing w:before="0" w:beforeAutospacing="0" w:after="0" w:afterAutospacing="0" w:line="360" w:lineRule="auto"/>
        <w:ind w:firstLine="420" w:firstLineChars="20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财政部民政部中国残疾人联合会</w:t>
      </w:r>
    </w:p>
    <w:p>
      <w:pPr>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 w:val="24"/>
          <w:highlight w:val="none"/>
        </w:rPr>
        <w:br w:type="page"/>
      </w:r>
    </w:p>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财政部司法部关于政府采购支持监狱企业发展有关问题的通知</w:t>
      </w:r>
    </w:p>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财库〔2014〕68号</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w:t>
      </w:r>
      <w:r>
        <w:rPr>
          <w:rFonts w:hint="eastAsia" w:asciiTheme="minorEastAsia" w:hAnsiTheme="minorEastAsia" w:eastAsiaTheme="minorEastAsia" w:cstheme="minorEastAsia"/>
          <w:color w:val="auto"/>
          <w:szCs w:val="21"/>
          <w:highlight w:val="none"/>
          <w:lang w:eastAsia="zh-CN"/>
        </w:rPr>
        <w:t>技术部分</w:t>
      </w:r>
      <w:r>
        <w:rPr>
          <w:rFonts w:hint="eastAsia" w:asciiTheme="minorEastAsia" w:hAnsiTheme="minorEastAsia" w:eastAsiaTheme="minorEastAsia" w:cstheme="minorEastAsia"/>
          <w:color w:val="auto"/>
          <w:szCs w:val="21"/>
          <w:highlight w:val="none"/>
        </w:rPr>
        <w:t>的通知》（国发[2003]7号）文件精神，发挥政府采购支持监狱企业发展的作用，现就有关事项通知如下：</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四、各地区可以结合本地区实际，对监狱企业生产的办公用品、家具用具、车辆维修和提供的保养服务、消防设备等，提出预留份额等政府采购支持措施，加大对监狱企业产品的采购力度。</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中华人民共和国财政部</w:t>
      </w:r>
    </w:p>
    <w:p>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中华人民共和国司法部</w:t>
      </w:r>
      <w:r>
        <w:rPr>
          <w:rFonts w:hint="eastAsia" w:asciiTheme="minorEastAsia" w:hAnsiTheme="minorEastAsia" w:eastAsiaTheme="minorEastAsia" w:cstheme="minorEastAsia"/>
          <w:color w:val="auto"/>
          <w:szCs w:val="21"/>
          <w:highlight w:val="none"/>
        </w:rPr>
        <w:br w:type="page"/>
      </w:r>
    </w:p>
    <w:p>
      <w:pPr>
        <w:spacing w:line="312" w:lineRule="auto"/>
        <w:jc w:val="center"/>
        <w:rPr>
          <w:rFonts w:hint="eastAsia" w:asciiTheme="minorEastAsia" w:hAnsiTheme="minorEastAsia" w:eastAsiaTheme="minorEastAsia" w:cstheme="minorEastAsia"/>
          <w:b/>
          <w:snapToGrid/>
          <w:color w:val="auto"/>
          <w:kern w:val="0"/>
          <w:sz w:val="28"/>
          <w:szCs w:val="28"/>
          <w:highlight w:val="none"/>
          <w:lang w:val="en-US" w:eastAsia="zh-CN" w:bidi="ar-SA"/>
        </w:rPr>
      </w:pPr>
      <w:r>
        <w:rPr>
          <w:rFonts w:hint="eastAsia" w:asciiTheme="minorEastAsia" w:hAnsiTheme="minorEastAsia" w:eastAsiaTheme="minorEastAsia" w:cstheme="minorEastAsia"/>
          <w:b/>
          <w:snapToGrid/>
          <w:color w:val="auto"/>
          <w:kern w:val="0"/>
          <w:sz w:val="28"/>
          <w:szCs w:val="28"/>
          <w:highlight w:val="none"/>
          <w:lang w:val="en-US" w:eastAsia="zh-CN" w:bidi="ar-SA"/>
        </w:rPr>
        <w:t>长春市财政局关于进一步做好我市政府采购促进中小企业发展有关工作的通知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snapToGrid/>
          <w:color w:val="auto"/>
          <w:kern w:val="0"/>
          <w:sz w:val="28"/>
          <w:szCs w:val="28"/>
          <w:highlight w:val="none"/>
          <w:lang w:val="en-US" w:eastAsia="zh-CN" w:bidi="ar-SA"/>
        </w:rPr>
      </w:pPr>
      <w:r>
        <w:rPr>
          <w:rFonts w:hint="eastAsia" w:asciiTheme="minorEastAsia" w:hAnsiTheme="minorEastAsia" w:eastAsiaTheme="minorEastAsia" w:cstheme="minorEastAsia"/>
          <w:b/>
          <w:snapToGrid/>
          <w:color w:val="auto"/>
          <w:kern w:val="0"/>
          <w:sz w:val="28"/>
          <w:szCs w:val="28"/>
          <w:highlight w:val="none"/>
          <w:lang w:val="en-US" w:eastAsia="zh-CN" w:bidi="ar-SA"/>
        </w:rPr>
        <w:t>长财采购〔2021〕416号</w:t>
      </w:r>
    </w:p>
    <w:p>
      <w:pPr>
        <w:widowControl w:val="0"/>
        <w:kinsoku/>
        <w:autoSpaceDE/>
        <w:autoSpaceDN/>
        <w:adjustRightInd/>
        <w:snapToGrid/>
        <w:spacing w:line="312" w:lineRule="auto"/>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市直各机关、事业单位、团体组织，各采购代理机构：</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为充分发挥政府采购的政策功能，进一步落实《中华人民共和国政府采购法》《中华人民共和国政府采购法实施条例》《中华人民共和国中小企业促进法》及财政部、工信部《政府采购促进中小企业发展管理办法》(财库〔2020〕46号)等有关法律法规支持中小企业发展的要求，现就我市政府采购促进中小企业发展的具体事宜和相关要求明确如下：</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一、中小企业定义。本通知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符合中小企业划分标准的个体工商户，在政府采购活动中视同中小企业。</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二、扶持中小企业的政策措施。采购人在政府采购活动中应当通过加强采购需求管理，落实预留采购份额、价格评审优惠、优先采购等措施，提高中小企业在政府采购中的份额，支持中小企业发展。</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三、享受中小企业扶持政策的情形。在政府采购活动中，供应商提供的货物、工程或者服务符合下列情形的，享受本通知规定的中小企业扶持政策：</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(一)在货物采购项目中，货物由中小企业制造，即货物由中小企业生产且使用该中小企业商号或者注册商标；</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(二)在工程采购项目中，工程由中小企业承建，即工程施工单位为中小企业；</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(三)在服务采购项目中，服务由中小企业承接，即提供服务的人员为中小企业依照《中华人民共和国劳动合同法》订立劳动合同的从业人员。</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在货物采购项目中，如果一个采购项目或采购包含有多个采购标的的，则每个采购标的均应由中小企业制造。供应商提供的货物既有中小企业制造货物，也有大型企业制造货物的，不享受本通知规定的中小企业扶持政策。</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采购人应当根据政府采购有关规定和采购项目的实际情况，确定拟采购项目是货物、工程还是服务项目。享受中小企业扶持政策的供应商应当满足下列条件：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以联合体形式参加政府采购活动，联合体各方均为中小企业的，联合体视同中小企业。其中，联合体各方均为小微企业的，联合体视同小微企业。</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四、禁止对中小企业实行差别待遇或歧视待遇。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五、不适宜由中小企业提供的情形。主管预算单位应当组织评估本部门及所属单位政府采购项目，统筹制定面向中小企业预留采购份额的具体方案，方案内容应当包括：预留采购份额的项目清单、采取的预留措施、达到的预留比例、预留给中小企业的采购金额、预留给小微企业的采购金额等。预算主管部门应当对2021年度政府采购预算进行梳理，在预算下达后结合本部门预算执行安排统筹制定2021年度方案。对适宜由中小企业提供的采购项目和采购包，预留采购份额专门面向中小企业采购，并在政府采购预算中单独列示。</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符合下列情形之一的，可不专门面向中小企业预留采购份额：</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(一)法律法规和国家有关政策明确规定优先或者应当面向事业单位、社会组织等非企业主体采购的；</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因确需使用不可替代的专利、专有技术，基础设施限制(“基础设施限制”主要是指受供水、供电、供气、供热、道路和交通设施等基础设施条件限制。)，或者提供特定公共服务等原因，只能从中小企业之外的供应商处采购的；</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(三)按照本办法规定预留采购份额无法确保充分供应、充分竞争，或者存在可能影响政府采购目标实现的情形；</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(四)框架协议采购项目；</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(五)省级以上人民政府财政部门规定的其他情形。除上述情形外，其他均为适宜由中小企业提供的情形。</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六、专门面向中小企业采购的额度规定。采购限额标准以上，200万元以下的货物和服务采购项目、400万元以下的工程采购项目，适宜由中小企业提供的，采购人应当专门面向中小企业采购。</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七、预留份额的措施。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(一)将采购项目整体或者设置采购包专门面向中小企业采购；</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(二)要求供应商以联合体形式参加采购活动，且联合体中中小企业承担的部分达到一定比例；</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(三)要求获得采购合同的供应商将采购项目中的一定比例分包给一家或者多家中小企业。</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组成联合体或者接受分包合同的中小企业与联合体内其他企业、分包企业之间不得存在直接控股、管理关系。</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八、价格扣除或增加价格得分。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价格扣除比例或者价格分加分比例对小型企业和微型企业同等对待，不作区分。具体采购项目的价格扣除比例或者价格分加分比例，由采购人根据采购标的相关行业平均利润率、市场竞争状况等，在本通知规定的幅度内确定。</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九、需由主管预算单位确认的情形。采购人应当严格按照本通知规定和主管预算单位制定的预留采购份额具体方案开展采购活动。在具体方案制定之前需开展采购活动的项目，采购人拟不专门面向中小企业预留采购份额的，应当按照第五条第二款规定说明原因，并由主管预算单位确认。</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符合资格条件的中小企业数量不足3家的处理方式。预留份额的采购项目或者采购包，通过发布公告方式邀请供应商后，符合资格条件的中小企业数量不足3家的，应当中止采购活动，视同未预留份额的采购项目或者采购包，按照本通知第八条有关规定重新组织采购活动。</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一、采购意向公开。采购人在公开政府采购意向时，除按规定公开采购项目名称、采购需求概况、预算金额、预计采购时间等内容外，还应标明是否专门面向中小企业采购，便于中小企业提前做好参与政府采购活动的各项准备工作。</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二、运用电子商城加大扶持力度。依托“政采云”平台，在长春市政府采购电子商城上，通过加挂中小企业标识、搜索排序、流量引导等技术手段，指导中小企业入驻电子商城，扩展产品销售渠道，鼓励各级预算单位优先向中小企业进行采购。</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三、中小企业声明函。中小企业参加政府采购活动，应当出具本办法规定的《中小企业声明函》(附1)，否则不得享受相关中小企业扶持政策。任何单位和个人不得要求供应商提供《中小企业声明函》之外的中小企业身份证明文件。</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政府采购供应商可通过工业和信息化部官方网站的“中小企业规模类型自测小程序”，填写企业所属的行业和指标数据自动生成企业规模类型测试结果，识别企业规模类型。</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十四、采购文件需明确的内容。采购项目涉及中小企业采购的，采购文件应当明确以下内容：</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(一)预留份额的采购项目或者采购包，明确该项目或相关采购包专门面向中小企业采购，以及相关标的及预算金额；</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(二)要求以联合体形式参加或者合同分包的，明确联合协议或者分包意向协议中中小企业合同金额应当达到的比例，并作为供应商资格条件；</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(三)非预留份额的采购项目或者采购包，明确有关价格扣除比例或者价格分加分比例；</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(四)规定依据本通知规定享受扶持政策获得政府采购合同的，小微企业不得将合同分包给大中型企业，中型企业不得将合同分包给大型企业；</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(五)采购人认为具备相关条件的，明确对中小企业在资金支付期限、预付款比例等方面的优惠措施；</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(六)明确采购标的对应的中小企业划分标准所属行业，如果一个采购项目涉及多个采购标的的，应当在采购文件中逐一明确所有采购标的对应的中小企业划分标准所属行业；</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(七)法律法规和省级以上人民政府财政部门规定的其他事项。</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十五、公开中小企业声明函。中标、成交供应商享受本通知规定的中小企业扶持政策的，采购人、采购代理机构应当随中标、成交结果公开中标、成交供应商的《中小企业声明函》。</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适用招标投标法的政府采购工程建设项目，应当在公示中标候选人时公开中标候选人的《中小企业声明函》。</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六、中小企业预留合同。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七、履约保证金、付款期限、付款方式给予优惠。采购人在与中小企业签订政府采购合同时，履约保证金针对中小企业进行适当减免，缴纳比例从法律法规规定的合同金额的10%降为2%。除国家法律规定外，如无特殊需要，原则上取消对中小企业政府采购的质保金。付款方式上增加对中小企业的预付款比例，若无预付款约定，需给予中小企业5%的预付款；若有相关比例约定，则在原有基础上再增加5%。采购人视情况可以要求中小企业提供对应的预付款保函。</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在履约保证金、付款期限、付款方式、预付款担保等方面给予中小企业的优惠措施应在招标文件(含谈判、磋商、询价)中注明。</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八、鼓励信用担保。鼓励在采购活动中引入信用担保手段，为中小企业在投标(响应)保证、履约保证等方面提供专业化服务。各采购人应当配合相关金融机构，为获得政府采购合同的中小企业在融资和履约保证等方面提供便利条件。</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十九、中小企业认定部门。政府采购监督检查、投诉处理及政府采购行政处罚中对中小企业的认定，由货物制造商或者工程、服务供应商注册登记所在地的县级以上人民政府中小企业主管部门负责。</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中小企业主管部门应当在收到财政部门或者有关招标投标行政监督部门关于协助开展中小企业认定函后10个工作日内做出书面答复。</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绩效管理与考核。采购人应当对涉及中小企业采购的预算项目实施全过程绩效管理，合理设置绩效目标和指标，落实扶持中小企业有关政策要求，定期开展绩效监控和评价，强化绩效评价结果应用，并将扶持中小企业有关政策的落实情况作为政府部门绩效考评考核的内容。</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一、公开预留面向中小企业采购情况。主管预算单位应当自2022年起向同级财政部门报告本部门上一年度面向中小企业预留份额和采购的具体情况，并在中国政府采购网公开预留项目执行情况(附2)。未达到本通知规定的预留份额比例的，应当作出说明。</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二、采购人的法律责任。采购人未按本通知规定为中小企业预留采购份额，采购人、采购代理机构未按照本通知规定要求实施价格扣除或者价格分加分的，属于未按照规定执行政府采购政策，依照《中华人民共和国政府采购法》等国家有关规定追究法律责任。</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二十三、供应商的法律责任。供应商按照本通知规定提供声明函内容不实的，属于提供虚假材料谋取中标、成交，依照《中华人民共和国政府采购法》等国家有关规定追究相应责任。</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适用招标投标法的政府采购工程建设项目，供应商按照本办法规定提供声明函内容不实的，属于弄虚作假骗取中标，依照《中华人民共和国招标投标法》等国家有关规定追究相应责任。</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四、财政部门、中小企业主管部门的法律责任。财政部门、中小企业主管部门及其工作人员在履行职责中违反本通知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二十五、财政部门监督检查。财政部门将把政府采购支持中小企业有关情况纳入监管范围，作为政府采购监督检查的重要内容。</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二十六、本通知不适用情形。对外援助项目、国家相关资格或者资质管理制度另有规定的项目，不适用本通知。</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二十七、各县区执行标准。各县(市)、区(开发区)财政局可参照本通知内容，结合自身实际情况，制定落实促进中小企业发展的相关政策。</w:t>
      </w:r>
    </w:p>
    <w:p>
      <w:pPr>
        <w:widowControl w:val="0"/>
        <w:kinsoku/>
        <w:autoSpaceDE/>
        <w:autoSpaceDN/>
        <w:adjustRightInd/>
        <w:snapToGrid/>
        <w:spacing w:line="312" w:lineRule="auto"/>
        <w:ind w:firstLine="420" w:firstLineChars="200"/>
        <w:jc w:val="both"/>
        <w:textAlignment w:val="auto"/>
        <w:rPr>
          <w:rFonts w:hint="eastAsia" w:asciiTheme="minorEastAsia" w:hAnsiTheme="minorEastAsia" w:eastAsiaTheme="minorEastAsia" w:cstheme="minorEastAsia"/>
          <w:snapToGrid/>
          <w:color w:val="auto"/>
          <w:kern w:val="2"/>
          <w:szCs w:val="21"/>
          <w:highlight w:val="none"/>
          <w:lang w:val="en-US" w:eastAsia="zh-CN" w:bidi="ar-SA"/>
        </w:rPr>
      </w:pPr>
      <w:r>
        <w:rPr>
          <w:rFonts w:hint="eastAsia" w:asciiTheme="minorEastAsia" w:hAnsiTheme="minorEastAsia" w:eastAsiaTheme="minorEastAsia" w:cstheme="minorEastAsia"/>
          <w:snapToGrid/>
          <w:color w:val="auto"/>
          <w:kern w:val="2"/>
          <w:szCs w:val="21"/>
          <w:highlight w:val="none"/>
          <w:lang w:val="en-US" w:eastAsia="zh-CN" w:bidi="ar-SA"/>
        </w:rPr>
        <w:t>二十八、本通知有效期。本通知自印发之日起施行，如有调整另行通知。《长春市财政局关于做好我市政府采购促进中小企业发展有关工作的通知》(长财采购〔2019〕594号)同时废止。</w:t>
      </w:r>
    </w:p>
    <w:p>
      <w:pPr>
        <w:spacing w:line="312" w:lineRule="auto"/>
        <w:rPr>
          <w:rFonts w:hint="eastAsia" w:asciiTheme="minorEastAsia" w:hAnsiTheme="minorEastAsia" w:eastAsiaTheme="minorEastAsia" w:cstheme="minorEastAsia"/>
          <w:color w:val="auto"/>
          <w:highlight w:val="none"/>
        </w:rPr>
      </w:pPr>
    </w:p>
    <w:p>
      <w:pPr>
        <w:topLinePunct/>
        <w:adjustRightInd w:val="0"/>
        <w:snapToGrid w:val="0"/>
        <w:spacing w:before="36" w:beforeLines="15"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 w:val="24"/>
          <w:highlight w:val="none"/>
        </w:rPr>
        <w:br w:type="page"/>
      </w:r>
      <w:bookmarkStart w:id="67" w:name="_Toc17432"/>
      <w:r>
        <w:rPr>
          <w:rFonts w:hint="eastAsia" w:asciiTheme="minorEastAsia" w:hAnsiTheme="minorEastAsia" w:eastAsiaTheme="minorEastAsia" w:cstheme="minorEastAsia"/>
          <w:b/>
          <w:color w:val="auto"/>
          <w:sz w:val="36"/>
          <w:szCs w:val="36"/>
          <w:highlight w:val="none"/>
        </w:rPr>
        <w:t xml:space="preserve">第四章 </w:t>
      </w:r>
      <w:r>
        <w:rPr>
          <w:rFonts w:hint="eastAsia" w:asciiTheme="minorEastAsia" w:hAnsiTheme="minorEastAsia" w:eastAsiaTheme="minorEastAsia" w:cstheme="minorEastAsia"/>
          <w:b/>
          <w:color w:val="auto"/>
          <w:sz w:val="36"/>
          <w:szCs w:val="36"/>
          <w:highlight w:val="none"/>
          <w:lang w:eastAsia="zh-CN"/>
        </w:rPr>
        <w:t>合同主要条款</w:t>
      </w:r>
      <w:bookmarkEnd w:id="67"/>
    </w:p>
    <w:p>
      <w:pPr>
        <w:pStyle w:val="16"/>
        <w:spacing w:before="66" w:line="460" w:lineRule="exact"/>
        <w:ind w:right="70"/>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具体以双方签订为准</w:t>
      </w:r>
      <w:r>
        <w:rPr>
          <w:rFonts w:hint="eastAsia" w:asciiTheme="minorEastAsia" w:hAnsiTheme="minorEastAsia" w:eastAsiaTheme="minorEastAsia" w:cstheme="minorEastAsia"/>
          <w:b/>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8"/>
          <w:szCs w:val="28"/>
          <w:lang w:val="en-US" w:eastAsia="zh-CN"/>
        </w:rPr>
      </w:pPr>
      <w:bookmarkStart w:id="68" w:name="_Toc399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政府采购服务项目合同</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合同编号：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项目名称：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采购人（甲方）：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供应商（乙方）：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根据《中华人民共和国民法典》《中华人民共和国政府采购法》《政府采购需求管理办法》等法律法规，甲乙双方就本项目服务采购事宜，经平等协商，依据中标（成交）结果订立本合同，共同遵照执行。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第一条 项目概况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服务项目名称：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服务实施地点：甲方指定地点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 服务期限：自____年__月__日至____年__月__日止；如需延期，双方另行签订补充协议。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 服务方式：乙方按照采购文件、响应文件、本合同约定及国家行业规范，提供全过程专业服务。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第二条 服务内容、标准及要求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 乙方应严格按照采购需求、响应承诺及行业现行标准完成全部服务工作，具体工作内容、技术参数、质量要求、成果交付清单详见本合同附件一《服务需求及技术标准》。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 服务过程中如需调整服务内容，须经甲方书面确认，未经确认乙方不得擅自变更。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 乙方应建立项目管理制度，配备固定项目负责人及专职工作人员，人员配置须满足项目正常开展需要，未经甲方同意不得随意更换。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 乙方应保证服务过程合法合规，符合安全生产、保密管理等相关规定。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第三条 合同价款及定价方式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合同价款：本项目采用 □固定总价 □固定单价 方式计价。 合同总金额：人民币________元（大写：________________________元整）。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本价款包含人工、设备、交通、资料编制、检测、税费、管理、保险、售后服务等全部费用，为最终包干价格，除双方书面确认的变更事项外，甲方不再另行支付任何费用。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付款方式：</w:t>
      </w:r>
      <w:r>
        <w:rPr>
          <w:rFonts w:hint="eastAsia" w:ascii="宋体" w:hAnsi="宋体" w:eastAsia="宋体" w:cs="宋体"/>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第四条 付款方式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预付款：合同签订生效后，甲方向乙方支付合同总价____%，即________元；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进度款：项目服务完成____%，经甲方阶段性验收合格后，支付至合同总价____%；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 尾款：项目全部服务完成，经甲方最终验收合格后____个工作日内，支付剩余款项；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 付款前乙方须按甲方要求完成全部资料归档、成果移交等工作。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第五条 双方权利与义务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（一）甲方权利义务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向乙方提供项目开展所需的基础资料、相关文件及必要工作配合。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有权对乙方服务进度、服务质量进行监督、检查，对不符合要求的工作提出整改要求。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 按合同约定及时办理款项支付手续。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 对乙方提交的服务成果，在规定时限内组织审核验收，及时反馈意见。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（二）乙方权利义务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严格按照合同约定的期限、质量标准完成全部服务工作，按期交付完整成果资料。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主动接受甲方监督管理，及时整改服务过程中存在的问题。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 严格履行保密义务，对项目实施过程中获取的甲方工作秘密、内部资料、敏感信息永久保密，合同终止后不得泄露、传播或用于其他用途。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 乙方工作人员人身安全、劳动用工、薪酬福利、工伤医疗等全部责任由乙方自行承担，与甲方无关。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因乙方工作失误、违规操作造成的一切经济损失和法律责任，均由乙方独立承担。</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第六条 成果交付与验收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服务全部完成后，乙方提交完整成果资料及验收申请，甲方在收到申请后____个工作日内组织验收。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验收依据：采购文件、响应文件、本合同约定、国家现行法律法规及行业技术标准。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验收不合格的，乙方须在甲方规定时限内无偿整改完毕并重新报验，直至验收合格，由此产生的工期延误由乙方承担违约责任。</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4. 验收合格后，双方签署验收确认单，作为尾款支付依据。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第七条 售后服务与质保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服务成果交付验收合格后，乙方提供____个月免费质保服务。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质保期内，乙方接到甲方整改通知后，应在____小时内响应，____个工作日内完成问题整改，确保服务成果正常使用。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质保期内非甲方人为原因造成的问题，由乙方无偿维修、更正；因甲方使用不当造成的，乙方可提供技术支持，费用由甲方承担。</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第八条 知识产权归属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乙方在服务过程中形成的报告、方案、图纸、数据资料、电子文档等全部成果知识产权归甲方所有。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乙方仅可在成果上标注编制单位名称，未经甲方书面许可，乙方不得擅自复制、传播、转让、二次使用本项目成果，不得用于其他商业项目。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第九条 违约责任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甲方未按合同约定支付款项的，每逾期一日，按逾期付款金额的万分之零点五支付违约金。</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 乙方未按合同约定工期完成服务或交付成果的，每逾期一日，按合同总价款的万分之三支付违约金；逾期超过____日，甲方有权单方解除合同，乙方应退还已收全部款项，并承担合同总价10%的违约金。</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 因乙方服务质量不符合约定，造成甲方工作延误或经济损失的，乙方应无偿整改，并赔偿甲方相应实际损失。</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4. 乙方擅自泄露甲方保密信息，应承担合同总价20%违约金，造成严重后果的，甲方有权追究其法律责任。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第十条 不可抗力 因地震、洪水、台风、疫情、重大政策调整等不可抗力因素，导致合同无法正常履行的，遭遇方应及时通知对方，双方可协商顺延工期、变更合同或终止合同，互不承担违约责任。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第十一条 争议解决 本合同在履行过程中发生争议，双方应友好协商解决；协商不成的，依法向采购人所在地人民法院提起诉讼。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第十二条 合同组成文件 下列文件互为补充，具有同等法律效力，如有冲突，按以下优先级解释：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中标（成交）通知书；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本合同及补充协议；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采购文件；</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4. 乙方响应文件及澄清承诺文件；</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5. 附件、成果确认单、验收单等书面文件。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第十三条 其他约定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本合同未尽事宜，双方可另行签订补充协议，补充协议与本合同具有同等法律效力。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 本合同一式肆份，甲方贰份、乙方壹份、财政监管备案壹份，自双方签字盖章之日起生效。</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采购人（甲方）（盖章）：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法定代表人/授权代表：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联系电话：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签订日期：____年__月__日</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供应商（乙方）（盖章）：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法定代表人/授权代表：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联系电话：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签订日期：____年__月__日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附件（可附在合同后）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附件1：服务需求及技术标准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附件2：服务成果交付清单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附件3：项目团队人员配置表 </w:t>
      </w:r>
    </w:p>
    <w:bookmarkEnd w:id="68"/>
    <w:p>
      <w:pPr>
        <w:pStyle w:val="21"/>
        <w:ind w:left="0" w:leftChars="0" w:firstLine="0" w:firstLineChars="0"/>
        <w:rPr>
          <w:rFonts w:hint="eastAsia" w:asciiTheme="minorEastAsia" w:hAnsiTheme="minorEastAsia" w:eastAsiaTheme="minorEastAsia" w:cstheme="minorEastAsia"/>
          <w:b/>
          <w:bCs/>
          <w:color w:val="auto"/>
          <w:sz w:val="44"/>
          <w:szCs w:val="44"/>
          <w:highlight w:val="none"/>
          <w:lang w:eastAsia="zh-CN"/>
        </w:rPr>
      </w:pPr>
    </w:p>
    <w:p>
      <w:pPr>
        <w:rPr>
          <w:rFonts w:hint="eastAsia"/>
          <w:lang w:eastAsia="zh-CN"/>
        </w:rPr>
        <w:sectPr>
          <w:headerReference r:id="rId10" w:type="default"/>
          <w:footerReference r:id="rId11" w:type="default"/>
          <w:pgSz w:w="11906" w:h="16838"/>
          <w:pgMar w:top="1440" w:right="1080" w:bottom="1440" w:left="1080" w:header="1020" w:footer="1134" w:gutter="0"/>
          <w:pgNumType w:fmt="decimal"/>
          <w:cols w:space="720" w:num="1"/>
        </w:sectPr>
      </w:pPr>
    </w:p>
    <w:p>
      <w:pPr>
        <w:numPr>
          <w:ilvl w:val="0"/>
          <w:numId w:val="3"/>
        </w:numPr>
        <w:topLinePunct/>
        <w:adjustRightInd w:val="0"/>
        <w:snapToGrid w:val="0"/>
        <w:spacing w:before="36" w:beforeLines="15" w:line="360" w:lineRule="auto"/>
        <w:jc w:val="center"/>
        <w:outlineLvl w:val="0"/>
        <w:rPr>
          <w:rFonts w:hint="eastAsia" w:asciiTheme="minorEastAsia" w:hAnsiTheme="minorEastAsia" w:eastAsiaTheme="minorEastAsia" w:cstheme="minorEastAsia"/>
          <w:b/>
          <w:color w:val="auto"/>
          <w:sz w:val="36"/>
          <w:szCs w:val="36"/>
          <w:highlight w:val="none"/>
          <w:lang w:val="en-US" w:eastAsia="zh-CN"/>
        </w:rPr>
      </w:pPr>
      <w:bookmarkStart w:id="69" w:name="_Toc23134"/>
      <w:bookmarkStart w:id="70" w:name="_Toc508"/>
      <w:r>
        <w:rPr>
          <w:rFonts w:hint="eastAsia" w:asciiTheme="minorEastAsia" w:hAnsiTheme="minorEastAsia" w:eastAsiaTheme="minorEastAsia" w:cstheme="minorEastAsia"/>
          <w:b/>
          <w:color w:val="auto"/>
          <w:sz w:val="36"/>
          <w:szCs w:val="36"/>
          <w:highlight w:val="none"/>
          <w:lang w:val="en-US" w:eastAsia="zh-CN"/>
        </w:rPr>
        <w:t>采购需求</w:t>
      </w:r>
      <w:bookmarkEnd w:id="69"/>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一、项目概况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为2026年度吉林省体育局乒曲篮武中心体育竞赛训练全流程保障技术服务，统一打包采购，不设置定向岗位、不开展劳务派遣、不形成劳动关系，中标人以技术服务总包方式，提供覆盖训练指导、医疗保障、队伍管理、赛事组织协调、竞赛服装器材供应配送的一体化保障服务，确保中心各项目全年训练、参赛工作规范、安全、高效完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二、服务范围与内容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（一）体育训练与竞赛技术指导服务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围绕乒乓球、曲棍球、篮球、排球、武术套路、武术散打、腰旗橄榄球、板球等项目全年训练备战计划与全国赛事安排，提供专业训练方案制定、技战术指导、赛事临场指挥、队伍统筹管理、赛风赛纪与反兴奋剂管控等综合性技术支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服务方须匹配对应项目高级别专业技术能力，具备同项目全国赛事保障经验，能够按赛事周期完成集训组织、赛前备战、赛中指导、赛后总结全链条服务，确保训练质量与竞赛成绩达标。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（二）运动医疗与健康保障服务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针对各项目运动员提供运动损伤预防、现场急救、伤病诊疗、康复指导、健康监测、卫生防疫、联系正规医院等专业医疗保障服务。服务须覆盖日常训练、集中集训、外出参赛全场景，配备符合运动医学要求的保障人员与基础处置设备，建立运动员健康管理台账，落实赛场应急处置流程，保障运动员身体健康与训练参赛安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（三）竞赛服装与训练器材供应保障服务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依据中心2026年参赛需求，按项目、按标准、按时间节点完成专业运动队竞赛服装、训练装备、专项器材、耗材的统一采购、印刷、包装、配送及售后保障，具体内容如下：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球类项目：曲棍球、乒乓球、篮球、排球、手球、足球、腰旗橄榄球等专项训练比赛用球、球网、网架、专项护具、训练辅助器材；各项目训练服、比赛服、专项鞋、紧身衣、棉服、风衣、背包、水杯等全套装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武术类项目：武术散打护具、拳套、脚靶、沙袋、降体重服；武术套路比赛器械、比赛服、表演服、专项护具等。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击剑、攀岩等项目：专项器械、比赛装备、护具、服装、鞋类及配套耗材。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通用保障物资：标志服、阻力带、瑜伽垫、消毒用品、除臭用品等训练耗材。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（四）人员与后勤统筹服务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自行承担本项目所有技术保障人员、配送人员、管理人员的招募、培训、管理、考核、薪酬福利、医疗、食宿、交通、保险、安全责任等全部费用与管理责任，所有人员与采购人无任何劳动、劳务及人事隶属关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三、服务时间与地点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服务时间：</w:t>
      </w:r>
      <w:r>
        <w:rPr>
          <w:rFonts w:hint="eastAsia" w:ascii="宋体" w:hAnsi="宋体" w:eastAsia="宋体" w:cs="宋体"/>
          <w:sz w:val="21"/>
          <w:szCs w:val="21"/>
          <w:highlight w:val="none"/>
          <w:lang w:val="en-US" w:eastAsia="zh-CN"/>
        </w:rPr>
        <w:t>自合同签订之日起至2026年12月31日（与中心全年训练备战周期、全国赛事计划同步保障）。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服务地点：中心日常训练场馆/基地及2026年全国各项目赛事指定举办地（含四川、陕西、江苏、山西、山东、河南、内蒙古、辽宁、黑龙江、浙江、河北、湖北、广东、湖南、重庆等省市赛区）。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四、服务能力与资质要求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（一）技术服务能力要求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训练指导类：具备对应项目专业执教能力，优先选择拥有国家级、高级、中级教练员职称或具备2年及以上同项目专业训练、赛事指导经验的技术团队。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医疗保障类：具备合法执业资质与运动医学/康复专业能力，拥有运动损伤救治、康复、松解、赛场急救理论基础与实操经验，能够独立完成运动队全周期健康保障。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物资保障能力：具备体育服装器材采购、供应、配送能力，熟悉体育赛事装备标准，可按时保质完成全品类物资交付。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（二）管理要求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团队须服从采购人统一调度与管理，严格遵守训练、赛事、安全、保密相关规定。所有保障服务须符合国家体育项目竞赛规则与装备标准，不得影响训练与参赛。中标人不得转包、违法分包本项目，须全力按照中心要求完成全部服务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五、保障对象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中心乒乓球、曲棍球、篮球、排球、武术套路、武术散打、手球、击剑、攀岩、腰旗橄榄球、足球、板球等项目参训、参赛运动员及相关工作人员。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六、核心服务标准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保障及时到位，满足日常训练与全国赛事临场保障需求。服装器材质量合格、规格准确、数量充足、按时配送。医疗保障规范安全，无重大医疗安全责任事件。人员管理规范，后勤保障到位，不向采购人提出额外费用要求。</w:t>
      </w:r>
    </w:p>
    <w:p>
      <w:pPr>
        <w:keepNext w:val="0"/>
        <w:keepLines w:val="0"/>
        <w:pageBreakBefore w:val="0"/>
        <w:widowControl w:val="0"/>
        <w:kinsoku/>
        <w:wordWrap/>
        <w:overflowPunct/>
        <w:topLinePunct/>
        <w:autoSpaceDE/>
        <w:autoSpaceDN/>
        <w:bidi w:val="0"/>
        <w:adjustRightInd w:val="0"/>
        <w:snapToGrid w:val="0"/>
        <w:spacing w:before="36" w:beforeLines="15" w:line="440" w:lineRule="exact"/>
        <w:jc w:val="both"/>
        <w:textAlignment w:val="auto"/>
        <w:outlineLvl w:val="0"/>
        <w:rPr>
          <w:rFonts w:hint="eastAsia" w:asciiTheme="minorEastAsia" w:hAnsiTheme="minorEastAsia" w:eastAsiaTheme="minorEastAsia" w:cstheme="minorEastAsia"/>
          <w:b/>
          <w:color w:val="auto"/>
          <w:sz w:val="36"/>
          <w:szCs w:val="36"/>
          <w:highlight w:val="none"/>
        </w:rPr>
      </w:pPr>
    </w:p>
    <w:p>
      <w:pPr>
        <w:topLinePunct/>
        <w:adjustRightInd w:val="0"/>
        <w:snapToGrid w:val="0"/>
        <w:spacing w:before="36" w:beforeLines="15" w:line="360" w:lineRule="auto"/>
        <w:jc w:val="both"/>
        <w:outlineLvl w:val="0"/>
        <w:rPr>
          <w:rFonts w:hint="eastAsia" w:asciiTheme="minorEastAsia" w:hAnsiTheme="minorEastAsia" w:eastAsiaTheme="minorEastAsia" w:cstheme="minorEastAsia"/>
          <w:b/>
          <w:color w:val="auto"/>
          <w:sz w:val="36"/>
          <w:szCs w:val="36"/>
          <w:highlight w:val="none"/>
        </w:rPr>
      </w:pPr>
    </w:p>
    <w:p>
      <w:pPr>
        <w:topLinePunct/>
        <w:adjustRightInd w:val="0"/>
        <w:snapToGrid w:val="0"/>
        <w:spacing w:before="36" w:beforeLines="15" w:line="360" w:lineRule="auto"/>
        <w:jc w:val="both"/>
        <w:outlineLvl w:val="0"/>
        <w:rPr>
          <w:rFonts w:hint="eastAsia" w:asciiTheme="minorEastAsia" w:hAnsiTheme="minorEastAsia" w:eastAsiaTheme="minorEastAsia" w:cstheme="minorEastAsia"/>
          <w:b/>
          <w:color w:val="auto"/>
          <w:sz w:val="36"/>
          <w:szCs w:val="36"/>
          <w:highlight w:val="none"/>
        </w:rPr>
        <w:sectPr>
          <w:headerReference r:id="rId12" w:type="default"/>
          <w:footerReference r:id="rId13" w:type="default"/>
          <w:footerReference r:id="rId14" w:type="even"/>
          <w:pgSz w:w="11906" w:h="16838"/>
          <w:pgMar w:top="1440" w:right="1080" w:bottom="1440" w:left="1080" w:header="851" w:footer="992" w:gutter="0"/>
          <w:pgNumType w:fmt="decimal"/>
          <w:cols w:space="720" w:num="1"/>
          <w:docGrid w:linePitch="312" w:charSpace="0"/>
        </w:sectPr>
      </w:pPr>
    </w:p>
    <w:p>
      <w:pPr>
        <w:numPr>
          <w:ilvl w:val="0"/>
          <w:numId w:val="3"/>
        </w:numPr>
        <w:topLinePunct/>
        <w:adjustRightInd w:val="0"/>
        <w:snapToGrid w:val="0"/>
        <w:spacing w:before="36" w:beforeLines="15" w:line="360" w:lineRule="auto"/>
        <w:jc w:val="center"/>
        <w:outlineLvl w:val="0"/>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投标文件格式</w:t>
      </w:r>
      <w:bookmarkEnd w:id="70"/>
    </w:p>
    <w:p>
      <w:pPr>
        <w:widowControl w:val="0"/>
        <w:jc w:val="right"/>
        <w:rPr>
          <w:rFonts w:hint="eastAsia" w:asciiTheme="minorEastAsia" w:hAnsiTheme="minorEastAsia" w:eastAsiaTheme="minorEastAsia" w:cstheme="minorEastAsia"/>
          <w:b/>
          <w:color w:val="auto"/>
          <w:kern w:val="2"/>
          <w:sz w:val="44"/>
          <w:szCs w:val="44"/>
          <w:highlight w:val="none"/>
        </w:rPr>
      </w:pPr>
    </w:p>
    <w:p>
      <w:pPr>
        <w:widowControl/>
        <w:autoSpaceDN w:val="0"/>
        <w:spacing w:line="440" w:lineRule="exact"/>
        <w:jc w:val="left"/>
        <w:rPr>
          <w:rFonts w:ascii="宋体" w:hAnsi="宋体" w:eastAsia="宋体" w:cs="宋体"/>
          <w:color w:val="auto"/>
          <w:sz w:val="20"/>
          <w:szCs w:val="20"/>
        </w:rPr>
      </w:pPr>
    </w:p>
    <w:p>
      <w:pPr>
        <w:widowControl/>
        <w:autoSpaceDN w:val="0"/>
        <w:spacing w:line="440" w:lineRule="exact"/>
        <w:jc w:val="left"/>
        <w:rPr>
          <w:rFonts w:ascii="宋体" w:hAnsi="宋体" w:eastAsia="宋体" w:cs="宋体"/>
          <w:color w:val="auto"/>
          <w:sz w:val="20"/>
          <w:szCs w:val="20"/>
        </w:rPr>
      </w:pPr>
    </w:p>
    <w:p>
      <w:pPr>
        <w:widowControl/>
        <w:autoSpaceDN w:val="0"/>
        <w:spacing w:line="440" w:lineRule="exact"/>
        <w:jc w:val="left"/>
        <w:rPr>
          <w:rFonts w:ascii="宋体" w:hAnsi="宋体" w:eastAsia="宋体" w:cs="宋体"/>
          <w:color w:val="auto"/>
          <w:sz w:val="20"/>
          <w:szCs w:val="20"/>
        </w:rPr>
      </w:pPr>
    </w:p>
    <w:p>
      <w:pPr>
        <w:rPr>
          <w:rFonts w:ascii="宋体" w:hAnsi="宋体" w:eastAsia="宋体" w:cs="宋体"/>
          <w:b/>
          <w:color w:val="auto"/>
          <w:sz w:val="36"/>
          <w:szCs w:val="36"/>
        </w:rPr>
      </w:pPr>
    </w:p>
    <w:p>
      <w:pPr>
        <w:rPr>
          <w:rFonts w:ascii="宋体" w:hAnsi="宋体" w:eastAsia="宋体" w:cs="宋体"/>
          <w:b/>
          <w:color w:val="auto"/>
          <w:sz w:val="32"/>
          <w:szCs w:val="32"/>
        </w:rPr>
      </w:pPr>
    </w:p>
    <w:p>
      <w:pPr>
        <w:jc w:val="center"/>
        <w:rPr>
          <w:rFonts w:ascii="宋体" w:hAnsi="宋体" w:eastAsia="宋体" w:cs="宋体"/>
          <w:b/>
          <w:bCs/>
          <w:color w:val="auto"/>
          <w:sz w:val="40"/>
          <w:szCs w:val="40"/>
          <w:u w:val="single"/>
        </w:rPr>
      </w:pPr>
      <w:r>
        <w:rPr>
          <w:rFonts w:hint="eastAsia" w:ascii="宋体" w:hAnsi="宋体" w:eastAsia="宋体" w:cs="宋体"/>
          <w:b/>
          <w:bCs/>
          <w:color w:val="auto"/>
          <w:sz w:val="40"/>
          <w:szCs w:val="40"/>
          <w:u w:val="single"/>
        </w:rPr>
        <w:t xml:space="preserve">                          项目</w:t>
      </w:r>
    </w:p>
    <w:p>
      <w:pPr>
        <w:pStyle w:val="3"/>
        <w:rPr>
          <w:rFonts w:ascii="宋体" w:hAnsi="宋体" w:eastAsia="宋体" w:cs="宋体"/>
          <w:color w:val="auto"/>
          <w:sz w:val="28"/>
          <w:szCs w:val="28"/>
        </w:rPr>
      </w:pPr>
    </w:p>
    <w:p>
      <w:pPr>
        <w:rPr>
          <w:rFonts w:ascii="宋体" w:hAnsi="宋体" w:eastAsia="宋体" w:cs="宋体"/>
          <w:b/>
          <w:color w:val="auto"/>
          <w:sz w:val="72"/>
          <w:szCs w:val="72"/>
        </w:rPr>
      </w:pPr>
    </w:p>
    <w:p>
      <w:pPr>
        <w:spacing w:line="480" w:lineRule="auto"/>
        <w:ind w:right="105"/>
        <w:jc w:val="center"/>
        <w:rPr>
          <w:rFonts w:ascii="宋体" w:hAnsi="宋体" w:eastAsia="宋体" w:cs="宋体"/>
          <w:b/>
          <w:color w:val="auto"/>
          <w:sz w:val="56"/>
          <w:szCs w:val="56"/>
        </w:rPr>
      </w:pPr>
      <w:r>
        <w:rPr>
          <w:rFonts w:hint="eastAsia" w:ascii="宋体" w:hAnsi="宋体" w:eastAsia="宋体" w:cs="宋体"/>
          <w:b/>
          <w:color w:val="auto"/>
          <w:sz w:val="56"/>
          <w:szCs w:val="56"/>
        </w:rPr>
        <w:t>投 标 文 件</w:t>
      </w:r>
    </w:p>
    <w:p>
      <w:pPr>
        <w:rPr>
          <w:rFonts w:ascii="宋体" w:hAnsi="宋体" w:eastAsia="宋体" w:cs="宋体"/>
          <w:color w:val="auto"/>
          <w:sz w:val="32"/>
          <w:szCs w:val="22"/>
        </w:rPr>
      </w:pPr>
    </w:p>
    <w:p>
      <w:pPr>
        <w:jc w:val="center"/>
        <w:rPr>
          <w:rFonts w:ascii="宋体" w:hAnsi="宋体" w:eastAsia="宋体" w:cs="宋体"/>
          <w:b/>
          <w:color w:val="auto"/>
          <w:sz w:val="24"/>
        </w:rPr>
      </w:pPr>
      <w:r>
        <w:rPr>
          <w:rFonts w:hint="eastAsia" w:ascii="宋体" w:hAnsi="宋体" w:eastAsia="宋体" w:cs="宋体"/>
          <w:b/>
          <w:color w:val="auto"/>
          <w:sz w:val="24"/>
        </w:rPr>
        <w:t>项目编号：</w:t>
      </w:r>
      <w:r>
        <w:rPr>
          <w:rFonts w:hint="eastAsia" w:ascii="宋体" w:hAnsi="宋体" w:eastAsia="宋体" w:cs="宋体"/>
          <w:b/>
          <w:bCs/>
          <w:color w:val="auto"/>
          <w:sz w:val="28"/>
          <w:szCs w:val="28"/>
        </w:rPr>
        <w:t xml:space="preserve"> </w:t>
      </w:r>
    </w:p>
    <w:p>
      <w:pPr>
        <w:ind w:firstLine="281" w:firstLineChars="100"/>
        <w:jc w:val="center"/>
        <w:rPr>
          <w:rFonts w:ascii="宋体" w:hAnsi="宋体" w:eastAsia="宋体" w:cs="宋体"/>
          <w:b/>
          <w:color w:val="auto"/>
          <w:sz w:val="28"/>
          <w:szCs w:val="28"/>
        </w:rPr>
      </w:pPr>
    </w:p>
    <w:p>
      <w:pPr>
        <w:rPr>
          <w:rFonts w:ascii="宋体" w:hAnsi="宋体" w:eastAsia="宋体" w:cs="宋体"/>
          <w:b/>
          <w:color w:val="auto"/>
          <w:sz w:val="28"/>
          <w:szCs w:val="28"/>
        </w:rPr>
      </w:pPr>
    </w:p>
    <w:p>
      <w:pPr>
        <w:ind w:firstLine="562" w:firstLineChars="200"/>
        <w:rPr>
          <w:rFonts w:ascii="宋体" w:hAnsi="宋体" w:eastAsia="宋体" w:cs="宋体"/>
          <w:b/>
          <w:color w:val="auto"/>
          <w:sz w:val="28"/>
          <w:szCs w:val="28"/>
        </w:rPr>
      </w:pPr>
    </w:p>
    <w:p>
      <w:pPr>
        <w:ind w:firstLine="562" w:firstLineChars="200"/>
        <w:rPr>
          <w:rFonts w:ascii="宋体" w:hAnsi="宋体" w:eastAsia="宋体" w:cs="宋体"/>
          <w:b/>
          <w:color w:val="auto"/>
          <w:sz w:val="28"/>
          <w:szCs w:val="28"/>
        </w:rPr>
      </w:pPr>
    </w:p>
    <w:p>
      <w:pPr>
        <w:ind w:firstLine="562" w:firstLineChars="200"/>
        <w:rPr>
          <w:rFonts w:ascii="宋体" w:hAnsi="宋体" w:eastAsia="宋体" w:cs="宋体"/>
          <w:b/>
          <w:color w:val="auto"/>
          <w:sz w:val="28"/>
          <w:szCs w:val="28"/>
        </w:rPr>
      </w:pPr>
    </w:p>
    <w:p>
      <w:pPr>
        <w:ind w:firstLine="562" w:firstLineChars="200"/>
        <w:rPr>
          <w:rFonts w:ascii="宋体" w:hAnsi="宋体" w:eastAsia="宋体" w:cs="宋体"/>
          <w:b/>
          <w:color w:val="auto"/>
          <w:sz w:val="28"/>
          <w:szCs w:val="28"/>
          <w:u w:val="single"/>
        </w:rPr>
      </w:pPr>
      <w:r>
        <w:rPr>
          <w:rFonts w:hint="eastAsia" w:ascii="宋体" w:hAnsi="宋体" w:eastAsia="宋体" w:cs="宋体"/>
          <w:b/>
          <w:color w:val="auto"/>
          <w:sz w:val="28"/>
          <w:szCs w:val="28"/>
        </w:rPr>
        <w:t>投标人：</w:t>
      </w:r>
      <w:r>
        <w:rPr>
          <w:rFonts w:hint="eastAsia" w:ascii="宋体" w:hAnsi="宋体" w:eastAsia="宋体" w:cs="宋体"/>
          <w:b/>
          <w:color w:val="auto"/>
          <w:sz w:val="28"/>
          <w:szCs w:val="28"/>
          <w:u w:val="single"/>
        </w:rPr>
        <w:t xml:space="preserve">                       （盖章）</w:t>
      </w:r>
    </w:p>
    <w:p>
      <w:pPr>
        <w:ind w:firstLine="562" w:firstLineChars="200"/>
        <w:rPr>
          <w:rFonts w:ascii="宋体" w:hAnsi="宋体" w:eastAsia="宋体" w:cs="宋体"/>
          <w:b/>
          <w:color w:val="auto"/>
          <w:sz w:val="28"/>
          <w:szCs w:val="28"/>
          <w:u w:val="single"/>
        </w:rPr>
      </w:pPr>
      <w:r>
        <w:rPr>
          <w:rFonts w:hint="eastAsia" w:ascii="宋体" w:hAnsi="宋体" w:eastAsia="宋体" w:cs="宋体"/>
          <w:b/>
          <w:color w:val="auto"/>
          <w:sz w:val="28"/>
          <w:szCs w:val="28"/>
        </w:rPr>
        <w:t>法定代表人或其授权委托代理人：</w:t>
      </w:r>
      <w:r>
        <w:rPr>
          <w:rFonts w:hint="eastAsia" w:ascii="宋体" w:hAnsi="宋体" w:eastAsia="宋体" w:cs="宋体"/>
          <w:b/>
          <w:color w:val="auto"/>
          <w:sz w:val="28"/>
          <w:szCs w:val="28"/>
          <w:u w:val="single"/>
        </w:rPr>
        <w:t xml:space="preserve">  （签字或盖章）       </w:t>
      </w:r>
    </w:p>
    <w:p>
      <w:pPr>
        <w:ind w:firstLine="562" w:firstLineChars="200"/>
        <w:rPr>
          <w:rFonts w:ascii="宋体" w:hAnsi="宋体" w:eastAsia="宋体" w:cs="宋体"/>
          <w:b/>
          <w:color w:val="auto"/>
          <w:sz w:val="28"/>
          <w:szCs w:val="28"/>
          <w:u w:val="single"/>
        </w:rPr>
      </w:pPr>
      <w:r>
        <w:rPr>
          <w:rFonts w:hint="eastAsia" w:ascii="宋体" w:hAnsi="宋体" w:eastAsia="宋体" w:cs="宋体"/>
          <w:b/>
          <w:color w:val="auto"/>
          <w:sz w:val="28"/>
          <w:szCs w:val="28"/>
        </w:rPr>
        <w:t>日期：</w:t>
      </w:r>
      <w:r>
        <w:rPr>
          <w:rFonts w:hint="eastAsia" w:ascii="宋体" w:hAnsi="宋体" w:eastAsia="宋体" w:cs="宋体"/>
          <w:b/>
          <w:color w:val="auto"/>
          <w:sz w:val="28"/>
          <w:szCs w:val="28"/>
          <w:u w:val="single"/>
        </w:rPr>
        <w:t xml:space="preserve">    年   月   日</w:t>
      </w:r>
    </w:p>
    <w:p>
      <w:pPr>
        <w:tabs>
          <w:tab w:val="left" w:pos="1365"/>
        </w:tabs>
        <w:spacing w:line="360" w:lineRule="auto"/>
        <w:rPr>
          <w:rFonts w:ascii="宋体" w:hAnsi="宋体" w:eastAsia="宋体" w:cs="宋体"/>
          <w:b/>
          <w:color w:val="auto"/>
          <w:sz w:val="32"/>
          <w:szCs w:val="32"/>
        </w:rPr>
      </w:pPr>
    </w:p>
    <w:p>
      <w:pPr>
        <w:tabs>
          <w:tab w:val="left" w:pos="1365"/>
        </w:tabs>
        <w:spacing w:line="360" w:lineRule="auto"/>
        <w:jc w:val="center"/>
        <w:rPr>
          <w:rFonts w:ascii="宋体" w:hAnsi="宋体" w:eastAsia="宋体" w:cs="宋体"/>
          <w:b/>
          <w:color w:val="auto"/>
          <w:sz w:val="36"/>
          <w:szCs w:val="36"/>
        </w:rPr>
      </w:pPr>
      <w:r>
        <w:rPr>
          <w:rFonts w:hint="eastAsia" w:ascii="宋体" w:hAnsi="宋体" w:eastAsia="宋体" w:cs="宋体"/>
          <w:b/>
          <w:color w:val="auto"/>
          <w:sz w:val="36"/>
          <w:szCs w:val="36"/>
        </w:rPr>
        <w:br w:type="page"/>
      </w:r>
    </w:p>
    <w:p>
      <w:pPr>
        <w:spacing w:beforeLines="50" w:afterLines="50" w:line="420" w:lineRule="exact"/>
        <w:jc w:val="center"/>
        <w:rPr>
          <w:rFonts w:ascii="宋体" w:hAnsi="宋体" w:eastAsia="宋体" w:cs="宋体"/>
          <w:b/>
          <w:bCs/>
          <w:color w:val="auto"/>
          <w:sz w:val="28"/>
          <w:szCs w:val="28"/>
        </w:rPr>
      </w:pPr>
      <w:r>
        <w:rPr>
          <w:rFonts w:hint="eastAsia" w:ascii="宋体" w:hAnsi="宋体" w:eastAsia="宋体" w:cs="宋体"/>
          <w:b/>
          <w:bCs/>
          <w:color w:val="auto"/>
          <w:sz w:val="28"/>
          <w:szCs w:val="28"/>
          <w:lang w:eastAsia="zh-CN"/>
        </w:rPr>
        <w:t>1.</w:t>
      </w:r>
      <w:r>
        <w:rPr>
          <w:rFonts w:hint="eastAsia" w:ascii="宋体" w:hAnsi="宋体" w:eastAsia="宋体" w:cs="宋体"/>
          <w:b/>
          <w:bCs/>
          <w:color w:val="auto"/>
          <w:sz w:val="28"/>
          <w:szCs w:val="28"/>
        </w:rPr>
        <w:t>投标函</w:t>
      </w:r>
    </w:p>
    <w:p>
      <w:pPr>
        <w:tabs>
          <w:tab w:val="left" w:pos="2790"/>
        </w:tabs>
        <w:wordWrap w:val="0"/>
        <w:spacing w:line="360" w:lineRule="auto"/>
        <w:rPr>
          <w:rFonts w:ascii="宋体" w:hAnsi="宋体" w:eastAsia="宋体" w:cs="宋体"/>
          <w:bCs/>
          <w:color w:val="auto"/>
          <w:sz w:val="24"/>
        </w:rPr>
      </w:pPr>
      <w:r>
        <w:rPr>
          <w:rFonts w:hint="eastAsia" w:ascii="宋体" w:hAnsi="宋体" w:eastAsia="宋体" w:cs="宋体"/>
          <w:bCs/>
          <w:color w:val="auto"/>
          <w:sz w:val="24"/>
        </w:rPr>
        <w:tab/>
      </w:r>
    </w:p>
    <w:p>
      <w:pPr>
        <w:wordWrap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u w:val="single"/>
          <w:lang w:eastAsia="zh-CN"/>
        </w:rPr>
        <w:t>｛</w:t>
      </w:r>
      <w:r>
        <w:rPr>
          <w:rFonts w:hint="eastAsia" w:ascii="宋体" w:hAnsi="宋体" w:eastAsia="宋体" w:cs="宋体"/>
          <w:bCs/>
          <w:color w:val="auto"/>
          <w:sz w:val="24"/>
          <w:u w:val="single"/>
        </w:rPr>
        <w:t>采购人名称</w:t>
      </w:r>
      <w:r>
        <w:rPr>
          <w:rFonts w:hint="eastAsia" w:ascii="宋体" w:hAnsi="宋体" w:eastAsia="宋体" w:cs="宋体"/>
          <w:bCs/>
          <w:color w:val="auto"/>
          <w:sz w:val="24"/>
          <w:u w:val="single"/>
          <w:lang w:eastAsia="zh-CN"/>
        </w:rPr>
        <w:t>｝</w:t>
      </w:r>
      <w:r>
        <w:rPr>
          <w:rFonts w:hint="eastAsia" w:ascii="宋体" w:hAnsi="宋体" w:eastAsia="宋体" w:cs="宋体"/>
          <w:bCs/>
          <w:color w:val="auto"/>
          <w:sz w:val="24"/>
        </w:rPr>
        <w:t>：</w:t>
      </w:r>
    </w:p>
    <w:p>
      <w:pPr>
        <w:wordWrap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lang w:eastAsia="zh-CN"/>
        </w:rPr>
        <w:t>1.</w:t>
      </w:r>
      <w:r>
        <w:rPr>
          <w:rFonts w:hint="eastAsia" w:ascii="宋体" w:hAnsi="宋体" w:eastAsia="宋体" w:cs="宋体"/>
          <w:bCs/>
          <w:color w:val="auto"/>
          <w:sz w:val="24"/>
        </w:rPr>
        <w:t>根据已收到的采购项目编号为</w:t>
      </w:r>
      <w:r>
        <w:rPr>
          <w:rFonts w:hint="eastAsia" w:ascii="宋体" w:hAnsi="宋体" w:eastAsia="宋体" w:cs="宋体"/>
          <w:bCs/>
          <w:color w:val="auto"/>
          <w:sz w:val="24"/>
          <w:lang w:eastAsia="zh-CN"/>
        </w:rPr>
        <w:t>｛</w:t>
      </w:r>
      <w:r>
        <w:rPr>
          <w:rFonts w:hint="eastAsia" w:ascii="宋体" w:hAnsi="宋体" w:eastAsia="宋体" w:cs="宋体"/>
          <w:bCs/>
          <w:color w:val="auto"/>
          <w:sz w:val="24"/>
          <w:u w:val="single"/>
        </w:rPr>
        <w:t>采购项目编号</w:t>
      </w:r>
      <w:r>
        <w:rPr>
          <w:rFonts w:hint="eastAsia" w:ascii="宋体" w:hAnsi="宋体" w:eastAsia="宋体" w:cs="宋体"/>
          <w:bCs/>
          <w:color w:val="auto"/>
          <w:sz w:val="24"/>
          <w:u w:val="single"/>
          <w:lang w:eastAsia="zh-CN"/>
        </w:rPr>
        <w:t>｝</w:t>
      </w:r>
      <w:r>
        <w:rPr>
          <w:rFonts w:hint="eastAsia" w:ascii="宋体" w:hAnsi="宋体" w:eastAsia="宋体" w:cs="宋体"/>
          <w:bCs/>
          <w:color w:val="auto"/>
          <w:sz w:val="24"/>
        </w:rPr>
        <w:t>的</w:t>
      </w:r>
      <w:r>
        <w:rPr>
          <w:rFonts w:hint="eastAsia" w:ascii="宋体" w:hAnsi="宋体" w:eastAsia="宋体" w:cs="宋体"/>
          <w:bCs/>
          <w:color w:val="auto"/>
          <w:sz w:val="24"/>
          <w:lang w:eastAsia="zh-CN"/>
        </w:rPr>
        <w:t>｛</w:t>
      </w:r>
      <w:r>
        <w:rPr>
          <w:rFonts w:hint="eastAsia" w:ascii="宋体" w:hAnsi="宋体" w:eastAsia="宋体" w:cs="宋体"/>
          <w:bCs/>
          <w:color w:val="auto"/>
          <w:sz w:val="24"/>
          <w:u w:val="single"/>
        </w:rPr>
        <w:t>项目名称</w:t>
      </w:r>
      <w:r>
        <w:rPr>
          <w:rFonts w:hint="eastAsia" w:ascii="宋体" w:hAnsi="宋体" w:eastAsia="宋体" w:cs="宋体"/>
          <w:bCs/>
          <w:color w:val="auto"/>
          <w:sz w:val="24"/>
          <w:u w:val="single"/>
          <w:lang w:eastAsia="zh-CN"/>
        </w:rPr>
        <w:t>｝</w:t>
      </w:r>
      <w:r>
        <w:rPr>
          <w:rFonts w:hint="eastAsia" w:ascii="宋体" w:hAnsi="宋体" w:eastAsia="宋体" w:cs="宋体"/>
          <w:bCs/>
          <w:color w:val="auto"/>
          <w:sz w:val="24"/>
        </w:rPr>
        <w:t>的招标文件，遵照</w:t>
      </w:r>
      <w:r>
        <w:rPr>
          <w:rFonts w:hint="eastAsia" w:ascii="宋体" w:hAnsi="宋体" w:eastAsia="宋体" w:cs="宋体"/>
          <w:color w:val="auto"/>
          <w:sz w:val="24"/>
        </w:rPr>
        <w:t>《中华人民共和国政府采购法》</w:t>
      </w:r>
      <w:r>
        <w:rPr>
          <w:rFonts w:hint="eastAsia" w:ascii="宋体" w:hAnsi="宋体" w:eastAsia="宋体" w:cs="宋体"/>
          <w:bCs/>
          <w:color w:val="auto"/>
          <w:sz w:val="24"/>
        </w:rPr>
        <w:t>的有关规定，我方经和研究上述招标文件的投标人须知、合同条件、技术需求和其他有关文件后，我方愿以（大写）：</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（小写）：</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的总价，按上述合同条件、要求承包。</w:t>
      </w:r>
    </w:p>
    <w:p>
      <w:pPr>
        <w:wordWrap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lang w:eastAsia="zh-CN"/>
        </w:rPr>
        <w:t>2.</w:t>
      </w:r>
      <w:r>
        <w:rPr>
          <w:rFonts w:hint="eastAsia" w:ascii="宋体" w:hAnsi="宋体" w:eastAsia="宋体" w:cs="宋体"/>
          <w:bCs/>
          <w:color w:val="auto"/>
          <w:sz w:val="24"/>
        </w:rPr>
        <w:t>一旦我方成交，我方保证在合同签订时间内完成合同约定全部内容并提供优质服务。</w:t>
      </w:r>
    </w:p>
    <w:p>
      <w:pPr>
        <w:wordWrap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lang w:eastAsia="zh-CN"/>
        </w:rPr>
        <w:t>3.</w:t>
      </w:r>
      <w:r>
        <w:rPr>
          <w:rFonts w:hint="eastAsia" w:ascii="宋体" w:hAnsi="宋体" w:eastAsia="宋体" w:cs="宋体"/>
          <w:bCs/>
          <w:color w:val="auto"/>
          <w:sz w:val="24"/>
        </w:rPr>
        <w:t>我方同意所递交的投标文件在“投标人须知”规定的投标有效期内有效，在此期间内我方的投标有可能中选，我方将受此约束。</w:t>
      </w:r>
    </w:p>
    <w:p>
      <w:pPr>
        <w:wordWrap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lang w:eastAsia="zh-CN"/>
        </w:rPr>
        <w:t>4.</w:t>
      </w:r>
      <w:r>
        <w:rPr>
          <w:rFonts w:hint="eastAsia" w:ascii="宋体" w:hAnsi="宋体" w:eastAsia="宋体" w:cs="宋体"/>
          <w:bCs/>
          <w:color w:val="auto"/>
          <w:sz w:val="24"/>
        </w:rPr>
        <w:t>除非另外达成协议并生效，你方的成交通知书和本投标文件将构成约束我们双方的合同。</w:t>
      </w:r>
    </w:p>
    <w:p>
      <w:pPr>
        <w:wordWrap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lang w:eastAsia="zh-CN"/>
        </w:rPr>
        <w:t>5.</w:t>
      </w:r>
      <w:r>
        <w:rPr>
          <w:rFonts w:hint="eastAsia" w:ascii="宋体" w:hAnsi="宋体" w:eastAsia="宋体" w:cs="宋体"/>
          <w:bCs/>
          <w:color w:val="auto"/>
          <w:sz w:val="24"/>
        </w:rPr>
        <w:t xml:space="preserve">投标响应有效期为：递交投标文件截止之日后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天。</w:t>
      </w:r>
    </w:p>
    <w:p>
      <w:pPr>
        <w:wordWrap w:val="0"/>
        <w:spacing w:line="400" w:lineRule="exact"/>
        <w:ind w:firstLine="480" w:firstLineChars="200"/>
        <w:rPr>
          <w:rFonts w:ascii="宋体" w:hAnsi="宋体" w:eastAsia="宋体" w:cs="宋体"/>
          <w:bCs/>
          <w:color w:val="auto"/>
          <w:sz w:val="24"/>
        </w:rPr>
      </w:pPr>
      <w:r>
        <w:rPr>
          <w:rFonts w:hint="eastAsia" w:ascii="宋体" w:hAnsi="宋体" w:eastAsia="宋体" w:cs="宋体"/>
          <w:bCs/>
          <w:color w:val="auto"/>
          <w:sz w:val="24"/>
          <w:lang w:eastAsia="zh-CN"/>
        </w:rPr>
        <w:t>6.</w:t>
      </w:r>
      <w:r>
        <w:rPr>
          <w:rFonts w:hint="eastAsia" w:ascii="宋体" w:hAnsi="宋体" w:eastAsia="宋体" w:cs="宋体"/>
          <w:bCs/>
          <w:color w:val="auto"/>
          <w:sz w:val="24"/>
        </w:rPr>
        <w:t>采购人不对任何投标人参加</w:t>
      </w:r>
      <w:r>
        <w:rPr>
          <w:rFonts w:hint="eastAsia" w:ascii="宋体" w:hAnsi="宋体" w:eastAsia="宋体" w:cs="宋体"/>
          <w:bCs/>
          <w:color w:val="auto"/>
          <w:sz w:val="24"/>
          <w:lang w:eastAsia="zh-CN"/>
        </w:rPr>
        <w:t>本项目</w:t>
      </w:r>
      <w:r>
        <w:rPr>
          <w:rFonts w:hint="eastAsia" w:ascii="宋体" w:hAnsi="宋体" w:eastAsia="宋体" w:cs="宋体"/>
          <w:bCs/>
          <w:color w:val="auto"/>
          <w:sz w:val="24"/>
        </w:rPr>
        <w:t>过程中进行经济补偿。</w:t>
      </w:r>
    </w:p>
    <w:p>
      <w:pPr>
        <w:pStyle w:val="20"/>
        <w:spacing w:line="360" w:lineRule="auto"/>
        <w:rPr>
          <w:rFonts w:hint="default" w:cs="宋体"/>
          <w:color w:val="auto"/>
          <w:sz w:val="24"/>
          <w:szCs w:val="24"/>
        </w:rPr>
      </w:pPr>
    </w:p>
    <w:p>
      <w:pPr>
        <w:wordWrap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投标人：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（盖章）</w:t>
      </w:r>
    </w:p>
    <w:p>
      <w:pPr>
        <w:wordWrap w:val="0"/>
        <w:spacing w:line="360" w:lineRule="auto"/>
        <w:ind w:firstLine="480" w:firstLineChars="200"/>
        <w:rPr>
          <w:rFonts w:ascii="宋体" w:hAnsi="宋体" w:eastAsia="宋体" w:cs="宋体"/>
          <w:bCs/>
          <w:color w:val="auto"/>
          <w:sz w:val="24"/>
          <w:u w:val="single"/>
        </w:rPr>
      </w:pPr>
      <w:r>
        <w:rPr>
          <w:rFonts w:hint="eastAsia" w:ascii="宋体" w:hAnsi="宋体" w:eastAsia="宋体" w:cs="宋体"/>
          <w:bCs/>
          <w:color w:val="auto"/>
          <w:sz w:val="24"/>
        </w:rPr>
        <w:t>单位地址：</w:t>
      </w:r>
      <w:r>
        <w:rPr>
          <w:rFonts w:hint="eastAsia" w:ascii="宋体" w:hAnsi="宋体" w:eastAsia="宋体" w:cs="宋体"/>
          <w:bCs/>
          <w:color w:val="auto"/>
          <w:sz w:val="24"/>
          <w:u w:val="single"/>
        </w:rPr>
        <w:t xml:space="preserve">                           </w:t>
      </w:r>
    </w:p>
    <w:p>
      <w:pPr>
        <w:wordWrap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法定代表人或委托代理人：（签字或盖章）</w:t>
      </w:r>
    </w:p>
    <w:p>
      <w:pPr>
        <w:wordWrap w:val="0"/>
        <w:spacing w:line="360" w:lineRule="auto"/>
        <w:ind w:firstLine="480" w:firstLineChars="200"/>
        <w:rPr>
          <w:rFonts w:ascii="宋体" w:hAnsi="宋体" w:eastAsia="宋体" w:cs="宋体"/>
          <w:bCs/>
          <w:color w:val="auto"/>
          <w:sz w:val="24"/>
          <w:u w:val="single"/>
        </w:rPr>
      </w:pPr>
      <w:r>
        <w:rPr>
          <w:rFonts w:hint="eastAsia" w:ascii="宋体" w:hAnsi="宋体" w:eastAsia="宋体" w:cs="宋体"/>
          <w:bCs/>
          <w:color w:val="auto"/>
          <w:sz w:val="24"/>
        </w:rPr>
        <w:t>邮政编码：</w:t>
      </w:r>
      <w:r>
        <w:rPr>
          <w:rFonts w:hint="eastAsia" w:ascii="宋体" w:hAnsi="宋体" w:eastAsia="宋体" w:cs="宋体"/>
          <w:bCs/>
          <w:color w:val="auto"/>
          <w:sz w:val="24"/>
          <w:u w:val="single"/>
        </w:rPr>
        <w:t xml:space="preserve">                           </w:t>
      </w:r>
    </w:p>
    <w:p>
      <w:pPr>
        <w:wordWrap w:val="0"/>
        <w:spacing w:line="360" w:lineRule="auto"/>
        <w:ind w:firstLine="480" w:firstLineChars="200"/>
        <w:rPr>
          <w:rFonts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p>
    <w:p>
      <w:pPr>
        <w:wordWrap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p>
    <w:p>
      <w:pPr>
        <w:wordWrap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开户银行名称：</w:t>
      </w:r>
      <w:r>
        <w:rPr>
          <w:rFonts w:hint="eastAsia" w:ascii="宋体" w:hAnsi="宋体" w:eastAsia="宋体" w:cs="宋体"/>
          <w:bCs/>
          <w:color w:val="auto"/>
          <w:sz w:val="24"/>
          <w:u w:val="single"/>
        </w:rPr>
        <w:t xml:space="preserve">                       </w:t>
      </w:r>
    </w:p>
    <w:p>
      <w:pPr>
        <w:wordWrap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lang w:eastAsia="zh-CN"/>
        </w:rPr>
        <w:t>银行账号</w:t>
      </w:r>
      <w:r>
        <w:rPr>
          <w:rFonts w:hint="eastAsia" w:ascii="宋体" w:hAnsi="宋体" w:eastAsia="宋体" w:cs="宋体"/>
          <w:bCs/>
          <w:color w:val="auto"/>
          <w:sz w:val="24"/>
        </w:rPr>
        <w:t>：</w:t>
      </w:r>
      <w:r>
        <w:rPr>
          <w:rFonts w:hint="eastAsia" w:ascii="宋体" w:hAnsi="宋体" w:eastAsia="宋体" w:cs="宋体"/>
          <w:bCs/>
          <w:color w:val="auto"/>
          <w:sz w:val="24"/>
          <w:u w:val="single"/>
        </w:rPr>
        <w:t xml:space="preserve">                           </w:t>
      </w:r>
    </w:p>
    <w:p>
      <w:pPr>
        <w:wordWrap w:val="0"/>
        <w:spacing w:line="360" w:lineRule="auto"/>
        <w:ind w:firstLine="480" w:firstLineChars="200"/>
        <w:rPr>
          <w:rFonts w:ascii="宋体" w:hAnsi="宋体" w:eastAsia="宋体" w:cs="宋体"/>
          <w:bCs/>
          <w:color w:val="auto"/>
          <w:sz w:val="24"/>
          <w:u w:val="single"/>
        </w:rPr>
      </w:pPr>
      <w:r>
        <w:rPr>
          <w:rFonts w:hint="eastAsia" w:ascii="宋体" w:hAnsi="宋体" w:eastAsia="宋体" w:cs="宋体"/>
          <w:bCs/>
          <w:color w:val="auto"/>
          <w:sz w:val="24"/>
        </w:rPr>
        <w:t>开户行地址：</w:t>
      </w:r>
      <w:r>
        <w:rPr>
          <w:rFonts w:hint="eastAsia" w:ascii="宋体" w:hAnsi="宋体" w:eastAsia="宋体" w:cs="宋体"/>
          <w:bCs/>
          <w:color w:val="auto"/>
          <w:sz w:val="24"/>
          <w:u w:val="single"/>
        </w:rPr>
        <w:t xml:space="preserve">                         </w:t>
      </w:r>
    </w:p>
    <w:p>
      <w:pPr>
        <w:spacing w:line="360" w:lineRule="auto"/>
        <w:ind w:right="105" w:firstLine="480" w:firstLineChars="200"/>
        <w:rPr>
          <w:rFonts w:ascii="宋体" w:hAnsi="宋体" w:eastAsia="宋体" w:cs="宋体"/>
          <w:bCs/>
          <w:color w:val="auto"/>
          <w:sz w:val="24"/>
        </w:rPr>
      </w:pPr>
      <w:r>
        <w:rPr>
          <w:rFonts w:hint="eastAsia" w:ascii="宋体" w:hAnsi="宋体" w:eastAsia="宋体" w:cs="宋体"/>
          <w:bCs/>
          <w:color w:val="auto"/>
          <w:sz w:val="24"/>
        </w:rPr>
        <w:t>日期：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w:t>
      </w:r>
    </w:p>
    <w:p>
      <w:pPr>
        <w:rPr>
          <w:rFonts w:ascii="宋体" w:hAnsi="宋体" w:eastAsia="宋体" w:cs="宋体"/>
          <w:b/>
          <w:color w:val="auto"/>
          <w:sz w:val="32"/>
          <w:szCs w:val="32"/>
        </w:rPr>
      </w:pPr>
      <w:bookmarkStart w:id="71" w:name="_Toc139773320"/>
      <w:bookmarkStart w:id="72" w:name="_Toc107716842"/>
      <w:bookmarkStart w:id="73" w:name="_Toc107393598"/>
      <w:bookmarkStart w:id="74" w:name="_Toc30577828"/>
      <w:bookmarkStart w:id="75" w:name="_Toc45511005"/>
      <w:bookmarkStart w:id="76" w:name="_Toc45942979"/>
      <w:bookmarkStart w:id="77" w:name="_Toc112237131"/>
      <w:r>
        <w:rPr>
          <w:rFonts w:hint="eastAsia" w:ascii="宋体" w:hAnsi="宋体" w:eastAsia="宋体" w:cs="宋体"/>
          <w:b/>
          <w:color w:val="auto"/>
          <w:sz w:val="32"/>
          <w:szCs w:val="32"/>
        </w:rPr>
        <w:br w:type="page"/>
      </w:r>
    </w:p>
    <w:p>
      <w:pPr>
        <w:spacing w:line="480" w:lineRule="exact"/>
        <w:ind w:right="420"/>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2.</w:t>
      </w:r>
      <w:r>
        <w:rPr>
          <w:rFonts w:hint="eastAsia" w:ascii="宋体" w:hAnsi="宋体" w:eastAsia="宋体" w:cs="宋体"/>
          <w:b/>
          <w:color w:val="auto"/>
          <w:sz w:val="32"/>
          <w:szCs w:val="32"/>
        </w:rPr>
        <w:t>法定代表人身份证明</w:t>
      </w:r>
    </w:p>
    <w:p>
      <w:pPr>
        <w:pStyle w:val="58"/>
        <w:jc w:val="center"/>
        <w:rPr>
          <w:rFonts w:ascii="宋体" w:hAnsi="宋体" w:cs="宋体"/>
          <w:b/>
          <w:color w:val="auto"/>
          <w:sz w:val="32"/>
          <w:szCs w:val="32"/>
        </w:rPr>
      </w:pPr>
    </w:p>
    <w:p>
      <w:pPr>
        <w:pStyle w:val="58"/>
        <w:jc w:val="center"/>
        <w:rPr>
          <w:rFonts w:ascii="宋体" w:hAnsi="宋体" w:cs="宋体"/>
          <w:color w:val="auto"/>
          <w:sz w:val="21"/>
          <w:szCs w:val="21"/>
        </w:rPr>
      </w:pPr>
    </w:p>
    <w:p>
      <w:pPr>
        <w:spacing w:line="500" w:lineRule="exact"/>
        <w:rPr>
          <w:rFonts w:ascii="宋体" w:hAnsi="宋体" w:eastAsia="宋体" w:cs="宋体"/>
          <w:color w:val="auto"/>
          <w:sz w:val="24"/>
        </w:rPr>
      </w:pPr>
      <w:r>
        <w:rPr>
          <w:rFonts w:hint="eastAsia" w:ascii="宋体" w:hAnsi="宋体" w:eastAsia="宋体" w:cs="宋体"/>
          <w:color w:val="auto"/>
          <w:sz w:val="24"/>
        </w:rPr>
        <w:t xml:space="preserve">投标人名称：______________________________ </w:t>
      </w:r>
    </w:p>
    <w:p>
      <w:pPr>
        <w:spacing w:line="500" w:lineRule="exact"/>
        <w:rPr>
          <w:rFonts w:ascii="宋体" w:hAnsi="宋体" w:eastAsia="宋体" w:cs="宋体"/>
          <w:color w:val="auto"/>
          <w:sz w:val="24"/>
        </w:rPr>
      </w:pPr>
      <w:r>
        <w:rPr>
          <w:rFonts w:hint="eastAsia" w:ascii="宋体" w:hAnsi="宋体" w:eastAsia="宋体" w:cs="宋体"/>
          <w:color w:val="auto"/>
          <w:sz w:val="24"/>
        </w:rPr>
        <w:t>单位性质：_______________________________</w:t>
      </w:r>
    </w:p>
    <w:p>
      <w:pPr>
        <w:spacing w:line="500" w:lineRule="exact"/>
        <w:rPr>
          <w:rFonts w:ascii="宋体" w:hAnsi="宋体" w:eastAsia="宋体" w:cs="宋体"/>
          <w:color w:val="auto"/>
          <w:sz w:val="24"/>
        </w:rPr>
      </w:pPr>
      <w:r>
        <w:rPr>
          <w:rFonts w:hint="eastAsia" w:ascii="宋体" w:hAnsi="宋体" w:eastAsia="宋体" w:cs="宋体"/>
          <w:color w:val="auto"/>
          <w:sz w:val="24"/>
        </w:rPr>
        <w:t xml:space="preserve">地址：___________________________________ </w:t>
      </w:r>
    </w:p>
    <w:p>
      <w:pPr>
        <w:spacing w:line="500" w:lineRule="exact"/>
        <w:rPr>
          <w:rFonts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500" w:lineRule="exact"/>
        <w:rPr>
          <w:rFonts w:ascii="宋体" w:hAnsi="宋体" w:eastAsia="宋体" w:cs="宋体"/>
          <w:color w:val="auto"/>
          <w:sz w:val="24"/>
        </w:rPr>
      </w:pPr>
      <w:r>
        <w:rPr>
          <w:rFonts w:hint="eastAsia" w:ascii="宋体" w:hAnsi="宋体" w:eastAsia="宋体" w:cs="宋体"/>
          <w:color w:val="auto"/>
          <w:sz w:val="24"/>
        </w:rPr>
        <w:t xml:space="preserve">经营期限：_______________________________ </w:t>
      </w:r>
    </w:p>
    <w:p>
      <w:pPr>
        <w:spacing w:line="500" w:lineRule="exact"/>
        <w:rPr>
          <w:rFonts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职务：________ </w:t>
      </w:r>
    </w:p>
    <w:p>
      <w:pPr>
        <w:spacing w:line="500" w:lineRule="exact"/>
        <w:rPr>
          <w:rFonts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w:t>
      </w:r>
    </w:p>
    <w:p>
      <w:pPr>
        <w:spacing w:line="500" w:lineRule="exact"/>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pPr>
        <w:spacing w:line="360" w:lineRule="auto"/>
        <w:rPr>
          <w:rFonts w:ascii="宋体" w:hAnsi="宋体" w:eastAsia="宋体" w:cs="宋体"/>
          <w:b/>
          <w:bCs/>
          <w:color w:val="auto"/>
          <w:sz w:val="24"/>
          <w:u w:val="single"/>
        </w:rPr>
      </w:pPr>
    </w:p>
    <w:tbl>
      <w:tblPr>
        <w:tblStyle w:val="37"/>
        <w:tblW w:w="0" w:type="auto"/>
        <w:tblInd w:w="136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68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331" w:hRule="atLeast"/>
        </w:trPr>
        <w:tc>
          <w:tcPr>
            <w:tcW w:w="5684" w:type="dxa"/>
            <w:vAlign w:val="center"/>
          </w:tcPr>
          <w:p>
            <w:pPr>
              <w:spacing w:line="360" w:lineRule="auto"/>
              <w:jc w:val="center"/>
              <w:rPr>
                <w:rFonts w:ascii="宋体" w:hAnsi="宋体" w:eastAsia="宋体" w:cs="宋体"/>
                <w:b/>
                <w:color w:val="auto"/>
                <w:sz w:val="24"/>
              </w:rPr>
            </w:pPr>
            <w:r>
              <w:rPr>
                <w:rFonts w:hint="eastAsia" w:ascii="宋体" w:hAnsi="宋体" w:eastAsia="宋体" w:cs="宋体"/>
                <w:b/>
                <w:color w:val="auto"/>
                <w:sz w:val="24"/>
              </w:rPr>
              <w:t>法定代表人</w:t>
            </w:r>
          </w:p>
          <w:p>
            <w:pPr>
              <w:spacing w:line="360" w:lineRule="auto"/>
              <w:jc w:val="center"/>
              <w:rPr>
                <w:rFonts w:ascii="宋体" w:hAnsi="宋体" w:eastAsia="宋体" w:cs="宋体"/>
                <w:color w:val="auto"/>
                <w:sz w:val="24"/>
              </w:rPr>
            </w:pPr>
            <w:r>
              <w:rPr>
                <w:rFonts w:hint="eastAsia" w:ascii="宋体" w:hAnsi="宋体" w:eastAsia="宋体" w:cs="宋体"/>
                <w:b/>
                <w:color w:val="auto"/>
                <w:sz w:val="24"/>
              </w:rPr>
              <w:t>居民身份证复印件粘贴处（正、反面）</w:t>
            </w:r>
          </w:p>
        </w:tc>
      </w:tr>
    </w:tbl>
    <w:p>
      <w:pPr>
        <w:spacing w:line="360" w:lineRule="auto"/>
        <w:rPr>
          <w:rFonts w:ascii="宋体" w:hAnsi="宋体" w:eastAsia="宋体" w:cs="宋体"/>
          <w:color w:val="auto"/>
          <w:sz w:val="24"/>
        </w:rPr>
      </w:pPr>
    </w:p>
    <w:p>
      <w:pPr>
        <w:autoSpaceDE w:val="0"/>
        <w:autoSpaceDN w:val="0"/>
        <w:adjustRightInd w:val="0"/>
        <w:spacing w:line="360" w:lineRule="auto"/>
        <w:ind w:firstLine="4252" w:firstLineChars="1772"/>
        <w:jc w:val="right"/>
        <w:rPr>
          <w:rFonts w:ascii="宋体" w:hAnsi="宋体" w:eastAsia="宋体" w:cs="宋体"/>
          <w:color w:val="auto"/>
          <w:sz w:val="24"/>
          <w:lang w:val="zh-CN"/>
        </w:rPr>
      </w:pPr>
    </w:p>
    <w:p>
      <w:pPr>
        <w:autoSpaceDE w:val="0"/>
        <w:autoSpaceDN w:val="0"/>
        <w:adjustRightInd w:val="0"/>
        <w:spacing w:line="360" w:lineRule="auto"/>
        <w:ind w:firstLine="4252" w:firstLineChars="1772"/>
        <w:jc w:val="right"/>
        <w:rPr>
          <w:rFonts w:ascii="宋体" w:hAnsi="宋体" w:eastAsia="宋体" w:cs="宋体"/>
          <w:color w:val="auto"/>
          <w:sz w:val="24"/>
          <w:lang w:val="zh-CN"/>
        </w:rPr>
      </w:pPr>
      <w:r>
        <w:rPr>
          <w:rFonts w:hint="eastAsia" w:ascii="宋体" w:hAnsi="宋体" w:eastAsia="宋体" w:cs="宋体"/>
          <w:color w:val="auto"/>
          <w:sz w:val="24"/>
          <w:lang w:val="zh-CN"/>
        </w:rPr>
        <w:t>投标人名称（盖章）：</w:t>
      </w:r>
    </w:p>
    <w:p>
      <w:pPr>
        <w:autoSpaceDE w:val="0"/>
        <w:autoSpaceDN w:val="0"/>
        <w:adjustRightInd w:val="0"/>
        <w:spacing w:line="360" w:lineRule="auto"/>
        <w:ind w:firstLine="4252" w:firstLineChars="1772"/>
        <w:jc w:val="right"/>
        <w:rPr>
          <w:rFonts w:ascii="宋体" w:hAnsi="宋体" w:eastAsia="宋体" w:cs="宋体"/>
          <w:color w:val="auto"/>
          <w:sz w:val="24"/>
          <w:lang w:val="zh-CN"/>
        </w:rPr>
      </w:pPr>
    </w:p>
    <w:p>
      <w:pPr>
        <w:spacing w:line="360" w:lineRule="auto"/>
        <w:jc w:val="right"/>
        <w:rPr>
          <w:rFonts w:ascii="宋体" w:hAnsi="宋体" w:eastAsia="宋体" w:cs="宋体"/>
          <w:color w:val="auto"/>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p>
    <w:p>
      <w:pPr>
        <w:spacing w:line="360" w:lineRule="auto"/>
        <w:rPr>
          <w:rFonts w:ascii="宋体" w:hAnsi="宋体" w:eastAsia="宋体" w:cs="宋体"/>
          <w:color w:val="auto"/>
          <w:sz w:val="24"/>
        </w:rPr>
      </w:pPr>
    </w:p>
    <w:p>
      <w:pPr>
        <w:tabs>
          <w:tab w:val="left" w:pos="1365"/>
        </w:tabs>
        <w:spacing w:line="360" w:lineRule="auto"/>
        <w:ind w:left="-2" w:leftChars="-1" w:firstLine="2"/>
        <w:jc w:val="center"/>
        <w:rPr>
          <w:rFonts w:ascii="宋体" w:hAnsi="宋体" w:eastAsia="宋体" w:cs="宋体"/>
          <w:color w:val="auto"/>
          <w:sz w:val="24"/>
        </w:rPr>
      </w:pPr>
    </w:p>
    <w:p>
      <w:pPr>
        <w:jc w:val="center"/>
        <w:rPr>
          <w:rFonts w:ascii="宋体" w:hAnsi="宋体" w:eastAsia="宋体" w:cs="宋体"/>
          <w:color w:val="auto"/>
          <w:sz w:val="24"/>
        </w:rPr>
      </w:pPr>
      <w:r>
        <w:rPr>
          <w:rFonts w:hint="eastAsia" w:ascii="宋体" w:hAnsi="宋体" w:eastAsia="宋体" w:cs="宋体"/>
          <w:color w:val="auto"/>
          <w:sz w:val="24"/>
        </w:rPr>
        <w:br w:type="page"/>
      </w:r>
      <w:bookmarkStart w:id="78" w:name="_Toc7795"/>
      <w:bookmarkStart w:id="79" w:name="_Toc492451836"/>
    </w:p>
    <w:p>
      <w:pPr>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3.</w:t>
      </w:r>
      <w:r>
        <w:rPr>
          <w:rFonts w:hint="eastAsia" w:ascii="宋体" w:hAnsi="宋体" w:eastAsia="宋体" w:cs="宋体"/>
          <w:b/>
          <w:color w:val="auto"/>
          <w:sz w:val="32"/>
          <w:szCs w:val="32"/>
        </w:rPr>
        <w:t>授权委托书</w:t>
      </w:r>
      <w:bookmarkEnd w:id="78"/>
      <w:bookmarkEnd w:id="79"/>
    </w:p>
    <w:p>
      <w:pPr>
        <w:spacing w:line="360" w:lineRule="auto"/>
        <w:ind w:firstLine="480" w:firstLineChars="200"/>
        <w:rPr>
          <w:rFonts w:ascii="宋体" w:hAnsi="宋体" w:eastAsia="宋体" w:cs="宋体"/>
          <w:color w:val="auto"/>
          <w:sz w:val="24"/>
        </w:rPr>
      </w:pPr>
    </w:p>
    <w:p>
      <w:pPr>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rPr>
        <w:t>本授权书声明：（公司）的</w:t>
      </w:r>
      <w:r>
        <w:rPr>
          <w:rFonts w:hint="eastAsia" w:ascii="宋体" w:hAnsi="宋体" w:eastAsia="宋体" w:cs="宋体"/>
          <w:color w:val="auto"/>
          <w:sz w:val="24"/>
          <w:u w:val="single"/>
        </w:rPr>
        <w:t xml:space="preserve">（法人代表姓名、职务）   </w:t>
      </w:r>
      <w:r>
        <w:rPr>
          <w:rFonts w:hint="eastAsia" w:ascii="宋体" w:hAnsi="宋体" w:eastAsia="宋体" w:cs="宋体"/>
          <w:color w:val="auto"/>
          <w:sz w:val="24"/>
        </w:rPr>
        <w:t>代表本公司授权</w:t>
      </w:r>
      <w:r>
        <w:rPr>
          <w:rFonts w:hint="eastAsia" w:ascii="宋体" w:hAnsi="宋体" w:eastAsia="宋体" w:cs="宋体"/>
          <w:color w:val="auto"/>
          <w:sz w:val="24"/>
          <w:u w:val="single"/>
        </w:rPr>
        <w:t xml:space="preserve"> （被授权人姓名、职务）</w:t>
      </w:r>
      <w:r>
        <w:rPr>
          <w:rFonts w:hint="eastAsia" w:ascii="宋体" w:hAnsi="宋体" w:eastAsia="宋体" w:cs="宋体"/>
          <w:color w:val="auto"/>
          <w:sz w:val="24"/>
        </w:rPr>
        <w:t>为本公司的合法代理人，代理人根据授权，以我方名义签署、澄清、说明、补正、递交、撤回、修改项目编号为：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）响应文件、</w:t>
      </w:r>
      <w:r>
        <w:rPr>
          <w:rFonts w:hint="eastAsia" w:ascii="宋体" w:hAnsi="宋体" w:eastAsia="宋体" w:cs="宋体"/>
          <w:color w:val="auto"/>
          <w:sz w:val="24"/>
          <w:lang w:eastAsia="zh-CN"/>
        </w:rPr>
        <w:t>签订合同</w:t>
      </w:r>
      <w:r>
        <w:rPr>
          <w:rFonts w:hint="eastAsia" w:ascii="宋体" w:hAnsi="宋体" w:eastAsia="宋体" w:cs="宋体"/>
          <w:color w:val="auto"/>
          <w:sz w:val="24"/>
        </w:rPr>
        <w:t>和处理有关事宜，其法律后果由我方承担。</w:t>
      </w:r>
    </w:p>
    <w:p>
      <w:pPr>
        <w:spacing w:line="480" w:lineRule="auto"/>
        <w:ind w:firstLine="480" w:firstLineChars="200"/>
        <w:rPr>
          <w:rFonts w:ascii="宋体" w:hAnsi="宋体" w:eastAsia="宋体" w:cs="宋体"/>
          <w:color w:val="auto"/>
          <w:sz w:val="24"/>
        </w:rPr>
      </w:pPr>
      <w:r>
        <w:rPr>
          <w:rFonts w:hint="eastAsia" w:ascii="宋体" w:hAnsi="宋体" w:eastAsia="宋体" w:cs="宋体"/>
          <w:color w:val="auto"/>
          <w:sz w:val="24"/>
        </w:rPr>
        <w:t>委托期限：</w:t>
      </w:r>
      <w:r>
        <w:rPr>
          <w:rFonts w:hint="eastAsia" w:ascii="宋体" w:hAnsi="宋体" w:eastAsia="宋体" w:cs="宋体"/>
          <w:color w:val="auto"/>
          <w:sz w:val="24"/>
          <w:u w:val="single"/>
        </w:rPr>
        <w:t xml:space="preserve">                    _</w:t>
      </w:r>
    </w:p>
    <w:p>
      <w:pPr>
        <w:spacing w:line="480" w:lineRule="auto"/>
        <w:ind w:firstLine="480" w:firstLineChars="200"/>
        <w:rPr>
          <w:rFonts w:ascii="宋体" w:hAnsi="宋体" w:eastAsia="宋体" w:cs="宋体"/>
          <w:color w:val="auto"/>
          <w:sz w:val="24"/>
        </w:rPr>
      </w:pPr>
      <w:r>
        <w:rPr>
          <w:rFonts w:hint="eastAsia" w:ascii="宋体" w:hAnsi="宋体" w:eastAsia="宋体" w:cs="宋体"/>
          <w:color w:val="auto"/>
          <w:sz w:val="24"/>
        </w:rPr>
        <w:t>代理人无转委托权。</w:t>
      </w:r>
    </w:p>
    <w:p>
      <w:pPr>
        <w:spacing w:line="480" w:lineRule="auto"/>
        <w:ind w:firstLine="480" w:firstLineChars="200"/>
        <w:rPr>
          <w:rFonts w:ascii="宋体" w:hAnsi="宋体" w:eastAsia="宋体" w:cs="宋体"/>
          <w:color w:val="auto"/>
          <w:sz w:val="24"/>
        </w:rPr>
      </w:pPr>
      <w:r>
        <w:rPr>
          <w:rFonts w:hint="eastAsia" w:ascii="宋体" w:hAnsi="宋体" w:eastAsia="宋体" w:cs="宋体"/>
          <w:color w:val="auto"/>
          <w:sz w:val="24"/>
        </w:rPr>
        <w:t>附：法定代表人身份证明</w:t>
      </w:r>
    </w:p>
    <w:p>
      <w:pPr>
        <w:spacing w:line="360" w:lineRule="auto"/>
        <w:jc w:val="left"/>
        <w:rPr>
          <w:rFonts w:ascii="宋体" w:hAnsi="宋体" w:eastAsia="宋体" w:cs="宋体"/>
          <w:color w:val="auto"/>
          <w:sz w:val="24"/>
        </w:rPr>
      </w:pPr>
    </w:p>
    <w:tbl>
      <w:tblPr>
        <w:tblStyle w:val="3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567"/>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3969" w:type="dxa"/>
            <w:vAlign w:val="center"/>
          </w:tcPr>
          <w:p>
            <w:pPr>
              <w:spacing w:line="360" w:lineRule="auto"/>
              <w:jc w:val="center"/>
              <w:rPr>
                <w:rFonts w:ascii="宋体" w:hAnsi="宋体" w:eastAsia="宋体" w:cs="宋体"/>
                <w:b/>
                <w:color w:val="auto"/>
                <w:sz w:val="24"/>
              </w:rPr>
            </w:pPr>
            <w:r>
              <w:rPr>
                <w:rFonts w:hint="eastAsia" w:ascii="宋体" w:hAnsi="宋体" w:eastAsia="宋体" w:cs="宋体"/>
                <w:b/>
                <w:color w:val="auto"/>
                <w:sz w:val="24"/>
              </w:rPr>
              <w:t>法定代表人</w:t>
            </w:r>
          </w:p>
          <w:p>
            <w:pPr>
              <w:spacing w:line="360" w:lineRule="auto"/>
              <w:jc w:val="center"/>
              <w:rPr>
                <w:rFonts w:ascii="宋体" w:hAnsi="宋体" w:eastAsia="宋体" w:cs="宋体"/>
                <w:color w:val="auto"/>
                <w:sz w:val="24"/>
              </w:rPr>
            </w:pPr>
            <w:r>
              <w:rPr>
                <w:rFonts w:hint="eastAsia" w:ascii="宋体" w:hAnsi="宋体" w:eastAsia="宋体" w:cs="宋体"/>
                <w:b/>
                <w:color w:val="auto"/>
                <w:sz w:val="24"/>
              </w:rPr>
              <w:t>居民身份证复印件粘贴处（正、反面）</w:t>
            </w:r>
          </w:p>
        </w:tc>
        <w:tc>
          <w:tcPr>
            <w:tcW w:w="567" w:type="dxa"/>
            <w:tcBorders>
              <w:top w:val="nil"/>
              <w:bottom w:val="nil"/>
            </w:tcBorders>
          </w:tcPr>
          <w:p>
            <w:pPr>
              <w:widowControl/>
              <w:jc w:val="left"/>
              <w:rPr>
                <w:rFonts w:ascii="宋体" w:hAnsi="宋体" w:eastAsia="宋体" w:cs="宋体"/>
                <w:color w:val="auto"/>
                <w:sz w:val="24"/>
              </w:rPr>
            </w:pPr>
          </w:p>
        </w:tc>
        <w:tc>
          <w:tcPr>
            <w:tcW w:w="4111" w:type="dxa"/>
            <w:vAlign w:val="center"/>
          </w:tcPr>
          <w:p>
            <w:pPr>
              <w:pStyle w:val="151"/>
              <w:ind w:left="105"/>
              <w:jc w:val="center"/>
              <w:rPr>
                <w:rFonts w:eastAsia="宋体" w:cs="宋体"/>
                <w:b/>
                <w:color w:val="auto"/>
                <w:szCs w:val="24"/>
              </w:rPr>
            </w:pPr>
            <w:r>
              <w:rPr>
                <w:rFonts w:hint="eastAsia" w:eastAsia="宋体" w:cs="宋体"/>
                <w:b/>
                <w:color w:val="auto"/>
                <w:szCs w:val="24"/>
              </w:rPr>
              <w:t>被授权人（授权代表）</w:t>
            </w:r>
          </w:p>
          <w:p>
            <w:pPr>
              <w:widowControl/>
              <w:jc w:val="center"/>
              <w:rPr>
                <w:rFonts w:ascii="宋体" w:hAnsi="宋体" w:eastAsia="宋体" w:cs="宋体"/>
                <w:color w:val="auto"/>
                <w:sz w:val="24"/>
              </w:rPr>
            </w:pPr>
            <w:r>
              <w:rPr>
                <w:rFonts w:hint="eastAsia" w:ascii="宋体" w:hAnsi="宋体" w:eastAsia="宋体" w:cs="宋体"/>
                <w:b/>
                <w:color w:val="auto"/>
                <w:sz w:val="24"/>
              </w:rPr>
              <w:t>居民身份证复印件粘贴处（正、反面）</w:t>
            </w:r>
          </w:p>
        </w:tc>
      </w:tr>
    </w:tbl>
    <w:p>
      <w:pPr>
        <w:spacing w:line="360" w:lineRule="auto"/>
        <w:jc w:val="left"/>
        <w:rPr>
          <w:rFonts w:ascii="宋体" w:hAnsi="宋体" w:eastAsia="宋体" w:cs="宋体"/>
          <w:color w:val="auto"/>
          <w:sz w:val="24"/>
        </w:rPr>
      </w:pPr>
    </w:p>
    <w:p>
      <w:pPr>
        <w:spacing w:line="360" w:lineRule="auto"/>
        <w:jc w:val="left"/>
        <w:rPr>
          <w:rFonts w:ascii="宋体" w:hAnsi="宋体" w:eastAsia="宋体" w:cs="宋体"/>
          <w:color w:val="auto"/>
          <w:sz w:val="24"/>
        </w:rPr>
      </w:pPr>
    </w:p>
    <w:p>
      <w:pPr>
        <w:snapToGrid w:val="0"/>
        <w:spacing w:line="360" w:lineRule="auto"/>
        <w:ind w:firstLine="3840" w:firstLineChars="1600"/>
        <w:rPr>
          <w:rFonts w:ascii="宋体" w:hAnsi="宋体" w:eastAsia="宋体" w:cs="宋体"/>
          <w:color w:val="auto"/>
          <w:sz w:val="24"/>
          <w:u w:val="single"/>
        </w:rPr>
      </w:pPr>
      <w:r>
        <w:rPr>
          <w:rFonts w:hint="eastAsia" w:ascii="宋体" w:hAnsi="宋体" w:eastAsia="宋体" w:cs="宋体"/>
          <w:color w:val="auto"/>
          <w:sz w:val="24"/>
        </w:rPr>
        <w:t>投标人（单位盖章）：______________________</w:t>
      </w:r>
    </w:p>
    <w:p>
      <w:pPr>
        <w:snapToGrid w:val="0"/>
        <w:spacing w:line="360" w:lineRule="auto"/>
        <w:ind w:firstLine="3840" w:firstLineChars="1600"/>
        <w:jc w:val="left"/>
        <w:rPr>
          <w:rFonts w:ascii="宋体" w:hAnsi="宋体" w:eastAsia="宋体" w:cs="宋体"/>
          <w:color w:val="auto"/>
          <w:sz w:val="24"/>
          <w:u w:val="single"/>
        </w:rPr>
      </w:pPr>
      <w:r>
        <w:rPr>
          <w:rFonts w:hint="eastAsia" w:ascii="宋体" w:hAnsi="宋体" w:eastAsia="宋体" w:cs="宋体"/>
          <w:color w:val="auto"/>
          <w:sz w:val="24"/>
        </w:rPr>
        <w:t>法定代表人（签字或盖章）：___________________</w:t>
      </w:r>
    </w:p>
    <w:p>
      <w:pPr>
        <w:snapToGrid w:val="0"/>
        <w:spacing w:line="360" w:lineRule="auto"/>
        <w:ind w:firstLine="3840" w:firstLineChars="1600"/>
        <w:rPr>
          <w:rFonts w:ascii="宋体" w:hAnsi="宋体" w:eastAsia="宋体" w:cs="宋体"/>
          <w:color w:val="auto"/>
          <w:sz w:val="24"/>
          <w:u w:val="single"/>
        </w:rPr>
      </w:pPr>
      <w:r>
        <w:rPr>
          <w:rFonts w:hint="eastAsia" w:ascii="宋体" w:hAnsi="宋体" w:eastAsia="宋体" w:cs="宋体"/>
          <w:color w:val="auto"/>
          <w:sz w:val="24"/>
        </w:rPr>
        <w:t>法定代表人身份证号码：______________________</w:t>
      </w:r>
    </w:p>
    <w:p>
      <w:pPr>
        <w:snapToGrid w:val="0"/>
        <w:spacing w:line="360" w:lineRule="auto"/>
        <w:ind w:firstLine="3840" w:firstLineChars="1600"/>
        <w:rPr>
          <w:rFonts w:ascii="宋体" w:hAnsi="宋体" w:eastAsia="宋体" w:cs="宋体"/>
          <w:color w:val="auto"/>
          <w:sz w:val="24"/>
          <w:u w:val="single"/>
        </w:rPr>
      </w:pPr>
      <w:r>
        <w:rPr>
          <w:rFonts w:hint="eastAsia" w:ascii="宋体" w:hAnsi="宋体" w:eastAsia="宋体" w:cs="宋体"/>
          <w:color w:val="auto"/>
          <w:sz w:val="24"/>
        </w:rPr>
        <w:t>授权代理人（签字）：________________</w:t>
      </w:r>
    </w:p>
    <w:p>
      <w:pPr>
        <w:snapToGrid w:val="0"/>
        <w:spacing w:line="360" w:lineRule="auto"/>
        <w:ind w:firstLine="3840" w:firstLineChars="1600"/>
        <w:rPr>
          <w:rFonts w:ascii="宋体" w:hAnsi="宋体" w:eastAsia="宋体" w:cs="宋体"/>
          <w:color w:val="auto"/>
          <w:sz w:val="24"/>
          <w:u w:val="single"/>
        </w:rPr>
      </w:pPr>
      <w:r>
        <w:rPr>
          <w:rFonts w:hint="eastAsia" w:ascii="宋体" w:hAnsi="宋体" w:eastAsia="宋体" w:cs="宋体"/>
          <w:color w:val="auto"/>
          <w:sz w:val="24"/>
        </w:rPr>
        <w:t>授权代理人身份证号码：______________________</w:t>
      </w:r>
    </w:p>
    <w:p>
      <w:pPr>
        <w:spacing w:line="360" w:lineRule="auto"/>
        <w:ind w:firstLine="3840" w:firstLineChars="1600"/>
        <w:rPr>
          <w:rFonts w:ascii="宋体" w:hAnsi="宋体" w:eastAsia="宋体" w:cs="宋体"/>
          <w:color w:val="auto"/>
          <w:sz w:val="24"/>
        </w:rPr>
      </w:pPr>
      <w:r>
        <w:rPr>
          <w:rFonts w:hint="eastAsia" w:ascii="宋体" w:hAnsi="宋体" w:eastAsia="宋体" w:cs="宋体"/>
          <w:color w:val="auto"/>
          <w:sz w:val="24"/>
        </w:rPr>
        <w:t>日         期：   年   月   日</w:t>
      </w:r>
    </w:p>
    <w:p>
      <w:pPr>
        <w:tabs>
          <w:tab w:val="left" w:pos="1365"/>
        </w:tabs>
        <w:spacing w:line="360" w:lineRule="auto"/>
        <w:ind w:left="-2" w:leftChars="-1" w:firstLine="2"/>
        <w:jc w:val="left"/>
        <w:rPr>
          <w:rFonts w:ascii="宋体" w:hAnsi="宋体" w:eastAsia="宋体" w:cs="宋体"/>
          <w:b/>
          <w:color w:val="auto"/>
          <w:sz w:val="24"/>
        </w:rPr>
      </w:pPr>
      <w:r>
        <w:rPr>
          <w:rFonts w:hint="eastAsia" w:ascii="宋体" w:hAnsi="宋体" w:eastAsia="宋体" w:cs="宋体"/>
          <w:b/>
          <w:color w:val="auto"/>
          <w:sz w:val="24"/>
        </w:rPr>
        <w:br w:type="page"/>
      </w:r>
    </w:p>
    <w:p>
      <w:pPr>
        <w:pStyle w:val="3"/>
        <w:spacing w:line="360" w:lineRule="auto"/>
        <w:jc w:val="center"/>
        <w:rPr>
          <w:rFonts w:ascii="宋体" w:hAnsi="宋体" w:eastAsia="宋体" w:cs="宋体"/>
          <w:color w:val="auto"/>
        </w:rPr>
      </w:pPr>
      <w:bookmarkStart w:id="80" w:name="_Toc32146"/>
      <w:r>
        <w:rPr>
          <w:rFonts w:hint="eastAsia" w:ascii="宋体" w:hAnsi="宋体" w:eastAsia="宋体" w:cs="宋体"/>
          <w:color w:val="auto"/>
          <w:lang w:eastAsia="zh-CN"/>
        </w:rPr>
        <w:t>4.</w:t>
      </w:r>
      <w:bookmarkEnd w:id="71"/>
      <w:bookmarkEnd w:id="72"/>
      <w:bookmarkEnd w:id="73"/>
      <w:bookmarkEnd w:id="74"/>
      <w:bookmarkEnd w:id="75"/>
      <w:bookmarkEnd w:id="76"/>
      <w:bookmarkEnd w:id="77"/>
      <w:bookmarkEnd w:id="80"/>
      <w:r>
        <w:rPr>
          <w:rFonts w:hint="eastAsia" w:ascii="宋体" w:hAnsi="宋体" w:eastAsia="宋体" w:cs="宋体"/>
          <w:color w:val="auto"/>
        </w:rPr>
        <w:t>投标报价表</w:t>
      </w:r>
    </w:p>
    <w:p>
      <w:pPr>
        <w:spacing w:line="360" w:lineRule="auto"/>
        <w:ind w:left="211"/>
        <w:rPr>
          <w:rFonts w:ascii="宋体" w:hAnsi="宋体" w:eastAsia="宋体" w:cs="宋体"/>
          <w:color w:val="auto"/>
          <w:sz w:val="24"/>
          <w:u w:val="single"/>
        </w:rPr>
      </w:pPr>
      <w:r>
        <w:rPr>
          <w:rFonts w:hint="eastAsia" w:ascii="宋体" w:hAnsi="宋体" w:eastAsia="宋体" w:cs="宋体"/>
          <w:color w:val="auto"/>
          <w:sz w:val="24"/>
        </w:rPr>
        <w:t>项目名称：</w:t>
      </w:r>
    </w:p>
    <w:p>
      <w:pPr>
        <w:spacing w:line="360" w:lineRule="auto"/>
        <w:ind w:left="211"/>
        <w:rPr>
          <w:rFonts w:ascii="宋体" w:hAnsi="宋体" w:eastAsia="宋体" w:cs="宋体"/>
          <w:color w:val="auto"/>
          <w:sz w:val="24"/>
          <w:u w:val="single"/>
        </w:rPr>
      </w:pPr>
      <w:r>
        <w:rPr>
          <w:rFonts w:hint="eastAsia" w:ascii="宋体" w:hAnsi="宋体" w:eastAsia="宋体" w:cs="宋体"/>
          <w:color w:val="auto"/>
          <w:sz w:val="24"/>
        </w:rPr>
        <w:t>项目编号：</w:t>
      </w:r>
    </w:p>
    <w:p>
      <w:pPr>
        <w:spacing w:line="360" w:lineRule="auto"/>
        <w:ind w:left="211"/>
        <w:rPr>
          <w:rFonts w:ascii="宋体" w:hAnsi="宋体" w:eastAsia="宋体" w:cs="宋体"/>
          <w:color w:val="auto"/>
          <w:sz w:val="24"/>
          <w:u w:val="single"/>
        </w:rPr>
      </w:pPr>
    </w:p>
    <w:tbl>
      <w:tblPr>
        <w:tblStyle w:val="37"/>
        <w:tblW w:w="9040" w:type="dxa"/>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133"/>
        <w:gridCol w:w="1678"/>
        <w:gridCol w:w="1738"/>
        <w:gridCol w:w="1184"/>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投标人名称</w:t>
            </w:r>
          </w:p>
        </w:tc>
        <w:tc>
          <w:tcPr>
            <w:tcW w:w="2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总价</w:t>
            </w:r>
          </w:p>
          <w:p>
            <w:pPr>
              <w:spacing w:line="400" w:lineRule="exact"/>
              <w:jc w:val="center"/>
              <w:rPr>
                <w:rFonts w:ascii="宋体" w:hAnsi="宋体" w:eastAsia="宋体" w:cs="宋体"/>
                <w:color w:val="auto"/>
                <w:sz w:val="24"/>
              </w:rPr>
            </w:pPr>
            <w:r>
              <w:rPr>
                <w:rFonts w:hint="eastAsia" w:ascii="宋体" w:hAnsi="宋体" w:eastAsia="宋体" w:cs="宋体"/>
                <w:color w:val="auto"/>
                <w:sz w:val="24"/>
              </w:rPr>
              <w:t>（元）</w:t>
            </w:r>
          </w:p>
        </w:tc>
        <w:tc>
          <w:tcPr>
            <w:tcW w:w="1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合同履行期限</w:t>
            </w:r>
          </w:p>
        </w:tc>
        <w:tc>
          <w:tcPr>
            <w:tcW w:w="17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rPr>
              <w:t>质量</w:t>
            </w:r>
            <w:r>
              <w:rPr>
                <w:rFonts w:hint="eastAsia" w:ascii="宋体" w:hAnsi="宋体" w:cs="宋体"/>
                <w:color w:val="auto"/>
                <w:sz w:val="24"/>
                <w:lang w:val="en-US" w:eastAsia="zh-CN"/>
              </w:rPr>
              <w:t>要求</w:t>
            </w:r>
          </w:p>
        </w:tc>
        <w:tc>
          <w:tcPr>
            <w:tcW w:w="11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rPr>
            </w:pPr>
            <w:r>
              <w:rPr>
                <w:rFonts w:hint="eastAsia" w:ascii="宋体" w:hAnsi="宋体" w:eastAsia="宋体" w:cs="宋体"/>
                <w:color w:val="auto"/>
                <w:sz w:val="24"/>
              </w:rPr>
              <w:t>大写：</w:t>
            </w:r>
          </w:p>
          <w:p>
            <w:pPr>
              <w:jc w:val="left"/>
              <w:rPr>
                <w:rFonts w:ascii="宋体" w:hAnsi="宋体" w:eastAsia="宋体" w:cs="宋体"/>
                <w:color w:val="auto"/>
                <w:sz w:val="24"/>
              </w:rPr>
            </w:pPr>
            <w:r>
              <w:rPr>
                <w:rFonts w:hint="eastAsia" w:ascii="宋体" w:hAnsi="宋体" w:eastAsia="宋体" w:cs="宋体"/>
                <w:color w:val="auto"/>
                <w:sz w:val="24"/>
              </w:rPr>
              <w:t>小写：</w:t>
            </w:r>
          </w:p>
        </w:tc>
        <w:tc>
          <w:tcPr>
            <w:tcW w:w="1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r>
    </w:tbl>
    <w:p>
      <w:pPr>
        <w:autoSpaceDE w:val="0"/>
        <w:autoSpaceDN w:val="0"/>
        <w:adjustRightInd w:val="0"/>
        <w:spacing w:line="360" w:lineRule="auto"/>
        <w:rPr>
          <w:rFonts w:ascii="宋体" w:hAnsi="宋体" w:eastAsia="宋体" w:cs="宋体"/>
          <w:color w:val="auto"/>
          <w:kern w:val="0"/>
          <w:sz w:val="24"/>
        </w:rPr>
      </w:pPr>
    </w:p>
    <w:p>
      <w:pPr>
        <w:autoSpaceDE w:val="0"/>
        <w:autoSpaceDN w:val="0"/>
        <w:adjustRightInd w:val="0"/>
        <w:spacing w:line="360" w:lineRule="auto"/>
        <w:rPr>
          <w:rFonts w:ascii="宋体" w:hAnsi="宋体" w:eastAsia="宋体" w:cs="宋体"/>
          <w:bCs/>
          <w:color w:val="auto"/>
          <w:sz w:val="24"/>
          <w:lang w:val="zh-CN"/>
        </w:rPr>
      </w:pPr>
      <w:r>
        <w:rPr>
          <w:rFonts w:hint="eastAsia" w:ascii="宋体" w:hAnsi="宋体" w:eastAsia="宋体" w:cs="宋体"/>
          <w:bCs/>
          <w:color w:val="auto"/>
          <w:sz w:val="24"/>
          <w:lang w:val="zh-CN"/>
        </w:rPr>
        <w:t>注：</w:t>
      </w:r>
    </w:p>
    <w:p>
      <w:pPr>
        <w:autoSpaceDE w:val="0"/>
        <w:autoSpaceDN w:val="0"/>
        <w:adjustRightInd w:val="0"/>
        <w:spacing w:line="360" w:lineRule="auto"/>
        <w:rPr>
          <w:rFonts w:ascii="宋体" w:hAnsi="宋体" w:eastAsia="宋体" w:cs="宋体"/>
          <w:bCs/>
          <w:color w:val="auto"/>
          <w:sz w:val="24"/>
          <w:lang w:val="zh-CN"/>
        </w:rPr>
      </w:pPr>
      <w:r>
        <w:rPr>
          <w:rFonts w:hint="eastAsia" w:ascii="宋体" w:hAnsi="宋体" w:eastAsia="宋体" w:cs="宋体"/>
          <w:bCs/>
          <w:color w:val="auto"/>
          <w:sz w:val="24"/>
          <w:lang w:val="zh-CN"/>
        </w:rPr>
        <w:t>1.填报的内容必须和</w:t>
      </w:r>
      <w:r>
        <w:rPr>
          <w:rFonts w:hint="eastAsia" w:ascii="宋体" w:hAnsi="宋体" w:eastAsia="宋体" w:cs="宋体"/>
          <w:bCs/>
          <w:color w:val="auto"/>
          <w:sz w:val="24"/>
        </w:rPr>
        <w:t>投标</w:t>
      </w:r>
      <w:r>
        <w:rPr>
          <w:rFonts w:hint="eastAsia" w:ascii="宋体" w:hAnsi="宋体" w:eastAsia="宋体" w:cs="宋体"/>
          <w:bCs/>
          <w:color w:val="auto"/>
          <w:sz w:val="24"/>
          <w:lang w:val="zh-CN"/>
        </w:rPr>
        <w:t>文件中的内容相一致；</w:t>
      </w:r>
    </w:p>
    <w:p>
      <w:pPr>
        <w:autoSpaceDE w:val="0"/>
        <w:autoSpaceDN w:val="0"/>
        <w:adjustRightInd w:val="0"/>
        <w:spacing w:line="360" w:lineRule="auto"/>
        <w:rPr>
          <w:rFonts w:ascii="宋体" w:hAnsi="宋体" w:eastAsia="宋体" w:cs="宋体"/>
          <w:bCs/>
          <w:color w:val="auto"/>
          <w:sz w:val="24"/>
          <w:lang w:val="zh-CN"/>
        </w:rPr>
      </w:pPr>
      <w:r>
        <w:rPr>
          <w:rFonts w:hint="eastAsia" w:ascii="宋体" w:hAnsi="宋体" w:eastAsia="宋体" w:cs="宋体"/>
          <w:bCs/>
          <w:color w:val="auto"/>
          <w:sz w:val="24"/>
          <w:lang w:eastAsia="zh-CN"/>
        </w:rPr>
        <w:t>2.</w:t>
      </w:r>
      <w:r>
        <w:rPr>
          <w:rFonts w:hint="eastAsia" w:ascii="宋体" w:hAnsi="宋体" w:eastAsia="宋体" w:cs="宋体"/>
          <w:bCs/>
          <w:color w:val="auto"/>
          <w:sz w:val="24"/>
          <w:lang w:val="zh-CN"/>
        </w:rPr>
        <w:t>大写金额报价与小写金额报价不一致时，以大写金额报价为准，保留小数点后</w:t>
      </w:r>
      <w:r>
        <w:rPr>
          <w:rFonts w:hint="eastAsia" w:ascii="宋体" w:hAnsi="宋体" w:eastAsia="宋体" w:cs="宋体"/>
          <w:bCs/>
          <w:color w:val="auto"/>
          <w:sz w:val="24"/>
        </w:rPr>
        <w:t>两</w:t>
      </w:r>
      <w:r>
        <w:rPr>
          <w:rFonts w:hint="eastAsia" w:ascii="宋体" w:hAnsi="宋体" w:eastAsia="宋体" w:cs="宋体"/>
          <w:bCs/>
          <w:color w:val="auto"/>
          <w:sz w:val="24"/>
          <w:lang w:val="zh-CN"/>
        </w:rPr>
        <w:t>位。</w:t>
      </w:r>
    </w:p>
    <w:p>
      <w:pPr>
        <w:spacing w:line="360" w:lineRule="auto"/>
        <w:ind w:firstLine="480"/>
        <w:rPr>
          <w:rFonts w:ascii="宋体" w:hAnsi="宋体" w:eastAsia="宋体" w:cs="宋体"/>
          <w:color w:val="auto"/>
          <w:sz w:val="24"/>
        </w:rPr>
      </w:pPr>
    </w:p>
    <w:p>
      <w:pPr>
        <w:autoSpaceDE w:val="0"/>
        <w:autoSpaceDN w:val="0"/>
        <w:adjustRightInd w:val="0"/>
        <w:spacing w:line="360" w:lineRule="auto"/>
        <w:ind w:right="480" w:firstLine="4920" w:firstLineChars="2050"/>
        <w:rPr>
          <w:rFonts w:ascii="宋体" w:hAnsi="宋体" w:eastAsia="宋体" w:cs="宋体"/>
          <w:color w:val="auto"/>
          <w:sz w:val="24"/>
          <w:lang w:val="zh-CN"/>
        </w:rPr>
      </w:pPr>
    </w:p>
    <w:p>
      <w:pPr>
        <w:autoSpaceDE w:val="0"/>
        <w:autoSpaceDN w:val="0"/>
        <w:adjustRightInd w:val="0"/>
        <w:spacing w:line="360" w:lineRule="auto"/>
        <w:ind w:right="480" w:firstLine="6360" w:firstLineChars="2650"/>
        <w:rPr>
          <w:rFonts w:ascii="宋体" w:hAnsi="宋体" w:eastAsia="宋体" w:cs="宋体"/>
          <w:color w:val="auto"/>
          <w:sz w:val="24"/>
          <w:lang w:val="zh-CN"/>
        </w:rPr>
      </w:pPr>
      <w:r>
        <w:rPr>
          <w:rFonts w:hint="eastAsia" w:ascii="宋体" w:hAnsi="宋体" w:eastAsia="宋体" w:cs="宋体"/>
          <w:color w:val="auto"/>
          <w:sz w:val="24"/>
          <w:lang w:val="zh-CN"/>
        </w:rPr>
        <w:t>投标人名称（盖章）：</w:t>
      </w:r>
    </w:p>
    <w:p>
      <w:pPr>
        <w:autoSpaceDE w:val="0"/>
        <w:autoSpaceDN w:val="0"/>
        <w:adjustRightInd w:val="0"/>
        <w:spacing w:line="360" w:lineRule="auto"/>
        <w:ind w:right="480" w:firstLine="4920" w:firstLineChars="2050"/>
        <w:rPr>
          <w:rFonts w:ascii="宋体" w:hAnsi="宋体" w:eastAsia="宋体" w:cs="宋体"/>
          <w:color w:val="auto"/>
          <w:sz w:val="24"/>
          <w:lang w:val="zh-CN"/>
        </w:rPr>
      </w:pPr>
    </w:p>
    <w:p>
      <w:pPr>
        <w:autoSpaceDE w:val="0"/>
        <w:autoSpaceDN w:val="0"/>
        <w:adjustRightInd w:val="0"/>
        <w:spacing w:line="360" w:lineRule="auto"/>
        <w:ind w:firstLine="480"/>
        <w:jc w:val="right"/>
        <w:rPr>
          <w:rFonts w:ascii="宋体" w:hAnsi="宋体" w:eastAsia="宋体" w:cs="宋体"/>
          <w:color w:val="auto"/>
          <w:sz w:val="24"/>
          <w:lang w:val="zh-CN"/>
        </w:rPr>
      </w:pPr>
      <w:r>
        <w:rPr>
          <w:rFonts w:hint="eastAsia" w:ascii="宋体" w:hAnsi="宋体" w:eastAsia="宋体" w:cs="宋体"/>
          <w:color w:val="auto"/>
          <w:sz w:val="24"/>
          <w:lang w:val="zh-CN"/>
        </w:rPr>
        <w:t>法定代表人或其委托代理人（签字）：</w:t>
      </w:r>
    </w:p>
    <w:p>
      <w:pPr>
        <w:autoSpaceDE w:val="0"/>
        <w:autoSpaceDN w:val="0"/>
        <w:adjustRightInd w:val="0"/>
        <w:spacing w:line="360" w:lineRule="auto"/>
        <w:ind w:firstLine="480"/>
        <w:jc w:val="right"/>
        <w:rPr>
          <w:rFonts w:ascii="宋体" w:hAnsi="宋体" w:eastAsia="宋体" w:cs="宋体"/>
          <w:color w:val="auto"/>
          <w:sz w:val="24"/>
          <w:lang w:val="zh-CN"/>
        </w:rPr>
      </w:pPr>
    </w:p>
    <w:p>
      <w:pPr>
        <w:spacing w:line="360" w:lineRule="auto"/>
        <w:jc w:val="right"/>
        <w:rPr>
          <w:rFonts w:ascii="宋体" w:hAnsi="宋体" w:eastAsia="宋体" w:cs="宋体"/>
          <w:color w:val="auto"/>
          <w:sz w:val="24"/>
        </w:rPr>
      </w:pPr>
      <w:r>
        <w:rPr>
          <w:rFonts w:hint="eastAsia" w:ascii="宋体" w:hAnsi="宋体" w:eastAsia="宋体" w:cs="宋体"/>
          <w:color w:val="auto"/>
          <w:sz w:val="24"/>
          <w:lang w:val="zh-CN"/>
        </w:rPr>
        <w:t>日期：年月日</w:t>
      </w: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jc w:val="left"/>
        <w:rPr>
          <w:rFonts w:ascii="宋体" w:hAnsi="宋体" w:eastAsia="宋体" w:cs="宋体"/>
          <w:b/>
          <w:color w:val="auto"/>
          <w:sz w:val="24"/>
        </w:rPr>
      </w:pPr>
    </w:p>
    <w:p>
      <w:pPr>
        <w:tabs>
          <w:tab w:val="left" w:pos="1365"/>
        </w:tabs>
        <w:jc w:val="center"/>
        <w:rPr>
          <w:rFonts w:ascii="宋体" w:hAnsi="宋体" w:eastAsia="宋体" w:cs="宋体"/>
          <w:b/>
          <w:color w:val="auto"/>
          <w:sz w:val="32"/>
          <w:szCs w:val="32"/>
        </w:rPr>
      </w:pPr>
    </w:p>
    <w:p>
      <w:pPr>
        <w:rPr>
          <w:rFonts w:ascii="宋体" w:hAnsi="宋体" w:eastAsia="宋体" w:cs="宋体"/>
          <w:b/>
          <w:color w:val="auto"/>
          <w:sz w:val="32"/>
          <w:szCs w:val="32"/>
        </w:rPr>
      </w:pPr>
      <w:r>
        <w:rPr>
          <w:rFonts w:hint="eastAsia" w:ascii="宋体" w:hAnsi="宋体" w:eastAsia="宋体" w:cs="宋体"/>
          <w:b/>
          <w:color w:val="auto"/>
          <w:sz w:val="32"/>
          <w:szCs w:val="32"/>
        </w:rPr>
        <w:br w:type="page"/>
      </w:r>
    </w:p>
    <w:p>
      <w:pPr>
        <w:autoSpaceDE w:val="0"/>
        <w:autoSpaceDN w:val="0"/>
        <w:adjustRightInd w:val="0"/>
        <w:spacing w:line="360" w:lineRule="auto"/>
        <w:ind w:left="-706" w:leftChars="-336" w:firstLine="420"/>
        <w:jc w:val="center"/>
        <w:rPr>
          <w:rFonts w:ascii="宋体" w:hAnsi="宋体" w:eastAsia="宋体" w:cs="宋体"/>
          <w:b/>
          <w:bCs/>
          <w:color w:val="auto"/>
          <w:sz w:val="24"/>
        </w:rPr>
      </w:pPr>
      <w:r>
        <w:rPr>
          <w:rFonts w:hint="eastAsia" w:ascii="宋体" w:hAnsi="宋体" w:eastAsia="宋体" w:cs="宋体"/>
          <w:b/>
          <w:bCs/>
          <w:color w:val="auto"/>
          <w:sz w:val="28"/>
          <w:lang w:eastAsia="zh-CN"/>
        </w:rPr>
        <w:t>5.</w:t>
      </w:r>
      <w:r>
        <w:rPr>
          <w:rFonts w:hint="eastAsia" w:ascii="宋体" w:hAnsi="宋体" w:eastAsia="宋体" w:cs="宋体"/>
          <w:b/>
          <w:bCs/>
          <w:color w:val="auto"/>
          <w:sz w:val="28"/>
        </w:rPr>
        <w:t>报价明细表</w:t>
      </w:r>
    </w:p>
    <w:p>
      <w:pPr>
        <w:ind w:left="-395" w:leftChars="-188"/>
        <w:jc w:val="left"/>
        <w:rPr>
          <w:rFonts w:ascii="宋体" w:hAnsi="宋体" w:eastAsia="宋体" w:cs="宋体"/>
          <w:color w:val="auto"/>
          <w:sz w:val="24"/>
        </w:rPr>
      </w:pPr>
    </w:p>
    <w:p>
      <w:pPr>
        <w:spacing w:line="360" w:lineRule="auto"/>
        <w:ind w:left="211"/>
        <w:rPr>
          <w:rFonts w:ascii="宋体" w:hAnsi="宋体" w:eastAsia="宋体" w:cs="宋体"/>
          <w:color w:val="auto"/>
          <w:sz w:val="24"/>
          <w:u w:val="single"/>
        </w:rPr>
      </w:pPr>
      <w:r>
        <w:rPr>
          <w:rFonts w:hint="eastAsia" w:ascii="宋体" w:hAnsi="宋体" w:eastAsia="宋体" w:cs="宋体"/>
          <w:color w:val="auto"/>
          <w:sz w:val="24"/>
        </w:rPr>
        <w:t>项目名称：</w:t>
      </w:r>
    </w:p>
    <w:p>
      <w:pPr>
        <w:spacing w:line="360" w:lineRule="auto"/>
        <w:ind w:left="211"/>
        <w:rPr>
          <w:rFonts w:ascii="宋体" w:hAnsi="宋体" w:eastAsia="宋体" w:cs="宋体"/>
          <w:color w:val="auto"/>
          <w:sz w:val="24"/>
          <w:u w:val="single"/>
        </w:rPr>
      </w:pPr>
      <w:r>
        <w:rPr>
          <w:rFonts w:hint="eastAsia" w:ascii="宋体" w:hAnsi="宋体" w:eastAsia="宋体" w:cs="宋体"/>
          <w:color w:val="auto"/>
          <w:sz w:val="24"/>
        </w:rPr>
        <w:t>项目编号：</w:t>
      </w:r>
    </w:p>
    <w:p>
      <w:pPr>
        <w:spacing w:line="145" w:lineRule="exact"/>
      </w:pPr>
    </w:p>
    <w:tbl>
      <w:tblPr>
        <w:tblStyle w:val="137"/>
        <w:tblW w:w="9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8"/>
        <w:gridCol w:w="2609"/>
        <w:gridCol w:w="1913"/>
        <w:gridCol w:w="1913"/>
        <w:gridCol w:w="19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218" w:type="dxa"/>
            <w:vAlign w:val="top"/>
          </w:tcPr>
          <w:p>
            <w:pPr>
              <w:pStyle w:val="153"/>
              <w:autoSpaceDE w:val="0"/>
              <w:autoSpaceDN w:val="0"/>
              <w:spacing w:before="111" w:line="221" w:lineRule="auto"/>
              <w:ind w:left="374"/>
            </w:pPr>
            <w:r>
              <w:rPr>
                <w:spacing w:val="-5"/>
              </w:rPr>
              <w:t>序号</w:t>
            </w:r>
          </w:p>
        </w:tc>
        <w:tc>
          <w:tcPr>
            <w:tcW w:w="2609" w:type="dxa"/>
            <w:vAlign w:val="top"/>
          </w:tcPr>
          <w:p>
            <w:pPr>
              <w:pStyle w:val="153"/>
              <w:autoSpaceDE w:val="0"/>
              <w:autoSpaceDN w:val="0"/>
              <w:spacing w:before="112" w:line="219" w:lineRule="auto"/>
              <w:ind w:left="590"/>
            </w:pPr>
            <w:r>
              <w:rPr>
                <w:spacing w:val="-2"/>
              </w:rPr>
              <w:t>服务项目名称</w:t>
            </w:r>
          </w:p>
        </w:tc>
        <w:tc>
          <w:tcPr>
            <w:tcW w:w="1913" w:type="dxa"/>
            <w:vAlign w:val="top"/>
          </w:tcPr>
          <w:p>
            <w:pPr>
              <w:pStyle w:val="153"/>
              <w:autoSpaceDE w:val="0"/>
              <w:autoSpaceDN w:val="0"/>
              <w:spacing w:before="111" w:line="220" w:lineRule="auto"/>
              <w:ind w:left="726"/>
            </w:pPr>
            <w:r>
              <w:rPr>
                <w:spacing w:val="-6"/>
              </w:rPr>
              <w:t>单位</w:t>
            </w:r>
          </w:p>
        </w:tc>
        <w:tc>
          <w:tcPr>
            <w:tcW w:w="1913" w:type="dxa"/>
            <w:vAlign w:val="top"/>
          </w:tcPr>
          <w:p>
            <w:pPr>
              <w:pStyle w:val="153"/>
              <w:autoSpaceDE w:val="0"/>
              <w:autoSpaceDN w:val="0"/>
              <w:spacing w:before="112" w:line="219" w:lineRule="auto"/>
              <w:ind w:left="726"/>
            </w:pPr>
            <w:r>
              <w:rPr>
                <w:spacing w:val="-6"/>
              </w:rPr>
              <w:t>数量</w:t>
            </w:r>
          </w:p>
        </w:tc>
        <w:tc>
          <w:tcPr>
            <w:tcW w:w="1918" w:type="dxa"/>
            <w:vAlign w:val="top"/>
          </w:tcPr>
          <w:p>
            <w:pPr>
              <w:pStyle w:val="153"/>
              <w:autoSpaceDE w:val="0"/>
              <w:autoSpaceDN w:val="0"/>
              <w:spacing w:before="111" w:line="218" w:lineRule="auto"/>
              <w:jc w:val="center"/>
              <w:rPr>
                <w:rFonts w:hint="eastAsia" w:eastAsia="宋体"/>
                <w:lang w:eastAsia="zh-CN"/>
              </w:rPr>
            </w:pPr>
            <w:r>
              <w:rPr>
                <w:spacing w:val="-4"/>
              </w:rPr>
              <w:t>报价</w:t>
            </w:r>
            <w:r>
              <w:rPr>
                <w:rFonts w:hint="eastAsia"/>
                <w:spacing w:val="-4"/>
                <w:lang w:eastAsia="zh-CN"/>
              </w:rPr>
              <w:t>（</w:t>
            </w:r>
            <w:r>
              <w:rPr>
                <w:rFonts w:hint="eastAsia"/>
                <w:spacing w:val="-4"/>
                <w:lang w:val="en-US" w:eastAsia="zh-CN"/>
              </w:rPr>
              <w:t>元</w:t>
            </w:r>
            <w:r>
              <w:rPr>
                <w:rFonts w:hint="eastAsia"/>
                <w:spacing w:val="-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18" w:type="dxa"/>
            <w:vAlign w:val="top"/>
          </w:tcPr>
          <w:p>
            <w:pPr>
              <w:autoSpaceDE w:val="0"/>
              <w:autoSpaceDN w:val="0"/>
              <w:rPr>
                <w:rFonts w:ascii="Arial"/>
                <w:sz w:val="21"/>
              </w:rPr>
            </w:pPr>
          </w:p>
        </w:tc>
        <w:tc>
          <w:tcPr>
            <w:tcW w:w="2609" w:type="dxa"/>
            <w:vAlign w:val="top"/>
          </w:tcPr>
          <w:p>
            <w:pPr>
              <w:autoSpaceDE w:val="0"/>
              <w:autoSpaceDN w:val="0"/>
              <w:rPr>
                <w:rFonts w:ascii="Arial"/>
                <w:sz w:val="21"/>
              </w:rPr>
            </w:pPr>
          </w:p>
        </w:tc>
        <w:tc>
          <w:tcPr>
            <w:tcW w:w="1913" w:type="dxa"/>
            <w:vAlign w:val="top"/>
          </w:tcPr>
          <w:p>
            <w:pPr>
              <w:autoSpaceDE w:val="0"/>
              <w:autoSpaceDN w:val="0"/>
              <w:rPr>
                <w:rFonts w:ascii="Arial"/>
                <w:sz w:val="21"/>
              </w:rPr>
            </w:pPr>
          </w:p>
        </w:tc>
        <w:tc>
          <w:tcPr>
            <w:tcW w:w="1913" w:type="dxa"/>
            <w:vAlign w:val="top"/>
          </w:tcPr>
          <w:p>
            <w:pPr>
              <w:autoSpaceDE w:val="0"/>
              <w:autoSpaceDN w:val="0"/>
              <w:rPr>
                <w:rFonts w:ascii="Arial"/>
                <w:sz w:val="21"/>
              </w:rPr>
            </w:pPr>
          </w:p>
        </w:tc>
        <w:tc>
          <w:tcPr>
            <w:tcW w:w="1918" w:type="dxa"/>
            <w:vAlign w:val="top"/>
          </w:tcPr>
          <w:p>
            <w:pPr>
              <w:autoSpaceDE w:val="0"/>
              <w:autoSpaceDN w:val="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18" w:type="dxa"/>
            <w:vAlign w:val="top"/>
          </w:tcPr>
          <w:p>
            <w:pPr>
              <w:autoSpaceDE w:val="0"/>
              <w:autoSpaceDN w:val="0"/>
              <w:rPr>
                <w:rFonts w:ascii="Arial"/>
                <w:sz w:val="21"/>
              </w:rPr>
            </w:pPr>
          </w:p>
        </w:tc>
        <w:tc>
          <w:tcPr>
            <w:tcW w:w="2609" w:type="dxa"/>
            <w:vAlign w:val="top"/>
          </w:tcPr>
          <w:p>
            <w:pPr>
              <w:autoSpaceDE w:val="0"/>
              <w:autoSpaceDN w:val="0"/>
              <w:rPr>
                <w:rFonts w:ascii="Arial"/>
                <w:sz w:val="21"/>
              </w:rPr>
            </w:pPr>
          </w:p>
        </w:tc>
        <w:tc>
          <w:tcPr>
            <w:tcW w:w="1913" w:type="dxa"/>
            <w:vAlign w:val="top"/>
          </w:tcPr>
          <w:p>
            <w:pPr>
              <w:autoSpaceDE w:val="0"/>
              <w:autoSpaceDN w:val="0"/>
              <w:rPr>
                <w:rFonts w:ascii="Arial"/>
                <w:sz w:val="21"/>
              </w:rPr>
            </w:pPr>
          </w:p>
        </w:tc>
        <w:tc>
          <w:tcPr>
            <w:tcW w:w="1913" w:type="dxa"/>
            <w:vAlign w:val="top"/>
          </w:tcPr>
          <w:p>
            <w:pPr>
              <w:autoSpaceDE w:val="0"/>
              <w:autoSpaceDN w:val="0"/>
              <w:rPr>
                <w:rFonts w:ascii="Arial"/>
                <w:sz w:val="21"/>
              </w:rPr>
            </w:pPr>
          </w:p>
        </w:tc>
        <w:tc>
          <w:tcPr>
            <w:tcW w:w="1918" w:type="dxa"/>
            <w:vAlign w:val="top"/>
          </w:tcPr>
          <w:p>
            <w:pPr>
              <w:autoSpaceDE w:val="0"/>
              <w:autoSpaceDN w:val="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18" w:type="dxa"/>
            <w:vAlign w:val="top"/>
          </w:tcPr>
          <w:p>
            <w:pPr>
              <w:autoSpaceDE w:val="0"/>
              <w:autoSpaceDN w:val="0"/>
              <w:rPr>
                <w:rFonts w:ascii="Arial"/>
                <w:sz w:val="21"/>
              </w:rPr>
            </w:pPr>
          </w:p>
        </w:tc>
        <w:tc>
          <w:tcPr>
            <w:tcW w:w="2609" w:type="dxa"/>
            <w:vAlign w:val="top"/>
          </w:tcPr>
          <w:p>
            <w:pPr>
              <w:autoSpaceDE w:val="0"/>
              <w:autoSpaceDN w:val="0"/>
              <w:rPr>
                <w:rFonts w:ascii="Arial"/>
                <w:sz w:val="21"/>
              </w:rPr>
            </w:pPr>
          </w:p>
        </w:tc>
        <w:tc>
          <w:tcPr>
            <w:tcW w:w="1913" w:type="dxa"/>
            <w:vAlign w:val="top"/>
          </w:tcPr>
          <w:p>
            <w:pPr>
              <w:autoSpaceDE w:val="0"/>
              <w:autoSpaceDN w:val="0"/>
              <w:rPr>
                <w:rFonts w:ascii="Arial"/>
                <w:sz w:val="21"/>
              </w:rPr>
            </w:pPr>
          </w:p>
        </w:tc>
        <w:tc>
          <w:tcPr>
            <w:tcW w:w="1913" w:type="dxa"/>
            <w:vAlign w:val="top"/>
          </w:tcPr>
          <w:p>
            <w:pPr>
              <w:autoSpaceDE w:val="0"/>
              <w:autoSpaceDN w:val="0"/>
              <w:rPr>
                <w:rFonts w:ascii="Arial"/>
                <w:sz w:val="21"/>
              </w:rPr>
            </w:pPr>
          </w:p>
        </w:tc>
        <w:tc>
          <w:tcPr>
            <w:tcW w:w="1918" w:type="dxa"/>
            <w:vAlign w:val="top"/>
          </w:tcPr>
          <w:p>
            <w:pPr>
              <w:autoSpaceDE w:val="0"/>
              <w:autoSpaceDN w:val="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218" w:type="dxa"/>
            <w:vAlign w:val="top"/>
          </w:tcPr>
          <w:p>
            <w:pPr>
              <w:autoSpaceDE w:val="0"/>
              <w:autoSpaceDN w:val="0"/>
              <w:rPr>
                <w:rFonts w:ascii="Arial"/>
                <w:sz w:val="21"/>
              </w:rPr>
            </w:pPr>
          </w:p>
        </w:tc>
        <w:tc>
          <w:tcPr>
            <w:tcW w:w="2609" w:type="dxa"/>
            <w:vAlign w:val="top"/>
          </w:tcPr>
          <w:p>
            <w:pPr>
              <w:autoSpaceDE w:val="0"/>
              <w:autoSpaceDN w:val="0"/>
              <w:rPr>
                <w:rFonts w:ascii="Arial"/>
                <w:sz w:val="21"/>
              </w:rPr>
            </w:pPr>
          </w:p>
        </w:tc>
        <w:tc>
          <w:tcPr>
            <w:tcW w:w="1913" w:type="dxa"/>
            <w:vAlign w:val="top"/>
          </w:tcPr>
          <w:p>
            <w:pPr>
              <w:autoSpaceDE w:val="0"/>
              <w:autoSpaceDN w:val="0"/>
              <w:rPr>
                <w:rFonts w:ascii="Arial"/>
                <w:sz w:val="21"/>
              </w:rPr>
            </w:pPr>
          </w:p>
        </w:tc>
        <w:tc>
          <w:tcPr>
            <w:tcW w:w="1913" w:type="dxa"/>
            <w:vAlign w:val="top"/>
          </w:tcPr>
          <w:p>
            <w:pPr>
              <w:autoSpaceDE w:val="0"/>
              <w:autoSpaceDN w:val="0"/>
              <w:rPr>
                <w:rFonts w:ascii="Arial"/>
                <w:sz w:val="21"/>
              </w:rPr>
            </w:pPr>
          </w:p>
        </w:tc>
        <w:tc>
          <w:tcPr>
            <w:tcW w:w="1918" w:type="dxa"/>
            <w:vAlign w:val="top"/>
          </w:tcPr>
          <w:p>
            <w:pPr>
              <w:autoSpaceDE w:val="0"/>
              <w:autoSpaceDN w:val="0"/>
              <w:rPr>
                <w:rFonts w:ascii="Arial"/>
                <w:sz w:val="21"/>
              </w:rPr>
            </w:pPr>
          </w:p>
        </w:tc>
      </w:tr>
    </w:tbl>
    <w:p>
      <w:pPr>
        <w:pStyle w:val="16"/>
        <w:spacing w:line="295" w:lineRule="auto"/>
      </w:pPr>
    </w:p>
    <w:p>
      <w:pPr>
        <w:pStyle w:val="16"/>
        <w:spacing w:line="295" w:lineRule="auto"/>
      </w:pPr>
    </w:p>
    <w:p>
      <w:pPr>
        <w:pStyle w:val="16"/>
        <w:spacing w:line="295" w:lineRule="auto"/>
      </w:pPr>
    </w:p>
    <w:p>
      <w:pPr>
        <w:autoSpaceDE w:val="0"/>
        <w:autoSpaceDN w:val="0"/>
        <w:adjustRightInd w:val="0"/>
        <w:spacing w:line="360" w:lineRule="auto"/>
        <w:ind w:right="480" w:firstLine="6360" w:firstLineChars="2650"/>
        <w:rPr>
          <w:rFonts w:ascii="宋体" w:hAnsi="宋体" w:eastAsia="宋体" w:cs="宋体"/>
          <w:color w:val="auto"/>
          <w:sz w:val="24"/>
          <w:lang w:val="zh-CN"/>
        </w:rPr>
      </w:pPr>
      <w:r>
        <w:rPr>
          <w:rFonts w:hint="eastAsia" w:ascii="宋体" w:hAnsi="宋体" w:eastAsia="宋体" w:cs="宋体"/>
          <w:color w:val="auto"/>
          <w:sz w:val="24"/>
          <w:lang w:val="zh-CN"/>
        </w:rPr>
        <w:t>投标人名称（盖章）：</w:t>
      </w:r>
    </w:p>
    <w:p>
      <w:pPr>
        <w:autoSpaceDE w:val="0"/>
        <w:autoSpaceDN w:val="0"/>
        <w:adjustRightInd w:val="0"/>
        <w:spacing w:line="360" w:lineRule="auto"/>
        <w:ind w:right="480" w:firstLine="4920" w:firstLineChars="2050"/>
        <w:rPr>
          <w:rFonts w:ascii="宋体" w:hAnsi="宋体" w:eastAsia="宋体" w:cs="宋体"/>
          <w:color w:val="auto"/>
          <w:sz w:val="24"/>
          <w:lang w:val="zh-CN"/>
        </w:rPr>
      </w:pPr>
    </w:p>
    <w:p>
      <w:pPr>
        <w:autoSpaceDE w:val="0"/>
        <w:autoSpaceDN w:val="0"/>
        <w:adjustRightInd w:val="0"/>
        <w:spacing w:line="360" w:lineRule="auto"/>
        <w:ind w:firstLine="480"/>
        <w:jc w:val="right"/>
        <w:rPr>
          <w:rFonts w:ascii="宋体" w:hAnsi="宋体" w:eastAsia="宋体" w:cs="宋体"/>
          <w:color w:val="auto"/>
          <w:sz w:val="24"/>
          <w:lang w:val="zh-CN"/>
        </w:rPr>
      </w:pPr>
      <w:r>
        <w:rPr>
          <w:rFonts w:hint="eastAsia" w:ascii="宋体" w:hAnsi="宋体" w:eastAsia="宋体" w:cs="宋体"/>
          <w:color w:val="auto"/>
          <w:sz w:val="24"/>
          <w:lang w:val="zh-CN"/>
        </w:rPr>
        <w:t>法定代表人或其委托代理人（签字）：</w:t>
      </w:r>
    </w:p>
    <w:p>
      <w:pPr>
        <w:autoSpaceDE w:val="0"/>
        <w:autoSpaceDN w:val="0"/>
        <w:adjustRightInd w:val="0"/>
        <w:spacing w:line="360" w:lineRule="auto"/>
        <w:ind w:firstLine="480"/>
        <w:jc w:val="right"/>
        <w:rPr>
          <w:rFonts w:ascii="宋体" w:hAnsi="宋体" w:eastAsia="宋体" w:cs="宋体"/>
          <w:color w:val="auto"/>
          <w:sz w:val="24"/>
          <w:lang w:val="zh-CN"/>
        </w:rPr>
      </w:pPr>
    </w:p>
    <w:p>
      <w:pPr>
        <w:spacing w:line="360" w:lineRule="auto"/>
        <w:jc w:val="right"/>
        <w:rPr>
          <w:rFonts w:ascii="宋体" w:hAnsi="宋体" w:eastAsia="宋体" w:cs="宋体"/>
          <w:color w:val="auto"/>
          <w:sz w:val="24"/>
        </w:rPr>
      </w:pPr>
      <w:r>
        <w:rPr>
          <w:rFonts w:hint="eastAsia" w:ascii="宋体" w:hAnsi="宋体" w:eastAsia="宋体" w:cs="宋体"/>
          <w:color w:val="auto"/>
          <w:sz w:val="24"/>
          <w:lang w:val="zh-CN"/>
        </w:rPr>
        <w:t>日期：年月日</w:t>
      </w:r>
    </w:p>
    <w:p>
      <w:pPr>
        <w:spacing w:before="180" w:line="218" w:lineRule="auto"/>
        <w:ind w:left="618"/>
        <w:rPr>
          <w:rFonts w:ascii="宋体" w:hAnsi="宋体" w:eastAsia="宋体" w:cs="宋体"/>
          <w:spacing w:val="-2"/>
          <w:sz w:val="24"/>
          <w:szCs w:val="24"/>
        </w:rPr>
      </w:pPr>
      <w:r>
        <w:rPr>
          <w:rFonts w:ascii="宋体" w:hAnsi="宋体" w:eastAsia="宋体" w:cs="宋体"/>
          <w:spacing w:val="-2"/>
          <w:sz w:val="24"/>
          <w:szCs w:val="24"/>
        </w:rPr>
        <w:t>说明：</w:t>
      </w:r>
    </w:p>
    <w:p>
      <w:pPr>
        <w:spacing w:before="180" w:line="218" w:lineRule="auto"/>
        <w:ind w:left="618"/>
        <w:rPr>
          <w:rFonts w:ascii="宋体" w:hAnsi="宋体" w:eastAsia="宋体" w:cs="宋体"/>
          <w:spacing w:val="-2"/>
          <w:sz w:val="24"/>
          <w:szCs w:val="24"/>
        </w:rPr>
      </w:pPr>
      <w:r>
        <w:rPr>
          <w:rFonts w:ascii="宋体" w:hAnsi="宋体" w:eastAsia="宋体" w:cs="宋体"/>
          <w:spacing w:val="-2"/>
          <w:sz w:val="24"/>
          <w:szCs w:val="24"/>
        </w:rPr>
        <w:t>1.与本项目有关的各种费用均应包含在总报价中。</w:t>
      </w:r>
    </w:p>
    <w:p>
      <w:pPr>
        <w:spacing w:before="180" w:line="218" w:lineRule="auto"/>
        <w:ind w:left="618"/>
        <w:rPr>
          <w:rFonts w:ascii="宋体" w:hAnsi="宋体" w:eastAsia="宋体" w:cs="宋体"/>
          <w:spacing w:val="-2"/>
          <w:sz w:val="24"/>
          <w:szCs w:val="24"/>
        </w:rPr>
      </w:pPr>
      <w:r>
        <w:rPr>
          <w:rFonts w:ascii="宋体" w:hAnsi="宋体" w:eastAsia="宋体" w:cs="宋体"/>
          <w:spacing w:val="-2"/>
          <w:sz w:val="24"/>
          <w:szCs w:val="24"/>
        </w:rPr>
        <w:t>2.要说明的问题可另附页说明并签字和加盖公章。</w:t>
      </w:r>
    </w:p>
    <w:p>
      <w:pPr>
        <w:spacing w:before="180" w:line="218" w:lineRule="auto"/>
        <w:ind w:left="618"/>
        <w:rPr>
          <w:rFonts w:hint="eastAsia" w:ascii="宋体" w:hAnsi="宋体" w:eastAsia="宋体" w:cs="宋体"/>
          <w:spacing w:val="-2"/>
          <w:sz w:val="24"/>
          <w:szCs w:val="24"/>
        </w:rPr>
      </w:pPr>
      <w:r>
        <w:rPr>
          <w:rFonts w:ascii="宋体" w:hAnsi="宋体" w:eastAsia="宋体" w:cs="宋体"/>
          <w:spacing w:val="-2"/>
          <w:sz w:val="24"/>
          <w:szCs w:val="24"/>
        </w:rPr>
        <w:t>3.此表可根据需要自行拉长加宽。</w:t>
      </w:r>
    </w:p>
    <w:p>
      <w:pPr>
        <w:spacing w:before="180" w:line="218" w:lineRule="auto"/>
        <w:ind w:left="618"/>
        <w:rPr>
          <w:rFonts w:hint="eastAsia" w:ascii="宋体" w:hAnsi="宋体" w:eastAsia="宋体" w:cs="宋体"/>
          <w:spacing w:val="-2"/>
          <w:sz w:val="24"/>
          <w:szCs w:val="24"/>
        </w:rPr>
      </w:pPr>
    </w:p>
    <w:p>
      <w:pPr>
        <w:rPr>
          <w:rFonts w:hint="eastAsia" w:ascii="宋体" w:hAnsi="宋体" w:eastAsia="宋体" w:cs="宋体"/>
          <w:b/>
          <w:color w:val="auto"/>
          <w:sz w:val="32"/>
          <w:szCs w:val="32"/>
        </w:rPr>
      </w:pPr>
    </w:p>
    <w:p>
      <w:pPr>
        <w:rPr>
          <w:rFonts w:ascii="宋体" w:hAnsi="宋体" w:eastAsia="宋体" w:cs="宋体"/>
          <w:b/>
          <w:color w:val="auto"/>
          <w:sz w:val="32"/>
          <w:szCs w:val="32"/>
        </w:rPr>
      </w:pPr>
      <w:r>
        <w:rPr>
          <w:rFonts w:hint="eastAsia" w:ascii="宋体" w:hAnsi="宋体" w:eastAsia="宋体" w:cs="宋体"/>
          <w:b/>
          <w:color w:val="auto"/>
          <w:sz w:val="32"/>
          <w:szCs w:val="32"/>
        </w:rPr>
        <w:br w:type="page"/>
      </w:r>
    </w:p>
    <w:p>
      <w:pPr>
        <w:spacing w:line="360" w:lineRule="auto"/>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6.</w:t>
      </w:r>
      <w:r>
        <w:rPr>
          <w:rFonts w:hint="eastAsia" w:ascii="宋体" w:hAnsi="宋体" w:eastAsia="宋体" w:cs="宋体"/>
          <w:b/>
          <w:color w:val="auto"/>
          <w:sz w:val="32"/>
          <w:szCs w:val="32"/>
        </w:rPr>
        <w:t>商务条款偏离表</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1899"/>
        <w:gridCol w:w="2979"/>
        <w:gridCol w:w="2976"/>
        <w:gridCol w:w="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bookmarkStart w:id="81" w:name="_Toc492451841"/>
            <w:bookmarkStart w:id="82" w:name="_Toc9156"/>
            <w:r>
              <w:rPr>
                <w:rFonts w:hint="eastAsia" w:ascii="宋体" w:hAnsi="宋体" w:eastAsia="宋体" w:cs="宋体"/>
                <w:color w:val="auto"/>
                <w:sz w:val="24"/>
              </w:rPr>
              <w:t>序号</w:t>
            </w:r>
            <w:bookmarkEnd w:id="81"/>
            <w:bookmarkEnd w:id="82"/>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招标文件条款号</w:t>
            </w: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bookmarkStart w:id="83" w:name="_Toc492451843"/>
            <w:bookmarkStart w:id="84" w:name="_Toc6174"/>
            <w:r>
              <w:rPr>
                <w:rFonts w:hint="eastAsia" w:ascii="宋体" w:hAnsi="宋体" w:eastAsia="宋体" w:cs="宋体"/>
                <w:color w:val="auto"/>
                <w:sz w:val="24"/>
              </w:rPr>
              <w:t>招标文件规定的商务条款</w:t>
            </w:r>
            <w:bookmarkEnd w:id="83"/>
            <w:bookmarkEnd w:id="84"/>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bookmarkStart w:id="85" w:name="_Toc492451844"/>
            <w:bookmarkStart w:id="86" w:name="_Toc30914"/>
            <w:r>
              <w:rPr>
                <w:rFonts w:hint="eastAsia" w:ascii="宋体" w:hAnsi="宋体" w:eastAsia="宋体" w:cs="宋体"/>
                <w:color w:val="auto"/>
                <w:sz w:val="24"/>
              </w:rPr>
              <w:t>投标文件对应的商务条款</w:t>
            </w:r>
            <w:bookmarkEnd w:id="85"/>
            <w:bookmarkEnd w:id="86"/>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bookmarkStart w:id="87" w:name="_Toc3453"/>
            <w:bookmarkStart w:id="88" w:name="_Toc492451845"/>
            <w:r>
              <w:rPr>
                <w:rFonts w:hint="eastAsia" w:ascii="宋体" w:hAnsi="宋体" w:eastAsia="宋体" w:cs="宋体"/>
                <w:color w:val="auto"/>
                <w:sz w:val="24"/>
              </w:rPr>
              <w:t>备注</w:t>
            </w:r>
            <w:bookmarkEnd w:id="87"/>
            <w:bookmarkEnd w:id="8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pPr>
              <w:pStyle w:val="21"/>
              <w:jc w:val="center"/>
              <w:rPr>
                <w:rFonts w:ascii="宋体" w:hAnsi="宋体" w:eastAsia="宋体" w:cs="宋体"/>
                <w:color w:val="auto"/>
                <w:szCs w:val="24"/>
              </w:rPr>
            </w:pP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rPr>
            </w:pPr>
          </w:p>
        </w:tc>
      </w:tr>
    </w:tbl>
    <w:p>
      <w:pPr>
        <w:rPr>
          <w:rFonts w:ascii="宋体" w:hAnsi="宋体" w:eastAsia="宋体" w:cs="宋体"/>
          <w:color w:val="auto"/>
          <w:sz w:val="24"/>
        </w:rPr>
      </w:pPr>
    </w:p>
    <w:p>
      <w:pPr>
        <w:spacing w:line="360" w:lineRule="auto"/>
        <w:rPr>
          <w:rFonts w:ascii="宋体" w:hAnsi="宋体" w:eastAsia="宋体" w:cs="宋体"/>
          <w:color w:val="auto"/>
          <w:sz w:val="24"/>
        </w:rPr>
      </w:pPr>
      <w:r>
        <w:rPr>
          <w:rFonts w:hint="eastAsia" w:ascii="宋体" w:hAnsi="宋体" w:eastAsia="宋体" w:cs="宋体"/>
          <w:color w:val="auto"/>
          <w:sz w:val="24"/>
        </w:rPr>
        <w:t>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 投标人应对照招标文件商务要求，逐条说明已对招标文件的商务内容做出了实质性的响应，并申明与招标文件的偏差和例外。</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2.商务条款主要填列付款方式、合同履行期限、服务地点、售后服务、质量保证、违约责任等重要条款方面的偏离情况。</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eastAsia="zh-CN"/>
        </w:rPr>
        <w:t>3.</w:t>
      </w:r>
      <w:r>
        <w:rPr>
          <w:rFonts w:hint="eastAsia" w:ascii="宋体" w:hAnsi="宋体" w:eastAsia="宋体" w:cs="宋体"/>
          <w:color w:val="auto"/>
          <w:sz w:val="24"/>
        </w:rPr>
        <w:t>“招标项目商务条款偏离表”是评审的重要依据，无论所提供的服务与招标文件的要求是否有偏离，投标人均须详细填报“商务条款偏离表”。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4.表内如果填列不全，可另外附页说明并按规定签字和加盖公章。</w:t>
      </w:r>
    </w:p>
    <w:p>
      <w:pPr>
        <w:spacing w:line="360" w:lineRule="auto"/>
        <w:ind w:firstLine="480" w:firstLineChars="200"/>
        <w:rPr>
          <w:rFonts w:ascii="宋体" w:hAnsi="宋体" w:eastAsia="宋体" w:cs="宋体"/>
          <w:color w:val="auto"/>
          <w:sz w:val="24"/>
        </w:rPr>
      </w:pPr>
      <w:bookmarkStart w:id="89" w:name="_Toc492451846"/>
      <w:bookmarkStart w:id="90" w:name="_Toc25931"/>
      <w:r>
        <w:rPr>
          <w:rFonts w:hint="eastAsia" w:ascii="宋体" w:hAnsi="宋体" w:eastAsia="宋体" w:cs="宋体"/>
          <w:color w:val="auto"/>
          <w:sz w:val="24"/>
        </w:rPr>
        <w:t>5.此表可根据需要自行拉长加宽。</w:t>
      </w:r>
      <w:bookmarkEnd w:id="89"/>
      <w:bookmarkEnd w:id="90"/>
    </w:p>
    <w:p>
      <w:pPr>
        <w:spacing w:line="360" w:lineRule="auto"/>
        <w:ind w:firstLine="480" w:firstLineChars="200"/>
        <w:rPr>
          <w:rFonts w:ascii="宋体" w:hAnsi="宋体" w:eastAsia="宋体" w:cs="宋体"/>
          <w:color w:val="auto"/>
          <w:sz w:val="24"/>
        </w:rPr>
      </w:pPr>
    </w:p>
    <w:p>
      <w:pPr>
        <w:spacing w:line="360" w:lineRule="auto"/>
        <w:ind w:firstLine="480" w:firstLineChars="200"/>
        <w:rPr>
          <w:rFonts w:ascii="宋体" w:hAnsi="宋体" w:eastAsia="宋体" w:cs="宋体"/>
          <w:color w:val="auto"/>
          <w:sz w:val="24"/>
        </w:rPr>
      </w:pPr>
    </w:p>
    <w:p>
      <w:pPr>
        <w:autoSpaceDE w:val="0"/>
        <w:autoSpaceDN w:val="0"/>
        <w:adjustRightInd w:val="0"/>
        <w:spacing w:line="360" w:lineRule="auto"/>
        <w:ind w:right="480" w:firstLine="6240" w:firstLineChars="2600"/>
        <w:rPr>
          <w:rFonts w:ascii="宋体" w:hAnsi="宋体" w:eastAsia="宋体" w:cs="宋体"/>
          <w:color w:val="auto"/>
          <w:sz w:val="24"/>
          <w:lang w:val="zh-CN"/>
        </w:rPr>
      </w:pPr>
      <w:r>
        <w:rPr>
          <w:rFonts w:hint="eastAsia" w:ascii="宋体" w:hAnsi="宋体" w:eastAsia="宋体" w:cs="宋体"/>
          <w:color w:val="auto"/>
          <w:sz w:val="24"/>
          <w:lang w:val="zh-CN"/>
        </w:rPr>
        <w:t>投标人名称（盖章）：</w:t>
      </w:r>
    </w:p>
    <w:p>
      <w:pPr>
        <w:autoSpaceDE w:val="0"/>
        <w:autoSpaceDN w:val="0"/>
        <w:adjustRightInd w:val="0"/>
        <w:spacing w:line="360" w:lineRule="auto"/>
        <w:ind w:right="480" w:firstLine="4920" w:firstLineChars="2050"/>
        <w:rPr>
          <w:rFonts w:ascii="宋体" w:hAnsi="宋体" w:eastAsia="宋体" w:cs="宋体"/>
          <w:color w:val="auto"/>
          <w:sz w:val="24"/>
          <w:lang w:val="zh-CN"/>
        </w:rPr>
      </w:pPr>
    </w:p>
    <w:p>
      <w:pPr>
        <w:autoSpaceDE w:val="0"/>
        <w:autoSpaceDN w:val="0"/>
        <w:adjustRightInd w:val="0"/>
        <w:spacing w:line="360" w:lineRule="auto"/>
        <w:ind w:firstLine="480"/>
        <w:jc w:val="right"/>
        <w:rPr>
          <w:rFonts w:ascii="宋体" w:hAnsi="宋体" w:eastAsia="宋体" w:cs="宋体"/>
          <w:color w:val="auto"/>
          <w:sz w:val="24"/>
          <w:lang w:val="zh-CN"/>
        </w:rPr>
      </w:pPr>
      <w:r>
        <w:rPr>
          <w:rFonts w:hint="eastAsia" w:ascii="宋体" w:hAnsi="宋体" w:eastAsia="宋体" w:cs="宋体"/>
          <w:color w:val="auto"/>
          <w:sz w:val="24"/>
          <w:lang w:val="zh-CN"/>
        </w:rPr>
        <w:t>法定代表人或其委托代理人（签字）：</w:t>
      </w:r>
    </w:p>
    <w:p>
      <w:pPr>
        <w:autoSpaceDE w:val="0"/>
        <w:autoSpaceDN w:val="0"/>
        <w:adjustRightInd w:val="0"/>
        <w:spacing w:line="360" w:lineRule="auto"/>
        <w:ind w:firstLine="480"/>
        <w:jc w:val="right"/>
        <w:rPr>
          <w:rFonts w:ascii="宋体" w:hAnsi="宋体" w:eastAsia="宋体" w:cs="宋体"/>
          <w:color w:val="auto"/>
          <w:sz w:val="24"/>
          <w:lang w:val="zh-CN"/>
        </w:rPr>
      </w:pPr>
    </w:p>
    <w:p>
      <w:pPr>
        <w:autoSpaceDE w:val="0"/>
        <w:autoSpaceDN w:val="0"/>
        <w:adjustRightInd w:val="0"/>
        <w:ind w:right="480"/>
        <w:jc w:val="right"/>
        <w:rPr>
          <w:rFonts w:ascii="宋体" w:hAnsi="宋体" w:eastAsia="宋体" w:cs="宋体"/>
          <w:color w:val="auto"/>
          <w:sz w:val="24"/>
          <w:lang w:val="zh-CN"/>
        </w:rPr>
      </w:pPr>
      <w:r>
        <w:rPr>
          <w:rFonts w:hint="eastAsia" w:ascii="宋体" w:hAnsi="宋体" w:eastAsia="宋体" w:cs="宋体"/>
          <w:color w:val="auto"/>
          <w:sz w:val="24"/>
          <w:lang w:val="zh-CN"/>
        </w:rPr>
        <w:t>日期：年月日</w:t>
      </w:r>
    </w:p>
    <w:p>
      <w:pPr>
        <w:rPr>
          <w:rFonts w:ascii="宋体" w:hAnsi="宋体" w:eastAsia="宋体" w:cs="宋体"/>
          <w:b/>
          <w:color w:val="auto"/>
          <w:sz w:val="32"/>
          <w:szCs w:val="32"/>
        </w:rPr>
      </w:pPr>
      <w:r>
        <w:rPr>
          <w:rFonts w:hint="eastAsia" w:ascii="宋体" w:hAnsi="宋体" w:eastAsia="宋体" w:cs="宋体"/>
          <w:b/>
          <w:color w:val="auto"/>
          <w:sz w:val="32"/>
          <w:szCs w:val="32"/>
        </w:rPr>
        <w:br w:type="page"/>
      </w:r>
    </w:p>
    <w:p>
      <w:pPr>
        <w:tabs>
          <w:tab w:val="left" w:pos="1365"/>
        </w:tabs>
        <w:spacing w:line="360" w:lineRule="auto"/>
        <w:jc w:val="center"/>
        <w:rPr>
          <w:rFonts w:ascii="宋体" w:hAnsi="宋体" w:eastAsia="宋体" w:cs="宋体"/>
          <w:b/>
          <w:color w:val="auto"/>
          <w:sz w:val="32"/>
          <w:szCs w:val="32"/>
        </w:rPr>
      </w:pPr>
      <w:r>
        <w:rPr>
          <w:rFonts w:hint="eastAsia" w:ascii="宋体" w:hAnsi="宋体" w:cs="宋体"/>
          <w:b/>
          <w:color w:val="auto"/>
          <w:sz w:val="32"/>
          <w:szCs w:val="32"/>
          <w:lang w:val="en-US" w:eastAsia="zh-CN"/>
        </w:rPr>
        <w:t>7</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投标人资格声明</w:t>
      </w:r>
    </w:p>
    <w:p>
      <w:pPr>
        <w:autoSpaceDE w:val="0"/>
        <w:autoSpaceDN w:val="0"/>
        <w:adjustRightInd w:val="0"/>
        <w:spacing w:line="360" w:lineRule="auto"/>
        <w:rPr>
          <w:rFonts w:ascii="宋体" w:hAnsi="宋体" w:eastAsia="宋体" w:cs="宋体"/>
          <w:color w:val="auto"/>
          <w:sz w:val="24"/>
        </w:rPr>
      </w:pPr>
      <w:r>
        <w:rPr>
          <w:rFonts w:hint="eastAsia" w:ascii="宋体" w:hAnsi="宋体" w:eastAsia="宋体" w:cs="宋体"/>
          <w:color w:val="auto"/>
          <w:sz w:val="24"/>
          <w:lang w:val="zh-CN"/>
        </w:rPr>
        <w:t>致：（采购人、采购代理机构）</w:t>
      </w:r>
    </w:p>
    <w:p>
      <w:pPr>
        <w:autoSpaceDE w:val="0"/>
        <w:autoSpaceDN w:val="0"/>
        <w:adjustRightInd w:val="0"/>
        <w:spacing w:line="360" w:lineRule="auto"/>
        <w:ind w:firstLine="480"/>
        <w:rPr>
          <w:rFonts w:ascii="宋体" w:hAnsi="宋体" w:eastAsia="宋体" w:cs="宋体"/>
          <w:color w:val="auto"/>
          <w:sz w:val="24"/>
        </w:rPr>
      </w:pPr>
      <w:r>
        <w:rPr>
          <w:rFonts w:hint="eastAsia" w:ascii="宋体" w:hAnsi="宋体" w:eastAsia="宋体" w:cs="宋体"/>
          <w:color w:val="auto"/>
          <w:sz w:val="24"/>
        </w:rPr>
        <w:t>一、</w:t>
      </w:r>
      <w:r>
        <w:rPr>
          <w:rFonts w:hint="eastAsia" w:ascii="宋体" w:hAnsi="宋体" w:eastAsia="宋体" w:cs="宋体"/>
          <w:color w:val="auto"/>
          <w:sz w:val="24"/>
          <w:lang w:val="zh-CN"/>
        </w:rPr>
        <w:t>按照《中华人民共和国政府采购法》第</w:t>
      </w:r>
      <w:r>
        <w:rPr>
          <w:rFonts w:hint="eastAsia" w:ascii="宋体" w:hAnsi="宋体" w:eastAsia="宋体" w:cs="宋体"/>
          <w:color w:val="auto"/>
          <w:sz w:val="24"/>
        </w:rPr>
        <w:t>二十二</w:t>
      </w:r>
      <w:r>
        <w:rPr>
          <w:rFonts w:hint="eastAsia" w:ascii="宋体" w:hAnsi="宋体" w:eastAsia="宋体" w:cs="宋体"/>
          <w:color w:val="auto"/>
          <w:sz w:val="24"/>
          <w:lang w:val="zh-CN"/>
        </w:rPr>
        <w:t>条和你公司发布的《</w:t>
      </w:r>
      <w:r>
        <w:rPr>
          <w:rFonts w:hint="eastAsia" w:ascii="宋体" w:hAnsi="宋体" w:eastAsia="宋体" w:cs="宋体"/>
          <w:color w:val="auto"/>
          <w:sz w:val="24"/>
          <w:u w:val="single"/>
          <w:lang w:val="zh-CN"/>
        </w:rPr>
        <w:t xml:space="preserve">项目名称、项目编号 </w:t>
      </w:r>
      <w:r>
        <w:rPr>
          <w:rFonts w:hint="eastAsia" w:ascii="宋体" w:hAnsi="宋体" w:eastAsia="宋体" w:cs="宋体"/>
          <w:color w:val="auto"/>
          <w:sz w:val="24"/>
          <w:lang w:val="zh-CN"/>
        </w:rPr>
        <w:t>采购文件》的规定，我公司郑重声明如下：</w:t>
      </w:r>
    </w:p>
    <w:p>
      <w:pPr>
        <w:autoSpaceDE w:val="0"/>
        <w:autoSpaceDN w:val="0"/>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lang w:val="zh-CN"/>
        </w:rPr>
        <w:t>我公司是按照中华人民共和国法律在工商管理机关登记注册的企业法人，注册地点为</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，公司全称为</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，法定代表人为</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，具有独立承担民事责任的能力。</w:t>
      </w:r>
    </w:p>
    <w:p>
      <w:pPr>
        <w:autoSpaceDE w:val="0"/>
        <w:autoSpaceDN w:val="0"/>
        <w:adjustRightInd w:val="0"/>
        <w:spacing w:line="360" w:lineRule="auto"/>
        <w:ind w:firstLine="480"/>
        <w:rPr>
          <w:rFonts w:ascii="宋体" w:hAnsi="宋体" w:eastAsia="宋体" w:cs="宋体"/>
          <w:color w:val="auto"/>
          <w:sz w:val="24"/>
        </w:rPr>
      </w:pPr>
      <w:r>
        <w:rPr>
          <w:rFonts w:hint="eastAsia" w:ascii="宋体" w:hAnsi="宋体" w:eastAsia="宋体" w:cs="宋体"/>
          <w:color w:val="auto"/>
          <w:sz w:val="24"/>
          <w:lang w:eastAsia="zh-CN"/>
        </w:rPr>
        <w:t>2.</w:t>
      </w:r>
      <w:r>
        <w:rPr>
          <w:rFonts w:hint="eastAsia" w:ascii="宋体" w:hAnsi="宋体" w:eastAsia="宋体" w:cs="宋体"/>
          <w:color w:val="auto"/>
          <w:sz w:val="24"/>
          <w:lang w:val="zh-CN"/>
        </w:rPr>
        <w:t>我公司具有良好的商业信誉和健全的财务会计制度。</w:t>
      </w:r>
    </w:p>
    <w:p>
      <w:pPr>
        <w:autoSpaceDE w:val="0"/>
        <w:autoSpaceDN w:val="0"/>
        <w:adjustRightInd w:val="0"/>
        <w:spacing w:line="360" w:lineRule="auto"/>
        <w:ind w:firstLine="480"/>
        <w:rPr>
          <w:rFonts w:ascii="宋体" w:hAnsi="宋体" w:eastAsia="宋体" w:cs="宋体"/>
          <w:color w:val="auto"/>
          <w:sz w:val="24"/>
        </w:rPr>
      </w:pPr>
      <w:r>
        <w:rPr>
          <w:rFonts w:hint="eastAsia" w:ascii="宋体" w:hAnsi="宋体" w:eastAsia="宋体" w:cs="宋体"/>
          <w:color w:val="auto"/>
          <w:sz w:val="24"/>
          <w:lang w:eastAsia="zh-CN"/>
        </w:rPr>
        <w:t>3.</w:t>
      </w:r>
      <w:r>
        <w:rPr>
          <w:rFonts w:hint="eastAsia" w:ascii="宋体" w:hAnsi="宋体" w:eastAsia="宋体" w:cs="宋体"/>
          <w:color w:val="auto"/>
          <w:sz w:val="24"/>
          <w:lang w:val="zh-CN"/>
        </w:rPr>
        <w:t>我公司具有履行本项目采购合同所必需的设备和专业技术能力。</w:t>
      </w:r>
    </w:p>
    <w:p>
      <w:pPr>
        <w:autoSpaceDE w:val="0"/>
        <w:autoSpaceDN w:val="0"/>
        <w:adjustRightInd w:val="0"/>
        <w:spacing w:line="360" w:lineRule="auto"/>
        <w:ind w:firstLine="480"/>
        <w:rPr>
          <w:rFonts w:ascii="宋体" w:hAnsi="宋体" w:eastAsia="宋体" w:cs="宋体"/>
          <w:color w:val="auto"/>
          <w:sz w:val="24"/>
        </w:rPr>
      </w:pPr>
      <w:r>
        <w:rPr>
          <w:rFonts w:hint="eastAsia" w:ascii="宋体" w:hAnsi="宋体" w:eastAsia="宋体" w:cs="宋体"/>
          <w:color w:val="auto"/>
          <w:sz w:val="24"/>
          <w:lang w:eastAsia="zh-CN"/>
        </w:rPr>
        <w:t>4.</w:t>
      </w:r>
      <w:r>
        <w:rPr>
          <w:rFonts w:hint="eastAsia" w:ascii="宋体" w:hAnsi="宋体" w:eastAsia="宋体" w:cs="宋体"/>
          <w:color w:val="auto"/>
          <w:sz w:val="24"/>
          <w:lang w:val="zh-CN"/>
        </w:rPr>
        <w:t>我公司具有依法缴纳税收和社会保障资金的良好记录。</w:t>
      </w:r>
    </w:p>
    <w:p>
      <w:pPr>
        <w:autoSpaceDE w:val="0"/>
        <w:autoSpaceDN w:val="0"/>
        <w:adjustRightInd w:val="0"/>
        <w:spacing w:line="360" w:lineRule="auto"/>
        <w:ind w:firstLine="480"/>
        <w:rPr>
          <w:rFonts w:ascii="宋体" w:hAnsi="宋体" w:eastAsia="宋体" w:cs="宋体"/>
          <w:color w:val="auto"/>
          <w:sz w:val="24"/>
        </w:rPr>
      </w:pPr>
      <w:r>
        <w:rPr>
          <w:rFonts w:hint="eastAsia" w:ascii="宋体" w:hAnsi="宋体" w:eastAsia="宋体" w:cs="宋体"/>
          <w:color w:val="auto"/>
          <w:sz w:val="24"/>
          <w:lang w:eastAsia="zh-CN"/>
        </w:rPr>
        <w:t>5.</w:t>
      </w:r>
      <w:r>
        <w:rPr>
          <w:rFonts w:hint="eastAsia" w:ascii="宋体" w:hAnsi="宋体" w:eastAsia="宋体" w:cs="宋体"/>
          <w:color w:val="auto"/>
          <w:sz w:val="24"/>
          <w:lang w:val="zh-CN"/>
        </w:rPr>
        <w:t>我公司在参与本次政府采购活动之前三年内，在经营活动中无重大违法记录。</w:t>
      </w:r>
    </w:p>
    <w:p>
      <w:pPr>
        <w:autoSpaceDE w:val="0"/>
        <w:autoSpaceDN w:val="0"/>
        <w:adjustRightInd w:val="0"/>
        <w:spacing w:line="360" w:lineRule="auto"/>
        <w:ind w:firstLine="480"/>
        <w:rPr>
          <w:rFonts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lang w:val="zh-CN"/>
        </w:rPr>
        <w:t>我公司在参与本次政府采购活动时未受到任何地方政府采购部门作出的暂停参加政府采购活动的处罚。</w:t>
      </w:r>
    </w:p>
    <w:p>
      <w:pPr>
        <w:autoSpaceDE w:val="0"/>
        <w:autoSpaceDN w:val="0"/>
        <w:adjustRightInd w:val="0"/>
        <w:spacing w:line="360" w:lineRule="auto"/>
        <w:ind w:firstLine="480"/>
        <w:rPr>
          <w:rFonts w:ascii="宋体" w:hAnsi="宋体" w:eastAsia="宋体" w:cs="宋体"/>
          <w:color w:val="auto"/>
          <w:sz w:val="24"/>
        </w:rPr>
      </w:pPr>
      <w:r>
        <w:rPr>
          <w:rFonts w:hint="eastAsia" w:ascii="宋体" w:hAnsi="宋体" w:eastAsia="宋体" w:cs="宋体"/>
          <w:color w:val="auto"/>
          <w:sz w:val="24"/>
          <w:lang w:val="zh-CN"/>
        </w:rPr>
        <w:t>二、我公司保证上述声明的事项都是真实的，如有虚假，我公司承担相应的法律责任，并承担因此给你公司以及本项目采购人所造成的损失。</w:t>
      </w:r>
    </w:p>
    <w:p>
      <w:pPr>
        <w:autoSpaceDE w:val="0"/>
        <w:autoSpaceDN w:val="0"/>
        <w:adjustRightInd w:val="0"/>
        <w:spacing w:line="360" w:lineRule="auto"/>
        <w:ind w:firstLine="480"/>
        <w:rPr>
          <w:rFonts w:ascii="宋体" w:hAnsi="宋体" w:eastAsia="宋体" w:cs="宋体"/>
          <w:color w:val="auto"/>
          <w:sz w:val="24"/>
          <w:lang w:val="zh-CN"/>
        </w:rPr>
      </w:pPr>
      <w:r>
        <w:rPr>
          <w:rFonts w:hint="eastAsia" w:ascii="宋体" w:hAnsi="宋体" w:eastAsia="宋体" w:cs="宋体"/>
          <w:color w:val="auto"/>
          <w:sz w:val="24"/>
        </w:rPr>
        <w:t>三、</w:t>
      </w:r>
      <w:r>
        <w:rPr>
          <w:rFonts w:hint="eastAsia" w:ascii="宋体" w:hAnsi="宋体" w:eastAsia="宋体" w:cs="宋体"/>
          <w:color w:val="auto"/>
          <w:sz w:val="24"/>
          <w:lang w:val="zh-CN"/>
        </w:rPr>
        <w:t>我公司已经按照你公司</w:t>
      </w:r>
      <w:r>
        <w:rPr>
          <w:rFonts w:hint="eastAsia" w:ascii="宋体" w:hAnsi="宋体" w:eastAsia="宋体" w:cs="宋体"/>
          <w:color w:val="auto"/>
          <w:sz w:val="24"/>
        </w:rPr>
        <w:t>采购</w:t>
      </w:r>
      <w:r>
        <w:rPr>
          <w:rFonts w:hint="eastAsia" w:ascii="宋体" w:hAnsi="宋体" w:eastAsia="宋体" w:cs="宋体"/>
          <w:color w:val="auto"/>
          <w:sz w:val="24"/>
          <w:lang w:val="zh-CN"/>
        </w:rPr>
        <w:t>文件的要求提交了所要求提交的能够证明上述声明事项真实性的全部文件材料，并保证随时按照你公司的要求提供能够证明上述声明事项真实性的任何有效文件。</w:t>
      </w:r>
    </w:p>
    <w:p>
      <w:pPr>
        <w:autoSpaceDE w:val="0"/>
        <w:autoSpaceDN w:val="0"/>
        <w:adjustRightInd w:val="0"/>
        <w:spacing w:line="360" w:lineRule="auto"/>
        <w:ind w:firstLine="480"/>
        <w:rPr>
          <w:rFonts w:ascii="宋体" w:hAnsi="宋体" w:eastAsia="宋体" w:cs="宋体"/>
          <w:color w:val="auto"/>
          <w:sz w:val="24"/>
          <w:lang w:val="zh-CN"/>
        </w:rPr>
      </w:pPr>
    </w:p>
    <w:p>
      <w:pPr>
        <w:autoSpaceDE w:val="0"/>
        <w:autoSpaceDN w:val="0"/>
        <w:adjustRightInd w:val="0"/>
        <w:spacing w:line="360" w:lineRule="auto"/>
        <w:ind w:firstLine="480"/>
        <w:rPr>
          <w:rFonts w:ascii="宋体" w:hAnsi="宋体" w:eastAsia="宋体" w:cs="宋体"/>
          <w:color w:val="auto"/>
          <w:sz w:val="24"/>
          <w:lang w:val="zh-CN"/>
        </w:rPr>
      </w:pPr>
    </w:p>
    <w:p>
      <w:pPr>
        <w:autoSpaceDE w:val="0"/>
        <w:autoSpaceDN w:val="0"/>
        <w:adjustRightInd w:val="0"/>
        <w:spacing w:line="360" w:lineRule="auto"/>
        <w:ind w:firstLine="480"/>
        <w:jc w:val="right"/>
        <w:rPr>
          <w:rFonts w:ascii="宋体" w:hAnsi="宋体" w:eastAsia="宋体" w:cs="宋体"/>
          <w:color w:val="auto"/>
          <w:sz w:val="24"/>
          <w:lang w:val="zh-CN"/>
        </w:rPr>
      </w:pPr>
    </w:p>
    <w:p>
      <w:pPr>
        <w:autoSpaceDE w:val="0"/>
        <w:autoSpaceDN w:val="0"/>
        <w:adjustRightInd w:val="0"/>
        <w:spacing w:line="360" w:lineRule="auto"/>
        <w:ind w:right="480" w:firstLine="6240" w:firstLineChars="2600"/>
        <w:rPr>
          <w:rFonts w:ascii="宋体" w:hAnsi="宋体" w:eastAsia="宋体" w:cs="宋体"/>
          <w:color w:val="auto"/>
          <w:sz w:val="24"/>
          <w:lang w:val="zh-CN"/>
        </w:rPr>
      </w:pPr>
      <w:r>
        <w:rPr>
          <w:rFonts w:hint="eastAsia" w:ascii="宋体" w:hAnsi="宋体" w:eastAsia="宋体" w:cs="宋体"/>
          <w:color w:val="auto"/>
          <w:sz w:val="24"/>
          <w:lang w:val="zh-CN"/>
        </w:rPr>
        <w:t>投标人名称（盖章）：</w:t>
      </w:r>
    </w:p>
    <w:p>
      <w:pPr>
        <w:autoSpaceDE w:val="0"/>
        <w:autoSpaceDN w:val="0"/>
        <w:adjustRightInd w:val="0"/>
        <w:spacing w:line="360" w:lineRule="auto"/>
        <w:ind w:right="480" w:firstLine="4920" w:firstLineChars="2050"/>
        <w:rPr>
          <w:rFonts w:ascii="宋体" w:hAnsi="宋体" w:eastAsia="宋体" w:cs="宋体"/>
          <w:color w:val="auto"/>
          <w:sz w:val="24"/>
          <w:lang w:val="zh-CN"/>
        </w:rPr>
      </w:pPr>
    </w:p>
    <w:p>
      <w:pPr>
        <w:autoSpaceDE w:val="0"/>
        <w:autoSpaceDN w:val="0"/>
        <w:adjustRightInd w:val="0"/>
        <w:spacing w:line="360" w:lineRule="auto"/>
        <w:ind w:firstLine="480"/>
        <w:jc w:val="right"/>
        <w:rPr>
          <w:rFonts w:ascii="宋体" w:hAnsi="宋体" w:eastAsia="宋体" w:cs="宋体"/>
          <w:color w:val="auto"/>
          <w:sz w:val="24"/>
          <w:lang w:val="zh-CN"/>
        </w:rPr>
      </w:pPr>
      <w:r>
        <w:rPr>
          <w:rFonts w:hint="eastAsia" w:ascii="宋体" w:hAnsi="宋体" w:eastAsia="宋体" w:cs="宋体"/>
          <w:color w:val="auto"/>
          <w:sz w:val="24"/>
          <w:lang w:val="zh-CN"/>
        </w:rPr>
        <w:t>法定代表人或其委托代理人（签字）：</w:t>
      </w:r>
    </w:p>
    <w:p>
      <w:pPr>
        <w:autoSpaceDE w:val="0"/>
        <w:autoSpaceDN w:val="0"/>
        <w:adjustRightInd w:val="0"/>
        <w:spacing w:line="360" w:lineRule="auto"/>
        <w:ind w:firstLine="480"/>
        <w:jc w:val="right"/>
        <w:rPr>
          <w:rFonts w:ascii="宋体" w:hAnsi="宋体" w:eastAsia="宋体" w:cs="宋体"/>
          <w:color w:val="auto"/>
          <w:sz w:val="24"/>
          <w:lang w:val="zh-CN"/>
        </w:rPr>
      </w:pPr>
    </w:p>
    <w:p>
      <w:pPr>
        <w:autoSpaceDE w:val="0"/>
        <w:autoSpaceDN w:val="0"/>
        <w:adjustRightInd w:val="0"/>
        <w:ind w:right="480" w:firstLine="5280" w:firstLineChars="2200"/>
        <w:rPr>
          <w:rFonts w:ascii="宋体" w:hAnsi="宋体" w:eastAsia="宋体" w:cs="宋体"/>
          <w:color w:val="auto"/>
          <w:sz w:val="24"/>
          <w:lang w:val="zh-CN"/>
        </w:rPr>
      </w:pPr>
      <w:r>
        <w:rPr>
          <w:rFonts w:hint="eastAsia" w:ascii="宋体" w:hAnsi="宋体" w:eastAsia="宋体" w:cs="宋体"/>
          <w:color w:val="auto"/>
          <w:sz w:val="24"/>
          <w:lang w:val="zh-CN"/>
        </w:rPr>
        <w:t>日期：年月日</w:t>
      </w:r>
    </w:p>
    <w:p>
      <w:pPr>
        <w:autoSpaceDE w:val="0"/>
        <w:autoSpaceDN w:val="0"/>
        <w:adjustRightInd w:val="0"/>
        <w:ind w:right="480" w:firstLine="4305" w:firstLineChars="2050"/>
        <w:rPr>
          <w:rFonts w:ascii="宋体" w:hAnsi="宋体" w:eastAsia="宋体" w:cs="宋体"/>
          <w:color w:val="auto"/>
          <w:szCs w:val="21"/>
          <w:lang w:val="zh-CN"/>
        </w:rPr>
      </w:pPr>
    </w:p>
    <w:p>
      <w:pPr>
        <w:tabs>
          <w:tab w:val="left" w:pos="0"/>
        </w:tabs>
        <w:spacing w:line="360" w:lineRule="auto"/>
        <w:jc w:val="center"/>
        <w:rPr>
          <w:rFonts w:ascii="宋体" w:hAnsi="宋体" w:eastAsia="宋体" w:cs="宋体"/>
          <w:b/>
          <w:color w:val="auto"/>
          <w:szCs w:val="21"/>
        </w:rPr>
      </w:pPr>
    </w:p>
    <w:p>
      <w:pPr>
        <w:autoSpaceDE w:val="0"/>
        <w:autoSpaceDN w:val="0"/>
        <w:adjustRightInd w:val="0"/>
        <w:ind w:right="480"/>
        <w:jc w:val="center"/>
        <w:rPr>
          <w:rFonts w:ascii="宋体" w:hAnsi="宋体" w:eastAsia="宋体" w:cs="宋体"/>
          <w:b/>
          <w:color w:val="auto"/>
        </w:rPr>
      </w:pPr>
      <w:r>
        <w:rPr>
          <w:rFonts w:hint="eastAsia" w:ascii="宋体" w:hAnsi="宋体" w:eastAsia="宋体" w:cs="宋体"/>
          <w:color w:val="auto"/>
          <w:sz w:val="28"/>
        </w:rPr>
        <w:br w:type="page"/>
      </w:r>
      <w:r>
        <w:rPr>
          <w:rFonts w:hint="eastAsia" w:ascii="宋体" w:hAnsi="宋体" w:cs="宋体"/>
          <w:b/>
          <w:bCs/>
          <w:color w:val="auto"/>
          <w:sz w:val="28"/>
          <w:lang w:val="en-US" w:eastAsia="zh-CN"/>
        </w:rPr>
        <w:t>8</w:t>
      </w:r>
      <w:r>
        <w:rPr>
          <w:rFonts w:hint="eastAsia" w:ascii="宋体" w:hAnsi="宋体" w:eastAsia="宋体" w:cs="宋体"/>
          <w:b/>
          <w:bCs/>
          <w:color w:val="auto"/>
          <w:sz w:val="28"/>
          <w:lang w:eastAsia="zh-CN"/>
        </w:rPr>
        <w:t>.</w:t>
      </w:r>
      <w:r>
        <w:rPr>
          <w:rFonts w:hint="eastAsia" w:ascii="宋体" w:hAnsi="宋体" w:eastAsia="宋体" w:cs="宋体"/>
          <w:b/>
          <w:bCs/>
          <w:color w:val="auto"/>
          <w:sz w:val="32"/>
          <w:szCs w:val="32"/>
        </w:rPr>
        <w:t>投标人</w:t>
      </w:r>
      <w:r>
        <w:rPr>
          <w:rFonts w:hint="eastAsia" w:ascii="宋体" w:hAnsi="宋体" w:eastAsia="宋体" w:cs="宋体"/>
          <w:b/>
          <w:color w:val="auto"/>
          <w:sz w:val="32"/>
          <w:szCs w:val="32"/>
        </w:rPr>
        <w:t>基本情况</w:t>
      </w:r>
    </w:p>
    <w:p>
      <w:pPr>
        <w:widowControl/>
        <w:spacing w:line="360" w:lineRule="auto"/>
        <w:jc w:val="left"/>
        <w:rPr>
          <w:rFonts w:ascii="宋体" w:hAnsi="宋体" w:eastAsia="宋体" w:cs="宋体"/>
          <w:b/>
          <w:bCs/>
          <w:color w:val="auto"/>
          <w:kern w:val="0"/>
          <w:sz w:val="24"/>
        </w:rPr>
      </w:pPr>
      <w:r>
        <w:rPr>
          <w:rFonts w:hint="eastAsia" w:ascii="宋体" w:hAnsi="宋体" w:eastAsia="宋体" w:cs="宋体"/>
          <w:b/>
          <w:bCs/>
          <w:color w:val="auto"/>
          <w:kern w:val="0"/>
          <w:sz w:val="24"/>
        </w:rPr>
        <w:t>单位名称：</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rPr>
        <w:t>公章）</w:t>
      </w:r>
    </w:p>
    <w:tbl>
      <w:tblPr>
        <w:tblStyle w:val="37"/>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0"/>
        <w:gridCol w:w="2153"/>
        <w:gridCol w:w="1313"/>
        <w:gridCol w:w="2056"/>
        <w:gridCol w:w="123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投标人全称</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法定代表人</w:t>
            </w:r>
          </w:p>
        </w:tc>
        <w:tc>
          <w:tcPr>
            <w:tcW w:w="21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c>
          <w:tcPr>
            <w:tcW w:w="13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成立日期</w:t>
            </w: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企业地址</w:t>
            </w:r>
          </w:p>
        </w:tc>
        <w:tc>
          <w:tcPr>
            <w:tcW w:w="21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c>
          <w:tcPr>
            <w:tcW w:w="13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注册资本</w:t>
            </w: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60"/>
              <w:jc w:val="center"/>
              <w:rPr>
                <w:rFonts w:ascii="宋体" w:hAnsi="宋体" w:eastAsia="宋体" w:cs="宋体"/>
                <w:color w:val="auto"/>
                <w:sz w:val="24"/>
              </w:rPr>
            </w:pPr>
            <w:r>
              <w:rPr>
                <w:rFonts w:hint="eastAsia" w:ascii="宋体" w:hAnsi="宋体" w:eastAsia="宋体" w:cs="宋体"/>
                <w:color w:val="auto"/>
                <w:sz w:val="24"/>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经营范围</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职工人数</w:t>
            </w:r>
          </w:p>
        </w:tc>
        <w:tc>
          <w:tcPr>
            <w:tcW w:w="21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c>
          <w:tcPr>
            <w:tcW w:w="336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其中：有中高级以上职称的人数</w:t>
            </w:r>
          </w:p>
        </w:tc>
        <w:tc>
          <w:tcPr>
            <w:tcW w:w="12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资产总计</w:t>
            </w:r>
          </w:p>
        </w:tc>
        <w:tc>
          <w:tcPr>
            <w:tcW w:w="21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万元</w:t>
            </w:r>
          </w:p>
        </w:tc>
        <w:tc>
          <w:tcPr>
            <w:tcW w:w="13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净资产</w:t>
            </w: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股东权益</w:t>
            </w:r>
          </w:p>
        </w:tc>
        <w:tc>
          <w:tcPr>
            <w:tcW w:w="21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万元</w:t>
            </w:r>
          </w:p>
        </w:tc>
        <w:tc>
          <w:tcPr>
            <w:tcW w:w="13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销售收入</w:t>
            </w: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实现利润</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单位优势及特长</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最近3年内在经营过程中受到何种奖励或处分</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最近3年内有无因货物供应或是其他原因被投诉或起诉的情况及说明</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zh-CN"/>
              </w:rPr>
              <w:t>其他需要说明的情况</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lang w:val="zh-CN"/>
              </w:rPr>
            </w:pPr>
            <w:r>
              <w:rPr>
                <w:rFonts w:hint="eastAsia" w:ascii="宋体" w:hAnsi="宋体" w:eastAsia="宋体" w:cs="宋体"/>
                <w:color w:val="auto"/>
                <w:sz w:val="24"/>
                <w:lang w:val="zh-CN"/>
              </w:rPr>
              <w:t>备注</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auto"/>
                <w:sz w:val="24"/>
              </w:rPr>
            </w:pPr>
          </w:p>
        </w:tc>
      </w:tr>
    </w:tbl>
    <w:p>
      <w:pPr>
        <w:autoSpaceDE w:val="0"/>
        <w:autoSpaceDN w:val="0"/>
        <w:adjustRightInd w:val="0"/>
        <w:spacing w:line="400" w:lineRule="exact"/>
        <w:rPr>
          <w:rFonts w:ascii="宋体" w:hAnsi="宋体" w:eastAsia="宋体" w:cs="宋体"/>
          <w:b/>
          <w:bCs/>
          <w:color w:val="auto"/>
          <w:szCs w:val="21"/>
          <w:lang w:val="zh-CN"/>
        </w:rPr>
      </w:pPr>
      <w:r>
        <w:rPr>
          <w:rFonts w:hint="eastAsia" w:ascii="宋体" w:hAnsi="宋体" w:eastAsia="宋体" w:cs="宋体"/>
          <w:b/>
          <w:bCs/>
          <w:color w:val="auto"/>
          <w:szCs w:val="21"/>
        </w:rPr>
        <w:t>附：本表后须附</w:t>
      </w:r>
      <w:r>
        <w:rPr>
          <w:rFonts w:hint="eastAsia" w:ascii="宋体" w:hAnsi="宋体" w:eastAsia="宋体" w:cs="宋体"/>
          <w:b/>
          <w:bCs/>
          <w:color w:val="auto"/>
          <w:szCs w:val="21"/>
          <w:lang w:val="zh-CN"/>
        </w:rPr>
        <w:t>企业营业执照副本</w:t>
      </w:r>
      <w:r>
        <w:rPr>
          <w:rFonts w:hint="eastAsia" w:ascii="宋体" w:hAnsi="宋体" w:eastAsia="宋体" w:cs="宋体"/>
          <w:b/>
          <w:bCs/>
          <w:color w:val="auto"/>
          <w:szCs w:val="21"/>
        </w:rPr>
        <w:t>等证明材料</w:t>
      </w:r>
      <w:r>
        <w:rPr>
          <w:rFonts w:hint="eastAsia" w:ascii="宋体" w:hAnsi="宋体" w:eastAsia="宋体" w:cs="宋体"/>
          <w:b/>
          <w:bCs/>
          <w:color w:val="auto"/>
          <w:szCs w:val="21"/>
          <w:lang w:val="zh-CN"/>
        </w:rPr>
        <w:t>；</w:t>
      </w:r>
    </w:p>
    <w:p>
      <w:pPr>
        <w:tabs>
          <w:tab w:val="left" w:pos="1365"/>
        </w:tabs>
        <w:rPr>
          <w:rFonts w:ascii="宋体" w:hAnsi="宋体" w:eastAsia="宋体" w:cs="宋体"/>
          <w:b/>
          <w:color w:val="auto"/>
          <w:sz w:val="24"/>
        </w:rPr>
      </w:pPr>
    </w:p>
    <w:p>
      <w:pPr>
        <w:spacing w:line="360" w:lineRule="auto"/>
        <w:jc w:val="center"/>
        <w:rPr>
          <w:rFonts w:ascii="宋体" w:hAnsi="宋体" w:eastAsia="宋体" w:cs="宋体"/>
          <w:color w:val="auto"/>
          <w:sz w:val="28"/>
        </w:rPr>
      </w:pPr>
      <w:r>
        <w:rPr>
          <w:rFonts w:hint="eastAsia" w:ascii="宋体" w:hAnsi="宋体" w:eastAsia="宋体" w:cs="宋体"/>
          <w:color w:val="auto"/>
          <w:sz w:val="28"/>
        </w:rPr>
        <w:br w:type="page"/>
      </w:r>
    </w:p>
    <w:p>
      <w:pPr>
        <w:spacing w:before="140" w:line="219" w:lineRule="auto"/>
        <w:jc w:val="center"/>
        <w:rPr>
          <w:rFonts w:ascii="宋体" w:hAnsi="宋体" w:eastAsia="宋体" w:cs="宋体"/>
          <w:color w:val="auto"/>
          <w:sz w:val="43"/>
          <w:szCs w:val="43"/>
        </w:rPr>
      </w:pPr>
      <w:r>
        <w:rPr>
          <w:rFonts w:hint="eastAsia" w:ascii="宋体" w:hAnsi="宋体" w:cs="宋体"/>
          <w:b/>
          <w:color w:val="auto"/>
          <w:sz w:val="32"/>
          <w:szCs w:val="32"/>
          <w:lang w:val="en-US" w:eastAsia="zh-CN"/>
        </w:rPr>
        <w:t>9.</w:t>
      </w:r>
      <w:r>
        <w:rPr>
          <w:rFonts w:hint="eastAsia" w:ascii="宋体" w:hAnsi="宋体" w:eastAsia="宋体" w:cs="宋体"/>
          <w:b/>
          <w:color w:val="auto"/>
          <w:sz w:val="32"/>
          <w:szCs w:val="32"/>
        </w:rPr>
        <w:t>资格条件承诺函</w:t>
      </w:r>
    </w:p>
    <w:p>
      <w:pPr>
        <w:spacing w:line="290" w:lineRule="auto"/>
        <w:rPr>
          <w:rFonts w:ascii="宋体" w:hAnsi="宋体" w:eastAsia="宋体" w:cs="宋体"/>
          <w:color w:val="auto"/>
        </w:rPr>
      </w:pPr>
    </w:p>
    <w:p>
      <w:pPr>
        <w:spacing w:line="291" w:lineRule="auto"/>
        <w:rPr>
          <w:rFonts w:ascii="宋体" w:hAnsi="宋体" w:eastAsia="宋体" w:cs="宋体"/>
          <w:color w:val="auto"/>
        </w:rPr>
      </w:pPr>
    </w:p>
    <w:p>
      <w:pPr>
        <w:spacing w:line="291" w:lineRule="auto"/>
        <w:rPr>
          <w:rFonts w:ascii="宋体" w:hAnsi="宋体" w:eastAsia="宋体" w:cs="宋体"/>
          <w:color w:val="auto"/>
        </w:rPr>
      </w:pPr>
    </w:p>
    <w:p>
      <w:pPr>
        <w:spacing w:before="101" w:line="219" w:lineRule="auto"/>
        <w:rPr>
          <w:rFonts w:ascii="宋体" w:hAnsi="宋体" w:eastAsia="宋体" w:cs="宋体"/>
          <w:color w:val="auto"/>
          <w:sz w:val="24"/>
        </w:rPr>
      </w:pPr>
      <w:r>
        <w:rPr>
          <w:rFonts w:hint="eastAsia" w:ascii="宋体" w:hAnsi="宋体" w:eastAsia="宋体" w:cs="宋体"/>
          <w:color w:val="auto"/>
          <w:spacing w:val="-19"/>
          <w:sz w:val="24"/>
        </w:rPr>
        <w:t>致</w:t>
      </w:r>
      <w:r>
        <w:rPr>
          <w:rFonts w:hint="eastAsia" w:ascii="宋体" w:hAnsi="宋体" w:eastAsia="宋体" w:cs="宋体"/>
          <w:color w:val="auto"/>
          <w:spacing w:val="132"/>
          <w:sz w:val="24"/>
        </w:rPr>
        <w:t xml:space="preserve"> </w:t>
      </w:r>
      <w:r>
        <w:rPr>
          <w:rFonts w:hint="eastAsia" w:ascii="宋体" w:hAnsi="宋体" w:eastAsia="宋体" w:cs="宋体"/>
          <w:color w:val="auto"/>
          <w:spacing w:val="-19"/>
          <w:sz w:val="24"/>
        </w:rPr>
        <w:t>：</w:t>
      </w:r>
      <w:r>
        <w:rPr>
          <w:rFonts w:hint="eastAsia" w:ascii="宋体" w:hAnsi="宋体" w:eastAsia="宋体" w:cs="宋体"/>
          <w:color w:val="auto"/>
          <w:spacing w:val="-85"/>
          <w:sz w:val="24"/>
          <w:u w:val="single"/>
        </w:rPr>
        <w:t xml:space="preserve"> </w:t>
      </w:r>
      <w:r>
        <w:rPr>
          <w:rFonts w:hint="eastAsia" w:ascii="宋体" w:hAnsi="宋体" w:eastAsia="宋体" w:cs="宋体"/>
          <w:color w:val="auto"/>
          <w:spacing w:val="-19"/>
          <w:sz w:val="24"/>
          <w:u w:val="single"/>
        </w:rPr>
        <w:t>(</w:t>
      </w:r>
      <w:r>
        <w:rPr>
          <w:rFonts w:hint="eastAsia" w:ascii="宋体" w:hAnsi="宋体" w:eastAsia="宋体" w:cs="宋体"/>
          <w:color w:val="auto"/>
          <w:spacing w:val="-70"/>
          <w:sz w:val="24"/>
          <w:u w:val="single"/>
        </w:rPr>
        <w:t xml:space="preserve"> </w:t>
      </w:r>
      <w:r>
        <w:rPr>
          <w:rFonts w:hint="eastAsia" w:ascii="宋体" w:hAnsi="宋体" w:eastAsia="宋体" w:cs="宋体"/>
          <w:color w:val="auto"/>
          <w:spacing w:val="-19"/>
          <w:sz w:val="24"/>
          <w:u w:val="single"/>
        </w:rPr>
        <w:t>采</w:t>
      </w:r>
      <w:r>
        <w:rPr>
          <w:rFonts w:hint="eastAsia" w:ascii="宋体" w:hAnsi="宋体" w:eastAsia="宋体" w:cs="宋体"/>
          <w:color w:val="auto"/>
          <w:spacing w:val="-70"/>
          <w:sz w:val="24"/>
          <w:u w:val="single"/>
        </w:rPr>
        <w:t xml:space="preserve"> </w:t>
      </w:r>
      <w:r>
        <w:rPr>
          <w:rFonts w:hint="eastAsia" w:ascii="宋体" w:hAnsi="宋体" w:eastAsia="宋体" w:cs="宋体"/>
          <w:color w:val="auto"/>
          <w:spacing w:val="-19"/>
          <w:sz w:val="24"/>
          <w:u w:val="single"/>
        </w:rPr>
        <w:t>购</w:t>
      </w:r>
      <w:r>
        <w:rPr>
          <w:rFonts w:hint="eastAsia" w:ascii="宋体" w:hAnsi="宋体" w:eastAsia="宋体" w:cs="宋体"/>
          <w:color w:val="auto"/>
          <w:spacing w:val="-66"/>
          <w:sz w:val="24"/>
          <w:u w:val="single"/>
        </w:rPr>
        <w:t xml:space="preserve"> </w:t>
      </w:r>
      <w:r>
        <w:rPr>
          <w:rFonts w:hint="eastAsia" w:ascii="宋体" w:hAnsi="宋体" w:eastAsia="宋体" w:cs="宋体"/>
          <w:color w:val="auto"/>
          <w:spacing w:val="-19"/>
          <w:sz w:val="24"/>
          <w:u w:val="single"/>
        </w:rPr>
        <w:t>人</w:t>
      </w:r>
      <w:r>
        <w:rPr>
          <w:rFonts w:hint="eastAsia" w:ascii="宋体" w:hAnsi="宋体" w:eastAsia="宋体" w:cs="宋体"/>
          <w:color w:val="auto"/>
          <w:spacing w:val="-47"/>
          <w:sz w:val="24"/>
          <w:u w:val="single"/>
        </w:rPr>
        <w:t xml:space="preserve"> </w:t>
      </w:r>
      <w:r>
        <w:rPr>
          <w:rFonts w:hint="eastAsia" w:ascii="宋体" w:hAnsi="宋体" w:eastAsia="宋体" w:cs="宋体"/>
          <w:color w:val="auto"/>
          <w:spacing w:val="-19"/>
          <w:sz w:val="24"/>
          <w:u w:val="single"/>
        </w:rPr>
        <w:t>、</w:t>
      </w:r>
      <w:r>
        <w:rPr>
          <w:rFonts w:hint="eastAsia" w:ascii="宋体" w:hAnsi="宋体" w:eastAsia="宋体" w:cs="宋体"/>
          <w:color w:val="auto"/>
          <w:spacing w:val="-69"/>
          <w:sz w:val="24"/>
          <w:u w:val="single"/>
        </w:rPr>
        <w:t xml:space="preserve"> </w:t>
      </w:r>
      <w:r>
        <w:rPr>
          <w:rFonts w:hint="eastAsia" w:ascii="宋体" w:hAnsi="宋体" w:eastAsia="宋体" w:cs="宋体"/>
          <w:color w:val="auto"/>
          <w:spacing w:val="-19"/>
          <w:sz w:val="24"/>
          <w:u w:val="single"/>
        </w:rPr>
        <w:t>采</w:t>
      </w:r>
      <w:r>
        <w:rPr>
          <w:rFonts w:hint="eastAsia" w:ascii="宋体" w:hAnsi="宋体" w:eastAsia="宋体" w:cs="宋体"/>
          <w:color w:val="auto"/>
          <w:spacing w:val="-71"/>
          <w:sz w:val="24"/>
          <w:u w:val="single"/>
        </w:rPr>
        <w:t xml:space="preserve"> </w:t>
      </w:r>
      <w:r>
        <w:rPr>
          <w:rFonts w:hint="eastAsia" w:ascii="宋体" w:hAnsi="宋体" w:eastAsia="宋体" w:cs="宋体"/>
          <w:color w:val="auto"/>
          <w:spacing w:val="-19"/>
          <w:sz w:val="24"/>
          <w:u w:val="single"/>
        </w:rPr>
        <w:t>购</w:t>
      </w:r>
      <w:r>
        <w:rPr>
          <w:rFonts w:hint="eastAsia" w:ascii="宋体" w:hAnsi="宋体" w:eastAsia="宋体" w:cs="宋体"/>
          <w:color w:val="auto"/>
          <w:spacing w:val="-69"/>
          <w:sz w:val="24"/>
          <w:u w:val="single"/>
        </w:rPr>
        <w:t xml:space="preserve"> </w:t>
      </w:r>
      <w:r>
        <w:rPr>
          <w:rFonts w:hint="eastAsia" w:ascii="宋体" w:hAnsi="宋体" w:eastAsia="宋体" w:cs="宋体"/>
          <w:color w:val="auto"/>
          <w:spacing w:val="-19"/>
          <w:sz w:val="24"/>
          <w:u w:val="single"/>
        </w:rPr>
        <w:t>代</w:t>
      </w:r>
      <w:r>
        <w:rPr>
          <w:rFonts w:hint="eastAsia" w:ascii="宋体" w:hAnsi="宋体" w:eastAsia="宋体" w:cs="宋体"/>
          <w:color w:val="auto"/>
          <w:spacing w:val="-65"/>
          <w:sz w:val="24"/>
          <w:u w:val="single"/>
        </w:rPr>
        <w:t xml:space="preserve"> </w:t>
      </w:r>
      <w:r>
        <w:rPr>
          <w:rFonts w:hint="eastAsia" w:ascii="宋体" w:hAnsi="宋体" w:eastAsia="宋体" w:cs="宋体"/>
          <w:color w:val="auto"/>
          <w:spacing w:val="-19"/>
          <w:sz w:val="24"/>
          <w:u w:val="single"/>
        </w:rPr>
        <w:t>理</w:t>
      </w:r>
      <w:r>
        <w:rPr>
          <w:rFonts w:hint="eastAsia" w:ascii="宋体" w:hAnsi="宋体" w:eastAsia="宋体" w:cs="宋体"/>
          <w:color w:val="auto"/>
          <w:spacing w:val="-69"/>
          <w:sz w:val="24"/>
          <w:u w:val="single"/>
        </w:rPr>
        <w:t xml:space="preserve"> </w:t>
      </w:r>
      <w:r>
        <w:rPr>
          <w:rFonts w:hint="eastAsia" w:ascii="宋体" w:hAnsi="宋体" w:eastAsia="宋体" w:cs="宋体"/>
          <w:color w:val="auto"/>
          <w:spacing w:val="-19"/>
          <w:sz w:val="24"/>
          <w:u w:val="single"/>
        </w:rPr>
        <w:t>机</w:t>
      </w:r>
      <w:r>
        <w:rPr>
          <w:rFonts w:hint="eastAsia" w:ascii="宋体" w:hAnsi="宋体" w:eastAsia="宋体" w:cs="宋体"/>
          <w:color w:val="auto"/>
          <w:spacing w:val="-65"/>
          <w:sz w:val="24"/>
          <w:u w:val="single"/>
        </w:rPr>
        <w:t xml:space="preserve"> </w:t>
      </w:r>
      <w:r>
        <w:rPr>
          <w:rFonts w:hint="eastAsia" w:ascii="宋体" w:hAnsi="宋体" w:eastAsia="宋体" w:cs="宋体"/>
          <w:color w:val="auto"/>
          <w:spacing w:val="-19"/>
          <w:sz w:val="24"/>
          <w:u w:val="single"/>
        </w:rPr>
        <w:t>构</w:t>
      </w:r>
      <w:r>
        <w:rPr>
          <w:rFonts w:hint="eastAsia" w:ascii="宋体" w:hAnsi="宋体" w:eastAsia="宋体" w:cs="宋体"/>
          <w:color w:val="auto"/>
          <w:spacing w:val="-67"/>
          <w:sz w:val="24"/>
          <w:u w:val="single"/>
        </w:rPr>
        <w:t xml:space="preserve"> </w:t>
      </w:r>
      <w:r>
        <w:rPr>
          <w:rFonts w:hint="eastAsia" w:ascii="宋体" w:hAnsi="宋体" w:eastAsia="宋体" w:cs="宋体"/>
          <w:color w:val="auto"/>
          <w:spacing w:val="-19"/>
          <w:sz w:val="24"/>
          <w:u w:val="single"/>
        </w:rPr>
        <w:t>)</w:t>
      </w:r>
      <w:r>
        <w:rPr>
          <w:rFonts w:hint="eastAsia" w:ascii="宋体" w:hAnsi="宋体" w:eastAsia="宋体" w:cs="宋体"/>
          <w:color w:val="auto"/>
          <w:spacing w:val="74"/>
          <w:sz w:val="24"/>
          <w:u w:val="single"/>
        </w:rPr>
        <w:t xml:space="preserve">  </w:t>
      </w:r>
      <w:r>
        <w:rPr>
          <w:rFonts w:hint="eastAsia" w:ascii="宋体" w:hAnsi="宋体" w:eastAsia="宋体" w:cs="宋体"/>
          <w:color w:val="auto"/>
          <w:spacing w:val="-74"/>
          <w:sz w:val="24"/>
        </w:rPr>
        <w:t xml:space="preserve"> </w:t>
      </w:r>
      <w:r>
        <w:rPr>
          <w:rFonts w:hint="eastAsia" w:ascii="宋体" w:hAnsi="宋体" w:eastAsia="宋体" w:cs="宋体"/>
          <w:color w:val="auto"/>
          <w:spacing w:val="-19"/>
          <w:sz w:val="24"/>
        </w:rPr>
        <w:t>:</w:t>
      </w:r>
    </w:p>
    <w:p>
      <w:pPr>
        <w:spacing w:before="243" w:line="387" w:lineRule="auto"/>
        <w:ind w:left="619"/>
        <w:rPr>
          <w:rFonts w:ascii="宋体" w:hAnsi="宋体" w:eastAsia="宋体" w:cs="宋体"/>
          <w:color w:val="auto"/>
          <w:sz w:val="24"/>
        </w:rPr>
      </w:pPr>
      <w:r>
        <w:rPr>
          <w:rFonts w:hint="eastAsia" w:ascii="宋体" w:hAnsi="宋体" w:eastAsia="宋体" w:cs="宋体"/>
          <w:color w:val="auto"/>
          <w:spacing w:val="-1"/>
          <w:sz w:val="24"/>
        </w:rPr>
        <w:t>我单位</w:t>
      </w:r>
      <w:r>
        <w:rPr>
          <w:rFonts w:hint="eastAsia" w:ascii="宋体" w:hAnsi="宋体" w:eastAsia="宋体" w:cs="宋体"/>
          <w:color w:val="auto"/>
          <w:spacing w:val="-1"/>
          <w:sz w:val="24"/>
          <w:lang w:eastAsia="zh-CN"/>
        </w:rPr>
        <w:t>（</w:t>
      </w:r>
      <w:r>
        <w:rPr>
          <w:rFonts w:hint="eastAsia" w:ascii="宋体" w:hAnsi="宋体" w:eastAsia="宋体" w:cs="宋体"/>
          <w:color w:val="auto"/>
          <w:spacing w:val="-1"/>
          <w:sz w:val="24"/>
        </w:rPr>
        <w:t>公司</w:t>
      </w:r>
      <w:r>
        <w:rPr>
          <w:rFonts w:hint="eastAsia" w:ascii="宋体" w:hAnsi="宋体" w:eastAsia="宋体" w:cs="宋体"/>
          <w:color w:val="auto"/>
          <w:spacing w:val="-1"/>
          <w:sz w:val="24"/>
          <w:lang w:eastAsia="zh-CN"/>
        </w:rPr>
        <w:t>）</w:t>
      </w:r>
      <w:r>
        <w:rPr>
          <w:rFonts w:hint="eastAsia" w:ascii="宋体" w:hAnsi="宋体" w:eastAsia="宋体" w:cs="宋体"/>
          <w:color w:val="auto"/>
          <w:spacing w:val="-1"/>
          <w:sz w:val="24"/>
        </w:rPr>
        <w:t>参与</w:t>
      </w:r>
      <w:r>
        <w:rPr>
          <w:rFonts w:hint="eastAsia" w:ascii="宋体" w:hAnsi="宋体" w:eastAsia="宋体" w:cs="宋体"/>
          <w:color w:val="auto"/>
          <w:spacing w:val="-30"/>
          <w:sz w:val="24"/>
        </w:rPr>
        <w:t xml:space="preserve"> </w:t>
      </w:r>
      <w:r>
        <w:rPr>
          <w:rFonts w:hint="eastAsia" w:ascii="宋体" w:hAnsi="宋体" w:eastAsia="宋体" w:cs="宋体"/>
          <w:color w:val="auto"/>
          <w:spacing w:val="26"/>
          <w:sz w:val="24"/>
          <w:u w:val="single"/>
        </w:rPr>
        <w:t xml:space="preserve">   </w:t>
      </w:r>
      <w:r>
        <w:rPr>
          <w:rFonts w:hint="eastAsia" w:ascii="宋体" w:hAnsi="宋体" w:eastAsia="宋体" w:cs="宋体"/>
          <w:color w:val="auto"/>
          <w:spacing w:val="-1"/>
          <w:sz w:val="24"/>
          <w:u w:val="single"/>
        </w:rPr>
        <w:t>(</w:t>
      </w:r>
      <w:r>
        <w:rPr>
          <w:rFonts w:hint="eastAsia" w:ascii="宋体" w:hAnsi="宋体" w:eastAsia="宋体" w:cs="宋体"/>
          <w:color w:val="auto"/>
          <w:spacing w:val="-60"/>
          <w:sz w:val="24"/>
          <w:u w:val="single"/>
        </w:rPr>
        <w:t xml:space="preserve"> </w:t>
      </w:r>
      <w:r>
        <w:rPr>
          <w:rFonts w:hint="eastAsia" w:ascii="宋体" w:hAnsi="宋体" w:eastAsia="宋体" w:cs="宋体"/>
          <w:color w:val="auto"/>
          <w:spacing w:val="-1"/>
          <w:sz w:val="24"/>
          <w:u w:val="single"/>
        </w:rPr>
        <w:t>采</w:t>
      </w:r>
      <w:r>
        <w:rPr>
          <w:rFonts w:hint="eastAsia" w:ascii="宋体" w:hAnsi="宋体" w:eastAsia="宋体" w:cs="宋体"/>
          <w:color w:val="auto"/>
          <w:spacing w:val="-61"/>
          <w:sz w:val="24"/>
          <w:u w:val="single"/>
        </w:rPr>
        <w:t xml:space="preserve"> </w:t>
      </w:r>
      <w:r>
        <w:rPr>
          <w:rFonts w:hint="eastAsia" w:ascii="宋体" w:hAnsi="宋体" w:eastAsia="宋体" w:cs="宋体"/>
          <w:color w:val="auto"/>
          <w:spacing w:val="-1"/>
          <w:sz w:val="24"/>
          <w:u w:val="single"/>
        </w:rPr>
        <w:t>购</w:t>
      </w:r>
      <w:r>
        <w:rPr>
          <w:rFonts w:hint="eastAsia" w:ascii="宋体" w:hAnsi="宋体" w:eastAsia="宋体" w:cs="宋体"/>
          <w:color w:val="auto"/>
          <w:spacing w:val="-55"/>
          <w:sz w:val="24"/>
          <w:u w:val="single"/>
        </w:rPr>
        <w:t xml:space="preserve"> </w:t>
      </w:r>
      <w:r>
        <w:rPr>
          <w:rFonts w:hint="eastAsia" w:ascii="宋体" w:hAnsi="宋体" w:eastAsia="宋体" w:cs="宋体"/>
          <w:color w:val="auto"/>
          <w:spacing w:val="-1"/>
          <w:sz w:val="24"/>
          <w:u w:val="single"/>
        </w:rPr>
        <w:t>项目</w:t>
      </w:r>
      <w:r>
        <w:rPr>
          <w:rFonts w:hint="eastAsia" w:ascii="宋体" w:hAnsi="宋体" w:eastAsia="宋体" w:cs="宋体"/>
          <w:color w:val="auto"/>
          <w:spacing w:val="-55"/>
          <w:sz w:val="24"/>
          <w:u w:val="single"/>
        </w:rPr>
        <w:t xml:space="preserve"> </w:t>
      </w:r>
      <w:r>
        <w:rPr>
          <w:rFonts w:hint="eastAsia" w:ascii="宋体" w:hAnsi="宋体" w:eastAsia="宋体" w:cs="宋体"/>
          <w:color w:val="auto"/>
          <w:spacing w:val="-1"/>
          <w:sz w:val="24"/>
          <w:u w:val="single"/>
        </w:rPr>
        <w:t>名</w:t>
      </w:r>
      <w:r>
        <w:rPr>
          <w:rFonts w:hint="eastAsia" w:ascii="宋体" w:hAnsi="宋体" w:eastAsia="宋体" w:cs="宋体"/>
          <w:color w:val="auto"/>
          <w:spacing w:val="-61"/>
          <w:sz w:val="24"/>
          <w:u w:val="single"/>
        </w:rPr>
        <w:t xml:space="preserve"> </w:t>
      </w:r>
      <w:r>
        <w:rPr>
          <w:rFonts w:hint="eastAsia" w:ascii="宋体" w:hAnsi="宋体" w:eastAsia="宋体" w:cs="宋体"/>
          <w:color w:val="auto"/>
          <w:spacing w:val="-1"/>
          <w:sz w:val="24"/>
          <w:u w:val="single"/>
        </w:rPr>
        <w:t>称</w:t>
      </w:r>
      <w:r>
        <w:rPr>
          <w:rFonts w:hint="eastAsia" w:ascii="宋体" w:hAnsi="宋体" w:eastAsia="宋体" w:cs="宋体"/>
          <w:color w:val="auto"/>
          <w:spacing w:val="-54"/>
          <w:sz w:val="24"/>
          <w:u w:val="single"/>
        </w:rPr>
        <w:t xml:space="preserve"> </w:t>
      </w:r>
      <w:r>
        <w:rPr>
          <w:rFonts w:hint="eastAsia" w:ascii="宋体" w:hAnsi="宋体" w:eastAsia="宋体" w:cs="宋体"/>
          <w:color w:val="auto"/>
          <w:spacing w:val="-1"/>
          <w:sz w:val="24"/>
          <w:u w:val="single"/>
        </w:rPr>
        <w:t>项目</w:t>
      </w:r>
      <w:r>
        <w:rPr>
          <w:rFonts w:hint="eastAsia" w:ascii="宋体" w:hAnsi="宋体" w:eastAsia="宋体" w:cs="宋体"/>
          <w:color w:val="auto"/>
          <w:spacing w:val="-57"/>
          <w:sz w:val="24"/>
          <w:u w:val="single"/>
        </w:rPr>
        <w:t xml:space="preserve"> </w:t>
      </w:r>
      <w:r>
        <w:rPr>
          <w:rFonts w:hint="eastAsia" w:ascii="宋体" w:hAnsi="宋体" w:eastAsia="宋体" w:cs="宋体"/>
          <w:color w:val="auto"/>
          <w:spacing w:val="-1"/>
          <w:sz w:val="24"/>
          <w:u w:val="single"/>
        </w:rPr>
        <w:t>编</w:t>
      </w:r>
      <w:r>
        <w:rPr>
          <w:rFonts w:hint="eastAsia" w:ascii="宋体" w:hAnsi="宋体" w:eastAsia="宋体" w:cs="宋体"/>
          <w:color w:val="auto"/>
          <w:spacing w:val="-51"/>
          <w:sz w:val="24"/>
          <w:u w:val="single"/>
        </w:rPr>
        <w:t xml:space="preserve"> </w:t>
      </w:r>
      <w:r>
        <w:rPr>
          <w:rFonts w:hint="eastAsia" w:ascii="宋体" w:hAnsi="宋体" w:eastAsia="宋体" w:cs="宋体"/>
          <w:color w:val="auto"/>
          <w:spacing w:val="-1"/>
          <w:sz w:val="24"/>
          <w:u w:val="single"/>
        </w:rPr>
        <w:t>号</w:t>
      </w:r>
      <w:r>
        <w:rPr>
          <w:rFonts w:hint="eastAsia" w:ascii="宋体" w:hAnsi="宋体" w:eastAsia="宋体" w:cs="宋体"/>
          <w:color w:val="auto"/>
          <w:spacing w:val="-58"/>
          <w:sz w:val="24"/>
          <w:u w:val="single"/>
        </w:rPr>
        <w:t xml:space="preserve"> </w:t>
      </w:r>
      <w:r>
        <w:rPr>
          <w:rFonts w:hint="eastAsia" w:ascii="宋体" w:hAnsi="宋体" w:eastAsia="宋体" w:cs="宋体"/>
          <w:color w:val="auto"/>
          <w:spacing w:val="-1"/>
          <w:sz w:val="24"/>
          <w:u w:val="single"/>
        </w:rPr>
        <w:t>)</w:t>
      </w:r>
    </w:p>
    <w:p>
      <w:pPr>
        <w:spacing w:before="1" w:line="218" w:lineRule="auto"/>
        <w:rPr>
          <w:rFonts w:ascii="宋体" w:hAnsi="宋体" w:eastAsia="宋体" w:cs="宋体"/>
          <w:color w:val="auto"/>
          <w:sz w:val="24"/>
        </w:rPr>
      </w:pPr>
      <w:r>
        <w:rPr>
          <w:rFonts w:hint="eastAsia" w:ascii="宋体" w:hAnsi="宋体" w:eastAsia="宋体" w:cs="宋体"/>
          <w:color w:val="auto"/>
          <w:spacing w:val="1"/>
          <w:sz w:val="24"/>
        </w:rPr>
        <w:t>采购项目的政府采购活动，现承诺如下：</w:t>
      </w:r>
    </w:p>
    <w:p>
      <w:pPr>
        <w:spacing w:before="252" w:line="219" w:lineRule="auto"/>
        <w:ind w:left="619"/>
        <w:rPr>
          <w:rFonts w:ascii="宋体" w:hAnsi="宋体" w:eastAsia="宋体" w:cs="宋体"/>
          <w:color w:val="auto"/>
          <w:sz w:val="24"/>
        </w:rPr>
      </w:pPr>
      <w:r>
        <w:rPr>
          <w:rFonts w:hint="eastAsia" w:ascii="宋体" w:hAnsi="宋体" w:eastAsia="宋体" w:cs="宋体"/>
          <w:color w:val="auto"/>
          <w:spacing w:val="1"/>
          <w:sz w:val="24"/>
        </w:rPr>
        <w:t>1.</w:t>
      </w:r>
      <w:r>
        <w:rPr>
          <w:rFonts w:hint="eastAsia" w:ascii="宋体" w:hAnsi="宋体" w:eastAsia="宋体" w:cs="宋体"/>
          <w:color w:val="auto"/>
          <w:spacing w:val="-43"/>
          <w:sz w:val="24"/>
        </w:rPr>
        <w:t xml:space="preserve"> </w:t>
      </w:r>
      <w:r>
        <w:rPr>
          <w:rFonts w:hint="eastAsia" w:ascii="宋体" w:hAnsi="宋体" w:eastAsia="宋体" w:cs="宋体"/>
          <w:color w:val="auto"/>
          <w:spacing w:val="1"/>
          <w:sz w:val="24"/>
        </w:rPr>
        <w:t>具有良好的商业信誉和健全的财务会计制度；</w:t>
      </w:r>
    </w:p>
    <w:p>
      <w:pPr>
        <w:spacing w:before="252" w:line="219" w:lineRule="auto"/>
        <w:ind w:left="619"/>
        <w:rPr>
          <w:rFonts w:ascii="宋体" w:hAnsi="宋体" w:eastAsia="宋体" w:cs="宋体"/>
          <w:color w:val="auto"/>
          <w:sz w:val="24"/>
        </w:rPr>
      </w:pPr>
      <w:r>
        <w:rPr>
          <w:rFonts w:hint="eastAsia" w:ascii="宋体" w:hAnsi="宋体" w:eastAsia="宋体" w:cs="宋体"/>
          <w:color w:val="auto"/>
          <w:spacing w:val="1"/>
          <w:sz w:val="24"/>
        </w:rPr>
        <w:t>2.</w:t>
      </w:r>
      <w:r>
        <w:rPr>
          <w:rFonts w:hint="eastAsia" w:ascii="宋体" w:hAnsi="宋体" w:eastAsia="宋体" w:cs="宋体"/>
          <w:color w:val="auto"/>
          <w:spacing w:val="-57"/>
          <w:sz w:val="24"/>
        </w:rPr>
        <w:t xml:space="preserve"> </w:t>
      </w:r>
      <w:r>
        <w:rPr>
          <w:rFonts w:hint="eastAsia" w:ascii="宋体" w:hAnsi="宋体" w:eastAsia="宋体" w:cs="宋体"/>
          <w:color w:val="auto"/>
          <w:spacing w:val="1"/>
          <w:sz w:val="24"/>
        </w:rPr>
        <w:t>具有依法缴纳税收的良好记录；</w:t>
      </w:r>
    </w:p>
    <w:p>
      <w:pPr>
        <w:spacing w:before="252" w:line="219" w:lineRule="auto"/>
        <w:ind w:left="619"/>
        <w:rPr>
          <w:rFonts w:ascii="宋体" w:hAnsi="宋体" w:eastAsia="宋体" w:cs="宋体"/>
          <w:color w:val="auto"/>
          <w:sz w:val="24"/>
        </w:rPr>
      </w:pPr>
      <w:r>
        <w:rPr>
          <w:rFonts w:hint="eastAsia" w:ascii="宋体" w:hAnsi="宋体" w:eastAsia="宋体" w:cs="宋体"/>
          <w:color w:val="auto"/>
          <w:spacing w:val="3"/>
          <w:sz w:val="24"/>
        </w:rPr>
        <w:t>3.具有依法缴纳社会保障资金的良好记录。</w:t>
      </w:r>
    </w:p>
    <w:p>
      <w:pPr>
        <w:spacing w:before="244" w:line="369" w:lineRule="auto"/>
        <w:ind w:right="149" w:firstLine="619"/>
        <w:rPr>
          <w:rFonts w:ascii="宋体" w:hAnsi="宋体" w:eastAsia="宋体" w:cs="宋体"/>
          <w:color w:val="auto"/>
          <w:sz w:val="24"/>
        </w:rPr>
      </w:pPr>
      <w:r>
        <w:rPr>
          <w:rFonts w:hint="eastAsia" w:ascii="宋体" w:hAnsi="宋体" w:eastAsia="宋体" w:cs="宋体"/>
          <w:color w:val="auto"/>
          <w:spacing w:val="17"/>
          <w:sz w:val="24"/>
        </w:rPr>
        <w:t>我方在采购项目评审</w:t>
      </w:r>
      <w:r>
        <w:rPr>
          <w:rFonts w:hint="eastAsia" w:ascii="宋体" w:hAnsi="宋体" w:eastAsia="宋体" w:cs="宋体"/>
          <w:color w:val="auto"/>
          <w:spacing w:val="17"/>
          <w:sz w:val="24"/>
          <w:lang w:eastAsia="zh-CN"/>
        </w:rPr>
        <w:t>（</w:t>
      </w:r>
      <w:r>
        <w:rPr>
          <w:rFonts w:hint="eastAsia" w:ascii="宋体" w:hAnsi="宋体" w:eastAsia="宋体" w:cs="宋体"/>
          <w:color w:val="auto"/>
          <w:spacing w:val="17"/>
          <w:sz w:val="24"/>
        </w:rPr>
        <w:t>评标</w:t>
      </w:r>
      <w:r>
        <w:rPr>
          <w:rFonts w:hint="eastAsia" w:ascii="宋体" w:hAnsi="宋体" w:eastAsia="宋体" w:cs="宋体"/>
          <w:color w:val="auto"/>
          <w:spacing w:val="17"/>
          <w:sz w:val="24"/>
          <w:lang w:eastAsia="zh-CN"/>
        </w:rPr>
        <w:t>）</w:t>
      </w:r>
      <w:r>
        <w:rPr>
          <w:rFonts w:hint="eastAsia" w:ascii="宋体" w:hAnsi="宋体" w:eastAsia="宋体" w:cs="宋体"/>
          <w:color w:val="auto"/>
          <w:spacing w:val="17"/>
          <w:sz w:val="24"/>
        </w:rPr>
        <w:t>环节结束后，随时接受采</w:t>
      </w:r>
      <w:r>
        <w:rPr>
          <w:rFonts w:hint="eastAsia" w:ascii="宋体" w:hAnsi="宋体" w:eastAsia="宋体" w:cs="宋体"/>
          <w:color w:val="auto"/>
          <w:spacing w:val="4"/>
          <w:sz w:val="24"/>
        </w:rPr>
        <w:t>购人、采购代理机构的检查验证，配合提供相关证明材料，</w:t>
      </w:r>
      <w:r>
        <w:rPr>
          <w:rFonts w:hint="eastAsia" w:ascii="宋体" w:hAnsi="宋体" w:eastAsia="宋体" w:cs="宋体"/>
          <w:color w:val="auto"/>
          <w:spacing w:val="6"/>
          <w:sz w:val="24"/>
        </w:rPr>
        <w:t>证明符合《中华人民共和国政府采购法》规定的投标人基本</w:t>
      </w:r>
      <w:r>
        <w:rPr>
          <w:rFonts w:hint="eastAsia" w:ascii="宋体" w:hAnsi="宋体" w:eastAsia="宋体" w:cs="宋体"/>
          <w:color w:val="auto"/>
          <w:spacing w:val="-5"/>
          <w:sz w:val="24"/>
        </w:rPr>
        <w:t>资格条件。</w:t>
      </w:r>
    </w:p>
    <w:p>
      <w:pPr>
        <w:spacing w:before="244" w:line="369" w:lineRule="auto"/>
        <w:ind w:right="149" w:firstLine="619"/>
        <w:rPr>
          <w:rFonts w:ascii="宋体" w:hAnsi="宋体" w:eastAsia="宋体" w:cs="宋体"/>
          <w:color w:val="auto"/>
          <w:spacing w:val="4"/>
          <w:sz w:val="24"/>
        </w:rPr>
      </w:pPr>
      <w:r>
        <w:rPr>
          <w:rFonts w:hint="eastAsia" w:ascii="宋体" w:hAnsi="宋体" w:eastAsia="宋体" w:cs="宋体"/>
          <w:color w:val="auto"/>
          <w:spacing w:val="4"/>
          <w:sz w:val="24"/>
        </w:rPr>
        <w:t>我单位</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公司</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对上述承诺的真实性负责。如有虚假，将依法承担相应责任。</w:t>
      </w:r>
    </w:p>
    <w:p>
      <w:pPr>
        <w:spacing w:before="244" w:line="369" w:lineRule="auto"/>
        <w:ind w:right="149" w:firstLine="619"/>
        <w:rPr>
          <w:rFonts w:ascii="宋体" w:hAnsi="宋体" w:eastAsia="宋体" w:cs="宋体"/>
          <w:color w:val="auto"/>
          <w:spacing w:val="4"/>
          <w:sz w:val="24"/>
        </w:rPr>
      </w:pPr>
      <w:r>
        <w:rPr>
          <w:rFonts w:hint="eastAsia" w:ascii="宋体" w:hAnsi="宋体" w:eastAsia="宋体" w:cs="宋体"/>
          <w:color w:val="auto"/>
          <w:spacing w:val="4"/>
          <w:sz w:val="24"/>
        </w:rPr>
        <w:t>特此承诺。</w:t>
      </w:r>
    </w:p>
    <w:p>
      <w:pPr>
        <w:spacing w:line="258" w:lineRule="auto"/>
        <w:rPr>
          <w:rFonts w:ascii="宋体" w:hAnsi="宋体" w:eastAsia="宋体" w:cs="宋体"/>
          <w:color w:val="auto"/>
          <w:sz w:val="18"/>
          <w:szCs w:val="21"/>
        </w:rPr>
      </w:pPr>
    </w:p>
    <w:p>
      <w:pPr>
        <w:spacing w:line="258" w:lineRule="auto"/>
        <w:rPr>
          <w:rFonts w:ascii="宋体" w:hAnsi="宋体" w:eastAsia="宋体" w:cs="宋体"/>
          <w:color w:val="auto"/>
          <w:sz w:val="18"/>
          <w:szCs w:val="21"/>
        </w:rPr>
      </w:pPr>
    </w:p>
    <w:p>
      <w:pPr>
        <w:spacing w:line="259" w:lineRule="auto"/>
        <w:rPr>
          <w:rFonts w:ascii="宋体" w:hAnsi="宋体" w:eastAsia="宋体" w:cs="宋体"/>
          <w:color w:val="auto"/>
          <w:sz w:val="18"/>
          <w:szCs w:val="21"/>
        </w:rPr>
      </w:pPr>
    </w:p>
    <w:p>
      <w:pPr>
        <w:spacing w:before="101" w:line="621" w:lineRule="exact"/>
        <w:ind w:left="4889"/>
        <w:rPr>
          <w:rFonts w:ascii="宋体" w:hAnsi="宋体" w:eastAsia="宋体" w:cs="宋体"/>
          <w:color w:val="auto"/>
          <w:sz w:val="24"/>
        </w:rPr>
      </w:pPr>
      <w:r>
        <w:rPr>
          <w:rFonts w:hint="eastAsia" w:ascii="宋体" w:hAnsi="宋体" w:eastAsia="宋体" w:cs="宋体"/>
          <w:color w:val="auto"/>
          <w:spacing w:val="-13"/>
          <w:position w:val="23"/>
          <w:sz w:val="24"/>
        </w:rPr>
        <w:t>盖章：</w:t>
      </w:r>
    </w:p>
    <w:p>
      <w:pPr>
        <w:spacing w:line="219" w:lineRule="auto"/>
        <w:ind w:left="4889"/>
        <w:rPr>
          <w:rFonts w:ascii="宋体" w:hAnsi="宋体" w:eastAsia="宋体" w:cs="宋体"/>
          <w:color w:val="auto"/>
          <w:sz w:val="24"/>
        </w:rPr>
      </w:pPr>
      <w:r>
        <w:rPr>
          <w:rFonts w:hint="eastAsia" w:ascii="宋体" w:hAnsi="宋体" w:eastAsia="宋体" w:cs="宋体"/>
          <w:color w:val="auto"/>
          <w:spacing w:val="-13"/>
          <w:sz w:val="24"/>
        </w:rPr>
        <w:t>签字：</w:t>
      </w:r>
    </w:p>
    <w:p>
      <w:pPr>
        <w:spacing w:line="360" w:lineRule="auto"/>
        <w:jc w:val="center"/>
        <w:rPr>
          <w:rFonts w:ascii="宋体" w:hAnsi="宋体" w:eastAsia="宋体" w:cs="宋体"/>
          <w:color w:val="auto"/>
          <w:sz w:val="28"/>
        </w:rPr>
      </w:pPr>
    </w:p>
    <w:p>
      <w:pPr>
        <w:pStyle w:val="31"/>
        <w:rPr>
          <w:rFonts w:eastAsia="宋体" w:cs="宋体"/>
          <w:color w:val="auto"/>
          <w:sz w:val="28"/>
        </w:rPr>
      </w:pPr>
    </w:p>
    <w:p>
      <w:pPr>
        <w:pStyle w:val="31"/>
        <w:rPr>
          <w:rFonts w:eastAsia="宋体" w:cs="宋体"/>
          <w:color w:val="auto"/>
          <w:sz w:val="28"/>
        </w:rPr>
      </w:pPr>
    </w:p>
    <w:p>
      <w:pPr>
        <w:pStyle w:val="31"/>
        <w:rPr>
          <w:rFonts w:eastAsia="宋体" w:cs="宋体"/>
          <w:color w:val="auto"/>
          <w:sz w:val="28"/>
        </w:rPr>
      </w:pPr>
    </w:p>
    <w:p>
      <w:pPr>
        <w:pStyle w:val="31"/>
        <w:rPr>
          <w:rFonts w:eastAsia="宋体" w:cs="宋体"/>
          <w:color w:val="auto"/>
          <w:sz w:val="28"/>
        </w:rPr>
      </w:pPr>
    </w:p>
    <w:p>
      <w:pPr>
        <w:pStyle w:val="31"/>
        <w:rPr>
          <w:rFonts w:eastAsia="宋体" w:cs="宋体"/>
          <w:color w:val="auto"/>
          <w:sz w:val="28"/>
        </w:rPr>
      </w:pPr>
    </w:p>
    <w:p>
      <w:pPr>
        <w:spacing w:line="360" w:lineRule="auto"/>
        <w:jc w:val="center"/>
        <w:rPr>
          <w:rFonts w:ascii="宋体" w:hAnsi="宋体" w:eastAsia="宋体" w:cs="宋体"/>
          <w:color w:val="auto"/>
        </w:rPr>
      </w:pPr>
      <w:r>
        <w:rPr>
          <w:rFonts w:hint="eastAsia" w:ascii="宋体" w:hAnsi="宋体" w:eastAsia="宋体" w:cs="宋体"/>
          <w:b/>
          <w:bCs/>
          <w:color w:val="auto"/>
          <w:sz w:val="28"/>
          <w:lang w:eastAsia="zh-CN"/>
        </w:rPr>
        <w:t>10.</w:t>
      </w:r>
      <w:r>
        <w:rPr>
          <w:rFonts w:hint="eastAsia" w:ascii="宋体" w:hAnsi="宋体" w:eastAsia="宋体" w:cs="宋体"/>
          <w:b/>
          <w:color w:val="auto"/>
          <w:sz w:val="32"/>
          <w:szCs w:val="32"/>
        </w:rPr>
        <w:t>投标人类似项目业绩一览表</w:t>
      </w:r>
    </w:p>
    <w:tbl>
      <w:tblPr>
        <w:tblStyle w:val="38"/>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13"/>
        <w:gridCol w:w="1630"/>
        <w:gridCol w:w="1564"/>
        <w:gridCol w:w="1339"/>
        <w:gridCol w:w="156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jc w:val="center"/>
        </w:trPr>
        <w:tc>
          <w:tcPr>
            <w:tcW w:w="996" w:type="dxa"/>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1613" w:type="dxa"/>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项目名称</w:t>
            </w:r>
          </w:p>
        </w:tc>
        <w:tc>
          <w:tcPr>
            <w:tcW w:w="1630" w:type="dxa"/>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采购人名称</w:t>
            </w:r>
          </w:p>
        </w:tc>
        <w:tc>
          <w:tcPr>
            <w:tcW w:w="1564" w:type="dxa"/>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采购内容</w:t>
            </w:r>
          </w:p>
        </w:tc>
        <w:tc>
          <w:tcPr>
            <w:tcW w:w="1339" w:type="dxa"/>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项目金额</w:t>
            </w:r>
          </w:p>
        </w:tc>
        <w:tc>
          <w:tcPr>
            <w:tcW w:w="1564" w:type="dxa"/>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完成时间</w:t>
            </w:r>
          </w:p>
        </w:tc>
        <w:tc>
          <w:tcPr>
            <w:tcW w:w="1009" w:type="dxa"/>
          </w:tcPr>
          <w:p>
            <w:pPr>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96" w:type="dxa"/>
          </w:tcPr>
          <w:p>
            <w:pPr>
              <w:pStyle w:val="16"/>
              <w:rPr>
                <w:rFonts w:ascii="宋体" w:hAnsi="宋体" w:eastAsia="宋体" w:cs="宋体"/>
                <w:color w:val="auto"/>
              </w:rPr>
            </w:pPr>
          </w:p>
        </w:tc>
        <w:tc>
          <w:tcPr>
            <w:tcW w:w="1613" w:type="dxa"/>
          </w:tcPr>
          <w:p>
            <w:pPr>
              <w:pStyle w:val="16"/>
              <w:rPr>
                <w:rFonts w:ascii="宋体" w:hAnsi="宋体" w:eastAsia="宋体" w:cs="宋体"/>
                <w:color w:val="auto"/>
              </w:rPr>
            </w:pPr>
          </w:p>
        </w:tc>
        <w:tc>
          <w:tcPr>
            <w:tcW w:w="1630"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339"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009" w:type="dxa"/>
          </w:tcPr>
          <w:p>
            <w:pPr>
              <w:pStyle w:val="16"/>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96" w:type="dxa"/>
          </w:tcPr>
          <w:p>
            <w:pPr>
              <w:pStyle w:val="16"/>
              <w:rPr>
                <w:rFonts w:ascii="宋体" w:hAnsi="宋体" w:eastAsia="宋体" w:cs="宋体"/>
                <w:color w:val="auto"/>
              </w:rPr>
            </w:pPr>
          </w:p>
        </w:tc>
        <w:tc>
          <w:tcPr>
            <w:tcW w:w="1613" w:type="dxa"/>
          </w:tcPr>
          <w:p>
            <w:pPr>
              <w:pStyle w:val="16"/>
              <w:rPr>
                <w:rFonts w:ascii="宋体" w:hAnsi="宋体" w:eastAsia="宋体" w:cs="宋体"/>
                <w:color w:val="auto"/>
              </w:rPr>
            </w:pPr>
          </w:p>
        </w:tc>
        <w:tc>
          <w:tcPr>
            <w:tcW w:w="1630"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339"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009" w:type="dxa"/>
          </w:tcPr>
          <w:p>
            <w:pPr>
              <w:pStyle w:val="16"/>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96" w:type="dxa"/>
          </w:tcPr>
          <w:p>
            <w:pPr>
              <w:pStyle w:val="16"/>
              <w:rPr>
                <w:rFonts w:ascii="宋体" w:hAnsi="宋体" w:eastAsia="宋体" w:cs="宋体"/>
                <w:color w:val="auto"/>
              </w:rPr>
            </w:pPr>
          </w:p>
        </w:tc>
        <w:tc>
          <w:tcPr>
            <w:tcW w:w="1613" w:type="dxa"/>
          </w:tcPr>
          <w:p>
            <w:pPr>
              <w:pStyle w:val="16"/>
              <w:rPr>
                <w:rFonts w:ascii="宋体" w:hAnsi="宋体" w:eastAsia="宋体" w:cs="宋体"/>
                <w:color w:val="auto"/>
              </w:rPr>
            </w:pPr>
          </w:p>
        </w:tc>
        <w:tc>
          <w:tcPr>
            <w:tcW w:w="1630"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339"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009" w:type="dxa"/>
          </w:tcPr>
          <w:p>
            <w:pPr>
              <w:pStyle w:val="16"/>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96" w:type="dxa"/>
          </w:tcPr>
          <w:p>
            <w:pPr>
              <w:pStyle w:val="16"/>
              <w:rPr>
                <w:rFonts w:ascii="宋体" w:hAnsi="宋体" w:eastAsia="宋体" w:cs="宋体"/>
                <w:color w:val="auto"/>
              </w:rPr>
            </w:pPr>
          </w:p>
        </w:tc>
        <w:tc>
          <w:tcPr>
            <w:tcW w:w="1613" w:type="dxa"/>
          </w:tcPr>
          <w:p>
            <w:pPr>
              <w:pStyle w:val="16"/>
              <w:rPr>
                <w:rFonts w:ascii="宋体" w:hAnsi="宋体" w:eastAsia="宋体" w:cs="宋体"/>
                <w:color w:val="auto"/>
              </w:rPr>
            </w:pPr>
          </w:p>
        </w:tc>
        <w:tc>
          <w:tcPr>
            <w:tcW w:w="1630"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339"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009" w:type="dxa"/>
          </w:tcPr>
          <w:p>
            <w:pPr>
              <w:pStyle w:val="16"/>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96" w:type="dxa"/>
          </w:tcPr>
          <w:p>
            <w:pPr>
              <w:pStyle w:val="16"/>
              <w:rPr>
                <w:rFonts w:ascii="宋体" w:hAnsi="宋体" w:eastAsia="宋体" w:cs="宋体"/>
                <w:color w:val="auto"/>
              </w:rPr>
            </w:pPr>
          </w:p>
        </w:tc>
        <w:tc>
          <w:tcPr>
            <w:tcW w:w="1613" w:type="dxa"/>
          </w:tcPr>
          <w:p>
            <w:pPr>
              <w:pStyle w:val="16"/>
              <w:rPr>
                <w:rFonts w:ascii="宋体" w:hAnsi="宋体" w:eastAsia="宋体" w:cs="宋体"/>
                <w:color w:val="auto"/>
              </w:rPr>
            </w:pPr>
          </w:p>
        </w:tc>
        <w:tc>
          <w:tcPr>
            <w:tcW w:w="1630"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339"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009" w:type="dxa"/>
          </w:tcPr>
          <w:p>
            <w:pPr>
              <w:pStyle w:val="16"/>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996" w:type="dxa"/>
          </w:tcPr>
          <w:p>
            <w:pPr>
              <w:pStyle w:val="16"/>
              <w:rPr>
                <w:rFonts w:ascii="宋体" w:hAnsi="宋体" w:eastAsia="宋体" w:cs="宋体"/>
                <w:color w:val="auto"/>
              </w:rPr>
            </w:pPr>
          </w:p>
        </w:tc>
        <w:tc>
          <w:tcPr>
            <w:tcW w:w="1613" w:type="dxa"/>
          </w:tcPr>
          <w:p>
            <w:pPr>
              <w:pStyle w:val="16"/>
              <w:rPr>
                <w:rFonts w:ascii="宋体" w:hAnsi="宋体" w:eastAsia="宋体" w:cs="宋体"/>
                <w:color w:val="auto"/>
              </w:rPr>
            </w:pPr>
          </w:p>
        </w:tc>
        <w:tc>
          <w:tcPr>
            <w:tcW w:w="1630"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339" w:type="dxa"/>
          </w:tcPr>
          <w:p>
            <w:pPr>
              <w:pStyle w:val="16"/>
              <w:rPr>
                <w:rFonts w:ascii="宋体" w:hAnsi="宋体" w:eastAsia="宋体" w:cs="宋体"/>
                <w:color w:val="auto"/>
              </w:rPr>
            </w:pPr>
          </w:p>
        </w:tc>
        <w:tc>
          <w:tcPr>
            <w:tcW w:w="1564" w:type="dxa"/>
          </w:tcPr>
          <w:p>
            <w:pPr>
              <w:pStyle w:val="16"/>
              <w:rPr>
                <w:rFonts w:ascii="宋体" w:hAnsi="宋体" w:eastAsia="宋体" w:cs="宋体"/>
                <w:color w:val="auto"/>
              </w:rPr>
            </w:pPr>
          </w:p>
        </w:tc>
        <w:tc>
          <w:tcPr>
            <w:tcW w:w="1009" w:type="dxa"/>
          </w:tcPr>
          <w:p>
            <w:pPr>
              <w:pStyle w:val="16"/>
              <w:rPr>
                <w:rFonts w:ascii="宋体" w:hAnsi="宋体" w:eastAsia="宋体" w:cs="宋体"/>
                <w:color w:val="auto"/>
              </w:rPr>
            </w:pPr>
          </w:p>
        </w:tc>
      </w:tr>
    </w:tbl>
    <w:p>
      <w:pPr>
        <w:pStyle w:val="16"/>
        <w:rPr>
          <w:rFonts w:ascii="宋体" w:hAnsi="宋体" w:eastAsia="宋体" w:cs="宋体"/>
          <w:b/>
          <w:bCs/>
          <w:color w:val="auto"/>
          <w:szCs w:val="21"/>
        </w:rPr>
      </w:pPr>
      <w:r>
        <w:rPr>
          <w:rFonts w:hint="eastAsia" w:ascii="宋体" w:hAnsi="宋体" w:eastAsia="宋体" w:cs="宋体"/>
          <w:b/>
          <w:bCs/>
          <w:color w:val="auto"/>
          <w:szCs w:val="21"/>
        </w:rPr>
        <w:t>注：本表后附相关业绩合同或中标通知书复印件加盖企业公章。</w:t>
      </w:r>
    </w:p>
    <w:p>
      <w:pPr>
        <w:rPr>
          <w:rFonts w:ascii="宋体" w:hAnsi="宋体" w:eastAsia="宋体" w:cs="宋体"/>
          <w:b/>
          <w:color w:val="auto"/>
          <w:sz w:val="32"/>
          <w:szCs w:val="32"/>
        </w:rPr>
      </w:pPr>
      <w:r>
        <w:rPr>
          <w:rFonts w:hint="eastAsia" w:ascii="宋体" w:hAnsi="宋体" w:eastAsia="宋体" w:cs="宋体"/>
          <w:b/>
          <w:color w:val="auto"/>
          <w:sz w:val="32"/>
          <w:szCs w:val="32"/>
        </w:rPr>
        <w:br w:type="page"/>
      </w:r>
    </w:p>
    <w:p>
      <w:pPr>
        <w:spacing w:line="360" w:lineRule="auto"/>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11.</w:t>
      </w:r>
      <w:r>
        <w:rPr>
          <w:rFonts w:hint="eastAsia" w:ascii="宋体" w:hAnsi="宋体" w:eastAsia="宋体" w:cs="宋体"/>
          <w:b/>
          <w:color w:val="auto"/>
          <w:sz w:val="32"/>
          <w:szCs w:val="32"/>
        </w:rPr>
        <w:t>投标人拟派于本项目管理、技术、服务人员情况表</w:t>
      </w:r>
    </w:p>
    <w:p>
      <w:pPr>
        <w:spacing w:line="360" w:lineRule="auto"/>
        <w:jc w:val="center"/>
        <w:rPr>
          <w:rFonts w:ascii="宋体" w:hAnsi="宋体" w:eastAsia="宋体" w:cs="宋体"/>
          <w:b/>
          <w:color w:val="auto"/>
          <w:sz w:val="32"/>
          <w:szCs w:val="32"/>
        </w:rPr>
      </w:pPr>
    </w:p>
    <w:tbl>
      <w:tblPr>
        <w:tblStyle w:val="38"/>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4"/>
        <w:gridCol w:w="1121"/>
        <w:gridCol w:w="1155"/>
        <w:gridCol w:w="1155"/>
        <w:gridCol w:w="1155"/>
        <w:gridCol w:w="1419"/>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08" w:type="dxa"/>
            <w:vAlign w:val="center"/>
          </w:tcPr>
          <w:p>
            <w:pPr>
              <w:jc w:val="center"/>
              <w:rPr>
                <w:rFonts w:ascii="宋体" w:hAnsi="宋体" w:eastAsia="宋体" w:cs="宋体"/>
                <w:bCs/>
                <w:color w:val="auto"/>
                <w:sz w:val="24"/>
              </w:rPr>
            </w:pPr>
            <w:r>
              <w:rPr>
                <w:rFonts w:hint="eastAsia" w:ascii="宋体" w:hAnsi="宋体" w:eastAsia="宋体" w:cs="宋体"/>
                <w:bCs/>
                <w:color w:val="auto"/>
                <w:sz w:val="24"/>
              </w:rPr>
              <w:t>序号</w:t>
            </w:r>
          </w:p>
        </w:tc>
        <w:tc>
          <w:tcPr>
            <w:tcW w:w="1634" w:type="dxa"/>
            <w:vAlign w:val="center"/>
          </w:tcPr>
          <w:p>
            <w:pPr>
              <w:jc w:val="center"/>
              <w:rPr>
                <w:rFonts w:ascii="宋体" w:hAnsi="宋体" w:eastAsia="宋体" w:cs="宋体"/>
                <w:bCs/>
                <w:color w:val="auto"/>
                <w:sz w:val="24"/>
              </w:rPr>
            </w:pPr>
            <w:r>
              <w:rPr>
                <w:rFonts w:hint="eastAsia" w:ascii="宋体" w:hAnsi="宋体" w:eastAsia="宋体" w:cs="宋体"/>
                <w:bCs/>
                <w:color w:val="auto"/>
                <w:sz w:val="24"/>
              </w:rPr>
              <w:t>职务</w:t>
            </w:r>
          </w:p>
        </w:tc>
        <w:tc>
          <w:tcPr>
            <w:tcW w:w="1121" w:type="dxa"/>
            <w:vAlign w:val="center"/>
          </w:tcPr>
          <w:p>
            <w:pPr>
              <w:jc w:val="center"/>
              <w:rPr>
                <w:rFonts w:ascii="宋体" w:hAnsi="宋体" w:eastAsia="宋体" w:cs="宋体"/>
                <w:bCs/>
                <w:color w:val="auto"/>
                <w:sz w:val="24"/>
              </w:rPr>
            </w:pPr>
            <w:r>
              <w:rPr>
                <w:rFonts w:hint="eastAsia" w:ascii="宋体" w:hAnsi="宋体" w:eastAsia="宋体" w:cs="宋体"/>
                <w:bCs/>
                <w:color w:val="auto"/>
                <w:sz w:val="24"/>
              </w:rPr>
              <w:t>姓名</w:t>
            </w:r>
          </w:p>
        </w:tc>
        <w:tc>
          <w:tcPr>
            <w:tcW w:w="1155" w:type="dxa"/>
            <w:vAlign w:val="center"/>
          </w:tcPr>
          <w:p>
            <w:pPr>
              <w:jc w:val="center"/>
              <w:rPr>
                <w:rFonts w:ascii="宋体" w:hAnsi="宋体" w:eastAsia="宋体" w:cs="宋体"/>
                <w:bCs/>
                <w:color w:val="auto"/>
                <w:sz w:val="24"/>
              </w:rPr>
            </w:pPr>
            <w:r>
              <w:rPr>
                <w:rFonts w:hint="eastAsia" w:ascii="宋体" w:hAnsi="宋体" w:eastAsia="宋体" w:cs="宋体"/>
                <w:bCs/>
                <w:color w:val="auto"/>
                <w:sz w:val="24"/>
              </w:rPr>
              <w:t>学历</w:t>
            </w:r>
          </w:p>
        </w:tc>
        <w:tc>
          <w:tcPr>
            <w:tcW w:w="1155" w:type="dxa"/>
            <w:vAlign w:val="center"/>
          </w:tcPr>
          <w:p>
            <w:pPr>
              <w:jc w:val="center"/>
              <w:rPr>
                <w:rFonts w:ascii="宋体" w:hAnsi="宋体" w:eastAsia="宋体" w:cs="宋体"/>
                <w:bCs/>
                <w:color w:val="auto"/>
                <w:sz w:val="24"/>
              </w:rPr>
            </w:pPr>
            <w:r>
              <w:rPr>
                <w:rFonts w:hint="eastAsia" w:ascii="宋体" w:hAnsi="宋体" w:eastAsia="宋体" w:cs="宋体"/>
                <w:bCs/>
                <w:color w:val="auto"/>
                <w:sz w:val="24"/>
              </w:rPr>
              <w:t>职称</w:t>
            </w:r>
          </w:p>
        </w:tc>
        <w:tc>
          <w:tcPr>
            <w:tcW w:w="1155" w:type="dxa"/>
            <w:vAlign w:val="center"/>
          </w:tcPr>
          <w:p>
            <w:pPr>
              <w:jc w:val="center"/>
              <w:rPr>
                <w:rFonts w:ascii="宋体" w:hAnsi="宋体" w:eastAsia="宋体" w:cs="宋体"/>
                <w:bCs/>
                <w:color w:val="auto"/>
                <w:sz w:val="24"/>
              </w:rPr>
            </w:pPr>
            <w:r>
              <w:rPr>
                <w:rFonts w:hint="eastAsia" w:ascii="宋体" w:hAnsi="宋体" w:eastAsia="宋体" w:cs="宋体"/>
                <w:bCs/>
                <w:color w:val="auto"/>
                <w:sz w:val="24"/>
              </w:rPr>
              <w:t>专业</w:t>
            </w:r>
          </w:p>
        </w:tc>
        <w:tc>
          <w:tcPr>
            <w:tcW w:w="1419" w:type="dxa"/>
            <w:vAlign w:val="center"/>
          </w:tcPr>
          <w:p>
            <w:pPr>
              <w:jc w:val="center"/>
              <w:rPr>
                <w:rFonts w:ascii="宋体" w:hAnsi="宋体" w:eastAsia="宋体" w:cs="宋体"/>
                <w:bCs/>
                <w:color w:val="auto"/>
                <w:sz w:val="24"/>
              </w:rPr>
            </w:pPr>
            <w:r>
              <w:rPr>
                <w:rFonts w:hint="eastAsia" w:ascii="宋体" w:hAnsi="宋体" w:eastAsia="宋体" w:cs="宋体"/>
                <w:bCs/>
                <w:color w:val="auto"/>
                <w:sz w:val="24"/>
              </w:rPr>
              <w:t>工作年限</w:t>
            </w:r>
          </w:p>
        </w:tc>
        <w:tc>
          <w:tcPr>
            <w:tcW w:w="890" w:type="dxa"/>
            <w:vAlign w:val="center"/>
          </w:tcPr>
          <w:p>
            <w:pPr>
              <w:jc w:val="center"/>
              <w:rPr>
                <w:rFonts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08" w:type="dxa"/>
          </w:tcPr>
          <w:p>
            <w:pPr>
              <w:jc w:val="center"/>
              <w:rPr>
                <w:rFonts w:ascii="宋体" w:hAnsi="宋体" w:eastAsia="宋体" w:cs="宋体"/>
                <w:bCs/>
                <w:color w:val="auto"/>
                <w:sz w:val="24"/>
              </w:rPr>
            </w:pPr>
          </w:p>
        </w:tc>
        <w:tc>
          <w:tcPr>
            <w:tcW w:w="1634" w:type="dxa"/>
          </w:tcPr>
          <w:p>
            <w:pPr>
              <w:jc w:val="center"/>
              <w:rPr>
                <w:rFonts w:ascii="宋体" w:hAnsi="宋体" w:eastAsia="宋体" w:cs="宋体"/>
                <w:bCs/>
                <w:color w:val="auto"/>
                <w:sz w:val="24"/>
              </w:rPr>
            </w:pPr>
          </w:p>
        </w:tc>
        <w:tc>
          <w:tcPr>
            <w:tcW w:w="1121"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419" w:type="dxa"/>
          </w:tcPr>
          <w:p>
            <w:pPr>
              <w:jc w:val="center"/>
              <w:rPr>
                <w:rFonts w:ascii="宋体" w:hAnsi="宋体" w:eastAsia="宋体" w:cs="宋体"/>
                <w:bCs/>
                <w:color w:val="auto"/>
                <w:sz w:val="24"/>
              </w:rPr>
            </w:pPr>
          </w:p>
        </w:tc>
        <w:tc>
          <w:tcPr>
            <w:tcW w:w="890" w:type="dxa"/>
          </w:tcPr>
          <w:p>
            <w:pPr>
              <w:jc w:val="center"/>
              <w:rPr>
                <w:rFonts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08" w:type="dxa"/>
          </w:tcPr>
          <w:p>
            <w:pPr>
              <w:jc w:val="center"/>
              <w:rPr>
                <w:rFonts w:ascii="宋体" w:hAnsi="宋体" w:eastAsia="宋体" w:cs="宋体"/>
                <w:bCs/>
                <w:color w:val="auto"/>
                <w:sz w:val="24"/>
              </w:rPr>
            </w:pPr>
          </w:p>
        </w:tc>
        <w:tc>
          <w:tcPr>
            <w:tcW w:w="1634" w:type="dxa"/>
          </w:tcPr>
          <w:p>
            <w:pPr>
              <w:jc w:val="center"/>
              <w:rPr>
                <w:rFonts w:ascii="宋体" w:hAnsi="宋体" w:eastAsia="宋体" w:cs="宋体"/>
                <w:bCs/>
                <w:color w:val="auto"/>
                <w:sz w:val="24"/>
              </w:rPr>
            </w:pPr>
          </w:p>
        </w:tc>
        <w:tc>
          <w:tcPr>
            <w:tcW w:w="1121"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419" w:type="dxa"/>
          </w:tcPr>
          <w:p>
            <w:pPr>
              <w:jc w:val="center"/>
              <w:rPr>
                <w:rFonts w:ascii="宋体" w:hAnsi="宋体" w:eastAsia="宋体" w:cs="宋体"/>
                <w:bCs/>
                <w:color w:val="auto"/>
                <w:sz w:val="24"/>
              </w:rPr>
            </w:pPr>
          </w:p>
        </w:tc>
        <w:tc>
          <w:tcPr>
            <w:tcW w:w="890" w:type="dxa"/>
          </w:tcPr>
          <w:p>
            <w:pPr>
              <w:jc w:val="center"/>
              <w:rPr>
                <w:rFonts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08" w:type="dxa"/>
          </w:tcPr>
          <w:p>
            <w:pPr>
              <w:jc w:val="center"/>
              <w:rPr>
                <w:rFonts w:ascii="宋体" w:hAnsi="宋体" w:eastAsia="宋体" w:cs="宋体"/>
                <w:bCs/>
                <w:color w:val="auto"/>
                <w:sz w:val="24"/>
              </w:rPr>
            </w:pPr>
          </w:p>
        </w:tc>
        <w:tc>
          <w:tcPr>
            <w:tcW w:w="1634" w:type="dxa"/>
          </w:tcPr>
          <w:p>
            <w:pPr>
              <w:jc w:val="center"/>
              <w:rPr>
                <w:rFonts w:ascii="宋体" w:hAnsi="宋体" w:eastAsia="宋体" w:cs="宋体"/>
                <w:bCs/>
                <w:color w:val="auto"/>
                <w:sz w:val="24"/>
              </w:rPr>
            </w:pPr>
          </w:p>
        </w:tc>
        <w:tc>
          <w:tcPr>
            <w:tcW w:w="1121"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419" w:type="dxa"/>
          </w:tcPr>
          <w:p>
            <w:pPr>
              <w:jc w:val="center"/>
              <w:rPr>
                <w:rFonts w:ascii="宋体" w:hAnsi="宋体" w:eastAsia="宋体" w:cs="宋体"/>
                <w:bCs/>
                <w:color w:val="auto"/>
                <w:sz w:val="24"/>
              </w:rPr>
            </w:pPr>
          </w:p>
        </w:tc>
        <w:tc>
          <w:tcPr>
            <w:tcW w:w="890" w:type="dxa"/>
          </w:tcPr>
          <w:p>
            <w:pPr>
              <w:jc w:val="center"/>
              <w:rPr>
                <w:rFonts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08" w:type="dxa"/>
          </w:tcPr>
          <w:p>
            <w:pPr>
              <w:jc w:val="center"/>
              <w:rPr>
                <w:rFonts w:ascii="宋体" w:hAnsi="宋体" w:eastAsia="宋体" w:cs="宋体"/>
                <w:bCs/>
                <w:color w:val="auto"/>
                <w:sz w:val="24"/>
              </w:rPr>
            </w:pPr>
          </w:p>
        </w:tc>
        <w:tc>
          <w:tcPr>
            <w:tcW w:w="1634" w:type="dxa"/>
          </w:tcPr>
          <w:p>
            <w:pPr>
              <w:jc w:val="center"/>
              <w:rPr>
                <w:rFonts w:ascii="宋体" w:hAnsi="宋体" w:eastAsia="宋体" w:cs="宋体"/>
                <w:bCs/>
                <w:color w:val="auto"/>
                <w:sz w:val="24"/>
              </w:rPr>
            </w:pPr>
          </w:p>
        </w:tc>
        <w:tc>
          <w:tcPr>
            <w:tcW w:w="1121"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419" w:type="dxa"/>
          </w:tcPr>
          <w:p>
            <w:pPr>
              <w:jc w:val="center"/>
              <w:rPr>
                <w:rFonts w:ascii="宋体" w:hAnsi="宋体" w:eastAsia="宋体" w:cs="宋体"/>
                <w:bCs/>
                <w:color w:val="auto"/>
                <w:sz w:val="24"/>
              </w:rPr>
            </w:pPr>
          </w:p>
        </w:tc>
        <w:tc>
          <w:tcPr>
            <w:tcW w:w="890" w:type="dxa"/>
          </w:tcPr>
          <w:p>
            <w:pPr>
              <w:jc w:val="center"/>
              <w:rPr>
                <w:rFonts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08" w:type="dxa"/>
          </w:tcPr>
          <w:p>
            <w:pPr>
              <w:jc w:val="center"/>
              <w:rPr>
                <w:rFonts w:ascii="宋体" w:hAnsi="宋体" w:eastAsia="宋体" w:cs="宋体"/>
                <w:bCs/>
                <w:color w:val="auto"/>
                <w:sz w:val="24"/>
              </w:rPr>
            </w:pPr>
          </w:p>
        </w:tc>
        <w:tc>
          <w:tcPr>
            <w:tcW w:w="1634" w:type="dxa"/>
          </w:tcPr>
          <w:p>
            <w:pPr>
              <w:jc w:val="center"/>
              <w:rPr>
                <w:rFonts w:ascii="宋体" w:hAnsi="宋体" w:eastAsia="宋体" w:cs="宋体"/>
                <w:bCs/>
                <w:color w:val="auto"/>
                <w:sz w:val="24"/>
              </w:rPr>
            </w:pPr>
          </w:p>
        </w:tc>
        <w:tc>
          <w:tcPr>
            <w:tcW w:w="1121"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155" w:type="dxa"/>
          </w:tcPr>
          <w:p>
            <w:pPr>
              <w:jc w:val="center"/>
              <w:rPr>
                <w:rFonts w:ascii="宋体" w:hAnsi="宋体" w:eastAsia="宋体" w:cs="宋体"/>
                <w:bCs/>
                <w:color w:val="auto"/>
                <w:sz w:val="24"/>
              </w:rPr>
            </w:pPr>
          </w:p>
        </w:tc>
        <w:tc>
          <w:tcPr>
            <w:tcW w:w="1419" w:type="dxa"/>
          </w:tcPr>
          <w:p>
            <w:pPr>
              <w:jc w:val="center"/>
              <w:rPr>
                <w:rFonts w:ascii="宋体" w:hAnsi="宋体" w:eastAsia="宋体" w:cs="宋体"/>
                <w:bCs/>
                <w:color w:val="auto"/>
                <w:sz w:val="24"/>
              </w:rPr>
            </w:pPr>
          </w:p>
        </w:tc>
        <w:tc>
          <w:tcPr>
            <w:tcW w:w="890" w:type="dxa"/>
          </w:tcPr>
          <w:p>
            <w:pPr>
              <w:jc w:val="center"/>
              <w:rPr>
                <w:rFonts w:ascii="宋体" w:hAnsi="宋体" w:eastAsia="宋体" w:cs="宋体"/>
                <w:bCs/>
                <w:color w:val="auto"/>
                <w:sz w:val="24"/>
              </w:rPr>
            </w:pPr>
          </w:p>
        </w:tc>
      </w:tr>
    </w:tbl>
    <w:p>
      <w:pPr>
        <w:spacing w:line="360" w:lineRule="auto"/>
        <w:jc w:val="center"/>
        <w:rPr>
          <w:rFonts w:ascii="宋体" w:hAnsi="宋体" w:eastAsia="宋体" w:cs="宋体"/>
          <w:b/>
          <w:color w:val="auto"/>
          <w:sz w:val="32"/>
          <w:szCs w:val="32"/>
        </w:rPr>
      </w:pPr>
    </w:p>
    <w:p>
      <w:pPr>
        <w:rPr>
          <w:rFonts w:ascii="宋体" w:hAnsi="宋体" w:eastAsia="宋体" w:cs="宋体"/>
          <w:b/>
          <w:color w:val="auto"/>
          <w:sz w:val="32"/>
          <w:szCs w:val="32"/>
        </w:rPr>
      </w:pPr>
      <w:r>
        <w:rPr>
          <w:rFonts w:hint="eastAsia" w:ascii="宋体" w:hAnsi="宋体" w:eastAsia="宋体" w:cs="宋体"/>
          <w:b/>
          <w:color w:val="auto"/>
          <w:szCs w:val="21"/>
        </w:rPr>
        <w:t>注：本表须后附相关人员证明材料</w:t>
      </w:r>
      <w:r>
        <w:rPr>
          <w:rFonts w:hint="eastAsia" w:ascii="宋体" w:hAnsi="宋体" w:eastAsia="宋体" w:cs="宋体"/>
          <w:b/>
          <w:color w:val="auto"/>
          <w:sz w:val="32"/>
          <w:szCs w:val="32"/>
        </w:rPr>
        <w:br w:type="page"/>
      </w:r>
    </w:p>
    <w:p>
      <w:pPr>
        <w:spacing w:line="360" w:lineRule="auto"/>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12.</w:t>
      </w:r>
      <w:bookmarkStart w:id="91" w:name="_Toc424468844"/>
      <w:r>
        <w:rPr>
          <w:rFonts w:hint="eastAsia" w:ascii="宋体" w:hAnsi="宋体" w:eastAsia="宋体" w:cs="宋体"/>
          <w:b/>
          <w:color w:val="auto"/>
          <w:sz w:val="32"/>
          <w:szCs w:val="32"/>
        </w:rPr>
        <w:t>信誉承诺书</w:t>
      </w:r>
    </w:p>
    <w:p>
      <w:pPr>
        <w:pStyle w:val="16"/>
        <w:rPr>
          <w:rFonts w:ascii="宋体" w:hAnsi="宋体" w:eastAsia="宋体" w:cs="宋体"/>
          <w:color w:val="auto"/>
        </w:rPr>
      </w:pPr>
    </w:p>
    <w:p>
      <w:pPr>
        <w:tabs>
          <w:tab w:val="left" w:pos="1365"/>
        </w:tabs>
        <w:spacing w:line="360" w:lineRule="auto"/>
        <w:jc w:val="center"/>
        <w:rPr>
          <w:rFonts w:ascii="宋体" w:hAnsi="宋体" w:eastAsia="宋体" w:cs="宋体"/>
          <w:color w:val="auto"/>
          <w:sz w:val="28"/>
          <w:szCs w:val="32"/>
        </w:rPr>
      </w:pPr>
      <w:r>
        <w:rPr>
          <w:rFonts w:hint="eastAsia" w:ascii="宋体" w:hAnsi="宋体" w:eastAsia="宋体" w:cs="宋体"/>
          <w:color w:val="auto"/>
          <w:sz w:val="28"/>
          <w:szCs w:val="32"/>
        </w:rPr>
        <w:t>（格式自拟）</w:t>
      </w:r>
    </w:p>
    <w:bookmarkEnd w:id="91"/>
    <w:p>
      <w:pPr>
        <w:rPr>
          <w:rFonts w:ascii="宋体" w:hAnsi="宋体" w:eastAsia="宋体" w:cs="宋体"/>
          <w:b/>
          <w:color w:val="auto"/>
          <w:sz w:val="32"/>
          <w:szCs w:val="32"/>
        </w:rPr>
      </w:pPr>
      <w:r>
        <w:rPr>
          <w:rFonts w:hint="eastAsia" w:ascii="宋体" w:hAnsi="宋体" w:eastAsia="宋体" w:cs="宋体"/>
          <w:b/>
          <w:color w:val="auto"/>
          <w:sz w:val="32"/>
          <w:szCs w:val="32"/>
        </w:rPr>
        <w:br w:type="page"/>
      </w:r>
    </w:p>
    <w:p>
      <w:pPr>
        <w:spacing w:line="360" w:lineRule="auto"/>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13.</w:t>
      </w:r>
      <w:r>
        <w:rPr>
          <w:rFonts w:hint="eastAsia" w:ascii="宋体" w:hAnsi="宋体" w:eastAsia="宋体" w:cs="宋体"/>
          <w:b/>
          <w:color w:val="auto"/>
          <w:sz w:val="32"/>
          <w:szCs w:val="32"/>
        </w:rPr>
        <w:t>投标保证金</w:t>
      </w:r>
    </w:p>
    <w:p>
      <w:pPr>
        <w:autoSpaceDE w:val="0"/>
        <w:autoSpaceDN w:val="0"/>
        <w:adjustRightInd w:val="0"/>
        <w:ind w:right="480"/>
        <w:jc w:val="right"/>
        <w:rPr>
          <w:rFonts w:ascii="宋体" w:hAnsi="宋体" w:eastAsia="宋体" w:cs="宋体"/>
          <w:color w:val="auto"/>
          <w:sz w:val="24"/>
          <w:lang w:val="zh-CN"/>
        </w:rPr>
      </w:pPr>
    </w:p>
    <w:p>
      <w:pPr>
        <w:rPr>
          <w:rFonts w:ascii="宋体" w:hAnsi="宋体" w:eastAsia="宋体" w:cs="宋体"/>
          <w:color w:val="auto"/>
          <w:sz w:val="24"/>
          <w:lang w:val="zh-CN"/>
        </w:rPr>
      </w:pPr>
    </w:p>
    <w:p>
      <w:pPr>
        <w:rPr>
          <w:rFonts w:ascii="宋体" w:hAnsi="宋体" w:eastAsia="宋体" w:cs="宋体"/>
          <w:b/>
          <w:bCs/>
          <w:color w:val="auto"/>
          <w:szCs w:val="21"/>
          <w:lang w:val="zh-CN"/>
        </w:rPr>
      </w:pPr>
      <w:r>
        <w:rPr>
          <w:rFonts w:hint="eastAsia" w:ascii="宋体" w:hAnsi="宋体" w:eastAsia="宋体" w:cs="宋体"/>
          <w:b/>
          <w:bCs/>
          <w:color w:val="auto"/>
          <w:szCs w:val="21"/>
          <w:lang w:val="zh-CN"/>
        </w:rPr>
        <w:t>注：依据长财采购〔2021〕695号文件规定，对于诚信良好的投标人可免收投标保证金，</w:t>
      </w:r>
      <w:r>
        <w:rPr>
          <w:rFonts w:hint="eastAsia" w:ascii="宋体" w:hAnsi="宋体" w:eastAsia="宋体" w:cs="宋体"/>
          <w:b/>
          <w:bCs/>
          <w:color w:val="auto"/>
          <w:szCs w:val="21"/>
        </w:rPr>
        <w:t>需提供网站查询截图</w:t>
      </w:r>
      <w:r>
        <w:rPr>
          <w:rFonts w:hint="eastAsia" w:ascii="宋体" w:hAnsi="宋体" w:eastAsia="宋体" w:cs="宋体"/>
          <w:b/>
          <w:bCs/>
          <w:color w:val="auto"/>
          <w:szCs w:val="21"/>
          <w:lang w:val="zh-CN"/>
        </w:rPr>
        <w:t>；但对于满足《中华人民共和国政府采购法》第二十二条有关规定，经“信用中国”网站查询存在行政处罚信息的投标人，须按规定提交投标保证金，并提供缴纳证明。</w:t>
      </w:r>
    </w:p>
    <w:p>
      <w:pPr>
        <w:ind w:firstLine="643" w:firstLineChars="200"/>
        <w:rPr>
          <w:rFonts w:ascii="宋体" w:hAnsi="宋体" w:eastAsia="宋体" w:cs="宋体"/>
          <w:b/>
          <w:color w:val="auto"/>
          <w:sz w:val="32"/>
          <w:szCs w:val="32"/>
        </w:rPr>
      </w:pPr>
      <w:r>
        <w:rPr>
          <w:rFonts w:hint="eastAsia" w:ascii="宋体" w:hAnsi="宋体" w:eastAsia="宋体" w:cs="宋体"/>
          <w:b/>
          <w:color w:val="auto"/>
          <w:sz w:val="32"/>
          <w:szCs w:val="32"/>
        </w:rPr>
        <w:br w:type="page"/>
      </w:r>
    </w:p>
    <w:p>
      <w:pPr>
        <w:spacing w:line="360" w:lineRule="auto"/>
        <w:jc w:val="center"/>
        <w:outlineLvl w:val="1"/>
        <w:rPr>
          <w:rFonts w:ascii="宋体" w:hAnsi="宋体" w:eastAsia="宋体" w:cs="宋体"/>
          <w:b/>
          <w:color w:val="auto"/>
          <w:sz w:val="32"/>
          <w:szCs w:val="32"/>
        </w:rPr>
      </w:pPr>
      <w:r>
        <w:rPr>
          <w:rFonts w:hint="eastAsia" w:ascii="宋体" w:hAnsi="宋体" w:eastAsia="宋体" w:cs="宋体"/>
          <w:b/>
          <w:color w:val="auto"/>
          <w:sz w:val="32"/>
          <w:szCs w:val="32"/>
          <w:lang w:eastAsia="zh-CN"/>
        </w:rPr>
        <w:t>1</w:t>
      </w:r>
      <w:r>
        <w:rPr>
          <w:rFonts w:hint="eastAsia" w:ascii="宋体" w:hAnsi="宋体" w:cs="宋体"/>
          <w:b/>
          <w:color w:val="auto"/>
          <w:sz w:val="32"/>
          <w:szCs w:val="32"/>
          <w:lang w:val="en-US" w:eastAsia="zh-CN"/>
        </w:rPr>
        <w:t>4</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服务方案</w:t>
      </w:r>
    </w:p>
    <w:p>
      <w:pPr>
        <w:tabs>
          <w:tab w:val="left" w:pos="0"/>
        </w:tabs>
        <w:spacing w:line="360" w:lineRule="auto"/>
        <w:ind w:left="360" w:hanging="360" w:hangingChars="150"/>
        <w:jc w:val="cente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暗标部分</w:t>
      </w:r>
      <w:r>
        <w:rPr>
          <w:rFonts w:hint="eastAsia" w:ascii="宋体" w:hAnsi="宋体" w:eastAsia="宋体" w:cs="宋体"/>
          <w:color w:val="auto"/>
          <w:sz w:val="24"/>
        </w:rPr>
        <w:t>）</w:t>
      </w:r>
    </w:p>
    <w:p>
      <w:pPr>
        <w:tabs>
          <w:tab w:val="left" w:pos="0"/>
        </w:tabs>
        <w:spacing w:line="360" w:lineRule="auto"/>
        <w:ind w:left="360" w:hanging="360" w:hangingChars="150"/>
        <w:jc w:val="center"/>
        <w:rPr>
          <w:rFonts w:ascii="宋体" w:hAnsi="宋体" w:eastAsia="宋体" w:cs="宋体"/>
          <w:color w:val="auto"/>
          <w:sz w:val="24"/>
        </w:rPr>
      </w:pPr>
    </w:p>
    <w:p>
      <w:pPr>
        <w:tabs>
          <w:tab w:val="left" w:pos="0"/>
        </w:tabs>
        <w:spacing w:line="360" w:lineRule="auto"/>
        <w:ind w:left="360" w:hanging="360" w:hangingChars="150"/>
        <w:jc w:val="center"/>
        <w:rPr>
          <w:rFonts w:ascii="宋体" w:hAnsi="宋体" w:eastAsia="宋体" w:cs="宋体"/>
          <w:color w:val="auto"/>
          <w:sz w:val="24"/>
        </w:rPr>
      </w:pPr>
    </w:p>
    <w:p>
      <w:pPr>
        <w:tabs>
          <w:tab w:val="left" w:pos="0"/>
        </w:tabs>
        <w:spacing w:line="360" w:lineRule="auto"/>
        <w:ind w:left="360" w:hanging="360" w:hangingChars="150"/>
        <w:jc w:val="center"/>
        <w:rPr>
          <w:rFonts w:ascii="宋体" w:hAnsi="宋体" w:eastAsia="宋体" w:cs="宋体"/>
          <w:color w:val="auto"/>
          <w:sz w:val="24"/>
        </w:rPr>
      </w:pPr>
    </w:p>
    <w:p>
      <w:pPr>
        <w:spacing w:line="360" w:lineRule="auto"/>
        <w:rPr>
          <w:rFonts w:ascii="宋体" w:hAnsi="宋体" w:eastAsia="宋体" w:cs="宋体"/>
          <w:b/>
          <w:color w:val="auto"/>
          <w:sz w:val="32"/>
          <w:szCs w:val="32"/>
        </w:rPr>
      </w:pPr>
    </w:p>
    <w:p>
      <w:pPr>
        <w:spacing w:line="360" w:lineRule="auto"/>
        <w:rPr>
          <w:rFonts w:ascii="宋体" w:hAnsi="宋体" w:eastAsia="宋体" w:cs="宋体"/>
          <w:b/>
          <w:color w:val="auto"/>
          <w:sz w:val="32"/>
          <w:szCs w:val="32"/>
        </w:rPr>
      </w:pPr>
    </w:p>
    <w:p>
      <w:pPr>
        <w:spacing w:line="360" w:lineRule="auto"/>
        <w:rPr>
          <w:rFonts w:ascii="宋体" w:hAnsi="宋体" w:eastAsia="宋体" w:cs="宋体"/>
          <w:b/>
          <w:color w:val="auto"/>
          <w:sz w:val="32"/>
          <w:szCs w:val="32"/>
        </w:rPr>
      </w:pPr>
    </w:p>
    <w:p>
      <w:pPr>
        <w:spacing w:line="360" w:lineRule="auto"/>
        <w:rPr>
          <w:rFonts w:ascii="宋体" w:hAnsi="宋体" w:eastAsia="宋体" w:cs="宋体"/>
          <w:b/>
          <w:color w:val="auto"/>
          <w:sz w:val="32"/>
          <w:szCs w:val="32"/>
        </w:rPr>
      </w:pPr>
    </w:p>
    <w:p>
      <w:pPr>
        <w:jc w:val="center"/>
        <w:rPr>
          <w:rFonts w:ascii="宋体" w:hAnsi="宋体" w:eastAsia="宋体" w:cs="宋体"/>
          <w:b/>
          <w:color w:val="auto"/>
          <w:sz w:val="32"/>
          <w:szCs w:val="32"/>
        </w:rPr>
      </w:pPr>
      <w:bookmarkStart w:id="92" w:name="_Toc17971"/>
      <w:r>
        <w:rPr>
          <w:rFonts w:hint="eastAsia" w:ascii="宋体" w:hAnsi="宋体" w:eastAsia="宋体" w:cs="宋体"/>
          <w:b/>
          <w:color w:val="auto"/>
          <w:sz w:val="32"/>
          <w:szCs w:val="32"/>
        </w:rPr>
        <w:br w:type="page"/>
      </w:r>
      <w:bookmarkEnd w:id="92"/>
      <w:bookmarkStart w:id="93" w:name="_Toc424468861"/>
      <w:r>
        <w:rPr>
          <w:rFonts w:hint="eastAsia" w:ascii="宋体" w:hAnsi="宋体" w:eastAsia="宋体" w:cs="宋体"/>
          <w:b/>
          <w:color w:val="auto"/>
          <w:sz w:val="32"/>
          <w:szCs w:val="32"/>
          <w:lang w:eastAsia="zh-CN"/>
        </w:rPr>
        <w:t>1</w:t>
      </w:r>
      <w:r>
        <w:rPr>
          <w:rFonts w:hint="eastAsia" w:ascii="宋体" w:hAnsi="宋体" w:cs="宋体"/>
          <w:b/>
          <w:color w:val="auto"/>
          <w:sz w:val="32"/>
          <w:szCs w:val="32"/>
          <w:lang w:val="en-US" w:eastAsia="zh-CN"/>
        </w:rPr>
        <w:t>5</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投标人认为需要提供的其他材料</w:t>
      </w:r>
      <w:bookmarkEnd w:id="93"/>
    </w:p>
    <w:p>
      <w:pPr>
        <w:spacing w:line="360" w:lineRule="auto"/>
        <w:jc w:val="left"/>
        <w:rPr>
          <w:rFonts w:ascii="宋体" w:hAnsi="宋体" w:eastAsia="宋体" w:cs="宋体"/>
          <w:color w:val="auto"/>
          <w:sz w:val="28"/>
          <w:szCs w:val="28"/>
        </w:rPr>
      </w:pPr>
    </w:p>
    <w:p>
      <w:pPr>
        <w:spacing w:line="360" w:lineRule="auto"/>
        <w:jc w:val="center"/>
        <w:rPr>
          <w:rFonts w:ascii="宋体" w:hAnsi="宋体" w:eastAsia="宋体" w:cs="宋体"/>
          <w:color w:val="auto"/>
          <w:sz w:val="28"/>
        </w:rPr>
      </w:pPr>
      <w:r>
        <w:rPr>
          <w:rFonts w:hint="eastAsia" w:ascii="宋体" w:hAnsi="宋体" w:eastAsia="宋体" w:cs="宋体"/>
          <w:color w:val="auto"/>
          <w:sz w:val="28"/>
        </w:rPr>
        <w:t>格式自拟</w:t>
      </w:r>
    </w:p>
    <w:p>
      <w:pPr>
        <w:rPr>
          <w:color w:val="auto"/>
        </w:rPr>
        <w:sectPr>
          <w:pgSz w:w="11906" w:h="16838"/>
          <w:pgMar w:top="1440" w:right="1800" w:bottom="1440" w:left="1800" w:header="851" w:footer="992" w:gutter="0"/>
          <w:pgNumType w:fmt="decimal"/>
          <w:cols w:space="425" w:num="1"/>
          <w:docGrid w:type="lines" w:linePitch="312" w:charSpace="0"/>
        </w:sectPr>
      </w:pPr>
    </w:p>
    <w:p>
      <w:pPr>
        <w:pStyle w:val="3"/>
        <w:jc w:val="center"/>
        <w:rPr>
          <w:rFonts w:hint="eastAsia" w:ascii="宋体" w:hAnsi="宋体" w:eastAsia="宋体" w:cs="宋体"/>
          <w:color w:val="auto"/>
          <w:sz w:val="24"/>
          <w:szCs w:val="16"/>
          <w:highlight w:val="none"/>
        </w:rPr>
      </w:pPr>
      <w:r>
        <w:rPr>
          <w:rFonts w:hint="eastAsia" w:ascii="宋体" w:hAnsi="宋体" w:eastAsia="宋体" w:cs="宋体"/>
          <w:color w:val="auto"/>
          <w:sz w:val="24"/>
          <w:szCs w:val="16"/>
          <w:highlight w:val="none"/>
        </w:rPr>
        <w:t>中小企业声明函(</w:t>
      </w:r>
      <w:r>
        <w:rPr>
          <w:rFonts w:hint="eastAsia" w:ascii="宋体" w:hAnsi="宋体" w:eastAsia="宋体" w:cs="宋体"/>
          <w:color w:val="auto"/>
          <w:sz w:val="24"/>
          <w:szCs w:val="16"/>
          <w:highlight w:val="none"/>
          <w:lang w:val="en-US" w:eastAsia="zh-CN"/>
        </w:rPr>
        <w:t>服务</w:t>
      </w:r>
      <w:r>
        <w:rPr>
          <w:rFonts w:hint="eastAsia" w:ascii="宋体" w:hAnsi="宋体" w:eastAsia="宋体" w:cs="宋体"/>
          <w:color w:val="auto"/>
          <w:sz w:val="24"/>
          <w:szCs w:val="16"/>
          <w:highlight w:val="none"/>
        </w:rPr>
        <w:t>)</w:t>
      </w:r>
    </w:p>
    <w:p>
      <w:pPr>
        <w:numPr>
          <w:ilvl w:val="0"/>
          <w:numId w:val="0"/>
        </w:num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pPr>
        <w:numPr>
          <w:ilvl w:val="0"/>
          <w:numId w:val="4"/>
        </w:num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（标的名称），</w:t>
      </w:r>
      <w:r>
        <w:rPr>
          <w:rFonts w:hint="eastAsia" w:ascii="宋体" w:hAnsi="宋体" w:eastAsia="宋体" w:cs="宋体"/>
          <w:color w:val="auto"/>
          <w:sz w:val="21"/>
          <w:szCs w:val="21"/>
          <w:highlight w:val="none"/>
        </w:rPr>
        <w:t xml:space="preserve">属于 </w:t>
      </w:r>
      <w:r>
        <w:rPr>
          <w:rFonts w:hint="eastAsia" w:ascii="宋体" w:hAnsi="宋体" w:eastAsia="宋体" w:cs="宋体"/>
          <w:color w:val="auto"/>
          <w:sz w:val="21"/>
          <w:szCs w:val="21"/>
          <w:highlight w:val="none"/>
          <w:u w:val="single"/>
        </w:rPr>
        <w:t>（采购文件内明确的所属行业）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人</w:t>
      </w:r>
      <w:r>
        <w:rPr>
          <w:rFonts w:hint="eastAsia" w:ascii="宋体" w:hAnsi="宋体" w:eastAsia="宋体" w:cs="宋体"/>
          <w:color w:val="auto"/>
          <w:sz w:val="21"/>
          <w:szCs w:val="21"/>
          <w:highlight w:val="none"/>
        </w:rPr>
        <w:t>，营业收入为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pPr>
        <w:numPr>
          <w:ilvl w:val="0"/>
          <w:numId w:val="4"/>
        </w:num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属于 </w:t>
      </w:r>
      <w:r>
        <w:rPr>
          <w:rFonts w:hint="eastAsia" w:ascii="宋体" w:hAnsi="宋体" w:eastAsia="宋体" w:cs="宋体"/>
          <w:color w:val="auto"/>
          <w:sz w:val="21"/>
          <w:szCs w:val="21"/>
          <w:highlight w:val="none"/>
          <w:u w:val="single"/>
        </w:rPr>
        <w:t>（采购文件内明确的所属行业）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人</w:t>
      </w:r>
      <w:r>
        <w:rPr>
          <w:rFonts w:hint="eastAsia" w:ascii="宋体" w:hAnsi="宋体" w:eastAsia="宋体" w:cs="宋体"/>
          <w:color w:val="auto"/>
          <w:sz w:val="21"/>
          <w:szCs w:val="21"/>
          <w:highlight w:val="none"/>
        </w:rPr>
        <w:t>，营业收入为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pPr>
        <w:spacing w:line="500" w:lineRule="exact"/>
        <w:ind w:left="420" w:left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spacing w:line="50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以上企业不属于大企业的分支机构，不存在控股股东为大企业的情形，也不存在与大企业责任人为同一人的情形。</w:t>
      </w:r>
    </w:p>
    <w:p>
      <w:pPr>
        <w:spacing w:line="50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pPr>
        <w:spacing w:line="500" w:lineRule="exact"/>
        <w:ind w:firstLine="315" w:firstLineChars="150"/>
        <w:jc w:val="left"/>
        <w:rPr>
          <w:rFonts w:hint="eastAsia" w:ascii="宋体" w:hAnsi="宋体" w:eastAsia="宋体" w:cs="宋体"/>
          <w:color w:val="auto"/>
          <w:sz w:val="21"/>
          <w:szCs w:val="21"/>
          <w:highlight w:val="none"/>
        </w:rPr>
      </w:pPr>
    </w:p>
    <w:p>
      <w:pPr>
        <w:spacing w:line="50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企业名称（加盖公章）：</w:t>
      </w:r>
    </w:p>
    <w:p>
      <w:pPr>
        <w:spacing w:line="50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w:t>
      </w:r>
    </w:p>
    <w:p>
      <w:pPr>
        <w:rPr>
          <w:rFonts w:hint="eastAsia" w:ascii="宋体" w:hAnsi="宋体" w:eastAsia="宋体" w:cs="宋体"/>
          <w:color w:val="auto"/>
          <w:sz w:val="21"/>
          <w:szCs w:val="21"/>
          <w:highlight w:val="none"/>
        </w:rPr>
      </w:pPr>
    </w:p>
    <w:p>
      <w:pPr>
        <w:spacing w:line="500" w:lineRule="exact"/>
        <w:ind w:firstLine="316" w:firstLineChars="15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pPr>
        <w:spacing w:line="500" w:lineRule="exact"/>
        <w:ind w:firstLine="316" w:firstLineChars="15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1、从业人员、营业收入、资产总额填报上一年度数据，无上一年度数据的新成立企业可不填报。 </w:t>
      </w:r>
    </w:p>
    <w:p>
      <w:pPr>
        <w:spacing w:line="500" w:lineRule="exact"/>
        <w:ind w:firstLine="316" w:firstLineChars="15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2、填写前请认真阅读《关于印发中小企业划型标准规定的通知》（工信部联企业[2011]300 号）和《关于 印发＜政府采购促进中小企业发展管理办法＞的通知》 (财库﹝2020﹞46 号)相关规定。 </w:t>
      </w:r>
    </w:p>
    <w:p>
      <w:pPr>
        <w:spacing w:line="500" w:lineRule="exact"/>
        <w:ind w:firstLine="316" w:firstLineChars="150"/>
        <w:jc w:val="left"/>
        <w:rPr>
          <w:rFonts w:hint="eastAsia" w:ascii="宋体" w:hAnsi="宋体" w:eastAsia="宋体" w:cs="宋体"/>
          <w:b/>
          <w:bCs/>
          <w:color w:val="auto"/>
          <w:sz w:val="21"/>
          <w:szCs w:val="21"/>
          <w:highlight w:val="none"/>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color w:val="auto"/>
          <w:sz w:val="21"/>
          <w:szCs w:val="21"/>
          <w:highlight w:val="none"/>
        </w:rPr>
        <w:t>3、未按上述要求提供、填写的，评审时不予以考虑。</w:t>
      </w:r>
    </w:p>
    <w:p>
      <w:pPr>
        <w:spacing w:line="360" w:lineRule="auto"/>
        <w:jc w:val="center"/>
        <w:outlineLvl w:val="1"/>
        <w:rPr>
          <w:rFonts w:hint="eastAsia" w:ascii="宋体" w:hAnsi="宋体" w:eastAsia="宋体" w:cs="宋体"/>
          <w:b/>
          <w:color w:val="auto"/>
          <w:sz w:val="32"/>
          <w:szCs w:val="32"/>
          <w:highlight w:val="none"/>
        </w:rPr>
      </w:pPr>
    </w:p>
    <w:p>
      <w:pPr>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残疾人福利性单位声明函（如是）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 （财库〔2017〕 141 号）的规定，本单位为符合条件的残疾人福利性单位，且本单位参加</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 xml:space="preserve">项目采购活动提供本单位制造的货物（由本单位承担工程/提供服务），或者提供其他残疾人福利性单位制造的货物（不包括使用非残疾人福利性单位注册商标的货物）。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本单位对上述声明的真实性负责。如有虚假，将依法承担相应责任。 </w:t>
      </w:r>
    </w:p>
    <w:p>
      <w:pPr>
        <w:spacing w:line="500" w:lineRule="exact"/>
        <w:ind w:firstLine="480" w:firstLineChars="200"/>
        <w:jc w:val="right"/>
        <w:rPr>
          <w:rFonts w:hint="eastAsia" w:ascii="宋体" w:hAnsi="宋体" w:eastAsia="宋体" w:cs="宋体"/>
          <w:color w:val="auto"/>
          <w:sz w:val="24"/>
          <w:highlight w:val="none"/>
        </w:rPr>
      </w:pPr>
    </w:p>
    <w:p>
      <w:pPr>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单位名称（盖章）： </w:t>
      </w:r>
    </w:p>
    <w:p>
      <w:pPr>
        <w:spacing w:line="500" w:lineRule="exact"/>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p>
    <w:p>
      <w:pPr>
        <w:pStyle w:val="16"/>
        <w:rPr>
          <w:rFonts w:hint="eastAsia" w:ascii="宋体" w:hAnsi="宋体" w:eastAsia="宋体" w:cs="宋体"/>
          <w:color w:val="auto"/>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1、残疾人福利性单位视同小型、微型企业，享受预留份额、评审中价格扣除等促进中小企业发展的政府采购政策。残疾人福利性单位属于小型、微型企业的，不重复享受政策。</w:t>
      </w:r>
    </w:p>
    <w:p>
      <w:pPr>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为非残疾人福利性单位的，可不提供此声明。</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jc w:val="center"/>
        <w:rPr>
          <w:rFonts w:hint="eastAsia" w:ascii="宋体" w:hAnsi="宋体" w:eastAsia="宋体" w:cs="宋体"/>
          <w:b/>
          <w:color w:val="auto"/>
          <w:sz w:val="32"/>
          <w:szCs w:val="32"/>
          <w:highlight w:val="none"/>
        </w:rPr>
      </w:pPr>
    </w:p>
    <w:p>
      <w:pPr>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监狱企业证明文件（如是）</w:t>
      </w:r>
    </w:p>
    <w:p>
      <w:pPr>
        <w:widowControl/>
        <w:jc w:val="left"/>
        <w:rPr>
          <w:rFonts w:hint="eastAsia" w:ascii="宋体" w:hAnsi="宋体" w:eastAsia="宋体" w:cs="宋体"/>
          <w:color w:val="auto"/>
          <w:kern w:val="0"/>
          <w:sz w:val="24"/>
          <w:highlight w:val="none"/>
          <w:lang w:bidi="ar"/>
        </w:rPr>
      </w:pPr>
    </w:p>
    <w:p>
      <w:pPr>
        <w:widowControl/>
        <w:jc w:val="left"/>
        <w:rPr>
          <w:rFonts w:hint="eastAsia" w:ascii="宋体" w:hAnsi="宋体" w:eastAsia="宋体" w:cs="宋体"/>
          <w:color w:val="auto"/>
          <w:kern w:val="0"/>
          <w:sz w:val="24"/>
          <w:highlight w:val="none"/>
          <w:lang w:bidi="ar"/>
        </w:rPr>
      </w:pPr>
    </w:p>
    <w:p>
      <w:pPr>
        <w:widowControl/>
        <w:jc w:val="left"/>
        <w:rPr>
          <w:rFonts w:hint="eastAsia" w:ascii="宋体" w:hAnsi="宋体" w:eastAsia="宋体" w:cs="宋体"/>
          <w:color w:val="auto"/>
          <w:kern w:val="0"/>
          <w:sz w:val="24"/>
          <w:highlight w:val="none"/>
          <w:lang w:bidi="ar"/>
        </w:rPr>
      </w:pPr>
    </w:p>
    <w:p>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省级以上监狱管理局、戒毒管理局（含新疆生产建设兵团）出具的属于监狱企业的证明文件。 </w:t>
      </w:r>
    </w:p>
    <w:p>
      <w:pPr>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1、监狱企业视同小型、微型企业，享受预留份额、评审中价格扣除等促进中小企业发展的政府采购政策。监狱企业属于小型、微型企业的，不重复享受政策。</w:t>
      </w:r>
    </w:p>
    <w:p>
      <w:pPr>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为非监狱企业的，可不提供此证明。</w:t>
      </w:r>
    </w:p>
    <w:p>
      <w:pPr>
        <w:pStyle w:val="55"/>
        <w:rPr>
          <w:rFonts w:hint="eastAsia"/>
        </w:rPr>
      </w:pPr>
    </w:p>
    <w:sectPr>
      <w:pgSz w:w="11906" w:h="16838"/>
      <w:pgMar w:top="1440" w:right="1080" w:bottom="1440" w:left="108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FangSong"/>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swiss"/>
    <w:pitch w:val="default"/>
    <w:sig w:usb0="80000287" w:usb1="28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1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0</w:t>
                    </w:r>
                    <w:r>
                      <w:fldChar w:fldCharType="end"/>
                    </w:r>
                  </w:p>
                </w:txbxContent>
              </v:textbox>
            </v:shape>
          </w:pict>
        </mc:Fallback>
      </mc:AlternateContent>
    </w:r>
  </w:p>
  <w:p>
    <w:pPr>
      <w:pStyle w:val="1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w:t>
                    </w:r>
                    <w:r>
                      <w:fldChar w:fldCharType="end"/>
                    </w:r>
                  </w:p>
                </w:txbxContent>
              </v:textbox>
            </v:shape>
          </w:pict>
        </mc:Fallback>
      </mc:AlternateContent>
    </w:r>
  </w:p>
  <w:p>
    <w:pPr>
      <w:pStyle w:val="16"/>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3692B"/>
    <w:multiLevelType w:val="singleLevel"/>
    <w:tmpl w:val="A533692B"/>
    <w:lvl w:ilvl="0" w:tentative="0">
      <w:start w:val="1"/>
      <w:numFmt w:val="decimal"/>
      <w:suff w:val="space"/>
      <w:lvlText w:val="%1."/>
      <w:lvlJc w:val="left"/>
    </w:lvl>
  </w:abstractNum>
  <w:abstractNum w:abstractNumId="1">
    <w:nsid w:val="1E3720B8"/>
    <w:multiLevelType w:val="singleLevel"/>
    <w:tmpl w:val="1E3720B8"/>
    <w:lvl w:ilvl="0" w:tentative="0">
      <w:start w:val="5"/>
      <w:numFmt w:val="chineseCounting"/>
      <w:suff w:val="space"/>
      <w:lvlText w:val="第%1章"/>
      <w:lvlJc w:val="left"/>
      <w:rPr>
        <w:rFonts w:hint="eastAsia"/>
      </w:rPr>
    </w:lvl>
  </w:abstractNum>
  <w:abstractNum w:abstractNumId="2">
    <w:nsid w:val="3A2F4367"/>
    <w:multiLevelType w:val="singleLevel"/>
    <w:tmpl w:val="3A2F4367"/>
    <w:lvl w:ilvl="0" w:tentative="0">
      <w:start w:val="6"/>
      <w:numFmt w:val="chineseCounting"/>
      <w:suff w:val="nothing"/>
      <w:lvlText w:val="%1、"/>
      <w:lvlJc w:val="left"/>
      <w:rPr>
        <w:rFonts w:hint="eastAsia"/>
      </w:rPr>
    </w:lvl>
  </w:abstractNum>
  <w:abstractNum w:abstractNumId="3">
    <w:nsid w:val="478741F0"/>
    <w:multiLevelType w:val="multilevel"/>
    <w:tmpl w:val="478741F0"/>
    <w:lvl w:ilvl="0" w:tentative="0">
      <w:start w:val="1"/>
      <w:numFmt w:val="chineseCountingThousand"/>
      <w:pStyle w:val="109"/>
      <w:suff w:val="nothing"/>
      <w:lvlText w:val="第%1部分 "/>
      <w:lvlJc w:val="center"/>
      <w:pPr>
        <w:ind w:left="0" w:firstLine="0"/>
      </w:pPr>
      <w:rPr>
        <w:rFonts w:hint="default" w:ascii="Arial" w:hAnsi="Arial" w:eastAsia="黑体"/>
        <w:b/>
        <w:bCs w:val="0"/>
        <w:i w:val="0"/>
        <w:iCs w:val="0"/>
        <w:caps w:val="0"/>
        <w:strike w:val="0"/>
        <w:dstrike w:val="0"/>
        <w:vanish w:val="0"/>
        <w:color w:val="000000"/>
        <w:spacing w:val="0"/>
        <w:kern w:val="0"/>
        <w:position w:val="0"/>
        <w:sz w:val="44"/>
        <w:szCs w:val="44"/>
        <w:u w:val="none"/>
        <w:vertAlign w:val="baseline"/>
      </w:rPr>
    </w:lvl>
    <w:lvl w:ilvl="1" w:tentative="0">
      <w:start w:val="1"/>
      <w:numFmt w:val="decimal"/>
      <w:lvlRestart w:val="0"/>
      <w:pStyle w:val="110"/>
      <w:suff w:val="space"/>
      <w:lvlText w:val="第%2章 "/>
      <w:lvlJc w:val="center"/>
      <w:pPr>
        <w:ind w:left="720" w:firstLine="0"/>
      </w:pPr>
      <w:rPr>
        <w:rFonts w:hint="default" w:ascii="Arial" w:hAnsi="Arial" w:eastAsia="黑体"/>
        <w:b/>
        <w:i w:val="0"/>
        <w:color w:val="000000"/>
        <w:sz w:val="36"/>
        <w:szCs w:val="32"/>
      </w:rPr>
    </w:lvl>
    <w:lvl w:ilvl="2" w:tentative="0">
      <w:start w:val="1"/>
      <w:numFmt w:val="decimal"/>
      <w:pStyle w:val="111"/>
      <w:suff w:val="nothing"/>
      <w:lvlText w:val="%2.%3 "/>
      <w:lvlJc w:val="left"/>
      <w:pPr>
        <w:ind w:left="567" w:firstLine="0"/>
      </w:pPr>
      <w:rPr>
        <w:rFonts w:hint="default" w:ascii="Arial" w:hAnsi="Arial" w:eastAsia="黑体"/>
        <w:b/>
        <w:i w:val="0"/>
        <w:color w:val="000000"/>
        <w:sz w:val="32"/>
        <w:szCs w:val="28"/>
      </w:rPr>
    </w:lvl>
    <w:lvl w:ilvl="3" w:tentative="0">
      <w:start w:val="1"/>
      <w:numFmt w:val="decimal"/>
      <w:pStyle w:val="112"/>
      <w:suff w:val="nothing"/>
      <w:lvlText w:val="%2.%3.%4 "/>
      <w:lvlJc w:val="left"/>
      <w:pPr>
        <w:ind w:left="420" w:hanging="420"/>
      </w:pPr>
      <w:rPr>
        <w:rFonts w:hint="default" w:ascii="Arial" w:hAnsi="Arial" w:eastAsia="黑体" w:cs="Times New Roman"/>
        <w:b/>
        <w:bCs w:val="0"/>
        <w:i w:val="0"/>
        <w:iCs w:val="0"/>
        <w:caps w:val="0"/>
        <w:smallCaps w:val="0"/>
        <w:strike w:val="0"/>
        <w:dstrike w:val="0"/>
        <w:vanish w:val="0"/>
        <w:color w:val="000000"/>
        <w:spacing w:val="0"/>
        <w:position w:val="0"/>
        <w:sz w:val="28"/>
        <w:u w:val="none"/>
        <w:vertAlign w:val="baseline"/>
      </w:rPr>
    </w:lvl>
    <w:lvl w:ilvl="4" w:tentative="0">
      <w:start w:val="1"/>
      <w:numFmt w:val="decimal"/>
      <w:suff w:val="nothing"/>
      <w:lvlText w:val="%2.%3.%4.%5 "/>
      <w:lvlJc w:val="left"/>
      <w:pPr>
        <w:ind w:left="1080" w:hanging="1080"/>
      </w:pPr>
      <w:rPr>
        <w:rFonts w:hint="default" w:ascii="Arial" w:hAnsi="Arial" w:eastAsia="黑体"/>
        <w:b/>
        <w:i w:val="0"/>
        <w:sz w:val="28"/>
      </w:rPr>
    </w:lvl>
    <w:lvl w:ilvl="5" w:tentative="0">
      <w:start w:val="1"/>
      <w:numFmt w:val="decimal"/>
      <w:suff w:val="nothing"/>
      <w:lvlText w:val=" %6 "/>
      <w:lvlJc w:val="left"/>
      <w:pPr>
        <w:ind w:left="180" w:hanging="180"/>
      </w:pPr>
      <w:rPr>
        <w:rFonts w:hint="default" w:ascii="Arial" w:hAnsi="Arial" w:eastAsia="黑体"/>
        <w:b/>
        <w:i w:val="0"/>
        <w:sz w:val="24"/>
      </w:rPr>
    </w:lvl>
    <w:lvl w:ilvl="6" w:tentative="0">
      <w:start w:val="1"/>
      <w:numFmt w:val="decimal"/>
      <w:pStyle w:val="113"/>
      <w:suff w:val="nothing"/>
      <w:lvlText w:val="%7）"/>
      <w:lvlJc w:val="left"/>
      <w:pPr>
        <w:ind w:left="0" w:firstLine="0"/>
      </w:pPr>
      <w:rPr>
        <w:rFonts w:hint="default" w:ascii="Arial" w:hAnsi="Arial" w:eastAsia="宋体"/>
        <w:b/>
        <w:i w:val="0"/>
        <w:sz w:val="24"/>
      </w:rPr>
    </w:lvl>
    <w:lvl w:ilvl="7" w:tentative="0">
      <w:start w:val="1"/>
      <w:numFmt w:val="upperLetter"/>
      <w:pStyle w:val="114"/>
      <w:suff w:val="nothing"/>
      <w:lvlText w:val=" %8"/>
      <w:lvlJc w:val="left"/>
      <w:pPr>
        <w:ind w:left="0" w:firstLine="0"/>
      </w:pPr>
      <w:rPr>
        <w:rFonts w:hint="default" w:ascii="Arial" w:hAnsi="Arial" w:eastAsia="宋体"/>
        <w:b/>
        <w:i w:val="0"/>
        <w:sz w:val="24"/>
      </w:rPr>
    </w:lvl>
    <w:lvl w:ilvl="8" w:tentative="0">
      <w:start w:val="1"/>
      <w:numFmt w:val="none"/>
      <w:lvlRestart w:val="0"/>
      <w:suff w:val="nothing"/>
      <w:lvlText w:val=""/>
      <w:lvlJc w:val="left"/>
      <w:pPr>
        <w:ind w:left="-360" w:firstLine="0"/>
      </w:pPr>
      <w:rPr>
        <w:rFonts w:hint="default" w:ascii="Arial" w:hAnsi="Arial" w:eastAsia="宋体"/>
        <w:b w:val="0"/>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MzVjM2NiZWRhNTIyNGRkMWY5YzY1M2ZlZTg1YjYifQ=="/>
  </w:docVars>
  <w:rsids>
    <w:rsidRoot w:val="00172A27"/>
    <w:rsid w:val="000013BC"/>
    <w:rsid w:val="0000262B"/>
    <w:rsid w:val="00002AF2"/>
    <w:rsid w:val="00003A4D"/>
    <w:rsid w:val="000049D9"/>
    <w:rsid w:val="00004AC3"/>
    <w:rsid w:val="00005069"/>
    <w:rsid w:val="0000582F"/>
    <w:rsid w:val="000066EA"/>
    <w:rsid w:val="00007A2D"/>
    <w:rsid w:val="000108F4"/>
    <w:rsid w:val="00011195"/>
    <w:rsid w:val="000120C9"/>
    <w:rsid w:val="00016AA8"/>
    <w:rsid w:val="00016C22"/>
    <w:rsid w:val="00017F15"/>
    <w:rsid w:val="00020553"/>
    <w:rsid w:val="00020FB8"/>
    <w:rsid w:val="00021721"/>
    <w:rsid w:val="000221FB"/>
    <w:rsid w:val="00022457"/>
    <w:rsid w:val="000231CF"/>
    <w:rsid w:val="00023FA7"/>
    <w:rsid w:val="00023FE1"/>
    <w:rsid w:val="0002483C"/>
    <w:rsid w:val="00024F03"/>
    <w:rsid w:val="0002538F"/>
    <w:rsid w:val="00025982"/>
    <w:rsid w:val="00025DFB"/>
    <w:rsid w:val="00026042"/>
    <w:rsid w:val="000267E5"/>
    <w:rsid w:val="00027ED8"/>
    <w:rsid w:val="000312E4"/>
    <w:rsid w:val="000322DA"/>
    <w:rsid w:val="0003362C"/>
    <w:rsid w:val="0003430B"/>
    <w:rsid w:val="00034C24"/>
    <w:rsid w:val="00034CC9"/>
    <w:rsid w:val="0003580C"/>
    <w:rsid w:val="000360BC"/>
    <w:rsid w:val="00036187"/>
    <w:rsid w:val="000364B6"/>
    <w:rsid w:val="00036B53"/>
    <w:rsid w:val="0003718C"/>
    <w:rsid w:val="00040A04"/>
    <w:rsid w:val="00040D6E"/>
    <w:rsid w:val="00043CC1"/>
    <w:rsid w:val="00044EBD"/>
    <w:rsid w:val="00045A74"/>
    <w:rsid w:val="00046423"/>
    <w:rsid w:val="00046C35"/>
    <w:rsid w:val="0004701A"/>
    <w:rsid w:val="00047712"/>
    <w:rsid w:val="0005192D"/>
    <w:rsid w:val="00052B2C"/>
    <w:rsid w:val="00054ED1"/>
    <w:rsid w:val="000570C8"/>
    <w:rsid w:val="00057A1A"/>
    <w:rsid w:val="00060ECA"/>
    <w:rsid w:val="00061391"/>
    <w:rsid w:val="000621E5"/>
    <w:rsid w:val="000639EB"/>
    <w:rsid w:val="00064E37"/>
    <w:rsid w:val="0006713B"/>
    <w:rsid w:val="00067EA5"/>
    <w:rsid w:val="00070812"/>
    <w:rsid w:val="000711C0"/>
    <w:rsid w:val="0007176A"/>
    <w:rsid w:val="00073908"/>
    <w:rsid w:val="00073E81"/>
    <w:rsid w:val="00074068"/>
    <w:rsid w:val="00074843"/>
    <w:rsid w:val="00074E88"/>
    <w:rsid w:val="00074F57"/>
    <w:rsid w:val="00075A70"/>
    <w:rsid w:val="00076FCF"/>
    <w:rsid w:val="000774AA"/>
    <w:rsid w:val="00080EB9"/>
    <w:rsid w:val="0008161A"/>
    <w:rsid w:val="000829C8"/>
    <w:rsid w:val="0008326D"/>
    <w:rsid w:val="0008377C"/>
    <w:rsid w:val="00084E96"/>
    <w:rsid w:val="000854AB"/>
    <w:rsid w:val="0008594B"/>
    <w:rsid w:val="00086B53"/>
    <w:rsid w:val="00086BA8"/>
    <w:rsid w:val="000872FE"/>
    <w:rsid w:val="000879A7"/>
    <w:rsid w:val="00090EE4"/>
    <w:rsid w:val="0009124D"/>
    <w:rsid w:val="00091876"/>
    <w:rsid w:val="0009206D"/>
    <w:rsid w:val="00092AE4"/>
    <w:rsid w:val="00094A90"/>
    <w:rsid w:val="00094AD4"/>
    <w:rsid w:val="0009566D"/>
    <w:rsid w:val="00095699"/>
    <w:rsid w:val="00095C70"/>
    <w:rsid w:val="00096C3C"/>
    <w:rsid w:val="00097A6E"/>
    <w:rsid w:val="000A0440"/>
    <w:rsid w:val="000A18F3"/>
    <w:rsid w:val="000A20CF"/>
    <w:rsid w:val="000A23F6"/>
    <w:rsid w:val="000A28A6"/>
    <w:rsid w:val="000A3AA2"/>
    <w:rsid w:val="000A4296"/>
    <w:rsid w:val="000A748A"/>
    <w:rsid w:val="000A773B"/>
    <w:rsid w:val="000A7B96"/>
    <w:rsid w:val="000B09CE"/>
    <w:rsid w:val="000B0BA3"/>
    <w:rsid w:val="000B127A"/>
    <w:rsid w:val="000B29E5"/>
    <w:rsid w:val="000B4303"/>
    <w:rsid w:val="000B48FA"/>
    <w:rsid w:val="000B4A1D"/>
    <w:rsid w:val="000B66A6"/>
    <w:rsid w:val="000B69E9"/>
    <w:rsid w:val="000B72FE"/>
    <w:rsid w:val="000B7913"/>
    <w:rsid w:val="000C017E"/>
    <w:rsid w:val="000C0408"/>
    <w:rsid w:val="000C0695"/>
    <w:rsid w:val="000C0A8A"/>
    <w:rsid w:val="000C0E22"/>
    <w:rsid w:val="000C16A2"/>
    <w:rsid w:val="000C288B"/>
    <w:rsid w:val="000C29C9"/>
    <w:rsid w:val="000C2EBA"/>
    <w:rsid w:val="000C4173"/>
    <w:rsid w:val="000C455B"/>
    <w:rsid w:val="000C63ED"/>
    <w:rsid w:val="000C6832"/>
    <w:rsid w:val="000D0D6D"/>
    <w:rsid w:val="000D0DC8"/>
    <w:rsid w:val="000D114C"/>
    <w:rsid w:val="000D129A"/>
    <w:rsid w:val="000D13F3"/>
    <w:rsid w:val="000D2209"/>
    <w:rsid w:val="000D2E95"/>
    <w:rsid w:val="000D45FE"/>
    <w:rsid w:val="000D4A0A"/>
    <w:rsid w:val="000D64B5"/>
    <w:rsid w:val="000D7839"/>
    <w:rsid w:val="000D79E4"/>
    <w:rsid w:val="000E0551"/>
    <w:rsid w:val="000E070D"/>
    <w:rsid w:val="000E08AC"/>
    <w:rsid w:val="000E0DAF"/>
    <w:rsid w:val="000E0DFC"/>
    <w:rsid w:val="000E1DE0"/>
    <w:rsid w:val="000E20EC"/>
    <w:rsid w:val="000E2738"/>
    <w:rsid w:val="000E3076"/>
    <w:rsid w:val="000E3212"/>
    <w:rsid w:val="000E3600"/>
    <w:rsid w:val="000E36F0"/>
    <w:rsid w:val="000E589E"/>
    <w:rsid w:val="000E5A89"/>
    <w:rsid w:val="000E5E4F"/>
    <w:rsid w:val="000E67B3"/>
    <w:rsid w:val="000E69F1"/>
    <w:rsid w:val="000E78A7"/>
    <w:rsid w:val="000F0756"/>
    <w:rsid w:val="000F1306"/>
    <w:rsid w:val="000F13A8"/>
    <w:rsid w:val="000F1527"/>
    <w:rsid w:val="000F24A4"/>
    <w:rsid w:val="000F291B"/>
    <w:rsid w:val="000F4570"/>
    <w:rsid w:val="000F4B7E"/>
    <w:rsid w:val="000F5436"/>
    <w:rsid w:val="000F563A"/>
    <w:rsid w:val="000F6B3B"/>
    <w:rsid w:val="000F6D16"/>
    <w:rsid w:val="000F778B"/>
    <w:rsid w:val="0010033A"/>
    <w:rsid w:val="00100B84"/>
    <w:rsid w:val="00102C69"/>
    <w:rsid w:val="001030E1"/>
    <w:rsid w:val="00104630"/>
    <w:rsid w:val="001053F8"/>
    <w:rsid w:val="0010579D"/>
    <w:rsid w:val="0010706A"/>
    <w:rsid w:val="001078CB"/>
    <w:rsid w:val="00107D8B"/>
    <w:rsid w:val="00110186"/>
    <w:rsid w:val="00110B92"/>
    <w:rsid w:val="00110F5A"/>
    <w:rsid w:val="0011123F"/>
    <w:rsid w:val="00111354"/>
    <w:rsid w:val="0011139C"/>
    <w:rsid w:val="00111A92"/>
    <w:rsid w:val="00111B25"/>
    <w:rsid w:val="00111CC2"/>
    <w:rsid w:val="00112C7C"/>
    <w:rsid w:val="00114F2E"/>
    <w:rsid w:val="00114F4F"/>
    <w:rsid w:val="001160B3"/>
    <w:rsid w:val="00116151"/>
    <w:rsid w:val="00116B5F"/>
    <w:rsid w:val="001171AF"/>
    <w:rsid w:val="00117B64"/>
    <w:rsid w:val="001201FD"/>
    <w:rsid w:val="001209C6"/>
    <w:rsid w:val="00120CB7"/>
    <w:rsid w:val="0012214E"/>
    <w:rsid w:val="00122F50"/>
    <w:rsid w:val="001231DD"/>
    <w:rsid w:val="001238DF"/>
    <w:rsid w:val="00124AF4"/>
    <w:rsid w:val="001253AE"/>
    <w:rsid w:val="0012568F"/>
    <w:rsid w:val="00126A12"/>
    <w:rsid w:val="00130291"/>
    <w:rsid w:val="001314A4"/>
    <w:rsid w:val="001315DE"/>
    <w:rsid w:val="00131AA6"/>
    <w:rsid w:val="00131BDE"/>
    <w:rsid w:val="00131F71"/>
    <w:rsid w:val="00132CF9"/>
    <w:rsid w:val="0013351C"/>
    <w:rsid w:val="00133736"/>
    <w:rsid w:val="00133B4E"/>
    <w:rsid w:val="00134A43"/>
    <w:rsid w:val="00134BE1"/>
    <w:rsid w:val="001351E5"/>
    <w:rsid w:val="001358AC"/>
    <w:rsid w:val="00135C81"/>
    <w:rsid w:val="00136DFF"/>
    <w:rsid w:val="00136F08"/>
    <w:rsid w:val="0013772C"/>
    <w:rsid w:val="00137F61"/>
    <w:rsid w:val="001427BE"/>
    <w:rsid w:val="00143DBD"/>
    <w:rsid w:val="00144D8E"/>
    <w:rsid w:val="0014512A"/>
    <w:rsid w:val="001453BE"/>
    <w:rsid w:val="001463A5"/>
    <w:rsid w:val="001466AD"/>
    <w:rsid w:val="00147E1C"/>
    <w:rsid w:val="00150A0F"/>
    <w:rsid w:val="00150EF5"/>
    <w:rsid w:val="001521B3"/>
    <w:rsid w:val="00152B80"/>
    <w:rsid w:val="00154822"/>
    <w:rsid w:val="0015635C"/>
    <w:rsid w:val="001563B4"/>
    <w:rsid w:val="001571B4"/>
    <w:rsid w:val="00157D94"/>
    <w:rsid w:val="00157F4A"/>
    <w:rsid w:val="00160763"/>
    <w:rsid w:val="00160857"/>
    <w:rsid w:val="001608BA"/>
    <w:rsid w:val="00160F84"/>
    <w:rsid w:val="00161541"/>
    <w:rsid w:val="00161B07"/>
    <w:rsid w:val="00161BE0"/>
    <w:rsid w:val="00162F34"/>
    <w:rsid w:val="00163C65"/>
    <w:rsid w:val="0016401D"/>
    <w:rsid w:val="0016425C"/>
    <w:rsid w:val="0016493E"/>
    <w:rsid w:val="00164D53"/>
    <w:rsid w:val="00164EF9"/>
    <w:rsid w:val="0016535A"/>
    <w:rsid w:val="00165640"/>
    <w:rsid w:val="00165CA9"/>
    <w:rsid w:val="00166725"/>
    <w:rsid w:val="00166B04"/>
    <w:rsid w:val="00167620"/>
    <w:rsid w:val="00170CEA"/>
    <w:rsid w:val="001714B2"/>
    <w:rsid w:val="00171F1F"/>
    <w:rsid w:val="00172A27"/>
    <w:rsid w:val="00173561"/>
    <w:rsid w:val="0017384E"/>
    <w:rsid w:val="00174019"/>
    <w:rsid w:val="00174204"/>
    <w:rsid w:val="0017430E"/>
    <w:rsid w:val="0017495C"/>
    <w:rsid w:val="00174E67"/>
    <w:rsid w:val="00175584"/>
    <w:rsid w:val="0017687D"/>
    <w:rsid w:val="00176C3D"/>
    <w:rsid w:val="00177003"/>
    <w:rsid w:val="0017775B"/>
    <w:rsid w:val="001806EB"/>
    <w:rsid w:val="00180A44"/>
    <w:rsid w:val="00180E81"/>
    <w:rsid w:val="001814AD"/>
    <w:rsid w:val="00183044"/>
    <w:rsid w:val="001842CE"/>
    <w:rsid w:val="00184348"/>
    <w:rsid w:val="00184362"/>
    <w:rsid w:val="001845E3"/>
    <w:rsid w:val="00185AE9"/>
    <w:rsid w:val="00186CD7"/>
    <w:rsid w:val="00187E12"/>
    <w:rsid w:val="00191759"/>
    <w:rsid w:val="0019208F"/>
    <w:rsid w:val="001921B1"/>
    <w:rsid w:val="00192D66"/>
    <w:rsid w:val="00192E0F"/>
    <w:rsid w:val="00193E9B"/>
    <w:rsid w:val="00195A42"/>
    <w:rsid w:val="001962F2"/>
    <w:rsid w:val="001A1040"/>
    <w:rsid w:val="001A23BC"/>
    <w:rsid w:val="001A2720"/>
    <w:rsid w:val="001A31FD"/>
    <w:rsid w:val="001A349C"/>
    <w:rsid w:val="001A4077"/>
    <w:rsid w:val="001A4116"/>
    <w:rsid w:val="001A44B3"/>
    <w:rsid w:val="001A451D"/>
    <w:rsid w:val="001A5A1C"/>
    <w:rsid w:val="001A60FB"/>
    <w:rsid w:val="001A6769"/>
    <w:rsid w:val="001A6951"/>
    <w:rsid w:val="001A6A48"/>
    <w:rsid w:val="001A712B"/>
    <w:rsid w:val="001A76C1"/>
    <w:rsid w:val="001B1F30"/>
    <w:rsid w:val="001B36B1"/>
    <w:rsid w:val="001B38EE"/>
    <w:rsid w:val="001B3959"/>
    <w:rsid w:val="001B3A9B"/>
    <w:rsid w:val="001B447C"/>
    <w:rsid w:val="001B576E"/>
    <w:rsid w:val="001B5E97"/>
    <w:rsid w:val="001B6488"/>
    <w:rsid w:val="001B69F1"/>
    <w:rsid w:val="001B6D11"/>
    <w:rsid w:val="001B78F7"/>
    <w:rsid w:val="001B7BA9"/>
    <w:rsid w:val="001B7F99"/>
    <w:rsid w:val="001C01A9"/>
    <w:rsid w:val="001C0B34"/>
    <w:rsid w:val="001C1820"/>
    <w:rsid w:val="001C1BE7"/>
    <w:rsid w:val="001C2309"/>
    <w:rsid w:val="001C3485"/>
    <w:rsid w:val="001C3F18"/>
    <w:rsid w:val="001C4493"/>
    <w:rsid w:val="001C4C45"/>
    <w:rsid w:val="001C6327"/>
    <w:rsid w:val="001C67E0"/>
    <w:rsid w:val="001C68F4"/>
    <w:rsid w:val="001C6EA1"/>
    <w:rsid w:val="001C7050"/>
    <w:rsid w:val="001C7146"/>
    <w:rsid w:val="001C727A"/>
    <w:rsid w:val="001C7445"/>
    <w:rsid w:val="001C7C39"/>
    <w:rsid w:val="001C7CFC"/>
    <w:rsid w:val="001C7FD7"/>
    <w:rsid w:val="001D04C6"/>
    <w:rsid w:val="001D0DB7"/>
    <w:rsid w:val="001D0E23"/>
    <w:rsid w:val="001D0E96"/>
    <w:rsid w:val="001D1409"/>
    <w:rsid w:val="001D1D1F"/>
    <w:rsid w:val="001D2667"/>
    <w:rsid w:val="001D31E2"/>
    <w:rsid w:val="001D38F4"/>
    <w:rsid w:val="001D4056"/>
    <w:rsid w:val="001D59BE"/>
    <w:rsid w:val="001D5BDA"/>
    <w:rsid w:val="001D6BBF"/>
    <w:rsid w:val="001D7235"/>
    <w:rsid w:val="001D79FD"/>
    <w:rsid w:val="001E0253"/>
    <w:rsid w:val="001E1DFB"/>
    <w:rsid w:val="001E20A3"/>
    <w:rsid w:val="001E2A59"/>
    <w:rsid w:val="001E40D5"/>
    <w:rsid w:val="001E48B6"/>
    <w:rsid w:val="001E4915"/>
    <w:rsid w:val="001E50A9"/>
    <w:rsid w:val="001E5800"/>
    <w:rsid w:val="001E6899"/>
    <w:rsid w:val="001E7355"/>
    <w:rsid w:val="001F0564"/>
    <w:rsid w:val="001F0B21"/>
    <w:rsid w:val="001F0C30"/>
    <w:rsid w:val="001F13A5"/>
    <w:rsid w:val="001F16F5"/>
    <w:rsid w:val="001F2A93"/>
    <w:rsid w:val="001F2BDF"/>
    <w:rsid w:val="001F38C5"/>
    <w:rsid w:val="001F3EE4"/>
    <w:rsid w:val="001F4A93"/>
    <w:rsid w:val="001F4ED7"/>
    <w:rsid w:val="001F52FD"/>
    <w:rsid w:val="001F63AF"/>
    <w:rsid w:val="001F6696"/>
    <w:rsid w:val="002003B1"/>
    <w:rsid w:val="002004B4"/>
    <w:rsid w:val="00200C35"/>
    <w:rsid w:val="00200CCB"/>
    <w:rsid w:val="002015F5"/>
    <w:rsid w:val="00201C37"/>
    <w:rsid w:val="002022E5"/>
    <w:rsid w:val="002033C4"/>
    <w:rsid w:val="002040EA"/>
    <w:rsid w:val="002054ED"/>
    <w:rsid w:val="00205644"/>
    <w:rsid w:val="00205B7A"/>
    <w:rsid w:val="00206585"/>
    <w:rsid w:val="00207697"/>
    <w:rsid w:val="0020773C"/>
    <w:rsid w:val="00212095"/>
    <w:rsid w:val="00213188"/>
    <w:rsid w:val="00215B21"/>
    <w:rsid w:val="00215E95"/>
    <w:rsid w:val="00216BA8"/>
    <w:rsid w:val="002173C4"/>
    <w:rsid w:val="00217E09"/>
    <w:rsid w:val="002221E6"/>
    <w:rsid w:val="0022225B"/>
    <w:rsid w:val="00222A35"/>
    <w:rsid w:val="00223553"/>
    <w:rsid w:val="002244AD"/>
    <w:rsid w:val="0022725C"/>
    <w:rsid w:val="00227D19"/>
    <w:rsid w:val="00231C40"/>
    <w:rsid w:val="00232372"/>
    <w:rsid w:val="00232DFE"/>
    <w:rsid w:val="00234B7A"/>
    <w:rsid w:val="00234D8E"/>
    <w:rsid w:val="00235261"/>
    <w:rsid w:val="00236DB4"/>
    <w:rsid w:val="00236FF8"/>
    <w:rsid w:val="00240153"/>
    <w:rsid w:val="00241099"/>
    <w:rsid w:val="002415D1"/>
    <w:rsid w:val="00241E41"/>
    <w:rsid w:val="00242542"/>
    <w:rsid w:val="002429D7"/>
    <w:rsid w:val="00242FE4"/>
    <w:rsid w:val="002447AF"/>
    <w:rsid w:val="00245A1D"/>
    <w:rsid w:val="00245DFF"/>
    <w:rsid w:val="0024624B"/>
    <w:rsid w:val="002465F2"/>
    <w:rsid w:val="00246678"/>
    <w:rsid w:val="00250340"/>
    <w:rsid w:val="0025046A"/>
    <w:rsid w:val="00250D5C"/>
    <w:rsid w:val="0025116E"/>
    <w:rsid w:val="002511A7"/>
    <w:rsid w:val="00251D3A"/>
    <w:rsid w:val="00252D98"/>
    <w:rsid w:val="0025390F"/>
    <w:rsid w:val="00253A9A"/>
    <w:rsid w:val="002543B8"/>
    <w:rsid w:val="002543EE"/>
    <w:rsid w:val="00254865"/>
    <w:rsid w:val="00254F8F"/>
    <w:rsid w:val="00255252"/>
    <w:rsid w:val="002556D3"/>
    <w:rsid w:val="00255B25"/>
    <w:rsid w:val="00255D7B"/>
    <w:rsid w:val="00256371"/>
    <w:rsid w:val="00257DF3"/>
    <w:rsid w:val="00261ADE"/>
    <w:rsid w:val="002623AB"/>
    <w:rsid w:val="002639D8"/>
    <w:rsid w:val="00263A20"/>
    <w:rsid w:val="00263E55"/>
    <w:rsid w:val="00265646"/>
    <w:rsid w:val="0026636F"/>
    <w:rsid w:val="0026651A"/>
    <w:rsid w:val="00266772"/>
    <w:rsid w:val="00266B90"/>
    <w:rsid w:val="002673E7"/>
    <w:rsid w:val="00267A47"/>
    <w:rsid w:val="00267BA0"/>
    <w:rsid w:val="00272FB6"/>
    <w:rsid w:val="002731E1"/>
    <w:rsid w:val="00273A5D"/>
    <w:rsid w:val="00273FB9"/>
    <w:rsid w:val="002752BA"/>
    <w:rsid w:val="00275667"/>
    <w:rsid w:val="0027682F"/>
    <w:rsid w:val="00276D33"/>
    <w:rsid w:val="0027760F"/>
    <w:rsid w:val="002776B3"/>
    <w:rsid w:val="002777BA"/>
    <w:rsid w:val="00277FCA"/>
    <w:rsid w:val="00280D0B"/>
    <w:rsid w:val="00282224"/>
    <w:rsid w:val="0028239F"/>
    <w:rsid w:val="002837AD"/>
    <w:rsid w:val="002844F8"/>
    <w:rsid w:val="00284AE1"/>
    <w:rsid w:val="00285132"/>
    <w:rsid w:val="002853F8"/>
    <w:rsid w:val="00285891"/>
    <w:rsid w:val="00285E45"/>
    <w:rsid w:val="00285FED"/>
    <w:rsid w:val="00286492"/>
    <w:rsid w:val="002875CA"/>
    <w:rsid w:val="00287955"/>
    <w:rsid w:val="00287FAD"/>
    <w:rsid w:val="002905D4"/>
    <w:rsid w:val="002909B3"/>
    <w:rsid w:val="00290DB3"/>
    <w:rsid w:val="00291690"/>
    <w:rsid w:val="00294706"/>
    <w:rsid w:val="00294BD1"/>
    <w:rsid w:val="00294BDC"/>
    <w:rsid w:val="00294D40"/>
    <w:rsid w:val="00295166"/>
    <w:rsid w:val="00295FD1"/>
    <w:rsid w:val="002960F4"/>
    <w:rsid w:val="00296125"/>
    <w:rsid w:val="00296D6D"/>
    <w:rsid w:val="002977C8"/>
    <w:rsid w:val="002A05F1"/>
    <w:rsid w:val="002A068B"/>
    <w:rsid w:val="002A0E2D"/>
    <w:rsid w:val="002A223B"/>
    <w:rsid w:val="002A224D"/>
    <w:rsid w:val="002A2703"/>
    <w:rsid w:val="002A312C"/>
    <w:rsid w:val="002A33F2"/>
    <w:rsid w:val="002A3DF7"/>
    <w:rsid w:val="002A4CA8"/>
    <w:rsid w:val="002A5A2B"/>
    <w:rsid w:val="002A5FB4"/>
    <w:rsid w:val="002A6092"/>
    <w:rsid w:val="002A62F0"/>
    <w:rsid w:val="002A7795"/>
    <w:rsid w:val="002B1B31"/>
    <w:rsid w:val="002B1F7B"/>
    <w:rsid w:val="002B2287"/>
    <w:rsid w:val="002B25CD"/>
    <w:rsid w:val="002B2BFC"/>
    <w:rsid w:val="002B2CDA"/>
    <w:rsid w:val="002B319D"/>
    <w:rsid w:val="002B4E59"/>
    <w:rsid w:val="002B5A3D"/>
    <w:rsid w:val="002B5ECE"/>
    <w:rsid w:val="002B6573"/>
    <w:rsid w:val="002B6649"/>
    <w:rsid w:val="002C0834"/>
    <w:rsid w:val="002C0942"/>
    <w:rsid w:val="002C17FD"/>
    <w:rsid w:val="002C1D5F"/>
    <w:rsid w:val="002C2494"/>
    <w:rsid w:val="002C271A"/>
    <w:rsid w:val="002C28D5"/>
    <w:rsid w:val="002C2D01"/>
    <w:rsid w:val="002C4C0A"/>
    <w:rsid w:val="002C5989"/>
    <w:rsid w:val="002C5A2C"/>
    <w:rsid w:val="002C5B04"/>
    <w:rsid w:val="002C5E2B"/>
    <w:rsid w:val="002C79B6"/>
    <w:rsid w:val="002D1298"/>
    <w:rsid w:val="002D2099"/>
    <w:rsid w:val="002D2349"/>
    <w:rsid w:val="002D24BC"/>
    <w:rsid w:val="002D28DB"/>
    <w:rsid w:val="002D3606"/>
    <w:rsid w:val="002D3F80"/>
    <w:rsid w:val="002D457A"/>
    <w:rsid w:val="002D48A6"/>
    <w:rsid w:val="002D5794"/>
    <w:rsid w:val="002D5A29"/>
    <w:rsid w:val="002D5B8E"/>
    <w:rsid w:val="002D7789"/>
    <w:rsid w:val="002E0086"/>
    <w:rsid w:val="002E04CF"/>
    <w:rsid w:val="002E05BA"/>
    <w:rsid w:val="002E0CF8"/>
    <w:rsid w:val="002E24D6"/>
    <w:rsid w:val="002E28A7"/>
    <w:rsid w:val="002E28B1"/>
    <w:rsid w:val="002E2BC3"/>
    <w:rsid w:val="002E54CC"/>
    <w:rsid w:val="002E5FD3"/>
    <w:rsid w:val="002E6C54"/>
    <w:rsid w:val="002E70DA"/>
    <w:rsid w:val="002E7D3F"/>
    <w:rsid w:val="002F0B7D"/>
    <w:rsid w:val="002F0E22"/>
    <w:rsid w:val="002F14ED"/>
    <w:rsid w:val="002F1513"/>
    <w:rsid w:val="002F155E"/>
    <w:rsid w:val="002F18A1"/>
    <w:rsid w:val="002F1ACC"/>
    <w:rsid w:val="002F25F9"/>
    <w:rsid w:val="002F2D18"/>
    <w:rsid w:val="002F2EE9"/>
    <w:rsid w:val="002F33DE"/>
    <w:rsid w:val="002F3E4C"/>
    <w:rsid w:val="002F4074"/>
    <w:rsid w:val="002F4156"/>
    <w:rsid w:val="002F44D5"/>
    <w:rsid w:val="002F47DA"/>
    <w:rsid w:val="002F4EB1"/>
    <w:rsid w:val="002F5C26"/>
    <w:rsid w:val="002F75D4"/>
    <w:rsid w:val="003027F4"/>
    <w:rsid w:val="00302C9F"/>
    <w:rsid w:val="0030381D"/>
    <w:rsid w:val="00304D4D"/>
    <w:rsid w:val="00305D0A"/>
    <w:rsid w:val="00305DF7"/>
    <w:rsid w:val="00305EAF"/>
    <w:rsid w:val="00306209"/>
    <w:rsid w:val="00306A1E"/>
    <w:rsid w:val="00307216"/>
    <w:rsid w:val="00307C8E"/>
    <w:rsid w:val="0031049A"/>
    <w:rsid w:val="00310867"/>
    <w:rsid w:val="00310D48"/>
    <w:rsid w:val="00310F8E"/>
    <w:rsid w:val="0031121E"/>
    <w:rsid w:val="00311229"/>
    <w:rsid w:val="003115C8"/>
    <w:rsid w:val="00312C35"/>
    <w:rsid w:val="00313762"/>
    <w:rsid w:val="00313881"/>
    <w:rsid w:val="00313A65"/>
    <w:rsid w:val="003151BE"/>
    <w:rsid w:val="00315407"/>
    <w:rsid w:val="00315B0B"/>
    <w:rsid w:val="00315CA8"/>
    <w:rsid w:val="00316B69"/>
    <w:rsid w:val="00316BEC"/>
    <w:rsid w:val="00317510"/>
    <w:rsid w:val="003209A9"/>
    <w:rsid w:val="003227B7"/>
    <w:rsid w:val="0032334E"/>
    <w:rsid w:val="003233DE"/>
    <w:rsid w:val="00323972"/>
    <w:rsid w:val="00323E46"/>
    <w:rsid w:val="003242D5"/>
    <w:rsid w:val="003246BD"/>
    <w:rsid w:val="00324D9F"/>
    <w:rsid w:val="0032652F"/>
    <w:rsid w:val="00326D4E"/>
    <w:rsid w:val="00327B91"/>
    <w:rsid w:val="00330146"/>
    <w:rsid w:val="00330297"/>
    <w:rsid w:val="00331045"/>
    <w:rsid w:val="0033267E"/>
    <w:rsid w:val="00333037"/>
    <w:rsid w:val="00333BC7"/>
    <w:rsid w:val="003343E5"/>
    <w:rsid w:val="0033463F"/>
    <w:rsid w:val="00334BD0"/>
    <w:rsid w:val="00334DB4"/>
    <w:rsid w:val="00335B4E"/>
    <w:rsid w:val="00335D7F"/>
    <w:rsid w:val="00336095"/>
    <w:rsid w:val="00336D81"/>
    <w:rsid w:val="0033756A"/>
    <w:rsid w:val="00340068"/>
    <w:rsid w:val="00340562"/>
    <w:rsid w:val="00341378"/>
    <w:rsid w:val="003415D9"/>
    <w:rsid w:val="00341AD1"/>
    <w:rsid w:val="00341C12"/>
    <w:rsid w:val="00341EF2"/>
    <w:rsid w:val="00343134"/>
    <w:rsid w:val="003432B4"/>
    <w:rsid w:val="00343478"/>
    <w:rsid w:val="003444C7"/>
    <w:rsid w:val="003445B9"/>
    <w:rsid w:val="003453D0"/>
    <w:rsid w:val="00345449"/>
    <w:rsid w:val="00345CF8"/>
    <w:rsid w:val="00345DAD"/>
    <w:rsid w:val="00346160"/>
    <w:rsid w:val="003476AB"/>
    <w:rsid w:val="003479F1"/>
    <w:rsid w:val="00347B9F"/>
    <w:rsid w:val="0035020B"/>
    <w:rsid w:val="0035037E"/>
    <w:rsid w:val="003505C4"/>
    <w:rsid w:val="0035096C"/>
    <w:rsid w:val="0035125E"/>
    <w:rsid w:val="00352057"/>
    <w:rsid w:val="0035340F"/>
    <w:rsid w:val="00353435"/>
    <w:rsid w:val="0035358D"/>
    <w:rsid w:val="00353A66"/>
    <w:rsid w:val="00354051"/>
    <w:rsid w:val="00354F7B"/>
    <w:rsid w:val="00356005"/>
    <w:rsid w:val="00357B3B"/>
    <w:rsid w:val="00357D26"/>
    <w:rsid w:val="00360A70"/>
    <w:rsid w:val="00360BDA"/>
    <w:rsid w:val="00360C86"/>
    <w:rsid w:val="00361001"/>
    <w:rsid w:val="00361257"/>
    <w:rsid w:val="003615F8"/>
    <w:rsid w:val="00362B89"/>
    <w:rsid w:val="00363BBE"/>
    <w:rsid w:val="00363FCA"/>
    <w:rsid w:val="00364404"/>
    <w:rsid w:val="00364D2F"/>
    <w:rsid w:val="0036513C"/>
    <w:rsid w:val="00365953"/>
    <w:rsid w:val="0036601E"/>
    <w:rsid w:val="0036637F"/>
    <w:rsid w:val="00366488"/>
    <w:rsid w:val="003668E3"/>
    <w:rsid w:val="00370370"/>
    <w:rsid w:val="003710BA"/>
    <w:rsid w:val="003719D2"/>
    <w:rsid w:val="00371A0A"/>
    <w:rsid w:val="00371A0F"/>
    <w:rsid w:val="003720E9"/>
    <w:rsid w:val="0037286B"/>
    <w:rsid w:val="00372FF5"/>
    <w:rsid w:val="003736E5"/>
    <w:rsid w:val="00373742"/>
    <w:rsid w:val="003742BC"/>
    <w:rsid w:val="0037454F"/>
    <w:rsid w:val="00375F04"/>
    <w:rsid w:val="003776A5"/>
    <w:rsid w:val="003778E8"/>
    <w:rsid w:val="00377EDF"/>
    <w:rsid w:val="0038030B"/>
    <w:rsid w:val="00380979"/>
    <w:rsid w:val="00381770"/>
    <w:rsid w:val="00382196"/>
    <w:rsid w:val="00382BE9"/>
    <w:rsid w:val="0038302F"/>
    <w:rsid w:val="00383E8E"/>
    <w:rsid w:val="003868B3"/>
    <w:rsid w:val="00386D51"/>
    <w:rsid w:val="003879D9"/>
    <w:rsid w:val="00387F6B"/>
    <w:rsid w:val="0039036E"/>
    <w:rsid w:val="00392CB8"/>
    <w:rsid w:val="00392EFA"/>
    <w:rsid w:val="00392F2B"/>
    <w:rsid w:val="003930CE"/>
    <w:rsid w:val="00393349"/>
    <w:rsid w:val="00393A35"/>
    <w:rsid w:val="00393B59"/>
    <w:rsid w:val="00393E67"/>
    <w:rsid w:val="003946DC"/>
    <w:rsid w:val="00394D5A"/>
    <w:rsid w:val="00395BB9"/>
    <w:rsid w:val="00397CDE"/>
    <w:rsid w:val="00397F3B"/>
    <w:rsid w:val="003A0477"/>
    <w:rsid w:val="003A056C"/>
    <w:rsid w:val="003A1106"/>
    <w:rsid w:val="003A18AF"/>
    <w:rsid w:val="003A19EA"/>
    <w:rsid w:val="003A1BF6"/>
    <w:rsid w:val="003A2A45"/>
    <w:rsid w:val="003A332C"/>
    <w:rsid w:val="003A36CF"/>
    <w:rsid w:val="003A476F"/>
    <w:rsid w:val="003A527A"/>
    <w:rsid w:val="003A5DC9"/>
    <w:rsid w:val="003A6313"/>
    <w:rsid w:val="003A6AB3"/>
    <w:rsid w:val="003A6BA3"/>
    <w:rsid w:val="003A6C9A"/>
    <w:rsid w:val="003A6F0E"/>
    <w:rsid w:val="003A73F0"/>
    <w:rsid w:val="003A787E"/>
    <w:rsid w:val="003B0290"/>
    <w:rsid w:val="003B0C91"/>
    <w:rsid w:val="003B120B"/>
    <w:rsid w:val="003B1C2F"/>
    <w:rsid w:val="003B217D"/>
    <w:rsid w:val="003B222C"/>
    <w:rsid w:val="003B234D"/>
    <w:rsid w:val="003B3A36"/>
    <w:rsid w:val="003B3BBC"/>
    <w:rsid w:val="003B3BEA"/>
    <w:rsid w:val="003B41C8"/>
    <w:rsid w:val="003B4673"/>
    <w:rsid w:val="003B4C94"/>
    <w:rsid w:val="003B6334"/>
    <w:rsid w:val="003B6D0F"/>
    <w:rsid w:val="003B7DFD"/>
    <w:rsid w:val="003C0404"/>
    <w:rsid w:val="003C21E8"/>
    <w:rsid w:val="003C2785"/>
    <w:rsid w:val="003C2C03"/>
    <w:rsid w:val="003C3388"/>
    <w:rsid w:val="003C4267"/>
    <w:rsid w:val="003C4728"/>
    <w:rsid w:val="003C4E2E"/>
    <w:rsid w:val="003C54D1"/>
    <w:rsid w:val="003C692B"/>
    <w:rsid w:val="003C79AE"/>
    <w:rsid w:val="003C7B52"/>
    <w:rsid w:val="003D00D8"/>
    <w:rsid w:val="003D056D"/>
    <w:rsid w:val="003D0A99"/>
    <w:rsid w:val="003D1253"/>
    <w:rsid w:val="003D2B74"/>
    <w:rsid w:val="003D4168"/>
    <w:rsid w:val="003D4269"/>
    <w:rsid w:val="003D48AD"/>
    <w:rsid w:val="003D4EEC"/>
    <w:rsid w:val="003D5380"/>
    <w:rsid w:val="003D5EAB"/>
    <w:rsid w:val="003D6E30"/>
    <w:rsid w:val="003D7048"/>
    <w:rsid w:val="003D7512"/>
    <w:rsid w:val="003D7FEC"/>
    <w:rsid w:val="003E0966"/>
    <w:rsid w:val="003E25F1"/>
    <w:rsid w:val="003E2D14"/>
    <w:rsid w:val="003E3081"/>
    <w:rsid w:val="003E399C"/>
    <w:rsid w:val="003E4FDF"/>
    <w:rsid w:val="003E52EA"/>
    <w:rsid w:val="003E53AF"/>
    <w:rsid w:val="003E5BB3"/>
    <w:rsid w:val="003E6073"/>
    <w:rsid w:val="003E720F"/>
    <w:rsid w:val="003E7DBF"/>
    <w:rsid w:val="003F0AAE"/>
    <w:rsid w:val="003F0C32"/>
    <w:rsid w:val="003F0C5D"/>
    <w:rsid w:val="003F0D1D"/>
    <w:rsid w:val="003F141B"/>
    <w:rsid w:val="003F16D9"/>
    <w:rsid w:val="003F1724"/>
    <w:rsid w:val="003F1B47"/>
    <w:rsid w:val="003F24A8"/>
    <w:rsid w:val="003F262E"/>
    <w:rsid w:val="003F31B0"/>
    <w:rsid w:val="003F43BF"/>
    <w:rsid w:val="003F46B6"/>
    <w:rsid w:val="003F4F5B"/>
    <w:rsid w:val="003F5546"/>
    <w:rsid w:val="003F6045"/>
    <w:rsid w:val="003F65CA"/>
    <w:rsid w:val="003F78DD"/>
    <w:rsid w:val="003F79D1"/>
    <w:rsid w:val="00401533"/>
    <w:rsid w:val="00401BD6"/>
    <w:rsid w:val="004028DB"/>
    <w:rsid w:val="004038D5"/>
    <w:rsid w:val="0040440B"/>
    <w:rsid w:val="0040511E"/>
    <w:rsid w:val="00405256"/>
    <w:rsid w:val="004058FE"/>
    <w:rsid w:val="00405C40"/>
    <w:rsid w:val="00405C96"/>
    <w:rsid w:val="004070D4"/>
    <w:rsid w:val="00407EFD"/>
    <w:rsid w:val="004105BE"/>
    <w:rsid w:val="004106AB"/>
    <w:rsid w:val="00410A79"/>
    <w:rsid w:val="004110F4"/>
    <w:rsid w:val="00411BA0"/>
    <w:rsid w:val="00412780"/>
    <w:rsid w:val="004128AB"/>
    <w:rsid w:val="00413105"/>
    <w:rsid w:val="00414248"/>
    <w:rsid w:val="004150B7"/>
    <w:rsid w:val="00415923"/>
    <w:rsid w:val="004163E8"/>
    <w:rsid w:val="00416945"/>
    <w:rsid w:val="00416F51"/>
    <w:rsid w:val="00417BC8"/>
    <w:rsid w:val="004202DF"/>
    <w:rsid w:val="00420698"/>
    <w:rsid w:val="00420D54"/>
    <w:rsid w:val="004212CC"/>
    <w:rsid w:val="004215EB"/>
    <w:rsid w:val="00422D79"/>
    <w:rsid w:val="00422E3F"/>
    <w:rsid w:val="00424A47"/>
    <w:rsid w:val="00424FF1"/>
    <w:rsid w:val="004262F8"/>
    <w:rsid w:val="0043040E"/>
    <w:rsid w:val="00430767"/>
    <w:rsid w:val="0043173C"/>
    <w:rsid w:val="00431BB7"/>
    <w:rsid w:val="004324EF"/>
    <w:rsid w:val="0043291A"/>
    <w:rsid w:val="004335B3"/>
    <w:rsid w:val="00433864"/>
    <w:rsid w:val="00435880"/>
    <w:rsid w:val="00435BDA"/>
    <w:rsid w:val="00435EC6"/>
    <w:rsid w:val="004368A8"/>
    <w:rsid w:val="00436B75"/>
    <w:rsid w:val="00437168"/>
    <w:rsid w:val="004375B5"/>
    <w:rsid w:val="00437B15"/>
    <w:rsid w:val="00437F93"/>
    <w:rsid w:val="004404CE"/>
    <w:rsid w:val="00441747"/>
    <w:rsid w:val="004417EE"/>
    <w:rsid w:val="00442342"/>
    <w:rsid w:val="00442EC2"/>
    <w:rsid w:val="00443903"/>
    <w:rsid w:val="00443DA1"/>
    <w:rsid w:val="0044411D"/>
    <w:rsid w:val="004444F1"/>
    <w:rsid w:val="00444800"/>
    <w:rsid w:val="0044544E"/>
    <w:rsid w:val="00445725"/>
    <w:rsid w:val="00446415"/>
    <w:rsid w:val="004467FF"/>
    <w:rsid w:val="00446F04"/>
    <w:rsid w:val="004471C5"/>
    <w:rsid w:val="00447506"/>
    <w:rsid w:val="004479EC"/>
    <w:rsid w:val="00447B43"/>
    <w:rsid w:val="0045056E"/>
    <w:rsid w:val="00450720"/>
    <w:rsid w:val="0045264A"/>
    <w:rsid w:val="00453497"/>
    <w:rsid w:val="004539F6"/>
    <w:rsid w:val="00453E24"/>
    <w:rsid w:val="00454B2D"/>
    <w:rsid w:val="0045613F"/>
    <w:rsid w:val="004562E1"/>
    <w:rsid w:val="00457769"/>
    <w:rsid w:val="0046010F"/>
    <w:rsid w:val="004601D3"/>
    <w:rsid w:val="004610F6"/>
    <w:rsid w:val="00461159"/>
    <w:rsid w:val="00461ED2"/>
    <w:rsid w:val="0046264A"/>
    <w:rsid w:val="00462B04"/>
    <w:rsid w:val="00462D53"/>
    <w:rsid w:val="00462F78"/>
    <w:rsid w:val="004638E2"/>
    <w:rsid w:val="0046421E"/>
    <w:rsid w:val="00464619"/>
    <w:rsid w:val="00464A46"/>
    <w:rsid w:val="0046537B"/>
    <w:rsid w:val="004664E7"/>
    <w:rsid w:val="0046760F"/>
    <w:rsid w:val="00467F91"/>
    <w:rsid w:val="00470581"/>
    <w:rsid w:val="004705A9"/>
    <w:rsid w:val="00470A80"/>
    <w:rsid w:val="00470AC8"/>
    <w:rsid w:val="004711F7"/>
    <w:rsid w:val="0047179F"/>
    <w:rsid w:val="0047183C"/>
    <w:rsid w:val="00471BFA"/>
    <w:rsid w:val="004723A7"/>
    <w:rsid w:val="00475D36"/>
    <w:rsid w:val="00477095"/>
    <w:rsid w:val="004774E3"/>
    <w:rsid w:val="00481F38"/>
    <w:rsid w:val="00481F3F"/>
    <w:rsid w:val="0048224E"/>
    <w:rsid w:val="00482269"/>
    <w:rsid w:val="00482ED5"/>
    <w:rsid w:val="0048375A"/>
    <w:rsid w:val="004847E8"/>
    <w:rsid w:val="00484CC6"/>
    <w:rsid w:val="00484FD5"/>
    <w:rsid w:val="004858D6"/>
    <w:rsid w:val="004859C3"/>
    <w:rsid w:val="00486B40"/>
    <w:rsid w:val="00486FA7"/>
    <w:rsid w:val="004901C0"/>
    <w:rsid w:val="00491040"/>
    <w:rsid w:val="00491A73"/>
    <w:rsid w:val="0049337C"/>
    <w:rsid w:val="00493501"/>
    <w:rsid w:val="00493C9B"/>
    <w:rsid w:val="00494AB5"/>
    <w:rsid w:val="00495096"/>
    <w:rsid w:val="00495A3B"/>
    <w:rsid w:val="00496328"/>
    <w:rsid w:val="00497D89"/>
    <w:rsid w:val="004A0883"/>
    <w:rsid w:val="004A16C8"/>
    <w:rsid w:val="004A23F2"/>
    <w:rsid w:val="004A241E"/>
    <w:rsid w:val="004A4760"/>
    <w:rsid w:val="004A47C1"/>
    <w:rsid w:val="004A4A41"/>
    <w:rsid w:val="004A51DB"/>
    <w:rsid w:val="004A5233"/>
    <w:rsid w:val="004A5E66"/>
    <w:rsid w:val="004A7771"/>
    <w:rsid w:val="004B056A"/>
    <w:rsid w:val="004B06AD"/>
    <w:rsid w:val="004B209E"/>
    <w:rsid w:val="004B281F"/>
    <w:rsid w:val="004B2953"/>
    <w:rsid w:val="004B4096"/>
    <w:rsid w:val="004B42A1"/>
    <w:rsid w:val="004B43DC"/>
    <w:rsid w:val="004B4BA3"/>
    <w:rsid w:val="004B58B6"/>
    <w:rsid w:val="004B6030"/>
    <w:rsid w:val="004B66A4"/>
    <w:rsid w:val="004C0343"/>
    <w:rsid w:val="004C077A"/>
    <w:rsid w:val="004C1E4C"/>
    <w:rsid w:val="004C22EF"/>
    <w:rsid w:val="004C22F7"/>
    <w:rsid w:val="004C25F5"/>
    <w:rsid w:val="004C2E37"/>
    <w:rsid w:val="004C39F1"/>
    <w:rsid w:val="004C3D10"/>
    <w:rsid w:val="004C3F41"/>
    <w:rsid w:val="004C4700"/>
    <w:rsid w:val="004C492E"/>
    <w:rsid w:val="004C5A56"/>
    <w:rsid w:val="004C65A1"/>
    <w:rsid w:val="004C6E35"/>
    <w:rsid w:val="004C6FD8"/>
    <w:rsid w:val="004C7D44"/>
    <w:rsid w:val="004D029F"/>
    <w:rsid w:val="004D1131"/>
    <w:rsid w:val="004D15E2"/>
    <w:rsid w:val="004D39F4"/>
    <w:rsid w:val="004D3ED0"/>
    <w:rsid w:val="004D4215"/>
    <w:rsid w:val="004D4676"/>
    <w:rsid w:val="004D5E09"/>
    <w:rsid w:val="004D6816"/>
    <w:rsid w:val="004E223E"/>
    <w:rsid w:val="004E24C7"/>
    <w:rsid w:val="004E3632"/>
    <w:rsid w:val="004E3EE1"/>
    <w:rsid w:val="004E43A4"/>
    <w:rsid w:val="004E44C8"/>
    <w:rsid w:val="004E6041"/>
    <w:rsid w:val="004F02B3"/>
    <w:rsid w:val="004F0424"/>
    <w:rsid w:val="004F0EDE"/>
    <w:rsid w:val="004F14A1"/>
    <w:rsid w:val="004F2201"/>
    <w:rsid w:val="004F2C06"/>
    <w:rsid w:val="004F3C2B"/>
    <w:rsid w:val="004F425C"/>
    <w:rsid w:val="004F47E7"/>
    <w:rsid w:val="004F4801"/>
    <w:rsid w:val="004F5592"/>
    <w:rsid w:val="004F5B5D"/>
    <w:rsid w:val="004F6532"/>
    <w:rsid w:val="004F6D80"/>
    <w:rsid w:val="004F70A0"/>
    <w:rsid w:val="004F7152"/>
    <w:rsid w:val="004F7662"/>
    <w:rsid w:val="004F776D"/>
    <w:rsid w:val="0050019F"/>
    <w:rsid w:val="005007FE"/>
    <w:rsid w:val="00500930"/>
    <w:rsid w:val="00500AE1"/>
    <w:rsid w:val="0050117B"/>
    <w:rsid w:val="0050120A"/>
    <w:rsid w:val="00502720"/>
    <w:rsid w:val="00503CC4"/>
    <w:rsid w:val="00504E30"/>
    <w:rsid w:val="00504E50"/>
    <w:rsid w:val="00504F53"/>
    <w:rsid w:val="00506465"/>
    <w:rsid w:val="0050671E"/>
    <w:rsid w:val="00506C55"/>
    <w:rsid w:val="00506C6C"/>
    <w:rsid w:val="00507373"/>
    <w:rsid w:val="00507388"/>
    <w:rsid w:val="00510B98"/>
    <w:rsid w:val="0051201E"/>
    <w:rsid w:val="00512505"/>
    <w:rsid w:val="00512E6A"/>
    <w:rsid w:val="00513296"/>
    <w:rsid w:val="00513C0D"/>
    <w:rsid w:val="00514D1E"/>
    <w:rsid w:val="00515570"/>
    <w:rsid w:val="005164DC"/>
    <w:rsid w:val="005166CF"/>
    <w:rsid w:val="00517E27"/>
    <w:rsid w:val="00520545"/>
    <w:rsid w:val="005222BF"/>
    <w:rsid w:val="005223B3"/>
    <w:rsid w:val="0052573F"/>
    <w:rsid w:val="0052687B"/>
    <w:rsid w:val="005269EE"/>
    <w:rsid w:val="00526C85"/>
    <w:rsid w:val="00526E76"/>
    <w:rsid w:val="00526FF2"/>
    <w:rsid w:val="00527E2D"/>
    <w:rsid w:val="00530559"/>
    <w:rsid w:val="005306E1"/>
    <w:rsid w:val="00531AA4"/>
    <w:rsid w:val="0053257A"/>
    <w:rsid w:val="00533C22"/>
    <w:rsid w:val="00534878"/>
    <w:rsid w:val="005355AB"/>
    <w:rsid w:val="00536058"/>
    <w:rsid w:val="005360B0"/>
    <w:rsid w:val="00537049"/>
    <w:rsid w:val="005374E0"/>
    <w:rsid w:val="00537D76"/>
    <w:rsid w:val="005405C6"/>
    <w:rsid w:val="005412CC"/>
    <w:rsid w:val="00541977"/>
    <w:rsid w:val="00542525"/>
    <w:rsid w:val="00542A48"/>
    <w:rsid w:val="00544F06"/>
    <w:rsid w:val="00546521"/>
    <w:rsid w:val="00546AB1"/>
    <w:rsid w:val="00546C12"/>
    <w:rsid w:val="00550ADD"/>
    <w:rsid w:val="005511DD"/>
    <w:rsid w:val="00553461"/>
    <w:rsid w:val="005539AC"/>
    <w:rsid w:val="00553FA9"/>
    <w:rsid w:val="00554FFD"/>
    <w:rsid w:val="005552CE"/>
    <w:rsid w:val="005557F0"/>
    <w:rsid w:val="00555E66"/>
    <w:rsid w:val="00555F10"/>
    <w:rsid w:val="005563C7"/>
    <w:rsid w:val="005570D8"/>
    <w:rsid w:val="00557E9B"/>
    <w:rsid w:val="005600FB"/>
    <w:rsid w:val="00561C03"/>
    <w:rsid w:val="00562FB8"/>
    <w:rsid w:val="005634E8"/>
    <w:rsid w:val="00563DCB"/>
    <w:rsid w:val="0056451A"/>
    <w:rsid w:val="00564529"/>
    <w:rsid w:val="0056536F"/>
    <w:rsid w:val="0056682F"/>
    <w:rsid w:val="00566AA3"/>
    <w:rsid w:val="00567CC4"/>
    <w:rsid w:val="00570E82"/>
    <w:rsid w:val="005739C4"/>
    <w:rsid w:val="00573B66"/>
    <w:rsid w:val="00574E54"/>
    <w:rsid w:val="00574F72"/>
    <w:rsid w:val="00576AAC"/>
    <w:rsid w:val="00576FB4"/>
    <w:rsid w:val="00577B0F"/>
    <w:rsid w:val="00580113"/>
    <w:rsid w:val="005803E4"/>
    <w:rsid w:val="00582240"/>
    <w:rsid w:val="005846AD"/>
    <w:rsid w:val="00584BCC"/>
    <w:rsid w:val="00586511"/>
    <w:rsid w:val="00586C63"/>
    <w:rsid w:val="005871C7"/>
    <w:rsid w:val="00587943"/>
    <w:rsid w:val="00587B98"/>
    <w:rsid w:val="00587BE0"/>
    <w:rsid w:val="00590216"/>
    <w:rsid w:val="00590D6A"/>
    <w:rsid w:val="00590F95"/>
    <w:rsid w:val="00591A6F"/>
    <w:rsid w:val="00591C50"/>
    <w:rsid w:val="00594E07"/>
    <w:rsid w:val="00595D0B"/>
    <w:rsid w:val="00596F12"/>
    <w:rsid w:val="00597158"/>
    <w:rsid w:val="00597384"/>
    <w:rsid w:val="00597BA4"/>
    <w:rsid w:val="005A0116"/>
    <w:rsid w:val="005A1095"/>
    <w:rsid w:val="005A27B9"/>
    <w:rsid w:val="005A350A"/>
    <w:rsid w:val="005A4B88"/>
    <w:rsid w:val="005A5F88"/>
    <w:rsid w:val="005A71B4"/>
    <w:rsid w:val="005B0F08"/>
    <w:rsid w:val="005B16F2"/>
    <w:rsid w:val="005B1B3F"/>
    <w:rsid w:val="005B20A1"/>
    <w:rsid w:val="005B2336"/>
    <w:rsid w:val="005B2DC7"/>
    <w:rsid w:val="005B3A77"/>
    <w:rsid w:val="005B3E0E"/>
    <w:rsid w:val="005B3E75"/>
    <w:rsid w:val="005B53A9"/>
    <w:rsid w:val="005B605A"/>
    <w:rsid w:val="005B6BE4"/>
    <w:rsid w:val="005B6C9D"/>
    <w:rsid w:val="005B6CFB"/>
    <w:rsid w:val="005B7E92"/>
    <w:rsid w:val="005C0060"/>
    <w:rsid w:val="005C01B3"/>
    <w:rsid w:val="005C03D8"/>
    <w:rsid w:val="005C0CAB"/>
    <w:rsid w:val="005C0D30"/>
    <w:rsid w:val="005C1B0D"/>
    <w:rsid w:val="005C1EEC"/>
    <w:rsid w:val="005C239B"/>
    <w:rsid w:val="005C2410"/>
    <w:rsid w:val="005C2EA1"/>
    <w:rsid w:val="005C31D2"/>
    <w:rsid w:val="005C3572"/>
    <w:rsid w:val="005C50BA"/>
    <w:rsid w:val="005C574C"/>
    <w:rsid w:val="005C5B42"/>
    <w:rsid w:val="005C6147"/>
    <w:rsid w:val="005C6215"/>
    <w:rsid w:val="005C6E6A"/>
    <w:rsid w:val="005C71F3"/>
    <w:rsid w:val="005C7CA4"/>
    <w:rsid w:val="005D04E1"/>
    <w:rsid w:val="005D083C"/>
    <w:rsid w:val="005D136F"/>
    <w:rsid w:val="005D1460"/>
    <w:rsid w:val="005D1512"/>
    <w:rsid w:val="005D29E3"/>
    <w:rsid w:val="005D3088"/>
    <w:rsid w:val="005D3274"/>
    <w:rsid w:val="005D38C4"/>
    <w:rsid w:val="005D3CFF"/>
    <w:rsid w:val="005D4B9C"/>
    <w:rsid w:val="005D6BC2"/>
    <w:rsid w:val="005D7BC0"/>
    <w:rsid w:val="005E00E7"/>
    <w:rsid w:val="005E0327"/>
    <w:rsid w:val="005E0B08"/>
    <w:rsid w:val="005E0D7B"/>
    <w:rsid w:val="005E1BF4"/>
    <w:rsid w:val="005E1CDD"/>
    <w:rsid w:val="005E28DE"/>
    <w:rsid w:val="005E2905"/>
    <w:rsid w:val="005E3A37"/>
    <w:rsid w:val="005E3FA8"/>
    <w:rsid w:val="005E4C80"/>
    <w:rsid w:val="005E52E4"/>
    <w:rsid w:val="005E5842"/>
    <w:rsid w:val="005E5DA7"/>
    <w:rsid w:val="005E6D62"/>
    <w:rsid w:val="005E7380"/>
    <w:rsid w:val="005E7DDD"/>
    <w:rsid w:val="005F07A5"/>
    <w:rsid w:val="005F0D4B"/>
    <w:rsid w:val="005F14E1"/>
    <w:rsid w:val="005F233B"/>
    <w:rsid w:val="005F293B"/>
    <w:rsid w:val="005F4271"/>
    <w:rsid w:val="005F4659"/>
    <w:rsid w:val="005F5FBE"/>
    <w:rsid w:val="005F65DC"/>
    <w:rsid w:val="005F6946"/>
    <w:rsid w:val="005F6CA2"/>
    <w:rsid w:val="005F6DAA"/>
    <w:rsid w:val="005F71BD"/>
    <w:rsid w:val="00600156"/>
    <w:rsid w:val="00600296"/>
    <w:rsid w:val="00600565"/>
    <w:rsid w:val="00600A8D"/>
    <w:rsid w:val="00601440"/>
    <w:rsid w:val="00601B34"/>
    <w:rsid w:val="00601B98"/>
    <w:rsid w:val="006027CE"/>
    <w:rsid w:val="00602F30"/>
    <w:rsid w:val="006034D4"/>
    <w:rsid w:val="00603EB5"/>
    <w:rsid w:val="00604AF9"/>
    <w:rsid w:val="00604C08"/>
    <w:rsid w:val="006069C2"/>
    <w:rsid w:val="00607127"/>
    <w:rsid w:val="00610229"/>
    <w:rsid w:val="00610B61"/>
    <w:rsid w:val="0061105A"/>
    <w:rsid w:val="0061148D"/>
    <w:rsid w:val="00611C39"/>
    <w:rsid w:val="00611EE6"/>
    <w:rsid w:val="00612194"/>
    <w:rsid w:val="00612431"/>
    <w:rsid w:val="00612927"/>
    <w:rsid w:val="00613047"/>
    <w:rsid w:val="0061374D"/>
    <w:rsid w:val="00615CFA"/>
    <w:rsid w:val="00621595"/>
    <w:rsid w:val="00622E65"/>
    <w:rsid w:val="00623C95"/>
    <w:rsid w:val="006258A8"/>
    <w:rsid w:val="0062595B"/>
    <w:rsid w:val="0063093B"/>
    <w:rsid w:val="0063095A"/>
    <w:rsid w:val="006312C8"/>
    <w:rsid w:val="00631A15"/>
    <w:rsid w:val="006320D9"/>
    <w:rsid w:val="00633718"/>
    <w:rsid w:val="00634048"/>
    <w:rsid w:val="00635084"/>
    <w:rsid w:val="00635327"/>
    <w:rsid w:val="00635761"/>
    <w:rsid w:val="006362AA"/>
    <w:rsid w:val="00637826"/>
    <w:rsid w:val="0064008A"/>
    <w:rsid w:val="006411D6"/>
    <w:rsid w:val="0064123D"/>
    <w:rsid w:val="00641884"/>
    <w:rsid w:val="00641A63"/>
    <w:rsid w:val="00643F2E"/>
    <w:rsid w:val="00645502"/>
    <w:rsid w:val="006465F8"/>
    <w:rsid w:val="006468AA"/>
    <w:rsid w:val="00646BD8"/>
    <w:rsid w:val="00650DBE"/>
    <w:rsid w:val="006514D4"/>
    <w:rsid w:val="0065192D"/>
    <w:rsid w:val="00651EED"/>
    <w:rsid w:val="0065263E"/>
    <w:rsid w:val="00652C26"/>
    <w:rsid w:val="0065319B"/>
    <w:rsid w:val="00653E6C"/>
    <w:rsid w:val="00654F7B"/>
    <w:rsid w:val="00655E10"/>
    <w:rsid w:val="0065720C"/>
    <w:rsid w:val="006578DF"/>
    <w:rsid w:val="00657B28"/>
    <w:rsid w:val="00661612"/>
    <w:rsid w:val="00662284"/>
    <w:rsid w:val="0066287E"/>
    <w:rsid w:val="00663EDD"/>
    <w:rsid w:val="006641F1"/>
    <w:rsid w:val="00664ADC"/>
    <w:rsid w:val="00665F05"/>
    <w:rsid w:val="00666366"/>
    <w:rsid w:val="006663DA"/>
    <w:rsid w:val="006665B3"/>
    <w:rsid w:val="00666BF8"/>
    <w:rsid w:val="006671E1"/>
    <w:rsid w:val="006701DD"/>
    <w:rsid w:val="006704B4"/>
    <w:rsid w:val="00671183"/>
    <w:rsid w:val="00672505"/>
    <w:rsid w:val="00673CC9"/>
    <w:rsid w:val="006747E2"/>
    <w:rsid w:val="00675E65"/>
    <w:rsid w:val="00676C2E"/>
    <w:rsid w:val="0067767E"/>
    <w:rsid w:val="006806AD"/>
    <w:rsid w:val="006807BA"/>
    <w:rsid w:val="00680B35"/>
    <w:rsid w:val="006831F2"/>
    <w:rsid w:val="0068338D"/>
    <w:rsid w:val="006834BE"/>
    <w:rsid w:val="006835E6"/>
    <w:rsid w:val="006839A9"/>
    <w:rsid w:val="00683D9D"/>
    <w:rsid w:val="00684F88"/>
    <w:rsid w:val="00684FC4"/>
    <w:rsid w:val="0068525C"/>
    <w:rsid w:val="00686202"/>
    <w:rsid w:val="00686A52"/>
    <w:rsid w:val="006874F4"/>
    <w:rsid w:val="00687845"/>
    <w:rsid w:val="00687D7A"/>
    <w:rsid w:val="00690197"/>
    <w:rsid w:val="00690DE7"/>
    <w:rsid w:val="006929C5"/>
    <w:rsid w:val="00692D35"/>
    <w:rsid w:val="00692D93"/>
    <w:rsid w:val="00693A45"/>
    <w:rsid w:val="00693DF9"/>
    <w:rsid w:val="006954C8"/>
    <w:rsid w:val="00695FC0"/>
    <w:rsid w:val="0069636C"/>
    <w:rsid w:val="00697806"/>
    <w:rsid w:val="006A07AC"/>
    <w:rsid w:val="006A145B"/>
    <w:rsid w:val="006A191F"/>
    <w:rsid w:val="006A34D8"/>
    <w:rsid w:val="006A3FBE"/>
    <w:rsid w:val="006A4E11"/>
    <w:rsid w:val="006A5767"/>
    <w:rsid w:val="006A5F72"/>
    <w:rsid w:val="006A684B"/>
    <w:rsid w:val="006A6E0F"/>
    <w:rsid w:val="006A70B8"/>
    <w:rsid w:val="006B0C5F"/>
    <w:rsid w:val="006B190D"/>
    <w:rsid w:val="006B1A93"/>
    <w:rsid w:val="006B27A8"/>
    <w:rsid w:val="006B2977"/>
    <w:rsid w:val="006B33A9"/>
    <w:rsid w:val="006B35F0"/>
    <w:rsid w:val="006B4F3F"/>
    <w:rsid w:val="006B56D0"/>
    <w:rsid w:val="006B6B30"/>
    <w:rsid w:val="006B6C17"/>
    <w:rsid w:val="006C02B9"/>
    <w:rsid w:val="006C2A14"/>
    <w:rsid w:val="006C35BD"/>
    <w:rsid w:val="006C46B4"/>
    <w:rsid w:val="006C577B"/>
    <w:rsid w:val="006C5826"/>
    <w:rsid w:val="006C6106"/>
    <w:rsid w:val="006C65C5"/>
    <w:rsid w:val="006C790C"/>
    <w:rsid w:val="006C7C86"/>
    <w:rsid w:val="006D0B17"/>
    <w:rsid w:val="006D0EEE"/>
    <w:rsid w:val="006D1676"/>
    <w:rsid w:val="006D1F64"/>
    <w:rsid w:val="006D24D5"/>
    <w:rsid w:val="006D281B"/>
    <w:rsid w:val="006D3EDF"/>
    <w:rsid w:val="006D4390"/>
    <w:rsid w:val="006D43A3"/>
    <w:rsid w:val="006D47C5"/>
    <w:rsid w:val="006D4A54"/>
    <w:rsid w:val="006D5187"/>
    <w:rsid w:val="006D556F"/>
    <w:rsid w:val="006D5715"/>
    <w:rsid w:val="006D59B3"/>
    <w:rsid w:val="006D6FB3"/>
    <w:rsid w:val="006D7A72"/>
    <w:rsid w:val="006E1202"/>
    <w:rsid w:val="006E1B49"/>
    <w:rsid w:val="006E2381"/>
    <w:rsid w:val="006E3E52"/>
    <w:rsid w:val="006E43E0"/>
    <w:rsid w:val="006E47F4"/>
    <w:rsid w:val="006E4AC6"/>
    <w:rsid w:val="006E4F4D"/>
    <w:rsid w:val="006E4F61"/>
    <w:rsid w:val="006E5954"/>
    <w:rsid w:val="006E64AD"/>
    <w:rsid w:val="006E78CC"/>
    <w:rsid w:val="006F0E1D"/>
    <w:rsid w:val="006F14D6"/>
    <w:rsid w:val="006F16E7"/>
    <w:rsid w:val="006F19AC"/>
    <w:rsid w:val="006F2A8C"/>
    <w:rsid w:val="006F3435"/>
    <w:rsid w:val="006F3919"/>
    <w:rsid w:val="006F3A39"/>
    <w:rsid w:val="006F3F24"/>
    <w:rsid w:val="006F4154"/>
    <w:rsid w:val="006F5B99"/>
    <w:rsid w:val="00700099"/>
    <w:rsid w:val="00700B49"/>
    <w:rsid w:val="0070168A"/>
    <w:rsid w:val="00701A3A"/>
    <w:rsid w:val="00701D57"/>
    <w:rsid w:val="00702B68"/>
    <w:rsid w:val="00703C4D"/>
    <w:rsid w:val="00704054"/>
    <w:rsid w:val="00704DB7"/>
    <w:rsid w:val="00706370"/>
    <w:rsid w:val="00706AFC"/>
    <w:rsid w:val="00706B79"/>
    <w:rsid w:val="00706C68"/>
    <w:rsid w:val="00707DBB"/>
    <w:rsid w:val="0071011D"/>
    <w:rsid w:val="00710F1D"/>
    <w:rsid w:val="0071177C"/>
    <w:rsid w:val="00711CE8"/>
    <w:rsid w:val="00711F10"/>
    <w:rsid w:val="007125A3"/>
    <w:rsid w:val="00712E7A"/>
    <w:rsid w:val="0071332D"/>
    <w:rsid w:val="00713886"/>
    <w:rsid w:val="007139AC"/>
    <w:rsid w:val="00714D09"/>
    <w:rsid w:val="00715AB5"/>
    <w:rsid w:val="007169E4"/>
    <w:rsid w:val="0071726F"/>
    <w:rsid w:val="00717C92"/>
    <w:rsid w:val="007208C4"/>
    <w:rsid w:val="00720D09"/>
    <w:rsid w:val="00720DC4"/>
    <w:rsid w:val="00720F32"/>
    <w:rsid w:val="00721502"/>
    <w:rsid w:val="00722D4D"/>
    <w:rsid w:val="0072395E"/>
    <w:rsid w:val="00723EA6"/>
    <w:rsid w:val="00724031"/>
    <w:rsid w:val="007248E9"/>
    <w:rsid w:val="00724958"/>
    <w:rsid w:val="007249EF"/>
    <w:rsid w:val="00726135"/>
    <w:rsid w:val="0072622B"/>
    <w:rsid w:val="00726AA1"/>
    <w:rsid w:val="00726B53"/>
    <w:rsid w:val="0072780E"/>
    <w:rsid w:val="007278DE"/>
    <w:rsid w:val="00727B6F"/>
    <w:rsid w:val="007314B8"/>
    <w:rsid w:val="00731B72"/>
    <w:rsid w:val="00732102"/>
    <w:rsid w:val="00732F75"/>
    <w:rsid w:val="00733624"/>
    <w:rsid w:val="007337E4"/>
    <w:rsid w:val="00734383"/>
    <w:rsid w:val="00734E68"/>
    <w:rsid w:val="007356B9"/>
    <w:rsid w:val="0073680D"/>
    <w:rsid w:val="00736872"/>
    <w:rsid w:val="00741FEA"/>
    <w:rsid w:val="007446C4"/>
    <w:rsid w:val="007447CA"/>
    <w:rsid w:val="00745508"/>
    <w:rsid w:val="00745D5C"/>
    <w:rsid w:val="00745E16"/>
    <w:rsid w:val="00746478"/>
    <w:rsid w:val="00746710"/>
    <w:rsid w:val="007468A3"/>
    <w:rsid w:val="00746A25"/>
    <w:rsid w:val="0074766E"/>
    <w:rsid w:val="00747D85"/>
    <w:rsid w:val="00751178"/>
    <w:rsid w:val="007518A5"/>
    <w:rsid w:val="00752E4C"/>
    <w:rsid w:val="0075319E"/>
    <w:rsid w:val="0075324F"/>
    <w:rsid w:val="00753852"/>
    <w:rsid w:val="00753C19"/>
    <w:rsid w:val="0075507D"/>
    <w:rsid w:val="007557A9"/>
    <w:rsid w:val="007568D5"/>
    <w:rsid w:val="00756DBA"/>
    <w:rsid w:val="00756ECA"/>
    <w:rsid w:val="0076115A"/>
    <w:rsid w:val="007614D2"/>
    <w:rsid w:val="00761674"/>
    <w:rsid w:val="007622FE"/>
    <w:rsid w:val="00763093"/>
    <w:rsid w:val="00763686"/>
    <w:rsid w:val="00763C8F"/>
    <w:rsid w:val="00763D22"/>
    <w:rsid w:val="00763FE8"/>
    <w:rsid w:val="00763FE9"/>
    <w:rsid w:val="007646A4"/>
    <w:rsid w:val="007663B9"/>
    <w:rsid w:val="00766F97"/>
    <w:rsid w:val="00767422"/>
    <w:rsid w:val="007707AD"/>
    <w:rsid w:val="0077086E"/>
    <w:rsid w:val="007708E2"/>
    <w:rsid w:val="00771A8D"/>
    <w:rsid w:val="00772482"/>
    <w:rsid w:val="0077249A"/>
    <w:rsid w:val="00773054"/>
    <w:rsid w:val="007745A8"/>
    <w:rsid w:val="007747FF"/>
    <w:rsid w:val="00775425"/>
    <w:rsid w:val="0077551D"/>
    <w:rsid w:val="007759B2"/>
    <w:rsid w:val="00776E50"/>
    <w:rsid w:val="0077736E"/>
    <w:rsid w:val="00780D2B"/>
    <w:rsid w:val="0078101B"/>
    <w:rsid w:val="007813EA"/>
    <w:rsid w:val="007824E3"/>
    <w:rsid w:val="0078522F"/>
    <w:rsid w:val="00785D8E"/>
    <w:rsid w:val="00785D93"/>
    <w:rsid w:val="00785EDE"/>
    <w:rsid w:val="0078607D"/>
    <w:rsid w:val="007862FC"/>
    <w:rsid w:val="007872F1"/>
    <w:rsid w:val="00787E85"/>
    <w:rsid w:val="0079019A"/>
    <w:rsid w:val="00790BAC"/>
    <w:rsid w:val="007912D6"/>
    <w:rsid w:val="00791C06"/>
    <w:rsid w:val="007920E4"/>
    <w:rsid w:val="00792C8A"/>
    <w:rsid w:val="00792EA9"/>
    <w:rsid w:val="007936C8"/>
    <w:rsid w:val="00794366"/>
    <w:rsid w:val="007953C0"/>
    <w:rsid w:val="007954B2"/>
    <w:rsid w:val="00796275"/>
    <w:rsid w:val="00796767"/>
    <w:rsid w:val="00796F65"/>
    <w:rsid w:val="00796FA3"/>
    <w:rsid w:val="00797963"/>
    <w:rsid w:val="007A0331"/>
    <w:rsid w:val="007A0429"/>
    <w:rsid w:val="007A146E"/>
    <w:rsid w:val="007A1500"/>
    <w:rsid w:val="007A2019"/>
    <w:rsid w:val="007A25DC"/>
    <w:rsid w:val="007A2FA5"/>
    <w:rsid w:val="007A45E0"/>
    <w:rsid w:val="007A4C48"/>
    <w:rsid w:val="007A4C80"/>
    <w:rsid w:val="007A5AE1"/>
    <w:rsid w:val="007A603A"/>
    <w:rsid w:val="007A61BA"/>
    <w:rsid w:val="007A6985"/>
    <w:rsid w:val="007A717A"/>
    <w:rsid w:val="007A7EB9"/>
    <w:rsid w:val="007B002B"/>
    <w:rsid w:val="007B0184"/>
    <w:rsid w:val="007B2FE6"/>
    <w:rsid w:val="007B30E5"/>
    <w:rsid w:val="007B3625"/>
    <w:rsid w:val="007B400D"/>
    <w:rsid w:val="007B4923"/>
    <w:rsid w:val="007B5080"/>
    <w:rsid w:val="007B5624"/>
    <w:rsid w:val="007B5DC3"/>
    <w:rsid w:val="007B5EBF"/>
    <w:rsid w:val="007B6E5C"/>
    <w:rsid w:val="007B7856"/>
    <w:rsid w:val="007B7F29"/>
    <w:rsid w:val="007C092C"/>
    <w:rsid w:val="007C23B8"/>
    <w:rsid w:val="007C4145"/>
    <w:rsid w:val="007C485B"/>
    <w:rsid w:val="007C4D8E"/>
    <w:rsid w:val="007C5E10"/>
    <w:rsid w:val="007C653B"/>
    <w:rsid w:val="007C7120"/>
    <w:rsid w:val="007D0123"/>
    <w:rsid w:val="007D159A"/>
    <w:rsid w:val="007D1918"/>
    <w:rsid w:val="007D1CF9"/>
    <w:rsid w:val="007D32EF"/>
    <w:rsid w:val="007D51A3"/>
    <w:rsid w:val="007D64E5"/>
    <w:rsid w:val="007D6AE2"/>
    <w:rsid w:val="007D6EF7"/>
    <w:rsid w:val="007D77E1"/>
    <w:rsid w:val="007E0BC9"/>
    <w:rsid w:val="007E0CBE"/>
    <w:rsid w:val="007E107B"/>
    <w:rsid w:val="007E1346"/>
    <w:rsid w:val="007E1665"/>
    <w:rsid w:val="007E1A44"/>
    <w:rsid w:val="007E246E"/>
    <w:rsid w:val="007E3554"/>
    <w:rsid w:val="007E38C6"/>
    <w:rsid w:val="007E3D96"/>
    <w:rsid w:val="007E45E2"/>
    <w:rsid w:val="007E488A"/>
    <w:rsid w:val="007E49E2"/>
    <w:rsid w:val="007E4CB6"/>
    <w:rsid w:val="007E4E83"/>
    <w:rsid w:val="007E6B38"/>
    <w:rsid w:val="007E73CB"/>
    <w:rsid w:val="007E74D7"/>
    <w:rsid w:val="007E7DB8"/>
    <w:rsid w:val="007F0340"/>
    <w:rsid w:val="007F0B32"/>
    <w:rsid w:val="007F0ED3"/>
    <w:rsid w:val="007F15AF"/>
    <w:rsid w:val="007F3462"/>
    <w:rsid w:val="007F37EA"/>
    <w:rsid w:val="007F53E0"/>
    <w:rsid w:val="007F6B40"/>
    <w:rsid w:val="008002E9"/>
    <w:rsid w:val="008006D9"/>
    <w:rsid w:val="00800780"/>
    <w:rsid w:val="008012AA"/>
    <w:rsid w:val="0080132F"/>
    <w:rsid w:val="00801A5A"/>
    <w:rsid w:val="00804130"/>
    <w:rsid w:val="00804C54"/>
    <w:rsid w:val="0080548F"/>
    <w:rsid w:val="0080623B"/>
    <w:rsid w:val="008065B4"/>
    <w:rsid w:val="00807047"/>
    <w:rsid w:val="008072EC"/>
    <w:rsid w:val="008108B3"/>
    <w:rsid w:val="008111F2"/>
    <w:rsid w:val="008115E3"/>
    <w:rsid w:val="00812FC1"/>
    <w:rsid w:val="00813C5D"/>
    <w:rsid w:val="00813E82"/>
    <w:rsid w:val="00815465"/>
    <w:rsid w:val="00815526"/>
    <w:rsid w:val="008159E8"/>
    <w:rsid w:val="00816023"/>
    <w:rsid w:val="0081668A"/>
    <w:rsid w:val="008169A9"/>
    <w:rsid w:val="0081715B"/>
    <w:rsid w:val="008173F4"/>
    <w:rsid w:val="00817930"/>
    <w:rsid w:val="00821408"/>
    <w:rsid w:val="00821798"/>
    <w:rsid w:val="00821A65"/>
    <w:rsid w:val="00821D5F"/>
    <w:rsid w:val="008231A9"/>
    <w:rsid w:val="00823642"/>
    <w:rsid w:val="008256BC"/>
    <w:rsid w:val="008261F1"/>
    <w:rsid w:val="00826946"/>
    <w:rsid w:val="00831BCB"/>
    <w:rsid w:val="0083211B"/>
    <w:rsid w:val="00832AEE"/>
    <w:rsid w:val="00832D99"/>
    <w:rsid w:val="00833178"/>
    <w:rsid w:val="00833937"/>
    <w:rsid w:val="00833BCB"/>
    <w:rsid w:val="00833E7B"/>
    <w:rsid w:val="0083429B"/>
    <w:rsid w:val="00834783"/>
    <w:rsid w:val="00835053"/>
    <w:rsid w:val="0083517F"/>
    <w:rsid w:val="008355C8"/>
    <w:rsid w:val="00835C4A"/>
    <w:rsid w:val="00835DFC"/>
    <w:rsid w:val="0084015C"/>
    <w:rsid w:val="008405B7"/>
    <w:rsid w:val="00842211"/>
    <w:rsid w:val="008442ED"/>
    <w:rsid w:val="00845AC0"/>
    <w:rsid w:val="00845C7C"/>
    <w:rsid w:val="00846DA1"/>
    <w:rsid w:val="0085040F"/>
    <w:rsid w:val="008508AB"/>
    <w:rsid w:val="00851997"/>
    <w:rsid w:val="00851D1A"/>
    <w:rsid w:val="00854EB2"/>
    <w:rsid w:val="008561C7"/>
    <w:rsid w:val="008564DF"/>
    <w:rsid w:val="00856A0D"/>
    <w:rsid w:val="00856B66"/>
    <w:rsid w:val="0086015C"/>
    <w:rsid w:val="00860B73"/>
    <w:rsid w:val="00861832"/>
    <w:rsid w:val="00861C59"/>
    <w:rsid w:val="0086255E"/>
    <w:rsid w:val="0086256E"/>
    <w:rsid w:val="008628FC"/>
    <w:rsid w:val="00863A85"/>
    <w:rsid w:val="00863ABB"/>
    <w:rsid w:val="008643EC"/>
    <w:rsid w:val="008647E7"/>
    <w:rsid w:val="00864BB9"/>
    <w:rsid w:val="00864D6F"/>
    <w:rsid w:val="008661F4"/>
    <w:rsid w:val="0086687A"/>
    <w:rsid w:val="00866A61"/>
    <w:rsid w:val="008671C6"/>
    <w:rsid w:val="008674C5"/>
    <w:rsid w:val="00867D8C"/>
    <w:rsid w:val="008701E3"/>
    <w:rsid w:val="00871B6D"/>
    <w:rsid w:val="00871DE7"/>
    <w:rsid w:val="00872CD3"/>
    <w:rsid w:val="00874E52"/>
    <w:rsid w:val="00874FCD"/>
    <w:rsid w:val="00875057"/>
    <w:rsid w:val="0087563E"/>
    <w:rsid w:val="00875B91"/>
    <w:rsid w:val="00876698"/>
    <w:rsid w:val="008770A4"/>
    <w:rsid w:val="00877A8E"/>
    <w:rsid w:val="00877F1A"/>
    <w:rsid w:val="00880FEF"/>
    <w:rsid w:val="00881845"/>
    <w:rsid w:val="00881B22"/>
    <w:rsid w:val="00881BE7"/>
    <w:rsid w:val="00881CF3"/>
    <w:rsid w:val="00881F25"/>
    <w:rsid w:val="008820EC"/>
    <w:rsid w:val="008821FF"/>
    <w:rsid w:val="0088415E"/>
    <w:rsid w:val="0088495B"/>
    <w:rsid w:val="00884FA0"/>
    <w:rsid w:val="00885158"/>
    <w:rsid w:val="008851F9"/>
    <w:rsid w:val="00885759"/>
    <w:rsid w:val="008857BC"/>
    <w:rsid w:val="00885DD9"/>
    <w:rsid w:val="00886916"/>
    <w:rsid w:val="00886964"/>
    <w:rsid w:val="00886BA9"/>
    <w:rsid w:val="008874F8"/>
    <w:rsid w:val="00890C6C"/>
    <w:rsid w:val="00891E18"/>
    <w:rsid w:val="00892171"/>
    <w:rsid w:val="0089288B"/>
    <w:rsid w:val="00893BC0"/>
    <w:rsid w:val="00893F49"/>
    <w:rsid w:val="008943F6"/>
    <w:rsid w:val="00894894"/>
    <w:rsid w:val="00896028"/>
    <w:rsid w:val="0089696B"/>
    <w:rsid w:val="008A02D8"/>
    <w:rsid w:val="008A06D7"/>
    <w:rsid w:val="008A29D3"/>
    <w:rsid w:val="008A3CF6"/>
    <w:rsid w:val="008A4808"/>
    <w:rsid w:val="008A4812"/>
    <w:rsid w:val="008A4B87"/>
    <w:rsid w:val="008A5B7C"/>
    <w:rsid w:val="008A6173"/>
    <w:rsid w:val="008A7616"/>
    <w:rsid w:val="008A7903"/>
    <w:rsid w:val="008A79D6"/>
    <w:rsid w:val="008B0991"/>
    <w:rsid w:val="008B1DE9"/>
    <w:rsid w:val="008B1DF0"/>
    <w:rsid w:val="008B21AC"/>
    <w:rsid w:val="008B33C9"/>
    <w:rsid w:val="008B3B4D"/>
    <w:rsid w:val="008B3C34"/>
    <w:rsid w:val="008B4062"/>
    <w:rsid w:val="008B43F3"/>
    <w:rsid w:val="008B4BDF"/>
    <w:rsid w:val="008B4D50"/>
    <w:rsid w:val="008B5E49"/>
    <w:rsid w:val="008B7024"/>
    <w:rsid w:val="008B7898"/>
    <w:rsid w:val="008B7C97"/>
    <w:rsid w:val="008C011C"/>
    <w:rsid w:val="008C0331"/>
    <w:rsid w:val="008C1007"/>
    <w:rsid w:val="008C195E"/>
    <w:rsid w:val="008C1D0E"/>
    <w:rsid w:val="008C2169"/>
    <w:rsid w:val="008C3720"/>
    <w:rsid w:val="008C3929"/>
    <w:rsid w:val="008C5386"/>
    <w:rsid w:val="008C6559"/>
    <w:rsid w:val="008C6951"/>
    <w:rsid w:val="008C69CC"/>
    <w:rsid w:val="008C6D66"/>
    <w:rsid w:val="008C70BD"/>
    <w:rsid w:val="008C74C0"/>
    <w:rsid w:val="008C77A1"/>
    <w:rsid w:val="008C78FF"/>
    <w:rsid w:val="008D011C"/>
    <w:rsid w:val="008D0AA6"/>
    <w:rsid w:val="008D13C0"/>
    <w:rsid w:val="008D2587"/>
    <w:rsid w:val="008D34FC"/>
    <w:rsid w:val="008D4097"/>
    <w:rsid w:val="008D41F4"/>
    <w:rsid w:val="008D6884"/>
    <w:rsid w:val="008E021C"/>
    <w:rsid w:val="008E0FCA"/>
    <w:rsid w:val="008E1166"/>
    <w:rsid w:val="008E29A2"/>
    <w:rsid w:val="008E31D0"/>
    <w:rsid w:val="008E3819"/>
    <w:rsid w:val="008E3A09"/>
    <w:rsid w:val="008E4350"/>
    <w:rsid w:val="008E5ADD"/>
    <w:rsid w:val="008E5F07"/>
    <w:rsid w:val="008E63C4"/>
    <w:rsid w:val="008E6A95"/>
    <w:rsid w:val="008E71C6"/>
    <w:rsid w:val="008E7C18"/>
    <w:rsid w:val="008F0827"/>
    <w:rsid w:val="008F1046"/>
    <w:rsid w:val="008F1948"/>
    <w:rsid w:val="008F21A0"/>
    <w:rsid w:val="008F252C"/>
    <w:rsid w:val="008F2BE3"/>
    <w:rsid w:val="008F2C6F"/>
    <w:rsid w:val="008F2E7E"/>
    <w:rsid w:val="008F3224"/>
    <w:rsid w:val="008F452F"/>
    <w:rsid w:val="008F4628"/>
    <w:rsid w:val="008F4AB7"/>
    <w:rsid w:val="008F561A"/>
    <w:rsid w:val="008F5D32"/>
    <w:rsid w:val="008F6975"/>
    <w:rsid w:val="008F7697"/>
    <w:rsid w:val="008F7C81"/>
    <w:rsid w:val="00900433"/>
    <w:rsid w:val="00900480"/>
    <w:rsid w:val="0090056B"/>
    <w:rsid w:val="009007C4"/>
    <w:rsid w:val="009013F9"/>
    <w:rsid w:val="009021CE"/>
    <w:rsid w:val="009021E2"/>
    <w:rsid w:val="00902661"/>
    <w:rsid w:val="00903C55"/>
    <w:rsid w:val="00904EA6"/>
    <w:rsid w:val="00904EFC"/>
    <w:rsid w:val="009056D2"/>
    <w:rsid w:val="00906294"/>
    <w:rsid w:val="00906429"/>
    <w:rsid w:val="00906AEA"/>
    <w:rsid w:val="00910D99"/>
    <w:rsid w:val="00910EAA"/>
    <w:rsid w:val="00913084"/>
    <w:rsid w:val="00913910"/>
    <w:rsid w:val="0091459B"/>
    <w:rsid w:val="009164C9"/>
    <w:rsid w:val="009167AD"/>
    <w:rsid w:val="00917C19"/>
    <w:rsid w:val="00920351"/>
    <w:rsid w:val="009213C5"/>
    <w:rsid w:val="00921A2B"/>
    <w:rsid w:val="00921AA0"/>
    <w:rsid w:val="00921C13"/>
    <w:rsid w:val="009227C5"/>
    <w:rsid w:val="00922A5F"/>
    <w:rsid w:val="0092582B"/>
    <w:rsid w:val="00926A6C"/>
    <w:rsid w:val="00927408"/>
    <w:rsid w:val="00927FD6"/>
    <w:rsid w:val="00930B4F"/>
    <w:rsid w:val="00930D2C"/>
    <w:rsid w:val="00930D99"/>
    <w:rsid w:val="00931066"/>
    <w:rsid w:val="00931732"/>
    <w:rsid w:val="0093306E"/>
    <w:rsid w:val="009332F3"/>
    <w:rsid w:val="00933ABB"/>
    <w:rsid w:val="00934768"/>
    <w:rsid w:val="00934BAD"/>
    <w:rsid w:val="00935181"/>
    <w:rsid w:val="009354DF"/>
    <w:rsid w:val="00936515"/>
    <w:rsid w:val="009409C2"/>
    <w:rsid w:val="00940C0D"/>
    <w:rsid w:val="00940EE4"/>
    <w:rsid w:val="00942ADC"/>
    <w:rsid w:val="00942C05"/>
    <w:rsid w:val="00943BFA"/>
    <w:rsid w:val="00943FD9"/>
    <w:rsid w:val="009449EC"/>
    <w:rsid w:val="00945570"/>
    <w:rsid w:val="00945CB9"/>
    <w:rsid w:val="00946876"/>
    <w:rsid w:val="00946E05"/>
    <w:rsid w:val="009470C6"/>
    <w:rsid w:val="00947885"/>
    <w:rsid w:val="00951007"/>
    <w:rsid w:val="009514E7"/>
    <w:rsid w:val="00951FE0"/>
    <w:rsid w:val="00952204"/>
    <w:rsid w:val="00953B8D"/>
    <w:rsid w:val="00954A0B"/>
    <w:rsid w:val="00955FB2"/>
    <w:rsid w:val="00956326"/>
    <w:rsid w:val="00956DBD"/>
    <w:rsid w:val="00956F26"/>
    <w:rsid w:val="009575EC"/>
    <w:rsid w:val="009608A4"/>
    <w:rsid w:val="00960AF3"/>
    <w:rsid w:val="00960C55"/>
    <w:rsid w:val="00960C89"/>
    <w:rsid w:val="0096174E"/>
    <w:rsid w:val="00961944"/>
    <w:rsid w:val="00961F0E"/>
    <w:rsid w:val="00962A2A"/>
    <w:rsid w:val="00962F17"/>
    <w:rsid w:val="009665C5"/>
    <w:rsid w:val="009669BA"/>
    <w:rsid w:val="00966E83"/>
    <w:rsid w:val="009675F4"/>
    <w:rsid w:val="00967731"/>
    <w:rsid w:val="0097054F"/>
    <w:rsid w:val="00970A72"/>
    <w:rsid w:val="009712CC"/>
    <w:rsid w:val="00972ABA"/>
    <w:rsid w:val="0097316B"/>
    <w:rsid w:val="00973F85"/>
    <w:rsid w:val="009740C9"/>
    <w:rsid w:val="009742C2"/>
    <w:rsid w:val="00974557"/>
    <w:rsid w:val="0097470C"/>
    <w:rsid w:val="009764C7"/>
    <w:rsid w:val="009764D2"/>
    <w:rsid w:val="00976826"/>
    <w:rsid w:val="00977BA1"/>
    <w:rsid w:val="00980F4C"/>
    <w:rsid w:val="00981477"/>
    <w:rsid w:val="00981A66"/>
    <w:rsid w:val="009825BC"/>
    <w:rsid w:val="00982C96"/>
    <w:rsid w:val="0098344F"/>
    <w:rsid w:val="00983DAF"/>
    <w:rsid w:val="00983E00"/>
    <w:rsid w:val="00985587"/>
    <w:rsid w:val="00985D68"/>
    <w:rsid w:val="00985E70"/>
    <w:rsid w:val="0098793A"/>
    <w:rsid w:val="0099145E"/>
    <w:rsid w:val="00993096"/>
    <w:rsid w:val="009934D9"/>
    <w:rsid w:val="00993E07"/>
    <w:rsid w:val="009967E8"/>
    <w:rsid w:val="00997690"/>
    <w:rsid w:val="00997CFF"/>
    <w:rsid w:val="00997E18"/>
    <w:rsid w:val="00997E73"/>
    <w:rsid w:val="009A00CD"/>
    <w:rsid w:val="009A08B8"/>
    <w:rsid w:val="009A141E"/>
    <w:rsid w:val="009A1B80"/>
    <w:rsid w:val="009A28A9"/>
    <w:rsid w:val="009A37BE"/>
    <w:rsid w:val="009A4179"/>
    <w:rsid w:val="009A4210"/>
    <w:rsid w:val="009A4ABB"/>
    <w:rsid w:val="009A5E6E"/>
    <w:rsid w:val="009A6E95"/>
    <w:rsid w:val="009A6FAA"/>
    <w:rsid w:val="009B0E26"/>
    <w:rsid w:val="009B13DE"/>
    <w:rsid w:val="009B2527"/>
    <w:rsid w:val="009B2EBE"/>
    <w:rsid w:val="009B535D"/>
    <w:rsid w:val="009B539F"/>
    <w:rsid w:val="009B5F99"/>
    <w:rsid w:val="009B65C0"/>
    <w:rsid w:val="009B7D56"/>
    <w:rsid w:val="009C2931"/>
    <w:rsid w:val="009C2994"/>
    <w:rsid w:val="009C4600"/>
    <w:rsid w:val="009C644A"/>
    <w:rsid w:val="009C7340"/>
    <w:rsid w:val="009C76C5"/>
    <w:rsid w:val="009D000B"/>
    <w:rsid w:val="009D0EA9"/>
    <w:rsid w:val="009D0F17"/>
    <w:rsid w:val="009D1639"/>
    <w:rsid w:val="009D1CEA"/>
    <w:rsid w:val="009D1F38"/>
    <w:rsid w:val="009D2171"/>
    <w:rsid w:val="009D2CEF"/>
    <w:rsid w:val="009D35A3"/>
    <w:rsid w:val="009D397B"/>
    <w:rsid w:val="009D3AA0"/>
    <w:rsid w:val="009D4F45"/>
    <w:rsid w:val="009D5C8C"/>
    <w:rsid w:val="009D6F86"/>
    <w:rsid w:val="009D749F"/>
    <w:rsid w:val="009D75CF"/>
    <w:rsid w:val="009D7E8B"/>
    <w:rsid w:val="009E0465"/>
    <w:rsid w:val="009E0CCD"/>
    <w:rsid w:val="009E18B7"/>
    <w:rsid w:val="009E256C"/>
    <w:rsid w:val="009E3A00"/>
    <w:rsid w:val="009E3FA0"/>
    <w:rsid w:val="009E493F"/>
    <w:rsid w:val="009E53E9"/>
    <w:rsid w:val="009E566A"/>
    <w:rsid w:val="009E59B2"/>
    <w:rsid w:val="009E68C5"/>
    <w:rsid w:val="009E7E31"/>
    <w:rsid w:val="009F031E"/>
    <w:rsid w:val="009F0C1A"/>
    <w:rsid w:val="009F0C2E"/>
    <w:rsid w:val="009F131A"/>
    <w:rsid w:val="009F1A08"/>
    <w:rsid w:val="009F230C"/>
    <w:rsid w:val="009F2C34"/>
    <w:rsid w:val="009F41A4"/>
    <w:rsid w:val="009F4600"/>
    <w:rsid w:val="009F4B5C"/>
    <w:rsid w:val="009F4C15"/>
    <w:rsid w:val="009F6251"/>
    <w:rsid w:val="009F7268"/>
    <w:rsid w:val="009F75BE"/>
    <w:rsid w:val="009F7913"/>
    <w:rsid w:val="00A00DBB"/>
    <w:rsid w:val="00A015B0"/>
    <w:rsid w:val="00A02EA9"/>
    <w:rsid w:val="00A03574"/>
    <w:rsid w:val="00A03B49"/>
    <w:rsid w:val="00A05482"/>
    <w:rsid w:val="00A06525"/>
    <w:rsid w:val="00A06ACE"/>
    <w:rsid w:val="00A06E5F"/>
    <w:rsid w:val="00A076C4"/>
    <w:rsid w:val="00A10495"/>
    <w:rsid w:val="00A1155A"/>
    <w:rsid w:val="00A11BFD"/>
    <w:rsid w:val="00A1343F"/>
    <w:rsid w:val="00A13BBB"/>
    <w:rsid w:val="00A13F39"/>
    <w:rsid w:val="00A141B7"/>
    <w:rsid w:val="00A144BC"/>
    <w:rsid w:val="00A154E6"/>
    <w:rsid w:val="00A1590B"/>
    <w:rsid w:val="00A15D5E"/>
    <w:rsid w:val="00A16911"/>
    <w:rsid w:val="00A16E0F"/>
    <w:rsid w:val="00A170B4"/>
    <w:rsid w:val="00A17DA2"/>
    <w:rsid w:val="00A20263"/>
    <w:rsid w:val="00A20671"/>
    <w:rsid w:val="00A212EB"/>
    <w:rsid w:val="00A21599"/>
    <w:rsid w:val="00A2199F"/>
    <w:rsid w:val="00A21BB1"/>
    <w:rsid w:val="00A21EE7"/>
    <w:rsid w:val="00A2544A"/>
    <w:rsid w:val="00A257DC"/>
    <w:rsid w:val="00A25C49"/>
    <w:rsid w:val="00A26BA4"/>
    <w:rsid w:val="00A27923"/>
    <w:rsid w:val="00A30BC3"/>
    <w:rsid w:val="00A31BE4"/>
    <w:rsid w:val="00A33452"/>
    <w:rsid w:val="00A33E10"/>
    <w:rsid w:val="00A352B1"/>
    <w:rsid w:val="00A35BDD"/>
    <w:rsid w:val="00A371C8"/>
    <w:rsid w:val="00A373B0"/>
    <w:rsid w:val="00A37E28"/>
    <w:rsid w:val="00A403F3"/>
    <w:rsid w:val="00A41042"/>
    <w:rsid w:val="00A41209"/>
    <w:rsid w:val="00A43C62"/>
    <w:rsid w:val="00A43D38"/>
    <w:rsid w:val="00A44BB1"/>
    <w:rsid w:val="00A4500A"/>
    <w:rsid w:val="00A45469"/>
    <w:rsid w:val="00A45A1B"/>
    <w:rsid w:val="00A46E8D"/>
    <w:rsid w:val="00A50540"/>
    <w:rsid w:val="00A51F88"/>
    <w:rsid w:val="00A522D7"/>
    <w:rsid w:val="00A52575"/>
    <w:rsid w:val="00A528ED"/>
    <w:rsid w:val="00A52D47"/>
    <w:rsid w:val="00A53511"/>
    <w:rsid w:val="00A53DC0"/>
    <w:rsid w:val="00A54AEB"/>
    <w:rsid w:val="00A551FA"/>
    <w:rsid w:val="00A56FEE"/>
    <w:rsid w:val="00A57E07"/>
    <w:rsid w:val="00A604DD"/>
    <w:rsid w:val="00A607D2"/>
    <w:rsid w:val="00A61132"/>
    <w:rsid w:val="00A62B14"/>
    <w:rsid w:val="00A62D97"/>
    <w:rsid w:val="00A63064"/>
    <w:rsid w:val="00A634A4"/>
    <w:rsid w:val="00A63A99"/>
    <w:rsid w:val="00A64201"/>
    <w:rsid w:val="00A6425B"/>
    <w:rsid w:val="00A663ED"/>
    <w:rsid w:val="00A66957"/>
    <w:rsid w:val="00A66F41"/>
    <w:rsid w:val="00A6714D"/>
    <w:rsid w:val="00A7051D"/>
    <w:rsid w:val="00A709F0"/>
    <w:rsid w:val="00A70E39"/>
    <w:rsid w:val="00A710F8"/>
    <w:rsid w:val="00A7145F"/>
    <w:rsid w:val="00A71508"/>
    <w:rsid w:val="00A72880"/>
    <w:rsid w:val="00A74872"/>
    <w:rsid w:val="00A74CA6"/>
    <w:rsid w:val="00A74DF4"/>
    <w:rsid w:val="00A753EF"/>
    <w:rsid w:val="00A75432"/>
    <w:rsid w:val="00A75E44"/>
    <w:rsid w:val="00A76B9F"/>
    <w:rsid w:val="00A76DE4"/>
    <w:rsid w:val="00A77C36"/>
    <w:rsid w:val="00A77E9C"/>
    <w:rsid w:val="00A812FD"/>
    <w:rsid w:val="00A81916"/>
    <w:rsid w:val="00A819F3"/>
    <w:rsid w:val="00A81CD3"/>
    <w:rsid w:val="00A8215F"/>
    <w:rsid w:val="00A82786"/>
    <w:rsid w:val="00A828B6"/>
    <w:rsid w:val="00A83131"/>
    <w:rsid w:val="00A83326"/>
    <w:rsid w:val="00A8334A"/>
    <w:rsid w:val="00A83EC0"/>
    <w:rsid w:val="00A8437B"/>
    <w:rsid w:val="00A84485"/>
    <w:rsid w:val="00A86610"/>
    <w:rsid w:val="00A8672C"/>
    <w:rsid w:val="00A867A7"/>
    <w:rsid w:val="00A87943"/>
    <w:rsid w:val="00A87E1C"/>
    <w:rsid w:val="00A918D6"/>
    <w:rsid w:val="00A91FF1"/>
    <w:rsid w:val="00A929E1"/>
    <w:rsid w:val="00A92A09"/>
    <w:rsid w:val="00A92B90"/>
    <w:rsid w:val="00A92FE4"/>
    <w:rsid w:val="00A93412"/>
    <w:rsid w:val="00A93801"/>
    <w:rsid w:val="00A93A0D"/>
    <w:rsid w:val="00A93AE9"/>
    <w:rsid w:val="00A940AA"/>
    <w:rsid w:val="00A9416B"/>
    <w:rsid w:val="00A94354"/>
    <w:rsid w:val="00A94A80"/>
    <w:rsid w:val="00A94E44"/>
    <w:rsid w:val="00A94F3B"/>
    <w:rsid w:val="00A955EC"/>
    <w:rsid w:val="00A95756"/>
    <w:rsid w:val="00A959AF"/>
    <w:rsid w:val="00A96141"/>
    <w:rsid w:val="00A969B9"/>
    <w:rsid w:val="00A97086"/>
    <w:rsid w:val="00A975A4"/>
    <w:rsid w:val="00A97941"/>
    <w:rsid w:val="00AA045A"/>
    <w:rsid w:val="00AA0A21"/>
    <w:rsid w:val="00AA0BA4"/>
    <w:rsid w:val="00AA0E62"/>
    <w:rsid w:val="00AA2649"/>
    <w:rsid w:val="00AA2ACE"/>
    <w:rsid w:val="00AA314E"/>
    <w:rsid w:val="00AA3163"/>
    <w:rsid w:val="00AA47A4"/>
    <w:rsid w:val="00AA6E87"/>
    <w:rsid w:val="00AA70F5"/>
    <w:rsid w:val="00AA7F92"/>
    <w:rsid w:val="00AB150C"/>
    <w:rsid w:val="00AB1DD1"/>
    <w:rsid w:val="00AB2A2F"/>
    <w:rsid w:val="00AB2D40"/>
    <w:rsid w:val="00AB2FBB"/>
    <w:rsid w:val="00AB34E8"/>
    <w:rsid w:val="00AB4094"/>
    <w:rsid w:val="00AB411F"/>
    <w:rsid w:val="00AB477A"/>
    <w:rsid w:val="00AB4E64"/>
    <w:rsid w:val="00AB542A"/>
    <w:rsid w:val="00AB55E2"/>
    <w:rsid w:val="00AB5728"/>
    <w:rsid w:val="00AB6784"/>
    <w:rsid w:val="00AB6961"/>
    <w:rsid w:val="00AB6AB5"/>
    <w:rsid w:val="00AB75E9"/>
    <w:rsid w:val="00AB7973"/>
    <w:rsid w:val="00AB7D47"/>
    <w:rsid w:val="00AB7D7F"/>
    <w:rsid w:val="00AC049D"/>
    <w:rsid w:val="00AC04E3"/>
    <w:rsid w:val="00AC1C43"/>
    <w:rsid w:val="00AC343C"/>
    <w:rsid w:val="00AC43B2"/>
    <w:rsid w:val="00AC490F"/>
    <w:rsid w:val="00AC4D51"/>
    <w:rsid w:val="00AC4F34"/>
    <w:rsid w:val="00AC52E5"/>
    <w:rsid w:val="00AC5BC3"/>
    <w:rsid w:val="00AC7771"/>
    <w:rsid w:val="00AC7830"/>
    <w:rsid w:val="00AD07B4"/>
    <w:rsid w:val="00AD0891"/>
    <w:rsid w:val="00AD1165"/>
    <w:rsid w:val="00AD1A7B"/>
    <w:rsid w:val="00AD421C"/>
    <w:rsid w:val="00AD455A"/>
    <w:rsid w:val="00AD4D5F"/>
    <w:rsid w:val="00AD535C"/>
    <w:rsid w:val="00AD54BB"/>
    <w:rsid w:val="00AD799C"/>
    <w:rsid w:val="00AE0809"/>
    <w:rsid w:val="00AE0822"/>
    <w:rsid w:val="00AE1597"/>
    <w:rsid w:val="00AE1901"/>
    <w:rsid w:val="00AE3B1E"/>
    <w:rsid w:val="00AE43EE"/>
    <w:rsid w:val="00AE46AA"/>
    <w:rsid w:val="00AE4A46"/>
    <w:rsid w:val="00AE5887"/>
    <w:rsid w:val="00AE5D4D"/>
    <w:rsid w:val="00AE6B02"/>
    <w:rsid w:val="00AE715B"/>
    <w:rsid w:val="00AE7E76"/>
    <w:rsid w:val="00AF0453"/>
    <w:rsid w:val="00AF07A9"/>
    <w:rsid w:val="00AF2387"/>
    <w:rsid w:val="00AF37CA"/>
    <w:rsid w:val="00AF3F22"/>
    <w:rsid w:val="00AF3FD4"/>
    <w:rsid w:val="00AF4127"/>
    <w:rsid w:val="00AF42EC"/>
    <w:rsid w:val="00AF493D"/>
    <w:rsid w:val="00AF4A46"/>
    <w:rsid w:val="00AF6783"/>
    <w:rsid w:val="00AF6D92"/>
    <w:rsid w:val="00AF70E3"/>
    <w:rsid w:val="00AF7641"/>
    <w:rsid w:val="00B00C3E"/>
    <w:rsid w:val="00B013DF"/>
    <w:rsid w:val="00B01E67"/>
    <w:rsid w:val="00B01EA7"/>
    <w:rsid w:val="00B02412"/>
    <w:rsid w:val="00B030DE"/>
    <w:rsid w:val="00B036FA"/>
    <w:rsid w:val="00B037E9"/>
    <w:rsid w:val="00B04424"/>
    <w:rsid w:val="00B054D3"/>
    <w:rsid w:val="00B05F20"/>
    <w:rsid w:val="00B07BB6"/>
    <w:rsid w:val="00B07E83"/>
    <w:rsid w:val="00B1063D"/>
    <w:rsid w:val="00B118F3"/>
    <w:rsid w:val="00B11A95"/>
    <w:rsid w:val="00B12002"/>
    <w:rsid w:val="00B123CD"/>
    <w:rsid w:val="00B12578"/>
    <w:rsid w:val="00B13453"/>
    <w:rsid w:val="00B1441D"/>
    <w:rsid w:val="00B155E4"/>
    <w:rsid w:val="00B159BD"/>
    <w:rsid w:val="00B15EBB"/>
    <w:rsid w:val="00B161F8"/>
    <w:rsid w:val="00B16DAD"/>
    <w:rsid w:val="00B16F4B"/>
    <w:rsid w:val="00B207F1"/>
    <w:rsid w:val="00B212DA"/>
    <w:rsid w:val="00B22411"/>
    <w:rsid w:val="00B22B69"/>
    <w:rsid w:val="00B22EB4"/>
    <w:rsid w:val="00B235BF"/>
    <w:rsid w:val="00B23C6D"/>
    <w:rsid w:val="00B23F73"/>
    <w:rsid w:val="00B2630F"/>
    <w:rsid w:val="00B2794C"/>
    <w:rsid w:val="00B27D9A"/>
    <w:rsid w:val="00B30F28"/>
    <w:rsid w:val="00B319B1"/>
    <w:rsid w:val="00B33729"/>
    <w:rsid w:val="00B343E1"/>
    <w:rsid w:val="00B34B00"/>
    <w:rsid w:val="00B34EC5"/>
    <w:rsid w:val="00B366C9"/>
    <w:rsid w:val="00B36AA5"/>
    <w:rsid w:val="00B36D92"/>
    <w:rsid w:val="00B37009"/>
    <w:rsid w:val="00B376C5"/>
    <w:rsid w:val="00B40598"/>
    <w:rsid w:val="00B40C1D"/>
    <w:rsid w:val="00B40EAE"/>
    <w:rsid w:val="00B41082"/>
    <w:rsid w:val="00B41451"/>
    <w:rsid w:val="00B416AB"/>
    <w:rsid w:val="00B41B1F"/>
    <w:rsid w:val="00B42395"/>
    <w:rsid w:val="00B43A37"/>
    <w:rsid w:val="00B44350"/>
    <w:rsid w:val="00B4449B"/>
    <w:rsid w:val="00B4641A"/>
    <w:rsid w:val="00B46441"/>
    <w:rsid w:val="00B46465"/>
    <w:rsid w:val="00B475FE"/>
    <w:rsid w:val="00B4790D"/>
    <w:rsid w:val="00B47F40"/>
    <w:rsid w:val="00B512B9"/>
    <w:rsid w:val="00B52278"/>
    <w:rsid w:val="00B52310"/>
    <w:rsid w:val="00B52AEC"/>
    <w:rsid w:val="00B543BC"/>
    <w:rsid w:val="00B55174"/>
    <w:rsid w:val="00B55E0D"/>
    <w:rsid w:val="00B56F03"/>
    <w:rsid w:val="00B570D1"/>
    <w:rsid w:val="00B57F34"/>
    <w:rsid w:val="00B60922"/>
    <w:rsid w:val="00B60FE5"/>
    <w:rsid w:val="00B61071"/>
    <w:rsid w:val="00B61197"/>
    <w:rsid w:val="00B6155A"/>
    <w:rsid w:val="00B6198A"/>
    <w:rsid w:val="00B61A6A"/>
    <w:rsid w:val="00B62022"/>
    <w:rsid w:val="00B63236"/>
    <w:rsid w:val="00B6429C"/>
    <w:rsid w:val="00B64D34"/>
    <w:rsid w:val="00B67001"/>
    <w:rsid w:val="00B677F8"/>
    <w:rsid w:val="00B70095"/>
    <w:rsid w:val="00B7031B"/>
    <w:rsid w:val="00B704BC"/>
    <w:rsid w:val="00B7088B"/>
    <w:rsid w:val="00B72CD0"/>
    <w:rsid w:val="00B74B0E"/>
    <w:rsid w:val="00B74D4C"/>
    <w:rsid w:val="00B74F5E"/>
    <w:rsid w:val="00B750ED"/>
    <w:rsid w:val="00B76863"/>
    <w:rsid w:val="00B7718D"/>
    <w:rsid w:val="00B802A6"/>
    <w:rsid w:val="00B80477"/>
    <w:rsid w:val="00B815F7"/>
    <w:rsid w:val="00B81FE6"/>
    <w:rsid w:val="00B824A5"/>
    <w:rsid w:val="00B83F70"/>
    <w:rsid w:val="00B84AB1"/>
    <w:rsid w:val="00B84EF2"/>
    <w:rsid w:val="00B850E0"/>
    <w:rsid w:val="00B85296"/>
    <w:rsid w:val="00B855FC"/>
    <w:rsid w:val="00B85A08"/>
    <w:rsid w:val="00B85E2B"/>
    <w:rsid w:val="00B864A0"/>
    <w:rsid w:val="00B8686B"/>
    <w:rsid w:val="00B8767A"/>
    <w:rsid w:val="00B877AD"/>
    <w:rsid w:val="00B92756"/>
    <w:rsid w:val="00B92C59"/>
    <w:rsid w:val="00B92EC9"/>
    <w:rsid w:val="00B93399"/>
    <w:rsid w:val="00B9418E"/>
    <w:rsid w:val="00B941BC"/>
    <w:rsid w:val="00B943BF"/>
    <w:rsid w:val="00B95111"/>
    <w:rsid w:val="00B96737"/>
    <w:rsid w:val="00B968AA"/>
    <w:rsid w:val="00B97EAB"/>
    <w:rsid w:val="00BA1D0F"/>
    <w:rsid w:val="00BA1E9C"/>
    <w:rsid w:val="00BA210C"/>
    <w:rsid w:val="00BA2258"/>
    <w:rsid w:val="00BA2943"/>
    <w:rsid w:val="00BA3248"/>
    <w:rsid w:val="00BA3D02"/>
    <w:rsid w:val="00BA4286"/>
    <w:rsid w:val="00BA4BEE"/>
    <w:rsid w:val="00BA51C0"/>
    <w:rsid w:val="00BA554B"/>
    <w:rsid w:val="00BA5BF2"/>
    <w:rsid w:val="00BA6BDD"/>
    <w:rsid w:val="00BA762E"/>
    <w:rsid w:val="00BA7D5A"/>
    <w:rsid w:val="00BA7E70"/>
    <w:rsid w:val="00BB0FDF"/>
    <w:rsid w:val="00BB1583"/>
    <w:rsid w:val="00BB1898"/>
    <w:rsid w:val="00BB1A54"/>
    <w:rsid w:val="00BB28AC"/>
    <w:rsid w:val="00BB37D5"/>
    <w:rsid w:val="00BB3B88"/>
    <w:rsid w:val="00BB52F4"/>
    <w:rsid w:val="00BB5D74"/>
    <w:rsid w:val="00BB640A"/>
    <w:rsid w:val="00BB65E8"/>
    <w:rsid w:val="00BB695D"/>
    <w:rsid w:val="00BB6FA4"/>
    <w:rsid w:val="00BB7F25"/>
    <w:rsid w:val="00BC0552"/>
    <w:rsid w:val="00BC0607"/>
    <w:rsid w:val="00BC0CD2"/>
    <w:rsid w:val="00BC11C4"/>
    <w:rsid w:val="00BC17C2"/>
    <w:rsid w:val="00BC27E2"/>
    <w:rsid w:val="00BC2F5F"/>
    <w:rsid w:val="00BC3790"/>
    <w:rsid w:val="00BC3817"/>
    <w:rsid w:val="00BC3E54"/>
    <w:rsid w:val="00BC3FCE"/>
    <w:rsid w:val="00BC44A0"/>
    <w:rsid w:val="00BC45B1"/>
    <w:rsid w:val="00BC4B34"/>
    <w:rsid w:val="00BC4E7E"/>
    <w:rsid w:val="00BC5B03"/>
    <w:rsid w:val="00BC708A"/>
    <w:rsid w:val="00BD109D"/>
    <w:rsid w:val="00BD12B1"/>
    <w:rsid w:val="00BD1E90"/>
    <w:rsid w:val="00BD224A"/>
    <w:rsid w:val="00BD2620"/>
    <w:rsid w:val="00BD3901"/>
    <w:rsid w:val="00BD3AE1"/>
    <w:rsid w:val="00BD4AF0"/>
    <w:rsid w:val="00BD579D"/>
    <w:rsid w:val="00BD5B07"/>
    <w:rsid w:val="00BD5FB0"/>
    <w:rsid w:val="00BD6400"/>
    <w:rsid w:val="00BE00CA"/>
    <w:rsid w:val="00BE021A"/>
    <w:rsid w:val="00BE179A"/>
    <w:rsid w:val="00BE1E25"/>
    <w:rsid w:val="00BE2693"/>
    <w:rsid w:val="00BE44C1"/>
    <w:rsid w:val="00BE5F97"/>
    <w:rsid w:val="00BE6CA1"/>
    <w:rsid w:val="00BF0C6E"/>
    <w:rsid w:val="00BF12AE"/>
    <w:rsid w:val="00BF22D4"/>
    <w:rsid w:val="00BF2DCF"/>
    <w:rsid w:val="00BF4095"/>
    <w:rsid w:val="00BF48B8"/>
    <w:rsid w:val="00BF570C"/>
    <w:rsid w:val="00BF5973"/>
    <w:rsid w:val="00BF5DE6"/>
    <w:rsid w:val="00BF6082"/>
    <w:rsid w:val="00BF6ADB"/>
    <w:rsid w:val="00BF78B0"/>
    <w:rsid w:val="00BF7B2A"/>
    <w:rsid w:val="00C004A1"/>
    <w:rsid w:val="00C005A4"/>
    <w:rsid w:val="00C00E9B"/>
    <w:rsid w:val="00C01562"/>
    <w:rsid w:val="00C01909"/>
    <w:rsid w:val="00C03539"/>
    <w:rsid w:val="00C03617"/>
    <w:rsid w:val="00C040F2"/>
    <w:rsid w:val="00C0518A"/>
    <w:rsid w:val="00C05655"/>
    <w:rsid w:val="00C05705"/>
    <w:rsid w:val="00C0662A"/>
    <w:rsid w:val="00C07003"/>
    <w:rsid w:val="00C07575"/>
    <w:rsid w:val="00C101BA"/>
    <w:rsid w:val="00C10478"/>
    <w:rsid w:val="00C104D2"/>
    <w:rsid w:val="00C1060E"/>
    <w:rsid w:val="00C10ECA"/>
    <w:rsid w:val="00C10ED8"/>
    <w:rsid w:val="00C10F95"/>
    <w:rsid w:val="00C1112B"/>
    <w:rsid w:val="00C1244A"/>
    <w:rsid w:val="00C124F2"/>
    <w:rsid w:val="00C12F29"/>
    <w:rsid w:val="00C12F98"/>
    <w:rsid w:val="00C147CE"/>
    <w:rsid w:val="00C151A5"/>
    <w:rsid w:val="00C1569B"/>
    <w:rsid w:val="00C16545"/>
    <w:rsid w:val="00C205ED"/>
    <w:rsid w:val="00C20E8B"/>
    <w:rsid w:val="00C21D78"/>
    <w:rsid w:val="00C22748"/>
    <w:rsid w:val="00C22802"/>
    <w:rsid w:val="00C22E09"/>
    <w:rsid w:val="00C22F2D"/>
    <w:rsid w:val="00C2333C"/>
    <w:rsid w:val="00C23A0A"/>
    <w:rsid w:val="00C23B4F"/>
    <w:rsid w:val="00C24510"/>
    <w:rsid w:val="00C2480B"/>
    <w:rsid w:val="00C24D55"/>
    <w:rsid w:val="00C2634B"/>
    <w:rsid w:val="00C269F5"/>
    <w:rsid w:val="00C2780C"/>
    <w:rsid w:val="00C301F3"/>
    <w:rsid w:val="00C30AA4"/>
    <w:rsid w:val="00C33207"/>
    <w:rsid w:val="00C33B1F"/>
    <w:rsid w:val="00C341FD"/>
    <w:rsid w:val="00C34228"/>
    <w:rsid w:val="00C35278"/>
    <w:rsid w:val="00C3557D"/>
    <w:rsid w:val="00C35674"/>
    <w:rsid w:val="00C35DF8"/>
    <w:rsid w:val="00C3624C"/>
    <w:rsid w:val="00C3646D"/>
    <w:rsid w:val="00C36893"/>
    <w:rsid w:val="00C37874"/>
    <w:rsid w:val="00C40328"/>
    <w:rsid w:val="00C403A0"/>
    <w:rsid w:val="00C40598"/>
    <w:rsid w:val="00C40654"/>
    <w:rsid w:val="00C41230"/>
    <w:rsid w:val="00C4145A"/>
    <w:rsid w:val="00C41B34"/>
    <w:rsid w:val="00C4215F"/>
    <w:rsid w:val="00C42791"/>
    <w:rsid w:val="00C42B34"/>
    <w:rsid w:val="00C42F0B"/>
    <w:rsid w:val="00C430A4"/>
    <w:rsid w:val="00C446A8"/>
    <w:rsid w:val="00C4601E"/>
    <w:rsid w:val="00C46494"/>
    <w:rsid w:val="00C46E3F"/>
    <w:rsid w:val="00C472D3"/>
    <w:rsid w:val="00C47654"/>
    <w:rsid w:val="00C5097B"/>
    <w:rsid w:val="00C50CBA"/>
    <w:rsid w:val="00C524D9"/>
    <w:rsid w:val="00C52B64"/>
    <w:rsid w:val="00C53069"/>
    <w:rsid w:val="00C53144"/>
    <w:rsid w:val="00C53594"/>
    <w:rsid w:val="00C54049"/>
    <w:rsid w:val="00C541A4"/>
    <w:rsid w:val="00C55173"/>
    <w:rsid w:val="00C552CC"/>
    <w:rsid w:val="00C5535C"/>
    <w:rsid w:val="00C5557E"/>
    <w:rsid w:val="00C561B6"/>
    <w:rsid w:val="00C56FEA"/>
    <w:rsid w:val="00C57922"/>
    <w:rsid w:val="00C61B1B"/>
    <w:rsid w:val="00C624D4"/>
    <w:rsid w:val="00C6258C"/>
    <w:rsid w:val="00C63A74"/>
    <w:rsid w:val="00C65B17"/>
    <w:rsid w:val="00C663A0"/>
    <w:rsid w:val="00C664F1"/>
    <w:rsid w:val="00C66B2F"/>
    <w:rsid w:val="00C66B6D"/>
    <w:rsid w:val="00C67029"/>
    <w:rsid w:val="00C6748B"/>
    <w:rsid w:val="00C70122"/>
    <w:rsid w:val="00C71F79"/>
    <w:rsid w:val="00C723C0"/>
    <w:rsid w:val="00C72556"/>
    <w:rsid w:val="00C735A0"/>
    <w:rsid w:val="00C735EC"/>
    <w:rsid w:val="00C73BA0"/>
    <w:rsid w:val="00C75275"/>
    <w:rsid w:val="00C767C9"/>
    <w:rsid w:val="00C77EDE"/>
    <w:rsid w:val="00C80447"/>
    <w:rsid w:val="00C80B91"/>
    <w:rsid w:val="00C80CFB"/>
    <w:rsid w:val="00C82340"/>
    <w:rsid w:val="00C82736"/>
    <w:rsid w:val="00C82AFA"/>
    <w:rsid w:val="00C82BFE"/>
    <w:rsid w:val="00C83FE3"/>
    <w:rsid w:val="00C84C2A"/>
    <w:rsid w:val="00C85099"/>
    <w:rsid w:val="00C86391"/>
    <w:rsid w:val="00C8787D"/>
    <w:rsid w:val="00C87EC1"/>
    <w:rsid w:val="00C9064C"/>
    <w:rsid w:val="00C91C2E"/>
    <w:rsid w:val="00C91DF9"/>
    <w:rsid w:val="00C928BD"/>
    <w:rsid w:val="00C93143"/>
    <w:rsid w:val="00C9348E"/>
    <w:rsid w:val="00C93DE5"/>
    <w:rsid w:val="00C94981"/>
    <w:rsid w:val="00C95270"/>
    <w:rsid w:val="00C953F4"/>
    <w:rsid w:val="00C9595A"/>
    <w:rsid w:val="00C97226"/>
    <w:rsid w:val="00C9749A"/>
    <w:rsid w:val="00C976A5"/>
    <w:rsid w:val="00C97BE7"/>
    <w:rsid w:val="00CA0065"/>
    <w:rsid w:val="00CA0F40"/>
    <w:rsid w:val="00CA1377"/>
    <w:rsid w:val="00CA1A5A"/>
    <w:rsid w:val="00CA28BC"/>
    <w:rsid w:val="00CA3838"/>
    <w:rsid w:val="00CA3BAC"/>
    <w:rsid w:val="00CA3F0E"/>
    <w:rsid w:val="00CA47A1"/>
    <w:rsid w:val="00CA4C23"/>
    <w:rsid w:val="00CA56C0"/>
    <w:rsid w:val="00CA5C80"/>
    <w:rsid w:val="00CA5E24"/>
    <w:rsid w:val="00CA6269"/>
    <w:rsid w:val="00CB0AC9"/>
    <w:rsid w:val="00CB1C24"/>
    <w:rsid w:val="00CB23DF"/>
    <w:rsid w:val="00CB2B31"/>
    <w:rsid w:val="00CB356D"/>
    <w:rsid w:val="00CB3619"/>
    <w:rsid w:val="00CB3785"/>
    <w:rsid w:val="00CB3F36"/>
    <w:rsid w:val="00CB4398"/>
    <w:rsid w:val="00CB43E4"/>
    <w:rsid w:val="00CB4C19"/>
    <w:rsid w:val="00CB5909"/>
    <w:rsid w:val="00CB65AB"/>
    <w:rsid w:val="00CB66C7"/>
    <w:rsid w:val="00CB6DB3"/>
    <w:rsid w:val="00CB6FAF"/>
    <w:rsid w:val="00CC0B06"/>
    <w:rsid w:val="00CC0C5E"/>
    <w:rsid w:val="00CC14D3"/>
    <w:rsid w:val="00CC1E26"/>
    <w:rsid w:val="00CC21A2"/>
    <w:rsid w:val="00CC27EE"/>
    <w:rsid w:val="00CC2E0B"/>
    <w:rsid w:val="00CC2EED"/>
    <w:rsid w:val="00CC2F3F"/>
    <w:rsid w:val="00CC352F"/>
    <w:rsid w:val="00CC3B3D"/>
    <w:rsid w:val="00CC4975"/>
    <w:rsid w:val="00CC588D"/>
    <w:rsid w:val="00CC59D8"/>
    <w:rsid w:val="00CC5E87"/>
    <w:rsid w:val="00CC770B"/>
    <w:rsid w:val="00CD02D5"/>
    <w:rsid w:val="00CD0316"/>
    <w:rsid w:val="00CD0420"/>
    <w:rsid w:val="00CD07AC"/>
    <w:rsid w:val="00CD181F"/>
    <w:rsid w:val="00CD1B94"/>
    <w:rsid w:val="00CD205D"/>
    <w:rsid w:val="00CD2060"/>
    <w:rsid w:val="00CD20B9"/>
    <w:rsid w:val="00CD2259"/>
    <w:rsid w:val="00CD3A04"/>
    <w:rsid w:val="00CD3D0C"/>
    <w:rsid w:val="00CD6F66"/>
    <w:rsid w:val="00CE21E2"/>
    <w:rsid w:val="00CE262A"/>
    <w:rsid w:val="00CE30F6"/>
    <w:rsid w:val="00CE3E8A"/>
    <w:rsid w:val="00CE540C"/>
    <w:rsid w:val="00CE6C3F"/>
    <w:rsid w:val="00CE7334"/>
    <w:rsid w:val="00CE7C26"/>
    <w:rsid w:val="00CE7C3C"/>
    <w:rsid w:val="00CF0BA0"/>
    <w:rsid w:val="00CF1223"/>
    <w:rsid w:val="00CF1756"/>
    <w:rsid w:val="00CF19C2"/>
    <w:rsid w:val="00CF1CB4"/>
    <w:rsid w:val="00CF3118"/>
    <w:rsid w:val="00CF3C1B"/>
    <w:rsid w:val="00CF43DC"/>
    <w:rsid w:val="00CF4A96"/>
    <w:rsid w:val="00CF5367"/>
    <w:rsid w:val="00CF5878"/>
    <w:rsid w:val="00CF6383"/>
    <w:rsid w:val="00CF6608"/>
    <w:rsid w:val="00CF6B22"/>
    <w:rsid w:val="00D00980"/>
    <w:rsid w:val="00D00E22"/>
    <w:rsid w:val="00D010BA"/>
    <w:rsid w:val="00D01CBA"/>
    <w:rsid w:val="00D02572"/>
    <w:rsid w:val="00D0282A"/>
    <w:rsid w:val="00D03A74"/>
    <w:rsid w:val="00D043F0"/>
    <w:rsid w:val="00D05448"/>
    <w:rsid w:val="00D0578E"/>
    <w:rsid w:val="00D06008"/>
    <w:rsid w:val="00D06688"/>
    <w:rsid w:val="00D06776"/>
    <w:rsid w:val="00D068C4"/>
    <w:rsid w:val="00D07739"/>
    <w:rsid w:val="00D07751"/>
    <w:rsid w:val="00D10856"/>
    <w:rsid w:val="00D10CD1"/>
    <w:rsid w:val="00D1203C"/>
    <w:rsid w:val="00D13011"/>
    <w:rsid w:val="00D133DE"/>
    <w:rsid w:val="00D13659"/>
    <w:rsid w:val="00D140B4"/>
    <w:rsid w:val="00D1457C"/>
    <w:rsid w:val="00D146B5"/>
    <w:rsid w:val="00D150BB"/>
    <w:rsid w:val="00D158C7"/>
    <w:rsid w:val="00D174F2"/>
    <w:rsid w:val="00D179BF"/>
    <w:rsid w:val="00D17A5C"/>
    <w:rsid w:val="00D20D9C"/>
    <w:rsid w:val="00D21451"/>
    <w:rsid w:val="00D21A42"/>
    <w:rsid w:val="00D22345"/>
    <w:rsid w:val="00D22674"/>
    <w:rsid w:val="00D22C48"/>
    <w:rsid w:val="00D2445E"/>
    <w:rsid w:val="00D248B8"/>
    <w:rsid w:val="00D251C9"/>
    <w:rsid w:val="00D2530A"/>
    <w:rsid w:val="00D25B13"/>
    <w:rsid w:val="00D260E6"/>
    <w:rsid w:val="00D270FC"/>
    <w:rsid w:val="00D27141"/>
    <w:rsid w:val="00D27525"/>
    <w:rsid w:val="00D27644"/>
    <w:rsid w:val="00D27688"/>
    <w:rsid w:val="00D30B13"/>
    <w:rsid w:val="00D30CBC"/>
    <w:rsid w:val="00D323B0"/>
    <w:rsid w:val="00D32791"/>
    <w:rsid w:val="00D33935"/>
    <w:rsid w:val="00D33F92"/>
    <w:rsid w:val="00D33FF7"/>
    <w:rsid w:val="00D3459B"/>
    <w:rsid w:val="00D34ADF"/>
    <w:rsid w:val="00D3568A"/>
    <w:rsid w:val="00D36C1E"/>
    <w:rsid w:val="00D40D94"/>
    <w:rsid w:val="00D41CD1"/>
    <w:rsid w:val="00D41F95"/>
    <w:rsid w:val="00D42CEA"/>
    <w:rsid w:val="00D4395F"/>
    <w:rsid w:val="00D43C74"/>
    <w:rsid w:val="00D44027"/>
    <w:rsid w:val="00D44517"/>
    <w:rsid w:val="00D4459B"/>
    <w:rsid w:val="00D448E0"/>
    <w:rsid w:val="00D45B75"/>
    <w:rsid w:val="00D465E1"/>
    <w:rsid w:val="00D466C9"/>
    <w:rsid w:val="00D467AB"/>
    <w:rsid w:val="00D4686A"/>
    <w:rsid w:val="00D46923"/>
    <w:rsid w:val="00D46C37"/>
    <w:rsid w:val="00D473BC"/>
    <w:rsid w:val="00D475BB"/>
    <w:rsid w:val="00D47929"/>
    <w:rsid w:val="00D479A6"/>
    <w:rsid w:val="00D47A30"/>
    <w:rsid w:val="00D50E6E"/>
    <w:rsid w:val="00D50F52"/>
    <w:rsid w:val="00D524AA"/>
    <w:rsid w:val="00D526BB"/>
    <w:rsid w:val="00D53253"/>
    <w:rsid w:val="00D570C6"/>
    <w:rsid w:val="00D57BFB"/>
    <w:rsid w:val="00D57CEC"/>
    <w:rsid w:val="00D6048F"/>
    <w:rsid w:val="00D61164"/>
    <w:rsid w:val="00D61633"/>
    <w:rsid w:val="00D61ACE"/>
    <w:rsid w:val="00D61CCC"/>
    <w:rsid w:val="00D62207"/>
    <w:rsid w:val="00D62CFE"/>
    <w:rsid w:val="00D63002"/>
    <w:rsid w:val="00D6388C"/>
    <w:rsid w:val="00D63F75"/>
    <w:rsid w:val="00D6404D"/>
    <w:rsid w:val="00D648E7"/>
    <w:rsid w:val="00D65460"/>
    <w:rsid w:val="00D655B4"/>
    <w:rsid w:val="00D65D71"/>
    <w:rsid w:val="00D65ED8"/>
    <w:rsid w:val="00D66E80"/>
    <w:rsid w:val="00D70AEE"/>
    <w:rsid w:val="00D71F02"/>
    <w:rsid w:val="00D72BCF"/>
    <w:rsid w:val="00D72C54"/>
    <w:rsid w:val="00D74C75"/>
    <w:rsid w:val="00D75381"/>
    <w:rsid w:val="00D75500"/>
    <w:rsid w:val="00D7663F"/>
    <w:rsid w:val="00D8009F"/>
    <w:rsid w:val="00D803D0"/>
    <w:rsid w:val="00D80A19"/>
    <w:rsid w:val="00D81606"/>
    <w:rsid w:val="00D8242E"/>
    <w:rsid w:val="00D83F2D"/>
    <w:rsid w:val="00D84621"/>
    <w:rsid w:val="00D8472E"/>
    <w:rsid w:val="00D84806"/>
    <w:rsid w:val="00D84824"/>
    <w:rsid w:val="00D8493E"/>
    <w:rsid w:val="00D8509D"/>
    <w:rsid w:val="00D850BC"/>
    <w:rsid w:val="00D8554C"/>
    <w:rsid w:val="00D86EF3"/>
    <w:rsid w:val="00D86FBD"/>
    <w:rsid w:val="00D870EB"/>
    <w:rsid w:val="00D8756F"/>
    <w:rsid w:val="00D90B57"/>
    <w:rsid w:val="00D91143"/>
    <w:rsid w:val="00D911BA"/>
    <w:rsid w:val="00D917F4"/>
    <w:rsid w:val="00D91CE6"/>
    <w:rsid w:val="00D91E0B"/>
    <w:rsid w:val="00D930E6"/>
    <w:rsid w:val="00D93972"/>
    <w:rsid w:val="00D93A23"/>
    <w:rsid w:val="00D9491E"/>
    <w:rsid w:val="00D94B9D"/>
    <w:rsid w:val="00D959B0"/>
    <w:rsid w:val="00DA085C"/>
    <w:rsid w:val="00DA1201"/>
    <w:rsid w:val="00DA2BAE"/>
    <w:rsid w:val="00DA3779"/>
    <w:rsid w:val="00DA42D9"/>
    <w:rsid w:val="00DA5221"/>
    <w:rsid w:val="00DA5231"/>
    <w:rsid w:val="00DA5AD7"/>
    <w:rsid w:val="00DA5F19"/>
    <w:rsid w:val="00DA66C7"/>
    <w:rsid w:val="00DA71DE"/>
    <w:rsid w:val="00DA73F9"/>
    <w:rsid w:val="00DA769F"/>
    <w:rsid w:val="00DB0AF5"/>
    <w:rsid w:val="00DB0B02"/>
    <w:rsid w:val="00DB1D38"/>
    <w:rsid w:val="00DB20DC"/>
    <w:rsid w:val="00DB2216"/>
    <w:rsid w:val="00DB361A"/>
    <w:rsid w:val="00DB3C8B"/>
    <w:rsid w:val="00DB3D97"/>
    <w:rsid w:val="00DB5000"/>
    <w:rsid w:val="00DB675B"/>
    <w:rsid w:val="00DB77A2"/>
    <w:rsid w:val="00DB7AD3"/>
    <w:rsid w:val="00DC0525"/>
    <w:rsid w:val="00DC12CB"/>
    <w:rsid w:val="00DC2720"/>
    <w:rsid w:val="00DC2B63"/>
    <w:rsid w:val="00DC3A41"/>
    <w:rsid w:val="00DC3B18"/>
    <w:rsid w:val="00DC3D51"/>
    <w:rsid w:val="00DC3E54"/>
    <w:rsid w:val="00DC427C"/>
    <w:rsid w:val="00DC5331"/>
    <w:rsid w:val="00DC6463"/>
    <w:rsid w:val="00DC69CD"/>
    <w:rsid w:val="00DD046F"/>
    <w:rsid w:val="00DD1403"/>
    <w:rsid w:val="00DD1551"/>
    <w:rsid w:val="00DD156A"/>
    <w:rsid w:val="00DD1797"/>
    <w:rsid w:val="00DD1D3A"/>
    <w:rsid w:val="00DD2A3E"/>
    <w:rsid w:val="00DD36A2"/>
    <w:rsid w:val="00DD4AB4"/>
    <w:rsid w:val="00DD4D6C"/>
    <w:rsid w:val="00DD4F0F"/>
    <w:rsid w:val="00DD5054"/>
    <w:rsid w:val="00DD593D"/>
    <w:rsid w:val="00DD6506"/>
    <w:rsid w:val="00DD6667"/>
    <w:rsid w:val="00DD6A22"/>
    <w:rsid w:val="00DD733F"/>
    <w:rsid w:val="00DD7805"/>
    <w:rsid w:val="00DD7ED4"/>
    <w:rsid w:val="00DE00C5"/>
    <w:rsid w:val="00DE0981"/>
    <w:rsid w:val="00DE1231"/>
    <w:rsid w:val="00DE1BDD"/>
    <w:rsid w:val="00DE276E"/>
    <w:rsid w:val="00DE3062"/>
    <w:rsid w:val="00DE3398"/>
    <w:rsid w:val="00DE4309"/>
    <w:rsid w:val="00DE4432"/>
    <w:rsid w:val="00DE4B39"/>
    <w:rsid w:val="00DE4B51"/>
    <w:rsid w:val="00DE519B"/>
    <w:rsid w:val="00DE6502"/>
    <w:rsid w:val="00DE6616"/>
    <w:rsid w:val="00DE7B7D"/>
    <w:rsid w:val="00DE7D7B"/>
    <w:rsid w:val="00DF0594"/>
    <w:rsid w:val="00DF089C"/>
    <w:rsid w:val="00DF0FE8"/>
    <w:rsid w:val="00DF164E"/>
    <w:rsid w:val="00DF17C4"/>
    <w:rsid w:val="00DF20B7"/>
    <w:rsid w:val="00DF3DAC"/>
    <w:rsid w:val="00DF44AA"/>
    <w:rsid w:val="00DF4669"/>
    <w:rsid w:val="00DF4832"/>
    <w:rsid w:val="00DF6B5F"/>
    <w:rsid w:val="00DF6BF1"/>
    <w:rsid w:val="00DF6DE6"/>
    <w:rsid w:val="00DF78AD"/>
    <w:rsid w:val="00DF796A"/>
    <w:rsid w:val="00DF7E91"/>
    <w:rsid w:val="00E01285"/>
    <w:rsid w:val="00E0142D"/>
    <w:rsid w:val="00E0159F"/>
    <w:rsid w:val="00E01671"/>
    <w:rsid w:val="00E016D4"/>
    <w:rsid w:val="00E02D90"/>
    <w:rsid w:val="00E0440A"/>
    <w:rsid w:val="00E050E7"/>
    <w:rsid w:val="00E05206"/>
    <w:rsid w:val="00E076B9"/>
    <w:rsid w:val="00E076CD"/>
    <w:rsid w:val="00E07F5D"/>
    <w:rsid w:val="00E10327"/>
    <w:rsid w:val="00E10777"/>
    <w:rsid w:val="00E1141B"/>
    <w:rsid w:val="00E13739"/>
    <w:rsid w:val="00E1400D"/>
    <w:rsid w:val="00E1429C"/>
    <w:rsid w:val="00E14AC8"/>
    <w:rsid w:val="00E14FDC"/>
    <w:rsid w:val="00E1562F"/>
    <w:rsid w:val="00E15A8E"/>
    <w:rsid w:val="00E16607"/>
    <w:rsid w:val="00E1718D"/>
    <w:rsid w:val="00E17FD0"/>
    <w:rsid w:val="00E20555"/>
    <w:rsid w:val="00E20FA5"/>
    <w:rsid w:val="00E215E0"/>
    <w:rsid w:val="00E21816"/>
    <w:rsid w:val="00E21C94"/>
    <w:rsid w:val="00E220C8"/>
    <w:rsid w:val="00E22194"/>
    <w:rsid w:val="00E22865"/>
    <w:rsid w:val="00E22EA2"/>
    <w:rsid w:val="00E233FF"/>
    <w:rsid w:val="00E23DE0"/>
    <w:rsid w:val="00E24654"/>
    <w:rsid w:val="00E25491"/>
    <w:rsid w:val="00E25B4B"/>
    <w:rsid w:val="00E25BD1"/>
    <w:rsid w:val="00E26D3B"/>
    <w:rsid w:val="00E27A6C"/>
    <w:rsid w:val="00E30135"/>
    <w:rsid w:val="00E30CEE"/>
    <w:rsid w:val="00E3101F"/>
    <w:rsid w:val="00E32D3C"/>
    <w:rsid w:val="00E32DC3"/>
    <w:rsid w:val="00E32FDF"/>
    <w:rsid w:val="00E32FE4"/>
    <w:rsid w:val="00E33093"/>
    <w:rsid w:val="00E334D7"/>
    <w:rsid w:val="00E34646"/>
    <w:rsid w:val="00E35E66"/>
    <w:rsid w:val="00E36A57"/>
    <w:rsid w:val="00E37C1F"/>
    <w:rsid w:val="00E408B7"/>
    <w:rsid w:val="00E42E7F"/>
    <w:rsid w:val="00E431F2"/>
    <w:rsid w:val="00E44CCD"/>
    <w:rsid w:val="00E45878"/>
    <w:rsid w:val="00E45EBE"/>
    <w:rsid w:val="00E4769C"/>
    <w:rsid w:val="00E502B6"/>
    <w:rsid w:val="00E50655"/>
    <w:rsid w:val="00E51056"/>
    <w:rsid w:val="00E520EE"/>
    <w:rsid w:val="00E52627"/>
    <w:rsid w:val="00E53392"/>
    <w:rsid w:val="00E53D58"/>
    <w:rsid w:val="00E53E56"/>
    <w:rsid w:val="00E5714E"/>
    <w:rsid w:val="00E57C89"/>
    <w:rsid w:val="00E60FA9"/>
    <w:rsid w:val="00E610D1"/>
    <w:rsid w:val="00E616A9"/>
    <w:rsid w:val="00E61723"/>
    <w:rsid w:val="00E61CA3"/>
    <w:rsid w:val="00E621D0"/>
    <w:rsid w:val="00E622EB"/>
    <w:rsid w:val="00E62611"/>
    <w:rsid w:val="00E637CD"/>
    <w:rsid w:val="00E6431A"/>
    <w:rsid w:val="00E659C8"/>
    <w:rsid w:val="00E65BE4"/>
    <w:rsid w:val="00E66008"/>
    <w:rsid w:val="00E679DC"/>
    <w:rsid w:val="00E7198D"/>
    <w:rsid w:val="00E71BE9"/>
    <w:rsid w:val="00E7202C"/>
    <w:rsid w:val="00E72A57"/>
    <w:rsid w:val="00E72DB5"/>
    <w:rsid w:val="00E732BF"/>
    <w:rsid w:val="00E73742"/>
    <w:rsid w:val="00E73FAD"/>
    <w:rsid w:val="00E74B5B"/>
    <w:rsid w:val="00E74D4D"/>
    <w:rsid w:val="00E74DC4"/>
    <w:rsid w:val="00E74E41"/>
    <w:rsid w:val="00E7605A"/>
    <w:rsid w:val="00E76348"/>
    <w:rsid w:val="00E7690A"/>
    <w:rsid w:val="00E76DF3"/>
    <w:rsid w:val="00E8038F"/>
    <w:rsid w:val="00E809D6"/>
    <w:rsid w:val="00E814C7"/>
    <w:rsid w:val="00E82485"/>
    <w:rsid w:val="00E82AA9"/>
    <w:rsid w:val="00E83AC5"/>
    <w:rsid w:val="00E840B2"/>
    <w:rsid w:val="00E8421F"/>
    <w:rsid w:val="00E84953"/>
    <w:rsid w:val="00E84EDD"/>
    <w:rsid w:val="00E86B91"/>
    <w:rsid w:val="00E8777B"/>
    <w:rsid w:val="00E92136"/>
    <w:rsid w:val="00E93437"/>
    <w:rsid w:val="00E9352C"/>
    <w:rsid w:val="00E94B1D"/>
    <w:rsid w:val="00E9523D"/>
    <w:rsid w:val="00E9609F"/>
    <w:rsid w:val="00E9735D"/>
    <w:rsid w:val="00E976C2"/>
    <w:rsid w:val="00E978E9"/>
    <w:rsid w:val="00EA0609"/>
    <w:rsid w:val="00EA1968"/>
    <w:rsid w:val="00EA2AD5"/>
    <w:rsid w:val="00EA2E00"/>
    <w:rsid w:val="00EA2FE4"/>
    <w:rsid w:val="00EA34BE"/>
    <w:rsid w:val="00EA357E"/>
    <w:rsid w:val="00EA3D69"/>
    <w:rsid w:val="00EA42ED"/>
    <w:rsid w:val="00EA633E"/>
    <w:rsid w:val="00EB0B17"/>
    <w:rsid w:val="00EB374B"/>
    <w:rsid w:val="00EB4205"/>
    <w:rsid w:val="00EB4A70"/>
    <w:rsid w:val="00EB51EC"/>
    <w:rsid w:val="00EB67E1"/>
    <w:rsid w:val="00EB69DF"/>
    <w:rsid w:val="00EB731A"/>
    <w:rsid w:val="00EB7B22"/>
    <w:rsid w:val="00EC183A"/>
    <w:rsid w:val="00EC2A82"/>
    <w:rsid w:val="00EC40F6"/>
    <w:rsid w:val="00EC4524"/>
    <w:rsid w:val="00EC5D03"/>
    <w:rsid w:val="00EC7D17"/>
    <w:rsid w:val="00EC7D8C"/>
    <w:rsid w:val="00ED08C4"/>
    <w:rsid w:val="00ED0FC1"/>
    <w:rsid w:val="00ED1EB7"/>
    <w:rsid w:val="00ED22E2"/>
    <w:rsid w:val="00ED259D"/>
    <w:rsid w:val="00ED2A0A"/>
    <w:rsid w:val="00ED3D18"/>
    <w:rsid w:val="00ED44AD"/>
    <w:rsid w:val="00ED5943"/>
    <w:rsid w:val="00ED6024"/>
    <w:rsid w:val="00ED6755"/>
    <w:rsid w:val="00ED7790"/>
    <w:rsid w:val="00EE0E30"/>
    <w:rsid w:val="00EE26B8"/>
    <w:rsid w:val="00EE3620"/>
    <w:rsid w:val="00EE38A9"/>
    <w:rsid w:val="00EE3A51"/>
    <w:rsid w:val="00EE4092"/>
    <w:rsid w:val="00EE4768"/>
    <w:rsid w:val="00EE4EDE"/>
    <w:rsid w:val="00EE5AD1"/>
    <w:rsid w:val="00EE5D9E"/>
    <w:rsid w:val="00EE6A97"/>
    <w:rsid w:val="00EE7060"/>
    <w:rsid w:val="00EE794C"/>
    <w:rsid w:val="00EE7FE6"/>
    <w:rsid w:val="00EF069B"/>
    <w:rsid w:val="00EF20EA"/>
    <w:rsid w:val="00EF22F5"/>
    <w:rsid w:val="00EF2F50"/>
    <w:rsid w:val="00EF3063"/>
    <w:rsid w:val="00EF3243"/>
    <w:rsid w:val="00EF4926"/>
    <w:rsid w:val="00EF4C58"/>
    <w:rsid w:val="00EF4D0E"/>
    <w:rsid w:val="00EF5124"/>
    <w:rsid w:val="00EF6253"/>
    <w:rsid w:val="00EF66E2"/>
    <w:rsid w:val="00EF6A92"/>
    <w:rsid w:val="00EF7700"/>
    <w:rsid w:val="00F0077F"/>
    <w:rsid w:val="00F018DF"/>
    <w:rsid w:val="00F0208D"/>
    <w:rsid w:val="00F02352"/>
    <w:rsid w:val="00F03558"/>
    <w:rsid w:val="00F0371D"/>
    <w:rsid w:val="00F03EED"/>
    <w:rsid w:val="00F04EE8"/>
    <w:rsid w:val="00F05B13"/>
    <w:rsid w:val="00F05ECB"/>
    <w:rsid w:val="00F06125"/>
    <w:rsid w:val="00F10ECB"/>
    <w:rsid w:val="00F10EEB"/>
    <w:rsid w:val="00F116BF"/>
    <w:rsid w:val="00F12E18"/>
    <w:rsid w:val="00F13305"/>
    <w:rsid w:val="00F14777"/>
    <w:rsid w:val="00F16495"/>
    <w:rsid w:val="00F173CA"/>
    <w:rsid w:val="00F17566"/>
    <w:rsid w:val="00F17717"/>
    <w:rsid w:val="00F1799D"/>
    <w:rsid w:val="00F17C51"/>
    <w:rsid w:val="00F2007F"/>
    <w:rsid w:val="00F2027A"/>
    <w:rsid w:val="00F2034A"/>
    <w:rsid w:val="00F215B2"/>
    <w:rsid w:val="00F21916"/>
    <w:rsid w:val="00F21D40"/>
    <w:rsid w:val="00F22092"/>
    <w:rsid w:val="00F22594"/>
    <w:rsid w:val="00F23D65"/>
    <w:rsid w:val="00F2442F"/>
    <w:rsid w:val="00F2571F"/>
    <w:rsid w:val="00F25EB6"/>
    <w:rsid w:val="00F2609C"/>
    <w:rsid w:val="00F26E7A"/>
    <w:rsid w:val="00F270CD"/>
    <w:rsid w:val="00F27A3F"/>
    <w:rsid w:val="00F27E37"/>
    <w:rsid w:val="00F27ED0"/>
    <w:rsid w:val="00F303BD"/>
    <w:rsid w:val="00F30DD5"/>
    <w:rsid w:val="00F30F3F"/>
    <w:rsid w:val="00F32076"/>
    <w:rsid w:val="00F32AF6"/>
    <w:rsid w:val="00F336A2"/>
    <w:rsid w:val="00F33C45"/>
    <w:rsid w:val="00F34CFE"/>
    <w:rsid w:val="00F369F0"/>
    <w:rsid w:val="00F37671"/>
    <w:rsid w:val="00F37C66"/>
    <w:rsid w:val="00F4022E"/>
    <w:rsid w:val="00F409D7"/>
    <w:rsid w:val="00F40AD3"/>
    <w:rsid w:val="00F41296"/>
    <w:rsid w:val="00F41993"/>
    <w:rsid w:val="00F41BE9"/>
    <w:rsid w:val="00F42970"/>
    <w:rsid w:val="00F429B5"/>
    <w:rsid w:val="00F43113"/>
    <w:rsid w:val="00F433E0"/>
    <w:rsid w:val="00F438AF"/>
    <w:rsid w:val="00F43FF1"/>
    <w:rsid w:val="00F44853"/>
    <w:rsid w:val="00F45459"/>
    <w:rsid w:val="00F46572"/>
    <w:rsid w:val="00F50F89"/>
    <w:rsid w:val="00F51AA7"/>
    <w:rsid w:val="00F51DE1"/>
    <w:rsid w:val="00F52022"/>
    <w:rsid w:val="00F521BB"/>
    <w:rsid w:val="00F52BE9"/>
    <w:rsid w:val="00F531A1"/>
    <w:rsid w:val="00F531D9"/>
    <w:rsid w:val="00F53B71"/>
    <w:rsid w:val="00F54017"/>
    <w:rsid w:val="00F54917"/>
    <w:rsid w:val="00F54F16"/>
    <w:rsid w:val="00F55971"/>
    <w:rsid w:val="00F56270"/>
    <w:rsid w:val="00F56E49"/>
    <w:rsid w:val="00F56F3C"/>
    <w:rsid w:val="00F605C7"/>
    <w:rsid w:val="00F60B24"/>
    <w:rsid w:val="00F615BF"/>
    <w:rsid w:val="00F61E06"/>
    <w:rsid w:val="00F6260E"/>
    <w:rsid w:val="00F627D5"/>
    <w:rsid w:val="00F62FEF"/>
    <w:rsid w:val="00F6340B"/>
    <w:rsid w:val="00F63BDD"/>
    <w:rsid w:val="00F647DB"/>
    <w:rsid w:val="00F651B5"/>
    <w:rsid w:val="00F65973"/>
    <w:rsid w:val="00F66160"/>
    <w:rsid w:val="00F661F0"/>
    <w:rsid w:val="00F66687"/>
    <w:rsid w:val="00F6669B"/>
    <w:rsid w:val="00F669AD"/>
    <w:rsid w:val="00F66E75"/>
    <w:rsid w:val="00F66F09"/>
    <w:rsid w:val="00F702A6"/>
    <w:rsid w:val="00F722CC"/>
    <w:rsid w:val="00F72F44"/>
    <w:rsid w:val="00F738B9"/>
    <w:rsid w:val="00F746B9"/>
    <w:rsid w:val="00F759D4"/>
    <w:rsid w:val="00F77867"/>
    <w:rsid w:val="00F77E2D"/>
    <w:rsid w:val="00F8070B"/>
    <w:rsid w:val="00F80F14"/>
    <w:rsid w:val="00F81463"/>
    <w:rsid w:val="00F829B7"/>
    <w:rsid w:val="00F83FF5"/>
    <w:rsid w:val="00F844F6"/>
    <w:rsid w:val="00F8469A"/>
    <w:rsid w:val="00F85A3E"/>
    <w:rsid w:val="00F863A7"/>
    <w:rsid w:val="00F87B4A"/>
    <w:rsid w:val="00F9050B"/>
    <w:rsid w:val="00F909EA"/>
    <w:rsid w:val="00F90BEA"/>
    <w:rsid w:val="00F92639"/>
    <w:rsid w:val="00F9360D"/>
    <w:rsid w:val="00F94211"/>
    <w:rsid w:val="00F94339"/>
    <w:rsid w:val="00F94414"/>
    <w:rsid w:val="00F944E0"/>
    <w:rsid w:val="00F946D6"/>
    <w:rsid w:val="00F94BAE"/>
    <w:rsid w:val="00F94F09"/>
    <w:rsid w:val="00F958E1"/>
    <w:rsid w:val="00F9666E"/>
    <w:rsid w:val="00F966BC"/>
    <w:rsid w:val="00F968F9"/>
    <w:rsid w:val="00F97466"/>
    <w:rsid w:val="00F97FBF"/>
    <w:rsid w:val="00FA03AB"/>
    <w:rsid w:val="00FA0CAA"/>
    <w:rsid w:val="00FA27C6"/>
    <w:rsid w:val="00FA3CF8"/>
    <w:rsid w:val="00FA46DA"/>
    <w:rsid w:val="00FA4C5B"/>
    <w:rsid w:val="00FA5042"/>
    <w:rsid w:val="00FA6958"/>
    <w:rsid w:val="00FB046E"/>
    <w:rsid w:val="00FB06FB"/>
    <w:rsid w:val="00FB0F0B"/>
    <w:rsid w:val="00FB1882"/>
    <w:rsid w:val="00FB1D67"/>
    <w:rsid w:val="00FB2560"/>
    <w:rsid w:val="00FB2E6C"/>
    <w:rsid w:val="00FB3A3D"/>
    <w:rsid w:val="00FB5F43"/>
    <w:rsid w:val="00FB66EF"/>
    <w:rsid w:val="00FB67A1"/>
    <w:rsid w:val="00FB75D8"/>
    <w:rsid w:val="00FB760D"/>
    <w:rsid w:val="00FB7C4A"/>
    <w:rsid w:val="00FC1194"/>
    <w:rsid w:val="00FC166E"/>
    <w:rsid w:val="00FC1C20"/>
    <w:rsid w:val="00FC2190"/>
    <w:rsid w:val="00FC406E"/>
    <w:rsid w:val="00FC43F0"/>
    <w:rsid w:val="00FC4C8D"/>
    <w:rsid w:val="00FC5574"/>
    <w:rsid w:val="00FC5C50"/>
    <w:rsid w:val="00FC6F7A"/>
    <w:rsid w:val="00FC703E"/>
    <w:rsid w:val="00FC70A6"/>
    <w:rsid w:val="00FD0409"/>
    <w:rsid w:val="00FD0A8B"/>
    <w:rsid w:val="00FD2233"/>
    <w:rsid w:val="00FD2EF7"/>
    <w:rsid w:val="00FD4B17"/>
    <w:rsid w:val="00FD58D8"/>
    <w:rsid w:val="00FD7F65"/>
    <w:rsid w:val="00FE0D8E"/>
    <w:rsid w:val="00FE10A4"/>
    <w:rsid w:val="00FE1706"/>
    <w:rsid w:val="00FE1E34"/>
    <w:rsid w:val="00FE2D3B"/>
    <w:rsid w:val="00FE344F"/>
    <w:rsid w:val="00FE373F"/>
    <w:rsid w:val="00FE4BCC"/>
    <w:rsid w:val="00FE50E6"/>
    <w:rsid w:val="00FE5F6D"/>
    <w:rsid w:val="00FF0ED2"/>
    <w:rsid w:val="00FF0F28"/>
    <w:rsid w:val="00FF1818"/>
    <w:rsid w:val="00FF3397"/>
    <w:rsid w:val="00FF352E"/>
    <w:rsid w:val="00FF3A49"/>
    <w:rsid w:val="00FF3DBC"/>
    <w:rsid w:val="00FF400C"/>
    <w:rsid w:val="00FF4945"/>
    <w:rsid w:val="00FF5419"/>
    <w:rsid w:val="00FF5A93"/>
    <w:rsid w:val="00FF5BE7"/>
    <w:rsid w:val="00FF5FF6"/>
    <w:rsid w:val="00FF79B7"/>
    <w:rsid w:val="00FF7BB5"/>
    <w:rsid w:val="01154EDD"/>
    <w:rsid w:val="01236307"/>
    <w:rsid w:val="01434A87"/>
    <w:rsid w:val="01710365"/>
    <w:rsid w:val="01C53945"/>
    <w:rsid w:val="021A27AB"/>
    <w:rsid w:val="025C6318"/>
    <w:rsid w:val="02661218"/>
    <w:rsid w:val="02727B16"/>
    <w:rsid w:val="027F4D04"/>
    <w:rsid w:val="02873BB9"/>
    <w:rsid w:val="02A66735"/>
    <w:rsid w:val="02D5625F"/>
    <w:rsid w:val="02DC5CB3"/>
    <w:rsid w:val="02E37041"/>
    <w:rsid w:val="02E65FB1"/>
    <w:rsid w:val="02EB4148"/>
    <w:rsid w:val="02EE6FD0"/>
    <w:rsid w:val="02FC6355"/>
    <w:rsid w:val="03470EAF"/>
    <w:rsid w:val="034E3CB1"/>
    <w:rsid w:val="03563CB7"/>
    <w:rsid w:val="03AA1A18"/>
    <w:rsid w:val="03C319A1"/>
    <w:rsid w:val="03CA1FAF"/>
    <w:rsid w:val="03D130C9"/>
    <w:rsid w:val="03D418F0"/>
    <w:rsid w:val="03EC63C9"/>
    <w:rsid w:val="03FD3799"/>
    <w:rsid w:val="04117FEF"/>
    <w:rsid w:val="044545D1"/>
    <w:rsid w:val="04545D1C"/>
    <w:rsid w:val="049D7FDE"/>
    <w:rsid w:val="04B844FD"/>
    <w:rsid w:val="04C5776B"/>
    <w:rsid w:val="05143E2A"/>
    <w:rsid w:val="05273C06"/>
    <w:rsid w:val="052F573E"/>
    <w:rsid w:val="054777F1"/>
    <w:rsid w:val="05647626"/>
    <w:rsid w:val="057317DD"/>
    <w:rsid w:val="059705B7"/>
    <w:rsid w:val="05C425F8"/>
    <w:rsid w:val="05DA71F9"/>
    <w:rsid w:val="05EC26B0"/>
    <w:rsid w:val="062F51E0"/>
    <w:rsid w:val="064A23BB"/>
    <w:rsid w:val="06574A01"/>
    <w:rsid w:val="06B47174"/>
    <w:rsid w:val="06CE18DE"/>
    <w:rsid w:val="070C7E07"/>
    <w:rsid w:val="0769533F"/>
    <w:rsid w:val="079300EE"/>
    <w:rsid w:val="07940642"/>
    <w:rsid w:val="07B70A9C"/>
    <w:rsid w:val="07DF17F1"/>
    <w:rsid w:val="082A4A66"/>
    <w:rsid w:val="083D21EC"/>
    <w:rsid w:val="08412974"/>
    <w:rsid w:val="084F0EF0"/>
    <w:rsid w:val="08A531BB"/>
    <w:rsid w:val="08F455F2"/>
    <w:rsid w:val="095567BF"/>
    <w:rsid w:val="0978425B"/>
    <w:rsid w:val="098D0BED"/>
    <w:rsid w:val="0A084B96"/>
    <w:rsid w:val="0A5151D8"/>
    <w:rsid w:val="0A6D5EDC"/>
    <w:rsid w:val="0AA07F0D"/>
    <w:rsid w:val="0AC65195"/>
    <w:rsid w:val="0B474C63"/>
    <w:rsid w:val="0B8D2240"/>
    <w:rsid w:val="0BBE7D1E"/>
    <w:rsid w:val="0BFE174A"/>
    <w:rsid w:val="0C7B6C69"/>
    <w:rsid w:val="0C8C24F7"/>
    <w:rsid w:val="0CAB3723"/>
    <w:rsid w:val="0CEE21C7"/>
    <w:rsid w:val="0D0C3952"/>
    <w:rsid w:val="0D24463F"/>
    <w:rsid w:val="0D3346DE"/>
    <w:rsid w:val="0D456137"/>
    <w:rsid w:val="0D6F733C"/>
    <w:rsid w:val="0D783516"/>
    <w:rsid w:val="0D883C4C"/>
    <w:rsid w:val="0DA601C5"/>
    <w:rsid w:val="0DBA4268"/>
    <w:rsid w:val="0DCC7856"/>
    <w:rsid w:val="0E0F3E53"/>
    <w:rsid w:val="0E3E5A73"/>
    <w:rsid w:val="0E9D352F"/>
    <w:rsid w:val="0EAE69D7"/>
    <w:rsid w:val="0EBF1E46"/>
    <w:rsid w:val="0ECF22B7"/>
    <w:rsid w:val="0F8853DA"/>
    <w:rsid w:val="0F890F70"/>
    <w:rsid w:val="0F8F3252"/>
    <w:rsid w:val="0FA74675"/>
    <w:rsid w:val="0FCC6859"/>
    <w:rsid w:val="0FD66044"/>
    <w:rsid w:val="0FE407CC"/>
    <w:rsid w:val="10043DF1"/>
    <w:rsid w:val="10064D82"/>
    <w:rsid w:val="10502AA1"/>
    <w:rsid w:val="10B354ED"/>
    <w:rsid w:val="10D37824"/>
    <w:rsid w:val="10EC24AE"/>
    <w:rsid w:val="10FC0202"/>
    <w:rsid w:val="110F1949"/>
    <w:rsid w:val="111E0A81"/>
    <w:rsid w:val="11204E96"/>
    <w:rsid w:val="114535BD"/>
    <w:rsid w:val="114D4A69"/>
    <w:rsid w:val="11967974"/>
    <w:rsid w:val="11A97996"/>
    <w:rsid w:val="11E95D4A"/>
    <w:rsid w:val="124D097B"/>
    <w:rsid w:val="12783B29"/>
    <w:rsid w:val="128819B3"/>
    <w:rsid w:val="12EA441C"/>
    <w:rsid w:val="12F54D70"/>
    <w:rsid w:val="132149FE"/>
    <w:rsid w:val="13422DE8"/>
    <w:rsid w:val="136D5B69"/>
    <w:rsid w:val="137632DE"/>
    <w:rsid w:val="137D0DEC"/>
    <w:rsid w:val="138954DD"/>
    <w:rsid w:val="13BA4A44"/>
    <w:rsid w:val="13BE20B9"/>
    <w:rsid w:val="13C87DF5"/>
    <w:rsid w:val="13CB2553"/>
    <w:rsid w:val="13D16866"/>
    <w:rsid w:val="13E671A8"/>
    <w:rsid w:val="13E96481"/>
    <w:rsid w:val="13F84DAB"/>
    <w:rsid w:val="14087966"/>
    <w:rsid w:val="14147A43"/>
    <w:rsid w:val="14382F65"/>
    <w:rsid w:val="14743B8C"/>
    <w:rsid w:val="14975EDD"/>
    <w:rsid w:val="14CE7AF7"/>
    <w:rsid w:val="14FB0DE3"/>
    <w:rsid w:val="151B31B3"/>
    <w:rsid w:val="156641A1"/>
    <w:rsid w:val="15704652"/>
    <w:rsid w:val="15760435"/>
    <w:rsid w:val="15D10DC3"/>
    <w:rsid w:val="161B669A"/>
    <w:rsid w:val="16B261BB"/>
    <w:rsid w:val="16D64A88"/>
    <w:rsid w:val="17011D34"/>
    <w:rsid w:val="170A4716"/>
    <w:rsid w:val="175810C4"/>
    <w:rsid w:val="17873977"/>
    <w:rsid w:val="17B81234"/>
    <w:rsid w:val="17D962EE"/>
    <w:rsid w:val="17EE4066"/>
    <w:rsid w:val="17F916A3"/>
    <w:rsid w:val="18910E95"/>
    <w:rsid w:val="189C522C"/>
    <w:rsid w:val="18A8690B"/>
    <w:rsid w:val="18D72D4C"/>
    <w:rsid w:val="19045B0B"/>
    <w:rsid w:val="19505997"/>
    <w:rsid w:val="19821296"/>
    <w:rsid w:val="19BD298B"/>
    <w:rsid w:val="1A0473EB"/>
    <w:rsid w:val="1A733F04"/>
    <w:rsid w:val="1AB06098"/>
    <w:rsid w:val="1AFE6CB6"/>
    <w:rsid w:val="1B0B3728"/>
    <w:rsid w:val="1B743BBD"/>
    <w:rsid w:val="1BB11F7A"/>
    <w:rsid w:val="1BC01405"/>
    <w:rsid w:val="1BC05D1A"/>
    <w:rsid w:val="1BD167DF"/>
    <w:rsid w:val="1BDE7E81"/>
    <w:rsid w:val="1BEA548C"/>
    <w:rsid w:val="1C602B4F"/>
    <w:rsid w:val="1C847C14"/>
    <w:rsid w:val="1C912E18"/>
    <w:rsid w:val="1C9354B8"/>
    <w:rsid w:val="1CDA6F12"/>
    <w:rsid w:val="1CEB5018"/>
    <w:rsid w:val="1CF21D0A"/>
    <w:rsid w:val="1D1125A5"/>
    <w:rsid w:val="1D5162E7"/>
    <w:rsid w:val="1DA04663"/>
    <w:rsid w:val="1DDE2DCF"/>
    <w:rsid w:val="1DFC317C"/>
    <w:rsid w:val="1E08575F"/>
    <w:rsid w:val="1E0D0FBE"/>
    <w:rsid w:val="1E436729"/>
    <w:rsid w:val="1E4D585F"/>
    <w:rsid w:val="1EE93D29"/>
    <w:rsid w:val="1F0C74C8"/>
    <w:rsid w:val="1F193D55"/>
    <w:rsid w:val="1F723D94"/>
    <w:rsid w:val="1F84461D"/>
    <w:rsid w:val="1F953961"/>
    <w:rsid w:val="1F971487"/>
    <w:rsid w:val="1F9C6A9E"/>
    <w:rsid w:val="1FC16C73"/>
    <w:rsid w:val="1FD15EEA"/>
    <w:rsid w:val="1FDD6E90"/>
    <w:rsid w:val="1FFB7497"/>
    <w:rsid w:val="1FFC05F2"/>
    <w:rsid w:val="20A27EC1"/>
    <w:rsid w:val="20AA6F98"/>
    <w:rsid w:val="20C536CD"/>
    <w:rsid w:val="211B1C44"/>
    <w:rsid w:val="2121392E"/>
    <w:rsid w:val="21470912"/>
    <w:rsid w:val="21811898"/>
    <w:rsid w:val="219858C2"/>
    <w:rsid w:val="21B75E11"/>
    <w:rsid w:val="21CB5418"/>
    <w:rsid w:val="21CE6E5F"/>
    <w:rsid w:val="21E10C85"/>
    <w:rsid w:val="21F7620D"/>
    <w:rsid w:val="21FF50C2"/>
    <w:rsid w:val="22124EE9"/>
    <w:rsid w:val="223236E9"/>
    <w:rsid w:val="22665141"/>
    <w:rsid w:val="22914F6A"/>
    <w:rsid w:val="230633CA"/>
    <w:rsid w:val="23362D65"/>
    <w:rsid w:val="23554406"/>
    <w:rsid w:val="2386426F"/>
    <w:rsid w:val="239B477C"/>
    <w:rsid w:val="24084EAF"/>
    <w:rsid w:val="24310293"/>
    <w:rsid w:val="24793720"/>
    <w:rsid w:val="24A74B7C"/>
    <w:rsid w:val="24C95239"/>
    <w:rsid w:val="24D52A95"/>
    <w:rsid w:val="24FE20A9"/>
    <w:rsid w:val="250B4042"/>
    <w:rsid w:val="251A1AF3"/>
    <w:rsid w:val="255045B2"/>
    <w:rsid w:val="255F65A3"/>
    <w:rsid w:val="25724255"/>
    <w:rsid w:val="257C2A32"/>
    <w:rsid w:val="25910727"/>
    <w:rsid w:val="25A65518"/>
    <w:rsid w:val="25C107D7"/>
    <w:rsid w:val="25E371D4"/>
    <w:rsid w:val="26061115"/>
    <w:rsid w:val="260F2EFB"/>
    <w:rsid w:val="26404DA8"/>
    <w:rsid w:val="2663431E"/>
    <w:rsid w:val="266D7395"/>
    <w:rsid w:val="2682004E"/>
    <w:rsid w:val="268E1050"/>
    <w:rsid w:val="26AE177C"/>
    <w:rsid w:val="26C24433"/>
    <w:rsid w:val="26EC76F2"/>
    <w:rsid w:val="26F105B8"/>
    <w:rsid w:val="26F77A47"/>
    <w:rsid w:val="2735463E"/>
    <w:rsid w:val="274F4284"/>
    <w:rsid w:val="27E96B64"/>
    <w:rsid w:val="283E0CC9"/>
    <w:rsid w:val="28573901"/>
    <w:rsid w:val="28702875"/>
    <w:rsid w:val="287A246B"/>
    <w:rsid w:val="28AA5A71"/>
    <w:rsid w:val="28AE3D74"/>
    <w:rsid w:val="28E57157"/>
    <w:rsid w:val="28F2772E"/>
    <w:rsid w:val="292E4C0A"/>
    <w:rsid w:val="29943528"/>
    <w:rsid w:val="29B72652"/>
    <w:rsid w:val="29FC15DE"/>
    <w:rsid w:val="2A4601BA"/>
    <w:rsid w:val="2A4A60D0"/>
    <w:rsid w:val="2A557F75"/>
    <w:rsid w:val="2A6601A2"/>
    <w:rsid w:val="2A861179"/>
    <w:rsid w:val="2A8D46CE"/>
    <w:rsid w:val="2AB40795"/>
    <w:rsid w:val="2B401F41"/>
    <w:rsid w:val="2BDE20BE"/>
    <w:rsid w:val="2C2A1965"/>
    <w:rsid w:val="2C927461"/>
    <w:rsid w:val="2CFA4E04"/>
    <w:rsid w:val="2D5C0982"/>
    <w:rsid w:val="2D8D21DF"/>
    <w:rsid w:val="2D8E69B4"/>
    <w:rsid w:val="2D913724"/>
    <w:rsid w:val="2DBC3EE3"/>
    <w:rsid w:val="2DDB4C35"/>
    <w:rsid w:val="2E0E500A"/>
    <w:rsid w:val="2E123636"/>
    <w:rsid w:val="2E385BE3"/>
    <w:rsid w:val="2E446C02"/>
    <w:rsid w:val="2E4513A5"/>
    <w:rsid w:val="2E492BFC"/>
    <w:rsid w:val="2E532A1D"/>
    <w:rsid w:val="2EFB442A"/>
    <w:rsid w:val="2F335FC8"/>
    <w:rsid w:val="2F6B0064"/>
    <w:rsid w:val="2F7C7AED"/>
    <w:rsid w:val="2FA45615"/>
    <w:rsid w:val="2FA63021"/>
    <w:rsid w:val="2FA84FEB"/>
    <w:rsid w:val="2FBB7271"/>
    <w:rsid w:val="2FCD4A51"/>
    <w:rsid w:val="2FE46DA6"/>
    <w:rsid w:val="2FEA5610"/>
    <w:rsid w:val="301B019A"/>
    <w:rsid w:val="301F59D6"/>
    <w:rsid w:val="30430649"/>
    <w:rsid w:val="305F7D9F"/>
    <w:rsid w:val="306658EA"/>
    <w:rsid w:val="306C426A"/>
    <w:rsid w:val="309A2058"/>
    <w:rsid w:val="310F2F64"/>
    <w:rsid w:val="31130FFA"/>
    <w:rsid w:val="314104C5"/>
    <w:rsid w:val="314E571E"/>
    <w:rsid w:val="315F1C72"/>
    <w:rsid w:val="31784BB8"/>
    <w:rsid w:val="317A07B3"/>
    <w:rsid w:val="31943A79"/>
    <w:rsid w:val="31A76C7A"/>
    <w:rsid w:val="31B45EC9"/>
    <w:rsid w:val="320F7001"/>
    <w:rsid w:val="32130E41"/>
    <w:rsid w:val="32195D2C"/>
    <w:rsid w:val="32534097"/>
    <w:rsid w:val="325356E2"/>
    <w:rsid w:val="327F6ED4"/>
    <w:rsid w:val="32CE140C"/>
    <w:rsid w:val="32D81743"/>
    <w:rsid w:val="33917071"/>
    <w:rsid w:val="342855C6"/>
    <w:rsid w:val="344352E2"/>
    <w:rsid w:val="3454129D"/>
    <w:rsid w:val="346F5EE4"/>
    <w:rsid w:val="347E1C26"/>
    <w:rsid w:val="34A22083"/>
    <w:rsid w:val="34B470D6"/>
    <w:rsid w:val="34C0621C"/>
    <w:rsid w:val="34C32740"/>
    <w:rsid w:val="34E2381A"/>
    <w:rsid w:val="34EA39B0"/>
    <w:rsid w:val="34FF09A5"/>
    <w:rsid w:val="35523A2F"/>
    <w:rsid w:val="35A343E0"/>
    <w:rsid w:val="35AD7917"/>
    <w:rsid w:val="35B71AE4"/>
    <w:rsid w:val="35CC28F9"/>
    <w:rsid w:val="35DD17BF"/>
    <w:rsid w:val="35FE3BB6"/>
    <w:rsid w:val="36145188"/>
    <w:rsid w:val="361D638B"/>
    <w:rsid w:val="363F5330"/>
    <w:rsid w:val="364F4412"/>
    <w:rsid w:val="368B2B4D"/>
    <w:rsid w:val="36D316EF"/>
    <w:rsid w:val="36EA3F31"/>
    <w:rsid w:val="375D37CD"/>
    <w:rsid w:val="375E79C1"/>
    <w:rsid w:val="378F65C2"/>
    <w:rsid w:val="379F51C3"/>
    <w:rsid w:val="37A61E10"/>
    <w:rsid w:val="37A75B88"/>
    <w:rsid w:val="37CF580A"/>
    <w:rsid w:val="37E60A8C"/>
    <w:rsid w:val="37EC7F4C"/>
    <w:rsid w:val="381B7032"/>
    <w:rsid w:val="388C7258"/>
    <w:rsid w:val="38D7441D"/>
    <w:rsid w:val="38ED0ACC"/>
    <w:rsid w:val="38EF7908"/>
    <w:rsid w:val="38FB09EB"/>
    <w:rsid w:val="39205BF2"/>
    <w:rsid w:val="392E6BEC"/>
    <w:rsid w:val="39371722"/>
    <w:rsid w:val="398D6119"/>
    <w:rsid w:val="399B2A1E"/>
    <w:rsid w:val="39CD7B28"/>
    <w:rsid w:val="39D4535A"/>
    <w:rsid w:val="39DD3100"/>
    <w:rsid w:val="39DE7F87"/>
    <w:rsid w:val="3A290D5D"/>
    <w:rsid w:val="3AC543E6"/>
    <w:rsid w:val="3AE24B7B"/>
    <w:rsid w:val="3AF90045"/>
    <w:rsid w:val="3B4E564A"/>
    <w:rsid w:val="3B912BAE"/>
    <w:rsid w:val="3BCE7B87"/>
    <w:rsid w:val="3BFA4E20"/>
    <w:rsid w:val="3C073B18"/>
    <w:rsid w:val="3C332A8E"/>
    <w:rsid w:val="3C3501BA"/>
    <w:rsid w:val="3C38504D"/>
    <w:rsid w:val="3C406CD7"/>
    <w:rsid w:val="3C4C7161"/>
    <w:rsid w:val="3C5C33E5"/>
    <w:rsid w:val="3C7050E2"/>
    <w:rsid w:val="3CDC6A44"/>
    <w:rsid w:val="3CF4361D"/>
    <w:rsid w:val="3D393669"/>
    <w:rsid w:val="3D7479A0"/>
    <w:rsid w:val="3DAD2A88"/>
    <w:rsid w:val="3DBD5764"/>
    <w:rsid w:val="3E111568"/>
    <w:rsid w:val="3E2F0B93"/>
    <w:rsid w:val="3E430897"/>
    <w:rsid w:val="3E4C1802"/>
    <w:rsid w:val="3E9E1A93"/>
    <w:rsid w:val="3EAD617A"/>
    <w:rsid w:val="3EC83D6D"/>
    <w:rsid w:val="3EE55962"/>
    <w:rsid w:val="3EF94F1B"/>
    <w:rsid w:val="3F106D6E"/>
    <w:rsid w:val="3F116709"/>
    <w:rsid w:val="3F5D194E"/>
    <w:rsid w:val="3FCE5C97"/>
    <w:rsid w:val="3FD523E2"/>
    <w:rsid w:val="40372168"/>
    <w:rsid w:val="403F1053"/>
    <w:rsid w:val="4050500F"/>
    <w:rsid w:val="406B009A"/>
    <w:rsid w:val="408A49C4"/>
    <w:rsid w:val="40E67721"/>
    <w:rsid w:val="4112189D"/>
    <w:rsid w:val="411F71D7"/>
    <w:rsid w:val="417448C1"/>
    <w:rsid w:val="417E7959"/>
    <w:rsid w:val="419158DF"/>
    <w:rsid w:val="419476B5"/>
    <w:rsid w:val="419C61CD"/>
    <w:rsid w:val="41B94E35"/>
    <w:rsid w:val="41CD63BD"/>
    <w:rsid w:val="423D4011"/>
    <w:rsid w:val="42741B9A"/>
    <w:rsid w:val="428D22B5"/>
    <w:rsid w:val="42A93DE3"/>
    <w:rsid w:val="42ED3F65"/>
    <w:rsid w:val="43203F88"/>
    <w:rsid w:val="43574906"/>
    <w:rsid w:val="435C5886"/>
    <w:rsid w:val="4396109D"/>
    <w:rsid w:val="43A20BA0"/>
    <w:rsid w:val="43D13E35"/>
    <w:rsid w:val="43DF1EE8"/>
    <w:rsid w:val="445448B1"/>
    <w:rsid w:val="44581E41"/>
    <w:rsid w:val="445A5DF7"/>
    <w:rsid w:val="44A65B45"/>
    <w:rsid w:val="44FB3122"/>
    <w:rsid w:val="450928A8"/>
    <w:rsid w:val="4534579A"/>
    <w:rsid w:val="45380232"/>
    <w:rsid w:val="45471D9C"/>
    <w:rsid w:val="455C4AAA"/>
    <w:rsid w:val="457A6CC1"/>
    <w:rsid w:val="45AA51C1"/>
    <w:rsid w:val="45C64D7A"/>
    <w:rsid w:val="45C67B21"/>
    <w:rsid w:val="46060CB2"/>
    <w:rsid w:val="4613720A"/>
    <w:rsid w:val="461C106F"/>
    <w:rsid w:val="46794B93"/>
    <w:rsid w:val="46805F22"/>
    <w:rsid w:val="46B87232"/>
    <w:rsid w:val="46DC584E"/>
    <w:rsid w:val="4715798F"/>
    <w:rsid w:val="471E74CB"/>
    <w:rsid w:val="474156B1"/>
    <w:rsid w:val="478C3CCB"/>
    <w:rsid w:val="47DB3D58"/>
    <w:rsid w:val="47EC1AC1"/>
    <w:rsid w:val="47EC774B"/>
    <w:rsid w:val="481B156B"/>
    <w:rsid w:val="48BC316C"/>
    <w:rsid w:val="48BC749A"/>
    <w:rsid w:val="48BF5427"/>
    <w:rsid w:val="48DE64C9"/>
    <w:rsid w:val="48DF5182"/>
    <w:rsid w:val="48E8483F"/>
    <w:rsid w:val="491D214E"/>
    <w:rsid w:val="49973CAE"/>
    <w:rsid w:val="49997A26"/>
    <w:rsid w:val="499E6A34"/>
    <w:rsid w:val="499F2B63"/>
    <w:rsid w:val="49A63EF1"/>
    <w:rsid w:val="49EB4837"/>
    <w:rsid w:val="4A0B4EFC"/>
    <w:rsid w:val="4A1F5D7A"/>
    <w:rsid w:val="4AB12B4E"/>
    <w:rsid w:val="4AD54A8E"/>
    <w:rsid w:val="4AF55130"/>
    <w:rsid w:val="4B6202EC"/>
    <w:rsid w:val="4B8F7333"/>
    <w:rsid w:val="4BBD0964"/>
    <w:rsid w:val="4BF83930"/>
    <w:rsid w:val="4C1650A1"/>
    <w:rsid w:val="4C293FCF"/>
    <w:rsid w:val="4C3B3017"/>
    <w:rsid w:val="4C4B7ED9"/>
    <w:rsid w:val="4C6438FF"/>
    <w:rsid w:val="4C65270C"/>
    <w:rsid w:val="4C6D6718"/>
    <w:rsid w:val="4C8072EB"/>
    <w:rsid w:val="4D2534BC"/>
    <w:rsid w:val="4D3A1520"/>
    <w:rsid w:val="4DBF6F7E"/>
    <w:rsid w:val="4DD83A3F"/>
    <w:rsid w:val="4DF876B3"/>
    <w:rsid w:val="4E4C2EA6"/>
    <w:rsid w:val="4E5E7F01"/>
    <w:rsid w:val="4E676345"/>
    <w:rsid w:val="4E6D4524"/>
    <w:rsid w:val="4E884F57"/>
    <w:rsid w:val="4E8C7D79"/>
    <w:rsid w:val="4E974ADF"/>
    <w:rsid w:val="4EA068A8"/>
    <w:rsid w:val="4EB30E7B"/>
    <w:rsid w:val="4EC26B84"/>
    <w:rsid w:val="4EDB6243"/>
    <w:rsid w:val="4EDD6607"/>
    <w:rsid w:val="4EE80228"/>
    <w:rsid w:val="4EEA10DC"/>
    <w:rsid w:val="4F2F4165"/>
    <w:rsid w:val="4F5D3ACE"/>
    <w:rsid w:val="4FE17A31"/>
    <w:rsid w:val="502C2673"/>
    <w:rsid w:val="50507AB7"/>
    <w:rsid w:val="50836E48"/>
    <w:rsid w:val="50E05F3B"/>
    <w:rsid w:val="50F6575E"/>
    <w:rsid w:val="51084354"/>
    <w:rsid w:val="512A2E8D"/>
    <w:rsid w:val="51922ABB"/>
    <w:rsid w:val="51BD002A"/>
    <w:rsid w:val="52075749"/>
    <w:rsid w:val="520E5BAA"/>
    <w:rsid w:val="521560B8"/>
    <w:rsid w:val="52177FCC"/>
    <w:rsid w:val="52552A6E"/>
    <w:rsid w:val="529362CC"/>
    <w:rsid w:val="52BD6B2D"/>
    <w:rsid w:val="52FE08FA"/>
    <w:rsid w:val="52FF4DE0"/>
    <w:rsid w:val="535333FC"/>
    <w:rsid w:val="53582228"/>
    <w:rsid w:val="53A476F3"/>
    <w:rsid w:val="53EB76AF"/>
    <w:rsid w:val="541F321E"/>
    <w:rsid w:val="544170AC"/>
    <w:rsid w:val="54625E3B"/>
    <w:rsid w:val="5468359F"/>
    <w:rsid w:val="548D195C"/>
    <w:rsid w:val="54BF6F85"/>
    <w:rsid w:val="54EC5313"/>
    <w:rsid w:val="5529483F"/>
    <w:rsid w:val="553D35A7"/>
    <w:rsid w:val="55B63472"/>
    <w:rsid w:val="55DB13C7"/>
    <w:rsid w:val="56152BB3"/>
    <w:rsid w:val="561E2A75"/>
    <w:rsid w:val="561F700F"/>
    <w:rsid w:val="56222F84"/>
    <w:rsid w:val="564371D4"/>
    <w:rsid w:val="5652125E"/>
    <w:rsid w:val="568C32A5"/>
    <w:rsid w:val="56BF4844"/>
    <w:rsid w:val="56E95F52"/>
    <w:rsid w:val="56F97D56"/>
    <w:rsid w:val="5753390A"/>
    <w:rsid w:val="57970459"/>
    <w:rsid w:val="57CA16F3"/>
    <w:rsid w:val="57CF0AB7"/>
    <w:rsid w:val="57D83E10"/>
    <w:rsid w:val="57E91BC1"/>
    <w:rsid w:val="580469B3"/>
    <w:rsid w:val="583021E5"/>
    <w:rsid w:val="58736E29"/>
    <w:rsid w:val="5895585D"/>
    <w:rsid w:val="58E6365B"/>
    <w:rsid w:val="58F84A43"/>
    <w:rsid w:val="59164907"/>
    <w:rsid w:val="591C15E0"/>
    <w:rsid w:val="593B4A91"/>
    <w:rsid w:val="59BC1F42"/>
    <w:rsid w:val="59E20F76"/>
    <w:rsid w:val="59FB24BE"/>
    <w:rsid w:val="5A5D4A78"/>
    <w:rsid w:val="5A710277"/>
    <w:rsid w:val="5A877D04"/>
    <w:rsid w:val="5AEF26C2"/>
    <w:rsid w:val="5AFE2808"/>
    <w:rsid w:val="5B421D4B"/>
    <w:rsid w:val="5B56140A"/>
    <w:rsid w:val="5B9415FD"/>
    <w:rsid w:val="5BC063DA"/>
    <w:rsid w:val="5C2528F5"/>
    <w:rsid w:val="5C574259"/>
    <w:rsid w:val="5C7C5DCC"/>
    <w:rsid w:val="5CA31E2B"/>
    <w:rsid w:val="5CBA7F88"/>
    <w:rsid w:val="5D441F81"/>
    <w:rsid w:val="5D55380D"/>
    <w:rsid w:val="5D7E0FB5"/>
    <w:rsid w:val="5DCE714E"/>
    <w:rsid w:val="5DF9773E"/>
    <w:rsid w:val="5E2A7515"/>
    <w:rsid w:val="5E305F4B"/>
    <w:rsid w:val="5E6920B2"/>
    <w:rsid w:val="5E9C3CE3"/>
    <w:rsid w:val="5ED61141"/>
    <w:rsid w:val="5F16781D"/>
    <w:rsid w:val="5F1E108C"/>
    <w:rsid w:val="5F2913F5"/>
    <w:rsid w:val="5F437622"/>
    <w:rsid w:val="5F6927E0"/>
    <w:rsid w:val="5F7A755A"/>
    <w:rsid w:val="5F892285"/>
    <w:rsid w:val="5F925877"/>
    <w:rsid w:val="5FA651EB"/>
    <w:rsid w:val="5FD12DF3"/>
    <w:rsid w:val="5FDC3EC0"/>
    <w:rsid w:val="601F0BE8"/>
    <w:rsid w:val="602120CC"/>
    <w:rsid w:val="60264873"/>
    <w:rsid w:val="602C0D07"/>
    <w:rsid w:val="603C0CB4"/>
    <w:rsid w:val="60791F08"/>
    <w:rsid w:val="608A7C71"/>
    <w:rsid w:val="61094DAE"/>
    <w:rsid w:val="614B6514"/>
    <w:rsid w:val="615F71ED"/>
    <w:rsid w:val="619B3090"/>
    <w:rsid w:val="61BE4076"/>
    <w:rsid w:val="61F96E5C"/>
    <w:rsid w:val="622A5B32"/>
    <w:rsid w:val="62950A8E"/>
    <w:rsid w:val="62DD029C"/>
    <w:rsid w:val="62EA49F7"/>
    <w:rsid w:val="63354987"/>
    <w:rsid w:val="637D1D0F"/>
    <w:rsid w:val="63961504"/>
    <w:rsid w:val="63E11B55"/>
    <w:rsid w:val="63E678B4"/>
    <w:rsid w:val="63E91B17"/>
    <w:rsid w:val="63FA6EBC"/>
    <w:rsid w:val="644943D8"/>
    <w:rsid w:val="64560D84"/>
    <w:rsid w:val="645B2050"/>
    <w:rsid w:val="649966D5"/>
    <w:rsid w:val="64A05BD4"/>
    <w:rsid w:val="64A13EE0"/>
    <w:rsid w:val="64AE00B2"/>
    <w:rsid w:val="64F76BCD"/>
    <w:rsid w:val="650A1380"/>
    <w:rsid w:val="657E2A20"/>
    <w:rsid w:val="659F7A38"/>
    <w:rsid w:val="659F7D1B"/>
    <w:rsid w:val="65B75B1D"/>
    <w:rsid w:val="65C83BE6"/>
    <w:rsid w:val="65DF45BB"/>
    <w:rsid w:val="662F5543"/>
    <w:rsid w:val="66551CC6"/>
    <w:rsid w:val="665D7ABB"/>
    <w:rsid w:val="66683F59"/>
    <w:rsid w:val="668852BC"/>
    <w:rsid w:val="668B64F1"/>
    <w:rsid w:val="66985938"/>
    <w:rsid w:val="66AA7FA5"/>
    <w:rsid w:val="66B8294F"/>
    <w:rsid w:val="66D81396"/>
    <w:rsid w:val="66DD4F9F"/>
    <w:rsid w:val="66F35E4F"/>
    <w:rsid w:val="66F71835"/>
    <w:rsid w:val="6735464C"/>
    <w:rsid w:val="673E0C66"/>
    <w:rsid w:val="674157D0"/>
    <w:rsid w:val="674D275A"/>
    <w:rsid w:val="67561ABE"/>
    <w:rsid w:val="675F7F46"/>
    <w:rsid w:val="67692773"/>
    <w:rsid w:val="67746F85"/>
    <w:rsid w:val="67835E38"/>
    <w:rsid w:val="67BE348B"/>
    <w:rsid w:val="67C674F3"/>
    <w:rsid w:val="67DA7730"/>
    <w:rsid w:val="67E53533"/>
    <w:rsid w:val="67EF7129"/>
    <w:rsid w:val="681752BE"/>
    <w:rsid w:val="682E5386"/>
    <w:rsid w:val="683A1121"/>
    <w:rsid w:val="68D47444"/>
    <w:rsid w:val="68ED5EE2"/>
    <w:rsid w:val="68FB5BB0"/>
    <w:rsid w:val="690B2D50"/>
    <w:rsid w:val="692F13B6"/>
    <w:rsid w:val="69A8357E"/>
    <w:rsid w:val="69AD658D"/>
    <w:rsid w:val="69C64775"/>
    <w:rsid w:val="69D62529"/>
    <w:rsid w:val="69E07DF2"/>
    <w:rsid w:val="69E2467A"/>
    <w:rsid w:val="6A0B75F5"/>
    <w:rsid w:val="6A132A85"/>
    <w:rsid w:val="6A194EEC"/>
    <w:rsid w:val="6A3053E5"/>
    <w:rsid w:val="6AAF6C52"/>
    <w:rsid w:val="6B5940FA"/>
    <w:rsid w:val="6B5E2BBD"/>
    <w:rsid w:val="6B653436"/>
    <w:rsid w:val="6B994A5D"/>
    <w:rsid w:val="6BB02C64"/>
    <w:rsid w:val="6BB46F53"/>
    <w:rsid w:val="6BD36757"/>
    <w:rsid w:val="6C4F566D"/>
    <w:rsid w:val="6C6C4040"/>
    <w:rsid w:val="6CD04C5E"/>
    <w:rsid w:val="6CD5153C"/>
    <w:rsid w:val="6D3A38F8"/>
    <w:rsid w:val="6D924AA4"/>
    <w:rsid w:val="6D9E5EB3"/>
    <w:rsid w:val="6E1F7C4B"/>
    <w:rsid w:val="6E213FD5"/>
    <w:rsid w:val="6E391B02"/>
    <w:rsid w:val="6E510020"/>
    <w:rsid w:val="6E6B33D8"/>
    <w:rsid w:val="6EFB4D5C"/>
    <w:rsid w:val="6F1928EC"/>
    <w:rsid w:val="6F5E1977"/>
    <w:rsid w:val="6F6124E5"/>
    <w:rsid w:val="6F65763C"/>
    <w:rsid w:val="6F69033F"/>
    <w:rsid w:val="6F6D0E8A"/>
    <w:rsid w:val="6F926B42"/>
    <w:rsid w:val="6FB24AEE"/>
    <w:rsid w:val="700B4BCB"/>
    <w:rsid w:val="70141305"/>
    <w:rsid w:val="701E3F32"/>
    <w:rsid w:val="703673E7"/>
    <w:rsid w:val="703E3666"/>
    <w:rsid w:val="705E65F3"/>
    <w:rsid w:val="705F6A24"/>
    <w:rsid w:val="709D59AA"/>
    <w:rsid w:val="70A57501"/>
    <w:rsid w:val="70AE6207"/>
    <w:rsid w:val="70E909E4"/>
    <w:rsid w:val="70F66514"/>
    <w:rsid w:val="712472B0"/>
    <w:rsid w:val="715B3690"/>
    <w:rsid w:val="71E10E17"/>
    <w:rsid w:val="721E646B"/>
    <w:rsid w:val="722577FA"/>
    <w:rsid w:val="723634C8"/>
    <w:rsid w:val="72512D47"/>
    <w:rsid w:val="72604E73"/>
    <w:rsid w:val="727069CC"/>
    <w:rsid w:val="728F1117"/>
    <w:rsid w:val="72AB1A98"/>
    <w:rsid w:val="72BA7F22"/>
    <w:rsid w:val="72C412D2"/>
    <w:rsid w:val="72E84A60"/>
    <w:rsid w:val="72F64A73"/>
    <w:rsid w:val="732B70D4"/>
    <w:rsid w:val="736305DA"/>
    <w:rsid w:val="73741120"/>
    <w:rsid w:val="73E7745D"/>
    <w:rsid w:val="740035F5"/>
    <w:rsid w:val="74040A22"/>
    <w:rsid w:val="74051B67"/>
    <w:rsid w:val="74364899"/>
    <w:rsid w:val="747F6BFE"/>
    <w:rsid w:val="74B166C0"/>
    <w:rsid w:val="757A3474"/>
    <w:rsid w:val="75874327"/>
    <w:rsid w:val="75985540"/>
    <w:rsid w:val="75A0162F"/>
    <w:rsid w:val="75A04A54"/>
    <w:rsid w:val="75C0317E"/>
    <w:rsid w:val="76017EB6"/>
    <w:rsid w:val="76020401"/>
    <w:rsid w:val="761138E0"/>
    <w:rsid w:val="766416EE"/>
    <w:rsid w:val="768D17A7"/>
    <w:rsid w:val="76DE2221"/>
    <w:rsid w:val="76E97048"/>
    <w:rsid w:val="770C0A8E"/>
    <w:rsid w:val="770D4BCE"/>
    <w:rsid w:val="774B7D02"/>
    <w:rsid w:val="77585F7B"/>
    <w:rsid w:val="77981BC6"/>
    <w:rsid w:val="77B62952"/>
    <w:rsid w:val="77BD7A3F"/>
    <w:rsid w:val="78727511"/>
    <w:rsid w:val="78970D25"/>
    <w:rsid w:val="78A616EB"/>
    <w:rsid w:val="78B24E6F"/>
    <w:rsid w:val="78B4291E"/>
    <w:rsid w:val="78B673FD"/>
    <w:rsid w:val="78E411FD"/>
    <w:rsid w:val="78F20984"/>
    <w:rsid w:val="790D2D63"/>
    <w:rsid w:val="791D747D"/>
    <w:rsid w:val="792E51E6"/>
    <w:rsid w:val="793F1143"/>
    <w:rsid w:val="794026AC"/>
    <w:rsid w:val="794E03FE"/>
    <w:rsid w:val="797C0647"/>
    <w:rsid w:val="79A821D6"/>
    <w:rsid w:val="79A92B7A"/>
    <w:rsid w:val="79E5262F"/>
    <w:rsid w:val="79EB673A"/>
    <w:rsid w:val="7A0B3B0A"/>
    <w:rsid w:val="7A353138"/>
    <w:rsid w:val="7A434CC1"/>
    <w:rsid w:val="7A5347B7"/>
    <w:rsid w:val="7AB43E11"/>
    <w:rsid w:val="7AB94F83"/>
    <w:rsid w:val="7AD602D6"/>
    <w:rsid w:val="7B915F00"/>
    <w:rsid w:val="7BB81EE7"/>
    <w:rsid w:val="7BF5648F"/>
    <w:rsid w:val="7C0F7163"/>
    <w:rsid w:val="7C2A349B"/>
    <w:rsid w:val="7C427882"/>
    <w:rsid w:val="7C6F7FEF"/>
    <w:rsid w:val="7C8B64AD"/>
    <w:rsid w:val="7CCA1FDA"/>
    <w:rsid w:val="7CCB71F0"/>
    <w:rsid w:val="7CD2057E"/>
    <w:rsid w:val="7D2F0BD0"/>
    <w:rsid w:val="7D575611"/>
    <w:rsid w:val="7D5E0D6E"/>
    <w:rsid w:val="7D714DB5"/>
    <w:rsid w:val="7D774CF4"/>
    <w:rsid w:val="7E322BFD"/>
    <w:rsid w:val="7E5C0A47"/>
    <w:rsid w:val="7E9C0E44"/>
    <w:rsid w:val="7E9D2879"/>
    <w:rsid w:val="7EE65DEF"/>
    <w:rsid w:val="7F2853BD"/>
    <w:rsid w:val="7FBD72C3"/>
    <w:rsid w:val="7FCA06E4"/>
    <w:rsid w:val="7FE52F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8"/>
    <w:qFormat/>
    <w:uiPriority w:val="9"/>
    <w:pPr>
      <w:keepNext/>
      <w:keepLines/>
      <w:spacing w:before="260" w:after="260" w:line="416" w:lineRule="auto"/>
      <w:outlineLvl w:val="2"/>
    </w:pPr>
    <w:rPr>
      <w:b/>
      <w:bCs/>
      <w:sz w:val="32"/>
      <w:szCs w:val="32"/>
    </w:rPr>
  </w:style>
  <w:style w:type="paragraph" w:styleId="5">
    <w:name w:val="heading 4"/>
    <w:basedOn w:val="1"/>
    <w:next w:val="1"/>
    <w:link w:val="7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15"/>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60"/>
    <w:qFormat/>
    <w:uiPriority w:val="0"/>
    <w:pPr>
      <w:keepNext/>
      <w:keepLines/>
      <w:widowControl/>
      <w:tabs>
        <w:tab w:val="left" w:pos="1440"/>
      </w:tabs>
      <w:spacing w:before="240" w:after="64" w:line="320" w:lineRule="auto"/>
      <w:ind w:left="1152" w:hanging="1152"/>
      <w:jc w:val="center"/>
      <w:outlineLvl w:val="5"/>
    </w:pPr>
    <w:rPr>
      <w:rFonts w:ascii="Arial" w:hAnsi="Arial" w:eastAsia="黑体"/>
      <w:bCs/>
      <w:kern w:val="0"/>
      <w:sz w:val="24"/>
    </w:rPr>
  </w:style>
  <w:style w:type="paragraph" w:styleId="8">
    <w:name w:val="heading 7"/>
    <w:basedOn w:val="1"/>
    <w:next w:val="1"/>
    <w:link w:val="83"/>
    <w:qFormat/>
    <w:uiPriority w:val="0"/>
    <w:pPr>
      <w:keepNext/>
      <w:keepLines/>
      <w:widowControl/>
      <w:tabs>
        <w:tab w:val="left" w:pos="2520"/>
      </w:tabs>
      <w:spacing w:before="240" w:after="64" w:line="320" w:lineRule="auto"/>
      <w:ind w:left="1296" w:hanging="1296"/>
      <w:jc w:val="center"/>
      <w:outlineLvl w:val="6"/>
    </w:pPr>
    <w:rPr>
      <w:bCs/>
      <w:kern w:val="0"/>
      <w:sz w:val="24"/>
    </w:rPr>
  </w:style>
  <w:style w:type="paragraph" w:styleId="9">
    <w:name w:val="heading 8"/>
    <w:basedOn w:val="1"/>
    <w:next w:val="1"/>
    <w:link w:val="63"/>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rPr>
  </w:style>
  <w:style w:type="paragraph" w:styleId="10">
    <w:name w:val="heading 9"/>
    <w:basedOn w:val="1"/>
    <w:next w:val="1"/>
    <w:link w:val="62"/>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link w:val="82"/>
    <w:qFormat/>
    <w:uiPriority w:val="0"/>
    <w:pPr>
      <w:ind w:firstLine="420"/>
    </w:pPr>
    <w:rPr>
      <w:rFonts w:ascii="Arial Unicode MS" w:hAnsi="Arial Unicode MS" w:eastAsia="仿宋_GB2312"/>
      <w:sz w:val="32"/>
    </w:rPr>
  </w:style>
  <w:style w:type="paragraph" w:styleId="13">
    <w:name w:val="Document Map"/>
    <w:basedOn w:val="1"/>
    <w:link w:val="88"/>
    <w:unhideWhenUsed/>
    <w:qFormat/>
    <w:uiPriority w:val="99"/>
    <w:rPr>
      <w:rFonts w:ascii="宋体"/>
      <w:sz w:val="18"/>
      <w:szCs w:val="18"/>
    </w:rPr>
  </w:style>
  <w:style w:type="paragraph" w:styleId="14">
    <w:name w:val="annotation text"/>
    <w:basedOn w:val="1"/>
    <w:link w:val="74"/>
    <w:qFormat/>
    <w:uiPriority w:val="99"/>
    <w:pPr>
      <w:jc w:val="left"/>
    </w:pPr>
  </w:style>
  <w:style w:type="paragraph" w:styleId="15">
    <w:name w:val="Body Text 3"/>
    <w:basedOn w:val="1"/>
    <w:link w:val="76"/>
    <w:qFormat/>
    <w:uiPriority w:val="0"/>
    <w:rPr>
      <w:rFonts w:ascii="宋体"/>
      <w:sz w:val="24"/>
      <w:szCs w:val="20"/>
    </w:rPr>
  </w:style>
  <w:style w:type="paragraph" w:styleId="16">
    <w:name w:val="Body Text"/>
    <w:basedOn w:val="1"/>
    <w:link w:val="59"/>
    <w:qFormat/>
    <w:uiPriority w:val="1"/>
    <w:pPr>
      <w:spacing w:after="120"/>
    </w:pPr>
  </w:style>
  <w:style w:type="paragraph" w:styleId="17">
    <w:name w:val="Body Text Indent"/>
    <w:basedOn w:val="1"/>
    <w:link w:val="122"/>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18">
    <w:name w:val="Block Text"/>
    <w:basedOn w:val="1"/>
    <w:qFormat/>
    <w:uiPriority w:val="0"/>
    <w:pPr>
      <w:adjustRightInd w:val="0"/>
      <w:ind w:left="420" w:right="33"/>
      <w:jc w:val="left"/>
      <w:textAlignment w:val="baseline"/>
    </w:pPr>
    <w:rPr>
      <w:kern w:val="0"/>
      <w:sz w:val="24"/>
      <w:szCs w:val="20"/>
    </w:rPr>
  </w:style>
  <w:style w:type="paragraph" w:styleId="19">
    <w:name w:val="toc 3"/>
    <w:basedOn w:val="1"/>
    <w:next w:val="1"/>
    <w:qFormat/>
    <w:uiPriority w:val="39"/>
    <w:pPr>
      <w:tabs>
        <w:tab w:val="right" w:leader="dot" w:pos="8640"/>
      </w:tabs>
      <w:spacing w:line="360" w:lineRule="auto"/>
      <w:ind w:left="719" w:leftChars="342" w:right="250" w:rightChars="119" w:hanging="1"/>
    </w:pPr>
  </w:style>
  <w:style w:type="paragraph" w:styleId="20">
    <w:name w:val="Plain Text"/>
    <w:basedOn w:val="1"/>
    <w:link w:val="77"/>
    <w:qFormat/>
    <w:uiPriority w:val="0"/>
    <w:rPr>
      <w:rFonts w:ascii="宋体" w:hAnsi="Courier New"/>
      <w:szCs w:val="21"/>
    </w:rPr>
  </w:style>
  <w:style w:type="paragraph" w:styleId="21">
    <w:name w:val="Date"/>
    <w:basedOn w:val="1"/>
    <w:next w:val="1"/>
    <w:qFormat/>
    <w:uiPriority w:val="0"/>
    <w:pPr>
      <w:ind w:left="100" w:leftChars="2500"/>
    </w:pPr>
    <w:rPr>
      <w:rFonts w:ascii="宋体" w:hAnsi="宋体"/>
      <w:sz w:val="28"/>
      <w:szCs w:val="20"/>
    </w:rPr>
  </w:style>
  <w:style w:type="paragraph" w:styleId="22">
    <w:name w:val="Body Text Indent 2"/>
    <w:basedOn w:val="1"/>
    <w:link w:val="75"/>
    <w:qFormat/>
    <w:uiPriority w:val="0"/>
    <w:pPr>
      <w:widowControl/>
      <w:overflowPunct w:val="0"/>
      <w:autoSpaceDE w:val="0"/>
      <w:autoSpaceDN w:val="0"/>
      <w:adjustRightInd w:val="0"/>
      <w:spacing w:line="360" w:lineRule="auto"/>
      <w:ind w:firstLine="555"/>
      <w:textAlignment w:val="baseline"/>
    </w:pPr>
    <w:rPr>
      <w:rFonts w:ascii="宋体" w:hAnsi="MS Sans Serif"/>
      <w:b/>
      <w:spacing w:val="12"/>
      <w:kern w:val="0"/>
      <w:sz w:val="24"/>
      <w:szCs w:val="20"/>
    </w:rPr>
  </w:style>
  <w:style w:type="paragraph" w:styleId="23">
    <w:name w:val="Balloon Text"/>
    <w:basedOn w:val="1"/>
    <w:link w:val="123"/>
    <w:qFormat/>
    <w:uiPriority w:val="99"/>
    <w:rPr>
      <w:sz w:val="18"/>
      <w:szCs w:val="18"/>
    </w:rPr>
  </w:style>
  <w:style w:type="paragraph" w:styleId="24">
    <w:name w:val="footer"/>
    <w:basedOn w:val="1"/>
    <w:link w:val="79"/>
    <w:qFormat/>
    <w:uiPriority w:val="99"/>
    <w:pPr>
      <w:tabs>
        <w:tab w:val="center" w:pos="4153"/>
        <w:tab w:val="right" w:pos="8306"/>
      </w:tabs>
      <w:snapToGrid w:val="0"/>
      <w:jc w:val="left"/>
    </w:pPr>
    <w:rPr>
      <w:sz w:val="18"/>
      <w:szCs w:val="18"/>
    </w:rPr>
  </w:style>
  <w:style w:type="paragraph" w:styleId="25">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widowControl/>
      <w:autoSpaceDE w:val="0"/>
      <w:autoSpaceDN w:val="0"/>
      <w:adjustRightInd w:val="0"/>
      <w:spacing w:line="400" w:lineRule="exact"/>
      <w:jc w:val="left"/>
    </w:pPr>
    <w:rPr>
      <w:b/>
      <w:bCs/>
      <w:caps/>
      <w:kern w:val="0"/>
      <w:sz w:val="28"/>
      <w:lang w:val="zh-CN"/>
    </w:rPr>
  </w:style>
  <w:style w:type="paragraph" w:styleId="27">
    <w:name w:val="List"/>
    <w:basedOn w:val="1"/>
    <w:unhideWhenUsed/>
    <w:qFormat/>
    <w:uiPriority w:val="99"/>
    <w:pPr>
      <w:ind w:left="200" w:hanging="200" w:hangingChars="200"/>
      <w:contextualSpacing/>
    </w:pPr>
  </w:style>
  <w:style w:type="paragraph" w:styleId="28">
    <w:name w:val="footnote text"/>
    <w:basedOn w:val="1"/>
    <w:qFormat/>
    <w:uiPriority w:val="0"/>
    <w:pPr>
      <w:autoSpaceDE w:val="0"/>
      <w:autoSpaceDN w:val="0"/>
      <w:adjustRightInd w:val="0"/>
      <w:spacing w:line="240" w:lineRule="atLeast"/>
      <w:jc w:val="left"/>
    </w:pPr>
    <w:rPr>
      <w:rFonts w:ascii="MingLiU" w:eastAsia="MingLiU"/>
      <w:kern w:val="0"/>
      <w:sz w:val="24"/>
      <w:szCs w:val="20"/>
      <w:lang w:eastAsia="zh-TW"/>
    </w:rPr>
  </w:style>
  <w:style w:type="paragraph" w:styleId="29">
    <w:name w:val="toc 2"/>
    <w:basedOn w:val="1"/>
    <w:next w:val="1"/>
    <w:qFormat/>
    <w:uiPriority w:val="39"/>
    <w:pPr>
      <w:tabs>
        <w:tab w:val="right" w:leader="dot" w:pos="8296"/>
      </w:tabs>
      <w:spacing w:line="360" w:lineRule="auto"/>
      <w:ind w:left="451" w:leftChars="172" w:right="69" w:rightChars="33" w:hanging="90" w:hangingChars="28"/>
      <w:jc w:val="center"/>
    </w:pPr>
    <w:rPr>
      <w:rFonts w:ascii="宋体" w:hAnsi="宋体"/>
      <w:b/>
      <w:sz w:val="32"/>
      <w:szCs w:val="32"/>
    </w:rPr>
  </w:style>
  <w:style w:type="paragraph" w:styleId="30">
    <w:name w:val="Body Text 2"/>
    <w:basedOn w:val="1"/>
    <w:qFormat/>
    <w:uiPriority w:val="0"/>
    <w:pPr>
      <w:spacing w:after="120" w:line="480" w:lineRule="auto"/>
    </w:pPr>
  </w:style>
  <w:style w:type="paragraph" w:styleId="31">
    <w:name w:val="HTML Preformatted"/>
    <w:basedOn w:val="1"/>
    <w:link w:val="1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2">
    <w:name w:val="Normal (Web)"/>
    <w:basedOn w:val="1"/>
    <w:next w:val="1"/>
    <w:qFormat/>
    <w:uiPriority w:val="0"/>
    <w:pPr>
      <w:widowControl/>
      <w:spacing w:before="100" w:beforeAutospacing="1" w:after="100" w:afterAutospacing="1"/>
      <w:jc w:val="left"/>
    </w:pPr>
    <w:rPr>
      <w:rFonts w:ascii="宋体" w:hAnsi="宋体"/>
      <w:kern w:val="0"/>
      <w:sz w:val="24"/>
      <w:szCs w:val="20"/>
    </w:rPr>
  </w:style>
  <w:style w:type="paragraph" w:styleId="33">
    <w:name w:val="Title"/>
    <w:basedOn w:val="1"/>
    <w:next w:val="1"/>
    <w:link w:val="81"/>
    <w:qFormat/>
    <w:uiPriority w:val="0"/>
    <w:pPr>
      <w:widowControl/>
      <w:spacing w:before="240" w:after="60"/>
      <w:jc w:val="center"/>
      <w:outlineLvl w:val="0"/>
    </w:pPr>
    <w:rPr>
      <w:rFonts w:ascii="Arial" w:hAnsi="Arial" w:cs="Arial"/>
      <w:b/>
      <w:bCs/>
      <w:kern w:val="0"/>
      <w:sz w:val="44"/>
      <w:szCs w:val="32"/>
    </w:rPr>
  </w:style>
  <w:style w:type="paragraph" w:styleId="34">
    <w:name w:val="annotation subject"/>
    <w:basedOn w:val="14"/>
    <w:next w:val="14"/>
    <w:link w:val="125"/>
    <w:qFormat/>
    <w:uiPriority w:val="99"/>
    <w:rPr>
      <w:b/>
      <w:bCs/>
    </w:rPr>
  </w:style>
  <w:style w:type="paragraph" w:styleId="35">
    <w:name w:val="Body Text First Indent"/>
    <w:basedOn w:val="16"/>
    <w:qFormat/>
    <w:uiPriority w:val="0"/>
    <w:pPr>
      <w:spacing w:line="312" w:lineRule="auto"/>
      <w:ind w:firstLine="420"/>
    </w:pPr>
  </w:style>
  <w:style w:type="paragraph" w:styleId="36">
    <w:name w:val="Body Text First Indent 2"/>
    <w:basedOn w:val="17"/>
    <w:qFormat/>
    <w:uiPriority w:val="0"/>
    <w:pPr>
      <w:spacing w:after="120" w:afterLines="0"/>
      <w:ind w:left="420" w:leftChars="200" w:firstLine="420" w:firstLineChars="200"/>
    </w:pPr>
    <w:rPr>
      <w:sz w:val="21"/>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semiHidden/>
    <w:unhideWhenUsed/>
    <w:qFormat/>
    <w:uiPriority w:val="99"/>
    <w:rPr>
      <w:color w:val="800080"/>
      <w:u w:val="none"/>
    </w:rPr>
  </w:style>
  <w:style w:type="character" w:styleId="43">
    <w:name w:val="Emphasis"/>
    <w:basedOn w:val="39"/>
    <w:qFormat/>
    <w:uiPriority w:val="20"/>
  </w:style>
  <w:style w:type="character" w:styleId="44">
    <w:name w:val="HTML Definition"/>
    <w:basedOn w:val="39"/>
    <w:semiHidden/>
    <w:unhideWhenUsed/>
    <w:qFormat/>
    <w:uiPriority w:val="99"/>
  </w:style>
  <w:style w:type="character" w:styleId="45">
    <w:name w:val="HTML Typewriter"/>
    <w:basedOn w:val="39"/>
    <w:semiHidden/>
    <w:unhideWhenUsed/>
    <w:qFormat/>
    <w:uiPriority w:val="99"/>
    <w:rPr>
      <w:rFonts w:ascii="monospace" w:hAnsi="monospace" w:eastAsia="monospace" w:cs="monospace"/>
      <w:sz w:val="20"/>
    </w:rPr>
  </w:style>
  <w:style w:type="character" w:styleId="46">
    <w:name w:val="HTML Acronym"/>
    <w:basedOn w:val="39"/>
    <w:semiHidden/>
    <w:unhideWhenUsed/>
    <w:qFormat/>
    <w:uiPriority w:val="99"/>
  </w:style>
  <w:style w:type="character" w:styleId="47">
    <w:name w:val="HTML Variable"/>
    <w:basedOn w:val="39"/>
    <w:semiHidden/>
    <w:unhideWhenUsed/>
    <w:qFormat/>
    <w:uiPriority w:val="99"/>
  </w:style>
  <w:style w:type="character" w:styleId="48">
    <w:name w:val="Hyperlink"/>
    <w:qFormat/>
    <w:uiPriority w:val="99"/>
    <w:rPr>
      <w:rFonts w:ascii="Times New Roman" w:hAnsi="Times New Roman" w:eastAsia="宋体" w:cs="Times New Roman"/>
      <w:color w:val="0000FF"/>
      <w:u w:val="single"/>
    </w:rPr>
  </w:style>
  <w:style w:type="character" w:styleId="49">
    <w:name w:val="HTML Code"/>
    <w:basedOn w:val="39"/>
    <w:semiHidden/>
    <w:unhideWhenUsed/>
    <w:qFormat/>
    <w:uiPriority w:val="99"/>
    <w:rPr>
      <w:rFonts w:hint="default" w:ascii="monospace" w:hAnsi="monospace" w:eastAsia="monospace" w:cs="monospace"/>
      <w:sz w:val="20"/>
    </w:rPr>
  </w:style>
  <w:style w:type="character" w:styleId="50">
    <w:name w:val="annotation reference"/>
    <w:qFormat/>
    <w:uiPriority w:val="99"/>
    <w:rPr>
      <w:rFonts w:ascii="Times New Roman" w:hAnsi="Times New Roman" w:eastAsia="宋体" w:cs="Times New Roman"/>
      <w:sz w:val="21"/>
      <w:szCs w:val="21"/>
    </w:rPr>
  </w:style>
  <w:style w:type="character" w:styleId="51">
    <w:name w:val="HTML Cite"/>
    <w:basedOn w:val="39"/>
    <w:semiHidden/>
    <w:unhideWhenUsed/>
    <w:qFormat/>
    <w:uiPriority w:val="99"/>
  </w:style>
  <w:style w:type="character" w:styleId="52">
    <w:name w:val="footnote reference"/>
    <w:qFormat/>
    <w:uiPriority w:val="0"/>
    <w:rPr>
      <w:rFonts w:ascii="Times New Roman" w:hAnsi="Times New Roman" w:eastAsia="宋体" w:cs="Times New Roman"/>
      <w:vertAlign w:val="superscript"/>
    </w:rPr>
  </w:style>
  <w:style w:type="character" w:styleId="53">
    <w:name w:val="HTML Keyboard"/>
    <w:basedOn w:val="39"/>
    <w:semiHidden/>
    <w:unhideWhenUsed/>
    <w:qFormat/>
    <w:uiPriority w:val="99"/>
    <w:rPr>
      <w:rFonts w:hint="default" w:ascii="monospace" w:hAnsi="monospace" w:eastAsia="monospace" w:cs="monospace"/>
      <w:sz w:val="20"/>
    </w:rPr>
  </w:style>
  <w:style w:type="character" w:styleId="54">
    <w:name w:val="HTML Sample"/>
    <w:basedOn w:val="39"/>
    <w:semiHidden/>
    <w:unhideWhenUsed/>
    <w:qFormat/>
    <w:uiPriority w:val="99"/>
    <w:rPr>
      <w:rFonts w:hint="default" w:ascii="monospace" w:hAnsi="monospace" w:eastAsia="monospace" w:cs="monospace"/>
    </w:rPr>
  </w:style>
  <w:style w:type="paragraph" w:customStyle="1" w:styleId="5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57">
    <w:name w:val="样式1"/>
    <w:qFormat/>
    <w:uiPriority w:val="0"/>
    <w:rPr>
      <w:rFonts w:ascii="Times New Roman" w:hAnsi="Times New Roman" w:eastAsia="宋体" w:cs="Times New Roman"/>
      <w:b/>
      <w:color w:val="538135"/>
      <w:sz w:val="28"/>
      <w:szCs w:val="20"/>
      <w:lang w:val="en-US" w:eastAsia="zh-CN" w:bidi="ar-SA"/>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9">
    <w:name w:val="正文文本 字符"/>
    <w:link w:val="16"/>
    <w:qFormat/>
    <w:uiPriority w:val="1"/>
    <w:rPr>
      <w:rFonts w:ascii="Times New Roman" w:hAnsi="Times New Roman" w:eastAsia="宋体" w:cs="Times New Roman"/>
      <w:kern w:val="2"/>
      <w:sz w:val="21"/>
      <w:szCs w:val="24"/>
      <w:lang w:val="en-US" w:eastAsia="zh-CN" w:bidi="ar-SA"/>
    </w:rPr>
  </w:style>
  <w:style w:type="character" w:customStyle="1" w:styleId="60">
    <w:name w:val="标题 6 字符"/>
    <w:link w:val="7"/>
    <w:qFormat/>
    <w:uiPriority w:val="0"/>
    <w:rPr>
      <w:rFonts w:ascii="Arial" w:hAnsi="Arial" w:eastAsia="黑体" w:cs="Times New Roman"/>
      <w:bCs/>
      <w:sz w:val="24"/>
      <w:szCs w:val="24"/>
    </w:rPr>
  </w:style>
  <w:style w:type="character" w:customStyle="1" w:styleId="61">
    <w:name w:val="textcontents"/>
    <w:qFormat/>
    <w:uiPriority w:val="0"/>
    <w:rPr>
      <w:rFonts w:ascii="Times New Roman" w:hAnsi="Times New Roman" w:eastAsia="宋体" w:cs="Times New Roman"/>
    </w:rPr>
  </w:style>
  <w:style w:type="character" w:customStyle="1" w:styleId="62">
    <w:name w:val="标题 9 字符"/>
    <w:link w:val="10"/>
    <w:qFormat/>
    <w:uiPriority w:val="0"/>
    <w:rPr>
      <w:rFonts w:ascii="Arial" w:hAnsi="Arial" w:eastAsia="黑体" w:cs="Times New Roman"/>
      <w:b/>
      <w:sz w:val="21"/>
      <w:szCs w:val="21"/>
    </w:rPr>
  </w:style>
  <w:style w:type="character" w:customStyle="1" w:styleId="63">
    <w:name w:val="标题 8 字符"/>
    <w:link w:val="9"/>
    <w:qFormat/>
    <w:uiPriority w:val="0"/>
    <w:rPr>
      <w:rFonts w:ascii="Arial" w:hAnsi="Arial" w:eastAsia="黑体" w:cs="Times New Roman"/>
      <w:b/>
      <w:sz w:val="24"/>
      <w:szCs w:val="24"/>
    </w:rPr>
  </w:style>
  <w:style w:type="character" w:customStyle="1" w:styleId="64">
    <w:name w:val="页眉 字符"/>
    <w:link w:val="25"/>
    <w:qFormat/>
    <w:uiPriority w:val="99"/>
    <w:rPr>
      <w:rFonts w:ascii="Times New Roman" w:hAnsi="Times New Roman" w:eastAsia="宋体" w:cs="Times New Roman"/>
      <w:kern w:val="2"/>
      <w:sz w:val="18"/>
      <w:szCs w:val="18"/>
    </w:rPr>
  </w:style>
  <w:style w:type="character" w:customStyle="1" w:styleId="65">
    <w:name w:val="标题 1 字符"/>
    <w:link w:val="2"/>
    <w:qFormat/>
    <w:uiPriority w:val="0"/>
    <w:rPr>
      <w:rFonts w:ascii="Times New Roman" w:hAnsi="Times New Roman" w:eastAsia="宋体" w:cs="Times New Roman"/>
      <w:b/>
      <w:bCs/>
      <w:kern w:val="44"/>
      <w:sz w:val="44"/>
      <w:szCs w:val="44"/>
    </w:rPr>
  </w:style>
  <w:style w:type="character" w:customStyle="1" w:styleId="66">
    <w:name w:val="列出段落 字符"/>
    <w:link w:val="67"/>
    <w:qFormat/>
    <w:uiPriority w:val="34"/>
    <w:rPr>
      <w:rFonts w:ascii="Calibri" w:hAnsi="Calibri"/>
      <w:kern w:val="2"/>
      <w:sz w:val="21"/>
      <w:szCs w:val="22"/>
    </w:rPr>
  </w:style>
  <w:style w:type="paragraph" w:styleId="67">
    <w:name w:val="List Paragraph"/>
    <w:basedOn w:val="1"/>
    <w:link w:val="66"/>
    <w:qFormat/>
    <w:uiPriority w:val="34"/>
    <w:pPr>
      <w:ind w:firstLine="420" w:firstLineChars="200"/>
    </w:pPr>
    <w:rPr>
      <w:rFonts w:ascii="Calibri" w:hAnsi="Calibri"/>
      <w:szCs w:val="22"/>
    </w:rPr>
  </w:style>
  <w:style w:type="character" w:customStyle="1" w:styleId="68">
    <w:name w:val="标题 3 Char"/>
    <w:qFormat/>
    <w:uiPriority w:val="9"/>
    <w:rPr>
      <w:rFonts w:ascii="Times New Roman" w:hAnsi="Times New Roman" w:eastAsia="宋体" w:cs="Times New Roman"/>
      <w:b/>
      <w:bCs/>
      <w:kern w:val="2"/>
      <w:sz w:val="32"/>
      <w:szCs w:val="32"/>
      <w:lang w:val="en-US" w:eastAsia="zh-CN" w:bidi="ar-SA"/>
    </w:rPr>
  </w:style>
  <w:style w:type="character" w:customStyle="1" w:styleId="69">
    <w:name w:val="样式 样式 四号 首行缩进:  0.74 厘米 行距: 1.5 倍行距 + 宋体 四号 行距: 1.5 倍行距 Char"/>
    <w:link w:val="70"/>
    <w:qFormat/>
    <w:uiPriority w:val="0"/>
    <w:rPr>
      <w:rFonts w:ascii="宋体" w:hAnsi="宋体" w:eastAsia="宋体" w:cs="Times New Roman"/>
      <w:sz w:val="28"/>
    </w:rPr>
  </w:style>
  <w:style w:type="paragraph" w:customStyle="1" w:styleId="70">
    <w:name w:val="样式 样式 四号 首行缩进:  0.74 厘米 行距: 1.5 倍行距 + 宋体 四号 行距: 1.5 倍行距"/>
    <w:basedOn w:val="1"/>
    <w:link w:val="69"/>
    <w:qFormat/>
    <w:uiPriority w:val="0"/>
    <w:pPr>
      <w:spacing w:line="360" w:lineRule="auto"/>
      <w:ind w:firstLine="560" w:firstLineChars="200"/>
    </w:pPr>
    <w:rPr>
      <w:rFonts w:ascii="宋体" w:hAnsi="宋体"/>
      <w:kern w:val="0"/>
      <w:sz w:val="28"/>
      <w:szCs w:val="20"/>
    </w:rPr>
  </w:style>
  <w:style w:type="character" w:customStyle="1" w:styleId="71">
    <w:name w:val="标题 4 字符"/>
    <w:link w:val="5"/>
    <w:qFormat/>
    <w:uiPriority w:val="0"/>
    <w:rPr>
      <w:rFonts w:ascii="Arial" w:hAnsi="Arial" w:eastAsia="黑体" w:cs="Times New Roman"/>
      <w:b/>
      <w:bCs/>
      <w:kern w:val="2"/>
      <w:sz w:val="28"/>
      <w:szCs w:val="28"/>
    </w:rPr>
  </w:style>
  <w:style w:type="character" w:customStyle="1" w:styleId="72">
    <w:name w:val="标题 2 字符"/>
    <w:link w:val="3"/>
    <w:qFormat/>
    <w:uiPriority w:val="0"/>
    <w:rPr>
      <w:rFonts w:ascii="Arial" w:hAnsi="Arial" w:eastAsia="黑体" w:cs="Times New Roman"/>
      <w:b/>
      <w:bCs/>
      <w:kern w:val="2"/>
      <w:sz w:val="32"/>
      <w:szCs w:val="32"/>
    </w:rPr>
  </w:style>
  <w:style w:type="character" w:customStyle="1" w:styleId="73">
    <w:name w:val="标题 Char1"/>
    <w:qFormat/>
    <w:uiPriority w:val="0"/>
    <w:rPr>
      <w:rFonts w:ascii="Arial" w:hAnsi="Arial" w:eastAsia="宋体" w:cs="Arial"/>
      <w:b/>
      <w:bCs/>
      <w:sz w:val="44"/>
      <w:szCs w:val="32"/>
      <w:lang w:val="en-US" w:eastAsia="zh-CN" w:bidi="ar-SA"/>
    </w:rPr>
  </w:style>
  <w:style w:type="character" w:customStyle="1" w:styleId="74">
    <w:name w:val="批注文字 字符"/>
    <w:link w:val="14"/>
    <w:qFormat/>
    <w:uiPriority w:val="99"/>
    <w:rPr>
      <w:rFonts w:ascii="Times New Roman" w:hAnsi="Times New Roman" w:eastAsia="宋体" w:cs="Times New Roman"/>
      <w:kern w:val="2"/>
      <w:sz w:val="21"/>
      <w:szCs w:val="24"/>
    </w:rPr>
  </w:style>
  <w:style w:type="character" w:customStyle="1" w:styleId="75">
    <w:name w:val="正文文本缩进 2 字符"/>
    <w:link w:val="22"/>
    <w:qFormat/>
    <w:uiPriority w:val="0"/>
    <w:rPr>
      <w:rFonts w:ascii="宋体" w:hAnsi="MS Sans Serif" w:eastAsia="宋体" w:cs="Times New Roman"/>
      <w:b/>
      <w:spacing w:val="12"/>
      <w:sz w:val="24"/>
    </w:rPr>
  </w:style>
  <w:style w:type="character" w:customStyle="1" w:styleId="76">
    <w:name w:val="正文文本 3 字符"/>
    <w:link w:val="15"/>
    <w:qFormat/>
    <w:uiPriority w:val="0"/>
    <w:rPr>
      <w:rFonts w:ascii="宋体" w:hAnsi="Times New Roman" w:eastAsia="宋体" w:cs="Times New Roman"/>
      <w:kern w:val="2"/>
      <w:sz w:val="24"/>
    </w:rPr>
  </w:style>
  <w:style w:type="character" w:customStyle="1" w:styleId="77">
    <w:name w:val="纯文本 字符"/>
    <w:link w:val="20"/>
    <w:qFormat/>
    <w:uiPriority w:val="0"/>
    <w:rPr>
      <w:rFonts w:ascii="宋体" w:hAnsi="Courier New" w:eastAsia="宋体" w:cs="Courier New"/>
      <w:kern w:val="2"/>
      <w:sz w:val="21"/>
      <w:szCs w:val="21"/>
    </w:rPr>
  </w:style>
  <w:style w:type="character" w:customStyle="1" w:styleId="78">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79">
    <w:name w:val="页脚 字符"/>
    <w:link w:val="24"/>
    <w:qFormat/>
    <w:uiPriority w:val="99"/>
    <w:rPr>
      <w:rFonts w:ascii="Times New Roman" w:hAnsi="Times New Roman" w:eastAsia="宋体" w:cs="Times New Roman"/>
      <w:kern w:val="2"/>
      <w:sz w:val="18"/>
      <w:szCs w:val="18"/>
    </w:rPr>
  </w:style>
  <w:style w:type="character" w:customStyle="1" w:styleId="80">
    <w:name w:val="标题 1 Char"/>
    <w:link w:val="2"/>
    <w:qFormat/>
    <w:uiPriority w:val="0"/>
    <w:rPr>
      <w:rFonts w:ascii="Times New Roman" w:hAnsi="Times New Roman" w:eastAsia="宋体" w:cs="Times New Roman"/>
      <w:b/>
      <w:bCs/>
      <w:kern w:val="44"/>
      <w:sz w:val="44"/>
      <w:szCs w:val="44"/>
    </w:rPr>
  </w:style>
  <w:style w:type="character" w:customStyle="1" w:styleId="81">
    <w:name w:val="标题 字符"/>
    <w:link w:val="33"/>
    <w:qFormat/>
    <w:uiPriority w:val="0"/>
    <w:rPr>
      <w:rFonts w:ascii="Arial" w:hAnsi="Arial" w:eastAsia="宋体" w:cs="Arial"/>
      <w:b/>
      <w:bCs/>
      <w:sz w:val="44"/>
      <w:szCs w:val="32"/>
      <w:lang w:val="en-US" w:eastAsia="zh-CN" w:bidi="ar-SA"/>
    </w:rPr>
  </w:style>
  <w:style w:type="character" w:customStyle="1" w:styleId="82">
    <w:name w:val="正文缩进 字符"/>
    <w:link w:val="12"/>
    <w:qFormat/>
    <w:uiPriority w:val="0"/>
    <w:rPr>
      <w:rFonts w:ascii="Arial Unicode MS" w:hAnsi="Arial Unicode MS" w:eastAsia="仿宋_GB2312" w:cs="Times New Roman"/>
      <w:kern w:val="2"/>
      <w:sz w:val="32"/>
      <w:szCs w:val="24"/>
    </w:rPr>
  </w:style>
  <w:style w:type="character" w:customStyle="1" w:styleId="83">
    <w:name w:val="标题 7 字符"/>
    <w:link w:val="8"/>
    <w:qFormat/>
    <w:uiPriority w:val="0"/>
    <w:rPr>
      <w:rFonts w:ascii="Times New Roman" w:hAnsi="Times New Roman" w:eastAsia="宋体" w:cs="Times New Roman"/>
      <w:bCs/>
      <w:sz w:val="24"/>
      <w:szCs w:val="24"/>
    </w:rPr>
  </w:style>
  <w:style w:type="character" w:customStyle="1" w:styleId="84">
    <w:name w:val="标题 3 Char Char"/>
    <w:qFormat/>
    <w:uiPriority w:val="0"/>
    <w:rPr>
      <w:rFonts w:ascii="Times New Roman" w:hAnsi="Times New Roman" w:eastAsia="宋体" w:cs="Times New Roman"/>
      <w:b/>
      <w:bCs/>
      <w:kern w:val="2"/>
      <w:sz w:val="21"/>
      <w:szCs w:val="24"/>
      <w:lang w:val="en-US" w:eastAsia="zh-CN" w:bidi="ar-SA"/>
    </w:rPr>
  </w:style>
  <w:style w:type="character" w:customStyle="1" w:styleId="85">
    <w:name w:val="纯文本 Char1"/>
    <w:qFormat/>
    <w:uiPriority w:val="0"/>
    <w:rPr>
      <w:rFonts w:ascii="宋体" w:hAnsi="Courier New" w:eastAsia="宋体" w:cs="Courier New"/>
      <w:kern w:val="2"/>
      <w:sz w:val="21"/>
      <w:szCs w:val="21"/>
      <w:lang w:val="en-US" w:eastAsia="zh-CN" w:bidi="ar-SA"/>
    </w:rPr>
  </w:style>
  <w:style w:type="character" w:customStyle="1" w:styleId="86">
    <w:name w:val="纯文本 Char"/>
    <w:qFormat/>
    <w:uiPriority w:val="99"/>
    <w:rPr>
      <w:rFonts w:ascii="宋体" w:hAnsi="Courier New" w:eastAsia="宋体" w:cs="Courier New"/>
      <w:szCs w:val="21"/>
    </w:rPr>
  </w:style>
  <w:style w:type="character" w:customStyle="1" w:styleId="87">
    <w:name w:val="UserStyle_29"/>
    <w:qFormat/>
    <w:uiPriority w:val="0"/>
    <w:rPr>
      <w:rFonts w:ascii="Times New Roman" w:hAnsi="Times New Roman" w:eastAsia="宋体"/>
    </w:rPr>
  </w:style>
  <w:style w:type="character" w:customStyle="1" w:styleId="88">
    <w:name w:val="文档结构图 字符"/>
    <w:link w:val="13"/>
    <w:qFormat/>
    <w:uiPriority w:val="99"/>
    <w:rPr>
      <w:rFonts w:ascii="宋体" w:hAnsi="Times New Roman" w:eastAsia="宋体" w:cs="Times New Roman"/>
      <w:kern w:val="2"/>
      <w:sz w:val="18"/>
      <w:szCs w:val="18"/>
    </w:rPr>
  </w:style>
  <w:style w:type="paragraph" w:customStyle="1" w:styleId="89">
    <w:name w:val="修订1"/>
    <w:qFormat/>
    <w:uiPriority w:val="0"/>
    <w:rPr>
      <w:rFonts w:ascii="Times New Roman" w:hAnsi="Times New Roman" w:eastAsia="宋体" w:cs="Times New Roman"/>
      <w:kern w:val="2"/>
      <w:sz w:val="21"/>
      <w:szCs w:val="24"/>
      <w:lang w:val="en-US" w:eastAsia="zh-CN" w:bidi="ar-SA"/>
    </w:rPr>
  </w:style>
  <w:style w:type="paragraph" w:customStyle="1" w:styleId="90">
    <w:name w:val="Char Char Char Char Char Char"/>
    <w:basedOn w:val="1"/>
    <w:qFormat/>
    <w:uiPriority w:val="0"/>
    <w:pPr>
      <w:snapToGrid w:val="0"/>
      <w:spacing w:line="360" w:lineRule="auto"/>
      <w:ind w:firstLine="200" w:firstLineChars="200"/>
    </w:pPr>
  </w:style>
  <w:style w:type="paragraph" w:customStyle="1" w:styleId="91">
    <w:name w:val="列表段落1"/>
    <w:basedOn w:val="1"/>
    <w:qFormat/>
    <w:uiPriority w:val="34"/>
    <w:pPr>
      <w:ind w:firstLine="420" w:firstLineChars="200"/>
    </w:pPr>
  </w:style>
  <w:style w:type="paragraph" w:customStyle="1" w:styleId="92">
    <w:name w:val="Char Char Char Char"/>
    <w:basedOn w:val="1"/>
    <w:qFormat/>
    <w:uiPriority w:val="0"/>
    <w:pPr>
      <w:spacing w:line="360" w:lineRule="auto"/>
      <w:ind w:firstLine="200" w:firstLineChars="200"/>
    </w:pPr>
    <w:rPr>
      <w:rFonts w:ascii="宋体" w:hAnsi="宋体" w:cs="宋体"/>
      <w:sz w:val="24"/>
    </w:rPr>
  </w:style>
  <w:style w:type="paragraph" w:customStyle="1" w:styleId="9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94">
    <w:name w:val="目录"/>
    <w:basedOn w:val="1"/>
    <w:qFormat/>
    <w:uiPriority w:val="0"/>
    <w:pPr>
      <w:widowControl/>
      <w:jc w:val="center"/>
    </w:pPr>
    <w:rPr>
      <w:rFonts w:ascii="宋体"/>
      <w:kern w:val="0"/>
      <w:sz w:val="36"/>
      <w:szCs w:val="20"/>
    </w:rPr>
  </w:style>
  <w:style w:type="paragraph" w:customStyle="1" w:styleId="95">
    <w:name w:val="Char"/>
    <w:basedOn w:val="1"/>
    <w:qFormat/>
    <w:uiPriority w:val="0"/>
    <w:pPr>
      <w:spacing w:line="360" w:lineRule="auto"/>
      <w:ind w:firstLine="200" w:firstLineChars="200"/>
    </w:pPr>
    <w:rPr>
      <w:rFonts w:ascii="宋体" w:hAnsi="宋体" w:cs="宋体"/>
      <w:sz w:val="24"/>
    </w:rPr>
  </w:style>
  <w:style w:type="paragraph" w:customStyle="1" w:styleId="96">
    <w:name w:val="菲页(卷)"/>
    <w:basedOn w:val="2"/>
    <w:next w:val="97"/>
    <w:qFormat/>
    <w:uiPriority w:val="0"/>
    <w:pPr>
      <w:keepLines w:val="0"/>
      <w:widowControl/>
      <w:tabs>
        <w:tab w:val="left" w:pos="432"/>
      </w:tabs>
      <w:spacing w:before="0" w:after="0" w:line="240" w:lineRule="auto"/>
      <w:ind w:left="432" w:hanging="432"/>
      <w:jc w:val="center"/>
      <w:outlineLvl w:val="1"/>
    </w:pPr>
    <w:rPr>
      <w:rFonts w:ascii="黑体" w:eastAsia="黑体"/>
      <w:bCs w:val="0"/>
      <w:kern w:val="0"/>
      <w:sz w:val="52"/>
      <w:szCs w:val="20"/>
    </w:rPr>
  </w:style>
  <w:style w:type="paragraph" w:customStyle="1" w:styleId="9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8">
    <w:name w:val="默认段落字体 Para Char"/>
    <w:basedOn w:val="1"/>
    <w:qFormat/>
    <w:uiPriority w:val="0"/>
    <w:rPr>
      <w:rFonts w:ascii="Tahoma" w:hAnsi="Tahoma"/>
      <w:sz w:val="24"/>
      <w:szCs w:val="20"/>
    </w:rPr>
  </w:style>
  <w:style w:type="paragraph" w:customStyle="1" w:styleId="99">
    <w:name w:val="Char Char Char Char1"/>
    <w:basedOn w:val="1"/>
    <w:qFormat/>
    <w:uiPriority w:val="0"/>
    <w:rPr>
      <w:rFonts w:ascii="Tahoma" w:hAnsi="Tahoma"/>
      <w:sz w:val="24"/>
      <w:szCs w:val="20"/>
    </w:rPr>
  </w:style>
  <w:style w:type="paragraph" w:customStyle="1" w:styleId="100">
    <w:name w:val="Char1"/>
    <w:basedOn w:val="1"/>
    <w:qFormat/>
    <w:uiPriority w:val="0"/>
    <w:pPr>
      <w:spacing w:line="360" w:lineRule="auto"/>
      <w:ind w:firstLine="200" w:firstLineChars="200"/>
    </w:pPr>
    <w:rPr>
      <w:rFonts w:ascii="宋体" w:hAnsi="宋体" w:cs="宋体"/>
      <w:sz w:val="24"/>
    </w:rPr>
  </w:style>
  <w:style w:type="paragraph" w:customStyle="1" w:styleId="101">
    <w:name w:val="Char Char Char Char Char Char Char Char Char Char Char Char Char Char Char Char Char Char Char"/>
    <w:basedOn w:val="1"/>
    <w:qFormat/>
    <w:uiPriority w:val="0"/>
    <w:pPr>
      <w:tabs>
        <w:tab w:val="left" w:pos="360"/>
      </w:tabs>
    </w:pPr>
    <w:rPr>
      <w:sz w:val="24"/>
    </w:rPr>
  </w:style>
  <w:style w:type="paragraph" w:customStyle="1" w:styleId="102">
    <w:name w:val="3"/>
    <w:basedOn w:val="1"/>
    <w:next w:val="32"/>
    <w:qFormat/>
    <w:uiPriority w:val="0"/>
    <w:pPr>
      <w:spacing w:before="100" w:beforeAutospacing="1" w:after="100" w:afterAutospacing="1"/>
    </w:pPr>
    <w:rPr>
      <w:rFonts w:ascii="宋体" w:hAnsi="宋体" w:cs="黑体"/>
      <w:sz w:val="24"/>
    </w:rPr>
  </w:style>
  <w:style w:type="paragraph" w:customStyle="1" w:styleId="103">
    <w:name w:val="(文字) (文字)"/>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4">
    <w:name w:val="Char Char Char"/>
    <w:basedOn w:val="1"/>
    <w:qFormat/>
    <w:uiPriority w:val="0"/>
    <w:rPr>
      <w:rFonts w:ascii="Tahoma" w:hAnsi="Tahoma"/>
      <w:sz w:val="24"/>
      <w:szCs w:val="20"/>
    </w:rPr>
  </w:style>
  <w:style w:type="paragraph" w:customStyle="1" w:styleId="105">
    <w:name w:val="菲页2"/>
    <w:basedOn w:val="4"/>
    <w:qFormat/>
    <w:uiPriority w:val="0"/>
    <w:pPr>
      <w:widowControl/>
      <w:tabs>
        <w:tab w:val="left" w:pos="720"/>
      </w:tabs>
      <w:spacing w:before="120" w:after="120" w:line="360" w:lineRule="auto"/>
      <w:ind w:left="720" w:hanging="720"/>
      <w:jc w:val="center"/>
    </w:pPr>
    <w:rPr>
      <w:rFonts w:ascii="黑体" w:hAnsi="宋体" w:eastAsia="黑体"/>
      <w:bCs w:val="0"/>
      <w:kern w:val="0"/>
      <w:sz w:val="44"/>
      <w:szCs w:val="20"/>
    </w:rPr>
  </w:style>
  <w:style w:type="paragraph" w:customStyle="1" w:styleId="106">
    <w:name w:val="Char1 Char Char Char Char Char Char"/>
    <w:basedOn w:val="1"/>
    <w:qFormat/>
    <w:uiPriority w:val="0"/>
    <w:rPr>
      <w:szCs w:val="20"/>
    </w:rPr>
  </w:style>
  <w:style w:type="character" w:customStyle="1" w:styleId="107">
    <w:name w:val="列出段落 Char"/>
    <w:link w:val="108"/>
    <w:qFormat/>
    <w:uiPriority w:val="34"/>
    <w:rPr>
      <w:rFonts w:ascii="Calibri" w:hAnsi="Calibri"/>
      <w:kern w:val="2"/>
      <w:sz w:val="21"/>
      <w:szCs w:val="22"/>
    </w:rPr>
  </w:style>
  <w:style w:type="paragraph" w:customStyle="1" w:styleId="108">
    <w:name w:val="_Style 90"/>
    <w:basedOn w:val="1"/>
    <w:next w:val="67"/>
    <w:link w:val="107"/>
    <w:qFormat/>
    <w:uiPriority w:val="34"/>
    <w:pPr>
      <w:ind w:firstLine="420" w:firstLineChars="200"/>
    </w:pPr>
    <w:rPr>
      <w:rFonts w:ascii="Calibri" w:hAnsi="Calibri"/>
      <w:szCs w:val="22"/>
    </w:rPr>
  </w:style>
  <w:style w:type="paragraph" w:customStyle="1" w:styleId="109">
    <w:name w:val="cr1"/>
    <w:basedOn w:val="2"/>
    <w:next w:val="110"/>
    <w:qFormat/>
    <w:uiPriority w:val="0"/>
    <w:pPr>
      <w:pageBreakBefore/>
      <w:numPr>
        <w:ilvl w:val="0"/>
        <w:numId w:val="1"/>
      </w:numPr>
      <w:snapToGrid w:val="0"/>
      <w:spacing w:line="240" w:lineRule="auto"/>
      <w:jc w:val="left"/>
    </w:pPr>
    <w:rPr>
      <w:rFonts w:ascii="黑体" w:hAnsi="黑体" w:eastAsia="黑体" w:cs="黑体"/>
    </w:rPr>
  </w:style>
  <w:style w:type="paragraph" w:customStyle="1" w:styleId="110">
    <w:name w:val="cr2"/>
    <w:basedOn w:val="3"/>
    <w:next w:val="111"/>
    <w:qFormat/>
    <w:uiPriority w:val="0"/>
    <w:pPr>
      <w:keepNext w:val="0"/>
      <w:pageBreakBefore/>
      <w:numPr>
        <w:ilvl w:val="1"/>
        <w:numId w:val="1"/>
      </w:numPr>
      <w:spacing w:before="25" w:after="25" w:line="360" w:lineRule="auto"/>
      <w:jc w:val="center"/>
      <w:outlineLvl w:val="0"/>
    </w:pPr>
    <w:rPr>
      <w:rFonts w:ascii="Microsoft YaHei" w:hAnsi="Microsoft YaHei" w:eastAsia="Microsoft YaHei"/>
      <w:sz w:val="36"/>
      <w:szCs w:val="36"/>
    </w:rPr>
  </w:style>
  <w:style w:type="paragraph" w:customStyle="1" w:styleId="111">
    <w:name w:val="cr3"/>
    <w:basedOn w:val="4"/>
    <w:next w:val="1"/>
    <w:link w:val="117"/>
    <w:qFormat/>
    <w:uiPriority w:val="0"/>
    <w:pPr>
      <w:numPr>
        <w:ilvl w:val="2"/>
        <w:numId w:val="1"/>
      </w:numPr>
      <w:adjustRightInd w:val="0"/>
      <w:snapToGrid w:val="0"/>
      <w:spacing w:before="0" w:after="0" w:line="360" w:lineRule="auto"/>
      <w:ind w:left="426" w:right="-237" w:rightChars="-113"/>
      <w:outlineLvl w:val="1"/>
    </w:pPr>
    <w:rPr>
      <w:rFonts w:eastAsia="黑体"/>
      <w:lang w:val="zh-CN"/>
    </w:rPr>
  </w:style>
  <w:style w:type="paragraph" w:customStyle="1" w:styleId="112">
    <w:name w:val="cr5"/>
    <w:basedOn w:val="6"/>
    <w:next w:val="1"/>
    <w:link w:val="118"/>
    <w:qFormat/>
    <w:uiPriority w:val="0"/>
    <w:pPr>
      <w:numPr>
        <w:ilvl w:val="3"/>
        <w:numId w:val="1"/>
      </w:numPr>
      <w:spacing w:line="240" w:lineRule="auto"/>
      <w:outlineLvl w:val="2"/>
    </w:pPr>
    <w:rPr>
      <w:rFonts w:ascii="宋体" w:hAnsi="宋体"/>
      <w:szCs w:val="24"/>
      <w:lang w:val="zh-CN"/>
    </w:rPr>
  </w:style>
  <w:style w:type="paragraph" w:customStyle="1" w:styleId="113">
    <w:name w:val="cr7"/>
    <w:basedOn w:val="27"/>
    <w:next w:val="114"/>
    <w:qFormat/>
    <w:uiPriority w:val="0"/>
    <w:pPr>
      <w:numPr>
        <w:ilvl w:val="6"/>
        <w:numId w:val="1"/>
      </w:numPr>
      <w:spacing w:beforeLines="50"/>
      <w:ind w:left="3150" w:hanging="420" w:firstLineChars="0"/>
      <w:contextualSpacing w:val="0"/>
    </w:pPr>
    <w:rPr>
      <w:b/>
      <w:sz w:val="24"/>
    </w:rPr>
  </w:style>
  <w:style w:type="paragraph" w:customStyle="1" w:styleId="114">
    <w:name w:val="cr8"/>
    <w:basedOn w:val="27"/>
    <w:next w:val="1"/>
    <w:qFormat/>
    <w:uiPriority w:val="0"/>
    <w:pPr>
      <w:numPr>
        <w:ilvl w:val="7"/>
        <w:numId w:val="1"/>
      </w:numPr>
      <w:spacing w:beforeLines="50"/>
      <w:ind w:left="3570" w:hanging="420" w:firstLineChars="0"/>
      <w:contextualSpacing w:val="0"/>
    </w:pPr>
    <w:rPr>
      <w:b/>
      <w:sz w:val="24"/>
    </w:rPr>
  </w:style>
  <w:style w:type="character" w:customStyle="1" w:styleId="115">
    <w:name w:val="标题 5 字符"/>
    <w:basedOn w:val="39"/>
    <w:link w:val="6"/>
    <w:qFormat/>
    <w:uiPriority w:val="9"/>
    <w:rPr>
      <w:b/>
      <w:bCs/>
      <w:kern w:val="2"/>
      <w:sz w:val="28"/>
      <w:szCs w:val="28"/>
    </w:rPr>
  </w:style>
  <w:style w:type="paragraph" w:customStyle="1" w:styleId="116">
    <w:name w:val="List Paragraph1"/>
    <w:basedOn w:val="1"/>
    <w:qFormat/>
    <w:uiPriority w:val="0"/>
    <w:pPr>
      <w:spacing w:line="360" w:lineRule="auto"/>
      <w:ind w:firstLine="420" w:firstLineChars="200"/>
    </w:pPr>
    <w:rPr>
      <w:rFonts w:ascii="宋体" w:hAnsi="宋体"/>
      <w:sz w:val="24"/>
    </w:rPr>
  </w:style>
  <w:style w:type="character" w:customStyle="1" w:styleId="117">
    <w:name w:val="cr3 Char"/>
    <w:link w:val="111"/>
    <w:qFormat/>
    <w:uiPriority w:val="0"/>
    <w:rPr>
      <w:rFonts w:eastAsia="黑体"/>
      <w:b/>
      <w:bCs/>
      <w:kern w:val="2"/>
      <w:sz w:val="32"/>
      <w:szCs w:val="32"/>
      <w:lang w:val="zh-CN"/>
    </w:rPr>
  </w:style>
  <w:style w:type="character" w:customStyle="1" w:styleId="118">
    <w:name w:val="cr5 Char"/>
    <w:link w:val="112"/>
    <w:qFormat/>
    <w:uiPriority w:val="0"/>
    <w:rPr>
      <w:rFonts w:ascii="宋体" w:hAnsi="宋体"/>
      <w:b/>
      <w:bCs/>
      <w:kern w:val="2"/>
      <w:sz w:val="28"/>
      <w:szCs w:val="24"/>
      <w:lang w:val="zh-CN"/>
    </w:rPr>
  </w:style>
  <w:style w:type="paragraph" w:customStyle="1" w:styleId="1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20">
    <w:name w:val="嘉和正文"/>
    <w:basedOn w:val="1"/>
    <w:link w:val="121"/>
    <w:qFormat/>
    <w:uiPriority w:val="0"/>
    <w:pPr>
      <w:spacing w:line="360" w:lineRule="auto"/>
      <w:ind w:firstLine="480" w:firstLineChars="200"/>
    </w:pPr>
    <w:rPr>
      <w:sz w:val="24"/>
      <w:szCs w:val="20"/>
    </w:rPr>
  </w:style>
  <w:style w:type="character" w:customStyle="1" w:styleId="121">
    <w:name w:val="嘉和正文 Char"/>
    <w:link w:val="120"/>
    <w:qFormat/>
    <w:uiPriority w:val="0"/>
    <w:rPr>
      <w:kern w:val="2"/>
      <w:sz w:val="24"/>
    </w:rPr>
  </w:style>
  <w:style w:type="character" w:customStyle="1" w:styleId="122">
    <w:name w:val="正文文本缩进 字符"/>
    <w:basedOn w:val="39"/>
    <w:link w:val="17"/>
    <w:qFormat/>
    <w:uiPriority w:val="0"/>
    <w:rPr>
      <w:rFonts w:ascii="宋体" w:hAnsi="MS Sans Serif"/>
      <w:spacing w:val="12"/>
      <w:sz w:val="24"/>
    </w:rPr>
  </w:style>
  <w:style w:type="character" w:customStyle="1" w:styleId="123">
    <w:name w:val="批注框文本 字符"/>
    <w:basedOn w:val="39"/>
    <w:link w:val="23"/>
    <w:qFormat/>
    <w:uiPriority w:val="99"/>
    <w:rPr>
      <w:kern w:val="2"/>
      <w:sz w:val="18"/>
      <w:szCs w:val="18"/>
    </w:rPr>
  </w:style>
  <w:style w:type="character" w:customStyle="1" w:styleId="124">
    <w:name w:val="HTML 预设格式 字符"/>
    <w:basedOn w:val="39"/>
    <w:link w:val="31"/>
    <w:qFormat/>
    <w:uiPriority w:val="99"/>
    <w:rPr>
      <w:rFonts w:ascii="宋体" w:hAnsi="宋体"/>
      <w:sz w:val="24"/>
      <w:szCs w:val="24"/>
    </w:rPr>
  </w:style>
  <w:style w:type="character" w:customStyle="1" w:styleId="125">
    <w:name w:val="批注主题 字符"/>
    <w:basedOn w:val="74"/>
    <w:link w:val="34"/>
    <w:qFormat/>
    <w:uiPriority w:val="99"/>
    <w:rPr>
      <w:rFonts w:ascii="Times New Roman" w:hAnsi="Times New Roman" w:eastAsia="宋体" w:cs="Times New Roman"/>
      <w:b/>
      <w:bCs/>
      <w:kern w:val="2"/>
      <w:sz w:val="21"/>
      <w:szCs w:val="24"/>
    </w:rPr>
  </w:style>
  <w:style w:type="paragraph" w:customStyle="1" w:styleId="126">
    <w:name w:val="Bid_正文"/>
    <w:basedOn w:val="12"/>
    <w:link w:val="127"/>
    <w:qFormat/>
    <w:uiPriority w:val="0"/>
    <w:pPr>
      <w:spacing w:afterLines="50" w:line="360" w:lineRule="auto"/>
      <w:ind w:firstLine="480" w:firstLineChars="200"/>
    </w:pPr>
    <w:rPr>
      <w:rFonts w:ascii="Tahoma" w:hAnsi="Tahoma" w:eastAsia="宋体"/>
      <w:kern w:val="0"/>
      <w:sz w:val="24"/>
      <w:szCs w:val="20"/>
      <w:lang w:val="zh-CN"/>
    </w:rPr>
  </w:style>
  <w:style w:type="character" w:customStyle="1" w:styleId="127">
    <w:name w:val="Bid_正文 Char"/>
    <w:link w:val="126"/>
    <w:qFormat/>
    <w:uiPriority w:val="0"/>
    <w:rPr>
      <w:rFonts w:ascii="Tahoma" w:hAnsi="Tahoma"/>
      <w:sz w:val="24"/>
      <w:lang w:val="zh-CN"/>
    </w:rPr>
  </w:style>
  <w:style w:type="character" w:customStyle="1" w:styleId="128">
    <w:name w:val="页码1"/>
    <w:qFormat/>
    <w:uiPriority w:val="0"/>
  </w:style>
  <w:style w:type="paragraph" w:customStyle="1" w:styleId="129">
    <w:name w:val="文档正文"/>
    <w:basedOn w:val="1"/>
    <w:link w:val="130"/>
    <w:qFormat/>
    <w:uiPriority w:val="0"/>
    <w:pPr>
      <w:widowControl/>
      <w:adjustRightInd w:val="0"/>
      <w:snapToGrid w:val="0"/>
      <w:spacing w:before="100" w:beforeAutospacing="1" w:after="100" w:afterAutospacing="1" w:line="300" w:lineRule="auto"/>
      <w:ind w:firstLine="480" w:firstLineChars="200"/>
      <w:jc w:val="left"/>
      <w:textAlignment w:val="baseline"/>
    </w:pPr>
    <w:rPr>
      <w:rFonts w:ascii="宋体" w:hAnsi="宋体"/>
      <w:kern w:val="0"/>
      <w:sz w:val="24"/>
    </w:rPr>
  </w:style>
  <w:style w:type="character" w:customStyle="1" w:styleId="130">
    <w:name w:val="文档正文 Char"/>
    <w:link w:val="129"/>
    <w:qFormat/>
    <w:uiPriority w:val="0"/>
    <w:rPr>
      <w:rFonts w:ascii="宋体" w:hAnsi="宋体"/>
      <w:sz w:val="24"/>
      <w:szCs w:val="24"/>
    </w:rPr>
  </w:style>
  <w:style w:type="paragraph" w:customStyle="1" w:styleId="131">
    <w:name w:val="样式 正文缩进 + 首行缩进:  2 字符"/>
    <w:basedOn w:val="12"/>
    <w:link w:val="132"/>
    <w:qFormat/>
    <w:uiPriority w:val="0"/>
    <w:pPr>
      <w:spacing w:line="360" w:lineRule="auto"/>
      <w:ind w:firstLine="200" w:firstLineChars="200"/>
    </w:pPr>
    <w:rPr>
      <w:rFonts w:ascii="Times New Roman" w:hAnsi="Times New Roman" w:eastAsia="宋体"/>
      <w:sz w:val="24"/>
      <w:szCs w:val="20"/>
      <w:lang w:val="zh-CN"/>
    </w:rPr>
  </w:style>
  <w:style w:type="character" w:customStyle="1" w:styleId="132">
    <w:name w:val="样式 正文缩进 + 首行缩进:  2 字符 Char"/>
    <w:link w:val="131"/>
    <w:qFormat/>
    <w:uiPriority w:val="0"/>
    <w:rPr>
      <w:kern w:val="2"/>
      <w:sz w:val="24"/>
      <w:lang w:val="zh-CN"/>
    </w:rPr>
  </w:style>
  <w:style w:type="paragraph" w:customStyle="1" w:styleId="1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GHC 正文"/>
    <w:basedOn w:val="1"/>
    <w:qFormat/>
    <w:uiPriority w:val="0"/>
    <w:pPr>
      <w:spacing w:line="360" w:lineRule="auto"/>
      <w:ind w:firstLine="420" w:firstLineChars="200"/>
    </w:pPr>
    <w:rPr>
      <w:rFonts w:ascii="宋体" w:hAnsi="宋体"/>
      <w:sz w:val="24"/>
      <w:lang w:val="en-AU"/>
    </w:rPr>
  </w:style>
  <w:style w:type="paragraph" w:customStyle="1" w:styleId="135">
    <w:name w:val="_正文段落"/>
    <w:basedOn w:val="1"/>
    <w:link w:val="136"/>
    <w:qFormat/>
    <w:uiPriority w:val="0"/>
    <w:pPr>
      <w:spacing w:beforeLines="15" w:afterLines="15" w:line="360" w:lineRule="auto"/>
      <w:ind w:firstLine="480" w:firstLineChars="200"/>
    </w:pPr>
    <w:rPr>
      <w:rFonts w:ascii="宋体" w:hAnsi="宋体"/>
      <w:kern w:val="0"/>
      <w:sz w:val="24"/>
    </w:rPr>
  </w:style>
  <w:style w:type="character" w:customStyle="1" w:styleId="136">
    <w:name w:val="_正文段落 Char"/>
    <w:link w:val="135"/>
    <w:qFormat/>
    <w:uiPriority w:val="0"/>
    <w:rPr>
      <w:rFonts w:ascii="宋体" w:hAnsi="宋体"/>
      <w:sz w:val="24"/>
      <w:szCs w:val="24"/>
    </w:rPr>
  </w:style>
  <w:style w:type="table" w:customStyle="1" w:styleId="13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3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9">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Other|1"/>
    <w:basedOn w:val="1"/>
    <w:qFormat/>
    <w:uiPriority w:val="0"/>
    <w:pPr>
      <w:widowControl w:val="0"/>
      <w:shd w:val="clear" w:color="auto" w:fill="auto"/>
      <w:spacing w:line="430" w:lineRule="auto"/>
      <w:ind w:firstLine="400"/>
    </w:pPr>
    <w:rPr>
      <w:rFonts w:ascii="宋体" w:hAnsi="宋体" w:eastAsia="宋体" w:cs="宋体"/>
      <w:sz w:val="20"/>
      <w:szCs w:val="20"/>
      <w:u w:val="none"/>
      <w:shd w:val="clear" w:color="auto" w:fill="auto"/>
      <w:lang w:val="zh-TW" w:eastAsia="zh-TW" w:bidi="zh-TW"/>
    </w:rPr>
  </w:style>
  <w:style w:type="paragraph" w:customStyle="1" w:styleId="141">
    <w:name w:val="报告正文"/>
    <w:basedOn w:val="1"/>
    <w:next w:val="1"/>
    <w:qFormat/>
    <w:uiPriority w:val="99"/>
    <w:rPr>
      <w:rFonts w:ascii="Times New Roman"/>
      <w:szCs w:val="28"/>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first-child"/>
    <w:basedOn w:val="39"/>
    <w:qFormat/>
    <w:uiPriority w:val="0"/>
  </w:style>
  <w:style w:type="character" w:customStyle="1" w:styleId="144">
    <w:name w:val="layui-layer-tabnow"/>
    <w:basedOn w:val="39"/>
    <w:qFormat/>
    <w:uiPriority w:val="0"/>
    <w:rPr>
      <w:bdr w:val="single" w:color="CCCCCC" w:sz="6" w:space="0"/>
      <w:shd w:val="clear" w:fill="FFFFFF"/>
    </w:rPr>
  </w:style>
  <w:style w:type="character" w:customStyle="1" w:styleId="145">
    <w:name w:val="font71"/>
    <w:basedOn w:val="39"/>
    <w:qFormat/>
    <w:uiPriority w:val="0"/>
    <w:rPr>
      <w:rFonts w:hint="eastAsia" w:ascii="宋体" w:hAnsi="宋体" w:eastAsia="宋体" w:cs="宋体"/>
      <w:color w:val="FF0000"/>
      <w:sz w:val="22"/>
      <w:szCs w:val="22"/>
      <w:u w:val="none"/>
    </w:rPr>
  </w:style>
  <w:style w:type="character" w:customStyle="1" w:styleId="146">
    <w:name w:val="font131"/>
    <w:basedOn w:val="39"/>
    <w:qFormat/>
    <w:uiPriority w:val="0"/>
    <w:rPr>
      <w:rFonts w:hint="eastAsia" w:ascii="宋体" w:hAnsi="宋体" w:eastAsia="宋体" w:cs="宋体"/>
      <w:color w:val="000000"/>
      <w:sz w:val="22"/>
      <w:szCs w:val="22"/>
      <w:u w:val="none"/>
    </w:rPr>
  </w:style>
  <w:style w:type="paragraph" w:customStyle="1" w:styleId="147">
    <w:name w:val="Title"/>
    <w:basedOn w:val="1"/>
    <w:qFormat/>
    <w:uiPriority w:val="0"/>
    <w:pPr>
      <w:widowControl/>
      <w:spacing w:before="240" w:after="60"/>
      <w:jc w:val="center"/>
      <w:outlineLvl w:val="0"/>
    </w:pPr>
    <w:rPr>
      <w:rFonts w:ascii="Arial" w:hAnsi="Arial" w:cs="Arial"/>
      <w:b/>
      <w:bCs/>
      <w:kern w:val="0"/>
      <w:sz w:val="44"/>
      <w:szCs w:val="32"/>
    </w:rPr>
  </w:style>
  <w:style w:type="character" w:customStyle="1" w:styleId="148">
    <w:name w:val="font51"/>
    <w:basedOn w:val="39"/>
    <w:qFormat/>
    <w:uiPriority w:val="0"/>
    <w:rPr>
      <w:rFonts w:hint="eastAsia" w:ascii="Microsoft YaHei" w:hAnsi="Microsoft YaHei" w:eastAsia="Microsoft YaHei" w:cs="Microsoft YaHei"/>
      <w:color w:val="000000"/>
      <w:sz w:val="24"/>
      <w:szCs w:val="24"/>
      <w:u w:val="none"/>
    </w:rPr>
  </w:style>
  <w:style w:type="character" w:customStyle="1" w:styleId="149">
    <w:name w:val="font61"/>
    <w:basedOn w:val="39"/>
    <w:qFormat/>
    <w:uiPriority w:val="0"/>
    <w:rPr>
      <w:rFonts w:hint="eastAsia" w:ascii="Microsoft YaHei" w:hAnsi="Microsoft YaHei" w:eastAsia="Microsoft YaHei" w:cs="Microsoft YaHei"/>
      <w:color w:val="FF0000"/>
      <w:sz w:val="24"/>
      <w:szCs w:val="24"/>
      <w:u w:val="none"/>
    </w:rPr>
  </w:style>
  <w:style w:type="paragraph" w:customStyle="1" w:styleId="150">
    <w:name w:val="样式2"/>
    <w:basedOn w:val="1"/>
    <w:qFormat/>
    <w:uiPriority w:val="0"/>
    <w:rPr>
      <w:rFonts w:ascii="仿宋_GB2312" w:hAnsi="宋体" w:eastAsia="仿宋_GB2312" w:cs="Times New Roman"/>
      <w:sz w:val="32"/>
      <w:szCs w:val="20"/>
    </w:rPr>
  </w:style>
  <w:style w:type="paragraph" w:customStyle="1" w:styleId="151">
    <w:name w:val="样式 小四 段前: 5 磅 段后: 5 磅 首行缩进:  2 字符"/>
    <w:basedOn w:val="1"/>
    <w:qFormat/>
    <w:uiPriority w:val="0"/>
    <w:pPr>
      <w:spacing w:line="360" w:lineRule="auto"/>
    </w:pPr>
    <w:rPr>
      <w:rFonts w:ascii="宋体" w:hAnsi="宋体"/>
      <w:sz w:val="24"/>
      <w:szCs w:val="21"/>
    </w:rPr>
  </w:style>
  <w:style w:type="paragraph" w:customStyle="1" w:styleId="152">
    <w:name w:val="列出段落1"/>
    <w:basedOn w:val="1"/>
    <w:qFormat/>
    <w:uiPriority w:val="0"/>
    <w:pPr>
      <w:ind w:firstLine="420" w:firstLineChars="200"/>
    </w:pPr>
    <w:rPr>
      <w:szCs w:val="21"/>
    </w:rPr>
  </w:style>
  <w:style w:type="paragraph" w:customStyle="1" w:styleId="15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80775-9041-4E2B-898B-ECCA0FECD7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37945</Words>
  <Characters>39957</Characters>
  <Lines>247</Lines>
  <Paragraphs>69</Paragraphs>
  <TotalTime>0</TotalTime>
  <ScaleCrop>false</ScaleCrop>
  <LinksUpToDate>false</LinksUpToDate>
  <CharactersWithSpaces>41259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2021-06-18T02:53:00Z</dcterms:created>
  <dc:creator>User</dc:creator>
  <cp:lastModifiedBy>Administrator</cp:lastModifiedBy>
  <cp:lastPrinted>2024-10-16T05:22:00Z</cp:lastPrinted>
  <dcterms:modified xsi:type="dcterms:W3CDTF">2026-05-28T10:12:03Z</dcterms:modified>
  <dc:title>招标公告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_2015_ms_pID_725343">
    <vt:lpwstr>(2)zyC19tCThAUtqLN/P8lsWpWWfvYyO1PFmUIaCJPGDu4nFj7kKZ1k86Q+UacNHL5m3R9ckpnM_x000d_
qV+LYG4N9awTqU4hE9CQ7hFxKDaexMIVjy5fIx9DstQrX3lX+6IOBgMVV0oZe9HA1SOcCzWT_x000d_
wd4MGjb3SpKG08mXghqmtqK9k041MKq5F9PJAm+6n9tEdl3CVoCkAfz52qqTN1XPrbS1EqpH_x000d_
tm5i69IBdaMq8wsxRB</vt:lpwstr>
  </property>
  <property fmtid="{D5CDD505-2E9C-101B-9397-08002B2CF9AE}" pid="4" name="_2015_ms_pID_7253431">
    <vt:lpwstr>2SgWPOVC1X17LQIXuCiN5PCYGE3ECP+g3SXytMvBHAFnGK75PDUzb2_x000d_
+kYDlnKDetL1zM3zLWdKE0kfLBSRyyWaaF9fKU/mo9miQK+ACWBcawz/7PA1QvreP5PcSVHq_x000d_
2IFKVqEYLmftiHOgXFvgOwT8yjAPXiV5Sd+bHgnffL3LEuIj/hzCmP6ZVGsbnD2AHPQ=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1595405219</vt:lpwstr>
  </property>
  <property fmtid="{D5CDD505-2E9C-101B-9397-08002B2CF9AE}" pid="9" name="ICV">
    <vt:lpwstr>927A1C62053A41688A62707CDA613F7B_13</vt:lpwstr>
  </property>
  <property fmtid="{D5CDD505-2E9C-101B-9397-08002B2CF9AE}" pid="10" name="KSOTemplateDocerSaveRecord">
    <vt:lpwstr>eyJoZGlkIjoiZmUyNWQ2OTU1OTQ4MTc1NWI5ODlhZjhhMmRkN2ZkYjAiLCJ1c2VySWQiOiIzMzA5MDEzNTMifQ==</vt:lpwstr>
  </property>
</Properties>
</file>