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2034E">
      <w:pPr>
        <w:pStyle w:val="13"/>
        <w:tabs>
          <w:tab w:val="left" w:pos="1050"/>
        </w:tabs>
        <w:jc w:val="left"/>
        <w:rPr>
          <w:rFonts w:ascii="仿宋" w:hAnsi="仿宋" w:eastAsia="仿宋" w:cs="仿宋"/>
          <w:b/>
          <w:bCs/>
          <w:sz w:val="48"/>
          <w:szCs w:val="48"/>
        </w:rPr>
      </w:pPr>
      <w:r>
        <w:rPr>
          <w:rFonts w:hint="eastAsia" w:ascii="仿宋" w:hAnsi="仿宋" w:eastAsia="仿宋" w:cs="仿宋"/>
          <w:b/>
          <w:sz w:val="48"/>
          <w:szCs w:val="48"/>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sz w:val="48"/>
          <w:szCs w:val="48"/>
        </w:rPr>
        <w:t xml:space="preserve">  </w:t>
      </w:r>
    </w:p>
    <w:p w14:paraId="548B6B86">
      <w:pPr>
        <w:pStyle w:val="13"/>
        <w:jc w:val="center"/>
        <w:rPr>
          <w:rFonts w:ascii="仿宋" w:hAnsi="仿宋" w:eastAsia="仿宋" w:cs="仿宋"/>
          <w:b/>
          <w:bCs/>
          <w:sz w:val="48"/>
          <w:szCs w:val="48"/>
        </w:rPr>
      </w:pPr>
    </w:p>
    <w:p w14:paraId="43EF12F7">
      <w:pPr>
        <w:jc w:val="center"/>
        <w:rPr>
          <w:rFonts w:hint="eastAsia" w:ascii="仿宋" w:hAnsi="仿宋" w:eastAsia="仿宋" w:cs="仿宋"/>
          <w:lang w:eastAsia="zh-CN"/>
        </w:rPr>
      </w:pPr>
      <w:r>
        <w:rPr>
          <w:rFonts w:hint="eastAsia" w:ascii="仿宋" w:hAnsi="仿宋" w:eastAsia="仿宋" w:cs="仿宋"/>
          <w:b/>
          <w:bCs/>
          <w:sz w:val="48"/>
          <w:szCs w:val="48"/>
          <w:lang w:eastAsia="zh-CN"/>
        </w:rPr>
        <w:t>新疆维吾尔自治区地质局乌鲁木齐地质大队地质勘测服务（录井）采购项目二次</w:t>
      </w:r>
    </w:p>
    <w:p w14:paraId="7F4E5A40">
      <w:pPr>
        <w:rPr>
          <w:rFonts w:ascii="仿宋" w:hAnsi="仿宋" w:eastAsia="仿宋" w:cs="仿宋"/>
        </w:rPr>
      </w:pPr>
    </w:p>
    <w:p w14:paraId="528C3527">
      <w:pPr>
        <w:pStyle w:val="13"/>
        <w:rPr>
          <w:rFonts w:ascii="仿宋" w:hAnsi="仿宋" w:eastAsia="仿宋" w:cs="仿宋"/>
        </w:rPr>
      </w:pPr>
    </w:p>
    <w:p w14:paraId="4E4B99EB">
      <w:pPr>
        <w:jc w:val="center"/>
        <w:rPr>
          <w:rFonts w:ascii="仿宋" w:hAnsi="仿宋" w:eastAsia="仿宋" w:cs="仿宋"/>
          <w:b/>
          <w:sz w:val="72"/>
          <w:szCs w:val="72"/>
        </w:rPr>
      </w:pPr>
    </w:p>
    <w:p w14:paraId="6A806002">
      <w:pPr>
        <w:jc w:val="center"/>
        <w:rPr>
          <w:rFonts w:ascii="仿宋" w:hAnsi="仿宋" w:eastAsia="仿宋" w:cs="仿宋"/>
          <w:b/>
          <w:sz w:val="72"/>
          <w:szCs w:val="72"/>
        </w:rPr>
      </w:pPr>
      <w:r>
        <w:rPr>
          <w:rFonts w:hint="eastAsia" w:ascii="仿宋" w:hAnsi="仿宋" w:eastAsia="仿宋" w:cs="仿宋"/>
          <w:b/>
          <w:sz w:val="72"/>
          <w:szCs w:val="72"/>
        </w:rPr>
        <w:t>招 标 文 件</w:t>
      </w:r>
    </w:p>
    <w:p w14:paraId="7B6026BD">
      <w:pPr>
        <w:adjustRightInd w:val="0"/>
        <w:snapToGrid w:val="0"/>
        <w:spacing w:line="360" w:lineRule="auto"/>
        <w:jc w:val="center"/>
        <w:rPr>
          <w:rFonts w:ascii="仿宋" w:hAnsi="仿宋" w:eastAsia="仿宋" w:cs="仿宋"/>
          <w:b/>
          <w:sz w:val="28"/>
          <w:szCs w:val="18"/>
        </w:rPr>
      </w:pPr>
      <w:r>
        <w:rPr>
          <w:rFonts w:hint="eastAsia" w:ascii="仿宋" w:hAnsi="仿宋" w:eastAsia="仿宋" w:cs="仿宋"/>
          <w:b/>
          <w:sz w:val="28"/>
          <w:szCs w:val="18"/>
        </w:rPr>
        <w:t>（项目编号：</w:t>
      </w:r>
      <w:r>
        <w:rPr>
          <w:rFonts w:hint="eastAsia" w:ascii="仿宋" w:hAnsi="仿宋" w:eastAsia="仿宋" w:cs="仿宋"/>
          <w:b/>
          <w:sz w:val="28"/>
          <w:szCs w:val="18"/>
          <w:lang w:eastAsia="zh-CN"/>
        </w:rPr>
        <w:t>XJXSJ-2026(ZC)-089（2）</w:t>
      </w:r>
      <w:r>
        <w:rPr>
          <w:rFonts w:hint="eastAsia" w:ascii="仿宋" w:hAnsi="仿宋" w:eastAsia="仿宋" w:cs="仿宋"/>
          <w:b/>
          <w:sz w:val="28"/>
          <w:szCs w:val="18"/>
        </w:rPr>
        <w:t>）</w:t>
      </w:r>
    </w:p>
    <w:p w14:paraId="7EAFA9B4">
      <w:pPr>
        <w:adjustRightInd w:val="0"/>
        <w:snapToGrid w:val="0"/>
        <w:spacing w:line="360" w:lineRule="auto"/>
        <w:rPr>
          <w:rFonts w:ascii="仿宋" w:hAnsi="仿宋" w:eastAsia="仿宋" w:cs="仿宋"/>
          <w:b/>
          <w:sz w:val="32"/>
        </w:rPr>
      </w:pPr>
      <w:r>
        <w:rPr>
          <w:rFonts w:hint="eastAsia" w:ascii="仿宋" w:hAnsi="仿宋" w:eastAsia="仿宋" w:cs="仿宋"/>
          <w:b/>
          <w:sz w:val="32"/>
        </w:rPr>
        <w:t xml:space="preserve">     </w:t>
      </w:r>
    </w:p>
    <w:p w14:paraId="34E7C842">
      <w:pPr>
        <w:adjustRightInd w:val="0"/>
        <w:snapToGrid w:val="0"/>
        <w:spacing w:line="360" w:lineRule="auto"/>
        <w:rPr>
          <w:rFonts w:ascii="仿宋" w:hAnsi="仿宋" w:eastAsia="仿宋" w:cs="仿宋"/>
          <w:b/>
          <w:sz w:val="32"/>
        </w:rPr>
      </w:pPr>
    </w:p>
    <w:p w14:paraId="61283AC2">
      <w:pPr>
        <w:adjustRightInd w:val="0"/>
        <w:snapToGrid w:val="0"/>
        <w:spacing w:line="360" w:lineRule="auto"/>
        <w:rPr>
          <w:rFonts w:ascii="仿宋" w:hAnsi="仿宋" w:eastAsia="仿宋" w:cs="仿宋"/>
          <w:b/>
          <w:sz w:val="32"/>
        </w:rPr>
      </w:pPr>
    </w:p>
    <w:p w14:paraId="715B2A75">
      <w:pPr>
        <w:ind w:firstLine="420"/>
        <w:rPr>
          <w:rFonts w:ascii="仿宋" w:hAnsi="仿宋" w:eastAsia="仿宋" w:cs="仿宋"/>
          <w:sz w:val="28"/>
          <w:szCs w:val="28"/>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7AB2B61A">
        <w:tblPrEx>
          <w:tblCellMar>
            <w:top w:w="0" w:type="dxa"/>
            <w:left w:w="108" w:type="dxa"/>
            <w:bottom w:w="0" w:type="dxa"/>
            <w:right w:w="108" w:type="dxa"/>
          </w:tblCellMar>
        </w:tblPrEx>
        <w:trPr>
          <w:trHeight w:val="1459" w:hRule="atLeast"/>
        </w:trPr>
        <w:tc>
          <w:tcPr>
            <w:tcW w:w="1756" w:type="dxa"/>
            <w:vAlign w:val="center"/>
          </w:tcPr>
          <w:p w14:paraId="6D7D9F17">
            <w:pPr>
              <w:tabs>
                <w:tab w:val="left" w:pos="8504"/>
              </w:tabs>
              <w:spacing w:line="360" w:lineRule="auto"/>
              <w:rPr>
                <w:rFonts w:ascii="仿宋" w:hAnsi="仿宋" w:eastAsia="仿宋" w:cs="仿宋"/>
                <w:b/>
                <w:spacing w:val="14"/>
                <w:sz w:val="28"/>
                <w:szCs w:val="28"/>
              </w:rPr>
            </w:pPr>
            <w:r>
              <w:rPr>
                <w:rFonts w:hint="eastAsia" w:ascii="仿宋" w:hAnsi="仿宋" w:eastAsia="仿宋" w:cs="仿宋"/>
                <w:b/>
                <w:spacing w:val="14"/>
                <w:sz w:val="28"/>
                <w:szCs w:val="28"/>
              </w:rPr>
              <w:t>采 购 人：</w:t>
            </w:r>
          </w:p>
          <w:p w14:paraId="0DFC7EBF">
            <w:pPr>
              <w:tabs>
                <w:tab w:val="left" w:pos="8504"/>
              </w:tabs>
              <w:spacing w:line="360" w:lineRule="auto"/>
              <w:rPr>
                <w:rFonts w:ascii="仿宋" w:hAnsi="仿宋" w:eastAsia="仿宋" w:cs="仿宋"/>
                <w:b/>
                <w:spacing w:val="14"/>
                <w:sz w:val="28"/>
                <w:szCs w:val="28"/>
              </w:rPr>
            </w:pPr>
            <w:r>
              <w:rPr>
                <w:rFonts w:hint="eastAsia" w:ascii="仿宋" w:hAnsi="仿宋" w:eastAsia="仿宋" w:cs="仿宋"/>
                <w:b/>
                <w:spacing w:val="14"/>
                <w:sz w:val="28"/>
                <w:szCs w:val="28"/>
              </w:rPr>
              <w:t>采购代理：</w:t>
            </w:r>
          </w:p>
        </w:tc>
        <w:tc>
          <w:tcPr>
            <w:tcW w:w="7643" w:type="dxa"/>
            <w:vAlign w:val="center"/>
          </w:tcPr>
          <w:p w14:paraId="78FB3194">
            <w:pPr>
              <w:tabs>
                <w:tab w:val="left" w:pos="8504"/>
              </w:tabs>
              <w:spacing w:line="360" w:lineRule="auto"/>
              <w:rPr>
                <w:rFonts w:ascii="仿宋" w:hAnsi="仿宋" w:eastAsia="仿宋" w:cs="仿宋"/>
                <w:b/>
                <w:spacing w:val="14"/>
                <w:sz w:val="28"/>
                <w:szCs w:val="28"/>
              </w:rPr>
            </w:pPr>
            <w:r>
              <w:rPr>
                <w:rFonts w:hint="eastAsia" w:ascii="仿宋" w:hAnsi="仿宋" w:eastAsia="仿宋" w:cs="仿宋"/>
                <w:b/>
                <w:spacing w:val="14"/>
                <w:sz w:val="28"/>
                <w:szCs w:val="28"/>
              </w:rPr>
              <w:t>新疆维吾尔自治区地质局乌鲁木齐地质大队</w:t>
            </w:r>
          </w:p>
          <w:p w14:paraId="3D4BA4B5">
            <w:pPr>
              <w:tabs>
                <w:tab w:val="left" w:pos="8504"/>
              </w:tabs>
              <w:spacing w:line="360" w:lineRule="auto"/>
              <w:rPr>
                <w:rFonts w:ascii="仿宋" w:hAnsi="仿宋" w:eastAsia="仿宋" w:cs="仿宋"/>
              </w:rPr>
            </w:pPr>
            <w:r>
              <w:rPr>
                <w:rFonts w:hint="eastAsia" w:ascii="仿宋" w:hAnsi="仿宋" w:eastAsia="仿宋" w:cs="仿宋"/>
                <w:b/>
                <w:spacing w:val="14"/>
                <w:sz w:val="28"/>
                <w:szCs w:val="28"/>
              </w:rPr>
              <w:t>新疆新世纪招标有限公司</w:t>
            </w:r>
          </w:p>
        </w:tc>
      </w:tr>
    </w:tbl>
    <w:p w14:paraId="47CBFA7F">
      <w:pPr>
        <w:spacing w:line="360" w:lineRule="atLeast"/>
        <w:ind w:firstLine="3514" w:firstLineChars="1250"/>
        <w:rPr>
          <w:rFonts w:ascii="仿宋" w:hAnsi="仿宋" w:eastAsia="仿宋" w:cs="仿宋"/>
          <w:b/>
          <w:sz w:val="28"/>
          <w:szCs w:val="28"/>
        </w:rPr>
      </w:pPr>
    </w:p>
    <w:p w14:paraId="11D8DE5D">
      <w:pPr>
        <w:spacing w:line="360" w:lineRule="atLeast"/>
        <w:ind w:firstLine="3514" w:firstLineChars="1250"/>
        <w:rPr>
          <w:rFonts w:ascii="仿宋" w:hAnsi="仿宋" w:eastAsia="仿宋" w:cs="仿宋"/>
          <w:b/>
          <w:sz w:val="28"/>
          <w:szCs w:val="28"/>
        </w:rPr>
      </w:pPr>
    </w:p>
    <w:p w14:paraId="4E0AE3EF">
      <w:pPr>
        <w:spacing w:line="360" w:lineRule="atLeast"/>
        <w:ind w:firstLine="3514" w:firstLineChars="1250"/>
        <w:rPr>
          <w:rFonts w:ascii="仿宋" w:hAnsi="仿宋" w:eastAsia="仿宋" w:cs="仿宋"/>
          <w:sz w:val="48"/>
          <w:szCs w:val="48"/>
        </w:rPr>
      </w:pPr>
      <w:r>
        <w:rPr>
          <w:rFonts w:hint="eastAsia" w:ascii="仿宋" w:hAnsi="仿宋" w:eastAsia="仿宋" w:cs="仿宋"/>
          <w:b/>
          <w:sz w:val="28"/>
          <w:szCs w:val="28"/>
        </w:rPr>
        <w:t>二〇二六年</w:t>
      </w:r>
      <w:r>
        <w:rPr>
          <w:rFonts w:hint="eastAsia" w:ascii="仿宋" w:hAnsi="仿宋" w:eastAsia="仿宋" w:cs="仿宋"/>
          <w:b/>
          <w:sz w:val="28"/>
          <w:szCs w:val="28"/>
          <w:lang w:val="en-US" w:eastAsia="zh-CN"/>
        </w:rPr>
        <w:t>五</w:t>
      </w:r>
      <w:r>
        <w:rPr>
          <w:rFonts w:hint="eastAsia" w:ascii="仿宋" w:hAnsi="仿宋" w:eastAsia="仿宋" w:cs="仿宋"/>
          <w:b/>
          <w:sz w:val="28"/>
          <w:szCs w:val="28"/>
        </w:rPr>
        <w:t>月</w:t>
      </w:r>
    </w:p>
    <w:p w14:paraId="6AFF8182">
      <w:pPr>
        <w:widowControl/>
        <w:jc w:val="left"/>
        <w:rPr>
          <w:rFonts w:ascii="仿宋" w:hAnsi="仿宋" w:eastAsia="仿宋" w:cs="仿宋"/>
          <w:b/>
          <w:bCs/>
          <w:sz w:val="28"/>
          <w:szCs w:val="24"/>
        </w:rPr>
      </w:pPr>
      <w:r>
        <w:rPr>
          <w:rFonts w:hint="eastAsia" w:ascii="仿宋" w:hAnsi="仿宋" w:eastAsia="仿宋" w:cs="仿宋"/>
          <w:b/>
          <w:bCs/>
          <w:sz w:val="28"/>
          <w:szCs w:val="24"/>
        </w:rPr>
        <w:br w:type="page"/>
      </w:r>
    </w:p>
    <w:p w14:paraId="5F327794">
      <w:pPr>
        <w:jc w:val="center"/>
        <w:rPr>
          <w:rFonts w:ascii="仿宋" w:hAnsi="仿宋" w:eastAsia="仿宋" w:cs="仿宋"/>
          <w:b/>
          <w:bCs/>
          <w:sz w:val="28"/>
          <w:szCs w:val="24"/>
        </w:rPr>
      </w:pPr>
      <w:r>
        <w:rPr>
          <w:rFonts w:hint="eastAsia" w:ascii="仿宋" w:hAnsi="仿宋" w:eastAsia="仿宋" w:cs="仿宋"/>
          <w:b/>
          <w:bCs/>
          <w:sz w:val="28"/>
          <w:szCs w:val="24"/>
        </w:rPr>
        <w:t>目录</w:t>
      </w:r>
    </w:p>
    <w:p w14:paraId="25FAE6BF">
      <w:pPr>
        <w:pStyle w:val="26"/>
        <w:tabs>
          <w:tab w:val="right" w:leader="dot" w:pos="9354"/>
        </w:tabs>
      </w:pPr>
      <w:r>
        <w:rPr>
          <w:rStyle w:val="51"/>
          <w:rFonts w:hint="eastAsia" w:cs="仿宋"/>
          <w:b/>
          <w:color w:val="auto"/>
          <w:sz w:val="24"/>
        </w:rPr>
        <w:fldChar w:fldCharType="begin"/>
      </w:r>
      <w:r>
        <w:rPr>
          <w:rStyle w:val="51"/>
          <w:rFonts w:hint="eastAsia" w:ascii="仿宋" w:hAnsi="仿宋" w:eastAsia="仿宋" w:cs="仿宋"/>
          <w:b/>
          <w:color w:val="auto"/>
          <w:sz w:val="24"/>
        </w:rPr>
        <w:instrText xml:space="preserve">TOC \o "1-3" \h \u </w:instrText>
      </w:r>
      <w:r>
        <w:rPr>
          <w:rStyle w:val="51"/>
          <w:rFonts w:hint="eastAsia" w:cs="仿宋"/>
          <w:b/>
          <w:color w:val="auto"/>
          <w:sz w:val="24"/>
        </w:rPr>
        <w:fldChar w:fldCharType="separate"/>
      </w:r>
      <w:r>
        <w:fldChar w:fldCharType="begin"/>
      </w:r>
      <w:r>
        <w:instrText xml:space="preserve"> HYPERLINK \l "_Toc1186" </w:instrText>
      </w:r>
      <w:r>
        <w:fldChar w:fldCharType="separate"/>
      </w:r>
      <w:r>
        <w:rPr>
          <w:rFonts w:hint="eastAsia" w:ascii="仿宋" w:hAnsi="仿宋" w:eastAsia="仿宋" w:cs="仿宋"/>
          <w:bCs/>
          <w:szCs w:val="28"/>
        </w:rPr>
        <w:t>公开招标公告</w:t>
      </w:r>
      <w:r>
        <w:tab/>
      </w:r>
      <w:r>
        <w:fldChar w:fldCharType="begin"/>
      </w:r>
      <w:r>
        <w:instrText xml:space="preserve"> PAGEREF _Toc1186 \h </w:instrText>
      </w:r>
      <w:r>
        <w:fldChar w:fldCharType="separate"/>
      </w:r>
      <w:r>
        <w:t>1</w:t>
      </w:r>
      <w:r>
        <w:fldChar w:fldCharType="end"/>
      </w:r>
      <w:r>
        <w:fldChar w:fldCharType="end"/>
      </w:r>
    </w:p>
    <w:p w14:paraId="2F291FB9">
      <w:pPr>
        <w:pStyle w:val="26"/>
        <w:tabs>
          <w:tab w:val="right" w:leader="dot" w:pos="9354"/>
        </w:tabs>
      </w:pPr>
      <w:r>
        <w:fldChar w:fldCharType="begin"/>
      </w:r>
      <w:r>
        <w:instrText xml:space="preserve"> HYPERLINK \l "_Toc31961" </w:instrText>
      </w:r>
      <w:r>
        <w:fldChar w:fldCharType="separate"/>
      </w:r>
      <w:r>
        <w:rPr>
          <w:rFonts w:hint="eastAsia" w:ascii="仿宋" w:hAnsi="仿宋" w:eastAsia="仿宋" w:cs="仿宋"/>
          <w:szCs w:val="28"/>
        </w:rPr>
        <w:t>投标人须知前附表</w:t>
      </w:r>
      <w:r>
        <w:tab/>
      </w:r>
      <w:r>
        <w:fldChar w:fldCharType="begin"/>
      </w:r>
      <w:r>
        <w:instrText xml:space="preserve"> PAGEREF _Toc31961 \h </w:instrText>
      </w:r>
      <w:r>
        <w:fldChar w:fldCharType="separate"/>
      </w:r>
      <w:r>
        <w:t>4</w:t>
      </w:r>
      <w:r>
        <w:fldChar w:fldCharType="end"/>
      </w:r>
      <w:r>
        <w:fldChar w:fldCharType="end"/>
      </w:r>
    </w:p>
    <w:p w14:paraId="48833413">
      <w:pPr>
        <w:pStyle w:val="26"/>
        <w:tabs>
          <w:tab w:val="right" w:leader="dot" w:pos="9354"/>
        </w:tabs>
      </w:pPr>
      <w:r>
        <w:fldChar w:fldCharType="begin"/>
      </w:r>
      <w:r>
        <w:instrText xml:space="preserve"> HYPERLINK \l "_Toc21391" </w:instrText>
      </w:r>
      <w:r>
        <w:fldChar w:fldCharType="separate"/>
      </w:r>
      <w:r>
        <w:rPr>
          <w:rFonts w:hint="eastAsia" w:ascii="仿宋" w:hAnsi="仿宋" w:eastAsia="仿宋" w:cs="仿宋"/>
          <w:szCs w:val="28"/>
        </w:rPr>
        <w:t>第一章 投标人须知</w:t>
      </w:r>
      <w:r>
        <w:tab/>
      </w:r>
      <w:r>
        <w:fldChar w:fldCharType="begin"/>
      </w:r>
      <w:r>
        <w:instrText xml:space="preserve"> PAGEREF _Toc21391 \h </w:instrText>
      </w:r>
      <w:r>
        <w:fldChar w:fldCharType="separate"/>
      </w:r>
      <w:r>
        <w:t>9</w:t>
      </w:r>
      <w:r>
        <w:fldChar w:fldCharType="end"/>
      </w:r>
      <w:r>
        <w:fldChar w:fldCharType="end"/>
      </w:r>
    </w:p>
    <w:p w14:paraId="75B541F7">
      <w:pPr>
        <w:pStyle w:val="32"/>
        <w:tabs>
          <w:tab w:val="right" w:leader="dot" w:pos="9354"/>
        </w:tabs>
      </w:pPr>
      <w:r>
        <w:fldChar w:fldCharType="begin"/>
      </w:r>
      <w:r>
        <w:instrText xml:space="preserve"> HYPERLINK \l "_Toc3661" </w:instrText>
      </w:r>
      <w:r>
        <w:fldChar w:fldCharType="separate"/>
      </w:r>
      <w:r>
        <w:rPr>
          <w:rFonts w:hint="eastAsia" w:ascii="仿宋" w:hAnsi="仿宋" w:eastAsia="仿宋" w:cs="仿宋"/>
        </w:rPr>
        <w:t>1．总则</w:t>
      </w:r>
      <w:r>
        <w:tab/>
      </w:r>
      <w:r>
        <w:fldChar w:fldCharType="begin"/>
      </w:r>
      <w:r>
        <w:instrText xml:space="preserve"> PAGEREF _Toc3661 \h </w:instrText>
      </w:r>
      <w:r>
        <w:fldChar w:fldCharType="separate"/>
      </w:r>
      <w:r>
        <w:t>9</w:t>
      </w:r>
      <w:r>
        <w:fldChar w:fldCharType="end"/>
      </w:r>
      <w:r>
        <w:fldChar w:fldCharType="end"/>
      </w:r>
    </w:p>
    <w:p w14:paraId="0CCB23DF">
      <w:pPr>
        <w:pStyle w:val="32"/>
        <w:tabs>
          <w:tab w:val="right" w:leader="dot" w:pos="9354"/>
        </w:tabs>
      </w:pPr>
      <w:r>
        <w:fldChar w:fldCharType="begin"/>
      </w:r>
      <w:r>
        <w:instrText xml:space="preserve"> HYPERLINK \l "_Toc27298" </w:instrText>
      </w:r>
      <w:r>
        <w:fldChar w:fldCharType="separate"/>
      </w:r>
      <w:r>
        <w:rPr>
          <w:rFonts w:hint="eastAsia" w:ascii="仿宋" w:hAnsi="仿宋" w:eastAsia="仿宋" w:cs="仿宋"/>
        </w:rPr>
        <w:t>2．招标文件</w:t>
      </w:r>
      <w:r>
        <w:tab/>
      </w:r>
      <w:r>
        <w:fldChar w:fldCharType="begin"/>
      </w:r>
      <w:r>
        <w:instrText xml:space="preserve"> PAGEREF _Toc27298 \h </w:instrText>
      </w:r>
      <w:r>
        <w:fldChar w:fldCharType="separate"/>
      </w:r>
      <w:r>
        <w:t>11</w:t>
      </w:r>
      <w:r>
        <w:fldChar w:fldCharType="end"/>
      </w:r>
      <w:r>
        <w:fldChar w:fldCharType="end"/>
      </w:r>
    </w:p>
    <w:p w14:paraId="13C2FDC4">
      <w:pPr>
        <w:pStyle w:val="32"/>
        <w:tabs>
          <w:tab w:val="right" w:leader="dot" w:pos="9354"/>
        </w:tabs>
      </w:pPr>
      <w:r>
        <w:fldChar w:fldCharType="begin"/>
      </w:r>
      <w:r>
        <w:instrText xml:space="preserve"> HYPERLINK \l "_Toc5223" </w:instrText>
      </w:r>
      <w:r>
        <w:fldChar w:fldCharType="separate"/>
      </w:r>
      <w:r>
        <w:rPr>
          <w:rFonts w:hint="eastAsia" w:ascii="仿宋" w:hAnsi="仿宋" w:eastAsia="仿宋" w:cs="仿宋"/>
        </w:rPr>
        <w:t>3．投标文件</w:t>
      </w:r>
      <w:r>
        <w:tab/>
      </w:r>
      <w:r>
        <w:fldChar w:fldCharType="begin"/>
      </w:r>
      <w:r>
        <w:instrText xml:space="preserve"> PAGEREF _Toc5223 \h </w:instrText>
      </w:r>
      <w:r>
        <w:fldChar w:fldCharType="separate"/>
      </w:r>
      <w:r>
        <w:t>12</w:t>
      </w:r>
      <w:r>
        <w:fldChar w:fldCharType="end"/>
      </w:r>
      <w:r>
        <w:fldChar w:fldCharType="end"/>
      </w:r>
    </w:p>
    <w:p w14:paraId="74A35E22">
      <w:pPr>
        <w:pStyle w:val="32"/>
        <w:tabs>
          <w:tab w:val="right" w:leader="dot" w:pos="9354"/>
        </w:tabs>
      </w:pPr>
      <w:r>
        <w:fldChar w:fldCharType="begin"/>
      </w:r>
      <w:r>
        <w:instrText xml:space="preserve"> HYPERLINK \l "_Toc28025" </w:instrText>
      </w:r>
      <w:r>
        <w:fldChar w:fldCharType="separate"/>
      </w:r>
      <w:r>
        <w:rPr>
          <w:rFonts w:hint="eastAsia" w:ascii="仿宋" w:hAnsi="仿宋" w:eastAsia="仿宋" w:cs="仿宋"/>
        </w:rPr>
        <w:t>4．投标</w:t>
      </w:r>
      <w:r>
        <w:tab/>
      </w:r>
      <w:r>
        <w:fldChar w:fldCharType="begin"/>
      </w:r>
      <w:r>
        <w:instrText xml:space="preserve"> PAGEREF _Toc28025 \h </w:instrText>
      </w:r>
      <w:r>
        <w:fldChar w:fldCharType="separate"/>
      </w:r>
      <w:r>
        <w:t>14</w:t>
      </w:r>
      <w:r>
        <w:fldChar w:fldCharType="end"/>
      </w:r>
      <w:r>
        <w:fldChar w:fldCharType="end"/>
      </w:r>
    </w:p>
    <w:p w14:paraId="5FA245C1">
      <w:pPr>
        <w:pStyle w:val="32"/>
        <w:tabs>
          <w:tab w:val="right" w:leader="dot" w:pos="9354"/>
        </w:tabs>
      </w:pPr>
      <w:r>
        <w:fldChar w:fldCharType="begin"/>
      </w:r>
      <w:r>
        <w:instrText xml:space="preserve"> HYPERLINK \l "_Toc26385" </w:instrText>
      </w:r>
      <w:r>
        <w:fldChar w:fldCharType="separate"/>
      </w:r>
      <w:r>
        <w:rPr>
          <w:rFonts w:hint="eastAsia" w:ascii="仿宋" w:hAnsi="仿宋" w:eastAsia="仿宋" w:cs="仿宋"/>
        </w:rPr>
        <w:t>5．开标</w:t>
      </w:r>
      <w:r>
        <w:tab/>
      </w:r>
      <w:r>
        <w:fldChar w:fldCharType="begin"/>
      </w:r>
      <w:r>
        <w:instrText xml:space="preserve"> PAGEREF _Toc26385 \h </w:instrText>
      </w:r>
      <w:r>
        <w:fldChar w:fldCharType="separate"/>
      </w:r>
      <w:r>
        <w:t>15</w:t>
      </w:r>
      <w:r>
        <w:fldChar w:fldCharType="end"/>
      </w:r>
      <w:r>
        <w:fldChar w:fldCharType="end"/>
      </w:r>
    </w:p>
    <w:p w14:paraId="7A9A678F">
      <w:pPr>
        <w:pStyle w:val="32"/>
        <w:tabs>
          <w:tab w:val="right" w:leader="dot" w:pos="9354"/>
        </w:tabs>
      </w:pPr>
      <w:r>
        <w:fldChar w:fldCharType="begin"/>
      </w:r>
      <w:r>
        <w:instrText xml:space="preserve"> HYPERLINK \l "_Toc5139" </w:instrText>
      </w:r>
      <w:r>
        <w:fldChar w:fldCharType="separate"/>
      </w:r>
      <w:r>
        <w:rPr>
          <w:rFonts w:hint="eastAsia" w:ascii="仿宋" w:hAnsi="仿宋" w:eastAsia="仿宋" w:cs="仿宋"/>
        </w:rPr>
        <w:t>6．评标</w:t>
      </w:r>
      <w:r>
        <w:tab/>
      </w:r>
      <w:r>
        <w:fldChar w:fldCharType="begin"/>
      </w:r>
      <w:r>
        <w:instrText xml:space="preserve"> PAGEREF _Toc5139 \h </w:instrText>
      </w:r>
      <w:r>
        <w:fldChar w:fldCharType="separate"/>
      </w:r>
      <w:r>
        <w:t>16</w:t>
      </w:r>
      <w:r>
        <w:fldChar w:fldCharType="end"/>
      </w:r>
      <w:r>
        <w:fldChar w:fldCharType="end"/>
      </w:r>
    </w:p>
    <w:p w14:paraId="56F5C50A">
      <w:pPr>
        <w:pStyle w:val="32"/>
        <w:tabs>
          <w:tab w:val="right" w:leader="dot" w:pos="9354"/>
        </w:tabs>
      </w:pPr>
      <w:r>
        <w:fldChar w:fldCharType="begin"/>
      </w:r>
      <w:r>
        <w:instrText xml:space="preserve"> HYPERLINK \l "_Toc1820" </w:instrText>
      </w:r>
      <w:r>
        <w:fldChar w:fldCharType="separate"/>
      </w:r>
      <w:r>
        <w:rPr>
          <w:rFonts w:hint="eastAsia" w:ascii="仿宋" w:hAnsi="仿宋" w:eastAsia="仿宋" w:cs="仿宋"/>
        </w:rPr>
        <w:t>7．定标及合同授予</w:t>
      </w:r>
      <w:r>
        <w:tab/>
      </w:r>
      <w:r>
        <w:fldChar w:fldCharType="begin"/>
      </w:r>
      <w:r>
        <w:instrText xml:space="preserve"> PAGEREF _Toc1820 \h </w:instrText>
      </w:r>
      <w:r>
        <w:fldChar w:fldCharType="separate"/>
      </w:r>
      <w:r>
        <w:t>16</w:t>
      </w:r>
      <w:r>
        <w:fldChar w:fldCharType="end"/>
      </w:r>
      <w:r>
        <w:fldChar w:fldCharType="end"/>
      </w:r>
    </w:p>
    <w:p w14:paraId="47476E48">
      <w:pPr>
        <w:pStyle w:val="32"/>
        <w:tabs>
          <w:tab w:val="right" w:leader="dot" w:pos="9354"/>
        </w:tabs>
      </w:pPr>
      <w:r>
        <w:fldChar w:fldCharType="begin"/>
      </w:r>
      <w:r>
        <w:instrText xml:space="preserve"> HYPERLINK \l "_Toc10630" </w:instrText>
      </w:r>
      <w:r>
        <w:fldChar w:fldCharType="separate"/>
      </w:r>
      <w:r>
        <w:rPr>
          <w:rFonts w:hint="eastAsia" w:ascii="仿宋" w:hAnsi="仿宋" w:eastAsia="仿宋" w:cs="仿宋"/>
        </w:rPr>
        <w:t>8．纪律和监督</w:t>
      </w:r>
      <w:r>
        <w:tab/>
      </w:r>
      <w:r>
        <w:fldChar w:fldCharType="begin"/>
      </w:r>
      <w:r>
        <w:instrText xml:space="preserve"> PAGEREF _Toc10630 \h </w:instrText>
      </w:r>
      <w:r>
        <w:fldChar w:fldCharType="separate"/>
      </w:r>
      <w:r>
        <w:t>17</w:t>
      </w:r>
      <w:r>
        <w:fldChar w:fldCharType="end"/>
      </w:r>
      <w:r>
        <w:fldChar w:fldCharType="end"/>
      </w:r>
    </w:p>
    <w:p w14:paraId="53F42927">
      <w:pPr>
        <w:pStyle w:val="26"/>
        <w:tabs>
          <w:tab w:val="right" w:leader="dot" w:pos="9354"/>
        </w:tabs>
      </w:pPr>
      <w:r>
        <w:fldChar w:fldCharType="begin"/>
      </w:r>
      <w:r>
        <w:instrText xml:space="preserve"> HYPERLINK \l "_Toc21164" </w:instrText>
      </w:r>
      <w:r>
        <w:fldChar w:fldCharType="separate"/>
      </w:r>
      <w:r>
        <w:rPr>
          <w:rFonts w:hint="eastAsia" w:ascii="仿宋" w:hAnsi="仿宋" w:eastAsia="仿宋" w:cs="仿宋"/>
          <w:szCs w:val="28"/>
        </w:rPr>
        <w:t>第二章 评标办法</w:t>
      </w:r>
      <w:r>
        <w:tab/>
      </w:r>
      <w:r>
        <w:fldChar w:fldCharType="begin"/>
      </w:r>
      <w:r>
        <w:instrText xml:space="preserve"> PAGEREF _Toc21164 \h </w:instrText>
      </w:r>
      <w:r>
        <w:fldChar w:fldCharType="separate"/>
      </w:r>
      <w:r>
        <w:t>19</w:t>
      </w:r>
      <w:r>
        <w:fldChar w:fldCharType="end"/>
      </w:r>
      <w:r>
        <w:fldChar w:fldCharType="end"/>
      </w:r>
    </w:p>
    <w:p w14:paraId="5228BF7C">
      <w:pPr>
        <w:pStyle w:val="18"/>
        <w:tabs>
          <w:tab w:val="right" w:leader="dot" w:pos="9354"/>
        </w:tabs>
        <w:ind w:left="0" w:leftChars="0" w:firstLine="420" w:firstLineChars="200"/>
      </w:pPr>
      <w:r>
        <w:fldChar w:fldCharType="begin"/>
      </w:r>
      <w:r>
        <w:instrText xml:space="preserve"> HYPERLINK \l "_Toc23868" </w:instrText>
      </w:r>
      <w:r>
        <w:fldChar w:fldCharType="separate"/>
      </w:r>
      <w:r>
        <w:rPr>
          <w:rFonts w:hint="eastAsia" w:ascii="仿宋" w:hAnsi="仿宋" w:eastAsia="仿宋" w:cs="仿宋"/>
          <w:szCs w:val="28"/>
        </w:rPr>
        <w:t>评审办法前附表</w:t>
      </w:r>
      <w:r>
        <w:tab/>
      </w:r>
      <w:r>
        <w:fldChar w:fldCharType="begin"/>
      </w:r>
      <w:r>
        <w:instrText xml:space="preserve"> PAGEREF _Toc23868 \h </w:instrText>
      </w:r>
      <w:r>
        <w:fldChar w:fldCharType="separate"/>
      </w:r>
      <w:r>
        <w:t>19</w:t>
      </w:r>
      <w:r>
        <w:fldChar w:fldCharType="end"/>
      </w:r>
      <w:r>
        <w:fldChar w:fldCharType="end"/>
      </w:r>
    </w:p>
    <w:p w14:paraId="06A50FBA">
      <w:pPr>
        <w:pStyle w:val="18"/>
        <w:tabs>
          <w:tab w:val="right" w:leader="dot" w:pos="9354"/>
        </w:tabs>
        <w:ind w:left="0" w:leftChars="0" w:firstLine="420" w:firstLineChars="200"/>
      </w:pPr>
      <w:r>
        <w:fldChar w:fldCharType="begin"/>
      </w:r>
      <w:r>
        <w:instrText xml:space="preserve"> HYPERLINK \l "_Toc17904" </w:instrText>
      </w:r>
      <w:r>
        <w:fldChar w:fldCharType="separate"/>
      </w:r>
      <w:r>
        <w:rPr>
          <w:rFonts w:hint="eastAsia" w:ascii="仿宋" w:hAnsi="仿宋" w:eastAsia="仿宋" w:cs="仿宋"/>
        </w:rPr>
        <w:t>1. 评标方法</w:t>
      </w:r>
      <w:r>
        <w:tab/>
      </w:r>
      <w:r>
        <w:fldChar w:fldCharType="begin"/>
      </w:r>
      <w:r>
        <w:instrText xml:space="preserve"> PAGEREF _Toc17904 \h </w:instrText>
      </w:r>
      <w:r>
        <w:fldChar w:fldCharType="separate"/>
      </w:r>
      <w:r>
        <w:t>23</w:t>
      </w:r>
      <w:r>
        <w:fldChar w:fldCharType="end"/>
      </w:r>
      <w:r>
        <w:fldChar w:fldCharType="end"/>
      </w:r>
    </w:p>
    <w:p w14:paraId="65171F43">
      <w:pPr>
        <w:pStyle w:val="18"/>
        <w:tabs>
          <w:tab w:val="right" w:leader="dot" w:pos="9354"/>
        </w:tabs>
        <w:ind w:left="0" w:leftChars="0" w:firstLine="420" w:firstLineChars="200"/>
      </w:pPr>
      <w:r>
        <w:fldChar w:fldCharType="begin"/>
      </w:r>
      <w:r>
        <w:instrText xml:space="preserve"> HYPERLINK \l "_Toc25431" </w:instrText>
      </w:r>
      <w:r>
        <w:fldChar w:fldCharType="separate"/>
      </w:r>
      <w:r>
        <w:rPr>
          <w:rFonts w:hint="eastAsia" w:ascii="仿宋" w:hAnsi="仿宋" w:eastAsia="仿宋" w:cs="仿宋"/>
        </w:rPr>
        <w:t>2. 评标标准</w:t>
      </w:r>
      <w:r>
        <w:tab/>
      </w:r>
      <w:r>
        <w:fldChar w:fldCharType="begin"/>
      </w:r>
      <w:r>
        <w:instrText xml:space="preserve"> PAGEREF _Toc25431 \h </w:instrText>
      </w:r>
      <w:r>
        <w:fldChar w:fldCharType="separate"/>
      </w:r>
      <w:r>
        <w:t>23</w:t>
      </w:r>
      <w:r>
        <w:fldChar w:fldCharType="end"/>
      </w:r>
      <w:r>
        <w:fldChar w:fldCharType="end"/>
      </w:r>
    </w:p>
    <w:p w14:paraId="252ED1AF">
      <w:pPr>
        <w:pStyle w:val="18"/>
        <w:tabs>
          <w:tab w:val="right" w:leader="dot" w:pos="9354"/>
        </w:tabs>
        <w:ind w:left="0" w:leftChars="0" w:firstLine="420" w:firstLineChars="200"/>
      </w:pPr>
      <w:r>
        <w:fldChar w:fldCharType="begin"/>
      </w:r>
      <w:r>
        <w:instrText xml:space="preserve"> HYPERLINK \l "_Toc29324" </w:instrText>
      </w:r>
      <w:r>
        <w:fldChar w:fldCharType="separate"/>
      </w:r>
      <w:r>
        <w:rPr>
          <w:rFonts w:hint="eastAsia" w:ascii="仿宋" w:hAnsi="仿宋" w:eastAsia="仿宋" w:cs="仿宋"/>
        </w:rPr>
        <w:t>3. 评标程序</w:t>
      </w:r>
      <w:r>
        <w:tab/>
      </w:r>
      <w:r>
        <w:fldChar w:fldCharType="begin"/>
      </w:r>
      <w:r>
        <w:instrText xml:space="preserve"> PAGEREF _Toc29324 \h </w:instrText>
      </w:r>
      <w:r>
        <w:fldChar w:fldCharType="separate"/>
      </w:r>
      <w:r>
        <w:t>23</w:t>
      </w:r>
      <w:r>
        <w:fldChar w:fldCharType="end"/>
      </w:r>
      <w:r>
        <w:fldChar w:fldCharType="end"/>
      </w:r>
    </w:p>
    <w:p w14:paraId="26BDB952">
      <w:pPr>
        <w:pStyle w:val="26"/>
        <w:tabs>
          <w:tab w:val="right" w:leader="dot" w:pos="9354"/>
        </w:tabs>
      </w:pPr>
      <w:r>
        <w:fldChar w:fldCharType="begin"/>
      </w:r>
      <w:r>
        <w:instrText xml:space="preserve"> HYPERLINK \l "_Toc1253" </w:instrText>
      </w:r>
      <w:r>
        <w:fldChar w:fldCharType="separate"/>
      </w:r>
      <w:r>
        <w:rPr>
          <w:rFonts w:hint="eastAsia" w:ascii="仿宋" w:hAnsi="仿宋" w:eastAsia="仿宋" w:cs="仿宋"/>
        </w:rPr>
        <w:t>第三章 合同条款</w:t>
      </w:r>
      <w:r>
        <w:tab/>
      </w:r>
      <w:r>
        <w:fldChar w:fldCharType="begin"/>
      </w:r>
      <w:r>
        <w:instrText xml:space="preserve"> PAGEREF _Toc1253 \h </w:instrText>
      </w:r>
      <w:r>
        <w:fldChar w:fldCharType="separate"/>
      </w:r>
      <w:r>
        <w:t>30</w:t>
      </w:r>
      <w:r>
        <w:fldChar w:fldCharType="end"/>
      </w:r>
      <w:r>
        <w:fldChar w:fldCharType="end"/>
      </w:r>
    </w:p>
    <w:p w14:paraId="582AFEF9">
      <w:pPr>
        <w:pStyle w:val="26"/>
        <w:tabs>
          <w:tab w:val="right" w:leader="dot" w:pos="9354"/>
        </w:tabs>
      </w:pPr>
      <w:r>
        <w:fldChar w:fldCharType="begin"/>
      </w:r>
      <w:r>
        <w:instrText xml:space="preserve"> HYPERLINK \l "_Toc27487" </w:instrText>
      </w:r>
      <w:r>
        <w:fldChar w:fldCharType="separate"/>
      </w:r>
      <w:r>
        <w:rPr>
          <w:rFonts w:hint="eastAsia" w:ascii="仿宋" w:hAnsi="仿宋" w:eastAsia="仿宋" w:cs="仿宋"/>
        </w:rPr>
        <w:t>第四章 服务标准和要求</w:t>
      </w:r>
      <w:r>
        <w:tab/>
      </w:r>
      <w:r>
        <w:fldChar w:fldCharType="begin"/>
      </w:r>
      <w:r>
        <w:instrText xml:space="preserve"> PAGEREF _Toc27487 \h </w:instrText>
      </w:r>
      <w:r>
        <w:fldChar w:fldCharType="separate"/>
      </w:r>
      <w:r>
        <w:t>42</w:t>
      </w:r>
      <w:r>
        <w:fldChar w:fldCharType="end"/>
      </w:r>
      <w:r>
        <w:fldChar w:fldCharType="end"/>
      </w:r>
    </w:p>
    <w:p w14:paraId="37E7BE0B">
      <w:pPr>
        <w:pStyle w:val="26"/>
        <w:tabs>
          <w:tab w:val="right" w:leader="dot" w:pos="9354"/>
        </w:tabs>
      </w:pPr>
      <w:r>
        <w:fldChar w:fldCharType="begin"/>
      </w:r>
      <w:r>
        <w:instrText xml:space="preserve"> HYPERLINK \l "_Toc1807" </w:instrText>
      </w:r>
      <w:r>
        <w:fldChar w:fldCharType="separate"/>
      </w:r>
      <w:r>
        <w:rPr>
          <w:rFonts w:hint="eastAsia" w:ascii="仿宋" w:hAnsi="仿宋" w:eastAsia="仿宋" w:cs="仿宋"/>
        </w:rPr>
        <w:t>第五章 投标文件格式</w:t>
      </w:r>
      <w:r>
        <w:tab/>
      </w:r>
      <w:r>
        <w:fldChar w:fldCharType="begin"/>
      </w:r>
      <w:r>
        <w:instrText xml:space="preserve"> PAGEREF _Toc1807 \h </w:instrText>
      </w:r>
      <w:r>
        <w:fldChar w:fldCharType="separate"/>
      </w:r>
      <w:r>
        <w:t>44</w:t>
      </w:r>
      <w:r>
        <w:fldChar w:fldCharType="end"/>
      </w:r>
      <w:r>
        <w:fldChar w:fldCharType="end"/>
      </w:r>
    </w:p>
    <w:p w14:paraId="2E3F5304">
      <w:pPr>
        <w:pStyle w:val="32"/>
        <w:tabs>
          <w:tab w:val="right" w:leader="dot" w:pos="9354"/>
        </w:tabs>
      </w:pPr>
      <w:r>
        <w:fldChar w:fldCharType="begin"/>
      </w:r>
      <w:r>
        <w:instrText xml:space="preserve"> HYPERLINK \l "_Toc3990" </w:instrText>
      </w:r>
      <w:r>
        <w:fldChar w:fldCharType="separate"/>
      </w:r>
      <w:r>
        <w:rPr>
          <w:rFonts w:hint="eastAsia" w:ascii="仿宋" w:hAnsi="仿宋" w:eastAsia="仿宋" w:cs="仿宋"/>
        </w:rPr>
        <w:t>目录</w:t>
      </w:r>
      <w:r>
        <w:tab/>
      </w:r>
      <w:r>
        <w:fldChar w:fldCharType="begin"/>
      </w:r>
      <w:r>
        <w:instrText xml:space="preserve"> PAGEREF _Toc3990 \h </w:instrText>
      </w:r>
      <w:r>
        <w:fldChar w:fldCharType="separate"/>
      </w:r>
      <w:r>
        <w:t>45</w:t>
      </w:r>
      <w:r>
        <w:fldChar w:fldCharType="end"/>
      </w:r>
      <w:r>
        <w:fldChar w:fldCharType="end"/>
      </w:r>
    </w:p>
    <w:p w14:paraId="79D8865A">
      <w:pPr>
        <w:pStyle w:val="32"/>
        <w:tabs>
          <w:tab w:val="right" w:leader="dot" w:pos="9354"/>
        </w:tabs>
      </w:pPr>
      <w:r>
        <w:fldChar w:fldCharType="begin"/>
      </w:r>
      <w:r>
        <w:instrText xml:space="preserve"> HYPERLINK \l "_Toc18537" </w:instrText>
      </w:r>
      <w:r>
        <w:fldChar w:fldCharType="separate"/>
      </w:r>
      <w:r>
        <w:rPr>
          <w:rFonts w:hint="eastAsia" w:ascii="仿宋" w:hAnsi="仿宋" w:eastAsia="仿宋" w:cs="仿宋"/>
          <w:shd w:val="clear" w:color="auto" w:fill="FFFFFF" w:themeFill="background1"/>
        </w:rPr>
        <w:t>一、投标函</w:t>
      </w:r>
      <w:r>
        <w:tab/>
      </w:r>
      <w:r>
        <w:fldChar w:fldCharType="begin"/>
      </w:r>
      <w:r>
        <w:instrText xml:space="preserve"> PAGEREF _Toc18537 \h </w:instrText>
      </w:r>
      <w:r>
        <w:fldChar w:fldCharType="separate"/>
      </w:r>
      <w:r>
        <w:t>46</w:t>
      </w:r>
      <w:r>
        <w:fldChar w:fldCharType="end"/>
      </w:r>
      <w:r>
        <w:fldChar w:fldCharType="end"/>
      </w:r>
    </w:p>
    <w:p w14:paraId="3BE4EFEB">
      <w:pPr>
        <w:pStyle w:val="32"/>
        <w:tabs>
          <w:tab w:val="right" w:leader="dot" w:pos="9354"/>
        </w:tabs>
      </w:pPr>
      <w:r>
        <w:fldChar w:fldCharType="begin"/>
      </w:r>
      <w:r>
        <w:instrText xml:space="preserve"> HYPERLINK \l "_Toc14116" </w:instrText>
      </w:r>
      <w:r>
        <w:fldChar w:fldCharType="separate"/>
      </w:r>
      <w:r>
        <w:rPr>
          <w:rFonts w:hint="eastAsia" w:ascii="仿宋" w:hAnsi="仿宋" w:eastAsia="仿宋" w:cs="仿宋"/>
          <w:shd w:val="clear" w:color="auto" w:fill="FFFFFF" w:themeFill="background1"/>
        </w:rPr>
        <w:t>二、开标一览表</w:t>
      </w:r>
      <w:r>
        <w:tab/>
      </w:r>
      <w:r>
        <w:fldChar w:fldCharType="begin"/>
      </w:r>
      <w:r>
        <w:instrText xml:space="preserve"> PAGEREF _Toc14116 \h </w:instrText>
      </w:r>
      <w:r>
        <w:fldChar w:fldCharType="separate"/>
      </w:r>
      <w:r>
        <w:t>47</w:t>
      </w:r>
      <w:r>
        <w:fldChar w:fldCharType="end"/>
      </w:r>
      <w:r>
        <w:fldChar w:fldCharType="end"/>
      </w:r>
    </w:p>
    <w:p w14:paraId="5559344D">
      <w:pPr>
        <w:pStyle w:val="32"/>
        <w:tabs>
          <w:tab w:val="right" w:leader="dot" w:pos="9354"/>
        </w:tabs>
      </w:pPr>
      <w:r>
        <w:fldChar w:fldCharType="begin"/>
      </w:r>
      <w:r>
        <w:instrText xml:space="preserve"> HYPERLINK \l "_Toc11784" </w:instrText>
      </w:r>
      <w:r>
        <w:fldChar w:fldCharType="separate"/>
      </w:r>
      <w:r>
        <w:rPr>
          <w:rFonts w:hint="eastAsia" w:ascii="仿宋" w:hAnsi="仿宋" w:eastAsia="仿宋" w:cs="仿宋"/>
          <w:shd w:val="clear" w:color="auto" w:fill="FFFFFF" w:themeFill="background1"/>
        </w:rPr>
        <w:t>三、投标价格明细表</w:t>
      </w:r>
      <w:r>
        <w:tab/>
      </w:r>
      <w:r>
        <w:fldChar w:fldCharType="begin"/>
      </w:r>
      <w:r>
        <w:instrText xml:space="preserve"> PAGEREF _Toc11784 \h </w:instrText>
      </w:r>
      <w:r>
        <w:fldChar w:fldCharType="separate"/>
      </w:r>
      <w:r>
        <w:t>48</w:t>
      </w:r>
      <w:r>
        <w:fldChar w:fldCharType="end"/>
      </w:r>
      <w:r>
        <w:fldChar w:fldCharType="end"/>
      </w:r>
    </w:p>
    <w:p w14:paraId="2915A0E4">
      <w:pPr>
        <w:pStyle w:val="32"/>
        <w:tabs>
          <w:tab w:val="right" w:leader="dot" w:pos="9354"/>
        </w:tabs>
      </w:pPr>
      <w:r>
        <w:fldChar w:fldCharType="begin"/>
      </w:r>
      <w:r>
        <w:instrText xml:space="preserve"> HYPERLINK \l "_Toc5136" </w:instrText>
      </w:r>
      <w:r>
        <w:fldChar w:fldCharType="separate"/>
      </w:r>
      <w:r>
        <w:rPr>
          <w:rFonts w:hint="eastAsia" w:ascii="仿宋" w:hAnsi="仿宋" w:eastAsia="仿宋" w:cs="仿宋"/>
          <w:shd w:val="clear" w:color="auto" w:fill="FFFFFF" w:themeFill="background1"/>
        </w:rPr>
        <w:t>四、商务条款偏离表</w:t>
      </w:r>
      <w:r>
        <w:tab/>
      </w:r>
      <w:r>
        <w:fldChar w:fldCharType="begin"/>
      </w:r>
      <w:r>
        <w:instrText xml:space="preserve"> PAGEREF _Toc5136 \h </w:instrText>
      </w:r>
      <w:r>
        <w:fldChar w:fldCharType="separate"/>
      </w:r>
      <w:r>
        <w:t>49</w:t>
      </w:r>
      <w:r>
        <w:fldChar w:fldCharType="end"/>
      </w:r>
      <w:r>
        <w:fldChar w:fldCharType="end"/>
      </w:r>
    </w:p>
    <w:p w14:paraId="1E58C9FC">
      <w:pPr>
        <w:pStyle w:val="32"/>
        <w:tabs>
          <w:tab w:val="right" w:leader="dot" w:pos="9354"/>
        </w:tabs>
      </w:pPr>
      <w:r>
        <w:fldChar w:fldCharType="begin"/>
      </w:r>
      <w:r>
        <w:instrText xml:space="preserve"> HYPERLINK \l "_Toc1549" </w:instrText>
      </w:r>
      <w:r>
        <w:fldChar w:fldCharType="separate"/>
      </w:r>
      <w:r>
        <w:rPr>
          <w:rFonts w:hint="eastAsia" w:ascii="仿宋" w:hAnsi="仿宋" w:eastAsia="仿宋" w:cs="仿宋"/>
          <w:shd w:val="clear" w:color="auto" w:fill="FFFFFF" w:themeFill="background1"/>
        </w:rPr>
        <w:t>五、技术条款偏离表</w:t>
      </w:r>
      <w:r>
        <w:tab/>
      </w:r>
      <w:r>
        <w:fldChar w:fldCharType="begin"/>
      </w:r>
      <w:r>
        <w:instrText xml:space="preserve"> PAGEREF _Toc1549 \h </w:instrText>
      </w:r>
      <w:r>
        <w:fldChar w:fldCharType="separate"/>
      </w:r>
      <w:r>
        <w:t>50</w:t>
      </w:r>
      <w:r>
        <w:fldChar w:fldCharType="end"/>
      </w:r>
      <w:r>
        <w:fldChar w:fldCharType="end"/>
      </w:r>
    </w:p>
    <w:p w14:paraId="49B1C7F7">
      <w:pPr>
        <w:pStyle w:val="32"/>
        <w:tabs>
          <w:tab w:val="right" w:leader="dot" w:pos="9354"/>
        </w:tabs>
      </w:pPr>
      <w:r>
        <w:fldChar w:fldCharType="begin"/>
      </w:r>
      <w:r>
        <w:instrText xml:space="preserve"> HYPERLINK \l "_Toc30533" </w:instrText>
      </w:r>
      <w:r>
        <w:fldChar w:fldCharType="separate"/>
      </w:r>
      <w:r>
        <w:rPr>
          <w:rFonts w:hint="eastAsia" w:ascii="仿宋" w:hAnsi="仿宋" w:eastAsia="仿宋" w:cs="仿宋"/>
          <w:shd w:val="clear" w:color="auto" w:fill="FFFFFF" w:themeFill="background1"/>
        </w:rPr>
        <w:t>六、法定代表人身份证明书</w:t>
      </w:r>
      <w:r>
        <w:tab/>
      </w:r>
      <w:r>
        <w:fldChar w:fldCharType="begin"/>
      </w:r>
      <w:r>
        <w:instrText xml:space="preserve"> PAGEREF _Toc30533 \h </w:instrText>
      </w:r>
      <w:r>
        <w:fldChar w:fldCharType="separate"/>
      </w:r>
      <w:r>
        <w:t>51</w:t>
      </w:r>
      <w:r>
        <w:fldChar w:fldCharType="end"/>
      </w:r>
      <w:r>
        <w:fldChar w:fldCharType="end"/>
      </w:r>
    </w:p>
    <w:p w14:paraId="0BA8D9EA">
      <w:pPr>
        <w:pStyle w:val="32"/>
        <w:tabs>
          <w:tab w:val="right" w:leader="dot" w:pos="9354"/>
        </w:tabs>
      </w:pPr>
      <w:r>
        <w:fldChar w:fldCharType="begin"/>
      </w:r>
      <w:r>
        <w:instrText xml:space="preserve"> HYPERLINK \l "_Toc29637" </w:instrText>
      </w:r>
      <w:r>
        <w:fldChar w:fldCharType="separate"/>
      </w:r>
      <w:r>
        <w:rPr>
          <w:rFonts w:hint="eastAsia" w:ascii="仿宋" w:hAnsi="仿宋" w:eastAsia="仿宋" w:cs="仿宋"/>
          <w:shd w:val="clear" w:color="auto" w:fill="FFFFFF" w:themeFill="background1"/>
        </w:rPr>
        <w:t>七、法定代表人授权委托书</w:t>
      </w:r>
      <w:r>
        <w:tab/>
      </w:r>
      <w:r>
        <w:fldChar w:fldCharType="begin"/>
      </w:r>
      <w:r>
        <w:instrText xml:space="preserve"> PAGEREF _Toc29637 \h </w:instrText>
      </w:r>
      <w:r>
        <w:fldChar w:fldCharType="separate"/>
      </w:r>
      <w:r>
        <w:t>52</w:t>
      </w:r>
      <w:r>
        <w:fldChar w:fldCharType="end"/>
      </w:r>
      <w:r>
        <w:fldChar w:fldCharType="end"/>
      </w:r>
    </w:p>
    <w:p w14:paraId="5A0AC4FA">
      <w:pPr>
        <w:pStyle w:val="32"/>
        <w:tabs>
          <w:tab w:val="right" w:leader="dot" w:pos="9354"/>
        </w:tabs>
      </w:pPr>
      <w:r>
        <w:fldChar w:fldCharType="begin"/>
      </w:r>
      <w:r>
        <w:instrText xml:space="preserve"> HYPERLINK \l "_Toc23743" </w:instrText>
      </w:r>
      <w:r>
        <w:fldChar w:fldCharType="separate"/>
      </w:r>
      <w:r>
        <w:rPr>
          <w:rFonts w:hint="eastAsia" w:ascii="仿宋" w:hAnsi="仿宋" w:eastAsia="仿宋" w:cs="仿宋"/>
          <w:shd w:val="clear" w:color="auto" w:fill="FFFFFF" w:themeFill="background1"/>
        </w:rPr>
        <w:t>八、投标人基本情况</w:t>
      </w:r>
      <w:r>
        <w:tab/>
      </w:r>
      <w:r>
        <w:fldChar w:fldCharType="begin"/>
      </w:r>
      <w:r>
        <w:instrText xml:space="preserve"> PAGEREF _Toc23743 \h </w:instrText>
      </w:r>
      <w:r>
        <w:fldChar w:fldCharType="separate"/>
      </w:r>
      <w:r>
        <w:t>53</w:t>
      </w:r>
      <w:r>
        <w:fldChar w:fldCharType="end"/>
      </w:r>
      <w:r>
        <w:fldChar w:fldCharType="end"/>
      </w:r>
    </w:p>
    <w:p w14:paraId="4D91F671">
      <w:pPr>
        <w:pStyle w:val="32"/>
        <w:tabs>
          <w:tab w:val="right" w:leader="dot" w:pos="9354"/>
        </w:tabs>
      </w:pPr>
      <w:r>
        <w:fldChar w:fldCharType="begin"/>
      </w:r>
      <w:r>
        <w:instrText xml:space="preserve"> HYPERLINK \l "_Toc22928" </w:instrText>
      </w:r>
      <w:r>
        <w:fldChar w:fldCharType="separate"/>
      </w:r>
      <w:r>
        <w:rPr>
          <w:rFonts w:hint="eastAsia" w:ascii="仿宋" w:hAnsi="仿宋" w:eastAsia="仿宋" w:cs="仿宋"/>
          <w:shd w:val="clear" w:color="auto" w:fill="FFFFFF" w:themeFill="background1"/>
        </w:rPr>
        <w:t>8.1、法人或者其他组织的营业执照等证明文件，自然人的身份证明</w:t>
      </w:r>
      <w:r>
        <w:tab/>
      </w:r>
      <w:r>
        <w:fldChar w:fldCharType="begin"/>
      </w:r>
      <w:r>
        <w:instrText xml:space="preserve"> PAGEREF _Toc22928 \h </w:instrText>
      </w:r>
      <w:r>
        <w:fldChar w:fldCharType="separate"/>
      </w:r>
      <w:r>
        <w:t>54</w:t>
      </w:r>
      <w:r>
        <w:fldChar w:fldCharType="end"/>
      </w:r>
      <w:r>
        <w:fldChar w:fldCharType="end"/>
      </w:r>
    </w:p>
    <w:p w14:paraId="6A5A90CB">
      <w:pPr>
        <w:pStyle w:val="32"/>
        <w:tabs>
          <w:tab w:val="right" w:leader="dot" w:pos="9354"/>
        </w:tabs>
      </w:pPr>
      <w:r>
        <w:fldChar w:fldCharType="begin"/>
      </w:r>
      <w:r>
        <w:instrText xml:space="preserve"> HYPERLINK \l "_Toc591" </w:instrText>
      </w:r>
      <w:r>
        <w:fldChar w:fldCharType="separate"/>
      </w:r>
      <w:r>
        <w:rPr>
          <w:rFonts w:hint="eastAsia" w:ascii="仿宋" w:hAnsi="仿宋" w:eastAsia="仿宋" w:cs="仿宋"/>
          <w:shd w:val="clear" w:color="auto" w:fill="FFFFFF" w:themeFill="background1"/>
        </w:rPr>
        <w:t>8.2、财务状况报告，依法缴纳税收和社会保障资金的相关材料</w:t>
      </w:r>
      <w:r>
        <w:tab/>
      </w:r>
      <w:r>
        <w:fldChar w:fldCharType="begin"/>
      </w:r>
      <w:r>
        <w:instrText xml:space="preserve"> PAGEREF _Toc591 \h </w:instrText>
      </w:r>
      <w:r>
        <w:fldChar w:fldCharType="separate"/>
      </w:r>
      <w:r>
        <w:t>55</w:t>
      </w:r>
      <w:r>
        <w:fldChar w:fldCharType="end"/>
      </w:r>
      <w:r>
        <w:fldChar w:fldCharType="end"/>
      </w:r>
    </w:p>
    <w:p w14:paraId="67A1A61D">
      <w:pPr>
        <w:pStyle w:val="32"/>
        <w:tabs>
          <w:tab w:val="right" w:leader="dot" w:pos="9354"/>
        </w:tabs>
      </w:pPr>
      <w:r>
        <w:fldChar w:fldCharType="begin"/>
      </w:r>
      <w:r>
        <w:instrText xml:space="preserve"> HYPERLINK \l "_Toc5928" </w:instrText>
      </w:r>
      <w:r>
        <w:fldChar w:fldCharType="separate"/>
      </w:r>
      <w:r>
        <w:rPr>
          <w:rFonts w:hint="eastAsia" w:ascii="仿宋" w:hAnsi="仿宋" w:eastAsia="仿宋" w:cs="仿宋"/>
          <w:shd w:val="clear" w:color="auto" w:fill="FFFFFF" w:themeFill="background1"/>
        </w:rPr>
        <w:t>8.3、具备履行合同所必需的设备和专业技术能力的证明材料</w:t>
      </w:r>
      <w:r>
        <w:tab/>
      </w:r>
      <w:r>
        <w:fldChar w:fldCharType="begin"/>
      </w:r>
      <w:r>
        <w:instrText xml:space="preserve"> PAGEREF _Toc5928 \h </w:instrText>
      </w:r>
      <w:r>
        <w:fldChar w:fldCharType="separate"/>
      </w:r>
      <w:r>
        <w:t>56</w:t>
      </w:r>
      <w:r>
        <w:fldChar w:fldCharType="end"/>
      </w:r>
      <w:r>
        <w:fldChar w:fldCharType="end"/>
      </w:r>
    </w:p>
    <w:p w14:paraId="42D6AA6B">
      <w:pPr>
        <w:pStyle w:val="32"/>
        <w:tabs>
          <w:tab w:val="right" w:leader="dot" w:pos="9354"/>
        </w:tabs>
      </w:pPr>
      <w:r>
        <w:fldChar w:fldCharType="begin"/>
      </w:r>
      <w:r>
        <w:instrText xml:space="preserve"> HYPERLINK \l "_Toc9548" </w:instrText>
      </w:r>
      <w:r>
        <w:fldChar w:fldCharType="separate"/>
      </w:r>
      <w:r>
        <w:rPr>
          <w:rFonts w:hint="eastAsia" w:ascii="仿宋" w:hAnsi="仿宋" w:eastAsia="仿宋" w:cs="仿宋"/>
          <w:shd w:val="clear" w:color="auto" w:fill="FFFFFF" w:themeFill="background1"/>
        </w:rPr>
        <w:t>8.4、参加政府采购活动前3年内在经营活动中没有重大违法记录的书面声明</w:t>
      </w:r>
      <w:r>
        <w:tab/>
      </w:r>
      <w:r>
        <w:fldChar w:fldCharType="begin"/>
      </w:r>
      <w:r>
        <w:instrText xml:space="preserve"> PAGEREF _Toc9548 \h </w:instrText>
      </w:r>
      <w:r>
        <w:fldChar w:fldCharType="separate"/>
      </w:r>
      <w:r>
        <w:t>57</w:t>
      </w:r>
      <w:r>
        <w:fldChar w:fldCharType="end"/>
      </w:r>
      <w:r>
        <w:fldChar w:fldCharType="end"/>
      </w:r>
    </w:p>
    <w:p w14:paraId="42BE7F1F">
      <w:pPr>
        <w:pStyle w:val="32"/>
        <w:tabs>
          <w:tab w:val="right" w:leader="dot" w:pos="9354"/>
        </w:tabs>
      </w:pPr>
      <w:r>
        <w:fldChar w:fldCharType="begin"/>
      </w:r>
      <w:r>
        <w:instrText xml:space="preserve"> HYPERLINK \l "_Toc26372" </w:instrText>
      </w:r>
      <w:r>
        <w:fldChar w:fldCharType="separate"/>
      </w:r>
      <w:r>
        <w:rPr>
          <w:rFonts w:hint="eastAsia" w:ascii="仿宋" w:hAnsi="仿宋" w:eastAsia="仿宋" w:cs="仿宋"/>
          <w:shd w:val="clear" w:color="auto" w:fill="FFFFFF" w:themeFill="background1"/>
        </w:rPr>
        <w:t>8.5、具备法律、行政法规规定的其他条件的证明材料</w:t>
      </w:r>
      <w:r>
        <w:tab/>
      </w:r>
      <w:r>
        <w:fldChar w:fldCharType="begin"/>
      </w:r>
      <w:r>
        <w:instrText xml:space="preserve"> PAGEREF _Toc26372 \h </w:instrText>
      </w:r>
      <w:r>
        <w:fldChar w:fldCharType="separate"/>
      </w:r>
      <w:r>
        <w:t>58</w:t>
      </w:r>
      <w:r>
        <w:fldChar w:fldCharType="end"/>
      </w:r>
      <w:r>
        <w:fldChar w:fldCharType="end"/>
      </w:r>
    </w:p>
    <w:p w14:paraId="53BBEAE8">
      <w:pPr>
        <w:pStyle w:val="32"/>
        <w:tabs>
          <w:tab w:val="right" w:leader="dot" w:pos="9354"/>
        </w:tabs>
      </w:pPr>
      <w:r>
        <w:fldChar w:fldCharType="begin"/>
      </w:r>
      <w:r>
        <w:instrText xml:space="preserve"> HYPERLINK \l "_Toc9955" </w:instrText>
      </w:r>
      <w:r>
        <w:fldChar w:fldCharType="separate"/>
      </w:r>
      <w:r>
        <w:rPr>
          <w:rFonts w:hint="eastAsia" w:ascii="仿宋" w:hAnsi="仿宋" w:eastAsia="仿宋" w:cs="仿宋"/>
          <w:shd w:val="clear" w:color="auto" w:fill="FFFFFF" w:themeFill="background1"/>
        </w:rPr>
        <w:t>九、</w:t>
      </w:r>
      <w:r>
        <w:rPr>
          <w:rFonts w:hint="eastAsia" w:ascii="仿宋" w:hAnsi="仿宋" w:eastAsia="仿宋" w:cs="仿宋"/>
          <w:bCs/>
          <w:shd w:val="clear" w:color="auto" w:fill="FFFFFF" w:themeFill="background1"/>
        </w:rPr>
        <w:t>投标人近三年类似项目业绩表</w:t>
      </w:r>
      <w:r>
        <w:tab/>
      </w:r>
      <w:r>
        <w:fldChar w:fldCharType="begin"/>
      </w:r>
      <w:r>
        <w:instrText xml:space="preserve"> PAGEREF _Toc9955 \h </w:instrText>
      </w:r>
      <w:r>
        <w:fldChar w:fldCharType="separate"/>
      </w:r>
      <w:r>
        <w:t>61</w:t>
      </w:r>
      <w:r>
        <w:fldChar w:fldCharType="end"/>
      </w:r>
      <w:r>
        <w:fldChar w:fldCharType="end"/>
      </w:r>
    </w:p>
    <w:p w14:paraId="04D0DF4A">
      <w:pPr>
        <w:pStyle w:val="32"/>
        <w:tabs>
          <w:tab w:val="right" w:leader="dot" w:pos="9354"/>
        </w:tabs>
      </w:pPr>
      <w:r>
        <w:fldChar w:fldCharType="begin"/>
      </w:r>
      <w:r>
        <w:instrText xml:space="preserve"> HYPERLINK \l "_Toc15333" </w:instrText>
      </w:r>
      <w:r>
        <w:fldChar w:fldCharType="separate"/>
      </w:r>
      <w:r>
        <w:rPr>
          <w:rFonts w:hint="eastAsia" w:ascii="仿宋" w:hAnsi="仿宋" w:eastAsia="仿宋" w:cs="仿宋"/>
          <w:shd w:val="clear" w:color="auto" w:fill="FFFFFF" w:themeFill="background1"/>
        </w:rPr>
        <w:t>十、</w:t>
      </w:r>
      <w:r>
        <w:rPr>
          <w:rFonts w:hint="eastAsia" w:ascii="仿宋" w:hAnsi="仿宋" w:eastAsia="仿宋" w:cs="仿宋"/>
          <w:bCs/>
          <w:shd w:val="clear" w:color="auto" w:fill="FFFFFF" w:themeFill="background1"/>
        </w:rPr>
        <w:t>项目负责人简历表</w:t>
      </w:r>
      <w:r>
        <w:tab/>
      </w:r>
      <w:r>
        <w:fldChar w:fldCharType="begin"/>
      </w:r>
      <w:r>
        <w:instrText xml:space="preserve"> PAGEREF _Toc15333 \h </w:instrText>
      </w:r>
      <w:r>
        <w:fldChar w:fldCharType="separate"/>
      </w:r>
      <w:r>
        <w:t>62</w:t>
      </w:r>
      <w:r>
        <w:fldChar w:fldCharType="end"/>
      </w:r>
      <w:r>
        <w:fldChar w:fldCharType="end"/>
      </w:r>
    </w:p>
    <w:p w14:paraId="690E5DCF">
      <w:pPr>
        <w:pStyle w:val="32"/>
        <w:tabs>
          <w:tab w:val="right" w:leader="dot" w:pos="9354"/>
        </w:tabs>
      </w:pPr>
      <w:r>
        <w:fldChar w:fldCharType="begin"/>
      </w:r>
      <w:r>
        <w:instrText xml:space="preserve"> HYPERLINK \l "_Toc5101" </w:instrText>
      </w:r>
      <w:r>
        <w:fldChar w:fldCharType="separate"/>
      </w:r>
      <w:r>
        <w:rPr>
          <w:rFonts w:hint="eastAsia" w:ascii="仿宋" w:hAnsi="仿宋" w:eastAsia="仿宋" w:cs="仿宋"/>
          <w:bCs/>
          <w:shd w:val="clear" w:color="auto" w:fill="FFFFFF" w:themeFill="background1"/>
        </w:rPr>
        <w:t>十一、拟派本项目服务人员情况表</w:t>
      </w:r>
      <w:r>
        <w:tab/>
      </w:r>
      <w:r>
        <w:fldChar w:fldCharType="begin"/>
      </w:r>
      <w:r>
        <w:instrText xml:space="preserve"> PAGEREF _Toc5101 \h </w:instrText>
      </w:r>
      <w:r>
        <w:fldChar w:fldCharType="separate"/>
      </w:r>
      <w:r>
        <w:t>63</w:t>
      </w:r>
      <w:r>
        <w:fldChar w:fldCharType="end"/>
      </w:r>
      <w:r>
        <w:fldChar w:fldCharType="end"/>
      </w:r>
    </w:p>
    <w:p w14:paraId="0C26E3C0">
      <w:pPr>
        <w:pStyle w:val="32"/>
        <w:tabs>
          <w:tab w:val="right" w:leader="dot" w:pos="9354"/>
        </w:tabs>
      </w:pPr>
      <w:r>
        <w:fldChar w:fldCharType="begin"/>
      </w:r>
      <w:r>
        <w:instrText xml:space="preserve"> HYPERLINK \l "_Toc18396" </w:instrText>
      </w:r>
      <w:r>
        <w:fldChar w:fldCharType="separate"/>
      </w:r>
      <w:r>
        <w:rPr>
          <w:rFonts w:hint="eastAsia" w:ascii="仿宋" w:hAnsi="仿宋" w:eastAsia="仿宋" w:cs="仿宋"/>
          <w:shd w:val="clear" w:color="auto" w:fill="FFFFFF" w:themeFill="background1"/>
        </w:rPr>
        <w:t>十二、</w:t>
      </w:r>
      <w:r>
        <w:rPr>
          <w:rFonts w:hint="eastAsia" w:ascii="仿宋" w:hAnsi="仿宋" w:eastAsia="仿宋" w:cs="仿宋"/>
          <w:bCs/>
          <w:shd w:val="clear" w:color="auto" w:fill="FFFFFF" w:themeFill="background1"/>
        </w:rPr>
        <w:t>服务方案</w:t>
      </w:r>
      <w:r>
        <w:tab/>
      </w:r>
      <w:r>
        <w:fldChar w:fldCharType="begin"/>
      </w:r>
      <w:r>
        <w:instrText xml:space="preserve"> PAGEREF _Toc18396 \h </w:instrText>
      </w:r>
      <w:r>
        <w:fldChar w:fldCharType="separate"/>
      </w:r>
      <w:r>
        <w:t>64</w:t>
      </w:r>
      <w:r>
        <w:fldChar w:fldCharType="end"/>
      </w:r>
      <w:r>
        <w:fldChar w:fldCharType="end"/>
      </w:r>
    </w:p>
    <w:p w14:paraId="63C19BD1">
      <w:pPr>
        <w:pStyle w:val="32"/>
        <w:tabs>
          <w:tab w:val="right" w:leader="dot" w:pos="9354"/>
        </w:tabs>
      </w:pPr>
      <w:r>
        <w:fldChar w:fldCharType="begin"/>
      </w:r>
      <w:r>
        <w:instrText xml:space="preserve"> HYPERLINK \l "_Toc13425" </w:instrText>
      </w:r>
      <w:r>
        <w:fldChar w:fldCharType="separate"/>
      </w:r>
      <w:r>
        <w:rPr>
          <w:rFonts w:hint="eastAsia" w:ascii="仿宋" w:hAnsi="仿宋" w:eastAsia="仿宋" w:cs="仿宋"/>
          <w:shd w:val="clear" w:color="auto" w:fill="FFFFFF" w:themeFill="background1"/>
        </w:rPr>
        <w:t>十三、其他需要提交的资料</w:t>
      </w:r>
      <w:r>
        <w:tab/>
      </w:r>
      <w:r>
        <w:fldChar w:fldCharType="begin"/>
      </w:r>
      <w:r>
        <w:instrText xml:space="preserve"> PAGEREF _Toc13425 \h </w:instrText>
      </w:r>
      <w:r>
        <w:fldChar w:fldCharType="separate"/>
      </w:r>
      <w:r>
        <w:t>64</w:t>
      </w:r>
      <w:r>
        <w:fldChar w:fldCharType="end"/>
      </w:r>
      <w:r>
        <w:fldChar w:fldCharType="end"/>
      </w:r>
    </w:p>
    <w:p w14:paraId="2BE17875">
      <w:pPr>
        <w:pStyle w:val="26"/>
        <w:tabs>
          <w:tab w:val="right" w:leader="dot" w:pos="9354"/>
        </w:tabs>
      </w:pPr>
      <w:r>
        <w:fldChar w:fldCharType="begin"/>
      </w:r>
      <w:r>
        <w:instrText xml:space="preserve"> HYPERLINK \l "_Toc24631" </w:instrText>
      </w:r>
      <w:r>
        <w:fldChar w:fldCharType="separate"/>
      </w:r>
      <w:r>
        <w:rPr>
          <w:rFonts w:hint="eastAsia" w:ascii="仿宋" w:hAnsi="仿宋" w:eastAsia="仿宋" w:cs="仿宋"/>
        </w:rPr>
        <w:t>第六章 补充条款</w:t>
      </w:r>
      <w:r>
        <w:tab/>
      </w:r>
      <w:r>
        <w:fldChar w:fldCharType="begin"/>
      </w:r>
      <w:r>
        <w:instrText xml:space="preserve"> PAGEREF _Toc24631 \h </w:instrText>
      </w:r>
      <w:r>
        <w:fldChar w:fldCharType="separate"/>
      </w:r>
      <w:r>
        <w:t>65</w:t>
      </w:r>
      <w:r>
        <w:fldChar w:fldCharType="end"/>
      </w:r>
      <w:r>
        <w:fldChar w:fldCharType="end"/>
      </w:r>
    </w:p>
    <w:p w14:paraId="6D1339A2">
      <w:pPr>
        <w:pStyle w:val="26"/>
        <w:tabs>
          <w:tab w:val="right" w:leader="dot" w:pos="9344"/>
        </w:tabs>
        <w:spacing w:line="276" w:lineRule="auto"/>
        <w:rPr>
          <w:rFonts w:ascii="仿宋" w:hAnsi="仿宋" w:eastAsia="仿宋" w:cs="仿宋"/>
          <w:b/>
          <w:bCs/>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rPr>
        <w:fldChar w:fldCharType="end"/>
      </w:r>
    </w:p>
    <w:p w14:paraId="2293AE01">
      <w:pPr>
        <w:keepNext/>
        <w:widowControl/>
        <w:spacing w:after="120" w:afterLines="50" w:line="360" w:lineRule="auto"/>
        <w:jc w:val="center"/>
        <w:outlineLvl w:val="0"/>
        <w:rPr>
          <w:rFonts w:ascii="仿宋" w:hAnsi="仿宋" w:eastAsia="仿宋" w:cs="仿宋"/>
          <w:b/>
          <w:bCs/>
          <w:color w:val="000000"/>
          <w:sz w:val="28"/>
          <w:szCs w:val="28"/>
        </w:rPr>
      </w:pPr>
      <w:bookmarkStart w:id="0" w:name="_Toc1186"/>
      <w:r>
        <w:rPr>
          <w:rFonts w:hint="eastAsia" w:ascii="仿宋" w:hAnsi="仿宋" w:eastAsia="仿宋" w:cs="仿宋"/>
          <w:b/>
          <w:bCs/>
          <w:color w:val="000000"/>
          <w:sz w:val="28"/>
          <w:szCs w:val="28"/>
          <w:lang w:eastAsia="zh-CN"/>
        </w:rPr>
        <w:t>新疆维吾尔自治区地质局乌鲁木齐地质大队地质勘测服务（录井）采购项目二次</w:t>
      </w:r>
      <w:r>
        <w:rPr>
          <w:rFonts w:hint="eastAsia" w:ascii="仿宋" w:hAnsi="仿宋" w:eastAsia="仿宋" w:cs="仿宋"/>
          <w:b/>
          <w:bCs/>
          <w:color w:val="000000"/>
          <w:sz w:val="28"/>
          <w:szCs w:val="28"/>
        </w:rPr>
        <w:t>公开招标公告</w:t>
      </w:r>
      <w:bookmarkEnd w:id="0"/>
    </w:p>
    <w:p w14:paraId="00301205">
      <w:pPr>
        <w:widowControl/>
        <w:spacing w:line="360" w:lineRule="auto"/>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项目概况</w:t>
      </w:r>
    </w:p>
    <w:p w14:paraId="526315A3">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lang w:eastAsia="zh-CN"/>
        </w:rPr>
        <w:t>新疆维吾尔自治区地质局乌鲁木齐地质大队地质勘测服务（录井）采购项目二次</w:t>
      </w:r>
      <w:r>
        <w:rPr>
          <w:rFonts w:hint="eastAsia" w:ascii="仿宋" w:hAnsi="仿宋" w:eastAsia="仿宋" w:cs="仿宋"/>
          <w:kern w:val="0"/>
          <w:sz w:val="24"/>
          <w:szCs w:val="24"/>
        </w:rPr>
        <w:t xml:space="preserve"> 招标项目的潜在投标人应在政采云平台http://www.zcygov.cn获取招标文件，并于</w:t>
      </w:r>
      <w:r>
        <w:rPr>
          <w:rFonts w:hint="eastAsia" w:ascii="仿宋" w:hAnsi="仿宋" w:eastAsia="仿宋" w:cs="仿宋"/>
          <w:color w:val="FF0000"/>
          <w:kern w:val="0"/>
          <w:sz w:val="24"/>
          <w:szCs w:val="24"/>
          <w:lang w:eastAsia="zh-CN"/>
        </w:rPr>
        <w:t>2026年06月01日11:00（北京时间）</w:t>
      </w:r>
      <w:r>
        <w:rPr>
          <w:rFonts w:hint="eastAsia" w:ascii="仿宋" w:hAnsi="仿宋" w:eastAsia="仿宋" w:cs="仿宋"/>
          <w:kern w:val="0"/>
          <w:sz w:val="24"/>
          <w:szCs w:val="24"/>
        </w:rPr>
        <w:t>前递交投标文件。</w:t>
      </w:r>
    </w:p>
    <w:p w14:paraId="49D88645">
      <w:pPr>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一、项目基本情况</w:t>
      </w:r>
    </w:p>
    <w:p w14:paraId="7434A02F">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招标方式：公开招标</w:t>
      </w:r>
    </w:p>
    <w:p w14:paraId="169DB649">
      <w:pPr>
        <w:spacing w:line="360" w:lineRule="auto"/>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项目编号：</w:t>
      </w:r>
      <w:r>
        <w:rPr>
          <w:rFonts w:hint="eastAsia" w:ascii="仿宋" w:hAnsi="仿宋" w:eastAsia="仿宋" w:cs="仿宋"/>
          <w:kern w:val="0"/>
          <w:sz w:val="24"/>
          <w:szCs w:val="24"/>
          <w:lang w:eastAsia="zh-CN"/>
        </w:rPr>
        <w:t>XJXSJ-2026(ZC)-089（2）</w:t>
      </w:r>
    </w:p>
    <w:p w14:paraId="534C255C">
      <w:pPr>
        <w:spacing w:line="360" w:lineRule="auto"/>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项目名称：</w:t>
      </w:r>
      <w:r>
        <w:rPr>
          <w:rFonts w:hint="eastAsia" w:ascii="仿宋" w:hAnsi="仿宋" w:eastAsia="仿宋" w:cs="仿宋"/>
          <w:kern w:val="0"/>
          <w:sz w:val="24"/>
          <w:szCs w:val="24"/>
          <w:lang w:eastAsia="zh-CN"/>
        </w:rPr>
        <w:t>新疆维吾尔自治区地质局乌鲁木齐地质大队地质勘测服务（录井）采购项目二次</w:t>
      </w:r>
    </w:p>
    <w:p w14:paraId="50D784D5">
      <w:pPr>
        <w:spacing w:line="360" w:lineRule="auto"/>
        <w:ind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预算金额（元）：</w:t>
      </w:r>
      <w:r>
        <w:rPr>
          <w:rFonts w:hint="eastAsia" w:ascii="仿宋" w:hAnsi="仿宋" w:eastAsia="仿宋" w:cs="仿宋"/>
          <w:kern w:val="0"/>
          <w:sz w:val="24"/>
          <w:szCs w:val="24"/>
          <w:lang w:val="en-US" w:eastAsia="zh-CN"/>
        </w:rPr>
        <w:t>520000</w:t>
      </w:r>
    </w:p>
    <w:p w14:paraId="5AE097FC">
      <w:pPr>
        <w:spacing w:line="360" w:lineRule="auto"/>
        <w:ind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最高限价（元）：</w:t>
      </w:r>
      <w:r>
        <w:rPr>
          <w:rFonts w:hint="eastAsia" w:ascii="仿宋" w:hAnsi="仿宋" w:eastAsia="仿宋" w:cs="仿宋"/>
          <w:kern w:val="0"/>
          <w:sz w:val="24"/>
          <w:szCs w:val="24"/>
          <w:lang w:val="en-US" w:eastAsia="zh-CN"/>
        </w:rPr>
        <w:t>520000</w:t>
      </w:r>
    </w:p>
    <w:p w14:paraId="3D7F9F51">
      <w:pPr>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采购需求：</w:t>
      </w:r>
      <w:r>
        <w:rPr>
          <w:rFonts w:hint="eastAsia" w:ascii="仿宋" w:hAnsi="仿宋" w:eastAsia="仿宋" w:cs="仿宋"/>
          <w:kern w:val="0"/>
          <w:sz w:val="24"/>
          <w:szCs w:val="24"/>
        </w:rPr>
        <w:tab/>
      </w:r>
    </w:p>
    <w:p w14:paraId="4A8E5119">
      <w:pPr>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标项名称:新疆吉木乃县吉木乃盆地油气资源调查评价吉成1井录井技术服务</w:t>
      </w:r>
    </w:p>
    <w:p w14:paraId="355197F3">
      <w:pPr>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数量:不限</w:t>
      </w:r>
    </w:p>
    <w:p w14:paraId="2BF06849">
      <w:pPr>
        <w:tabs>
          <w:tab w:val="left" w:pos="7125"/>
        </w:tabs>
        <w:spacing w:line="360" w:lineRule="auto"/>
        <w:ind w:firstLine="480" w:firstLineChars="20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预算金额（元）: </w:t>
      </w:r>
      <w:r>
        <w:rPr>
          <w:rFonts w:hint="eastAsia" w:ascii="仿宋" w:hAnsi="仿宋" w:eastAsia="仿宋" w:cs="仿宋"/>
          <w:kern w:val="0"/>
          <w:sz w:val="24"/>
          <w:szCs w:val="24"/>
          <w:lang w:val="en-US" w:eastAsia="zh-CN"/>
        </w:rPr>
        <w:t>520000</w:t>
      </w:r>
    </w:p>
    <w:p w14:paraId="0530B183">
      <w:pPr>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简要规格描述或项目基本概况介绍、用途：新疆吉木乃县吉木乃盆地油气资源调查评价吉成1井录井技术服务，具体内容详见招标文件。</w:t>
      </w:r>
    </w:p>
    <w:p w14:paraId="4C5CA557">
      <w:pPr>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备注：</w:t>
      </w:r>
    </w:p>
    <w:p w14:paraId="5E17A922">
      <w:pPr>
        <w:pStyle w:val="231"/>
        <w:widowControl w:val="0"/>
        <w:spacing w:line="360" w:lineRule="auto"/>
        <w:ind w:firstLine="420"/>
        <w:jc w:val="both"/>
        <w:rPr>
          <w:rFonts w:hint="default" w:ascii="仿宋" w:hAnsi="仿宋" w:eastAsia="仿宋" w:cs="仿宋"/>
          <w:sz w:val="24"/>
          <w:szCs w:val="24"/>
          <w:lang w:eastAsia="zh-CN"/>
        </w:rPr>
      </w:pPr>
      <w:r>
        <w:rPr>
          <w:rFonts w:ascii="仿宋" w:hAnsi="仿宋" w:eastAsia="仿宋" w:cs="仿宋"/>
          <w:sz w:val="24"/>
          <w:szCs w:val="24"/>
        </w:rPr>
        <w:t>合同履约期限：</w:t>
      </w:r>
      <w:r>
        <w:rPr>
          <w:rFonts w:ascii="仿宋" w:hAnsi="仿宋" w:eastAsia="仿宋" w:cs="仿宋"/>
          <w:sz w:val="24"/>
          <w:szCs w:val="24"/>
          <w:lang w:eastAsia="zh-CN"/>
        </w:rPr>
        <w:t>2026年4月至12月，具体按照钻井进度而定。</w:t>
      </w:r>
    </w:p>
    <w:p w14:paraId="02C3FD72">
      <w:pPr>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本项目（不接受）联合体投标。</w:t>
      </w:r>
    </w:p>
    <w:p w14:paraId="0CD256B7">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二、申请人的资格要求：</w:t>
      </w:r>
    </w:p>
    <w:p w14:paraId="585AD5F9">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1.满足《中华人民共和国政府采购法》第二十二条规定；</w:t>
      </w:r>
    </w:p>
    <w:p w14:paraId="4F5967F5">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2.落实政府采购政策需满足的资格要求：符合政府采购优先（节约能源、保护环境）采购政策及促进中小企业（监狱企业、残疾人福利性单位）发展政策的，依据规定给予评审优惠。</w:t>
      </w:r>
    </w:p>
    <w:p w14:paraId="382D889A">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3.本项目的特定资格要求：</w:t>
      </w:r>
    </w:p>
    <w:p w14:paraId="0B1B9BBB">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（1）投标人须具备有效的《安全生产许可证》。</w:t>
      </w:r>
    </w:p>
    <w:p w14:paraId="64CE2D18">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p w14:paraId="4F598966">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三、获取招标文件</w:t>
      </w:r>
    </w:p>
    <w:p w14:paraId="69DB0E6D">
      <w:pPr>
        <w:widowControl/>
        <w:spacing w:line="360" w:lineRule="auto"/>
        <w:ind w:firstLine="480" w:firstLineChars="200"/>
        <w:jc w:val="left"/>
        <w:rPr>
          <w:rFonts w:ascii="仿宋" w:hAnsi="仿宋" w:eastAsia="仿宋" w:cs="仿宋"/>
          <w:color w:val="FF0000"/>
          <w:kern w:val="0"/>
          <w:sz w:val="24"/>
          <w:szCs w:val="24"/>
        </w:rPr>
      </w:pPr>
      <w:r>
        <w:rPr>
          <w:rFonts w:hint="eastAsia" w:ascii="仿宋" w:hAnsi="仿宋" w:eastAsia="仿宋" w:cs="仿宋"/>
          <w:color w:val="FF0000"/>
          <w:kern w:val="0"/>
          <w:sz w:val="24"/>
          <w:szCs w:val="24"/>
        </w:rPr>
        <w:t>时间：2026年</w:t>
      </w:r>
      <w:r>
        <w:rPr>
          <w:rFonts w:hint="eastAsia" w:ascii="仿宋" w:hAnsi="仿宋" w:eastAsia="仿宋" w:cs="仿宋"/>
          <w:color w:val="FF0000"/>
          <w:kern w:val="0"/>
          <w:sz w:val="24"/>
          <w:szCs w:val="24"/>
          <w:lang w:val="en-US" w:eastAsia="zh-CN"/>
        </w:rPr>
        <w:t>05</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08</w:t>
      </w:r>
      <w:r>
        <w:rPr>
          <w:rFonts w:hint="eastAsia" w:ascii="仿宋" w:hAnsi="仿宋" w:eastAsia="仿宋" w:cs="仿宋"/>
          <w:color w:val="FF0000"/>
          <w:kern w:val="0"/>
          <w:sz w:val="24"/>
          <w:szCs w:val="24"/>
        </w:rPr>
        <w:t>日至2026年</w:t>
      </w:r>
      <w:r>
        <w:rPr>
          <w:rFonts w:hint="eastAsia" w:ascii="仿宋" w:hAnsi="仿宋" w:eastAsia="仿宋" w:cs="仿宋"/>
          <w:color w:val="FF0000"/>
          <w:kern w:val="0"/>
          <w:sz w:val="24"/>
          <w:szCs w:val="24"/>
          <w:lang w:val="en-US" w:eastAsia="zh-CN"/>
        </w:rPr>
        <w:t>05</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14</w:t>
      </w:r>
      <w:bookmarkStart w:id="174" w:name="_GoBack"/>
      <w:bookmarkEnd w:id="174"/>
      <w:r>
        <w:rPr>
          <w:rFonts w:hint="eastAsia" w:ascii="仿宋" w:hAnsi="仿宋" w:eastAsia="仿宋" w:cs="仿宋"/>
          <w:color w:val="FF0000"/>
          <w:kern w:val="0"/>
          <w:sz w:val="24"/>
          <w:szCs w:val="24"/>
        </w:rPr>
        <w:t>日，每天上午00:00至14:00，下午14:00至23:59（北京时间，法定节假日除外）</w:t>
      </w:r>
    </w:p>
    <w:p w14:paraId="1EFEAF4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地点：政采云平台http://www.zcygov.cn</w:t>
      </w:r>
    </w:p>
    <w:p w14:paraId="49DE1017">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方式：免费获取，投标人登录政采云账户（网址：https://www.zcygov.cn/）,在线申请获取招标文件（登录政府采购云平台→采购项目→获取采购文件→申请，审核通过后可下载招标文件，如有操作性问题，可与政采云在线客服进行咨询，咨询电话：95763</w:t>
      </w:r>
    </w:p>
    <w:p w14:paraId="2B3D3799">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售价（元）：0</w:t>
      </w:r>
    </w:p>
    <w:p w14:paraId="76A6685C">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四、提交投标文件截止时间、开标时间和地点</w:t>
      </w:r>
    </w:p>
    <w:p w14:paraId="4A801244">
      <w:pPr>
        <w:widowControl/>
        <w:spacing w:line="360" w:lineRule="auto"/>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提交投标文件截止时间：</w:t>
      </w:r>
      <w:r>
        <w:rPr>
          <w:rFonts w:hint="eastAsia" w:ascii="仿宋" w:hAnsi="仿宋" w:eastAsia="仿宋" w:cs="仿宋"/>
          <w:color w:val="FF0000"/>
          <w:kern w:val="0"/>
          <w:sz w:val="24"/>
          <w:szCs w:val="24"/>
          <w:lang w:eastAsia="zh-CN"/>
        </w:rPr>
        <w:t>2026年06月01日11:00（北京时间）</w:t>
      </w:r>
    </w:p>
    <w:p w14:paraId="5970BFE4">
      <w:pPr>
        <w:widowControl/>
        <w:spacing w:line="360" w:lineRule="auto"/>
        <w:ind w:firstLine="480" w:firstLineChars="200"/>
        <w:jc w:val="left"/>
        <w:rPr>
          <w:rStyle w:val="214"/>
          <w:rFonts w:ascii="仿宋" w:hAnsi="仿宋" w:eastAsia="仿宋" w:cs="仿宋"/>
          <w:sz w:val="24"/>
          <w:szCs w:val="24"/>
        </w:rPr>
      </w:pPr>
      <w:r>
        <w:rPr>
          <w:rFonts w:hint="eastAsia" w:ascii="仿宋" w:hAnsi="仿宋" w:eastAsia="仿宋" w:cs="仿宋"/>
          <w:kern w:val="0"/>
          <w:sz w:val="24"/>
          <w:szCs w:val="24"/>
        </w:rPr>
        <w:t>投标地点：</w:t>
      </w:r>
      <w:bookmarkStart w:id="1" w:name="_Hlk129254397"/>
      <w:r>
        <w:rPr>
          <w:rStyle w:val="214"/>
          <w:rFonts w:hint="eastAsia" w:ascii="仿宋" w:hAnsi="仿宋" w:eastAsia="仿宋" w:cs="仿宋"/>
          <w:sz w:val="24"/>
          <w:szCs w:val="24"/>
        </w:rPr>
        <w:t>投标人应在此之前将加密的投标文件上传至政采云平台对应位置 （逾期送达或不符合规定的投标文件将被拒绝接收）。</w:t>
      </w:r>
      <w:bookmarkEnd w:id="1"/>
    </w:p>
    <w:p w14:paraId="0DAF8D6B">
      <w:pPr>
        <w:widowControl/>
        <w:spacing w:line="360" w:lineRule="auto"/>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开标时间：</w:t>
      </w:r>
      <w:r>
        <w:rPr>
          <w:rFonts w:hint="eastAsia" w:ascii="仿宋" w:hAnsi="仿宋" w:eastAsia="仿宋" w:cs="仿宋"/>
          <w:color w:val="FF0000"/>
          <w:kern w:val="0"/>
          <w:sz w:val="24"/>
          <w:szCs w:val="24"/>
          <w:lang w:eastAsia="zh-CN"/>
        </w:rPr>
        <w:t>2026年06月01日11:00（北京时间）</w:t>
      </w:r>
    </w:p>
    <w:p w14:paraId="11823566">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开标地点：</w:t>
      </w:r>
      <w:r>
        <w:rPr>
          <w:rStyle w:val="214"/>
          <w:rFonts w:hint="eastAsia" w:ascii="仿宋" w:hAnsi="仿宋" w:eastAsia="仿宋" w:cs="仿宋"/>
          <w:sz w:val="24"/>
          <w:szCs w:val="24"/>
        </w:rPr>
        <w:t>政采云平台https://www.zcygov.cn/不见面开标大厅</w:t>
      </w:r>
    </w:p>
    <w:p w14:paraId="7C1ACADF">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五、公告期限</w:t>
      </w:r>
    </w:p>
    <w:p w14:paraId="69AA0A0D">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7F63C34A">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六、其他补充事宜</w:t>
      </w:r>
    </w:p>
    <w:p w14:paraId="466ABAB9">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1.本项目实行电子招投标，投标人须登录政采云平台申请获取采购文件，并需要使用CA锁，登录政采云电子投标客户端制作投标文件，若投标人参与投标,自行承担与投标有关的一切费用。</w:t>
      </w:r>
    </w:p>
    <w:p w14:paraId="56B32B09">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2.各投标人应在开标前确保是新疆维吾尔自治区政府采购网正式注册入库的投标人，并完成CA数字证书申领。因未注册入库、未办理CA数字证书等原因造成无法投标或投标失败等后果的由投标人自行承担</w:t>
      </w:r>
    </w:p>
    <w:p w14:paraId="1517C07C">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3.投标人可前往新疆政府采购网（http://www.ccgp-xinjiang.gov.cn/）下载专区，下载政采云电子投标客户端，安装完成后，可通过账号密码或CA登录客户端进行投标文件制作。</w:t>
      </w:r>
    </w:p>
    <w:p w14:paraId="387952E8">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4.投标人在开标时须携带制作加密电子投标文件所使用的CA锁，电脑须提前配置好浏览器，以便开标时在线解密。</w:t>
      </w:r>
    </w:p>
    <w:p w14:paraId="222C029B">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5.投标人应当在投标截止时间前，将生成的“电子加密投标文件”上传递交至“政府采购云平台”，投标截止时间以后上传递交的投标文件将被“政府采购云平台”拒收。</w:t>
      </w:r>
    </w:p>
    <w:p w14:paraId="18187491">
      <w:pPr>
        <w:widowControl/>
        <w:tabs>
          <w:tab w:val="left" w:pos="7125"/>
        </w:tabs>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七、对本次采购提出询问，请按以下方式联系</w:t>
      </w:r>
    </w:p>
    <w:p w14:paraId="0C761C8A">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1.采购人信息</w:t>
      </w:r>
    </w:p>
    <w:p w14:paraId="52EF9EC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名 称：新疆维吾尔自治区地质局乌鲁木齐地质大队</w:t>
      </w:r>
    </w:p>
    <w:p w14:paraId="73BF0C8E">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地址：乌鲁木齐市沙依巴克区西环中路497号</w:t>
      </w:r>
    </w:p>
    <w:p w14:paraId="0D95FB44">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项目联系人：梁斌</w:t>
      </w:r>
    </w:p>
    <w:p w14:paraId="7C2AFC12">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项目联系方式：18690823878</w:t>
      </w:r>
    </w:p>
    <w:p w14:paraId="202706A3">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2.采购代理机构信息</w:t>
      </w:r>
    </w:p>
    <w:p w14:paraId="731732C4">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名称：新疆新世纪招标有限公司</w:t>
      </w:r>
    </w:p>
    <w:p w14:paraId="48C63642">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地址：乌鲁木齐市新兴街20号凤凰科技大厦五楼</w:t>
      </w:r>
    </w:p>
    <w:p w14:paraId="6F3CEA66">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联系方式：17609941920、13109969229</w:t>
      </w:r>
    </w:p>
    <w:p w14:paraId="70C0326A">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3.项目联系方式</w:t>
      </w:r>
    </w:p>
    <w:p w14:paraId="296FF776">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项目联系人：闵俊瑀、宋金龙</w:t>
      </w:r>
    </w:p>
    <w:p w14:paraId="336BE101">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项目联系方式：17609941920、13109969229</w:t>
      </w:r>
    </w:p>
    <w:p w14:paraId="0440292F">
      <w:pPr>
        <w:widowControl/>
        <w:spacing w:before="60" w:after="60" w:line="360" w:lineRule="auto"/>
        <w:ind w:firstLine="480"/>
        <w:jc w:val="left"/>
        <w:rPr>
          <w:rFonts w:ascii="仿宋" w:hAnsi="仿宋" w:eastAsia="仿宋" w:cs="仿宋"/>
          <w:kern w:val="0"/>
          <w:sz w:val="24"/>
          <w:szCs w:val="24"/>
        </w:rPr>
      </w:pPr>
      <w:r>
        <w:rPr>
          <w:rFonts w:hint="eastAsia" w:ascii="仿宋" w:hAnsi="仿宋" w:eastAsia="仿宋" w:cs="仿宋"/>
          <w:kern w:val="0"/>
          <w:sz w:val="24"/>
          <w:szCs w:val="24"/>
        </w:rPr>
        <w:br w:type="page"/>
      </w:r>
    </w:p>
    <w:p w14:paraId="66CA0C5B">
      <w:pPr>
        <w:spacing w:line="440" w:lineRule="exact"/>
        <w:jc w:val="center"/>
        <w:outlineLvl w:val="0"/>
        <w:rPr>
          <w:rFonts w:ascii="仿宋" w:hAnsi="仿宋" w:eastAsia="仿宋" w:cs="仿宋"/>
          <w:b/>
          <w:sz w:val="28"/>
          <w:szCs w:val="28"/>
        </w:rPr>
      </w:pPr>
      <w:bookmarkStart w:id="2" w:name="_Toc31961"/>
      <w:r>
        <w:rPr>
          <w:rFonts w:hint="eastAsia" w:ascii="仿宋" w:hAnsi="仿宋" w:eastAsia="仿宋" w:cs="仿宋"/>
          <w:b/>
          <w:sz w:val="28"/>
          <w:szCs w:val="28"/>
        </w:rPr>
        <w:t>投标人须知前附表</w:t>
      </w:r>
      <w:bookmarkEnd w:id="2"/>
    </w:p>
    <w:tbl>
      <w:tblPr>
        <w:tblStyle w:val="4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520"/>
        <w:gridCol w:w="6963"/>
      </w:tblGrid>
      <w:tr w14:paraId="51FE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14:paraId="2C20A275">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DBB93">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编列内容</w:t>
            </w:r>
          </w:p>
        </w:tc>
      </w:tr>
      <w:tr w14:paraId="1B1E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auto"/>
            <w:vAlign w:val="center"/>
          </w:tcPr>
          <w:p w14:paraId="31B80BD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520" w:type="dxa"/>
            <w:tcBorders>
              <w:top w:val="single" w:color="auto" w:sz="4" w:space="0"/>
            </w:tcBorders>
            <w:shd w:val="clear" w:color="auto" w:fill="auto"/>
            <w:vAlign w:val="center"/>
          </w:tcPr>
          <w:p w14:paraId="3E96B8F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6963" w:type="dxa"/>
            <w:tcBorders>
              <w:top w:val="single" w:color="auto" w:sz="4" w:space="0"/>
            </w:tcBorders>
            <w:shd w:val="clear" w:color="auto" w:fill="auto"/>
            <w:vAlign w:val="center"/>
          </w:tcPr>
          <w:p w14:paraId="706DD97E">
            <w:pPr>
              <w:widowControl/>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新疆维吾尔自治区地质局乌鲁木齐地质大队地质勘测服务（录井）采购项目二次</w:t>
            </w:r>
          </w:p>
        </w:tc>
      </w:tr>
      <w:tr w14:paraId="6674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0BA90B9C">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5F387220">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6963" w:type="dxa"/>
            <w:shd w:val="clear" w:color="auto" w:fill="auto"/>
            <w:vAlign w:val="center"/>
          </w:tcPr>
          <w:p w14:paraId="186131C7">
            <w:pPr>
              <w:widowControl/>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XJXSJ-2026(ZC)-089（2）</w:t>
            </w:r>
          </w:p>
        </w:tc>
      </w:tr>
      <w:tr w14:paraId="4BD8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79A50E4B">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79DC34A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标项名称</w:t>
            </w:r>
          </w:p>
        </w:tc>
        <w:tc>
          <w:tcPr>
            <w:tcW w:w="6963" w:type="dxa"/>
            <w:shd w:val="clear" w:color="auto" w:fill="auto"/>
            <w:vAlign w:val="center"/>
          </w:tcPr>
          <w:p w14:paraId="60644DD8">
            <w:pPr>
              <w:widowControl/>
              <w:spacing w:line="360" w:lineRule="auto"/>
              <w:jc w:val="left"/>
            </w:pPr>
            <w:r>
              <w:rPr>
                <w:rFonts w:hint="eastAsia" w:ascii="仿宋" w:hAnsi="仿宋" w:eastAsia="仿宋" w:cs="仿宋"/>
                <w:color w:val="000000"/>
                <w:sz w:val="24"/>
                <w:szCs w:val="24"/>
              </w:rPr>
              <w:t>新疆吉木乃县吉木乃盆地油气资源调查评价吉成1井录井技术服务</w:t>
            </w:r>
          </w:p>
        </w:tc>
      </w:tr>
      <w:tr w14:paraId="6137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33532842">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073A3E0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采购人</w:t>
            </w:r>
          </w:p>
        </w:tc>
        <w:tc>
          <w:tcPr>
            <w:tcW w:w="6963" w:type="dxa"/>
            <w:shd w:val="clear" w:color="auto" w:fill="auto"/>
            <w:vAlign w:val="center"/>
          </w:tcPr>
          <w:p w14:paraId="0F9ADD3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新疆维吾尔自治区地质局乌鲁木齐地质大队</w:t>
            </w:r>
          </w:p>
        </w:tc>
      </w:tr>
      <w:tr w14:paraId="7AC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58A190FF">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033D5D88">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采购代理机构</w:t>
            </w:r>
          </w:p>
        </w:tc>
        <w:tc>
          <w:tcPr>
            <w:tcW w:w="6963" w:type="dxa"/>
            <w:shd w:val="clear" w:color="auto" w:fill="auto"/>
            <w:vAlign w:val="center"/>
          </w:tcPr>
          <w:p w14:paraId="245A826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新疆新世纪招标有限公司</w:t>
            </w:r>
          </w:p>
        </w:tc>
      </w:tr>
      <w:tr w14:paraId="77BE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00ABA542">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6F3183B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资金来源</w:t>
            </w:r>
          </w:p>
        </w:tc>
        <w:tc>
          <w:tcPr>
            <w:tcW w:w="6963" w:type="dxa"/>
            <w:shd w:val="clear" w:color="auto" w:fill="auto"/>
            <w:vAlign w:val="center"/>
          </w:tcPr>
          <w:p w14:paraId="62B181F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财政资金</w:t>
            </w:r>
          </w:p>
        </w:tc>
      </w:tr>
      <w:tr w14:paraId="6F89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6DF9066C">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72F901B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采购预算金额</w:t>
            </w:r>
          </w:p>
        </w:tc>
        <w:tc>
          <w:tcPr>
            <w:tcW w:w="6963" w:type="dxa"/>
            <w:shd w:val="clear" w:color="auto" w:fill="auto"/>
            <w:vAlign w:val="center"/>
          </w:tcPr>
          <w:p w14:paraId="21710229">
            <w:pPr>
              <w:widowControl/>
              <w:spacing w:line="360" w:lineRule="auto"/>
              <w:jc w:val="left"/>
            </w:pPr>
            <w:r>
              <w:rPr>
                <w:rFonts w:hint="eastAsia" w:ascii="仿宋" w:hAnsi="仿宋" w:eastAsia="仿宋" w:cs="仿宋"/>
                <w:kern w:val="0"/>
                <w:sz w:val="24"/>
                <w:szCs w:val="24"/>
                <w:lang w:val="en-US" w:eastAsia="zh-CN"/>
              </w:rPr>
              <w:t>520000</w:t>
            </w:r>
            <w:r>
              <w:rPr>
                <w:rFonts w:hint="eastAsia" w:ascii="仿宋" w:hAnsi="仿宋" w:eastAsia="仿宋" w:cs="仿宋"/>
                <w:kern w:val="0"/>
                <w:sz w:val="24"/>
                <w:szCs w:val="24"/>
              </w:rPr>
              <w:t>.00</w:t>
            </w:r>
            <w:r>
              <w:rPr>
                <w:rFonts w:hint="eastAsia" w:ascii="仿宋" w:hAnsi="仿宋" w:eastAsia="仿宋" w:cs="仿宋"/>
                <w:color w:val="000000"/>
                <w:sz w:val="24"/>
                <w:szCs w:val="24"/>
              </w:rPr>
              <w:t>元</w:t>
            </w:r>
          </w:p>
        </w:tc>
      </w:tr>
      <w:tr w14:paraId="653B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269F772A">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449D81D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服务周期</w:t>
            </w:r>
          </w:p>
        </w:tc>
        <w:tc>
          <w:tcPr>
            <w:tcW w:w="6963" w:type="dxa"/>
            <w:shd w:val="clear" w:color="auto" w:fill="auto"/>
            <w:vAlign w:val="center"/>
          </w:tcPr>
          <w:p w14:paraId="33C95BE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2026年4月至12月，具体按照钻井进度而定。</w:t>
            </w:r>
          </w:p>
        </w:tc>
      </w:tr>
      <w:tr w14:paraId="3EB5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5A65B54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520" w:type="dxa"/>
            <w:shd w:val="clear" w:color="auto" w:fill="auto"/>
            <w:vAlign w:val="center"/>
          </w:tcPr>
          <w:p w14:paraId="17A7358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采购范围</w:t>
            </w:r>
          </w:p>
        </w:tc>
        <w:tc>
          <w:tcPr>
            <w:tcW w:w="6963" w:type="dxa"/>
            <w:shd w:val="clear" w:color="auto" w:fill="auto"/>
            <w:vAlign w:val="center"/>
          </w:tcPr>
          <w:p w14:paraId="7CD9579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lang w:eastAsia="zh-CN"/>
              </w:rPr>
              <w:t>新疆维吾尔自治区地质局乌鲁木齐地质大队地质勘测服务（录井）采购项目二次</w:t>
            </w:r>
            <w:r>
              <w:rPr>
                <w:rFonts w:hint="eastAsia" w:ascii="仿宋" w:hAnsi="仿宋" w:eastAsia="仿宋" w:cs="仿宋"/>
                <w:color w:val="000000"/>
                <w:sz w:val="24"/>
                <w:szCs w:val="24"/>
              </w:rPr>
              <w:t>范围内的所有工作内容，关于采购范围的详细说明见招标文件第四章“服务标准和要求”。</w:t>
            </w:r>
          </w:p>
        </w:tc>
      </w:tr>
      <w:tr w14:paraId="09FC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auto"/>
            <w:vAlign w:val="center"/>
          </w:tcPr>
          <w:p w14:paraId="53E445E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520" w:type="dxa"/>
            <w:shd w:val="clear" w:color="auto" w:fill="auto"/>
            <w:vAlign w:val="center"/>
          </w:tcPr>
          <w:p w14:paraId="337C91C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采购方式</w:t>
            </w:r>
          </w:p>
        </w:tc>
        <w:tc>
          <w:tcPr>
            <w:tcW w:w="6963" w:type="dxa"/>
            <w:shd w:val="clear" w:color="auto" w:fill="auto"/>
            <w:vAlign w:val="center"/>
          </w:tcPr>
          <w:p w14:paraId="2592B42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公开招标</w:t>
            </w:r>
          </w:p>
        </w:tc>
      </w:tr>
      <w:tr w14:paraId="7CF8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62C61918">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2061CA8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资格审查方式</w:t>
            </w:r>
          </w:p>
        </w:tc>
        <w:tc>
          <w:tcPr>
            <w:tcW w:w="6963" w:type="dxa"/>
            <w:shd w:val="clear" w:color="auto" w:fill="auto"/>
            <w:vAlign w:val="center"/>
          </w:tcPr>
          <w:p w14:paraId="5F84EFF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资格后审</w:t>
            </w:r>
          </w:p>
        </w:tc>
      </w:tr>
      <w:tr w14:paraId="4C9C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auto"/>
            <w:vAlign w:val="center"/>
          </w:tcPr>
          <w:p w14:paraId="0E0C46E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1520" w:type="dxa"/>
            <w:shd w:val="clear" w:color="auto" w:fill="auto"/>
            <w:vAlign w:val="center"/>
          </w:tcPr>
          <w:p w14:paraId="1B55F598">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评标办法</w:t>
            </w:r>
          </w:p>
        </w:tc>
        <w:tc>
          <w:tcPr>
            <w:tcW w:w="6963" w:type="dxa"/>
            <w:shd w:val="clear" w:color="auto" w:fill="auto"/>
            <w:vAlign w:val="center"/>
          </w:tcPr>
          <w:p w14:paraId="45056DC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综合评分法</w:t>
            </w:r>
          </w:p>
        </w:tc>
      </w:tr>
      <w:tr w14:paraId="00B7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auto"/>
            <w:vAlign w:val="center"/>
          </w:tcPr>
          <w:p w14:paraId="3EC62DB9">
            <w:pPr>
              <w:spacing w:line="360" w:lineRule="auto"/>
              <w:jc w:val="center"/>
              <w:rPr>
                <w:rFonts w:ascii="仿宋" w:hAnsi="仿宋" w:eastAsia="仿宋" w:cs="仿宋"/>
                <w:color w:val="000000"/>
                <w:sz w:val="24"/>
                <w:szCs w:val="24"/>
              </w:rPr>
            </w:pPr>
          </w:p>
        </w:tc>
        <w:tc>
          <w:tcPr>
            <w:tcW w:w="1520" w:type="dxa"/>
            <w:shd w:val="clear" w:color="auto" w:fill="auto"/>
            <w:vAlign w:val="center"/>
          </w:tcPr>
          <w:p w14:paraId="5B1C7BB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定标方法</w:t>
            </w:r>
          </w:p>
        </w:tc>
        <w:tc>
          <w:tcPr>
            <w:tcW w:w="6963" w:type="dxa"/>
            <w:shd w:val="clear" w:color="auto" w:fill="auto"/>
            <w:vAlign w:val="center"/>
          </w:tcPr>
          <w:p w14:paraId="7CBDF1C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评标小组推荐三名中标候选人</w:t>
            </w:r>
          </w:p>
        </w:tc>
      </w:tr>
      <w:tr w14:paraId="1A7B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5EB4234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1520" w:type="dxa"/>
            <w:shd w:val="clear" w:color="auto" w:fill="auto"/>
            <w:vAlign w:val="center"/>
          </w:tcPr>
          <w:p w14:paraId="2C6BCD11">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投标人最低资格条件和能力</w:t>
            </w:r>
          </w:p>
        </w:tc>
        <w:tc>
          <w:tcPr>
            <w:tcW w:w="6963" w:type="dxa"/>
            <w:shd w:val="clear" w:color="auto" w:fill="auto"/>
            <w:vAlign w:val="center"/>
          </w:tcPr>
          <w:p w14:paraId="3A84703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4FD70B1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2.落实政府采购政策需满足的资格要求：符合政府采购优先（节约能源、保护环境）采购政策及促进中小企业（监狱企业、残疾人福利性单位）发展政策的，依据规定给予评审优惠。</w:t>
            </w:r>
          </w:p>
          <w:p w14:paraId="37156A8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3.本项目的特定资格要求：</w:t>
            </w:r>
          </w:p>
          <w:p w14:paraId="7D81F0E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（1）投标人须具备有效的《安全生产许可证》。</w:t>
            </w:r>
          </w:p>
          <w:p w14:paraId="0E3646B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3A68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7F8B349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520" w:type="dxa"/>
            <w:shd w:val="clear" w:color="auto" w:fill="auto"/>
            <w:vAlign w:val="center"/>
          </w:tcPr>
          <w:p w14:paraId="736AA2B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招标文件费</w:t>
            </w:r>
          </w:p>
        </w:tc>
        <w:tc>
          <w:tcPr>
            <w:tcW w:w="6963" w:type="dxa"/>
            <w:shd w:val="clear" w:color="auto" w:fill="auto"/>
            <w:vAlign w:val="center"/>
          </w:tcPr>
          <w:p w14:paraId="47E16DA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0元/份</w:t>
            </w:r>
          </w:p>
        </w:tc>
      </w:tr>
      <w:tr w14:paraId="400D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3DBAB30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520" w:type="dxa"/>
            <w:shd w:val="clear" w:color="auto" w:fill="auto"/>
            <w:vAlign w:val="center"/>
          </w:tcPr>
          <w:p w14:paraId="4877DBD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投标保证金</w:t>
            </w:r>
          </w:p>
        </w:tc>
        <w:tc>
          <w:tcPr>
            <w:tcW w:w="6963" w:type="dxa"/>
            <w:shd w:val="clear" w:color="auto" w:fill="auto"/>
            <w:vAlign w:val="center"/>
          </w:tcPr>
          <w:p w14:paraId="5528A29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002元整</w:t>
            </w:r>
          </w:p>
          <w:p w14:paraId="271687A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注：详见第一章3.4.2条</w:t>
            </w:r>
          </w:p>
        </w:tc>
      </w:tr>
      <w:tr w14:paraId="784B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32ACB93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520" w:type="dxa"/>
            <w:shd w:val="clear" w:color="auto" w:fill="auto"/>
            <w:vAlign w:val="center"/>
          </w:tcPr>
          <w:p w14:paraId="75C8CA71">
            <w:pPr>
              <w:keepNext/>
              <w:widowControl/>
              <w:spacing w:line="360" w:lineRule="auto"/>
              <w:jc w:val="distribute"/>
              <w:rPr>
                <w:rFonts w:ascii="仿宋" w:hAnsi="仿宋" w:eastAsia="仿宋" w:cs="仿宋"/>
                <w:color w:val="000000"/>
                <w:sz w:val="24"/>
                <w:szCs w:val="24"/>
              </w:rPr>
            </w:pPr>
            <w:r>
              <w:rPr>
                <w:rFonts w:hint="eastAsia" w:ascii="仿宋" w:hAnsi="仿宋" w:eastAsia="仿宋" w:cs="仿宋"/>
                <w:sz w:val="24"/>
                <w:szCs w:val="24"/>
              </w:rPr>
              <w:t>现场踏勘</w:t>
            </w:r>
          </w:p>
        </w:tc>
        <w:tc>
          <w:tcPr>
            <w:tcW w:w="6963" w:type="dxa"/>
            <w:shd w:val="clear" w:color="auto" w:fill="auto"/>
            <w:vAlign w:val="center"/>
          </w:tcPr>
          <w:p w14:paraId="1E6C14A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☑不组织</w:t>
            </w:r>
          </w:p>
          <w:p w14:paraId="4A04E91B">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□统一组织</w:t>
            </w:r>
          </w:p>
        </w:tc>
      </w:tr>
      <w:tr w14:paraId="1498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013C4F70">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520" w:type="dxa"/>
            <w:shd w:val="clear" w:color="auto" w:fill="auto"/>
            <w:vAlign w:val="center"/>
          </w:tcPr>
          <w:p w14:paraId="00E4AC84">
            <w:pPr>
              <w:keepNext/>
              <w:widowControl/>
              <w:spacing w:line="360" w:lineRule="auto"/>
              <w:jc w:val="distribute"/>
              <w:rPr>
                <w:rFonts w:ascii="仿宋" w:hAnsi="仿宋" w:eastAsia="仿宋" w:cs="仿宋"/>
                <w:color w:val="000000"/>
                <w:sz w:val="24"/>
                <w:szCs w:val="24"/>
              </w:rPr>
            </w:pPr>
            <w:r>
              <w:rPr>
                <w:rFonts w:hint="eastAsia" w:ascii="仿宋" w:hAnsi="仿宋" w:eastAsia="仿宋" w:cs="仿宋"/>
                <w:sz w:val="24"/>
                <w:szCs w:val="24"/>
              </w:rPr>
              <w:t>是否允许联合体投标</w:t>
            </w:r>
          </w:p>
        </w:tc>
        <w:tc>
          <w:tcPr>
            <w:tcW w:w="6963" w:type="dxa"/>
            <w:shd w:val="clear" w:color="auto" w:fill="auto"/>
            <w:vAlign w:val="center"/>
          </w:tcPr>
          <w:p w14:paraId="65D2B97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☑否</w:t>
            </w:r>
          </w:p>
          <w:p w14:paraId="4C9D771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□是</w:t>
            </w:r>
          </w:p>
        </w:tc>
      </w:tr>
      <w:tr w14:paraId="38CF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0C795B9A">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520" w:type="dxa"/>
            <w:shd w:val="clear" w:color="auto" w:fill="auto"/>
            <w:vAlign w:val="center"/>
          </w:tcPr>
          <w:p w14:paraId="0CBA5F5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招标答疑</w:t>
            </w:r>
          </w:p>
        </w:tc>
        <w:tc>
          <w:tcPr>
            <w:tcW w:w="6963" w:type="dxa"/>
            <w:shd w:val="clear" w:color="auto" w:fill="auto"/>
            <w:vAlign w:val="center"/>
          </w:tcPr>
          <w:p w14:paraId="44DCFC5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提出询问的，应当在投标文件递交截止时间15日前以书面形式（加盖公章）递交至新疆新世纪招标有限公司，否则采购人不作任何解释。</w:t>
            </w:r>
          </w:p>
          <w:p w14:paraId="07CAEA2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提出质疑的，应当在获取招标文件或者招标公告期限届满之日起7个工作日内一次性以书面形式（按照财政部制定的质疑函范本编写）提出并递交至采购代理机构。</w:t>
            </w:r>
          </w:p>
          <w:p w14:paraId="7F51738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质疑接收人：闵俊瑀；联系方式：0991-4661782。</w:t>
            </w:r>
          </w:p>
          <w:p w14:paraId="125BC35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1D38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7D58ED3C">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520" w:type="dxa"/>
            <w:shd w:val="clear" w:color="auto" w:fill="auto"/>
            <w:vAlign w:val="center"/>
          </w:tcPr>
          <w:p w14:paraId="6DAE82D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投标文件</w:t>
            </w:r>
          </w:p>
        </w:tc>
        <w:tc>
          <w:tcPr>
            <w:tcW w:w="6963" w:type="dxa"/>
            <w:shd w:val="clear" w:color="auto" w:fill="auto"/>
            <w:vAlign w:val="center"/>
          </w:tcPr>
          <w:p w14:paraId="15A9D28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3C56770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15F540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加密的电子投标文件应在投标文件递交截止时间前通过政采云平台上传完成。逾期上传或者未上传指定地点的投标文件，不予受理。</w:t>
            </w:r>
          </w:p>
          <w:p w14:paraId="4037961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投标人在开标前须提前配置好电脑浏览器，开标时请使用制作加密电子投标文件的CA锁进行解密及报价确认。本项目投标文件解密时间定为30分钟，如因自身原因导致无法正常解密，后果由投标人自行承担。</w:t>
            </w:r>
          </w:p>
          <w:p w14:paraId="0E361F7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如遇“政采云平台（https://www.zcygov.cn/）”电子交易规则调整，以最新要求为准。</w:t>
            </w:r>
          </w:p>
        </w:tc>
      </w:tr>
      <w:tr w14:paraId="6CB3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7983ABA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520" w:type="dxa"/>
            <w:shd w:val="clear" w:color="auto" w:fill="auto"/>
            <w:vAlign w:val="center"/>
          </w:tcPr>
          <w:p w14:paraId="46BA411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投标文件递交</w:t>
            </w:r>
          </w:p>
        </w:tc>
        <w:tc>
          <w:tcPr>
            <w:tcW w:w="6963" w:type="dxa"/>
            <w:shd w:val="clear" w:color="auto" w:fill="auto"/>
            <w:vAlign w:val="center"/>
          </w:tcPr>
          <w:p w14:paraId="372736C6">
            <w:pPr>
              <w:widowControl/>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截止时间：</w:t>
            </w:r>
            <w:r>
              <w:rPr>
                <w:rFonts w:hint="eastAsia" w:ascii="仿宋" w:hAnsi="仿宋" w:eastAsia="仿宋" w:cs="仿宋"/>
                <w:color w:val="FF0000"/>
                <w:sz w:val="24"/>
                <w:szCs w:val="24"/>
                <w:u w:val="single"/>
                <w:lang w:eastAsia="zh-CN"/>
              </w:rPr>
              <w:t>2026年06月01日11:00（北京时间）</w:t>
            </w:r>
          </w:p>
          <w:p w14:paraId="4C673E6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递交地点：加密的电子响应文件（.jmbs格式）应在投标文件递交截止时间前通过政采云平台上传完成。</w:t>
            </w:r>
          </w:p>
        </w:tc>
      </w:tr>
      <w:tr w14:paraId="0D51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091DCE41">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1520" w:type="dxa"/>
            <w:shd w:val="clear" w:color="auto" w:fill="auto"/>
            <w:vAlign w:val="center"/>
          </w:tcPr>
          <w:p w14:paraId="0553E6D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开标</w:t>
            </w:r>
          </w:p>
        </w:tc>
        <w:tc>
          <w:tcPr>
            <w:tcW w:w="6963" w:type="dxa"/>
            <w:shd w:val="clear" w:color="auto" w:fill="auto"/>
            <w:vAlign w:val="center"/>
          </w:tcPr>
          <w:p w14:paraId="53E3BC96">
            <w:pPr>
              <w:widowControl/>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时间：</w:t>
            </w:r>
            <w:r>
              <w:rPr>
                <w:rFonts w:hint="eastAsia" w:ascii="仿宋" w:hAnsi="仿宋" w:eastAsia="仿宋" w:cs="仿宋"/>
                <w:color w:val="FF0000"/>
                <w:sz w:val="24"/>
                <w:szCs w:val="24"/>
                <w:u w:val="single"/>
                <w:lang w:eastAsia="zh-CN"/>
              </w:rPr>
              <w:t>2026年06月01日11:00（北京时间）</w:t>
            </w:r>
          </w:p>
          <w:p w14:paraId="41830C3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地点：政采云平台（https://www.zcygov.cn/）</w:t>
            </w:r>
          </w:p>
        </w:tc>
      </w:tr>
      <w:tr w14:paraId="34E4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1528FE7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1520" w:type="dxa"/>
            <w:shd w:val="clear" w:color="auto" w:fill="auto"/>
            <w:vAlign w:val="center"/>
          </w:tcPr>
          <w:p w14:paraId="45606CD0">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6963" w:type="dxa"/>
            <w:shd w:val="clear" w:color="auto" w:fill="auto"/>
            <w:vAlign w:val="center"/>
          </w:tcPr>
          <w:p w14:paraId="39B2588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自投标截止之日90日历日</w:t>
            </w:r>
          </w:p>
        </w:tc>
      </w:tr>
      <w:tr w14:paraId="5B69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727D6B5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1520" w:type="dxa"/>
            <w:shd w:val="clear" w:color="auto" w:fill="auto"/>
            <w:vAlign w:val="center"/>
          </w:tcPr>
          <w:p w14:paraId="2373FAD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公告发布媒体</w:t>
            </w:r>
          </w:p>
        </w:tc>
        <w:tc>
          <w:tcPr>
            <w:tcW w:w="6963" w:type="dxa"/>
            <w:shd w:val="clear" w:color="auto" w:fill="auto"/>
            <w:vAlign w:val="center"/>
          </w:tcPr>
          <w:p w14:paraId="049F83C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新疆政府采购网（http://www.ccgp-xinjiang.gov.cn/）</w:t>
            </w:r>
          </w:p>
        </w:tc>
      </w:tr>
      <w:tr w14:paraId="51F6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070B6D62">
            <w:pPr>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1520" w:type="dxa"/>
            <w:shd w:val="clear" w:color="auto" w:fill="auto"/>
            <w:vAlign w:val="center"/>
          </w:tcPr>
          <w:p w14:paraId="2760CE61">
            <w:pPr>
              <w:keepNext/>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履约保证金</w:t>
            </w:r>
          </w:p>
        </w:tc>
        <w:tc>
          <w:tcPr>
            <w:tcW w:w="6963" w:type="dxa"/>
            <w:shd w:val="clear" w:color="auto" w:fill="auto"/>
            <w:vAlign w:val="center"/>
          </w:tcPr>
          <w:p w14:paraId="77F3076A">
            <w:pPr>
              <w:widowControl/>
              <w:spacing w:line="360" w:lineRule="auto"/>
              <w:jc w:val="left"/>
              <w:rPr>
                <w:rFonts w:ascii="仿宋" w:hAnsi="仿宋" w:eastAsia="仿宋" w:cs="仿宋"/>
                <w:sz w:val="24"/>
                <w:szCs w:val="24"/>
              </w:rPr>
            </w:pPr>
            <w:r>
              <w:rPr>
                <w:rFonts w:hint="eastAsia" w:ascii="仿宋" w:hAnsi="仿宋" w:eastAsia="仿宋" w:cs="仿宋"/>
                <w:sz w:val="24"/>
                <w:szCs w:val="24"/>
              </w:rPr>
              <w:t>□不交纳</w:t>
            </w:r>
          </w:p>
          <w:p w14:paraId="58056A40">
            <w:pPr>
              <w:widowControl/>
              <w:spacing w:line="360" w:lineRule="auto"/>
              <w:jc w:val="left"/>
              <w:rPr>
                <w:rFonts w:ascii="仿宋" w:hAnsi="仿宋" w:eastAsia="仿宋" w:cs="仿宋"/>
                <w:sz w:val="24"/>
                <w:szCs w:val="24"/>
              </w:rPr>
            </w:pPr>
            <w:r>
              <w:rPr>
                <w:rFonts w:hint="eastAsia" w:ascii="仿宋" w:hAnsi="仿宋" w:eastAsia="仿宋" w:cs="仿宋"/>
                <w:sz w:val="24"/>
                <w:szCs w:val="24"/>
              </w:rPr>
              <w:t>☑交纳</w:t>
            </w:r>
          </w:p>
          <w:p w14:paraId="61B3D752">
            <w:pPr>
              <w:widowControl/>
              <w:spacing w:line="360" w:lineRule="auto"/>
              <w:jc w:val="left"/>
              <w:rPr>
                <w:rFonts w:ascii="仿宋" w:hAnsi="仿宋" w:eastAsia="仿宋" w:cs="仿宋"/>
                <w:sz w:val="24"/>
                <w:szCs w:val="24"/>
              </w:rPr>
            </w:pPr>
            <w:r>
              <w:rPr>
                <w:rFonts w:hint="eastAsia" w:ascii="仿宋" w:hAnsi="仿宋" w:eastAsia="仿宋" w:cs="仿宋"/>
                <w:sz w:val="24"/>
                <w:szCs w:val="24"/>
              </w:rPr>
              <w:t>交纳时间：签订合同后，十个工作日内，具体以甲方要求为准。</w:t>
            </w:r>
          </w:p>
          <w:p w14:paraId="08A7D61E">
            <w:pPr>
              <w:widowControl/>
              <w:spacing w:line="360" w:lineRule="auto"/>
              <w:jc w:val="left"/>
              <w:rPr>
                <w:rFonts w:ascii="仿宋" w:hAnsi="仿宋" w:eastAsia="仿宋" w:cs="仿宋"/>
                <w:sz w:val="24"/>
                <w:szCs w:val="24"/>
              </w:rPr>
            </w:pPr>
            <w:r>
              <w:rPr>
                <w:rFonts w:hint="eastAsia" w:ascii="仿宋" w:hAnsi="仿宋" w:eastAsia="仿宋" w:cs="仿宋"/>
                <w:sz w:val="24"/>
                <w:szCs w:val="24"/>
              </w:rPr>
              <w:t>交纳金额：中标金额的10%。</w:t>
            </w:r>
          </w:p>
          <w:p w14:paraId="66F3B871">
            <w:pPr>
              <w:widowControl/>
              <w:spacing w:line="360" w:lineRule="auto"/>
              <w:jc w:val="left"/>
              <w:rPr>
                <w:rFonts w:ascii="仿宋" w:hAnsi="仿宋" w:eastAsia="仿宋" w:cs="仿宋"/>
                <w:sz w:val="24"/>
                <w:szCs w:val="24"/>
              </w:rPr>
            </w:pPr>
            <w:r>
              <w:rPr>
                <w:rFonts w:hint="eastAsia" w:ascii="仿宋" w:hAnsi="仿宋" w:eastAsia="仿宋" w:cs="仿宋"/>
                <w:sz w:val="24"/>
                <w:szCs w:val="24"/>
              </w:rPr>
              <w:t>退还要求：甲方报告通过主管部门审查后30个工作日内退还。</w:t>
            </w:r>
          </w:p>
          <w:p w14:paraId="73E74968">
            <w:pPr>
              <w:widowControl/>
              <w:spacing w:line="360" w:lineRule="auto"/>
              <w:jc w:val="left"/>
              <w:rPr>
                <w:rFonts w:ascii="仿宋" w:hAnsi="仿宋" w:eastAsia="仿宋" w:cs="仿宋"/>
                <w:sz w:val="24"/>
                <w:szCs w:val="24"/>
              </w:rPr>
            </w:pPr>
            <w:r>
              <w:rPr>
                <w:rFonts w:hint="eastAsia" w:ascii="仿宋" w:hAnsi="仿宋" w:eastAsia="仿宋" w:cs="仿宋"/>
                <w:sz w:val="24"/>
                <w:szCs w:val="24"/>
              </w:rPr>
              <w:t>缴纳账户：</w:t>
            </w:r>
          </w:p>
          <w:p w14:paraId="112190B7">
            <w:pPr>
              <w:widowControl/>
              <w:spacing w:line="360" w:lineRule="auto"/>
              <w:jc w:val="left"/>
              <w:rPr>
                <w:rFonts w:ascii="仿宋" w:hAnsi="仿宋" w:eastAsia="仿宋" w:cs="仿宋"/>
                <w:sz w:val="24"/>
                <w:szCs w:val="24"/>
              </w:rPr>
            </w:pPr>
            <w:r>
              <w:rPr>
                <w:rFonts w:hint="eastAsia" w:ascii="仿宋" w:hAnsi="仿宋" w:eastAsia="仿宋" w:cs="仿宋"/>
                <w:sz w:val="24"/>
                <w:szCs w:val="24"/>
              </w:rPr>
              <w:t>单位名称:新疆维吾尔自治区地质局乌鲁木齐地质大队</w:t>
            </w:r>
          </w:p>
          <w:p w14:paraId="15DC35B0">
            <w:pPr>
              <w:widowControl/>
              <w:spacing w:line="360" w:lineRule="auto"/>
              <w:jc w:val="left"/>
              <w:rPr>
                <w:rFonts w:ascii="仿宋" w:hAnsi="仿宋" w:eastAsia="仿宋" w:cs="仿宋"/>
                <w:sz w:val="24"/>
                <w:szCs w:val="24"/>
              </w:rPr>
            </w:pPr>
            <w:r>
              <w:rPr>
                <w:rFonts w:hint="eastAsia" w:ascii="仿宋" w:hAnsi="仿宋" w:eastAsia="仿宋" w:cs="仿宋"/>
                <w:sz w:val="24"/>
                <w:szCs w:val="24"/>
              </w:rPr>
              <w:t>电话:09918733341</w:t>
            </w:r>
          </w:p>
          <w:p w14:paraId="37D0C658">
            <w:pPr>
              <w:widowControl/>
              <w:spacing w:line="360" w:lineRule="auto"/>
              <w:jc w:val="left"/>
              <w:rPr>
                <w:rFonts w:ascii="仿宋" w:hAnsi="仿宋" w:eastAsia="仿宋" w:cs="仿宋"/>
                <w:sz w:val="24"/>
                <w:szCs w:val="24"/>
              </w:rPr>
            </w:pPr>
            <w:r>
              <w:rPr>
                <w:rFonts w:hint="eastAsia" w:ascii="仿宋" w:hAnsi="仿宋" w:eastAsia="仿宋" w:cs="仿宋"/>
                <w:sz w:val="24"/>
                <w:szCs w:val="24"/>
              </w:rPr>
              <w:t>纳税人识别号:12650000457605691T</w:t>
            </w:r>
          </w:p>
          <w:p w14:paraId="3BCA241C">
            <w:pPr>
              <w:widowControl/>
              <w:spacing w:line="360" w:lineRule="auto"/>
              <w:jc w:val="left"/>
              <w:rPr>
                <w:rFonts w:ascii="仿宋" w:hAnsi="仿宋" w:eastAsia="仿宋" w:cs="仿宋"/>
                <w:sz w:val="24"/>
                <w:szCs w:val="24"/>
              </w:rPr>
            </w:pPr>
            <w:r>
              <w:rPr>
                <w:rFonts w:hint="eastAsia" w:ascii="仿宋" w:hAnsi="仿宋" w:eastAsia="仿宋" w:cs="仿宋"/>
                <w:sz w:val="24"/>
                <w:szCs w:val="24"/>
              </w:rPr>
              <w:t>开户行:中国建设银行股份有限公司乌鲁木齐黄河路支行</w:t>
            </w:r>
          </w:p>
          <w:p w14:paraId="2656D65A">
            <w:pPr>
              <w:widowControl/>
              <w:spacing w:line="360" w:lineRule="auto"/>
              <w:jc w:val="left"/>
              <w:rPr>
                <w:rFonts w:ascii="仿宋" w:hAnsi="仿宋" w:eastAsia="仿宋" w:cs="仿宋"/>
                <w:sz w:val="24"/>
                <w:szCs w:val="24"/>
              </w:rPr>
            </w:pPr>
            <w:r>
              <w:rPr>
                <w:rFonts w:hint="eastAsia" w:ascii="仿宋" w:hAnsi="仿宋" w:eastAsia="仿宋" w:cs="仿宋"/>
                <w:sz w:val="24"/>
                <w:szCs w:val="24"/>
              </w:rPr>
              <w:t>银行地址:乌市沙依巴克区黄河路88号</w:t>
            </w:r>
          </w:p>
          <w:p w14:paraId="5FB4EE84">
            <w:pPr>
              <w:widowControl/>
              <w:spacing w:line="360" w:lineRule="auto"/>
              <w:jc w:val="left"/>
              <w:rPr>
                <w:rFonts w:ascii="仿宋" w:hAnsi="仿宋" w:eastAsia="仿宋" w:cs="仿宋"/>
                <w:sz w:val="24"/>
                <w:szCs w:val="24"/>
              </w:rPr>
            </w:pPr>
            <w:r>
              <w:rPr>
                <w:rFonts w:hint="eastAsia" w:ascii="仿宋" w:hAnsi="仿宋" w:eastAsia="仿宋" w:cs="仿宋"/>
                <w:sz w:val="24"/>
                <w:szCs w:val="24"/>
              </w:rPr>
              <w:t>行号:105881000212</w:t>
            </w:r>
          </w:p>
          <w:p w14:paraId="0B4345E3">
            <w:pPr>
              <w:widowControl/>
              <w:spacing w:line="360" w:lineRule="auto"/>
              <w:jc w:val="left"/>
              <w:rPr>
                <w:rFonts w:ascii="仿宋" w:hAnsi="仿宋" w:eastAsia="仿宋" w:cs="仿宋"/>
                <w:sz w:val="24"/>
                <w:szCs w:val="24"/>
              </w:rPr>
            </w:pPr>
            <w:r>
              <w:rPr>
                <w:rFonts w:hint="eastAsia" w:ascii="仿宋" w:hAnsi="仿宋" w:eastAsia="仿宋" w:cs="仿宋"/>
                <w:sz w:val="24"/>
                <w:szCs w:val="24"/>
              </w:rPr>
              <w:t>账号:65001612400050004517</w:t>
            </w:r>
          </w:p>
          <w:p w14:paraId="011512E5">
            <w:pPr>
              <w:widowControl/>
              <w:spacing w:line="360" w:lineRule="auto"/>
              <w:jc w:val="left"/>
              <w:rPr>
                <w:rFonts w:ascii="仿宋" w:hAnsi="仿宋" w:eastAsia="仿宋" w:cs="仿宋"/>
                <w:sz w:val="24"/>
                <w:szCs w:val="24"/>
              </w:rPr>
            </w:pPr>
            <w:r>
              <w:rPr>
                <w:rFonts w:hint="eastAsia" w:ascii="仿宋" w:hAnsi="仿宋" w:eastAsia="仿宋" w:cs="仿宋"/>
                <w:sz w:val="24"/>
                <w:szCs w:val="24"/>
              </w:rPr>
              <w:t>地址:沙依巴克区西山路67号</w:t>
            </w:r>
          </w:p>
          <w:p w14:paraId="6690080A">
            <w:pPr>
              <w:widowControl/>
              <w:spacing w:line="360" w:lineRule="auto"/>
              <w:jc w:val="left"/>
            </w:pPr>
            <w:r>
              <w:rPr>
                <w:rFonts w:hint="eastAsia" w:ascii="仿宋" w:hAnsi="仿宋" w:eastAsia="仿宋" w:cs="仿宋"/>
                <w:sz w:val="24"/>
                <w:szCs w:val="24"/>
              </w:rPr>
              <w:t>注：须在汇款单上备注“xx项目履约保证金”</w:t>
            </w:r>
          </w:p>
        </w:tc>
      </w:tr>
      <w:tr w14:paraId="6939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1349E88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1520" w:type="dxa"/>
            <w:shd w:val="clear" w:color="auto" w:fill="auto"/>
            <w:vAlign w:val="center"/>
          </w:tcPr>
          <w:p w14:paraId="2C9E2D3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中小企业政策说明</w:t>
            </w:r>
          </w:p>
        </w:tc>
        <w:tc>
          <w:tcPr>
            <w:tcW w:w="6963" w:type="dxa"/>
            <w:shd w:val="clear" w:color="auto" w:fill="auto"/>
            <w:vAlign w:val="center"/>
          </w:tcPr>
          <w:p w14:paraId="2B3BAF28">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8DEEEC">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34BE7F91">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在货物采购项目中，投标人提供的货物既有中小企业制造货物，也有大型企业制造货物的，不享受本办法规定的中小企业扶持政策。</w:t>
            </w:r>
          </w:p>
          <w:p w14:paraId="6DAD617B">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以联合体形式参加政府采购活动，联合体各方均为中小企业的，联合体视同中小企业。其中，联合体各方均为小微企业的，联合体视同小微企业。</w:t>
            </w:r>
          </w:p>
          <w:p w14:paraId="19FF769E">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投标人经享受扶持政策获得政府采购合同的，小微企业不得将合同分包给大中型企业，中型企业不得将合同分包给大型企业；</w:t>
            </w:r>
          </w:p>
          <w:p w14:paraId="5A1B4B13">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1E0ECE8A">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根据“关于印发中小企业划型标准规定的通知（工信部联企业〔2011〕300号）”等有关规定，本项目标的所属行业为</w:t>
            </w:r>
            <w:r>
              <w:rPr>
                <w:rFonts w:hint="eastAsia" w:ascii="仿宋" w:hAnsi="仿宋" w:eastAsia="仿宋" w:cs="仿宋"/>
                <w:b/>
                <w:bCs/>
                <w:kern w:val="0"/>
                <w:sz w:val="24"/>
                <w:szCs w:val="24"/>
                <w:u w:val="single"/>
              </w:rPr>
              <w:t>其他未列明行业。</w:t>
            </w:r>
          </w:p>
        </w:tc>
      </w:tr>
      <w:tr w14:paraId="08E4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186B753C">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1520" w:type="dxa"/>
            <w:shd w:val="clear" w:color="auto" w:fill="auto"/>
            <w:vAlign w:val="center"/>
          </w:tcPr>
          <w:p w14:paraId="3E99098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招标代理费</w:t>
            </w:r>
          </w:p>
        </w:tc>
        <w:tc>
          <w:tcPr>
            <w:tcW w:w="6963" w:type="dxa"/>
            <w:shd w:val="clear" w:color="auto" w:fill="auto"/>
            <w:vAlign w:val="center"/>
          </w:tcPr>
          <w:p w14:paraId="29059A5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中标单位在收到中标通知书前，以中标价格为基准，计算标准和方法参照国家计委《招标代理服务费管理暂行办法》的通知（计价格[2002]1980号）下浮35%，由中标单位向新疆新世纪招标有限公司支付代理服务费。</w:t>
            </w:r>
          </w:p>
        </w:tc>
      </w:tr>
      <w:tr w14:paraId="622E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6AED01C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1520" w:type="dxa"/>
            <w:shd w:val="clear" w:color="auto" w:fill="auto"/>
            <w:vAlign w:val="center"/>
          </w:tcPr>
          <w:p w14:paraId="67EE7B5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付款方式</w:t>
            </w:r>
          </w:p>
        </w:tc>
        <w:tc>
          <w:tcPr>
            <w:tcW w:w="6963" w:type="dxa"/>
            <w:shd w:val="clear" w:color="auto" w:fill="auto"/>
            <w:vAlign w:val="center"/>
          </w:tcPr>
          <w:p w14:paraId="1A26CA0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付款币种：本次招标所述的项目资金均以人民币支付。</w:t>
            </w:r>
          </w:p>
          <w:p w14:paraId="6A57063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付款方式：最终付款方式以后期与甲方签订合同为准。</w:t>
            </w:r>
          </w:p>
        </w:tc>
      </w:tr>
      <w:tr w14:paraId="172A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auto"/>
            <w:vAlign w:val="center"/>
          </w:tcPr>
          <w:p w14:paraId="2938640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1520" w:type="dxa"/>
            <w:shd w:val="clear" w:color="auto" w:fill="auto"/>
            <w:vAlign w:val="center"/>
          </w:tcPr>
          <w:p w14:paraId="6FFDD98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c>
          <w:tcPr>
            <w:tcW w:w="6963" w:type="dxa"/>
            <w:shd w:val="clear" w:color="auto" w:fill="auto"/>
            <w:vAlign w:val="center"/>
          </w:tcPr>
          <w:p w14:paraId="316E1E9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本表内容如与后文内容不一致处，以本表为准。</w:t>
            </w:r>
          </w:p>
        </w:tc>
      </w:tr>
    </w:tbl>
    <w:p w14:paraId="3DBB3192">
      <w:pPr>
        <w:rPr>
          <w:rFonts w:ascii="仿宋" w:hAnsi="仿宋" w:eastAsia="仿宋" w:cs="仿宋"/>
          <w:b/>
          <w:sz w:val="24"/>
          <w:szCs w:val="24"/>
        </w:rPr>
      </w:pPr>
      <w:r>
        <w:rPr>
          <w:rFonts w:hint="eastAsia" w:ascii="仿宋" w:hAnsi="仿宋" w:eastAsia="仿宋" w:cs="仿宋"/>
          <w:b/>
          <w:sz w:val="24"/>
          <w:szCs w:val="24"/>
        </w:rPr>
        <w:br w:type="page"/>
      </w:r>
    </w:p>
    <w:p w14:paraId="0FC2EB41">
      <w:pPr>
        <w:spacing w:line="360" w:lineRule="auto"/>
        <w:jc w:val="center"/>
        <w:outlineLvl w:val="0"/>
        <w:rPr>
          <w:rFonts w:ascii="仿宋" w:hAnsi="仿宋" w:eastAsia="仿宋" w:cs="仿宋"/>
          <w:b/>
          <w:sz w:val="28"/>
          <w:szCs w:val="28"/>
        </w:rPr>
      </w:pPr>
      <w:bookmarkStart w:id="3" w:name="_Toc21391"/>
      <w:r>
        <w:rPr>
          <w:rFonts w:hint="eastAsia" w:ascii="仿宋" w:hAnsi="仿宋" w:eastAsia="仿宋" w:cs="仿宋"/>
          <w:b/>
          <w:sz w:val="28"/>
          <w:szCs w:val="28"/>
        </w:rPr>
        <w:t>第一章 投标人须知</w:t>
      </w:r>
      <w:bookmarkEnd w:id="3"/>
      <w:bookmarkStart w:id="4" w:name="_BookMark_2"/>
      <w:bookmarkEnd w:id="4"/>
    </w:p>
    <w:p w14:paraId="14DCF379">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5" w:name="_Toc3661"/>
      <w:bookmarkStart w:id="6" w:name="_Toc535592195"/>
      <w:r>
        <w:rPr>
          <w:rFonts w:hint="eastAsia" w:ascii="仿宋" w:hAnsi="仿宋" w:eastAsia="仿宋" w:cs="仿宋"/>
          <w:b/>
          <w:sz w:val="24"/>
          <w:szCs w:val="24"/>
        </w:rPr>
        <w:t>1．总则</w:t>
      </w:r>
      <w:bookmarkEnd w:id="5"/>
      <w:bookmarkEnd w:id="6"/>
    </w:p>
    <w:p w14:paraId="77FFE11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 招标项目概况</w:t>
      </w:r>
    </w:p>
    <w:p w14:paraId="16484A3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1.1.1项目名称：详见投标人须知前附表。</w:t>
      </w:r>
    </w:p>
    <w:p w14:paraId="0053D01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1.1.2项目编号：详见投标人须知前附表。</w:t>
      </w:r>
    </w:p>
    <w:p w14:paraId="0BE6B6A5">
      <w:pPr>
        <w:widowControl/>
        <w:snapToGrid w:val="0"/>
        <w:spacing w:line="360" w:lineRule="auto"/>
        <w:ind w:firstLine="480" w:firstLineChars="200"/>
      </w:pPr>
      <w:r>
        <w:rPr>
          <w:rFonts w:hint="eastAsia" w:ascii="仿宋" w:hAnsi="仿宋" w:eastAsia="仿宋" w:cs="仿宋"/>
          <w:kern w:val="0"/>
          <w:sz w:val="24"/>
          <w:szCs w:val="24"/>
        </w:rPr>
        <w:t>1.1.3标项名称：详见投标人须知前附表。</w:t>
      </w:r>
    </w:p>
    <w:p w14:paraId="32424BB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1.1.4采购人：详见投标人须知前附表。</w:t>
      </w:r>
    </w:p>
    <w:p w14:paraId="7809792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1.1.5采购代理机构：详见投标人须知前附表。</w:t>
      </w:r>
    </w:p>
    <w:p w14:paraId="3E918634">
      <w:pPr>
        <w:pStyle w:val="15"/>
        <w:ind w:firstLine="480" w:firstLineChars="200"/>
        <w:rPr>
          <w:rFonts w:ascii="仿宋" w:hAnsi="仿宋" w:eastAsia="仿宋" w:cs="仿宋"/>
          <w:szCs w:val="24"/>
        </w:rPr>
      </w:pPr>
      <w:r>
        <w:rPr>
          <w:rFonts w:hint="eastAsia" w:ascii="仿宋" w:hAnsi="仿宋" w:eastAsia="仿宋" w:cs="仿宋"/>
          <w:szCs w:val="24"/>
        </w:rPr>
        <w:t>1.1.6资金来源：详见投标人须知前附表。</w:t>
      </w:r>
    </w:p>
    <w:p w14:paraId="535193A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1.1.7采购预算金额：详见投标人须知前附表。</w:t>
      </w:r>
    </w:p>
    <w:p w14:paraId="31F5C6A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1.1.8服务周期：详见投标人须知前附表。</w:t>
      </w:r>
    </w:p>
    <w:p w14:paraId="1A3A895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1.2采购范围：详见投标人须知前附表。</w:t>
      </w:r>
    </w:p>
    <w:p w14:paraId="1B0FDD7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 采购方式和资格审查方式</w:t>
      </w:r>
    </w:p>
    <w:p w14:paraId="0ACF06B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1.3.1 采购方式：详见投标人须知前附表。</w:t>
      </w:r>
    </w:p>
    <w:p w14:paraId="15B6BF0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1.3.2 资格审查方式：详见投标人须知前附表。</w:t>
      </w:r>
    </w:p>
    <w:p w14:paraId="7C72B00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 评标办法及定标方法</w:t>
      </w:r>
    </w:p>
    <w:p w14:paraId="4880013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1.4.1 评标办法：详见投标人须知前附表。</w:t>
      </w:r>
    </w:p>
    <w:p w14:paraId="5D83CFB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1.4.2 定标方法：详见投标人须知前附表。</w:t>
      </w:r>
    </w:p>
    <w:p w14:paraId="2A1B24C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 投标人资格条件</w:t>
      </w:r>
    </w:p>
    <w:p w14:paraId="2549D7F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1.5.1 投标人应具备承担本招标项目的资格条件，具体要求详见投标人须知前附表。</w:t>
      </w:r>
    </w:p>
    <w:p w14:paraId="5C927D9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1.5.2 投标人须知前附表规定接受联合体投标的，除应符合本章第1.5.1款和投标人须知前附表的要求外，还应遵守以下规定：</w:t>
      </w:r>
    </w:p>
    <w:p w14:paraId="013CD3E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（1）联合体各方应按招标文件提供的格式签订联合体协议书，明确联合体牵头人和各方权利义务；</w:t>
      </w:r>
    </w:p>
    <w:p w14:paraId="4E7D06A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（2）联合体各方不得再以自己名义单独或参加其他联合体在本招标项目中投标。</w:t>
      </w:r>
    </w:p>
    <w:p w14:paraId="1DECE6C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1.5.3 投标人不得存在下列情形之一，否则相关投标均应被否决：</w:t>
      </w:r>
    </w:p>
    <w:p w14:paraId="76477E1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（1）与采购人存在利害关系可能影响招标公正性的法人、其他组织或者个人的；</w:t>
      </w:r>
    </w:p>
    <w:p w14:paraId="5C5714F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（2）单位负责人为同一人或者存在控股、管理关系的不同单位，参加同一标段投标或者未划分标段的同一招标项目投标的；</w:t>
      </w:r>
    </w:p>
    <w:p w14:paraId="3D49FF6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（3）法定代表人为同一个人的两个及两个以上法人，母公司、全资子公司及其控股公司，参加同一标段投标或者未划分标段的同一招标项目投标的；</w:t>
      </w:r>
    </w:p>
    <w:p w14:paraId="6C46415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（4）被责令停业的； </w:t>
      </w:r>
    </w:p>
    <w:p w14:paraId="38D1FAA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（5）被暂停或取消投标资格的； </w:t>
      </w:r>
    </w:p>
    <w:p w14:paraId="026782B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（6）财产被接管或冻结的；</w:t>
      </w:r>
    </w:p>
    <w:p w14:paraId="6EA96D9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（7）在最近三年内有骗取中标或严重违约或重大质量问题的；</w:t>
      </w:r>
    </w:p>
    <w:p w14:paraId="2E0EE1D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（8）法律规定的其他情形。</w:t>
      </w:r>
      <w:bookmarkStart w:id="7" w:name="_BookMark_5"/>
      <w:bookmarkEnd w:id="7"/>
    </w:p>
    <w:p w14:paraId="021D586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1.6费用承担</w:t>
      </w:r>
    </w:p>
    <w:p w14:paraId="1F2D324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1.6.1招标文件费：详见投标人须知前附表。</w:t>
      </w:r>
    </w:p>
    <w:p w14:paraId="6CD916D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1.6.2投标人应承担其编制投标文件与递交投标文件所涉及的一切费用，无论投标结果如何，采购人及采购代理机构对上述费用不作任何补偿。采购代理咨询费由中标人支付。</w:t>
      </w:r>
    </w:p>
    <w:p w14:paraId="2545DAD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1.7投标保证金：详见投标人须知前附表。</w:t>
      </w:r>
    </w:p>
    <w:p w14:paraId="0DC5BD8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1.8踏勘现场</w:t>
      </w:r>
    </w:p>
    <w:p w14:paraId="597F8FE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1.8.1 投标人须知前附表规定组织踏勘现场的，采购人或采购代理机构按投标人须知前附表规定的时间、地点组织投标人踏勘项目现场。 </w:t>
      </w:r>
    </w:p>
    <w:p w14:paraId="5EF40E5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1.8.2 投标人踏勘现场发生的费用自理。</w:t>
      </w:r>
    </w:p>
    <w:p w14:paraId="10CF300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1.8.3 除采购人或采购代理机构的原因外，投标人自行负责在踏勘现场中所发生的人员伤亡和财产损失。</w:t>
      </w:r>
    </w:p>
    <w:p w14:paraId="39BAB5A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1.8.4 采购人或采购代理机构在踏勘现场中介绍的项目有关情况，供投标人在编制投标文件时参考，采购人或采购代理机构不对投标人据此作出的判断和决策负责。</w:t>
      </w:r>
    </w:p>
    <w:p w14:paraId="0658B44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1.9 是否允许联合体投标：详见投标人须知前附表。</w:t>
      </w:r>
    </w:p>
    <w:p w14:paraId="10E5A54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 招标答疑会和招标澄清答疑要求</w:t>
      </w:r>
    </w:p>
    <w:p w14:paraId="42E199C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1.10.1 投标人若有疑问，应按投标人须知前附表规定的时间、方式向采购人或采购代理机构提出，要求采购人对招标文件予以澄清。</w:t>
      </w:r>
    </w:p>
    <w:p w14:paraId="255BE6A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1.10.2 采购人或采购代理机构将按照投标人须知前附表规定的时间方式对投标人的疑问作出统一的解答。</w:t>
      </w:r>
    </w:p>
    <w:p w14:paraId="031C5D7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1.11投标文件：详见投标人须知前附表。</w:t>
      </w:r>
    </w:p>
    <w:p w14:paraId="08D7C81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1.12投标文件递交：详见投标人须知前附表。</w:t>
      </w:r>
    </w:p>
    <w:p w14:paraId="7DC6210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1.13开标：详见投标人须知前附表。</w:t>
      </w:r>
    </w:p>
    <w:p w14:paraId="1ABAE2C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1.14投标有效期：详见投标人须知前附表。</w:t>
      </w:r>
    </w:p>
    <w:p w14:paraId="2F8E581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1.15公告发布媒体：详见投标人须知前附表。</w:t>
      </w:r>
    </w:p>
    <w:p w14:paraId="1F22FB3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1.16履约保证金：详见投标人须知前附表。</w:t>
      </w:r>
    </w:p>
    <w:p w14:paraId="00AE3BA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1.17中小企业政策说明：详见投标人须知前附表。</w:t>
      </w:r>
    </w:p>
    <w:p w14:paraId="6077C0E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1.18</w:t>
      </w:r>
      <w:r>
        <w:rPr>
          <w:rFonts w:hint="eastAsia" w:ascii="仿宋" w:hAnsi="仿宋" w:eastAsia="仿宋" w:cs="仿宋"/>
          <w:color w:val="000000"/>
          <w:sz w:val="24"/>
          <w:szCs w:val="24"/>
        </w:rPr>
        <w:t>招标代理费</w:t>
      </w:r>
      <w:r>
        <w:rPr>
          <w:rFonts w:hint="eastAsia" w:ascii="仿宋" w:hAnsi="仿宋" w:eastAsia="仿宋" w:cs="仿宋"/>
          <w:kern w:val="0"/>
          <w:sz w:val="24"/>
          <w:szCs w:val="24"/>
        </w:rPr>
        <w:t>：详见投标人须知前附表。</w:t>
      </w:r>
    </w:p>
    <w:p w14:paraId="3EACCA3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1.19</w:t>
      </w:r>
      <w:r>
        <w:rPr>
          <w:rFonts w:hint="eastAsia" w:ascii="仿宋" w:hAnsi="仿宋" w:eastAsia="仿宋" w:cs="仿宋"/>
          <w:color w:val="000000"/>
          <w:sz w:val="24"/>
          <w:szCs w:val="24"/>
        </w:rPr>
        <w:t>付款方式</w:t>
      </w:r>
      <w:r>
        <w:rPr>
          <w:rFonts w:hint="eastAsia" w:ascii="仿宋" w:hAnsi="仿宋" w:eastAsia="仿宋" w:cs="仿宋"/>
          <w:kern w:val="0"/>
          <w:sz w:val="24"/>
          <w:szCs w:val="24"/>
        </w:rPr>
        <w:t>：详见投标人须知前附表。</w:t>
      </w:r>
    </w:p>
    <w:p w14:paraId="723A440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1.20保密</w:t>
      </w:r>
    </w:p>
    <w:p w14:paraId="12B5F1F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参与招标投标活动的各方应当对招标文件和投标文件中的商业和技术等秘密保密，否则应当承担相应的法律责任。</w:t>
      </w:r>
    </w:p>
    <w:p w14:paraId="1172A32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1.21语言文字</w:t>
      </w:r>
    </w:p>
    <w:p w14:paraId="450DED2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除专用术语外，与招标投标有关的语言均应当使用中文。必要时专用术语应附有中文注释。</w:t>
      </w:r>
    </w:p>
    <w:p w14:paraId="5539642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1.22计量单位</w:t>
      </w:r>
    </w:p>
    <w:p w14:paraId="3E1329D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所有计量均采用中华人民共和国法定计量单位。</w:t>
      </w:r>
    </w:p>
    <w:p w14:paraId="7888EB6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1.23偏离</w:t>
      </w:r>
    </w:p>
    <w:p w14:paraId="42FD50A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投标文件与招标文件某些要求产生偏离的，偏离应当符合招标文件规定的偏离范围和幅度。</w:t>
      </w:r>
    </w:p>
    <w:p w14:paraId="78C297B3">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8" w:name="_Toc27298"/>
      <w:bookmarkStart w:id="9" w:name="_Toc535592196"/>
      <w:r>
        <w:rPr>
          <w:rFonts w:hint="eastAsia" w:ascii="仿宋" w:hAnsi="仿宋" w:eastAsia="仿宋" w:cs="仿宋"/>
          <w:b/>
          <w:sz w:val="24"/>
          <w:szCs w:val="24"/>
        </w:rPr>
        <w:t>2．招标文件</w:t>
      </w:r>
      <w:bookmarkEnd w:id="8"/>
      <w:bookmarkEnd w:id="9"/>
    </w:p>
    <w:p w14:paraId="11A2F50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2.1 招标文件的组成</w:t>
      </w:r>
    </w:p>
    <w:p w14:paraId="04FC6F8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（1）投标人须知；</w:t>
      </w:r>
    </w:p>
    <w:p w14:paraId="30299B5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（2）评标办法；</w:t>
      </w:r>
    </w:p>
    <w:p w14:paraId="18A23E4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（3）合同条款；</w:t>
      </w:r>
    </w:p>
    <w:p w14:paraId="3FBE8DC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（4）服务标准和要求；</w:t>
      </w:r>
    </w:p>
    <w:p w14:paraId="1B85219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（5）投标文件格式；</w:t>
      </w:r>
    </w:p>
    <w:p w14:paraId="4C8EDDE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（6）补充条款。</w:t>
      </w:r>
    </w:p>
    <w:p w14:paraId="693BDBB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根据本章第2.4款和第2.5款对招标文件所作的澄清、修改，构成招标文件的组成部分。</w:t>
      </w:r>
    </w:p>
    <w:p w14:paraId="62BD350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2.2 招标文件的获取</w:t>
      </w:r>
    </w:p>
    <w:p w14:paraId="7A63D4D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凡有意参加并符合投标人须知前附表“投标人资格条件和能力”的投标人，均可在采购代理机构获取招标文件。</w:t>
      </w:r>
    </w:p>
    <w:p w14:paraId="4ED61C9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 招标文件的澄清</w:t>
      </w:r>
    </w:p>
    <w:p w14:paraId="78765D9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5D6C66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2.3.2 招标文件的澄清将按照投标人须知前附表规定的时间、方式发布，但不指明澄清问题的来源。</w:t>
      </w:r>
    </w:p>
    <w:p w14:paraId="0E3DB32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2.4招标文件的修改</w:t>
      </w:r>
    </w:p>
    <w:p w14:paraId="41D6033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2.4.1 招标文件的修改将按照投标人须知前附表规定的时间、方式发布，但不指明澄清问题的来源。</w:t>
      </w:r>
    </w:p>
    <w:p w14:paraId="7584D6F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2.4.2 在投标人须知前附表规定的截止时间前，无论出于何种原因，采购代理机构和采购人可主动地或在解答潜在投标人提出的澄清问题时对招标文件进行修改。</w:t>
      </w:r>
    </w:p>
    <w:p w14:paraId="3B27EAE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2.4.3 招标文件的修改部分是招标文件的组成部分对投标人具有约束力。</w:t>
      </w:r>
    </w:p>
    <w:p w14:paraId="7EFFA69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2.4.4 为使投标人准备投标时有充分时间对招标文件的修改部分进行研究，采购人可适当推迟投标截止期。</w:t>
      </w:r>
    </w:p>
    <w:p w14:paraId="6FF40D4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2.4.5 当采购人发放的招标文件及招标文件的答疑文件、修改文件、补充文件前后不一致，发生矛盾情况时，以最后发出的为准。</w:t>
      </w:r>
    </w:p>
    <w:p w14:paraId="24EECA2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2.4.6 如果招标文件各个组成部分之间出现歧义或相互矛盾，或任何文件中呈现明显的或不符合逻辑的错误等，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705E4B4">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0" w:name="_BookMark_6"/>
      <w:bookmarkEnd w:id="10"/>
      <w:bookmarkStart w:id="11" w:name="_Toc5223"/>
      <w:bookmarkStart w:id="12" w:name="_Toc535592197"/>
      <w:r>
        <w:rPr>
          <w:rFonts w:hint="eastAsia" w:ascii="仿宋" w:hAnsi="仿宋" w:eastAsia="仿宋" w:cs="仿宋"/>
          <w:b/>
          <w:sz w:val="24"/>
          <w:szCs w:val="24"/>
        </w:rPr>
        <w:t>3．投标文件</w:t>
      </w:r>
      <w:bookmarkEnd w:id="11"/>
      <w:bookmarkEnd w:id="12"/>
    </w:p>
    <w:p w14:paraId="5E33423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3.1 投标文件的组成</w:t>
      </w:r>
    </w:p>
    <w:p w14:paraId="1B120D0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3.1.1投标文件应包括下列内容：</w:t>
      </w:r>
    </w:p>
    <w:p w14:paraId="383E99B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一、投标函</w:t>
      </w:r>
    </w:p>
    <w:p w14:paraId="6A41D18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二、开标一览表</w:t>
      </w:r>
    </w:p>
    <w:p w14:paraId="1ADC5AB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三、投标价格明细表</w:t>
      </w:r>
    </w:p>
    <w:p w14:paraId="23C9272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四、商务条款偏离表</w:t>
      </w:r>
    </w:p>
    <w:p w14:paraId="480253C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五、技术条款偏离表</w:t>
      </w:r>
    </w:p>
    <w:p w14:paraId="62369A0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六、法定代表人身份证明书</w:t>
      </w:r>
    </w:p>
    <w:p w14:paraId="5A8960C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七、法定代表人授权委托书</w:t>
      </w:r>
    </w:p>
    <w:p w14:paraId="36F7E49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八、投标人基本情况</w:t>
      </w:r>
    </w:p>
    <w:p w14:paraId="1DFE6B2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8.1、法人或者其他组织的营业执照等证明文件，自然人的身份证明</w:t>
      </w:r>
    </w:p>
    <w:p w14:paraId="06C6234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8.2、财务状况报告，依法缴纳税收和社会保障资金的相关材料</w:t>
      </w:r>
    </w:p>
    <w:p w14:paraId="4DB6551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8.3、具备履行合同所必需的设备和专业技术能力的证明材料</w:t>
      </w:r>
    </w:p>
    <w:p w14:paraId="744E505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8.4、参加政府采购活动前3年内在经营活动中没有重大违法记录的书面声明</w:t>
      </w:r>
    </w:p>
    <w:p w14:paraId="05467F1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8.5、具备法律、行政法规规定的其他条件的证明材料</w:t>
      </w:r>
    </w:p>
    <w:p w14:paraId="0C5E334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九、投标人近三年类似项目业绩表</w:t>
      </w:r>
    </w:p>
    <w:p w14:paraId="20364A2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十、项目负责人简历表</w:t>
      </w:r>
    </w:p>
    <w:p w14:paraId="1ADA014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十一、拟派本项目服务人员情况表</w:t>
      </w:r>
    </w:p>
    <w:p w14:paraId="5F4A12E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十二、服务方案</w:t>
      </w:r>
    </w:p>
    <w:p w14:paraId="7971AE9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十三、其他需要提交的资料</w:t>
      </w:r>
    </w:p>
    <w:p w14:paraId="5F38BBB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3.1.2 投标人须知前附表规定不接受联合体投标的，或投标人没有组成联合体的，投标文件不包括本章所指的联合体协议书。 </w:t>
      </w:r>
    </w:p>
    <w:p w14:paraId="76453DF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 投标价格</w:t>
      </w:r>
    </w:p>
    <w:p w14:paraId="643CABB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F421CF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 投标人的投标价格不能超出本项目采购预算金额。</w:t>
      </w:r>
    </w:p>
    <w:p w14:paraId="0CB104F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 投标有效期</w:t>
      </w:r>
    </w:p>
    <w:p w14:paraId="1927C03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3.3.1 在投标人须知前附表规定的投标有效期内，投标人不得要求撤销或修改其投标文件。</w:t>
      </w:r>
    </w:p>
    <w:p w14:paraId="58F6763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462AD7B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3.3.3 投标保证金的有效期与投标有效期一致。</w:t>
      </w:r>
    </w:p>
    <w:p w14:paraId="5A0C98E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 投标保证金</w:t>
      </w:r>
    </w:p>
    <w:p w14:paraId="1064B1B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C9C54EE">
      <w:pPr>
        <w:snapToGrid w:val="0"/>
        <w:spacing w:line="384" w:lineRule="auto"/>
        <w:ind w:firstLine="360" w:firstLineChars="150"/>
        <w:rPr>
          <w:rFonts w:ascii="仿宋" w:hAnsi="仿宋" w:eastAsia="仿宋" w:cs="仿宋"/>
          <w:sz w:val="24"/>
          <w:szCs w:val="24"/>
        </w:rPr>
      </w:pPr>
      <w:r>
        <w:rPr>
          <w:rFonts w:hint="eastAsia" w:ascii="仿宋" w:hAnsi="仿宋" w:eastAsia="仿宋" w:cs="仿宋"/>
          <w:kern w:val="0"/>
          <w:sz w:val="24"/>
          <w:szCs w:val="24"/>
        </w:rPr>
        <w:t>3.4.2</w:t>
      </w:r>
      <w:r>
        <w:rPr>
          <w:rFonts w:hint="eastAsia" w:ascii="仿宋" w:hAnsi="仿宋" w:eastAsia="仿宋" w:cs="仿宋"/>
          <w:sz w:val="24"/>
          <w:szCs w:val="24"/>
        </w:rPr>
        <w:t>投标保证金以支票、汇票、本票或者金融机构、担保机构出具的保函等非现金形式提交至采购代理机构。</w:t>
      </w:r>
    </w:p>
    <w:p w14:paraId="68D66459">
      <w:pPr>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采购代理机构名称：新疆新世纪招标有限公司</w:t>
      </w:r>
    </w:p>
    <w:p w14:paraId="1AA6427C">
      <w:pPr>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纳税人识别号：91650100726988855F</w:t>
      </w:r>
    </w:p>
    <w:p w14:paraId="41682CEE">
      <w:pPr>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开户行：中国农业银行乌鲁木齐新民西街支行</w:t>
      </w:r>
    </w:p>
    <w:p w14:paraId="6A1DB1C5">
      <w:pPr>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账号：30014701040000595</w:t>
      </w:r>
    </w:p>
    <w:p w14:paraId="338983FC">
      <w:pPr>
        <w:snapToGrid w:val="0"/>
        <w:spacing w:line="384" w:lineRule="auto"/>
        <w:ind w:firstLine="360" w:firstLineChars="150"/>
        <w:rPr>
          <w:rFonts w:ascii="仿宋" w:hAnsi="仿宋" w:eastAsia="仿宋" w:cs="仿宋"/>
          <w:kern w:val="0"/>
          <w:sz w:val="24"/>
          <w:szCs w:val="24"/>
        </w:rPr>
      </w:pPr>
      <w:r>
        <w:rPr>
          <w:rFonts w:hint="eastAsia" w:ascii="仿宋" w:hAnsi="仿宋" w:eastAsia="仿宋" w:cs="仿宋"/>
          <w:kern w:val="0"/>
          <w:sz w:val="24"/>
          <w:szCs w:val="24"/>
        </w:rPr>
        <w:t>3.4.3 投标保证金是为了保护采购人免遭因投标人的行为而蒙受损失。采购人在因投标人的行为受到损害时可根据相关法律规定没收投标人的投标保证金。</w:t>
      </w:r>
    </w:p>
    <w:p w14:paraId="12A01D5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3.4.4 采购人或者采购代理机构应当自中标通知书发出之日起5个工作日内退还未中标人的投标保证金，自采购合同签订之日起5个工作日内退还中标人的投标保证金。</w:t>
      </w:r>
    </w:p>
    <w:p w14:paraId="6285DD6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3.4.5投标保证金有效期与投标有效期一致。</w:t>
      </w:r>
    </w:p>
    <w:p w14:paraId="3673976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3.4.6 有下列情形之一的，投标保证金不予退还：</w:t>
      </w:r>
    </w:p>
    <w:p w14:paraId="2E8FCB9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（1）投标人在规定的投标有效期内撤销或修改其投标文件的；</w:t>
      </w:r>
    </w:p>
    <w:p w14:paraId="774436F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（2）中标人在收到中标通知书后，无正当理由拒签合同协议书或在签订合同时提出附加条件或者更改合同实质性内容的；</w:t>
      </w:r>
    </w:p>
    <w:p w14:paraId="1CFE00B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（3）未按招标文件规定提交履约保证金的。</w:t>
      </w:r>
    </w:p>
    <w:p w14:paraId="03AC398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 投标文件的编制</w:t>
      </w:r>
    </w:p>
    <w:p w14:paraId="67480FB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3.5.1投标文件应按第五章“投标文件格式”进行编写，如有必要，可以增加附页，作为投标文件的组成部分。</w:t>
      </w:r>
    </w:p>
    <w:p w14:paraId="208F3FF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3.5.2投标文件应当对招标文件有关采购范围、技术与服务要求等实质性内容做出响应。</w:t>
      </w:r>
    </w:p>
    <w:p w14:paraId="2CA6069C">
      <w:pPr>
        <w:widowControl/>
        <w:snapToGrid w:val="0"/>
        <w:spacing w:line="360" w:lineRule="auto"/>
        <w:ind w:firstLine="480" w:firstLineChars="200"/>
        <w:rPr>
          <w:rFonts w:ascii="仿宋" w:hAnsi="仿宋" w:eastAsia="仿宋" w:cs="仿宋"/>
          <w:kern w:val="0"/>
          <w:sz w:val="24"/>
          <w:szCs w:val="24"/>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3B99DAE7">
      <w:pPr>
        <w:widowControl/>
        <w:snapToGrid w:val="0"/>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3.5.4电子投标文件须使用投标人电子公章及法定代表人的电子签名。</w:t>
      </w:r>
    </w:p>
    <w:p w14:paraId="4BF37B11">
      <w:pPr>
        <w:widowControl/>
        <w:snapToGrid w:val="0"/>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shd w:val="clear" w:color="auto" w:fill="FFFFFF" w:themeFill="background1"/>
        </w:rPr>
        <w:t>。</w:t>
      </w:r>
    </w:p>
    <w:p w14:paraId="0001EE53">
      <w:pPr>
        <w:tabs>
          <w:tab w:val="center" w:pos="4832"/>
          <w:tab w:val="left" w:pos="7140"/>
        </w:tabs>
        <w:spacing w:line="360" w:lineRule="auto"/>
        <w:ind w:firstLine="470" w:firstLineChars="196"/>
        <w:jc w:val="left"/>
        <w:rPr>
          <w:rFonts w:ascii="仿宋" w:hAnsi="仿宋" w:eastAsia="仿宋" w:cs="仿宋"/>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3.5.6</w:t>
      </w:r>
      <w:r>
        <w:rPr>
          <w:rFonts w:hint="eastAsia" w:ascii="仿宋" w:hAnsi="仿宋" w:eastAsia="仿宋" w:cs="仿宋"/>
          <w:sz w:val="24"/>
          <w:szCs w:val="24"/>
          <w:shd w:val="clear" w:color="auto" w:fill="FFFFFF" w:themeFill="background1"/>
        </w:rPr>
        <w:t>未按招标文件要求签署和盖章的投标文件，其投标将被认定为投标无效。</w:t>
      </w:r>
    </w:p>
    <w:p w14:paraId="35E6D140">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5" w:name="_Toc28025"/>
      <w:r>
        <w:rPr>
          <w:rFonts w:hint="eastAsia" w:ascii="仿宋" w:hAnsi="仿宋" w:eastAsia="仿宋" w:cs="仿宋"/>
          <w:b/>
          <w:sz w:val="24"/>
          <w:szCs w:val="24"/>
        </w:rPr>
        <w:t>4．投标</w:t>
      </w:r>
      <w:bookmarkEnd w:id="14"/>
      <w:bookmarkEnd w:id="15"/>
    </w:p>
    <w:p w14:paraId="3A1F2F0E">
      <w:pPr>
        <w:tabs>
          <w:tab w:val="center" w:pos="4832"/>
          <w:tab w:val="left" w:pos="7140"/>
        </w:tabs>
        <w:spacing w:line="360" w:lineRule="auto"/>
        <w:ind w:firstLine="470" w:firstLineChars="196"/>
        <w:jc w:val="left"/>
        <w:rPr>
          <w:rFonts w:ascii="仿宋" w:hAnsi="仿宋" w:eastAsia="仿宋" w:cs="仿宋"/>
          <w:bCs/>
          <w:sz w:val="24"/>
          <w:szCs w:val="24"/>
        </w:rPr>
      </w:pPr>
      <w:bookmarkStart w:id="16" w:name="_BookMark_8"/>
      <w:bookmarkEnd w:id="16"/>
      <w:bookmarkStart w:id="17" w:name="_Toc535592199"/>
      <w:r>
        <w:rPr>
          <w:rFonts w:hint="eastAsia" w:ascii="仿宋" w:hAnsi="仿宋" w:eastAsia="仿宋" w:cs="仿宋"/>
          <w:bCs/>
          <w:sz w:val="24"/>
          <w:szCs w:val="24"/>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AC87AF0">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13848621">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4.3投标文件的递交</w:t>
      </w:r>
    </w:p>
    <w:p w14:paraId="79AEC6EB">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4.3.1加密的电子投标文件应在投标文件递交截止时间前通过政采云平台上传完成。逾期上传或者未上传指定地点的投标文件，采购人不予受理。</w:t>
      </w:r>
    </w:p>
    <w:p w14:paraId="7BF563D5">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4.3.2采购人事先约定延长投标文件递交截止时间的，采购人与投标人以前的投标截止期方面的全部权利、责任和义务，将适用延长至新的投标截止期。</w:t>
      </w:r>
    </w:p>
    <w:p w14:paraId="37BFE8F8">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4.3.3投标人或其投标文件存在下列情形之一的，采购人对其投标文件不予受理：</w:t>
      </w:r>
    </w:p>
    <w:p w14:paraId="753B0E28">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（1）逾期上传的投标文件；</w:t>
      </w:r>
    </w:p>
    <w:p w14:paraId="17A51A95">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（2）未按招标文件要求加密的投标文件。</w:t>
      </w:r>
    </w:p>
    <w:p w14:paraId="4C5A064A">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4.4投标文件的修改与撤回</w:t>
      </w:r>
    </w:p>
    <w:p w14:paraId="67A2B2BC">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EADB90E">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4.5投标文件格式</w:t>
      </w:r>
    </w:p>
    <w:p w14:paraId="6D859397">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4.5.1投标文件格式见第五章。</w:t>
      </w:r>
    </w:p>
    <w:p w14:paraId="0D0B9519">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4.5.2投标人应使用本招标文件后面提供的投标文件格式填写，如不够用时，投标人可按同样格式自行编制和填补，如果本招标文件未提供格式的，投标人可自行编制。</w:t>
      </w:r>
    </w:p>
    <w:p w14:paraId="2888743C">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8" w:name="_Toc26385"/>
      <w:r>
        <w:rPr>
          <w:rFonts w:hint="eastAsia" w:ascii="仿宋" w:hAnsi="仿宋" w:eastAsia="仿宋" w:cs="仿宋"/>
          <w:b/>
          <w:sz w:val="24"/>
          <w:szCs w:val="24"/>
        </w:rPr>
        <w:t>5．开标</w:t>
      </w:r>
      <w:bookmarkEnd w:id="17"/>
      <w:bookmarkEnd w:id="18"/>
    </w:p>
    <w:p w14:paraId="3906934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5.1 开标时间和地点</w:t>
      </w:r>
    </w:p>
    <w:p w14:paraId="1548206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采购人在投标人须知前附表规定的时间、地点公开开标，并邀请所有投标人的法定代表人或其授权委托人参加。</w:t>
      </w:r>
    </w:p>
    <w:p w14:paraId="6C99D3A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5.2 开标程序</w:t>
      </w:r>
    </w:p>
    <w:p w14:paraId="51BFC50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按下列程序进行开标：</w:t>
      </w:r>
    </w:p>
    <w:p w14:paraId="635DE2B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（1）投标人解密投标文件</w:t>
      </w:r>
    </w:p>
    <w:p w14:paraId="30749C2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（2）开启报价文件</w:t>
      </w:r>
    </w:p>
    <w:p w14:paraId="67A2D78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（3）投标人线上签字确认</w:t>
      </w:r>
    </w:p>
    <w:p w14:paraId="74045D2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（4）开标结束</w:t>
      </w:r>
    </w:p>
    <w:p w14:paraId="528A4717">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9" w:name="_BookMark_9"/>
      <w:bookmarkEnd w:id="19"/>
      <w:bookmarkStart w:id="20" w:name="_Toc5139"/>
      <w:bookmarkStart w:id="21" w:name="_Toc535592200"/>
      <w:r>
        <w:rPr>
          <w:rFonts w:hint="eastAsia" w:ascii="仿宋" w:hAnsi="仿宋" w:eastAsia="仿宋" w:cs="仿宋"/>
          <w:b/>
          <w:sz w:val="24"/>
          <w:szCs w:val="24"/>
        </w:rPr>
        <w:t>6．评标</w:t>
      </w:r>
      <w:bookmarkEnd w:id="20"/>
      <w:bookmarkEnd w:id="21"/>
    </w:p>
    <w:p w14:paraId="70F96C2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 评标小组</w:t>
      </w:r>
    </w:p>
    <w:p w14:paraId="4D2AE41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6.1.1 评标由采购人按照《政府采购评标专家管理办法》财库〔2016〕198号，依法组建的评标小组负责。评标小组由采购人熟悉相关业务的代表，以及有关技术、经济等方面的专家组成。</w:t>
      </w:r>
    </w:p>
    <w:p w14:paraId="247C112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6.1.2 评标小组成员有下列情形之一的，应当回避：</w:t>
      </w:r>
    </w:p>
    <w:p w14:paraId="761085C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（1）参加采购活动前三年内,与投标人存在劳动关系,或者担任过投标人的董事、监事,或者是投标人的控股股东或实际控制人。</w:t>
      </w:r>
    </w:p>
    <w:p w14:paraId="07A35E2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（2）与投标人的法定代表人或者负责人有夫妻、直系血亲、三代以内旁系血亲或者近姻亲关系。</w:t>
      </w:r>
    </w:p>
    <w:p w14:paraId="57AE17E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（3）与投标人有其他可能影响政府采购活动公平、公正进行的关系。</w:t>
      </w:r>
    </w:p>
    <w:p w14:paraId="143635D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6.2 评标原则 </w:t>
      </w:r>
    </w:p>
    <w:p w14:paraId="5E98E99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评标活动遵循公平、公正、科学和择优的原则。</w:t>
      </w:r>
    </w:p>
    <w:p w14:paraId="7B43178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6.3 评标</w:t>
      </w:r>
    </w:p>
    <w:p w14:paraId="047F73E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评标小组按照招标文件中规定的方法、评标因素、标准和程序对投标文件进行评标。</w:t>
      </w:r>
    </w:p>
    <w:p w14:paraId="6BAFB2C3">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22" w:name="_BookMark_10"/>
      <w:bookmarkEnd w:id="22"/>
      <w:bookmarkStart w:id="23" w:name="_Toc535592201"/>
      <w:bookmarkStart w:id="24" w:name="_Toc1820"/>
      <w:r>
        <w:rPr>
          <w:rFonts w:hint="eastAsia" w:ascii="仿宋" w:hAnsi="仿宋" w:eastAsia="仿宋" w:cs="仿宋"/>
          <w:b/>
          <w:sz w:val="24"/>
          <w:szCs w:val="24"/>
        </w:rPr>
        <w:t>7．定标及合同授予</w:t>
      </w:r>
      <w:bookmarkEnd w:id="23"/>
      <w:bookmarkEnd w:id="24"/>
    </w:p>
    <w:p w14:paraId="784BD8F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 定标方法</w:t>
      </w:r>
    </w:p>
    <w:p w14:paraId="0689B37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6A95EB1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0894EF2E">
      <w:pPr>
        <w:widowControl/>
        <w:snapToGrid w:val="0"/>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7.2中标结果公告</w:t>
      </w:r>
    </w:p>
    <w:p w14:paraId="39CD272D">
      <w:pPr>
        <w:widowControl/>
        <w:snapToGrid w:val="0"/>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在公告中标结果的同时，采购人或者采购代理机构向中标人发出中标通知书；对未通过资格审查的投标人，应当告知其未通过的原因</w:t>
      </w:r>
    </w:p>
    <w:p w14:paraId="3207268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 履约保证金</w:t>
      </w:r>
    </w:p>
    <w:p w14:paraId="1187EF6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7.3.1 在签订合同前，中标人应按投标人须知前附表规定的金额、形式向采购人提交履约保证金。联合体中标的，其履约保证金由牵头人提交，并应符合投标人须知前附表的规定。</w:t>
      </w:r>
    </w:p>
    <w:p w14:paraId="363D150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7.3.2 中标人不能按要求提交履约保证金的，视为放弃中标，其投标保证金不予退还；给采购人造成的损失超过投标保证金数额的，中标人还应当对超过部分予以赔偿。</w:t>
      </w:r>
    </w:p>
    <w:p w14:paraId="65EF388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 签订合同</w:t>
      </w:r>
    </w:p>
    <w:p w14:paraId="60B2FED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C778AD8">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7.4.2发出中标通知书后，采购人无正当理由拒签合同的，给中标人造成损失的，还应当赔偿中标人损失。</w:t>
      </w:r>
    </w:p>
    <w:p w14:paraId="75EB010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7.4.3发出中标通知书后，中标人无正当理由拒签合同的，采购人取消其中标资格，其投标保证金不予退还；给采购人造成的损失超过投标保证金数额的，中标人还应当对超过部分予以赔偿。</w:t>
      </w:r>
    </w:p>
    <w:p w14:paraId="2CC4FDC0">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25" w:name="_BookMark_11"/>
      <w:bookmarkEnd w:id="25"/>
      <w:bookmarkStart w:id="26" w:name="_Toc10630"/>
      <w:bookmarkStart w:id="27" w:name="_Toc535592202"/>
      <w:r>
        <w:rPr>
          <w:rFonts w:hint="eastAsia" w:ascii="仿宋" w:hAnsi="仿宋" w:eastAsia="仿宋" w:cs="仿宋"/>
          <w:b/>
          <w:sz w:val="24"/>
          <w:szCs w:val="24"/>
        </w:rPr>
        <w:t>8．纪律和监督</w:t>
      </w:r>
      <w:bookmarkEnd w:id="26"/>
      <w:bookmarkEnd w:id="27"/>
    </w:p>
    <w:p w14:paraId="0E4D728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8.1 对采购人的纪律要求</w:t>
      </w:r>
    </w:p>
    <w:p w14:paraId="484F075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采购人不得泄漏招标投标活动中应当保密的情况和资料，不得与投标人串通损害国家利益、社会公共利益或者他人合法权益。</w:t>
      </w:r>
    </w:p>
    <w:p w14:paraId="48B2DE0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8.2 对投标人的纪律要求</w:t>
      </w:r>
    </w:p>
    <w:p w14:paraId="3CEFD52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14:paraId="04F2B96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8.3 对评标小组成员的纪律要求</w:t>
      </w:r>
    </w:p>
    <w:p w14:paraId="270973F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成员不得收受他人的财物或者其他好处，不得向他人透露对投标文件的评标和比较、中标候选人的推荐情况以及评标有关的其他情况。在评标活动中，评标小组成员不得擅离职守，影响评标程序正常进行，不得使用评标办法没有规定的评标因素和标准进行评标。</w:t>
      </w:r>
    </w:p>
    <w:p w14:paraId="11DEC2C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8.4 对与评标活动有关的工作人员的纪律要求</w:t>
      </w:r>
    </w:p>
    <w:p w14:paraId="597AAB9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BA4F11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8.5 监督</w:t>
      </w:r>
    </w:p>
    <w:p w14:paraId="08204A26">
      <w:pPr>
        <w:widowControl/>
        <w:snapToGrid w:val="0"/>
        <w:spacing w:line="360" w:lineRule="auto"/>
        <w:ind w:firstLine="480" w:firstLineChars="200"/>
        <w:rPr>
          <w:rFonts w:ascii="仿宋" w:hAnsi="仿宋" w:eastAsia="仿宋" w:cs="仿宋"/>
          <w:bCs/>
          <w:kern w:val="0"/>
          <w:sz w:val="24"/>
          <w:szCs w:val="24"/>
        </w:rPr>
      </w:pPr>
      <w:r>
        <w:rPr>
          <w:rFonts w:hint="eastAsia" w:ascii="仿宋" w:hAnsi="仿宋" w:eastAsia="仿宋" w:cs="仿宋"/>
          <w:kern w:val="0"/>
          <w:sz w:val="24"/>
          <w:szCs w:val="24"/>
        </w:rPr>
        <w:t>本项目的招标投标活动及其相关当事人应当接受有管辖权的监督部门依法实施的监督。</w:t>
      </w:r>
      <w:r>
        <w:rPr>
          <w:rFonts w:hint="eastAsia" w:ascii="仿宋" w:hAnsi="仿宋" w:eastAsia="仿宋" w:cs="仿宋"/>
          <w:bCs/>
          <w:kern w:val="0"/>
          <w:sz w:val="24"/>
          <w:szCs w:val="24"/>
        </w:rPr>
        <w:br w:type="page"/>
      </w:r>
    </w:p>
    <w:p w14:paraId="22CD6FE2">
      <w:pPr>
        <w:widowControl/>
        <w:snapToGrid w:val="0"/>
        <w:spacing w:line="360" w:lineRule="auto"/>
        <w:jc w:val="center"/>
        <w:outlineLvl w:val="0"/>
        <w:rPr>
          <w:rFonts w:ascii="仿宋" w:hAnsi="仿宋" w:eastAsia="仿宋" w:cs="仿宋"/>
          <w:b/>
          <w:sz w:val="28"/>
          <w:szCs w:val="28"/>
        </w:rPr>
      </w:pPr>
      <w:bookmarkStart w:id="28" w:name="_Toc21164"/>
      <w:r>
        <w:rPr>
          <w:rFonts w:hint="eastAsia" w:ascii="仿宋" w:hAnsi="仿宋" w:eastAsia="仿宋" w:cs="仿宋"/>
          <w:b/>
          <w:sz w:val="28"/>
          <w:szCs w:val="28"/>
        </w:rPr>
        <w:t>第二章 评标办法</w:t>
      </w:r>
      <w:bookmarkEnd w:id="28"/>
    </w:p>
    <w:p w14:paraId="3CE0053A">
      <w:pPr>
        <w:tabs>
          <w:tab w:val="center" w:pos="4832"/>
          <w:tab w:val="left" w:pos="7140"/>
        </w:tabs>
        <w:spacing w:line="360" w:lineRule="auto"/>
        <w:jc w:val="center"/>
        <w:outlineLvl w:val="1"/>
        <w:rPr>
          <w:rFonts w:ascii="仿宋" w:hAnsi="仿宋" w:eastAsia="仿宋" w:cs="仿宋"/>
          <w:b/>
          <w:sz w:val="28"/>
          <w:szCs w:val="28"/>
        </w:rPr>
      </w:pPr>
      <w:bookmarkStart w:id="29" w:name="_BookMark_1"/>
      <w:bookmarkEnd w:id="29"/>
      <w:bookmarkStart w:id="30" w:name="_Toc23868"/>
      <w:bookmarkStart w:id="31" w:name="_Toc58342531"/>
      <w:bookmarkStart w:id="32" w:name="_Toc501719166"/>
      <w:r>
        <w:rPr>
          <w:rFonts w:hint="eastAsia" w:ascii="仿宋" w:hAnsi="仿宋" w:eastAsia="仿宋" w:cs="仿宋"/>
          <w:b/>
          <w:sz w:val="28"/>
          <w:szCs w:val="28"/>
        </w:rPr>
        <w:t>评审办法前附表</w:t>
      </w:r>
      <w:bookmarkEnd w:id="30"/>
      <w:bookmarkEnd w:id="31"/>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06"/>
        <w:gridCol w:w="2757"/>
        <w:gridCol w:w="5759"/>
      </w:tblGrid>
      <w:tr w14:paraId="3DD44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6533920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511" w:type="pct"/>
            <w:tcBorders>
              <w:tl2br w:val="nil"/>
              <w:tr2bl w:val="nil"/>
            </w:tcBorders>
            <w:tcMar>
              <w:top w:w="0" w:type="dxa"/>
              <w:left w:w="28" w:type="dxa"/>
              <w:bottom w:w="0" w:type="dxa"/>
              <w:right w:w="28" w:type="dxa"/>
            </w:tcMar>
            <w:vAlign w:val="center"/>
          </w:tcPr>
          <w:p w14:paraId="2062AC9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条款内容</w:t>
            </w:r>
          </w:p>
        </w:tc>
        <w:tc>
          <w:tcPr>
            <w:tcW w:w="3156" w:type="pct"/>
            <w:tcBorders>
              <w:tl2br w:val="nil"/>
              <w:tr2bl w:val="nil"/>
            </w:tcBorders>
            <w:tcMar>
              <w:top w:w="0" w:type="dxa"/>
              <w:left w:w="28" w:type="dxa"/>
              <w:bottom w:w="0" w:type="dxa"/>
              <w:right w:w="28" w:type="dxa"/>
            </w:tcMar>
            <w:vAlign w:val="center"/>
          </w:tcPr>
          <w:p w14:paraId="2D119554">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编列内容</w:t>
            </w:r>
          </w:p>
        </w:tc>
      </w:tr>
      <w:tr w14:paraId="78607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286E3C67">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11" w:type="pct"/>
            <w:tcBorders>
              <w:tl2br w:val="nil"/>
              <w:tr2bl w:val="nil"/>
            </w:tcBorders>
            <w:tcMar>
              <w:top w:w="0" w:type="dxa"/>
              <w:left w:w="28" w:type="dxa"/>
              <w:bottom w:w="0" w:type="dxa"/>
              <w:right w:w="28" w:type="dxa"/>
            </w:tcMar>
            <w:vAlign w:val="center"/>
          </w:tcPr>
          <w:p w14:paraId="069036DD">
            <w:pPr>
              <w:spacing w:line="360" w:lineRule="auto"/>
              <w:rPr>
                <w:rFonts w:ascii="仿宋" w:hAnsi="仿宋" w:eastAsia="仿宋" w:cs="仿宋"/>
                <w:sz w:val="24"/>
                <w:szCs w:val="24"/>
              </w:rPr>
            </w:pPr>
            <w:r>
              <w:rPr>
                <w:rFonts w:hint="eastAsia" w:ascii="仿宋" w:hAnsi="仿宋" w:eastAsia="仿宋" w:cs="仿宋"/>
                <w:sz w:val="24"/>
                <w:szCs w:val="24"/>
              </w:rPr>
              <w:t>分值构成及权重</w:t>
            </w:r>
          </w:p>
          <w:p w14:paraId="1B4A0FC4">
            <w:pPr>
              <w:spacing w:line="360" w:lineRule="auto"/>
              <w:rPr>
                <w:rFonts w:ascii="仿宋" w:hAnsi="仿宋" w:eastAsia="仿宋" w:cs="仿宋"/>
                <w:sz w:val="24"/>
                <w:szCs w:val="24"/>
              </w:rPr>
            </w:pPr>
            <w:r>
              <w:rPr>
                <w:rFonts w:hint="eastAsia" w:ascii="仿宋" w:hAnsi="仿宋" w:eastAsia="仿宋" w:cs="仿宋"/>
                <w:sz w:val="24"/>
                <w:szCs w:val="24"/>
              </w:rPr>
              <w:t>（总分100分）</w:t>
            </w:r>
          </w:p>
        </w:tc>
        <w:tc>
          <w:tcPr>
            <w:tcW w:w="3156" w:type="pct"/>
            <w:tcBorders>
              <w:tl2br w:val="nil"/>
              <w:tr2bl w:val="nil"/>
            </w:tcBorders>
            <w:tcMar>
              <w:top w:w="0" w:type="dxa"/>
              <w:left w:w="28" w:type="dxa"/>
              <w:bottom w:w="0" w:type="dxa"/>
              <w:right w:w="28" w:type="dxa"/>
            </w:tcMar>
            <w:vAlign w:val="center"/>
          </w:tcPr>
          <w:p w14:paraId="6D190C23">
            <w:pPr>
              <w:spacing w:line="360" w:lineRule="auto"/>
              <w:rPr>
                <w:rFonts w:ascii="仿宋" w:hAnsi="仿宋" w:eastAsia="仿宋" w:cs="仿宋"/>
                <w:sz w:val="24"/>
                <w:szCs w:val="24"/>
              </w:rPr>
            </w:pPr>
            <w:r>
              <w:rPr>
                <w:rFonts w:hint="eastAsia" w:ascii="仿宋" w:hAnsi="仿宋" w:eastAsia="仿宋" w:cs="仿宋"/>
                <w:sz w:val="24"/>
                <w:szCs w:val="24"/>
              </w:rPr>
              <w:t>1.详细评审部分90分</w:t>
            </w:r>
          </w:p>
          <w:p w14:paraId="104C6D23">
            <w:pPr>
              <w:spacing w:line="360" w:lineRule="auto"/>
              <w:rPr>
                <w:rFonts w:ascii="仿宋" w:hAnsi="仿宋" w:eastAsia="仿宋" w:cs="仿宋"/>
                <w:sz w:val="24"/>
                <w:szCs w:val="24"/>
              </w:rPr>
            </w:pPr>
            <w:r>
              <w:rPr>
                <w:rFonts w:hint="eastAsia" w:ascii="仿宋" w:hAnsi="仿宋" w:eastAsia="仿宋" w:cs="仿宋"/>
                <w:sz w:val="24"/>
                <w:szCs w:val="24"/>
              </w:rPr>
              <w:t>2.投标报价10分</w:t>
            </w:r>
          </w:p>
        </w:tc>
      </w:tr>
      <w:tr w14:paraId="4F6AB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563790AB">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511" w:type="pct"/>
            <w:tcBorders>
              <w:tl2br w:val="nil"/>
              <w:tr2bl w:val="nil"/>
            </w:tcBorders>
            <w:tcMar>
              <w:top w:w="0" w:type="dxa"/>
              <w:left w:w="28" w:type="dxa"/>
              <w:bottom w:w="0" w:type="dxa"/>
              <w:right w:w="28" w:type="dxa"/>
            </w:tcMar>
            <w:vAlign w:val="center"/>
          </w:tcPr>
          <w:p w14:paraId="196FF97D">
            <w:pPr>
              <w:spacing w:line="360" w:lineRule="auto"/>
              <w:rPr>
                <w:rFonts w:ascii="仿宋" w:hAnsi="仿宋" w:eastAsia="仿宋" w:cs="仿宋"/>
                <w:sz w:val="24"/>
                <w:szCs w:val="24"/>
              </w:rPr>
            </w:pPr>
            <w:r>
              <w:rPr>
                <w:rFonts w:hint="eastAsia" w:ascii="仿宋" w:hAnsi="仿宋" w:eastAsia="仿宋" w:cs="仿宋"/>
                <w:sz w:val="24"/>
                <w:szCs w:val="24"/>
              </w:rPr>
              <w:t>资格审查</w:t>
            </w:r>
          </w:p>
        </w:tc>
        <w:tc>
          <w:tcPr>
            <w:tcW w:w="3156" w:type="pct"/>
            <w:tcBorders>
              <w:tl2br w:val="nil"/>
              <w:tr2bl w:val="nil"/>
            </w:tcBorders>
            <w:tcMar>
              <w:top w:w="0" w:type="dxa"/>
              <w:left w:w="28" w:type="dxa"/>
              <w:bottom w:w="0" w:type="dxa"/>
              <w:right w:w="28" w:type="dxa"/>
            </w:tcMar>
            <w:vAlign w:val="center"/>
          </w:tcPr>
          <w:p w14:paraId="093ED716">
            <w:pPr>
              <w:spacing w:line="360" w:lineRule="auto"/>
              <w:rPr>
                <w:rFonts w:ascii="仿宋" w:hAnsi="仿宋" w:eastAsia="仿宋" w:cs="仿宋"/>
                <w:sz w:val="24"/>
                <w:szCs w:val="24"/>
              </w:rPr>
            </w:pPr>
            <w:r>
              <w:rPr>
                <w:rFonts w:hint="eastAsia" w:ascii="仿宋" w:hAnsi="仿宋" w:eastAsia="仿宋" w:cs="仿宋"/>
                <w:sz w:val="24"/>
                <w:szCs w:val="24"/>
              </w:rPr>
              <w:t>详见《资格审查标准》</w:t>
            </w:r>
          </w:p>
        </w:tc>
      </w:tr>
      <w:tr w14:paraId="3A948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75653242">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511" w:type="pct"/>
            <w:tcBorders>
              <w:tl2br w:val="nil"/>
              <w:tr2bl w:val="nil"/>
            </w:tcBorders>
            <w:tcMar>
              <w:top w:w="0" w:type="dxa"/>
              <w:left w:w="28" w:type="dxa"/>
              <w:bottom w:w="0" w:type="dxa"/>
              <w:right w:w="28" w:type="dxa"/>
            </w:tcMar>
            <w:vAlign w:val="center"/>
          </w:tcPr>
          <w:p w14:paraId="6FC77460">
            <w:pPr>
              <w:spacing w:line="360" w:lineRule="auto"/>
              <w:rPr>
                <w:rFonts w:ascii="仿宋" w:hAnsi="仿宋" w:eastAsia="仿宋" w:cs="仿宋"/>
                <w:sz w:val="24"/>
                <w:szCs w:val="24"/>
              </w:rPr>
            </w:pPr>
            <w:r>
              <w:rPr>
                <w:rFonts w:hint="eastAsia" w:ascii="仿宋" w:hAnsi="仿宋" w:eastAsia="仿宋" w:cs="仿宋"/>
                <w:sz w:val="24"/>
                <w:szCs w:val="24"/>
              </w:rPr>
              <w:t>符合性审查</w:t>
            </w:r>
          </w:p>
        </w:tc>
        <w:tc>
          <w:tcPr>
            <w:tcW w:w="3156" w:type="pct"/>
            <w:tcBorders>
              <w:tl2br w:val="nil"/>
              <w:tr2bl w:val="nil"/>
            </w:tcBorders>
            <w:tcMar>
              <w:top w:w="0" w:type="dxa"/>
              <w:left w:w="28" w:type="dxa"/>
              <w:bottom w:w="0" w:type="dxa"/>
              <w:right w:w="28" w:type="dxa"/>
            </w:tcMar>
            <w:vAlign w:val="center"/>
          </w:tcPr>
          <w:p w14:paraId="36B177AD">
            <w:pPr>
              <w:spacing w:line="360" w:lineRule="auto"/>
              <w:rPr>
                <w:rFonts w:ascii="仿宋" w:hAnsi="仿宋" w:eastAsia="仿宋" w:cs="仿宋"/>
                <w:sz w:val="24"/>
                <w:szCs w:val="24"/>
              </w:rPr>
            </w:pPr>
            <w:r>
              <w:rPr>
                <w:rFonts w:hint="eastAsia" w:ascii="仿宋" w:hAnsi="仿宋" w:eastAsia="仿宋" w:cs="仿宋"/>
                <w:sz w:val="24"/>
                <w:szCs w:val="24"/>
              </w:rPr>
              <w:t>详见《符合性审查标准》</w:t>
            </w:r>
          </w:p>
        </w:tc>
      </w:tr>
      <w:tr w14:paraId="7E08E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637D0BC7">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511" w:type="pct"/>
            <w:tcBorders>
              <w:tl2br w:val="nil"/>
              <w:tr2bl w:val="nil"/>
            </w:tcBorders>
            <w:tcMar>
              <w:top w:w="0" w:type="dxa"/>
              <w:left w:w="28" w:type="dxa"/>
              <w:bottom w:w="0" w:type="dxa"/>
              <w:right w:w="28" w:type="dxa"/>
            </w:tcMar>
            <w:vAlign w:val="center"/>
          </w:tcPr>
          <w:p w14:paraId="12E5FA54">
            <w:pPr>
              <w:spacing w:line="360" w:lineRule="auto"/>
              <w:rPr>
                <w:rFonts w:ascii="仿宋" w:hAnsi="仿宋" w:eastAsia="仿宋" w:cs="仿宋"/>
                <w:sz w:val="24"/>
                <w:szCs w:val="24"/>
              </w:rPr>
            </w:pPr>
            <w:r>
              <w:rPr>
                <w:rFonts w:hint="eastAsia" w:ascii="仿宋" w:hAnsi="仿宋" w:eastAsia="仿宋" w:cs="仿宋"/>
                <w:sz w:val="24"/>
                <w:szCs w:val="24"/>
              </w:rPr>
              <w:t>详细评审</w:t>
            </w:r>
          </w:p>
        </w:tc>
        <w:tc>
          <w:tcPr>
            <w:tcW w:w="3156" w:type="pct"/>
            <w:tcBorders>
              <w:tl2br w:val="nil"/>
              <w:tr2bl w:val="nil"/>
            </w:tcBorders>
            <w:tcMar>
              <w:top w:w="0" w:type="dxa"/>
              <w:left w:w="28" w:type="dxa"/>
              <w:bottom w:w="0" w:type="dxa"/>
              <w:right w:w="28" w:type="dxa"/>
            </w:tcMar>
            <w:vAlign w:val="center"/>
          </w:tcPr>
          <w:p w14:paraId="124A6521">
            <w:pPr>
              <w:spacing w:line="360" w:lineRule="auto"/>
              <w:rPr>
                <w:rFonts w:ascii="仿宋" w:hAnsi="仿宋" w:eastAsia="仿宋" w:cs="仿宋"/>
                <w:sz w:val="24"/>
                <w:szCs w:val="24"/>
              </w:rPr>
            </w:pPr>
            <w:r>
              <w:rPr>
                <w:rFonts w:hint="eastAsia" w:ascii="仿宋" w:hAnsi="仿宋" w:eastAsia="仿宋" w:cs="仿宋"/>
                <w:sz w:val="24"/>
                <w:szCs w:val="24"/>
              </w:rPr>
              <w:t>详见《详细评审标准》及本节第3.5款</w:t>
            </w:r>
          </w:p>
        </w:tc>
      </w:tr>
    </w:tbl>
    <w:p w14:paraId="3DFF0BDE">
      <w:pPr>
        <w:widowControl/>
        <w:snapToGrid w:val="0"/>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《资格审查标准》</w:t>
      </w:r>
      <w:bookmarkEnd w:id="32"/>
    </w:p>
    <w:tbl>
      <w:tblPr>
        <w:tblStyle w:val="41"/>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90"/>
        <w:gridCol w:w="4139"/>
        <w:gridCol w:w="4379"/>
      </w:tblGrid>
      <w:tr w14:paraId="65D16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1408773">
            <w:pPr>
              <w:spacing w:line="360" w:lineRule="auto"/>
              <w:jc w:val="center"/>
              <w:rPr>
                <w:rFonts w:ascii="仿宋" w:hAnsi="仿宋" w:eastAsia="仿宋" w:cs="仿宋"/>
                <w:b/>
                <w:bCs/>
                <w:sz w:val="24"/>
                <w:szCs w:val="24"/>
                <w:shd w:val="clear" w:color="auto" w:fill="FFFFFF" w:themeFill="background1"/>
              </w:rPr>
            </w:pPr>
            <w:bookmarkStart w:id="33" w:name="_Toc501719167"/>
            <w:r>
              <w:rPr>
                <w:rFonts w:hint="eastAsia" w:ascii="仿宋" w:hAnsi="仿宋" w:eastAsia="仿宋" w:cs="仿宋"/>
                <w:b/>
                <w:bCs/>
                <w:sz w:val="24"/>
                <w:szCs w:val="24"/>
                <w:shd w:val="clear" w:color="auto" w:fill="FFFFFF" w:themeFill="background1"/>
              </w:rPr>
              <w:t>序号</w:t>
            </w:r>
          </w:p>
        </w:tc>
        <w:tc>
          <w:tcPr>
            <w:tcW w:w="2272" w:type="pct"/>
            <w:tcBorders>
              <w:tl2br w:val="nil"/>
              <w:tr2bl w:val="nil"/>
            </w:tcBorders>
            <w:vAlign w:val="center"/>
          </w:tcPr>
          <w:p w14:paraId="6CDB4FB8">
            <w:pPr>
              <w:spacing w:line="360" w:lineRule="auto"/>
              <w:jc w:val="center"/>
              <w:rPr>
                <w:rFonts w:ascii="仿宋" w:hAnsi="仿宋" w:eastAsia="仿宋" w:cs="仿宋"/>
                <w:b/>
                <w:bCs/>
                <w:sz w:val="24"/>
                <w:szCs w:val="24"/>
                <w:shd w:val="clear" w:color="auto" w:fill="FFFFFF" w:themeFill="background1"/>
              </w:rPr>
            </w:pPr>
            <w:r>
              <w:rPr>
                <w:rFonts w:hint="eastAsia" w:ascii="仿宋" w:hAnsi="仿宋" w:eastAsia="仿宋" w:cs="仿宋"/>
                <w:b/>
                <w:bCs/>
                <w:sz w:val="24"/>
                <w:szCs w:val="24"/>
                <w:shd w:val="clear" w:color="auto" w:fill="FFFFFF" w:themeFill="background1"/>
              </w:rPr>
              <w:t>审查要求</w:t>
            </w:r>
          </w:p>
        </w:tc>
        <w:tc>
          <w:tcPr>
            <w:tcW w:w="2402" w:type="pct"/>
            <w:tcBorders>
              <w:tl2br w:val="nil"/>
              <w:tr2bl w:val="nil"/>
            </w:tcBorders>
            <w:vAlign w:val="center"/>
          </w:tcPr>
          <w:p w14:paraId="0E1BBAEA">
            <w:pPr>
              <w:spacing w:line="360" w:lineRule="auto"/>
              <w:jc w:val="center"/>
              <w:rPr>
                <w:rFonts w:ascii="仿宋" w:hAnsi="仿宋" w:eastAsia="仿宋" w:cs="仿宋"/>
                <w:b/>
                <w:bCs/>
                <w:sz w:val="24"/>
                <w:szCs w:val="24"/>
                <w:shd w:val="clear" w:color="auto" w:fill="FFFFFF" w:themeFill="background1"/>
              </w:rPr>
            </w:pPr>
            <w:r>
              <w:rPr>
                <w:rFonts w:hint="eastAsia" w:ascii="仿宋" w:hAnsi="仿宋" w:eastAsia="仿宋" w:cs="仿宋"/>
                <w:b/>
                <w:bCs/>
                <w:sz w:val="24"/>
                <w:szCs w:val="24"/>
                <w:shd w:val="clear" w:color="auto" w:fill="FFFFFF" w:themeFill="background1"/>
              </w:rPr>
              <w:t>要求说明</w:t>
            </w:r>
          </w:p>
        </w:tc>
      </w:tr>
      <w:tr w14:paraId="1C9A3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207E472F">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1</w:t>
            </w:r>
          </w:p>
        </w:tc>
        <w:tc>
          <w:tcPr>
            <w:tcW w:w="2272" w:type="pct"/>
            <w:tcBorders>
              <w:tl2br w:val="nil"/>
              <w:tr2bl w:val="nil"/>
            </w:tcBorders>
            <w:vAlign w:val="center"/>
          </w:tcPr>
          <w:p w14:paraId="621AB510">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满足《中华人民共和国政府采购法》第二十二条规定。</w:t>
            </w:r>
          </w:p>
        </w:tc>
        <w:tc>
          <w:tcPr>
            <w:tcW w:w="2402" w:type="pct"/>
            <w:tcBorders>
              <w:tl2br w:val="nil"/>
              <w:tr2bl w:val="nil"/>
            </w:tcBorders>
            <w:vAlign w:val="center"/>
          </w:tcPr>
          <w:p w14:paraId="0A0FF16A">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0D0E5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B5C07DA">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2</w:t>
            </w:r>
          </w:p>
        </w:tc>
        <w:tc>
          <w:tcPr>
            <w:tcW w:w="2272" w:type="pct"/>
            <w:tcBorders>
              <w:tl2br w:val="nil"/>
              <w:tr2bl w:val="nil"/>
            </w:tcBorders>
            <w:vAlign w:val="center"/>
          </w:tcPr>
          <w:p w14:paraId="02F070BF">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color w:val="000000"/>
                <w:sz w:val="24"/>
                <w:szCs w:val="24"/>
              </w:rPr>
              <w:t>（1）投标人须具备有效的《安全生产许可证》。</w:t>
            </w:r>
          </w:p>
        </w:tc>
        <w:tc>
          <w:tcPr>
            <w:tcW w:w="2402" w:type="pct"/>
            <w:tcBorders>
              <w:tl2br w:val="nil"/>
              <w:tr2bl w:val="nil"/>
            </w:tcBorders>
            <w:vAlign w:val="center"/>
          </w:tcPr>
          <w:p w14:paraId="3D4BE2F5">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须提供证书扫描件。</w:t>
            </w:r>
          </w:p>
        </w:tc>
      </w:tr>
      <w:tr w14:paraId="57D21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4E2F3C49">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3</w:t>
            </w:r>
          </w:p>
        </w:tc>
        <w:tc>
          <w:tcPr>
            <w:tcW w:w="2272" w:type="pct"/>
            <w:tcBorders>
              <w:tl2br w:val="nil"/>
              <w:tr2bl w:val="nil"/>
            </w:tcBorders>
            <w:vAlign w:val="center"/>
          </w:tcPr>
          <w:p w14:paraId="04C8DDAF">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c>
          <w:tcPr>
            <w:tcW w:w="2402" w:type="pct"/>
            <w:tcBorders>
              <w:tl2br w:val="nil"/>
              <w:tr2bl w:val="nil"/>
            </w:tcBorders>
            <w:vAlign w:val="center"/>
          </w:tcPr>
          <w:p w14:paraId="4C5CB827">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以采购人或者采购代理机构查询记录为准。</w:t>
            </w:r>
          </w:p>
        </w:tc>
      </w:tr>
      <w:tr w14:paraId="716C4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562E86D5">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4</w:t>
            </w:r>
          </w:p>
        </w:tc>
        <w:tc>
          <w:tcPr>
            <w:tcW w:w="2272" w:type="pct"/>
            <w:tcBorders>
              <w:tl2br w:val="nil"/>
              <w:tr2bl w:val="nil"/>
            </w:tcBorders>
            <w:vAlign w:val="center"/>
          </w:tcPr>
          <w:p w14:paraId="062E23D3">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投标保证金必须按照招标文件要求缴纳。</w:t>
            </w:r>
          </w:p>
        </w:tc>
        <w:tc>
          <w:tcPr>
            <w:tcW w:w="2402" w:type="pct"/>
            <w:tcBorders>
              <w:tl2br w:val="nil"/>
              <w:tr2bl w:val="nil"/>
            </w:tcBorders>
            <w:vAlign w:val="center"/>
          </w:tcPr>
          <w:p w14:paraId="766BA701">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保证金缴纳凭证：投标人可将本项目保证金支付的汇款凭证、支票、汇票、保函或保证金收据的扫描件作为缴纳凭证制作在投标文件中。</w:t>
            </w:r>
          </w:p>
        </w:tc>
      </w:tr>
      <w:tr w14:paraId="0969D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11F9A721">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92D2E98">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《符合性审查标准》</w:t>
      </w:r>
      <w:bookmarkEnd w:id="33"/>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19"/>
        <w:gridCol w:w="7320"/>
        <w:gridCol w:w="1147"/>
      </w:tblGrid>
      <w:tr w14:paraId="2CAF5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184E7CDB">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序号</w:t>
            </w:r>
          </w:p>
        </w:tc>
        <w:tc>
          <w:tcPr>
            <w:tcW w:w="4028" w:type="pct"/>
            <w:tcBorders>
              <w:tl2br w:val="nil"/>
              <w:tr2bl w:val="nil"/>
            </w:tcBorders>
            <w:vAlign w:val="center"/>
          </w:tcPr>
          <w:p w14:paraId="6F3C61FA">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审查要求</w:t>
            </w:r>
          </w:p>
        </w:tc>
        <w:tc>
          <w:tcPr>
            <w:tcW w:w="630" w:type="pct"/>
            <w:tcBorders>
              <w:tl2br w:val="nil"/>
              <w:tr2bl w:val="nil"/>
            </w:tcBorders>
            <w:vAlign w:val="center"/>
          </w:tcPr>
          <w:p w14:paraId="42505AE5">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要求说明</w:t>
            </w:r>
          </w:p>
        </w:tc>
      </w:tr>
      <w:tr w14:paraId="4C4B4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34E47FB">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1</w:t>
            </w:r>
          </w:p>
        </w:tc>
        <w:tc>
          <w:tcPr>
            <w:tcW w:w="4028" w:type="pct"/>
            <w:tcBorders>
              <w:tl2br w:val="nil"/>
              <w:tr2bl w:val="nil"/>
            </w:tcBorders>
            <w:vAlign w:val="center"/>
          </w:tcPr>
          <w:p w14:paraId="39E3FD8B">
            <w:pPr>
              <w:widowControl/>
              <w:snapToGrid w:val="0"/>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投标文件必须按照招标文件规定要求加盖投标人、法定代表人电子印章；</w:t>
            </w:r>
          </w:p>
        </w:tc>
        <w:tc>
          <w:tcPr>
            <w:tcW w:w="630" w:type="pct"/>
            <w:tcBorders>
              <w:tl2br w:val="nil"/>
              <w:tr2bl w:val="nil"/>
            </w:tcBorders>
            <w:vAlign w:val="center"/>
          </w:tcPr>
          <w:p w14:paraId="213826CC">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16A5E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3DD9CA61">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2</w:t>
            </w:r>
          </w:p>
        </w:tc>
        <w:tc>
          <w:tcPr>
            <w:tcW w:w="4028" w:type="pct"/>
            <w:tcBorders>
              <w:tl2br w:val="nil"/>
              <w:tr2bl w:val="nil"/>
            </w:tcBorders>
            <w:vAlign w:val="center"/>
          </w:tcPr>
          <w:p w14:paraId="66CEF439">
            <w:pPr>
              <w:widowControl/>
              <w:snapToGrid w:val="0"/>
              <w:spacing w:line="360" w:lineRule="auto"/>
              <w:rPr>
                <w:rFonts w:ascii="仿宋" w:hAnsi="仿宋" w:eastAsia="仿宋" w:cs="仿宋"/>
                <w:sz w:val="24"/>
                <w:szCs w:val="24"/>
              </w:rPr>
            </w:pPr>
            <w:r>
              <w:rPr>
                <w:rFonts w:hint="eastAsia" w:ascii="仿宋" w:hAnsi="仿宋" w:eastAsia="仿宋" w:cs="仿宋"/>
                <w:kern w:val="0"/>
                <w:sz w:val="24"/>
                <w:szCs w:val="24"/>
              </w:rPr>
              <w:t>项目负责人简历表必须提供；</w:t>
            </w:r>
          </w:p>
        </w:tc>
        <w:tc>
          <w:tcPr>
            <w:tcW w:w="630" w:type="pct"/>
            <w:tcBorders>
              <w:tl2br w:val="nil"/>
              <w:tr2bl w:val="nil"/>
            </w:tcBorders>
            <w:vAlign w:val="center"/>
          </w:tcPr>
          <w:p w14:paraId="2C183890">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20A57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F4DCBE6">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3</w:t>
            </w:r>
          </w:p>
        </w:tc>
        <w:tc>
          <w:tcPr>
            <w:tcW w:w="4028" w:type="pct"/>
            <w:tcBorders>
              <w:tl2br w:val="nil"/>
              <w:tr2bl w:val="nil"/>
            </w:tcBorders>
            <w:vAlign w:val="center"/>
          </w:tcPr>
          <w:p w14:paraId="0A3D2184">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kern w:val="0"/>
                <w:sz w:val="24"/>
                <w:szCs w:val="24"/>
              </w:rPr>
              <w:t>拟派本项目主要服务人员情况表必须提供；</w:t>
            </w:r>
          </w:p>
        </w:tc>
        <w:tc>
          <w:tcPr>
            <w:tcW w:w="630" w:type="pct"/>
            <w:tcBorders>
              <w:tl2br w:val="nil"/>
              <w:tr2bl w:val="nil"/>
            </w:tcBorders>
            <w:vAlign w:val="center"/>
          </w:tcPr>
          <w:p w14:paraId="6A2D4CB0">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58749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2016F93">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4</w:t>
            </w:r>
          </w:p>
        </w:tc>
        <w:tc>
          <w:tcPr>
            <w:tcW w:w="4028" w:type="pct"/>
            <w:tcBorders>
              <w:tl2br w:val="nil"/>
              <w:tr2bl w:val="nil"/>
            </w:tcBorders>
            <w:vAlign w:val="center"/>
          </w:tcPr>
          <w:p w14:paraId="04B8CF44">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kern w:val="0"/>
                <w:sz w:val="24"/>
                <w:szCs w:val="24"/>
              </w:rPr>
              <w:t>服务周期必须满足招标文件要求；</w:t>
            </w:r>
          </w:p>
        </w:tc>
        <w:tc>
          <w:tcPr>
            <w:tcW w:w="630" w:type="pct"/>
            <w:tcBorders>
              <w:tl2br w:val="nil"/>
              <w:tr2bl w:val="nil"/>
            </w:tcBorders>
            <w:vAlign w:val="center"/>
          </w:tcPr>
          <w:p w14:paraId="71600953">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76706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3808E3E0">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5</w:t>
            </w:r>
          </w:p>
        </w:tc>
        <w:tc>
          <w:tcPr>
            <w:tcW w:w="4028" w:type="pct"/>
            <w:tcBorders>
              <w:tl2br w:val="nil"/>
              <w:tr2bl w:val="nil"/>
            </w:tcBorders>
            <w:vAlign w:val="center"/>
          </w:tcPr>
          <w:p w14:paraId="76116517">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kern w:val="0"/>
                <w:sz w:val="24"/>
                <w:szCs w:val="24"/>
              </w:rPr>
              <w:t>投标价格不得超过投标人须知前附表中的采购预算金额；</w:t>
            </w:r>
          </w:p>
        </w:tc>
        <w:tc>
          <w:tcPr>
            <w:tcW w:w="630" w:type="pct"/>
            <w:tcBorders>
              <w:tl2br w:val="nil"/>
              <w:tr2bl w:val="nil"/>
            </w:tcBorders>
            <w:vAlign w:val="center"/>
          </w:tcPr>
          <w:p w14:paraId="04FDD576">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256F9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B4A685B">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6</w:t>
            </w:r>
          </w:p>
        </w:tc>
        <w:tc>
          <w:tcPr>
            <w:tcW w:w="4028" w:type="pct"/>
            <w:tcBorders>
              <w:tl2br w:val="nil"/>
              <w:tr2bl w:val="nil"/>
            </w:tcBorders>
          </w:tcPr>
          <w:p w14:paraId="75985B9C">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kern w:val="0"/>
                <w:sz w:val="24"/>
                <w:szCs w:val="24"/>
              </w:rPr>
              <w:t>投标文件没有不符合招标文件实质性要求的。</w:t>
            </w:r>
          </w:p>
        </w:tc>
        <w:tc>
          <w:tcPr>
            <w:tcW w:w="630" w:type="pct"/>
            <w:tcBorders>
              <w:tl2br w:val="nil"/>
              <w:tr2bl w:val="nil"/>
            </w:tcBorders>
            <w:vAlign w:val="center"/>
          </w:tcPr>
          <w:p w14:paraId="5BF5FB6D">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w:t>
            </w:r>
          </w:p>
        </w:tc>
      </w:tr>
      <w:tr w14:paraId="27444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7DE0AAAB">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6F2F650">
      <w:pPr>
        <w:spacing w:line="360" w:lineRule="auto"/>
        <w:jc w:val="center"/>
        <w:rPr>
          <w:rFonts w:ascii="仿宋" w:hAnsi="仿宋" w:eastAsia="仿宋" w:cs="仿宋"/>
          <w:b/>
          <w:sz w:val="28"/>
          <w:szCs w:val="28"/>
        </w:rPr>
      </w:pPr>
      <w:r>
        <w:rPr>
          <w:rFonts w:hint="eastAsia" w:ascii="仿宋" w:hAnsi="仿宋" w:eastAsia="仿宋" w:cs="仿宋"/>
          <w:b/>
          <w:sz w:val="28"/>
          <w:szCs w:val="28"/>
        </w:rPr>
        <w:t>《详细评审标准》</w:t>
      </w:r>
    </w:p>
    <w:tbl>
      <w:tblPr>
        <w:tblStyle w:val="4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134"/>
        <w:gridCol w:w="709"/>
        <w:gridCol w:w="6484"/>
      </w:tblGrid>
      <w:tr w14:paraId="4675D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093" w:type="dxa"/>
            <w:gridSpan w:val="2"/>
            <w:tcBorders>
              <w:tl2br w:val="nil"/>
              <w:tr2bl w:val="nil"/>
            </w:tcBorders>
            <w:vAlign w:val="center"/>
          </w:tcPr>
          <w:p w14:paraId="328A2EAC">
            <w:pPr>
              <w:spacing w:line="360" w:lineRule="auto"/>
              <w:ind w:right="638" w:rightChars="304"/>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评分因素</w:t>
            </w:r>
          </w:p>
        </w:tc>
        <w:tc>
          <w:tcPr>
            <w:tcW w:w="709" w:type="dxa"/>
            <w:tcBorders>
              <w:tl2br w:val="nil"/>
              <w:tr2bl w:val="nil"/>
            </w:tcBorders>
            <w:vAlign w:val="center"/>
          </w:tcPr>
          <w:p w14:paraId="40CD0A46">
            <w:pPr>
              <w:spacing w:line="360" w:lineRule="auto"/>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分值</w:t>
            </w:r>
          </w:p>
        </w:tc>
        <w:tc>
          <w:tcPr>
            <w:tcW w:w="6484" w:type="dxa"/>
            <w:tcBorders>
              <w:tl2br w:val="nil"/>
              <w:tr2bl w:val="nil"/>
            </w:tcBorders>
            <w:vAlign w:val="center"/>
          </w:tcPr>
          <w:p w14:paraId="365EF428">
            <w:pPr>
              <w:spacing w:line="360" w:lineRule="auto"/>
              <w:ind w:right="-31" w:rightChars="-15"/>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评分细则</w:t>
            </w:r>
          </w:p>
        </w:tc>
      </w:tr>
      <w:tr w14:paraId="7290D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093" w:type="dxa"/>
            <w:gridSpan w:val="2"/>
            <w:tcBorders>
              <w:tl2br w:val="nil"/>
              <w:tr2bl w:val="nil"/>
            </w:tcBorders>
            <w:vAlign w:val="center"/>
          </w:tcPr>
          <w:p w14:paraId="31573D5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价格部分（10分）</w:t>
            </w:r>
          </w:p>
        </w:tc>
        <w:tc>
          <w:tcPr>
            <w:tcW w:w="709" w:type="dxa"/>
            <w:tcBorders>
              <w:tl2br w:val="nil"/>
              <w:tr2bl w:val="nil"/>
            </w:tcBorders>
            <w:vAlign w:val="center"/>
          </w:tcPr>
          <w:p w14:paraId="28D1C2E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10</w:t>
            </w:r>
          </w:p>
        </w:tc>
        <w:tc>
          <w:tcPr>
            <w:tcW w:w="6484" w:type="dxa"/>
            <w:tcBorders>
              <w:tl2br w:val="nil"/>
              <w:tr2bl w:val="nil"/>
            </w:tcBorders>
            <w:vAlign w:val="center"/>
          </w:tcPr>
          <w:p w14:paraId="5B778956">
            <w:pPr>
              <w:pStyle w:val="24"/>
              <w:spacing w:line="360" w:lineRule="auto"/>
              <w:ind w:right="-31" w:rightChars="-1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满足招标文件要求且投标价格最低的有效投标报价（即除低于成本报价以外的报价）为评标基准价。其他投标人的价格分统一按照下列公式计算：</w:t>
            </w:r>
          </w:p>
          <w:p w14:paraId="6C4A002C">
            <w:pPr>
              <w:pStyle w:val="24"/>
              <w:spacing w:line="360" w:lineRule="auto"/>
              <w:ind w:right="-31" w:rightChars="-1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投标报价得分=（评标基准价/投标报价）×价格满分分值</w:t>
            </w:r>
          </w:p>
        </w:tc>
      </w:tr>
      <w:tr w14:paraId="434BF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restart"/>
            <w:tcBorders>
              <w:tl2br w:val="nil"/>
              <w:tr2bl w:val="nil"/>
            </w:tcBorders>
            <w:vAlign w:val="center"/>
          </w:tcPr>
          <w:p w14:paraId="42D73587">
            <w:pPr>
              <w:pStyle w:val="24"/>
              <w:spacing w:line="360" w:lineRule="auto"/>
              <w:ind w:right="-31" w:rightChars="-15"/>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商务部分（30分）</w:t>
            </w:r>
          </w:p>
        </w:tc>
        <w:tc>
          <w:tcPr>
            <w:tcW w:w="1134" w:type="dxa"/>
            <w:tcBorders>
              <w:tl2br w:val="nil"/>
              <w:tr2bl w:val="nil"/>
            </w:tcBorders>
            <w:vAlign w:val="center"/>
          </w:tcPr>
          <w:p w14:paraId="02389B61">
            <w:pPr>
              <w:pStyle w:val="24"/>
              <w:spacing w:line="360" w:lineRule="auto"/>
              <w:ind w:right="-31" w:rightChars="-15"/>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类似项目业绩</w:t>
            </w:r>
          </w:p>
        </w:tc>
        <w:tc>
          <w:tcPr>
            <w:tcW w:w="709" w:type="dxa"/>
            <w:tcBorders>
              <w:tl2br w:val="nil"/>
              <w:tr2bl w:val="nil"/>
            </w:tcBorders>
            <w:vAlign w:val="center"/>
          </w:tcPr>
          <w:p w14:paraId="4CD5A846">
            <w:pPr>
              <w:pStyle w:val="24"/>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rPr>
              <w:t>5</w:t>
            </w:r>
          </w:p>
        </w:tc>
        <w:tc>
          <w:tcPr>
            <w:tcW w:w="6484" w:type="dxa"/>
            <w:tcBorders>
              <w:tl2br w:val="nil"/>
              <w:tr2bl w:val="nil"/>
            </w:tcBorders>
            <w:vAlign w:val="center"/>
          </w:tcPr>
          <w:p w14:paraId="52EC0900">
            <w:pPr>
              <w:pStyle w:val="24"/>
              <w:spacing w:line="360" w:lineRule="auto"/>
              <w:ind w:right="-31" w:rightChars="-1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提供2023年1月1日以来独立承担类似项目经验情况，拥有类似的相关业绩（需提供成交（成交）通知书或合同），每个业绩计1分，最高5分。</w:t>
            </w:r>
          </w:p>
          <w:p w14:paraId="0BA5182B">
            <w:pPr>
              <w:pStyle w:val="24"/>
              <w:spacing w:line="360" w:lineRule="auto"/>
              <w:ind w:right="-31" w:rightChars="-1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注：业绩证明材料为：合同或成交（成交）通知书等相关证明。合同需包含合同首页、标的内容及金额所在页、合同签字盖章页等关键页即可，需加盖公章。</w:t>
            </w:r>
          </w:p>
          <w:p w14:paraId="3CAC00C6">
            <w:pPr>
              <w:pStyle w:val="24"/>
              <w:spacing w:line="360" w:lineRule="auto"/>
              <w:ind w:right="-31" w:rightChars="-1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未提供业绩证明材料(或证明材料不齐全的或内容模糊不清的)，其业绩不予认定。</w:t>
            </w:r>
          </w:p>
        </w:tc>
      </w:tr>
      <w:tr w14:paraId="5A27F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43B83518">
            <w:pPr>
              <w:pStyle w:val="24"/>
              <w:spacing w:line="360" w:lineRule="auto"/>
              <w:ind w:right="-19" w:rightChars="-9"/>
              <w:jc w:val="center"/>
              <w:rPr>
                <w:rFonts w:ascii="仿宋" w:hAnsi="仿宋" w:eastAsia="仿宋" w:cs="仿宋"/>
                <w:color w:val="000000" w:themeColor="text1"/>
                <w:sz w:val="24"/>
                <w:szCs w:val="24"/>
                <w14:textFill>
                  <w14:solidFill>
                    <w14:schemeClr w14:val="tx1"/>
                  </w14:solidFill>
                </w14:textFill>
              </w:rPr>
            </w:pPr>
          </w:p>
        </w:tc>
        <w:tc>
          <w:tcPr>
            <w:tcW w:w="1134" w:type="dxa"/>
            <w:vMerge w:val="restart"/>
            <w:tcBorders>
              <w:tl2br w:val="nil"/>
              <w:tr2bl w:val="nil"/>
            </w:tcBorders>
            <w:vAlign w:val="center"/>
          </w:tcPr>
          <w:p w14:paraId="14FED6CA">
            <w:pPr>
              <w:pStyle w:val="19"/>
              <w:snapToGrid w:val="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人员团队</w:t>
            </w:r>
          </w:p>
        </w:tc>
        <w:tc>
          <w:tcPr>
            <w:tcW w:w="709" w:type="dxa"/>
            <w:tcBorders>
              <w:tl2br w:val="nil"/>
              <w:tr2bl w:val="nil"/>
            </w:tcBorders>
            <w:vAlign w:val="center"/>
          </w:tcPr>
          <w:p w14:paraId="08E674B4">
            <w:pPr>
              <w:pStyle w:val="24"/>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6484" w:type="dxa"/>
            <w:tcBorders>
              <w:tl2br w:val="nil"/>
              <w:tr2bl w:val="nil"/>
            </w:tcBorders>
            <w:vAlign w:val="center"/>
          </w:tcPr>
          <w:p w14:paraId="4BA3AF36">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项目负责人：</w:t>
            </w:r>
          </w:p>
          <w:p w14:paraId="445D0A42">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项目负责人具备石油工程</w:t>
            </w:r>
            <w:r>
              <w:rPr>
                <w:rFonts w:hint="eastAsia" w:ascii="仿宋" w:hAnsi="仿宋" w:eastAsia="仿宋" w:cs="仿宋"/>
                <w:sz w:val="24"/>
                <w:szCs w:val="24"/>
                <w:highlight w:val="none"/>
                <w:lang w:val="en-US" w:eastAsia="zh-CN"/>
              </w:rPr>
              <w:t>或地质相关</w:t>
            </w:r>
            <w:r>
              <w:rPr>
                <w:rFonts w:hint="eastAsia" w:ascii="仿宋" w:hAnsi="仿宋" w:eastAsia="仿宋" w:cs="仿宋"/>
                <w:sz w:val="24"/>
                <w:szCs w:val="24"/>
                <w:highlight w:val="none"/>
              </w:rPr>
              <w:t>专业高级工程师职称得3分；每负责1个类似的相关业绩得1分，最多2分。未提供不得分。</w:t>
            </w:r>
          </w:p>
          <w:p w14:paraId="6E4E4C01">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注：需提供能体现项目负责人姓名的中标（成交）通知书或合同等证明材料。</w:t>
            </w:r>
          </w:p>
        </w:tc>
      </w:tr>
      <w:tr w14:paraId="6AAEF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17D5B3ED">
            <w:pPr>
              <w:pStyle w:val="24"/>
              <w:spacing w:line="360" w:lineRule="auto"/>
              <w:ind w:right="-19" w:rightChars="-9"/>
              <w:jc w:val="center"/>
              <w:rPr>
                <w:rFonts w:ascii="仿宋" w:hAnsi="仿宋" w:eastAsia="仿宋" w:cs="仿宋"/>
                <w:color w:val="000000" w:themeColor="text1"/>
                <w:sz w:val="24"/>
                <w:szCs w:val="24"/>
                <w14:textFill>
                  <w14:solidFill>
                    <w14:schemeClr w14:val="tx1"/>
                  </w14:solidFill>
                </w14:textFill>
              </w:rPr>
            </w:pPr>
          </w:p>
        </w:tc>
        <w:tc>
          <w:tcPr>
            <w:tcW w:w="1134" w:type="dxa"/>
            <w:vMerge w:val="continue"/>
            <w:tcBorders>
              <w:tl2br w:val="nil"/>
              <w:tr2bl w:val="nil"/>
            </w:tcBorders>
            <w:vAlign w:val="center"/>
          </w:tcPr>
          <w:p w14:paraId="64A15473">
            <w:pPr>
              <w:pStyle w:val="19"/>
              <w:snapToGrid w:val="0"/>
              <w:spacing w:line="360" w:lineRule="auto"/>
              <w:jc w:val="center"/>
              <w:rPr>
                <w:rFonts w:ascii="仿宋" w:hAnsi="仿宋" w:eastAsia="仿宋"/>
                <w:kern w:val="0"/>
                <w:sz w:val="24"/>
                <w:szCs w:val="24"/>
              </w:rPr>
            </w:pPr>
          </w:p>
        </w:tc>
        <w:tc>
          <w:tcPr>
            <w:tcW w:w="709" w:type="dxa"/>
            <w:tcBorders>
              <w:tl2br w:val="nil"/>
              <w:tr2bl w:val="nil"/>
            </w:tcBorders>
            <w:vAlign w:val="center"/>
          </w:tcPr>
          <w:p w14:paraId="4377A534">
            <w:pPr>
              <w:pStyle w:val="24"/>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6484" w:type="dxa"/>
            <w:tcBorders>
              <w:tl2br w:val="nil"/>
              <w:tr2bl w:val="nil"/>
            </w:tcBorders>
            <w:vAlign w:val="center"/>
          </w:tcPr>
          <w:p w14:paraId="4ECE7964">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项目团队：</w:t>
            </w:r>
          </w:p>
          <w:p w14:paraId="4C9E97BE">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拟投入的项目团队人员中包括石油工程</w:t>
            </w:r>
            <w:r>
              <w:rPr>
                <w:rFonts w:hint="eastAsia" w:ascii="仿宋" w:hAnsi="仿宋" w:eastAsia="仿宋" w:cs="仿宋"/>
                <w:sz w:val="24"/>
                <w:szCs w:val="24"/>
                <w:highlight w:val="none"/>
                <w:lang w:val="en-US" w:eastAsia="zh-CN"/>
              </w:rPr>
              <w:t>或地质相关</w:t>
            </w:r>
            <w:r>
              <w:rPr>
                <w:rFonts w:hint="eastAsia" w:ascii="仿宋" w:hAnsi="仿宋" w:eastAsia="仿宋" w:cs="仿宋"/>
                <w:sz w:val="24"/>
                <w:szCs w:val="24"/>
                <w:highlight w:val="none"/>
              </w:rPr>
              <w:t>专业高级工程师每提供1人得2分，中级工程师每提供1人得1分，助理工程师每提供1人得0.5分，最多提供5人，满分8分，且团队成员（不包含项目负责人）至少有2人(含））以上参与过类似项目经历，否则不得分。拟投入人员均需提供近三个月内连续的社保证明。</w:t>
            </w:r>
          </w:p>
          <w:p w14:paraId="19E40B4E">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注：参加过的类似须提供能体现项目团队人员姓名的证明材料。</w:t>
            </w:r>
          </w:p>
        </w:tc>
      </w:tr>
      <w:tr w14:paraId="63452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7C20252C">
            <w:pPr>
              <w:pStyle w:val="24"/>
              <w:spacing w:line="360" w:lineRule="auto"/>
              <w:ind w:right="-19" w:rightChars="-9"/>
              <w:jc w:val="center"/>
              <w:rPr>
                <w:rFonts w:ascii="仿宋" w:hAnsi="仿宋" w:eastAsia="仿宋" w:cs="仿宋"/>
                <w:color w:val="000000" w:themeColor="text1"/>
                <w:sz w:val="24"/>
                <w:szCs w:val="24"/>
                <w14:textFill>
                  <w14:solidFill>
                    <w14:schemeClr w14:val="tx1"/>
                  </w14:solidFill>
                </w14:textFill>
              </w:rPr>
            </w:pPr>
          </w:p>
        </w:tc>
        <w:tc>
          <w:tcPr>
            <w:tcW w:w="1134" w:type="dxa"/>
            <w:tcBorders>
              <w:tl2br w:val="nil"/>
              <w:tr2bl w:val="nil"/>
            </w:tcBorders>
            <w:vAlign w:val="center"/>
          </w:tcPr>
          <w:p w14:paraId="456E6FE4">
            <w:pPr>
              <w:pStyle w:val="19"/>
              <w:snapToGrid w:val="0"/>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设备配置</w:t>
            </w:r>
          </w:p>
        </w:tc>
        <w:tc>
          <w:tcPr>
            <w:tcW w:w="709" w:type="dxa"/>
            <w:tcBorders>
              <w:tl2br w:val="nil"/>
              <w:tr2bl w:val="nil"/>
            </w:tcBorders>
            <w:vAlign w:val="center"/>
          </w:tcPr>
          <w:p w14:paraId="627119C3">
            <w:pPr>
              <w:pStyle w:val="24"/>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6484" w:type="dxa"/>
            <w:tcBorders>
              <w:tl2br w:val="nil"/>
              <w:tr2bl w:val="nil"/>
            </w:tcBorders>
            <w:vAlign w:val="center"/>
          </w:tcPr>
          <w:p w14:paraId="62B7B778">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所提供的录井配套设备（包括但不限于综合录井仪、地化录井仪、定量荧光录井仪、气相色谱仪、热真空蒸馏脱气器、岩心扫描/分析仪）配置齐全满足工作要求得12分。以上设备每有一条缺失扣2分；扣完为止。</w:t>
            </w:r>
          </w:p>
          <w:p w14:paraId="14BCE987">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注：以上设备应提供自有或租赁证明材料（包括但不限于设备购置合同或发票或租赁合同）</w:t>
            </w:r>
          </w:p>
          <w:p w14:paraId="5B26EF2E">
            <w:pPr>
              <w:widowControl/>
              <w:spacing w:line="360" w:lineRule="auto"/>
              <w:jc w:val="left"/>
              <w:textAlignment w:val="top"/>
              <w:rPr>
                <w:rFonts w:ascii="仿宋" w:hAnsi="仿宋" w:eastAsia="仿宋" w:cs="仿宋"/>
                <w:sz w:val="24"/>
                <w:szCs w:val="24"/>
                <w:highlight w:val="none"/>
              </w:rPr>
            </w:pPr>
            <w:r>
              <w:rPr>
                <w:rFonts w:hint="eastAsia" w:ascii="仿宋" w:hAnsi="仿宋" w:eastAsia="仿宋" w:cs="仿宋"/>
                <w:sz w:val="24"/>
                <w:szCs w:val="24"/>
                <w:highlight w:val="none"/>
              </w:rPr>
              <w:t>不提供设备或提供设备不得当则不得分。</w:t>
            </w:r>
          </w:p>
        </w:tc>
      </w:tr>
      <w:tr w14:paraId="31B03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restart"/>
            <w:tcBorders>
              <w:tl2br w:val="nil"/>
              <w:tr2bl w:val="nil"/>
            </w:tcBorders>
            <w:vAlign w:val="center"/>
          </w:tcPr>
          <w:p w14:paraId="2248FCEB">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技术部分（60分）</w:t>
            </w:r>
          </w:p>
        </w:tc>
        <w:tc>
          <w:tcPr>
            <w:tcW w:w="1134" w:type="dxa"/>
            <w:tcBorders>
              <w:tl2br w:val="nil"/>
              <w:tr2bl w:val="nil"/>
            </w:tcBorders>
            <w:vAlign w:val="center"/>
          </w:tcPr>
          <w:p w14:paraId="093C6097">
            <w:pPr>
              <w:pStyle w:val="24"/>
              <w:spacing w:line="360" w:lineRule="auto"/>
              <w:ind w:right="31" w:rightChars="15"/>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资料收集、分析利用</w:t>
            </w:r>
          </w:p>
        </w:tc>
        <w:tc>
          <w:tcPr>
            <w:tcW w:w="709" w:type="dxa"/>
            <w:tcBorders>
              <w:tl2br w:val="nil"/>
              <w:tr2bl w:val="nil"/>
            </w:tcBorders>
            <w:vAlign w:val="center"/>
          </w:tcPr>
          <w:p w14:paraId="2E252455">
            <w:pPr>
              <w:pStyle w:val="24"/>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6484" w:type="dxa"/>
            <w:tcBorders>
              <w:tl2br w:val="nil"/>
              <w:tr2bl w:val="nil"/>
            </w:tcBorders>
            <w:vAlign w:val="center"/>
          </w:tcPr>
          <w:p w14:paraId="4A6A1BFA">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针对此项目的目标任务，包括但不限于以下3部分要素：①区域地质资料；②邻井地质资料；③</w:t>
            </w:r>
            <w:r>
              <w:rPr>
                <w:rFonts w:hint="eastAsia" w:ascii="仿宋" w:hAnsi="仿宋" w:eastAsia="仿宋" w:cs="仿宋"/>
                <w:sz w:val="24"/>
                <w:szCs w:val="24"/>
                <w:highlight w:val="none"/>
                <w:lang w:val="en-US" w:eastAsia="zh-CN"/>
              </w:rPr>
              <w:t>邻井</w:t>
            </w:r>
            <w:r>
              <w:rPr>
                <w:rFonts w:hint="eastAsia" w:ascii="仿宋" w:hAnsi="仿宋" w:eastAsia="仿宋" w:cs="仿宋"/>
                <w:sz w:val="24"/>
                <w:szCs w:val="24"/>
                <w:highlight w:val="none"/>
              </w:rPr>
              <w:t>测录井资料。</w:t>
            </w:r>
          </w:p>
          <w:p w14:paraId="07A147DD">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所有要素齐全且完全满足项目要求得12分;每缺少一项内容的扣4分;每有一处缺陷的扣1分;扣完为止，未提供不得分。（缺陷是指:存在不适用该项目实际情况的情形、凭空编造、内容前后不一致、前后逻辑错误、涉及的规范及标准错误、地点区域错误、内容缺失、不符合采购需求的任意一项）</w:t>
            </w:r>
          </w:p>
        </w:tc>
      </w:tr>
      <w:tr w14:paraId="7BD7F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377C48C4">
            <w:pPr>
              <w:widowControl/>
              <w:spacing w:line="360" w:lineRule="auto"/>
              <w:jc w:val="left"/>
              <w:rPr>
                <w:rFonts w:ascii="仿宋" w:hAnsi="仿宋" w:eastAsia="仿宋" w:cs="仿宋"/>
                <w:color w:val="000000" w:themeColor="text1"/>
                <w:sz w:val="24"/>
                <w:szCs w:val="24"/>
                <w14:textFill>
                  <w14:solidFill>
                    <w14:schemeClr w14:val="tx1"/>
                  </w14:solidFill>
                </w14:textFill>
              </w:rPr>
            </w:pPr>
          </w:p>
        </w:tc>
        <w:tc>
          <w:tcPr>
            <w:tcW w:w="1134" w:type="dxa"/>
            <w:tcBorders>
              <w:tl2br w:val="nil"/>
              <w:tr2bl w:val="nil"/>
            </w:tcBorders>
            <w:shd w:val="clear" w:color="auto" w:fill="auto"/>
            <w:vAlign w:val="center"/>
          </w:tcPr>
          <w:p w14:paraId="6D0678C2">
            <w:pPr>
              <w:pStyle w:val="24"/>
              <w:spacing w:line="360" w:lineRule="auto"/>
              <w:ind w:right="31" w:rightChars="15"/>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技术要求与工作方法</w:t>
            </w:r>
          </w:p>
        </w:tc>
        <w:tc>
          <w:tcPr>
            <w:tcW w:w="709" w:type="dxa"/>
            <w:tcBorders>
              <w:tl2br w:val="nil"/>
              <w:tr2bl w:val="nil"/>
            </w:tcBorders>
            <w:shd w:val="clear" w:color="auto" w:fill="auto"/>
            <w:vAlign w:val="center"/>
          </w:tcPr>
          <w:p w14:paraId="66FD778F">
            <w:pPr>
              <w:pStyle w:val="24"/>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0</w:t>
            </w:r>
          </w:p>
        </w:tc>
        <w:tc>
          <w:tcPr>
            <w:tcW w:w="6484" w:type="dxa"/>
            <w:tcBorders>
              <w:tl2br w:val="nil"/>
              <w:tr2bl w:val="nil"/>
            </w:tcBorders>
            <w:shd w:val="clear" w:color="auto" w:fill="auto"/>
          </w:tcPr>
          <w:p w14:paraId="06666583">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投标人应根据项目建设需求，采用具体的工作方法，包括但不限于以下5部分要素：①录井装备和人员配置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②施工技术方案，包含施工前的准备工作</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③关键技术问题的解决方案</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④进度计划保障措施及</w:t>
            </w:r>
            <w:r>
              <w:rPr>
                <w:rFonts w:ascii="仿宋" w:hAnsi="仿宋" w:eastAsia="仿宋" w:cs="仿宋"/>
                <w:sz w:val="24"/>
                <w:szCs w:val="24"/>
                <w:highlight w:val="none"/>
              </w:rPr>
              <w:t>影响进度因素分析、调整进度的方法和措施</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⑤施工过程中可能出现的异常情况的相应的处置措施。</w:t>
            </w:r>
          </w:p>
          <w:p w14:paraId="587CFEE3">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所有要素齐全且完全满足项目要求得</w:t>
            </w:r>
            <w:r>
              <w:rPr>
                <w:rFonts w:ascii="仿宋" w:hAnsi="仿宋" w:eastAsia="仿宋" w:cs="仿宋"/>
                <w:sz w:val="24"/>
                <w:szCs w:val="24"/>
                <w:highlight w:val="none"/>
              </w:rPr>
              <w:t>2</w:t>
            </w:r>
            <w:r>
              <w:rPr>
                <w:rFonts w:hint="eastAsia" w:ascii="仿宋" w:hAnsi="仿宋" w:eastAsia="仿宋" w:cs="仿宋"/>
                <w:sz w:val="24"/>
                <w:szCs w:val="24"/>
                <w:highlight w:val="none"/>
              </w:rPr>
              <w:t>0分;每缺少一项内容的扣</w:t>
            </w:r>
            <w:r>
              <w:rPr>
                <w:rFonts w:ascii="仿宋" w:hAnsi="仿宋" w:eastAsia="仿宋" w:cs="仿宋"/>
                <w:sz w:val="24"/>
                <w:szCs w:val="24"/>
                <w:highlight w:val="none"/>
              </w:rPr>
              <w:t>4</w:t>
            </w:r>
            <w:r>
              <w:rPr>
                <w:rFonts w:hint="eastAsia" w:ascii="仿宋" w:hAnsi="仿宋" w:eastAsia="仿宋" w:cs="仿宋"/>
                <w:sz w:val="24"/>
                <w:szCs w:val="24"/>
                <w:highlight w:val="none"/>
              </w:rPr>
              <w:t>分;每有一处缺陷的扣1分;扣完为止，未提供不得分。（缺陷是指:存在不适用该项目实际情况的情形、凭空编造、内容前后不一致、前后逻辑错误、涉及的规范及标准错误、地点区域错误、内容缺失、不符合采购需求的任意一项）</w:t>
            </w:r>
          </w:p>
        </w:tc>
      </w:tr>
      <w:tr w14:paraId="16D81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3FE5CA6C">
            <w:pPr>
              <w:widowControl/>
              <w:spacing w:line="360" w:lineRule="auto"/>
              <w:jc w:val="left"/>
              <w:rPr>
                <w:rFonts w:ascii="仿宋" w:hAnsi="仿宋" w:eastAsia="仿宋" w:cs="仿宋"/>
                <w:color w:val="000000" w:themeColor="text1"/>
                <w:sz w:val="24"/>
                <w:szCs w:val="24"/>
                <w14:textFill>
                  <w14:solidFill>
                    <w14:schemeClr w14:val="tx1"/>
                  </w14:solidFill>
                </w14:textFill>
              </w:rPr>
            </w:pPr>
          </w:p>
        </w:tc>
        <w:tc>
          <w:tcPr>
            <w:tcW w:w="1134" w:type="dxa"/>
            <w:tcBorders>
              <w:tl2br w:val="nil"/>
              <w:tr2bl w:val="nil"/>
            </w:tcBorders>
            <w:shd w:val="clear" w:color="auto" w:fill="auto"/>
            <w:vAlign w:val="center"/>
          </w:tcPr>
          <w:p w14:paraId="4FD5874A">
            <w:pPr>
              <w:pStyle w:val="24"/>
              <w:spacing w:line="360" w:lineRule="auto"/>
              <w:ind w:right="31" w:rightChars="15"/>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服务质量控制措施</w:t>
            </w:r>
          </w:p>
        </w:tc>
        <w:tc>
          <w:tcPr>
            <w:tcW w:w="709" w:type="dxa"/>
            <w:tcBorders>
              <w:tl2br w:val="nil"/>
              <w:tr2bl w:val="nil"/>
            </w:tcBorders>
            <w:shd w:val="clear" w:color="auto" w:fill="auto"/>
            <w:vAlign w:val="center"/>
          </w:tcPr>
          <w:p w14:paraId="60FB3087">
            <w:pPr>
              <w:pStyle w:val="24"/>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ascii="仿宋" w:hAnsi="仿宋" w:eastAsia="仿宋" w:cs="仿宋"/>
                <w:color w:val="000000" w:themeColor="text1"/>
                <w:sz w:val="24"/>
                <w:szCs w:val="24"/>
                <w:highlight w:val="none"/>
                <w14:textFill>
                  <w14:solidFill>
                    <w14:schemeClr w14:val="tx1"/>
                  </w14:solidFill>
                </w14:textFill>
              </w:rPr>
              <w:t>2</w:t>
            </w:r>
          </w:p>
        </w:tc>
        <w:tc>
          <w:tcPr>
            <w:tcW w:w="6484" w:type="dxa"/>
            <w:tcBorders>
              <w:tl2br w:val="nil"/>
              <w:tr2bl w:val="nil"/>
            </w:tcBorders>
            <w:shd w:val="clear" w:color="auto" w:fill="auto"/>
            <w:vAlign w:val="center"/>
          </w:tcPr>
          <w:p w14:paraId="4F09E4C3">
            <w:pPr>
              <w:pStyle w:val="233"/>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服务质量控制措施包括但不限于以下</w:t>
            </w:r>
            <w:r>
              <w:rPr>
                <w:rFonts w:ascii="仿宋" w:hAnsi="仿宋" w:eastAsia="仿宋" w:cs="仿宋"/>
                <w:sz w:val="24"/>
                <w:szCs w:val="24"/>
                <w:highlight w:val="none"/>
              </w:rPr>
              <w:t>3</w:t>
            </w:r>
            <w:r>
              <w:rPr>
                <w:rFonts w:hint="eastAsia" w:ascii="仿宋" w:hAnsi="仿宋" w:eastAsia="仿宋" w:cs="仿宋"/>
                <w:sz w:val="24"/>
                <w:szCs w:val="24"/>
                <w:highlight w:val="none"/>
              </w:rPr>
              <w:t>部分要素：①质量管理组织机构及职责分工；②质量目标及保证体系；③</w:t>
            </w:r>
            <w:r>
              <w:rPr>
                <w:rFonts w:ascii="仿宋" w:hAnsi="仿宋" w:eastAsia="仿宋" w:cs="仿宋"/>
                <w:sz w:val="24"/>
                <w:szCs w:val="24"/>
                <w:highlight w:val="none"/>
              </w:rPr>
              <w:t>重点、难点工序和关键部位针对性措施</w:t>
            </w:r>
            <w:r>
              <w:rPr>
                <w:rFonts w:hint="eastAsia" w:ascii="仿宋" w:hAnsi="仿宋" w:eastAsia="仿宋" w:cs="仿宋"/>
                <w:sz w:val="24"/>
                <w:szCs w:val="24"/>
                <w:highlight w:val="none"/>
              </w:rPr>
              <w:t>。</w:t>
            </w:r>
          </w:p>
          <w:p w14:paraId="1FEACA59">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所有要素齐全且完全满足项目要求得12分，每缺一个要素扣</w:t>
            </w:r>
            <w:r>
              <w:rPr>
                <w:rFonts w:ascii="仿宋" w:hAnsi="仿宋" w:eastAsia="仿宋" w:cs="仿宋"/>
                <w:sz w:val="24"/>
                <w:szCs w:val="24"/>
                <w:highlight w:val="none"/>
              </w:rPr>
              <w:t>4</w:t>
            </w:r>
            <w:r>
              <w:rPr>
                <w:rFonts w:hint="eastAsia" w:ascii="仿宋" w:hAnsi="仿宋" w:eastAsia="仿宋" w:cs="仿宋"/>
                <w:sz w:val="24"/>
                <w:szCs w:val="24"/>
                <w:highlight w:val="none"/>
              </w:rPr>
              <w:t>分，每个要素里每有一处内容缺陷扣1分（扣完为止），未提供不得分。（缺陷是指:存在不适用该项目实际情况的情形、凭空编造、内容前后不一致、前后逻辑错误、涉及的规范及标准错误、地点区域错误、内容缺失、不符合采购需求的任意一项）。</w:t>
            </w:r>
          </w:p>
        </w:tc>
      </w:tr>
      <w:tr w14:paraId="1781A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59" w:type="dxa"/>
            <w:vMerge w:val="continue"/>
            <w:tcBorders>
              <w:tl2br w:val="nil"/>
              <w:tr2bl w:val="nil"/>
            </w:tcBorders>
            <w:vAlign w:val="center"/>
          </w:tcPr>
          <w:p w14:paraId="576AE3F8">
            <w:pPr>
              <w:widowControl/>
              <w:spacing w:line="360" w:lineRule="auto"/>
              <w:jc w:val="left"/>
              <w:rPr>
                <w:rFonts w:ascii="仿宋" w:hAnsi="仿宋" w:eastAsia="仿宋" w:cs="仿宋"/>
                <w:color w:val="000000" w:themeColor="text1"/>
                <w:sz w:val="24"/>
                <w:szCs w:val="24"/>
                <w14:textFill>
                  <w14:solidFill>
                    <w14:schemeClr w14:val="tx1"/>
                  </w14:solidFill>
                </w14:textFill>
              </w:rPr>
            </w:pPr>
          </w:p>
        </w:tc>
        <w:tc>
          <w:tcPr>
            <w:tcW w:w="1134" w:type="dxa"/>
            <w:tcBorders>
              <w:tl2br w:val="nil"/>
              <w:tr2bl w:val="nil"/>
            </w:tcBorders>
            <w:shd w:val="clear" w:color="auto" w:fill="auto"/>
            <w:vAlign w:val="center"/>
          </w:tcPr>
          <w:p w14:paraId="4FAD7A74">
            <w:pPr>
              <w:pStyle w:val="24"/>
              <w:spacing w:line="360" w:lineRule="auto"/>
              <w:ind w:right="31" w:rightChars="15"/>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安全环保保障措施</w:t>
            </w:r>
          </w:p>
        </w:tc>
        <w:tc>
          <w:tcPr>
            <w:tcW w:w="709" w:type="dxa"/>
            <w:tcBorders>
              <w:tl2br w:val="nil"/>
              <w:tr2bl w:val="nil"/>
            </w:tcBorders>
            <w:shd w:val="clear" w:color="auto" w:fill="auto"/>
            <w:vAlign w:val="center"/>
          </w:tcPr>
          <w:p w14:paraId="4B8DB83A">
            <w:pPr>
              <w:pStyle w:val="24"/>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16</w:t>
            </w:r>
          </w:p>
        </w:tc>
        <w:tc>
          <w:tcPr>
            <w:tcW w:w="6484" w:type="dxa"/>
            <w:tcBorders>
              <w:tl2br w:val="nil"/>
              <w:tr2bl w:val="nil"/>
            </w:tcBorders>
            <w:shd w:val="clear" w:color="auto" w:fill="auto"/>
            <w:vAlign w:val="center"/>
          </w:tcPr>
          <w:p w14:paraId="5E8E7D5F">
            <w:pPr>
              <w:pStyle w:val="233"/>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包括但不限于以下4部分要素：①组织机构及职责；②</w:t>
            </w:r>
            <w:r>
              <w:rPr>
                <w:rFonts w:ascii="仿宋" w:hAnsi="仿宋" w:eastAsia="仿宋" w:cs="仿宋"/>
                <w:sz w:val="24"/>
                <w:szCs w:val="24"/>
                <w:highlight w:val="none"/>
              </w:rPr>
              <w:t>重点环节作业安全环保保障措施</w:t>
            </w:r>
            <w:r>
              <w:rPr>
                <w:rFonts w:hint="eastAsia" w:ascii="仿宋" w:hAnsi="仿宋" w:eastAsia="仿宋" w:cs="仿宋"/>
                <w:sz w:val="24"/>
                <w:szCs w:val="24"/>
                <w:highlight w:val="none"/>
              </w:rPr>
              <w:t>；③紧急事件防范预案及处理；④环境保护措施（包括但不限于防治大气污染措施、防治施工噪声污染措施、环境保护措施、能源和资源消耗的控制措施、防扰民措施等）</w:t>
            </w:r>
          </w:p>
          <w:p w14:paraId="4F46A678">
            <w:pPr>
              <w:pStyle w:val="24"/>
              <w:spacing w:line="360" w:lineRule="auto"/>
              <w:ind w:right="-31" w:rightChars="-15"/>
              <w:rPr>
                <w:rFonts w:ascii="仿宋" w:hAnsi="仿宋" w:eastAsia="仿宋" w:cs="仿宋"/>
                <w:sz w:val="24"/>
                <w:szCs w:val="24"/>
                <w:highlight w:val="none"/>
              </w:rPr>
            </w:pPr>
            <w:r>
              <w:rPr>
                <w:rFonts w:hint="eastAsia" w:ascii="仿宋" w:hAnsi="仿宋" w:eastAsia="仿宋" w:cs="仿宋"/>
                <w:sz w:val="24"/>
                <w:szCs w:val="24"/>
                <w:highlight w:val="none"/>
              </w:rPr>
              <w:t>所有要素齐全且完全满足项目要求得</w:t>
            </w:r>
            <w:r>
              <w:rPr>
                <w:rFonts w:ascii="仿宋" w:hAnsi="仿宋" w:eastAsia="仿宋" w:cs="仿宋"/>
                <w:sz w:val="24"/>
                <w:szCs w:val="24"/>
                <w:highlight w:val="none"/>
              </w:rPr>
              <w:t>16</w:t>
            </w:r>
            <w:r>
              <w:rPr>
                <w:rFonts w:hint="eastAsia" w:ascii="仿宋" w:hAnsi="仿宋" w:eastAsia="仿宋" w:cs="仿宋"/>
                <w:sz w:val="24"/>
                <w:szCs w:val="24"/>
                <w:highlight w:val="none"/>
              </w:rPr>
              <w:t>分，每缺一个要素扣</w:t>
            </w:r>
            <w:r>
              <w:rPr>
                <w:rFonts w:ascii="仿宋" w:hAnsi="仿宋" w:eastAsia="仿宋" w:cs="仿宋"/>
                <w:sz w:val="24"/>
                <w:szCs w:val="24"/>
                <w:highlight w:val="none"/>
              </w:rPr>
              <w:t>4</w:t>
            </w:r>
            <w:r>
              <w:rPr>
                <w:rFonts w:hint="eastAsia" w:ascii="仿宋" w:hAnsi="仿宋" w:eastAsia="仿宋" w:cs="仿宋"/>
                <w:sz w:val="24"/>
                <w:szCs w:val="24"/>
                <w:highlight w:val="none"/>
              </w:rPr>
              <w:t>分，每个要素里每有一处内容缺陷扣1分（扣完为止），未提供不得分。（缺陷是指:存在不适用该项目实际情况的情形、凭空编造、内容前后不一致、前后逻辑错误、涉及的规范及标准错误、地点区域错误、内容缺失、不符合采购需求的任意一项）。</w:t>
            </w:r>
          </w:p>
        </w:tc>
      </w:tr>
    </w:tbl>
    <w:p w14:paraId="0C498EA0">
      <w:pPr>
        <w:rPr>
          <w:rFonts w:ascii="仿宋" w:hAnsi="仿宋" w:eastAsia="仿宋" w:cs="仿宋"/>
        </w:rPr>
      </w:pPr>
    </w:p>
    <w:p w14:paraId="11DA9A8F">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4" w:name="_Toc17904"/>
      <w:r>
        <w:rPr>
          <w:rFonts w:hint="eastAsia" w:ascii="仿宋" w:hAnsi="仿宋" w:eastAsia="仿宋" w:cs="仿宋"/>
          <w:b/>
          <w:sz w:val="24"/>
          <w:szCs w:val="24"/>
        </w:rPr>
        <w:t>1. 评标方法</w:t>
      </w:r>
      <w:bookmarkEnd w:id="34"/>
    </w:p>
    <w:p w14:paraId="20D3340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本次评标采用综合评分法。评标小组对满足招标文件实质性要求的投标文件，按照本节规定的评标标准进行评标。评标中各评委若发生意见分歧，以少数服从多数原则确定。</w:t>
      </w:r>
    </w:p>
    <w:p w14:paraId="6F3D800E">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5" w:name="_Toc25431"/>
      <w:r>
        <w:rPr>
          <w:rFonts w:hint="eastAsia" w:ascii="仿宋" w:hAnsi="仿宋" w:eastAsia="仿宋" w:cs="仿宋"/>
          <w:b/>
          <w:sz w:val="24"/>
          <w:szCs w:val="24"/>
        </w:rPr>
        <w:t>2. 评标标准</w:t>
      </w:r>
      <w:bookmarkEnd w:id="35"/>
    </w:p>
    <w:p w14:paraId="1783522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2.1 资格审查：评标因素和评标标准见《资格审查标准》。</w:t>
      </w:r>
    </w:p>
    <w:p w14:paraId="726A3A95">
      <w:pPr>
        <w:widowControl/>
        <w:snapToGrid w:val="0"/>
        <w:spacing w:line="360" w:lineRule="auto"/>
        <w:ind w:left="479" w:leftChars="228"/>
        <w:rPr>
          <w:rFonts w:ascii="仿宋" w:hAnsi="仿宋" w:eastAsia="仿宋" w:cs="仿宋"/>
          <w:kern w:val="0"/>
          <w:sz w:val="24"/>
          <w:szCs w:val="24"/>
        </w:rPr>
      </w:pPr>
      <w:r>
        <w:rPr>
          <w:rFonts w:hint="eastAsia" w:ascii="仿宋" w:hAnsi="仿宋" w:eastAsia="仿宋" w:cs="仿宋"/>
          <w:kern w:val="0"/>
          <w:sz w:val="24"/>
          <w:szCs w:val="24"/>
        </w:rPr>
        <w:t>2.2 符合性审查：评标因素和评标标准见《符合性审查标准》。</w:t>
      </w:r>
    </w:p>
    <w:p w14:paraId="0DD726AA">
      <w:pPr>
        <w:widowControl/>
        <w:snapToGrid w:val="0"/>
        <w:spacing w:line="360" w:lineRule="auto"/>
        <w:ind w:left="479" w:leftChars="228"/>
        <w:rPr>
          <w:rFonts w:ascii="仿宋" w:hAnsi="仿宋" w:eastAsia="仿宋" w:cs="仿宋"/>
          <w:kern w:val="0"/>
          <w:sz w:val="24"/>
          <w:szCs w:val="24"/>
        </w:rPr>
      </w:pPr>
      <w:r>
        <w:rPr>
          <w:rFonts w:hint="eastAsia" w:ascii="仿宋" w:hAnsi="仿宋" w:eastAsia="仿宋" w:cs="仿宋"/>
          <w:kern w:val="0"/>
          <w:sz w:val="24"/>
          <w:szCs w:val="24"/>
        </w:rPr>
        <w:t>2.3详细评审：</w:t>
      </w:r>
    </w:p>
    <w:p w14:paraId="6398054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2.3.1详细评审：评标因素和评标标准见《详细评审标准》及本节第3.5款。</w:t>
      </w:r>
    </w:p>
    <w:p w14:paraId="3B16C10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2.3.2 投标报价评分标准：</w:t>
      </w:r>
    </w:p>
    <w:p w14:paraId="6DE6A86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（1）分值构成及权重：见评标办法前附表。</w:t>
      </w:r>
    </w:p>
    <w:p w14:paraId="4669175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（2）评标基准价计算：见评标办法前附表。</w:t>
      </w:r>
    </w:p>
    <w:p w14:paraId="5F73D01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（3）投标报价得分的计算：见评标办法前附表。</w:t>
      </w:r>
    </w:p>
    <w:p w14:paraId="3ED119C3">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6" w:name="_Toc29324"/>
      <w:r>
        <w:rPr>
          <w:rFonts w:hint="eastAsia" w:ascii="仿宋" w:hAnsi="仿宋" w:eastAsia="仿宋" w:cs="仿宋"/>
          <w:b/>
          <w:sz w:val="24"/>
          <w:szCs w:val="24"/>
        </w:rPr>
        <w:t>3. 评标程序</w:t>
      </w:r>
      <w:bookmarkEnd w:id="36"/>
    </w:p>
    <w:p w14:paraId="5BBA331F">
      <w:pPr>
        <w:tabs>
          <w:tab w:val="center" w:pos="4832"/>
          <w:tab w:val="left" w:pos="7140"/>
        </w:tabs>
        <w:spacing w:line="360" w:lineRule="auto"/>
        <w:ind w:firstLine="470" w:firstLineChars="196"/>
        <w:jc w:val="left"/>
        <w:rPr>
          <w:rFonts w:ascii="仿宋" w:hAnsi="仿宋" w:eastAsia="仿宋" w:cs="仿宋"/>
          <w:kern w:val="0"/>
          <w:sz w:val="24"/>
          <w:szCs w:val="24"/>
        </w:rPr>
      </w:pPr>
      <w:r>
        <w:rPr>
          <w:rFonts w:hint="eastAsia" w:ascii="仿宋" w:hAnsi="仿宋" w:eastAsia="仿宋" w:cs="仿宋"/>
          <w:kern w:val="0"/>
          <w:sz w:val="24"/>
          <w:szCs w:val="24"/>
        </w:rPr>
        <w:t>3.1基本程序</w:t>
      </w:r>
    </w:p>
    <w:p w14:paraId="7EB09AD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评标活动将按以下步骤进行：</w:t>
      </w:r>
    </w:p>
    <w:p w14:paraId="065CCBF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（1）评标准备</w:t>
      </w:r>
    </w:p>
    <w:p w14:paraId="0E1A6BB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（2）资格审查</w:t>
      </w:r>
    </w:p>
    <w:p w14:paraId="1FFDC71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（3）符合性审查</w:t>
      </w:r>
    </w:p>
    <w:p w14:paraId="69252E9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（4）详细评审</w:t>
      </w:r>
    </w:p>
    <w:p w14:paraId="7D68B11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（5）澄清、说明或补正</w:t>
      </w:r>
    </w:p>
    <w:p w14:paraId="2A72D56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（6）推荐中标候选人及提交评标报告</w:t>
      </w:r>
    </w:p>
    <w:p w14:paraId="03C75A7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 评标准备</w:t>
      </w:r>
    </w:p>
    <w:p w14:paraId="45D0361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3.2.1评标小组成员签到</w:t>
      </w:r>
    </w:p>
    <w:p w14:paraId="54378CA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评标小组成员到达评标现场时应当在签到表上签到以证明其出席。</w:t>
      </w:r>
    </w:p>
    <w:p w14:paraId="7CE5811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 评标小组的分工</w:t>
      </w:r>
    </w:p>
    <w:p w14:paraId="7DF7E9D2">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3.2.2.1评标小组首先推选一名评标小组主任。评标小组主任负责评标活动的组织领导工作。评标小组主任与评标小组其他成员具有同等的评标权力。</w:t>
      </w:r>
    </w:p>
    <w:p w14:paraId="31C1227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3.2.2.2 评标小组主任除履行自己作为评标小组成员独立评标的职责外，主要负责以下工作：</w:t>
      </w:r>
    </w:p>
    <w:p w14:paraId="284BDD9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（1）组织评标小组成员学习招标文件；</w:t>
      </w:r>
    </w:p>
    <w:p w14:paraId="7A12F7A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（2）汇总各评标小组成员认为需要投标人澄清、说明或者补正的问题；</w:t>
      </w:r>
    </w:p>
    <w:p w14:paraId="3E12BA9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（3）组织评标小组对投标人质询并对投标人的答复进行评标；</w:t>
      </w:r>
    </w:p>
    <w:p w14:paraId="2E0C834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（4）对出现较大争议的事项进行书面记录；</w:t>
      </w:r>
    </w:p>
    <w:p w14:paraId="0F5EE26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（5）组织收回评标过程中使用的文件、表格和评标记录以及其他资料，并查验评标记录的完整性及有效性；</w:t>
      </w:r>
    </w:p>
    <w:p w14:paraId="78DDEFCC">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（6）组织对评标结论进行复核确认；</w:t>
      </w:r>
    </w:p>
    <w:p w14:paraId="218AE3F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（7）组织编写评标报告。</w:t>
      </w:r>
    </w:p>
    <w:p w14:paraId="6E51F59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 熟悉文件资料</w:t>
      </w:r>
    </w:p>
    <w:p w14:paraId="6ABF58A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2845DAB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3.2.3.2 采购人或采购代理机构应当向评标小组提供评标所需的信息和数据，包括：</w:t>
      </w:r>
    </w:p>
    <w:p w14:paraId="02BACBA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（1）招标文件及其澄清修改等招标文件补充；</w:t>
      </w:r>
    </w:p>
    <w:p w14:paraId="2CF204C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（2）未在开标会上当场拒绝的各投标文件；</w:t>
      </w:r>
    </w:p>
    <w:p w14:paraId="5FD6CDF1">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（3）开标会记录；</w:t>
      </w:r>
    </w:p>
    <w:p w14:paraId="3E5AAF1A">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（4）评标表格；</w:t>
      </w:r>
    </w:p>
    <w:p w14:paraId="3938163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（5）其他信息和数据。</w:t>
      </w:r>
    </w:p>
    <w:p w14:paraId="35F57D3B">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3.3资格审查（适用于资格后审）</w:t>
      </w:r>
    </w:p>
    <w:p w14:paraId="43E4C60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840B244">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3.4符合性审查</w:t>
      </w:r>
    </w:p>
    <w:p w14:paraId="2162A3ED">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6315B61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3.4.2符合性审查条款是指对本招标项目产生了重大影响的重大偏差，而且纠正此类偏差将会对响应本次招标的其他投标人的竞争地位产生不公正的影响。</w:t>
      </w:r>
    </w:p>
    <w:p w14:paraId="127FB3A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1F8A0D4E">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3.5详细评审</w:t>
      </w:r>
    </w:p>
    <w:p w14:paraId="0DF81867">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 只有通过了资格审查、符合性审查且投标人不少于3个方可进入详细评审。</w:t>
      </w:r>
    </w:p>
    <w:p w14:paraId="0EA75CB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 澄清、说明和补正</w:t>
      </w:r>
    </w:p>
    <w:p w14:paraId="1F1CB3A9">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2232892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C39E45">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3.5.3澄清、说明和补正内容不得改变投标文件的实质性内容（算术性错误修正的除外）。投标人的书面澄清、说明和补正属于投标文件的组成部分。</w:t>
      </w:r>
    </w:p>
    <w:p w14:paraId="59DC38D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E8D17C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3.5.5评标小组对投标人提交的澄清、说明或补正有疑问的，可以要求投标人进一步澄清、说明或补正，直至满足评标小组的要求。</w:t>
      </w:r>
    </w:p>
    <w:p w14:paraId="0CBA84E3">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3.5.6评委评分：评委按照《详细评审标准》评分，投标人详细评审得分等于全部评委评分的算术平均值。</w:t>
      </w:r>
    </w:p>
    <w:p w14:paraId="4B3EFD8F">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3.5.7 算术错误修正：投标价格有算术错误的，评标小组按以下原则对投标价格进行修正，修正的价格经投标人书面确认后具有约束力。投标人不接受修正价格的，其投标将被否决。</w:t>
      </w:r>
    </w:p>
    <w:p w14:paraId="4373A370">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（1）投标文件中的大写金额与小写金额不一致的，以大写金额为准；</w:t>
      </w:r>
    </w:p>
    <w:p w14:paraId="1E6B7396">
      <w:pPr>
        <w:widowControl/>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（2）总价金额与依据单价计算出的结果不一致的，以单价金额为准修正总价，但单价金额小数点有明显错误的除外。</w:t>
      </w:r>
    </w:p>
    <w:p w14:paraId="3CD62D8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3.5.8政府采购评审中出现下列情形之一的，评标委员会应当启动异常低价投标（响应）审查程序：</w:t>
      </w:r>
    </w:p>
    <w:p w14:paraId="76D9068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（1）投标报价低于全部通过符合性审查投标人投标报价平均值50%的，即投标报价&lt;全部通过符合性审查投标人投标报价平均值×50%；</w:t>
      </w:r>
    </w:p>
    <w:p w14:paraId="31B2716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（2）投标报价低于通过符合性审查的次低报价投标人投标报价50%的，即投标报价&lt;通过符合性审查的次低报价投标人投标报价×50%；</w:t>
      </w:r>
    </w:p>
    <w:p w14:paraId="5DEE717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（3）投标报价低于采购项目最高限价45%的，即投标报价&lt;采购项目最高限价×45%；</w:t>
      </w:r>
    </w:p>
    <w:p w14:paraId="076BF14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（4）评标委员会基于专业判断，认为投标人报价过低，有可能影响产品质量或者不能诚信履约的其他情形。</w:t>
      </w:r>
    </w:p>
    <w:p w14:paraId="42F2F43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3.5.8.1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6511243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3.5.8.2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52F9B2C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3.5.9投标报价评分：对投标报价进行投标报价得分计算，计算方法详见评标办法前附表。</w:t>
      </w:r>
    </w:p>
    <w:p w14:paraId="1DFC1C4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3.5.10 汇总评分结果，评分分值计算保留小数点后两位，小数点后第三位“四舍五入”。</w:t>
      </w:r>
    </w:p>
    <w:p w14:paraId="6D536F0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 详细评审工作全部结束后，投标人总得分排序按照以下原则进行。</w:t>
      </w:r>
    </w:p>
    <w:p w14:paraId="568EE30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3.6.11.1按照总得分由高到低顺序对投标人进行排序；</w:t>
      </w:r>
    </w:p>
    <w:p w14:paraId="1BE008C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3.6.11.2总得分相同时报价低的投标人排序靠前；</w:t>
      </w:r>
    </w:p>
    <w:p w14:paraId="6695DCE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3.6.11.3总得分相同且报价相同的，采取随机抽取方式确定排序顺序。</w:t>
      </w:r>
    </w:p>
    <w:p w14:paraId="6574E89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3.7推荐中标候选人及提交评标报告</w:t>
      </w:r>
    </w:p>
    <w:p w14:paraId="3A20132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3.7.1评标小组推荐中标候选人，总得分排序第一的投标人将被确定为第一中标候选人，以此类推确定出规定数量的的中标候选人。</w:t>
      </w:r>
    </w:p>
    <w:p w14:paraId="76E68DE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3.7.2当通过了资格审查、符合性审查后，投标人少于3个时，采购人应当依法重新招标。</w:t>
      </w:r>
    </w:p>
    <w:p w14:paraId="043A6BA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3.7.3 评标小组完成评标后，应当向采购人提交书面评标报告。</w:t>
      </w:r>
    </w:p>
    <w:p w14:paraId="7151B09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3.8特殊情况的处置程序</w:t>
      </w:r>
    </w:p>
    <w:p w14:paraId="46222CC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3.8.1 关于评标活动暂停</w:t>
      </w:r>
    </w:p>
    <w:p w14:paraId="46FCFEB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D94201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3.8.2关于评标中途更换评委</w:t>
      </w:r>
    </w:p>
    <w:p w14:paraId="31C93E5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3.8.2.1 除非发生下列情况之一，评标小组成员不得在评标中途更换：</w:t>
      </w:r>
    </w:p>
    <w:p w14:paraId="79D9A4B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（1）因不可抗拒的客观原因，不能到场或需在评标中途退出评标活动。</w:t>
      </w:r>
    </w:p>
    <w:p w14:paraId="39BF503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（2）根据法律法规规定，某个或某几个评标小组成员需要回避。</w:t>
      </w:r>
    </w:p>
    <w:p w14:paraId="7415D2A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3.8.2.2 退出评标的评标小组成员，其已完成的评标行为无效，由更换的评委进行评标。</w:t>
      </w:r>
    </w:p>
    <w:p w14:paraId="18B63CE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3.8.3 在评标环节中，需评标小组就某项定性的评标结论做出表决的，由评标小组全体成员按照少数服从多数的原则确定。</w:t>
      </w:r>
    </w:p>
    <w:p w14:paraId="61F8E039">
      <w:pPr>
        <w:widowControl/>
        <w:snapToGrid w:val="0"/>
        <w:spacing w:line="360" w:lineRule="auto"/>
        <w:ind w:firstLine="480" w:firstLineChars="200"/>
        <w:rPr>
          <w:rFonts w:ascii="仿宋" w:hAnsi="仿宋" w:eastAsia="仿宋" w:cs="仿宋"/>
          <w:kern w:val="0"/>
          <w:sz w:val="24"/>
          <w:szCs w:val="24"/>
        </w:rPr>
      </w:pPr>
    </w:p>
    <w:p w14:paraId="11410A54">
      <w:pPr>
        <w:rPr>
          <w:rFonts w:ascii="仿宋" w:hAnsi="仿宋" w:eastAsia="仿宋" w:cs="仿宋"/>
          <w:b/>
          <w:sz w:val="24"/>
          <w:szCs w:val="24"/>
        </w:rPr>
      </w:pPr>
      <w:bookmarkStart w:id="37" w:name="_Toc485312286"/>
    </w:p>
    <w:p w14:paraId="2E01BECF">
      <w:pPr>
        <w:widowControl/>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问题澄清通知</w:t>
      </w:r>
    </w:p>
    <w:p w14:paraId="0FBA19D4">
      <w:pPr>
        <w:spacing w:line="360" w:lineRule="auto"/>
        <w:rPr>
          <w:rFonts w:ascii="仿宋" w:hAnsi="仿宋" w:eastAsia="仿宋" w:cs="仿宋"/>
          <w:sz w:val="24"/>
          <w:szCs w:val="24"/>
        </w:rPr>
      </w:pPr>
    </w:p>
    <w:p w14:paraId="581D6055">
      <w:pPr>
        <w:spacing w:line="360" w:lineRule="auto"/>
        <w:rPr>
          <w:rFonts w:ascii="仿宋" w:hAnsi="仿宋" w:eastAsia="仿宋" w:cs="仿宋"/>
          <w:kern w:val="0"/>
          <w:sz w:val="24"/>
          <w:szCs w:val="24"/>
        </w:rPr>
      </w:pPr>
      <w:r>
        <w:rPr>
          <w:rFonts w:hint="eastAsia" w:ascii="仿宋" w:hAnsi="仿宋" w:eastAsia="仿宋" w:cs="仿宋"/>
          <w:kern w:val="0"/>
          <w:sz w:val="24"/>
          <w:szCs w:val="24"/>
        </w:rPr>
        <w:t>（投标人名称）：</w:t>
      </w:r>
    </w:p>
    <w:p w14:paraId="0D82863A">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（招标项目名称）招标的评标小组，对你方的投标文件进行了仔细的审查，现需你方对本通知所附质疑问卷中的问题以书面形式予以澄清、说明或者补正。</w:t>
      </w:r>
    </w:p>
    <w:p w14:paraId="4DCBAACC">
      <w:pPr>
        <w:spacing w:line="360" w:lineRule="auto"/>
        <w:rPr>
          <w:rFonts w:ascii="仿宋" w:hAnsi="仿宋" w:eastAsia="仿宋" w:cs="仿宋"/>
          <w:kern w:val="0"/>
          <w:sz w:val="24"/>
          <w:szCs w:val="24"/>
        </w:rPr>
      </w:pPr>
      <w:r>
        <w:rPr>
          <w:rFonts w:hint="eastAsia" w:ascii="仿宋" w:hAnsi="仿宋" w:eastAsia="仿宋" w:cs="仿宋"/>
          <w:kern w:val="0"/>
          <w:sz w:val="24"/>
          <w:szCs w:val="24"/>
        </w:rPr>
        <w:t>质疑问题：</w:t>
      </w:r>
    </w:p>
    <w:p w14:paraId="308552AA">
      <w:pPr>
        <w:spacing w:line="360" w:lineRule="auto"/>
        <w:rPr>
          <w:rFonts w:ascii="仿宋" w:hAnsi="仿宋" w:eastAsia="仿宋" w:cs="仿宋"/>
          <w:kern w:val="0"/>
          <w:sz w:val="24"/>
          <w:szCs w:val="24"/>
        </w:rPr>
      </w:pPr>
    </w:p>
    <w:p w14:paraId="62A3D35D">
      <w:pPr>
        <w:spacing w:line="360" w:lineRule="auto"/>
        <w:rPr>
          <w:rFonts w:ascii="仿宋" w:hAnsi="仿宋" w:eastAsia="仿宋" w:cs="仿宋"/>
          <w:kern w:val="0"/>
          <w:sz w:val="24"/>
          <w:szCs w:val="24"/>
        </w:rPr>
      </w:pPr>
    </w:p>
    <w:p w14:paraId="1D556F5B">
      <w:pPr>
        <w:spacing w:line="360" w:lineRule="auto"/>
        <w:rPr>
          <w:rFonts w:ascii="仿宋" w:hAnsi="仿宋" w:eastAsia="仿宋" w:cs="仿宋"/>
          <w:kern w:val="0"/>
          <w:sz w:val="24"/>
          <w:szCs w:val="24"/>
        </w:rPr>
      </w:pPr>
    </w:p>
    <w:p w14:paraId="2E90C6D6">
      <w:pPr>
        <w:spacing w:line="360" w:lineRule="auto"/>
        <w:rPr>
          <w:rFonts w:ascii="仿宋" w:hAnsi="仿宋" w:eastAsia="仿宋" w:cs="仿宋"/>
          <w:kern w:val="0"/>
          <w:sz w:val="24"/>
          <w:szCs w:val="24"/>
        </w:rPr>
      </w:pPr>
    </w:p>
    <w:p w14:paraId="49407246">
      <w:pPr>
        <w:spacing w:line="360" w:lineRule="auto"/>
        <w:rPr>
          <w:rFonts w:ascii="仿宋" w:hAnsi="仿宋" w:eastAsia="仿宋" w:cs="仿宋"/>
          <w:kern w:val="0"/>
          <w:sz w:val="24"/>
          <w:szCs w:val="24"/>
        </w:rPr>
      </w:pPr>
    </w:p>
    <w:p w14:paraId="3D3FFB24">
      <w:pPr>
        <w:spacing w:line="360" w:lineRule="auto"/>
        <w:rPr>
          <w:rFonts w:ascii="仿宋" w:hAnsi="仿宋" w:eastAsia="仿宋" w:cs="仿宋"/>
          <w:kern w:val="0"/>
          <w:sz w:val="24"/>
          <w:szCs w:val="24"/>
        </w:rPr>
      </w:pPr>
    </w:p>
    <w:p w14:paraId="30296E0C">
      <w:pPr>
        <w:spacing w:line="360" w:lineRule="auto"/>
        <w:rPr>
          <w:rFonts w:ascii="仿宋" w:hAnsi="仿宋" w:eastAsia="仿宋" w:cs="仿宋"/>
          <w:kern w:val="0"/>
          <w:sz w:val="24"/>
          <w:szCs w:val="24"/>
        </w:rPr>
      </w:pPr>
    </w:p>
    <w:p w14:paraId="0E6B94AE">
      <w:pPr>
        <w:spacing w:line="360" w:lineRule="auto"/>
        <w:rPr>
          <w:rFonts w:ascii="仿宋" w:hAnsi="仿宋" w:eastAsia="仿宋" w:cs="仿宋"/>
          <w:kern w:val="0"/>
          <w:sz w:val="24"/>
          <w:szCs w:val="24"/>
        </w:rPr>
      </w:pPr>
    </w:p>
    <w:p w14:paraId="656327DA">
      <w:pPr>
        <w:spacing w:line="360" w:lineRule="auto"/>
        <w:rPr>
          <w:rFonts w:ascii="仿宋" w:hAnsi="仿宋" w:eastAsia="仿宋" w:cs="仿宋"/>
          <w:kern w:val="0"/>
          <w:sz w:val="24"/>
          <w:szCs w:val="24"/>
        </w:rPr>
      </w:pPr>
    </w:p>
    <w:p w14:paraId="6F60182C">
      <w:pPr>
        <w:spacing w:line="360" w:lineRule="auto"/>
        <w:rPr>
          <w:rFonts w:ascii="仿宋" w:hAnsi="仿宋" w:eastAsia="仿宋" w:cs="仿宋"/>
          <w:kern w:val="0"/>
          <w:sz w:val="24"/>
          <w:szCs w:val="24"/>
        </w:rPr>
      </w:pPr>
    </w:p>
    <w:p w14:paraId="31454C33">
      <w:pPr>
        <w:spacing w:line="360" w:lineRule="auto"/>
        <w:rPr>
          <w:rFonts w:ascii="仿宋" w:hAnsi="仿宋" w:eastAsia="仿宋" w:cs="仿宋"/>
          <w:kern w:val="0"/>
          <w:sz w:val="24"/>
          <w:szCs w:val="24"/>
        </w:rPr>
      </w:pPr>
      <w:r>
        <w:rPr>
          <w:rFonts w:hint="eastAsia" w:ascii="仿宋" w:hAnsi="仿宋" w:eastAsia="仿宋" w:cs="仿宋"/>
          <w:kern w:val="0"/>
          <w:sz w:val="24"/>
          <w:szCs w:val="24"/>
        </w:rPr>
        <w:t>评标小组成员（签字）：</w:t>
      </w:r>
    </w:p>
    <w:p w14:paraId="023EBB86">
      <w:pPr>
        <w:spacing w:line="360" w:lineRule="auto"/>
        <w:rPr>
          <w:rFonts w:ascii="仿宋" w:hAnsi="仿宋" w:eastAsia="仿宋" w:cs="仿宋"/>
          <w:kern w:val="0"/>
          <w:sz w:val="24"/>
          <w:szCs w:val="24"/>
        </w:rPr>
      </w:pPr>
    </w:p>
    <w:p w14:paraId="6C8AAEAA">
      <w:pPr>
        <w:spacing w:line="360" w:lineRule="auto"/>
        <w:rPr>
          <w:rFonts w:ascii="仿宋" w:hAnsi="仿宋" w:eastAsia="仿宋" w:cs="仿宋"/>
          <w:kern w:val="0"/>
          <w:sz w:val="24"/>
          <w:szCs w:val="24"/>
        </w:rPr>
      </w:pPr>
      <w:r>
        <w:rPr>
          <w:rFonts w:hint="eastAsia" w:ascii="仿宋" w:hAnsi="仿宋" w:eastAsia="仿宋" w:cs="仿宋"/>
          <w:kern w:val="0"/>
          <w:sz w:val="24"/>
          <w:szCs w:val="24"/>
        </w:rPr>
        <w:t>日期：年月日</w:t>
      </w:r>
    </w:p>
    <w:p w14:paraId="52CB139F">
      <w:pPr>
        <w:spacing w:line="360" w:lineRule="auto"/>
        <w:jc w:val="center"/>
        <w:rPr>
          <w:rFonts w:ascii="仿宋" w:hAnsi="仿宋" w:eastAsia="仿宋" w:cs="仿宋"/>
          <w:b/>
          <w:sz w:val="24"/>
          <w:szCs w:val="24"/>
        </w:rPr>
      </w:pPr>
      <w:r>
        <w:rPr>
          <w:rFonts w:hint="eastAsia" w:ascii="仿宋" w:hAnsi="仿宋" w:eastAsia="仿宋" w:cs="仿宋"/>
          <w:kern w:val="0"/>
          <w:sz w:val="24"/>
          <w:szCs w:val="24"/>
        </w:rPr>
        <w:br w:type="page"/>
      </w:r>
      <w:r>
        <w:rPr>
          <w:rFonts w:hint="eastAsia" w:ascii="仿宋" w:hAnsi="仿宋" w:eastAsia="仿宋" w:cs="仿宋"/>
          <w:b/>
          <w:sz w:val="24"/>
          <w:szCs w:val="24"/>
        </w:rPr>
        <w:t>问题的澄清、说明或补正</w:t>
      </w:r>
    </w:p>
    <w:p w14:paraId="131A415F">
      <w:pPr>
        <w:rPr>
          <w:rFonts w:ascii="仿宋" w:hAnsi="仿宋" w:eastAsia="仿宋" w:cs="仿宋"/>
          <w:kern w:val="0"/>
          <w:sz w:val="24"/>
          <w:szCs w:val="24"/>
        </w:rPr>
      </w:pPr>
    </w:p>
    <w:p w14:paraId="6E813684">
      <w:pPr>
        <w:spacing w:line="360" w:lineRule="auto"/>
        <w:rPr>
          <w:rFonts w:ascii="仿宋" w:hAnsi="仿宋" w:eastAsia="仿宋" w:cs="仿宋"/>
          <w:kern w:val="0"/>
          <w:sz w:val="24"/>
          <w:szCs w:val="24"/>
        </w:rPr>
      </w:pPr>
      <w:r>
        <w:rPr>
          <w:rFonts w:hint="eastAsia" w:ascii="仿宋" w:hAnsi="仿宋" w:eastAsia="仿宋" w:cs="仿宋"/>
          <w:kern w:val="0"/>
          <w:sz w:val="24"/>
          <w:szCs w:val="24"/>
        </w:rPr>
        <w:t>评标小组：</w:t>
      </w:r>
    </w:p>
    <w:p w14:paraId="45A11EF7">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（招标项目名称）的问题澄清通知已收悉，现澄清、说明或者补正如下：</w:t>
      </w:r>
    </w:p>
    <w:p w14:paraId="5E3BAC4D">
      <w:pPr>
        <w:spacing w:line="360" w:lineRule="auto"/>
        <w:rPr>
          <w:rFonts w:ascii="仿宋" w:hAnsi="仿宋" w:eastAsia="仿宋" w:cs="仿宋"/>
          <w:kern w:val="0"/>
          <w:sz w:val="24"/>
          <w:szCs w:val="24"/>
        </w:rPr>
      </w:pPr>
    </w:p>
    <w:p w14:paraId="533C4639">
      <w:pPr>
        <w:spacing w:line="360" w:lineRule="auto"/>
        <w:rPr>
          <w:rFonts w:ascii="仿宋" w:hAnsi="仿宋" w:eastAsia="仿宋" w:cs="仿宋"/>
          <w:kern w:val="0"/>
          <w:sz w:val="24"/>
          <w:szCs w:val="24"/>
        </w:rPr>
      </w:pPr>
    </w:p>
    <w:p w14:paraId="3ECC8B32">
      <w:pPr>
        <w:spacing w:line="360" w:lineRule="auto"/>
        <w:rPr>
          <w:rFonts w:ascii="仿宋" w:hAnsi="仿宋" w:eastAsia="仿宋" w:cs="仿宋"/>
          <w:kern w:val="0"/>
          <w:sz w:val="24"/>
          <w:szCs w:val="24"/>
        </w:rPr>
      </w:pPr>
    </w:p>
    <w:p w14:paraId="2CF63821">
      <w:pPr>
        <w:spacing w:line="360" w:lineRule="auto"/>
        <w:rPr>
          <w:rFonts w:ascii="仿宋" w:hAnsi="仿宋" w:eastAsia="仿宋" w:cs="仿宋"/>
          <w:kern w:val="0"/>
          <w:sz w:val="24"/>
          <w:szCs w:val="24"/>
        </w:rPr>
      </w:pPr>
    </w:p>
    <w:p w14:paraId="563530F4">
      <w:pPr>
        <w:spacing w:line="360" w:lineRule="auto"/>
        <w:rPr>
          <w:rFonts w:ascii="仿宋" w:hAnsi="仿宋" w:eastAsia="仿宋" w:cs="仿宋"/>
          <w:kern w:val="0"/>
          <w:sz w:val="24"/>
          <w:szCs w:val="24"/>
        </w:rPr>
      </w:pPr>
    </w:p>
    <w:p w14:paraId="68F2C74F">
      <w:pPr>
        <w:spacing w:line="360" w:lineRule="auto"/>
        <w:rPr>
          <w:rFonts w:ascii="仿宋" w:hAnsi="仿宋" w:eastAsia="仿宋" w:cs="仿宋"/>
          <w:kern w:val="0"/>
          <w:sz w:val="24"/>
          <w:szCs w:val="24"/>
        </w:rPr>
      </w:pPr>
    </w:p>
    <w:p w14:paraId="4BFDE0D9">
      <w:pPr>
        <w:spacing w:line="360" w:lineRule="auto"/>
        <w:rPr>
          <w:rFonts w:ascii="仿宋" w:hAnsi="仿宋" w:eastAsia="仿宋" w:cs="仿宋"/>
          <w:kern w:val="0"/>
          <w:sz w:val="24"/>
          <w:szCs w:val="24"/>
        </w:rPr>
      </w:pPr>
    </w:p>
    <w:p w14:paraId="7D779FAD">
      <w:pPr>
        <w:spacing w:line="360" w:lineRule="auto"/>
        <w:rPr>
          <w:rFonts w:ascii="仿宋" w:hAnsi="仿宋" w:eastAsia="仿宋" w:cs="仿宋"/>
          <w:kern w:val="0"/>
          <w:sz w:val="24"/>
          <w:szCs w:val="24"/>
        </w:rPr>
      </w:pPr>
    </w:p>
    <w:p w14:paraId="0B18638F">
      <w:pPr>
        <w:spacing w:line="360" w:lineRule="auto"/>
        <w:rPr>
          <w:rFonts w:ascii="仿宋" w:hAnsi="仿宋" w:eastAsia="仿宋" w:cs="仿宋"/>
          <w:kern w:val="0"/>
          <w:sz w:val="24"/>
          <w:szCs w:val="24"/>
        </w:rPr>
      </w:pPr>
    </w:p>
    <w:p w14:paraId="71E83C03">
      <w:pPr>
        <w:spacing w:line="360" w:lineRule="auto"/>
        <w:rPr>
          <w:rFonts w:ascii="仿宋" w:hAnsi="仿宋" w:eastAsia="仿宋" w:cs="仿宋"/>
          <w:kern w:val="0"/>
          <w:sz w:val="24"/>
          <w:szCs w:val="24"/>
        </w:rPr>
      </w:pPr>
      <w:r>
        <w:rPr>
          <w:rFonts w:hint="eastAsia" w:ascii="仿宋" w:hAnsi="仿宋" w:eastAsia="仿宋" w:cs="仿宋"/>
          <w:kern w:val="0"/>
          <w:sz w:val="24"/>
          <w:szCs w:val="24"/>
        </w:rPr>
        <w:t>法定代表人或其授权委托人（签字）：</w:t>
      </w:r>
    </w:p>
    <w:p w14:paraId="1273672D">
      <w:pPr>
        <w:spacing w:line="360" w:lineRule="auto"/>
        <w:rPr>
          <w:rFonts w:ascii="仿宋" w:hAnsi="仿宋" w:eastAsia="仿宋" w:cs="仿宋"/>
          <w:kern w:val="0"/>
          <w:sz w:val="24"/>
          <w:szCs w:val="24"/>
        </w:rPr>
      </w:pPr>
    </w:p>
    <w:p w14:paraId="0D8E02E1">
      <w:pPr>
        <w:spacing w:line="360" w:lineRule="auto"/>
        <w:rPr>
          <w:rFonts w:ascii="仿宋" w:hAnsi="仿宋" w:eastAsia="仿宋" w:cs="仿宋"/>
          <w:kern w:val="0"/>
          <w:sz w:val="24"/>
          <w:szCs w:val="24"/>
        </w:rPr>
      </w:pPr>
      <w:r>
        <w:rPr>
          <w:rFonts w:hint="eastAsia" w:ascii="仿宋" w:hAnsi="仿宋" w:eastAsia="仿宋" w:cs="仿宋"/>
          <w:kern w:val="0"/>
          <w:sz w:val="24"/>
          <w:szCs w:val="24"/>
        </w:rPr>
        <w:t>日期：年月日</w:t>
      </w:r>
    </w:p>
    <w:p w14:paraId="14F88611">
      <w:pPr>
        <w:spacing w:line="360" w:lineRule="auto"/>
        <w:jc w:val="center"/>
        <w:outlineLvl w:val="0"/>
        <w:rPr>
          <w:rFonts w:ascii="仿宋" w:hAnsi="仿宋" w:eastAsia="仿宋" w:cs="仿宋"/>
          <w:b/>
          <w:sz w:val="24"/>
          <w:szCs w:val="24"/>
        </w:rPr>
      </w:pPr>
      <w:r>
        <w:rPr>
          <w:rFonts w:hint="eastAsia" w:ascii="仿宋" w:hAnsi="仿宋" w:eastAsia="仿宋" w:cs="仿宋"/>
          <w:kern w:val="0"/>
          <w:sz w:val="24"/>
          <w:szCs w:val="24"/>
        </w:rPr>
        <w:br w:type="page"/>
      </w:r>
      <w:bookmarkStart w:id="38" w:name="_Toc1253"/>
      <w:r>
        <w:rPr>
          <w:rFonts w:hint="eastAsia" w:ascii="仿宋" w:hAnsi="仿宋" w:eastAsia="仿宋" w:cs="仿宋"/>
          <w:b/>
          <w:sz w:val="24"/>
          <w:szCs w:val="24"/>
        </w:rPr>
        <w:t>第三章 合同条款</w:t>
      </w:r>
      <w:bookmarkEnd w:id="37"/>
      <w:bookmarkEnd w:id="38"/>
    </w:p>
    <w:p w14:paraId="1B616E51">
      <w:pPr>
        <w:pStyle w:val="224"/>
        <w:ind w:firstLine="0"/>
        <w:jc w:val="center"/>
        <w:rPr>
          <w:rFonts w:hAnsi="宋体"/>
          <w:b/>
          <w:sz w:val="28"/>
          <w:szCs w:val="28"/>
        </w:rPr>
      </w:pPr>
      <w:r>
        <w:rPr>
          <w:rFonts w:hint="eastAsia" w:hAnsi="宋体"/>
          <w:b/>
          <w:sz w:val="28"/>
          <w:szCs w:val="28"/>
        </w:rPr>
        <w:t>第一部分 合同书</w:t>
      </w:r>
    </w:p>
    <w:p w14:paraId="67E9424A">
      <w:pPr>
        <w:spacing w:line="360" w:lineRule="auto"/>
        <w:rPr>
          <w:rFonts w:ascii="仿宋" w:hAnsi="仿宋" w:eastAsia="仿宋" w:cs="仿宋"/>
          <w:b/>
          <w:color w:val="000000"/>
          <w:sz w:val="28"/>
          <w:szCs w:val="28"/>
          <w:u w:val="single"/>
        </w:rPr>
      </w:pPr>
      <w:r>
        <w:rPr>
          <w:rFonts w:hint="eastAsia" w:ascii="仿宋" w:hAnsi="仿宋" w:eastAsia="仿宋" w:cs="仿宋"/>
          <w:b/>
          <w:color w:val="000000"/>
          <w:sz w:val="28"/>
          <w:szCs w:val="28"/>
        </w:rPr>
        <w:t>委托方（全称）：</w:t>
      </w:r>
      <w:r>
        <w:rPr>
          <w:rFonts w:hint="eastAsia" w:ascii="仿宋" w:hAnsi="仿宋" w:eastAsia="仿宋" w:cs="仿宋"/>
          <w:bCs/>
          <w:color w:val="000000"/>
          <w:sz w:val="28"/>
          <w:szCs w:val="28"/>
          <w:u w:val="single"/>
        </w:rPr>
        <w:t xml:space="preserve">                       </w:t>
      </w:r>
    </w:p>
    <w:p w14:paraId="11AE3505">
      <w:pPr>
        <w:pStyle w:val="16"/>
        <w:spacing w:line="360" w:lineRule="auto"/>
        <w:ind w:left="0"/>
        <w:rPr>
          <w:rFonts w:ascii="仿宋" w:hAnsi="仿宋" w:eastAsia="仿宋" w:cs="仿宋"/>
          <w:color w:val="000000"/>
          <w:sz w:val="28"/>
          <w:szCs w:val="28"/>
          <w:u w:val="single"/>
        </w:rPr>
      </w:pPr>
      <w:r>
        <w:rPr>
          <w:rFonts w:hint="eastAsia" w:ascii="仿宋" w:hAnsi="仿宋" w:eastAsia="仿宋" w:cs="仿宋"/>
          <w:b/>
          <w:color w:val="000000"/>
          <w:sz w:val="28"/>
          <w:szCs w:val="28"/>
        </w:rPr>
        <w:t>受托方（全称）：</w:t>
      </w:r>
      <w:r>
        <w:rPr>
          <w:rFonts w:hint="eastAsia" w:ascii="仿宋" w:hAnsi="仿宋" w:eastAsia="仿宋" w:cs="仿宋"/>
          <w:bCs/>
          <w:color w:val="000000"/>
          <w:sz w:val="28"/>
          <w:szCs w:val="28"/>
          <w:u w:val="single"/>
        </w:rPr>
        <w:t xml:space="preserve">                       </w:t>
      </w:r>
    </w:p>
    <w:p w14:paraId="2F11A64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受托方承担</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项目并完成本合同约定的任务。双方遵循平等、自愿、公平和诚实信用的原则，就开展此项目工作及有关事项协商一致，共同达成如下协议：</w:t>
      </w:r>
    </w:p>
    <w:p w14:paraId="2DAD9D52">
      <w:pPr>
        <w:spacing w:line="360" w:lineRule="auto"/>
        <w:ind w:firstLine="562" w:firstLineChars="200"/>
        <w:rPr>
          <w:rFonts w:ascii="仿宋" w:hAnsi="仿宋" w:eastAsia="仿宋" w:cs="仿宋"/>
          <w:b/>
          <w:color w:val="000000"/>
          <w:sz w:val="28"/>
          <w:szCs w:val="28"/>
        </w:rPr>
      </w:pPr>
      <w:bookmarkStart w:id="39" w:name="_Toc16271"/>
      <w:r>
        <w:rPr>
          <w:rFonts w:hint="eastAsia" w:ascii="仿宋" w:hAnsi="仿宋" w:eastAsia="仿宋" w:cs="仿宋"/>
          <w:b/>
          <w:color w:val="000000"/>
          <w:sz w:val="28"/>
          <w:szCs w:val="28"/>
        </w:rPr>
        <w:t>第一条 合同标的</w:t>
      </w:r>
      <w:bookmarkEnd w:id="39"/>
    </w:p>
    <w:p w14:paraId="018377DF">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1.1项目名称</w:t>
      </w:r>
    </w:p>
    <w:p w14:paraId="69D5EE45">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w:t>
      </w:r>
    </w:p>
    <w:p w14:paraId="15F428E6">
      <w:pPr>
        <w:spacing w:line="360" w:lineRule="auto"/>
        <w:ind w:left="391" w:leftChars="186"/>
        <w:rPr>
          <w:rFonts w:ascii="仿宋" w:hAnsi="仿宋" w:eastAsia="仿宋" w:cs="仿宋"/>
          <w:color w:val="000000"/>
          <w:sz w:val="28"/>
          <w:szCs w:val="28"/>
        </w:rPr>
      </w:pPr>
      <w:r>
        <w:rPr>
          <w:rFonts w:hint="eastAsia" w:ascii="仿宋" w:hAnsi="仿宋" w:eastAsia="仿宋" w:cs="仿宋"/>
          <w:b/>
          <w:color w:val="000000"/>
          <w:sz w:val="28"/>
          <w:szCs w:val="28"/>
        </w:rPr>
        <w:t>1.2项目目标、任务</w:t>
      </w:r>
    </w:p>
    <w:p w14:paraId="2B824BDB">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 xml:space="preserve">                    。</w:t>
      </w:r>
    </w:p>
    <w:p w14:paraId="35025807">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1.3主要工作量</w:t>
      </w:r>
    </w:p>
    <w:p w14:paraId="3F15566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受托方在本合同第2条规定的期限内，应完成下列主要工作量：</w:t>
      </w:r>
    </w:p>
    <w:p w14:paraId="493E68E0">
      <w:pPr>
        <w:spacing w:line="360" w:lineRule="auto"/>
        <w:ind w:firstLine="600"/>
        <w:rPr>
          <w:rFonts w:ascii="仿宋" w:hAnsi="仿宋" w:eastAsia="仿宋" w:cs="仿宋"/>
          <w:sz w:val="28"/>
          <w:szCs w:val="28"/>
          <w:u w:val="single"/>
        </w:rPr>
      </w:pPr>
      <w:bookmarkStart w:id="40" w:name="OLE_LINK4"/>
      <w:permStart w:id="0" w:edGrp="everyone"/>
      <w:r>
        <w:rPr>
          <w:rFonts w:hint="eastAsia" w:ascii="仿宋" w:hAnsi="仿宋" w:eastAsia="仿宋" w:cs="仿宋"/>
          <w:sz w:val="28"/>
          <w:szCs w:val="28"/>
          <w:u w:val="single"/>
        </w:rPr>
        <w:t xml:space="preserve">                 ；</w:t>
      </w:r>
      <w:bookmarkEnd w:id="40"/>
    </w:p>
    <w:permEnd w:id="0"/>
    <w:p w14:paraId="62AC4F4A">
      <w:pPr>
        <w:spacing w:line="360" w:lineRule="auto"/>
        <w:rPr>
          <w:rFonts w:ascii="仿宋" w:hAnsi="仿宋" w:eastAsia="仿宋" w:cs="仿宋"/>
          <w:b/>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
          <w:color w:val="000000"/>
          <w:sz w:val="28"/>
          <w:szCs w:val="28"/>
        </w:rPr>
        <w:t>1.4标准和规范</w:t>
      </w:r>
    </w:p>
    <w:p w14:paraId="41279EB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1.4.1本项目技术指标、质量要求执行符合国家或行业标准规范。包括</w:t>
      </w:r>
    </w:p>
    <w:p w14:paraId="2A9A030B">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1.5 提交资料</w:t>
      </w:r>
    </w:p>
    <w:p w14:paraId="204A51A5">
      <w:pPr>
        <w:spacing w:line="360" w:lineRule="auto"/>
        <w:ind w:firstLine="562" w:firstLineChars="200"/>
        <w:rPr>
          <w:rFonts w:ascii="仿宋" w:hAnsi="仿宋" w:eastAsia="仿宋" w:cs="仿宋"/>
          <w:b/>
          <w:color w:val="000000"/>
          <w:sz w:val="28"/>
          <w:szCs w:val="28"/>
        </w:rPr>
      </w:pPr>
      <w:bookmarkStart w:id="41" w:name="_Toc24978"/>
      <w:r>
        <w:rPr>
          <w:rFonts w:hint="eastAsia" w:ascii="仿宋" w:hAnsi="仿宋" w:eastAsia="仿宋" w:cs="仿宋"/>
          <w:b/>
          <w:color w:val="000000"/>
          <w:sz w:val="28"/>
          <w:szCs w:val="28"/>
        </w:rPr>
        <w:t>第二条 项目实施周期</w:t>
      </w:r>
      <w:bookmarkEnd w:id="41"/>
    </w:p>
    <w:p w14:paraId="0B5DF137">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2.1项目工作时间：</w:t>
      </w:r>
      <w:r>
        <w:rPr>
          <w:rFonts w:hint="eastAsia" w:ascii="仿宋" w:hAnsi="仿宋" w:eastAsia="仿宋" w:cs="仿宋"/>
          <w:sz w:val="28"/>
          <w:szCs w:val="28"/>
          <w:u w:val="single"/>
        </w:rPr>
        <w:t xml:space="preserve">                         。</w:t>
      </w:r>
    </w:p>
    <w:p w14:paraId="656BB577">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2.2项目主要工作阶段时间要求：</w:t>
      </w:r>
    </w:p>
    <w:p w14:paraId="3C5AF15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2.2.1成果报告评审申请时间：不迟于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D0C249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2.2.2提交资料归档时间：不迟于</w:t>
      </w:r>
      <w:r>
        <w:rPr>
          <w:rFonts w:hint="eastAsia" w:ascii="仿宋" w:hAnsi="仿宋" w:eastAsia="仿宋" w:cs="仿宋"/>
          <w:sz w:val="28"/>
          <w:szCs w:val="28"/>
          <w:u w:val="single"/>
        </w:rPr>
        <w:t>成果验收通过后   日内</w:t>
      </w:r>
      <w:r>
        <w:rPr>
          <w:rFonts w:hint="eastAsia" w:ascii="仿宋" w:hAnsi="仿宋" w:eastAsia="仿宋" w:cs="仿宋"/>
          <w:sz w:val="28"/>
          <w:szCs w:val="28"/>
        </w:rPr>
        <w:t>。</w:t>
      </w:r>
    </w:p>
    <w:p w14:paraId="653FB88A">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2.3有关工作期限可以顺延情形</w:t>
      </w:r>
    </w:p>
    <w:p w14:paraId="6EE557E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2.3.1合同签订后，委托方未及时支付第一笔项目经费，超过约定时间3个月的，项目周期和各工作阶段时间按支付影响时间顺延；如果经费支付延迟对项目进展造成重大影响的，双方可另行书面确认项目周期和各工作阶段时间。</w:t>
      </w:r>
    </w:p>
    <w:p w14:paraId="053ABE5A">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2.3.2委托方对受托方提出的项目重大变更书面提议，自收到书面提议之日起，未在15日内做出明确书面答复，且影响受托方按时履行本合同的</w:t>
      </w:r>
      <w:r>
        <w:rPr>
          <w:rFonts w:hint="eastAsia" w:ascii="仿宋" w:hAnsi="仿宋" w:eastAsia="仿宋" w:cs="仿宋"/>
          <w:sz w:val="28"/>
          <w:szCs w:val="28"/>
        </w:rPr>
        <w:t>，则合同履行期限顺延，至该提议得到委托方书面答复后合同履行期限恢复计算。</w:t>
      </w:r>
    </w:p>
    <w:p w14:paraId="55B2BE01">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2.3.3因其他情形导致项目工作需要延期的，受托方需向委托方书面申请并得到同意后方可延期履行。</w:t>
      </w:r>
    </w:p>
    <w:p w14:paraId="7D0B1A40">
      <w:pPr>
        <w:spacing w:line="360" w:lineRule="auto"/>
        <w:ind w:firstLine="562" w:firstLineChars="200"/>
        <w:rPr>
          <w:rFonts w:ascii="仿宋" w:hAnsi="仿宋" w:eastAsia="仿宋" w:cs="仿宋"/>
          <w:b/>
          <w:color w:val="000000"/>
          <w:sz w:val="28"/>
          <w:szCs w:val="28"/>
        </w:rPr>
      </w:pPr>
      <w:bookmarkStart w:id="42" w:name="_Toc21839"/>
      <w:r>
        <w:rPr>
          <w:rFonts w:hint="eastAsia" w:ascii="仿宋" w:hAnsi="仿宋" w:eastAsia="仿宋" w:cs="仿宋"/>
          <w:b/>
          <w:color w:val="000000"/>
          <w:sz w:val="28"/>
          <w:szCs w:val="28"/>
        </w:rPr>
        <w:t>第三条 合同双方责任和义务</w:t>
      </w:r>
      <w:bookmarkEnd w:id="42"/>
    </w:p>
    <w:p w14:paraId="643F8BA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合同双方均应履行项目组织实施与监督检查、经费使用情况检查与验收、资料和成果管</w:t>
      </w:r>
      <w:r>
        <w:rPr>
          <w:rFonts w:hint="eastAsia" w:ascii="仿宋" w:hAnsi="仿宋" w:eastAsia="仿宋" w:cs="仿宋"/>
          <w:sz w:val="28"/>
          <w:szCs w:val="28"/>
        </w:rPr>
        <w:t>理、安全、保密、廉洁自律、知识产权等</w:t>
      </w:r>
      <w:r>
        <w:rPr>
          <w:rFonts w:hint="eastAsia" w:ascii="仿宋" w:hAnsi="仿宋" w:eastAsia="仿宋" w:cs="仿宋"/>
          <w:color w:val="000000"/>
          <w:sz w:val="28"/>
          <w:szCs w:val="28"/>
        </w:rPr>
        <w:t>各项工作的责任与义务。</w:t>
      </w:r>
    </w:p>
    <w:p w14:paraId="33854D81">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3.1委托方责任与义务</w:t>
      </w:r>
    </w:p>
    <w:p w14:paraId="338C12A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3.1.1 按进度支付项目经费。</w:t>
      </w:r>
    </w:p>
    <w:p w14:paraId="3FC9F8A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3.1.2 负责组织本项目的实施方案审查、成果验收和资料验收等工作。</w:t>
      </w:r>
    </w:p>
    <w:p w14:paraId="312AEF9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3.1.3监督检查受托方项目组织实施和管理工作，包括但不限于相关制度、管理文件和项目资料等。</w:t>
      </w:r>
    </w:p>
    <w:p w14:paraId="21ABA9F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3.1.4 监督检查受托方落实安全环保要求情况，检查发现存有重大隐患、潜在不安全行为和状态以及其他违反安全生产和环保法律法规的行为，有权要求受托方立即停工整改或限期整改。</w:t>
      </w:r>
    </w:p>
    <w:p w14:paraId="26F0016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3.1.5 根据受托方申请，及时按程序答复有关合同履行、变更事项。</w:t>
      </w:r>
    </w:p>
    <w:p w14:paraId="1D88CCA6">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3.2受托方责任与义务</w:t>
      </w:r>
    </w:p>
    <w:p w14:paraId="4243516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3.2.1 保证具有签署和履行本合同所必须的资质、许可和授权、能力、条件，保证其进行本合同项下工作的合法性。</w:t>
      </w:r>
    </w:p>
    <w:p w14:paraId="0FF300B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3.2.2 负责本项目技术、质量及其经费管理，为履行本合同，建立完善的质量保证体系，按照合同标的约定，全面完成项目目标任务、足额完成各项工作手段的实物工作量。</w:t>
      </w:r>
    </w:p>
    <w:p w14:paraId="3F98CFB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3.2.3 及时向委托方报送项目实施方案、进展报告、成果报告以及其它必要的技术、经济等资料和材料，并对其真实性负责。</w:t>
      </w:r>
    </w:p>
    <w:p w14:paraId="5F205CF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3.2.4按合同约定时间向</w:t>
      </w:r>
      <w:r>
        <w:rPr>
          <w:rFonts w:hint="eastAsia" w:ascii="仿宋" w:hAnsi="仿宋" w:eastAsia="仿宋" w:cs="仿宋"/>
          <w:color w:val="000000"/>
          <w:sz w:val="28"/>
          <w:szCs w:val="28"/>
          <w:u w:val="single"/>
        </w:rPr>
        <w:t xml:space="preserve"> 委托方或委托方指定单位 </w:t>
      </w:r>
      <w:r>
        <w:rPr>
          <w:rFonts w:hint="eastAsia" w:ascii="仿宋" w:hAnsi="仿宋" w:eastAsia="仿宋" w:cs="仿宋"/>
          <w:color w:val="000000"/>
          <w:sz w:val="28"/>
          <w:szCs w:val="28"/>
        </w:rPr>
        <w:t>归档或汇交项目原始资料、成果资料和实物资料，做好各类资料、技术等保密。</w:t>
      </w:r>
    </w:p>
    <w:p w14:paraId="6C02EE8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3.2.5 接受委托方的质量等检查，按要求提供各类检查所需要的资料，并为之提供必要的工作条件。</w:t>
      </w:r>
    </w:p>
    <w:p w14:paraId="2AA3F3A3">
      <w:pPr>
        <w:spacing w:line="360" w:lineRule="auto"/>
        <w:ind w:firstLine="562" w:firstLineChars="200"/>
        <w:rPr>
          <w:rFonts w:ascii="仿宋" w:hAnsi="仿宋" w:eastAsia="仿宋" w:cs="仿宋"/>
          <w:b/>
          <w:color w:val="000000"/>
          <w:sz w:val="28"/>
          <w:szCs w:val="28"/>
        </w:rPr>
      </w:pPr>
      <w:bookmarkStart w:id="43" w:name="_Toc26617"/>
      <w:r>
        <w:rPr>
          <w:rFonts w:hint="eastAsia" w:ascii="仿宋" w:hAnsi="仿宋" w:eastAsia="仿宋" w:cs="仿宋"/>
          <w:b/>
          <w:color w:val="000000"/>
          <w:sz w:val="28"/>
          <w:szCs w:val="28"/>
        </w:rPr>
        <w:t>第四条 合同价款及拨付</w:t>
      </w:r>
      <w:bookmarkEnd w:id="43"/>
    </w:p>
    <w:p w14:paraId="46ED3DC6">
      <w:pPr>
        <w:tabs>
          <w:tab w:val="left" w:pos="4320"/>
        </w:tabs>
        <w:spacing w:line="360" w:lineRule="auto"/>
        <w:ind w:firstLine="560" w:firstLineChars="200"/>
        <w:rPr>
          <w:rFonts w:ascii="仿宋" w:hAnsi="仿宋" w:eastAsia="仿宋" w:cs="仿宋"/>
          <w:kern w:val="0"/>
          <w:sz w:val="28"/>
          <w:szCs w:val="28"/>
          <w:u w:val="single"/>
        </w:rPr>
      </w:pPr>
      <w:bookmarkStart w:id="44" w:name="_Toc13512"/>
      <w:r>
        <w:rPr>
          <w:rFonts w:hint="eastAsia" w:ascii="仿宋" w:hAnsi="仿宋" w:eastAsia="仿宋" w:cs="仿宋"/>
          <w:color w:val="000000"/>
          <w:sz w:val="28"/>
          <w:szCs w:val="28"/>
        </w:rPr>
        <w:t xml:space="preserve">4.1 本合同技术服务费总额为人民币 </w:t>
      </w:r>
      <w:r>
        <w:rPr>
          <w:rFonts w:hint="eastAsia" w:ascii="仿宋" w:hAnsi="仿宋" w:eastAsia="仿宋" w:cs="仿宋"/>
          <w:color w:val="000000"/>
          <w:sz w:val="28"/>
          <w:szCs w:val="28"/>
          <w:u w:val="single"/>
        </w:rPr>
        <w:t xml:space="preserve">     （￥  元）(含税)</w:t>
      </w:r>
      <w:r>
        <w:rPr>
          <w:rFonts w:hint="eastAsia" w:ascii="仿宋" w:hAnsi="仿宋" w:eastAsia="仿宋" w:cs="仿宋"/>
          <w:color w:val="000000"/>
          <w:sz w:val="28"/>
          <w:szCs w:val="28"/>
        </w:rPr>
        <w:t>，其中不含税总额为人民币</w:t>
      </w:r>
      <w:r>
        <w:rPr>
          <w:rFonts w:hint="eastAsia" w:ascii="仿宋" w:hAnsi="仿宋" w:eastAsia="仿宋" w:cs="仿宋"/>
          <w:color w:val="000000"/>
          <w:sz w:val="28"/>
          <w:szCs w:val="28"/>
          <w:u w:val="single"/>
        </w:rPr>
        <w:t xml:space="preserve">      （￥   元）</w:t>
      </w:r>
      <w:r>
        <w:rPr>
          <w:rFonts w:hint="eastAsia" w:ascii="仿宋" w:hAnsi="仿宋" w:eastAsia="仿宋" w:cs="仿宋"/>
          <w:color w:val="000000"/>
          <w:sz w:val="28"/>
          <w:szCs w:val="28"/>
        </w:rPr>
        <w:t>，税率6%，税金为人民币</w:t>
      </w:r>
      <w:r>
        <w:rPr>
          <w:rFonts w:hint="eastAsia" w:ascii="仿宋" w:hAnsi="仿宋" w:eastAsia="仿宋" w:cs="仿宋"/>
          <w:color w:val="000000"/>
          <w:sz w:val="28"/>
          <w:szCs w:val="28"/>
          <w:u w:val="single"/>
        </w:rPr>
        <w:t xml:space="preserve">    （￥    元）</w:t>
      </w:r>
      <w:r>
        <w:rPr>
          <w:rFonts w:hint="eastAsia" w:ascii="仿宋" w:hAnsi="仿宋" w:eastAsia="仿宋" w:cs="仿宋"/>
          <w:color w:val="000000"/>
          <w:sz w:val="28"/>
          <w:szCs w:val="28"/>
        </w:rPr>
        <w:t>，受托方须开具税率为6%的增值税专用发票。</w:t>
      </w:r>
    </w:p>
    <w:p w14:paraId="3B40C74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合同生效后将按下列时间和方式支付：</w:t>
      </w:r>
    </w:p>
    <w:p w14:paraId="7E9C47DA">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4.1.1 第一期项目经费支付：合同生效后，受托方按照委托方要求向委托方提交本期经费增值税专用发票，提交后10个工作日内，委托方向受托方约定账户支付</w:t>
      </w:r>
      <w:r>
        <w:rPr>
          <w:rFonts w:hint="eastAsia" w:ascii="仿宋" w:hAnsi="仿宋" w:eastAsia="仿宋" w:cs="仿宋"/>
          <w:sz w:val="28"/>
          <w:szCs w:val="28"/>
          <w:u w:val="single"/>
        </w:rPr>
        <w:t>合同总金额   %，</w:t>
      </w:r>
      <w:r>
        <w:rPr>
          <w:rFonts w:hint="eastAsia" w:ascii="仿宋" w:hAnsi="仿宋" w:eastAsia="仿宋" w:cs="仿宋"/>
          <w:sz w:val="28"/>
          <w:szCs w:val="28"/>
        </w:rPr>
        <w:t>人民币</w:t>
      </w:r>
      <w:r>
        <w:rPr>
          <w:rFonts w:hint="eastAsia" w:ascii="仿宋" w:hAnsi="仿宋" w:eastAsia="仿宋" w:cs="仿宋"/>
          <w:sz w:val="28"/>
          <w:szCs w:val="28"/>
          <w:u w:val="single"/>
        </w:rPr>
        <w:t xml:space="preserve">   （￥  元）；</w:t>
      </w:r>
    </w:p>
    <w:p w14:paraId="4C47B893">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4.1.2 第二期项目经费支付：完成野外工作并通过委托方验收后，受托方按照委托方要求向委托方提交本期经费增值税专用发票，提交后10个工作日内，委托方向受托方约定账户支付</w:t>
      </w:r>
      <w:r>
        <w:rPr>
          <w:rFonts w:hint="eastAsia" w:ascii="仿宋" w:hAnsi="仿宋" w:eastAsia="仿宋" w:cs="仿宋"/>
          <w:sz w:val="28"/>
          <w:szCs w:val="28"/>
          <w:u w:val="single"/>
        </w:rPr>
        <w:t>合同总金额   %，</w:t>
      </w:r>
      <w:r>
        <w:rPr>
          <w:rFonts w:hint="eastAsia" w:ascii="仿宋" w:hAnsi="仿宋" w:eastAsia="仿宋" w:cs="仿宋"/>
          <w:sz w:val="28"/>
          <w:szCs w:val="28"/>
        </w:rPr>
        <w:t>人民币</w:t>
      </w:r>
      <w:r>
        <w:rPr>
          <w:rFonts w:hint="eastAsia" w:ascii="仿宋" w:hAnsi="仿宋" w:eastAsia="仿宋" w:cs="仿宋"/>
          <w:sz w:val="28"/>
          <w:szCs w:val="28"/>
          <w:u w:val="single"/>
        </w:rPr>
        <w:t xml:space="preserve">   （￥  元）；</w:t>
      </w:r>
    </w:p>
    <w:p w14:paraId="5AB7A957">
      <w:pPr>
        <w:spacing w:line="360" w:lineRule="auto"/>
        <w:ind w:firstLine="560" w:firstLineChars="200"/>
        <w:rPr>
          <w:rFonts w:ascii="仿宋" w:hAnsi="仿宋" w:eastAsia="仿宋" w:cs="仿宋"/>
          <w:sz w:val="28"/>
          <w:szCs w:val="28"/>
          <w:u w:val="single"/>
        </w:rPr>
      </w:pPr>
      <w:r>
        <w:rPr>
          <w:rFonts w:hint="eastAsia" w:ascii="仿宋" w:hAnsi="仿宋" w:eastAsia="仿宋" w:cs="仿宋"/>
          <w:color w:val="000000"/>
          <w:sz w:val="28"/>
          <w:szCs w:val="28"/>
        </w:rPr>
        <w:t>4.1.2第三期项目经费支付：最终成果报告通过验收后10日内，受托方</w:t>
      </w:r>
      <w:r>
        <w:rPr>
          <w:rFonts w:hint="eastAsia" w:ascii="仿宋" w:hAnsi="仿宋" w:eastAsia="仿宋" w:cs="仿宋"/>
          <w:sz w:val="28"/>
          <w:szCs w:val="28"/>
        </w:rPr>
        <w:t>按照委托方要求向委托方提交本期经费增值税专用发票，提交后10个工作日内，委托方向受托方约定账户支付</w:t>
      </w:r>
      <w:r>
        <w:rPr>
          <w:rFonts w:hint="eastAsia" w:ascii="仿宋" w:hAnsi="仿宋" w:eastAsia="仿宋" w:cs="仿宋"/>
          <w:sz w:val="28"/>
          <w:szCs w:val="28"/>
          <w:u w:val="single"/>
        </w:rPr>
        <w:t>合同总金额   %，</w:t>
      </w:r>
      <w:r>
        <w:rPr>
          <w:rFonts w:hint="eastAsia" w:ascii="仿宋" w:hAnsi="仿宋" w:eastAsia="仿宋" w:cs="仿宋"/>
          <w:sz w:val="28"/>
          <w:szCs w:val="28"/>
        </w:rPr>
        <w:t>人民币</w:t>
      </w:r>
      <w:r>
        <w:rPr>
          <w:rFonts w:hint="eastAsia" w:ascii="仿宋" w:hAnsi="仿宋" w:eastAsia="仿宋" w:cs="仿宋"/>
          <w:sz w:val="28"/>
          <w:szCs w:val="28"/>
          <w:u w:val="single"/>
        </w:rPr>
        <w:t xml:space="preserve">   （￥  元）；</w:t>
      </w:r>
    </w:p>
    <w:p w14:paraId="3289CBD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4.1.3资金拨付根据项目建设方资金到位情况而定，如果项目建设方资金未向委托方拨付到位，则委托方向受托方资金支付时间、支付比例、金额相应变化或顺延。</w:t>
      </w:r>
    </w:p>
    <w:p w14:paraId="284CA3C8">
      <w:pPr>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4.2 项目经费一般不得变更。但出现本合同第五条变更条款，</w:t>
      </w:r>
      <w:r>
        <w:rPr>
          <w:rFonts w:hint="eastAsia" w:ascii="仿宋" w:hAnsi="仿宋" w:eastAsia="仿宋" w:cs="仿宋"/>
          <w:color w:val="000000"/>
          <w:sz w:val="28"/>
          <w:szCs w:val="28"/>
        </w:rPr>
        <w:t>第六条合同解除条款约定的情形，以及合同双方另行签订补充合同条款约定变更价款的除外。</w:t>
      </w:r>
    </w:p>
    <w:p w14:paraId="00CFF43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4.3 履行本合同而发生的一切税费由受托方承担。</w:t>
      </w:r>
    </w:p>
    <w:p w14:paraId="2989615B">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第五条 合同变更</w:t>
      </w:r>
      <w:bookmarkEnd w:id="44"/>
    </w:p>
    <w:p w14:paraId="22C5DAD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5.1 除另有约定，合同双方在合同履行中发生以下情形，应按本条约定协商变更：</w:t>
      </w:r>
    </w:p>
    <w:p w14:paraId="593EE64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⑴因不可抗力影响，造成合同履行困难，但可以部分或全部延期履行的；</w:t>
      </w:r>
    </w:p>
    <w:p w14:paraId="36A69D61">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⑵因国家计划或政策调整，需缩短项目周期的；</w:t>
      </w:r>
    </w:p>
    <w:p w14:paraId="3097182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⑶因合同中任何工作的质量标准或其他特性改变的；</w:t>
      </w:r>
    </w:p>
    <w:p w14:paraId="327BD4F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⑷因前期工作结果或进展需调整项目周期、主要工作内容、主要工作量的； </w:t>
      </w:r>
    </w:p>
    <w:p w14:paraId="66EF1F3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5.2除5.1（2）规定的变更情形外，合同双方均可以提出变更，提出变更一方，应及时提出变更要求，包括但不限于变更内容、经费及工作周期、工作阶段时间调整等，收到变更要求一方，应在收到变更要求之日起15个工作日内做出书面答复。</w:t>
      </w:r>
    </w:p>
    <w:p w14:paraId="45E2E6C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在5.1（2）规定的变更情形发生后，委托方应及时通知受托方，并就后期事项提出明确处理意见。处理意见包括但不限于变更的处理要求、处理费用，并按第七条补偿受托方损失。</w:t>
      </w:r>
    </w:p>
    <w:p w14:paraId="74659F88">
      <w:pPr>
        <w:spacing w:line="360" w:lineRule="auto"/>
        <w:ind w:firstLine="562" w:firstLineChars="200"/>
        <w:rPr>
          <w:rFonts w:ascii="仿宋" w:hAnsi="仿宋" w:eastAsia="仿宋" w:cs="仿宋"/>
          <w:b/>
          <w:color w:val="000000"/>
          <w:sz w:val="28"/>
          <w:szCs w:val="28"/>
        </w:rPr>
      </w:pPr>
      <w:bookmarkStart w:id="45" w:name="_Toc5283"/>
      <w:r>
        <w:rPr>
          <w:rFonts w:hint="eastAsia" w:ascii="仿宋" w:hAnsi="仿宋" w:eastAsia="仿宋" w:cs="仿宋"/>
          <w:b/>
          <w:color w:val="000000"/>
          <w:sz w:val="28"/>
          <w:szCs w:val="28"/>
        </w:rPr>
        <w:t>第六条 合同解除</w:t>
      </w:r>
      <w:bookmarkEnd w:id="45"/>
    </w:p>
    <w:p w14:paraId="5DD4C1F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发生下列情形之一，合同随之终止，合同双方不再追索对方违约责任，项目进入结算（验收）程序：</w:t>
      </w:r>
    </w:p>
    <w:p w14:paraId="240ADB7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⑴因不可抗力致使本合同不能继续履行的，由受托方书面提出申请，并经委托方同意； </w:t>
      </w:r>
    </w:p>
    <w:p w14:paraId="3847A7C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⑵因前期工作结果评估，合同已无履行必要，或继续履行合同会</w:t>
      </w:r>
      <w:r>
        <w:rPr>
          <w:rFonts w:hint="eastAsia" w:ascii="仿宋" w:hAnsi="仿宋" w:eastAsia="仿宋" w:cs="仿宋"/>
          <w:sz w:val="28"/>
          <w:szCs w:val="28"/>
        </w:rPr>
        <w:t>给委托方造成</w:t>
      </w:r>
      <w:r>
        <w:rPr>
          <w:rFonts w:hint="eastAsia" w:ascii="仿宋" w:hAnsi="仿宋" w:eastAsia="仿宋" w:cs="仿宋"/>
          <w:color w:val="000000"/>
          <w:sz w:val="28"/>
          <w:szCs w:val="28"/>
        </w:rPr>
        <w:t>更大损失的，合同双方均可提出终止；</w:t>
      </w:r>
    </w:p>
    <w:p w14:paraId="2DD01859">
      <w:pPr>
        <w:spacing w:line="360" w:lineRule="auto"/>
        <w:ind w:firstLine="562" w:firstLineChars="200"/>
        <w:rPr>
          <w:rFonts w:ascii="仿宋" w:hAnsi="仿宋" w:eastAsia="仿宋" w:cs="仿宋"/>
          <w:b/>
          <w:color w:val="000000"/>
          <w:sz w:val="28"/>
          <w:szCs w:val="28"/>
        </w:rPr>
      </w:pPr>
      <w:bookmarkStart w:id="46" w:name="_Toc25644"/>
      <w:r>
        <w:rPr>
          <w:rFonts w:hint="eastAsia" w:ascii="仿宋" w:hAnsi="仿宋" w:eastAsia="仿宋" w:cs="仿宋"/>
          <w:b/>
          <w:color w:val="000000"/>
          <w:sz w:val="28"/>
          <w:szCs w:val="28"/>
        </w:rPr>
        <w:t>第七条 违约责任</w:t>
      </w:r>
      <w:bookmarkEnd w:id="46"/>
    </w:p>
    <w:p w14:paraId="2EE65F27">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7.1委托方违约</w:t>
      </w:r>
    </w:p>
    <w:p w14:paraId="64AD768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在合同履行过程中发生的下列情形，属于委托方违约。受托方可向委托方发出通知，要求委托方采取有效措施纠正违约行为。委托方收到受托方通知后15天内仍不纠正违约行为的，受托方有权终止履行合同，并追究委托方违约责任。委托方应承担因其违约给受托方带来的损失。</w:t>
      </w:r>
    </w:p>
    <w:p w14:paraId="525F3516">
      <w:pPr>
        <w:pStyle w:val="206"/>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⑴委托方原因未能按第4.1款约定期限支付或足额支付合同价款；</w:t>
      </w:r>
    </w:p>
    <w:p w14:paraId="169FFE7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⑵委托方未按第5.1款第（3）项约定协商变更，自行改变合同中任何工作的质量标准或其他特性；</w:t>
      </w:r>
    </w:p>
    <w:p w14:paraId="11C5096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⑶委托方违反合同相关条款约定的答复期限造成暂停工作，在答复期限过后6个月内仍拒不答复的；</w:t>
      </w:r>
    </w:p>
    <w:p w14:paraId="4427CA3A">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⑷委托方因项目资金未落实，造成受托方无法继续履行合同，受托方有权单方面解除合同，因5.1款第（2）项约定的除外；</w:t>
      </w:r>
    </w:p>
    <w:p w14:paraId="74A05EB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⑸委托方明确表示或者以其行为表明不履行合同主要义务的；</w:t>
      </w:r>
    </w:p>
    <w:p w14:paraId="41F1F2D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⑹本合同有关条款中已约定的违约责任；</w:t>
      </w:r>
    </w:p>
    <w:p w14:paraId="36921F39">
      <w:pPr>
        <w:spacing w:line="360" w:lineRule="auto"/>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⑺委托方未能按照合同约定履行其他义务的。</w:t>
      </w:r>
    </w:p>
    <w:p w14:paraId="4E1F9174">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7.2 受托方违约</w:t>
      </w:r>
    </w:p>
    <w:p w14:paraId="1D29581A">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7.2.1 在合同履行过程中发生的下列情形，属于受托方违约。委托方可向受托方发出通知，要求受托方采取有效措施，纠正违约行为，并在指定的期限内改正，在指定的期限内仍不改正的，委托方有权单方面解除合同</w:t>
      </w:r>
      <w:r>
        <w:rPr>
          <w:rFonts w:hint="eastAsia" w:ascii="仿宋" w:hAnsi="仿宋" w:eastAsia="仿宋" w:cs="仿宋"/>
          <w:sz w:val="28"/>
          <w:szCs w:val="28"/>
        </w:rPr>
        <w:t>，受托方向委托方支付合同金额20%的违约金，并承担因其违约给委托方带来的损失。</w:t>
      </w:r>
    </w:p>
    <w:p w14:paraId="4CD0BF0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⑴受托方挤占、挪用经费的；</w:t>
      </w:r>
    </w:p>
    <w:p w14:paraId="50C5D5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⑵受托方伪造资料，弄虚作假，造成实质性影响的；</w:t>
      </w:r>
    </w:p>
    <w:p w14:paraId="2F6E03B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⑶受托方未按期限完成工作计划，每逾期一天按签约合同价的万分之一向委托方支付违约金。</w:t>
      </w:r>
    </w:p>
    <w:p w14:paraId="46F67D7B">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⑷受托方不提交项目成果报告或不汇交项目资料的；</w:t>
      </w:r>
    </w:p>
    <w:p w14:paraId="6C4C77E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⑸因受托方原因导致工作质量不符合合同要求的； </w:t>
      </w:r>
    </w:p>
    <w:p w14:paraId="38636D4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⑹受托方拒绝或未能在约定期限对缺陷进行返工或补做工作，包括但不限于质量、成果报告、汇交资料等；</w:t>
      </w:r>
    </w:p>
    <w:p w14:paraId="5628D73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⑺受托方明确表示或者以其行为表明不履行合同主要义务的；</w:t>
      </w:r>
    </w:p>
    <w:p w14:paraId="2DE3969A">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⑻受托方存在严重违反安全生产和保密法律法规行为的；</w:t>
      </w:r>
    </w:p>
    <w:p w14:paraId="0B9B6EB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⑼本合同有关条款中已约定的应告知而未告知委托方的；</w:t>
      </w:r>
    </w:p>
    <w:p w14:paraId="4B646A4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⑽受托方未能按照合同约定履行其他义务的。</w:t>
      </w:r>
    </w:p>
    <w:p w14:paraId="4C0F133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7.2.2 受托方违反合同约定情形，不免除受托方在合同有效期内的违约责任，委托方有解除合同、追回已付资金等权利。。</w:t>
      </w:r>
    </w:p>
    <w:p w14:paraId="1421899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7.2.3合同解除后，如需继续完成项目，委托方有权另行选择第三方，并使用受托方已完成的工作及其成果。此种情况下委托方不构成知识产品侵权，委托方可以继续使用已完成工作成果的行为不免除或减轻受托方应承担的违约责任。</w:t>
      </w:r>
    </w:p>
    <w:p w14:paraId="2797207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7.2.4受托方违约，造成解除合同的，委托方有权将受托方列入黑名单，拒绝受托方参与或承担委托方工作。</w:t>
      </w:r>
    </w:p>
    <w:p w14:paraId="5F0055E0">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7.3第三方造成的违约</w:t>
      </w:r>
    </w:p>
    <w:p w14:paraId="7C834D8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在履行合同过程中，合同某一方因第三方的原因造成违约的，应当向合同另一方承担违约责任。合同某一方和第三方之间的纠纷，依照法律规定或者按照约定自行解决，与本合同相对方无关</w:t>
      </w:r>
      <w:r>
        <w:rPr>
          <w:rFonts w:hint="eastAsia" w:ascii="仿宋" w:hAnsi="仿宋" w:eastAsia="仿宋" w:cs="仿宋"/>
          <w:color w:val="000000"/>
          <w:kern w:val="0"/>
          <w:sz w:val="28"/>
          <w:szCs w:val="28"/>
        </w:rPr>
        <w:t>。</w:t>
      </w:r>
    </w:p>
    <w:p w14:paraId="490071F6">
      <w:pPr>
        <w:spacing w:line="360" w:lineRule="auto"/>
        <w:ind w:firstLine="562" w:firstLineChars="200"/>
        <w:rPr>
          <w:rFonts w:ascii="仿宋" w:hAnsi="仿宋" w:eastAsia="仿宋" w:cs="仿宋"/>
          <w:b/>
          <w:color w:val="000000"/>
          <w:sz w:val="28"/>
          <w:szCs w:val="28"/>
        </w:rPr>
      </w:pPr>
      <w:bookmarkStart w:id="47" w:name="_Toc8822"/>
      <w:r>
        <w:rPr>
          <w:rFonts w:hint="eastAsia" w:ascii="仿宋" w:hAnsi="仿宋" w:eastAsia="仿宋" w:cs="仿宋"/>
          <w:b/>
          <w:color w:val="000000"/>
          <w:sz w:val="28"/>
          <w:szCs w:val="28"/>
        </w:rPr>
        <w:t>第八条 受托方项目负责人</w:t>
      </w:r>
      <w:bookmarkEnd w:id="47"/>
    </w:p>
    <w:p w14:paraId="0F84CC4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8.1受托方指派并获委托方认可的项目负责人是：</w:t>
      </w:r>
      <w:r>
        <w:rPr>
          <w:rFonts w:hint="eastAsia" w:ascii="仿宋" w:hAnsi="仿宋" w:eastAsia="仿宋" w:cs="仿宋"/>
          <w:color w:val="000000"/>
          <w:sz w:val="28"/>
          <w:szCs w:val="28"/>
          <w:u w:val="single"/>
        </w:rPr>
        <w:t xml:space="preserve">     ；</w:t>
      </w:r>
    </w:p>
    <w:p w14:paraId="4CBB638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8.2 </w:t>
      </w:r>
      <w:r>
        <w:rPr>
          <w:rFonts w:hint="eastAsia" w:ascii="仿宋" w:hAnsi="仿宋" w:eastAsia="仿宋" w:cs="仿宋"/>
          <w:color w:val="000000"/>
          <w:kern w:val="0"/>
          <w:sz w:val="28"/>
          <w:szCs w:val="28"/>
        </w:rPr>
        <w:t>项目负责人经受托方以授权书方式正式授权后代表受托方负责履行合同。</w:t>
      </w:r>
    </w:p>
    <w:p w14:paraId="3584402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8.3 受托方变更项目负责人，应书面提出申请，与委托方协商，协商一致并得到委托方书面同意方可变更。</w:t>
      </w:r>
    </w:p>
    <w:p w14:paraId="214AF3EC">
      <w:pPr>
        <w:spacing w:line="360" w:lineRule="auto"/>
        <w:ind w:firstLine="562" w:firstLineChars="200"/>
        <w:rPr>
          <w:rFonts w:ascii="仿宋" w:hAnsi="仿宋" w:eastAsia="仿宋" w:cs="仿宋"/>
          <w:b/>
          <w:color w:val="000000"/>
          <w:sz w:val="28"/>
          <w:szCs w:val="28"/>
        </w:rPr>
      </w:pPr>
      <w:bookmarkStart w:id="48" w:name="_Toc12888"/>
      <w:r>
        <w:rPr>
          <w:rFonts w:hint="eastAsia" w:ascii="仿宋" w:hAnsi="仿宋" w:eastAsia="仿宋" w:cs="仿宋"/>
          <w:b/>
          <w:color w:val="000000"/>
          <w:sz w:val="28"/>
          <w:szCs w:val="28"/>
        </w:rPr>
        <w:t>第九条 项目验收</w:t>
      </w:r>
      <w:bookmarkEnd w:id="48"/>
    </w:p>
    <w:p w14:paraId="2EE308B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9.1委托方按有关规定对受托方履行合同中的最终成果进行验收，包括本项目的报告评审、报告审查。</w:t>
      </w:r>
    </w:p>
    <w:p w14:paraId="1134157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9.2受托方按照要求编制本项目最终成果报告。</w:t>
      </w:r>
    </w:p>
    <w:p w14:paraId="2F60291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9.3受托方在完成规定工作，应在本合同第2.2款规定期限前7日，向委托方提交验收申请。委托方应在收到成果验收申请的15日内，给受托方书面答复是否进行验收。</w:t>
      </w:r>
    </w:p>
    <w:p w14:paraId="208CE47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9.4委托方向承办人答复可以进行验收后的15日内，应组织验收。</w:t>
      </w:r>
    </w:p>
    <w:p w14:paraId="096FB6B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9.5技术标准和规范，按</w:t>
      </w:r>
      <w:r>
        <w:rPr>
          <w:rFonts w:hint="eastAsia" w:ascii="仿宋" w:hAnsi="仿宋" w:eastAsia="仿宋" w:cs="仿宋"/>
          <w:color w:val="000000"/>
          <w:sz w:val="28"/>
          <w:szCs w:val="28"/>
          <w:u w:val="single"/>
        </w:rPr>
        <w:t xml:space="preserve">  1.4  </w:t>
      </w:r>
      <w:r>
        <w:rPr>
          <w:rFonts w:hint="eastAsia" w:ascii="仿宋" w:hAnsi="仿宋" w:eastAsia="仿宋" w:cs="仿宋"/>
          <w:color w:val="000000"/>
          <w:sz w:val="28"/>
          <w:szCs w:val="28"/>
        </w:rPr>
        <w:t>执行。</w:t>
      </w:r>
    </w:p>
    <w:p w14:paraId="521D5BC1">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9.6委托方认为不具备验收条件的，应向受托方说明原因，受托方应在弥补缺陷之后，再次提交验收申请。</w:t>
      </w:r>
    </w:p>
    <w:p w14:paraId="5CA496D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9.7合同双方可以就验收地点、验收时间进行协商，受托方可以对影响公正的验收组组成人员提出异议。</w:t>
      </w:r>
    </w:p>
    <w:p w14:paraId="230ECBE9">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9.</w:t>
      </w:r>
      <w:r>
        <w:rPr>
          <w:rFonts w:hint="eastAsia" w:ascii="仿宋" w:hAnsi="仿宋" w:eastAsia="仿宋" w:cs="仿宋"/>
          <w:sz w:val="28"/>
          <w:szCs w:val="28"/>
        </w:rPr>
        <w:t>8受托方应为成果验收提供必要的工作便利，并承担与成果验收有关的费用。</w:t>
      </w:r>
    </w:p>
    <w:p w14:paraId="33F2E209">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9.</w:t>
      </w:r>
      <w:r>
        <w:rPr>
          <w:rFonts w:hint="eastAsia" w:ascii="仿宋" w:hAnsi="仿宋" w:eastAsia="仿宋" w:cs="仿宋"/>
          <w:sz w:val="28"/>
          <w:szCs w:val="28"/>
        </w:rPr>
        <w:t>9 验收中的组织人员、专家的差旅、住宿、劳务费用等与检查工作有关的费用，由委托方负责。</w:t>
      </w:r>
    </w:p>
    <w:p w14:paraId="318D25E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9.10验收结束后的15个工作日内，委托方必须向受托方发放验收意见书，验收未通过的除外。如超过15个工作日未答复，受托方可自行处理。</w:t>
      </w:r>
    </w:p>
    <w:p w14:paraId="5F7A4D0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9.11委托方可以委托</w:t>
      </w:r>
      <w:r>
        <w:rPr>
          <w:rFonts w:hint="eastAsia" w:ascii="仿宋" w:hAnsi="仿宋" w:eastAsia="仿宋" w:cs="仿宋"/>
          <w:color w:val="000000"/>
          <w:sz w:val="28"/>
          <w:szCs w:val="28"/>
          <w:u w:val="single"/>
        </w:rPr>
        <w:t xml:space="preserve"> 相关机构 </w:t>
      </w:r>
      <w:r>
        <w:rPr>
          <w:rFonts w:hint="eastAsia" w:ascii="仿宋" w:hAnsi="仿宋" w:eastAsia="仿宋" w:cs="仿宋"/>
          <w:color w:val="000000"/>
          <w:sz w:val="28"/>
          <w:szCs w:val="28"/>
        </w:rPr>
        <w:t>（单位）组织本次验收，但不能免除或减少委托方的相关责任和义务。</w:t>
      </w:r>
    </w:p>
    <w:p w14:paraId="79853EF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9.12成果验收意见明确需修改报告的，受托方应在收到成果验收意见后的30日内完成，提交修改稿。因修改报告产生的费用由受托方承担，不影响且不顺延本合同第2.2条资料归档期限之规定。</w:t>
      </w:r>
    </w:p>
    <w:p w14:paraId="32B89FA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9.13受托方按照评审意见，对成果报告进行修改完善后报委托方审查，审查通过后进行资料归档。</w:t>
      </w:r>
    </w:p>
    <w:p w14:paraId="34FCC00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9.14按本合同第六条终止的，对已经完成部分工作任务可以形成成果报告的，可编写报告或总结，执行本条之约定。</w:t>
      </w:r>
    </w:p>
    <w:p w14:paraId="73AF541F">
      <w:pPr>
        <w:spacing w:line="360" w:lineRule="auto"/>
        <w:ind w:firstLine="562" w:firstLineChars="200"/>
        <w:rPr>
          <w:rFonts w:ascii="仿宋" w:hAnsi="仿宋" w:eastAsia="仿宋" w:cs="仿宋"/>
          <w:b/>
          <w:sz w:val="28"/>
          <w:szCs w:val="28"/>
        </w:rPr>
      </w:pPr>
      <w:bookmarkStart w:id="49" w:name="_Toc28194"/>
      <w:r>
        <w:rPr>
          <w:rFonts w:hint="eastAsia" w:ascii="仿宋" w:hAnsi="仿宋" w:eastAsia="仿宋" w:cs="仿宋"/>
          <w:b/>
          <w:sz w:val="28"/>
          <w:szCs w:val="28"/>
        </w:rPr>
        <w:t>第十条 资料汇交</w:t>
      </w:r>
      <w:bookmarkEnd w:id="49"/>
    </w:p>
    <w:p w14:paraId="362F15CC">
      <w:pPr>
        <w:spacing w:line="360" w:lineRule="auto"/>
        <w:ind w:left="1" w:firstLine="560" w:firstLineChars="200"/>
        <w:rPr>
          <w:rFonts w:ascii="仿宋" w:hAnsi="仿宋" w:eastAsia="仿宋" w:cs="仿宋"/>
          <w:color w:val="000000"/>
          <w:spacing w:val="-20"/>
          <w:sz w:val="28"/>
          <w:szCs w:val="28"/>
        </w:rPr>
      </w:pPr>
      <w:r>
        <w:rPr>
          <w:rFonts w:hint="eastAsia" w:ascii="仿宋" w:hAnsi="仿宋" w:eastAsia="仿宋" w:cs="仿宋"/>
          <w:color w:val="000000"/>
          <w:sz w:val="28"/>
          <w:szCs w:val="28"/>
        </w:rPr>
        <w:t>10.1</w:t>
      </w:r>
      <w:r>
        <w:rPr>
          <w:rFonts w:hint="eastAsia" w:ascii="仿宋" w:hAnsi="仿宋" w:eastAsia="仿宋" w:cs="仿宋"/>
          <w:color w:val="000000"/>
          <w:spacing w:val="-20"/>
          <w:sz w:val="28"/>
          <w:szCs w:val="28"/>
        </w:rPr>
        <w:t>受托方对按照本合同第二条规定的期限，向</w:t>
      </w:r>
      <w:r>
        <w:rPr>
          <w:rFonts w:hint="eastAsia" w:ascii="仿宋" w:hAnsi="仿宋" w:eastAsia="仿宋" w:cs="仿宋"/>
          <w:color w:val="000000"/>
          <w:spacing w:val="-20"/>
          <w:sz w:val="28"/>
          <w:szCs w:val="28"/>
          <w:u w:val="single"/>
        </w:rPr>
        <w:t xml:space="preserve">委托方或其指定机构 </w:t>
      </w:r>
      <w:r>
        <w:rPr>
          <w:rFonts w:hint="eastAsia" w:ascii="仿宋" w:hAnsi="仿宋" w:eastAsia="仿宋" w:cs="仿宋"/>
          <w:color w:val="000000"/>
          <w:spacing w:val="-20"/>
          <w:sz w:val="28"/>
          <w:szCs w:val="28"/>
        </w:rPr>
        <w:t>归档或汇交资料。</w:t>
      </w:r>
    </w:p>
    <w:p w14:paraId="457239B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10.2 标准和规范按</w:t>
      </w:r>
      <w:r>
        <w:rPr>
          <w:rFonts w:hint="eastAsia" w:ascii="仿宋" w:hAnsi="仿宋" w:eastAsia="仿宋" w:cs="仿宋"/>
          <w:color w:val="000000"/>
          <w:spacing w:val="-20"/>
          <w:sz w:val="28"/>
          <w:szCs w:val="28"/>
          <w:u w:val="single"/>
        </w:rPr>
        <w:t>委托方</w:t>
      </w:r>
      <w:r>
        <w:rPr>
          <w:rFonts w:hint="eastAsia" w:ascii="仿宋" w:hAnsi="仿宋" w:eastAsia="仿宋" w:cs="仿宋"/>
          <w:color w:val="000000"/>
          <w:sz w:val="28"/>
          <w:szCs w:val="28"/>
        </w:rPr>
        <w:t>项目管理制度执行。</w:t>
      </w:r>
    </w:p>
    <w:p w14:paraId="10438A7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10.3 汇交资料经</w:t>
      </w:r>
      <w:r>
        <w:rPr>
          <w:rFonts w:hint="eastAsia" w:ascii="仿宋" w:hAnsi="仿宋" w:eastAsia="仿宋" w:cs="仿宋"/>
          <w:color w:val="000000"/>
          <w:sz w:val="28"/>
          <w:szCs w:val="28"/>
          <w:u w:val="single"/>
        </w:rPr>
        <w:t xml:space="preserve"> 委托方 </w:t>
      </w:r>
      <w:r>
        <w:rPr>
          <w:rFonts w:hint="eastAsia" w:ascii="仿宋" w:hAnsi="仿宋" w:eastAsia="仿宋" w:cs="仿宋"/>
          <w:color w:val="000000"/>
          <w:sz w:val="28"/>
          <w:szCs w:val="28"/>
        </w:rPr>
        <w:t>审查不合格的，应在</w:t>
      </w:r>
      <w:r>
        <w:rPr>
          <w:rFonts w:hint="eastAsia" w:ascii="仿宋" w:hAnsi="仿宋" w:eastAsia="仿宋" w:cs="仿宋"/>
          <w:color w:val="000000"/>
          <w:sz w:val="28"/>
          <w:szCs w:val="28"/>
          <w:u w:val="single"/>
        </w:rPr>
        <w:t xml:space="preserve"> 委托方 </w:t>
      </w:r>
      <w:r>
        <w:rPr>
          <w:rFonts w:hint="eastAsia" w:ascii="仿宋" w:hAnsi="仿宋" w:eastAsia="仿宋" w:cs="仿宋"/>
          <w:color w:val="000000"/>
          <w:sz w:val="28"/>
          <w:szCs w:val="28"/>
        </w:rPr>
        <w:t>规定的期限内补充和整理相关资料，重新汇交资料，由此产生的费用，由受托方承担。</w:t>
      </w:r>
    </w:p>
    <w:p w14:paraId="4626EAF7">
      <w:pPr>
        <w:spacing w:line="360" w:lineRule="auto"/>
        <w:ind w:firstLine="562" w:firstLineChars="200"/>
        <w:rPr>
          <w:rFonts w:ascii="仿宋" w:hAnsi="仿宋" w:eastAsia="仿宋" w:cs="仿宋"/>
          <w:b/>
          <w:color w:val="000000"/>
          <w:sz w:val="28"/>
          <w:szCs w:val="28"/>
        </w:rPr>
      </w:pPr>
      <w:bookmarkStart w:id="50" w:name="_Toc21853"/>
      <w:r>
        <w:rPr>
          <w:rFonts w:hint="eastAsia" w:ascii="仿宋" w:hAnsi="仿宋" w:eastAsia="仿宋" w:cs="仿宋"/>
          <w:b/>
          <w:color w:val="000000"/>
          <w:sz w:val="28"/>
          <w:szCs w:val="28"/>
        </w:rPr>
        <w:t>第十一条 知识产权、保密</w:t>
      </w:r>
      <w:bookmarkEnd w:id="50"/>
    </w:p>
    <w:p w14:paraId="6DD2E915">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11.1知识产权</w:t>
      </w:r>
    </w:p>
    <w:p w14:paraId="36E0244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kern w:val="0"/>
          <w:sz w:val="28"/>
          <w:szCs w:val="28"/>
        </w:rPr>
        <w:t>合同双方保证在履行合同过程中不侵犯对方及第三方的知识产权。</w:t>
      </w:r>
    </w:p>
    <w:p w14:paraId="7E1846A3">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11.2保密</w:t>
      </w:r>
    </w:p>
    <w:p w14:paraId="76324B8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12.2.1合同双方都应遵循《中华人民共和国保守国家秘密法》的规定，对属于国家秘密的事项、资料、文件负有不可推卸的保密责任。</w:t>
      </w:r>
    </w:p>
    <w:p w14:paraId="60360AD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12.2.2 除法律规定或合同另有约定外，未经受托方同意，委托人不得将受托方提供的技术秘密及声明需要保密的资料信息等商业秘密泄露给第三方。</w:t>
      </w:r>
    </w:p>
    <w:p w14:paraId="3D0501DE">
      <w:pPr>
        <w:autoSpaceDE w:val="0"/>
        <w:autoSpaceDN w:val="0"/>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12.2.3 除法律规定或合同另有约定外，未经委托方同意，受托方不得将本项目资料、成果泄露给第三方。</w:t>
      </w:r>
    </w:p>
    <w:p w14:paraId="5EC510EA">
      <w:pPr>
        <w:spacing w:line="360" w:lineRule="auto"/>
        <w:ind w:firstLine="562" w:firstLineChars="200"/>
        <w:rPr>
          <w:rFonts w:ascii="仿宋" w:hAnsi="仿宋" w:eastAsia="仿宋" w:cs="仿宋"/>
          <w:b/>
          <w:color w:val="000000"/>
          <w:sz w:val="28"/>
          <w:szCs w:val="28"/>
        </w:rPr>
      </w:pPr>
      <w:bookmarkStart w:id="51" w:name="_Toc30995"/>
      <w:r>
        <w:rPr>
          <w:rFonts w:hint="eastAsia" w:ascii="仿宋" w:hAnsi="仿宋" w:eastAsia="仿宋" w:cs="仿宋"/>
          <w:b/>
          <w:color w:val="000000"/>
          <w:sz w:val="28"/>
          <w:szCs w:val="28"/>
        </w:rPr>
        <w:t>第十二条 其他</w:t>
      </w:r>
      <w:bookmarkEnd w:id="51"/>
    </w:p>
    <w:p w14:paraId="7142E020">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12.1合同附件</w:t>
      </w:r>
    </w:p>
    <w:p w14:paraId="3562C2F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12.1.1除另有约定外，解释合同文件的优先顺序如下：</w:t>
      </w:r>
    </w:p>
    <w:p w14:paraId="052A227A">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(1)合同书；</w:t>
      </w:r>
    </w:p>
    <w:p w14:paraId="7F8E6AA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(2)合同补充协议</w:t>
      </w:r>
    </w:p>
    <w:p w14:paraId="43D3CD9A">
      <w:pPr>
        <w:pStyle w:val="206"/>
        <w:spacing w:line="360" w:lineRule="auto"/>
        <w:ind w:left="600" w:firstLine="0" w:firstLineChars="0"/>
        <w:rPr>
          <w:rFonts w:ascii="仿宋" w:hAnsi="仿宋" w:eastAsia="仿宋" w:cs="仿宋"/>
          <w:color w:val="000000"/>
          <w:sz w:val="28"/>
          <w:szCs w:val="28"/>
        </w:rPr>
      </w:pPr>
      <w:r>
        <w:rPr>
          <w:rFonts w:hint="eastAsia" w:ascii="仿宋" w:hAnsi="仿宋" w:eastAsia="仿宋" w:cs="仿宋"/>
          <w:color w:val="000000"/>
          <w:sz w:val="28"/>
          <w:szCs w:val="28"/>
        </w:rPr>
        <w:t>(3)本合同规定引用的技术标准和要求；</w:t>
      </w:r>
    </w:p>
    <w:p w14:paraId="7A222CFA">
      <w:pPr>
        <w:pStyle w:val="206"/>
        <w:spacing w:line="360" w:lineRule="auto"/>
        <w:ind w:left="600" w:firstLine="0" w:firstLineChars="0"/>
        <w:rPr>
          <w:rFonts w:ascii="仿宋" w:hAnsi="仿宋" w:eastAsia="仿宋" w:cs="仿宋"/>
          <w:color w:val="000000"/>
          <w:sz w:val="28"/>
          <w:szCs w:val="28"/>
        </w:rPr>
      </w:pPr>
      <w:r>
        <w:rPr>
          <w:rFonts w:hint="eastAsia" w:ascii="仿宋" w:hAnsi="仿宋" w:eastAsia="仿宋" w:cs="仿宋"/>
          <w:color w:val="000000"/>
          <w:sz w:val="28"/>
          <w:szCs w:val="28"/>
        </w:rPr>
        <w:t>(4)项目实施方案；</w:t>
      </w:r>
    </w:p>
    <w:p w14:paraId="5288874D">
      <w:pPr>
        <w:pStyle w:val="206"/>
        <w:spacing w:line="360" w:lineRule="auto"/>
        <w:ind w:left="600" w:firstLine="0" w:firstLineChars="0"/>
        <w:rPr>
          <w:rFonts w:ascii="仿宋" w:hAnsi="仿宋" w:eastAsia="仿宋" w:cs="仿宋"/>
          <w:color w:val="000000"/>
          <w:sz w:val="28"/>
          <w:szCs w:val="28"/>
        </w:rPr>
      </w:pPr>
      <w:r>
        <w:rPr>
          <w:rFonts w:hint="eastAsia" w:ascii="仿宋" w:hAnsi="仿宋" w:eastAsia="仿宋" w:cs="仿宋"/>
          <w:color w:val="000000"/>
          <w:sz w:val="28"/>
          <w:szCs w:val="28"/>
        </w:rPr>
        <w:t>(5)其他合同文件。</w:t>
      </w:r>
    </w:p>
    <w:p w14:paraId="6042C87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上述各项合同文件包括合同双方就该项合同文件所作出的补充和修改，属于同一类内容的文件，应以最新签署的为准。</w:t>
      </w:r>
    </w:p>
    <w:p w14:paraId="3C0D380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12.1.2下列在合同订立及履行过程中形成的与合同有关的文件均构成合同文件组成部分，以最新签署的确定优先解释顺序。</w:t>
      </w:r>
    </w:p>
    <w:p w14:paraId="6C6E47E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(1)实施方案评审意见；</w:t>
      </w:r>
    </w:p>
    <w:p w14:paraId="024E0CD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(2)项目工作任务、预算调整申请及批复意见；</w:t>
      </w:r>
    </w:p>
    <w:p w14:paraId="6FDB434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(3)报告评审意见书；</w:t>
      </w:r>
    </w:p>
    <w:p w14:paraId="24DE11A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(4)资料归档证明；</w:t>
      </w:r>
    </w:p>
    <w:p w14:paraId="75149E81">
      <w:pPr>
        <w:pStyle w:val="206"/>
        <w:spacing w:line="360" w:lineRule="auto"/>
        <w:ind w:left="600" w:firstLine="0" w:firstLineChars="0"/>
        <w:rPr>
          <w:rFonts w:ascii="仿宋" w:hAnsi="仿宋" w:eastAsia="仿宋" w:cs="仿宋"/>
          <w:color w:val="000000"/>
          <w:sz w:val="28"/>
          <w:szCs w:val="28"/>
        </w:rPr>
      </w:pPr>
      <w:r>
        <w:rPr>
          <w:rFonts w:hint="eastAsia" w:ascii="仿宋" w:hAnsi="仿宋" w:eastAsia="仿宋" w:cs="仿宋"/>
          <w:color w:val="000000"/>
          <w:sz w:val="28"/>
          <w:szCs w:val="28"/>
        </w:rPr>
        <w:t>(5)其他变更及其应答材料；</w:t>
      </w:r>
    </w:p>
    <w:p w14:paraId="72FB111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12.2如本合同条款或履行合同中存在争议，合同双方可以协商达成一致，经双方签字并盖章后作为合同补充文件。如果合同双方未就争议达成协议，当事人可向委托方住所地有管辖权的人民法院提起诉讼。由败诉方承担不限于鉴定费、胜诉方律师费、仲裁费等诉讼支出。</w:t>
      </w:r>
    </w:p>
    <w:p w14:paraId="0307EA40">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12.3 合同未尽事宜，合同双方另行签订补充协议。</w:t>
      </w:r>
    </w:p>
    <w:p w14:paraId="76D7FB9C">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12.4 双方应在本合同的签署栏中如实提供联系地址及联系电话等信息。双方关于本合同履行及相关事宜的通知，包括但不限于“通知”、“确认”字样的文件，均以经合同一方签字（盖章）确认的纸质文件为准，并按照载明的地址发出，包括但不限于邮政特快快递、传真。</w:t>
      </w:r>
    </w:p>
    <w:p w14:paraId="58B512B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12.5 合同一方向对方发出的纸质文件自快递发出之日起第七日视为送达，发出的传真在发送方正确填写地址且未被系统退回的情况下视为送达。若送达日为非工作日, 则视为在下一工作日送达。任何一方的联系方式发生变更的，应在变更后3日内书面通知合同另一方，否则因此产生的一切不利后果自行承担。</w:t>
      </w:r>
    </w:p>
    <w:p w14:paraId="09651738">
      <w:pPr>
        <w:spacing w:line="360" w:lineRule="auto"/>
        <w:ind w:firstLine="562" w:firstLineChars="200"/>
        <w:rPr>
          <w:rFonts w:ascii="仿宋" w:hAnsi="仿宋" w:eastAsia="仿宋" w:cs="仿宋"/>
          <w:b/>
          <w:color w:val="000000"/>
          <w:sz w:val="28"/>
          <w:szCs w:val="28"/>
        </w:rPr>
      </w:pPr>
      <w:bookmarkStart w:id="52" w:name="_Toc17968"/>
      <w:r>
        <w:rPr>
          <w:rFonts w:hint="eastAsia" w:ascii="仿宋" w:hAnsi="仿宋" w:eastAsia="仿宋" w:cs="仿宋"/>
          <w:b/>
          <w:color w:val="000000"/>
          <w:sz w:val="28"/>
          <w:szCs w:val="28"/>
        </w:rPr>
        <w:t>第十三条 合同生效</w:t>
      </w:r>
      <w:bookmarkEnd w:id="52"/>
    </w:p>
    <w:p w14:paraId="1FF6DEA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本合同一式</w:t>
      </w:r>
      <w:r>
        <w:rPr>
          <w:rFonts w:hint="eastAsia" w:ascii="仿宋" w:hAnsi="仿宋" w:eastAsia="仿宋" w:cs="仿宋"/>
          <w:sz w:val="28"/>
          <w:szCs w:val="28"/>
        </w:rPr>
        <w:t>6</w:t>
      </w:r>
      <w:r>
        <w:rPr>
          <w:rFonts w:hint="eastAsia" w:ascii="仿宋" w:hAnsi="仿宋" w:eastAsia="仿宋" w:cs="仿宋"/>
          <w:color w:val="000000"/>
          <w:sz w:val="28"/>
          <w:szCs w:val="28"/>
        </w:rPr>
        <w:t>份，其中委托方3份，受托方3份，自双方签字盖章后生效。在受托方提交的项目成果经委托方全部验收合格，按规定完成地质资料汇交，办理完项目结算手续，双方责任与义务履行完毕后，合同终止。</w:t>
      </w:r>
    </w:p>
    <w:p w14:paraId="29DEEF7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笫十四条  廉政条款</w:t>
      </w:r>
    </w:p>
    <w:p w14:paraId="5ED73FB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14.1委托方、受托方均严格遵守党和国家有关法律，恪守职业道德。委托方及其工作人员不得以任何形式向受托方索要或接受回扣、礼品、礼金、有价证券和贵重物品等，不得在受托方报销任何应由委托方或个人支付的费用等。受托方不得对委托方工作人员及其亲属、客户、其他业务相关方，提供任何形式的直接或间接的贿赂，对委托方工作人员索取财物的要求应予拒绝，并主动向委托方纪委报告。</w:t>
      </w:r>
    </w:p>
    <w:p w14:paraId="64CDCCB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14.2发现对方在业务活动中有违法违规、腐败、舞弊行为的，有及时提醒对方纠正的权利和义务。</w:t>
      </w:r>
    </w:p>
    <w:p w14:paraId="5151DA1B">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14.3发现对方严重违反法律法规规定、规章制度以及本合同义务条款的行为，有向对方纪检监察部门、上级有关部门举报、建议给予处理并要求告知处理结果的权利。</w:t>
      </w:r>
    </w:p>
    <w:p w14:paraId="6F4BE8DF">
      <w:pPr>
        <w:rPr>
          <w:rFonts w:ascii="仿宋" w:hAnsi="仿宋" w:eastAsia="仿宋" w:cs="仿宋"/>
          <w:sz w:val="28"/>
          <w:szCs w:val="28"/>
        </w:rPr>
      </w:pPr>
      <w:r>
        <w:rPr>
          <w:rFonts w:hint="eastAsia" w:ascii="仿宋" w:hAnsi="仿宋" w:eastAsia="仿宋" w:cs="仿宋"/>
          <w:sz w:val="28"/>
          <w:szCs w:val="28"/>
        </w:rPr>
        <w:br w:type="page"/>
      </w:r>
    </w:p>
    <w:p w14:paraId="766B348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委托方(公章)：</w:t>
      </w:r>
    </w:p>
    <w:p w14:paraId="77E121E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法定或委托代表人(签字)：</w:t>
      </w:r>
    </w:p>
    <w:p w14:paraId="61E6442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color w:val="000000"/>
          <w:sz w:val="28"/>
          <w:szCs w:val="28"/>
        </w:rPr>
        <w:t>（签字）</w:t>
      </w:r>
      <w:r>
        <w:rPr>
          <w:rFonts w:hint="eastAsia" w:ascii="仿宋" w:hAnsi="仿宋" w:eastAsia="仿宋" w:cs="仿宋"/>
          <w:sz w:val="28"/>
          <w:szCs w:val="28"/>
        </w:rPr>
        <w:t>：</w:t>
      </w:r>
    </w:p>
    <w:p w14:paraId="323AEA8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w:t>
      </w:r>
    </w:p>
    <w:p w14:paraId="31B2D79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传  真：</w:t>
      </w:r>
    </w:p>
    <w:p w14:paraId="6A26574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开户银行：</w:t>
      </w:r>
    </w:p>
    <w:p w14:paraId="1746BCB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账  号：</w:t>
      </w:r>
    </w:p>
    <w:p w14:paraId="24FE0F3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单位地址：</w:t>
      </w:r>
    </w:p>
    <w:p w14:paraId="23053AE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邮政编码：</w:t>
      </w:r>
    </w:p>
    <w:p w14:paraId="71E9F9D8">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签字地点：</w:t>
      </w:r>
    </w:p>
    <w:p w14:paraId="61EFFF2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签字时间     年  月  日                  </w:t>
      </w:r>
    </w:p>
    <w:p w14:paraId="505CE760">
      <w:pPr>
        <w:snapToGrid w:val="0"/>
        <w:spacing w:line="360" w:lineRule="auto"/>
        <w:ind w:firstLine="560" w:firstLineChars="200"/>
        <w:rPr>
          <w:rFonts w:ascii="仿宋" w:hAnsi="仿宋" w:eastAsia="仿宋" w:cs="仿宋"/>
          <w:color w:val="000000"/>
          <w:sz w:val="28"/>
          <w:szCs w:val="28"/>
        </w:rPr>
      </w:pPr>
    </w:p>
    <w:p w14:paraId="2E27B80D">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受托方(公章)：</w:t>
      </w:r>
    </w:p>
    <w:p w14:paraId="28F6EDDE">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法定或委托代表人(签字)：</w:t>
      </w:r>
    </w:p>
    <w:p w14:paraId="6691AC36">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rPr>
        <w:t>项目联系人</w:t>
      </w:r>
      <w:r>
        <w:rPr>
          <w:rFonts w:hint="eastAsia" w:ascii="仿宋" w:hAnsi="仿宋" w:eastAsia="仿宋" w:cs="仿宋"/>
          <w:color w:val="000000"/>
          <w:sz w:val="28"/>
          <w:szCs w:val="28"/>
        </w:rPr>
        <w:t>（签字）：</w:t>
      </w:r>
    </w:p>
    <w:p w14:paraId="119AB5F4">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电  话：</w:t>
      </w:r>
    </w:p>
    <w:p w14:paraId="4751FDA1">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传  真：</w:t>
      </w:r>
    </w:p>
    <w:p w14:paraId="62C2FA2B">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w:t>
      </w:r>
    </w:p>
    <w:p w14:paraId="4FBE6D5F">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账  号： </w:t>
      </w:r>
    </w:p>
    <w:p w14:paraId="34BE7953">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单位地址：</w:t>
      </w:r>
    </w:p>
    <w:p w14:paraId="56129BAD">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邮政编码：</w:t>
      </w:r>
    </w:p>
    <w:p w14:paraId="47E45FB6">
      <w:pPr>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签字地点：</w:t>
      </w:r>
    </w:p>
    <w:p w14:paraId="6338F62C">
      <w:pPr>
        <w:pStyle w:val="224"/>
        <w:ind w:firstLine="0"/>
        <w:jc w:val="center"/>
        <w:rPr>
          <w:rFonts w:ascii="仿宋" w:hAnsi="仿宋" w:eastAsia="仿宋" w:cs="仿宋"/>
          <w:b/>
          <w:szCs w:val="24"/>
        </w:rPr>
      </w:pPr>
      <w:r>
        <w:rPr>
          <w:rFonts w:hint="eastAsia" w:ascii="仿宋" w:hAnsi="仿宋" w:eastAsia="仿宋" w:cs="仿宋"/>
          <w:color w:val="000000"/>
          <w:sz w:val="28"/>
          <w:szCs w:val="28"/>
        </w:rPr>
        <w:t>签字时间：        年  月  日</w:t>
      </w:r>
    </w:p>
    <w:p w14:paraId="759BBF66">
      <w:pPr>
        <w:spacing w:line="400" w:lineRule="exact"/>
        <w:jc w:val="center"/>
        <w:rPr>
          <w:rFonts w:ascii="仿宋" w:hAnsi="仿宋" w:eastAsia="仿宋" w:cs="仿宋"/>
          <w:b/>
          <w:sz w:val="24"/>
          <w:szCs w:val="24"/>
        </w:rPr>
      </w:pPr>
      <w:bookmarkStart w:id="53" w:name="第五部分第一章"/>
      <w:r>
        <w:rPr>
          <w:rFonts w:hint="eastAsia" w:ascii="仿宋" w:hAnsi="仿宋" w:eastAsia="仿宋" w:cs="仿宋"/>
          <w:b/>
          <w:sz w:val="24"/>
          <w:szCs w:val="24"/>
        </w:rPr>
        <w:t>（仅供参考，具体以实际签订的内容为准）</w:t>
      </w:r>
      <w:bookmarkEnd w:id="53"/>
    </w:p>
    <w:p w14:paraId="69AC60C0">
      <w:pPr>
        <w:pStyle w:val="15"/>
        <w:rPr>
          <w:rFonts w:ascii="仿宋" w:hAnsi="仿宋" w:eastAsia="仿宋" w:cs="仿宋"/>
          <w:shd w:val="clear" w:color="auto" w:fill="FFFFFF" w:themeFill="background1"/>
        </w:rPr>
      </w:pPr>
    </w:p>
    <w:p w14:paraId="4A05CD01">
      <w:pPr>
        <w:widowControl/>
        <w:jc w:val="left"/>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35391998">
      <w:pPr>
        <w:pStyle w:val="15"/>
        <w:jc w:val="center"/>
        <w:outlineLvl w:val="0"/>
        <w:rPr>
          <w:rFonts w:ascii="仿宋" w:hAnsi="仿宋" w:eastAsia="仿宋" w:cs="仿宋"/>
          <w:bCs/>
          <w:szCs w:val="24"/>
        </w:rPr>
      </w:pPr>
      <w:bookmarkStart w:id="54" w:name="_Toc27487"/>
      <w:r>
        <w:rPr>
          <w:rFonts w:hint="eastAsia" w:ascii="仿宋" w:hAnsi="仿宋" w:eastAsia="仿宋" w:cs="仿宋"/>
          <w:b/>
          <w:szCs w:val="24"/>
        </w:rPr>
        <w:t>第四章 服务标准和要求</w:t>
      </w:r>
      <w:bookmarkEnd w:id="54"/>
      <w:bookmarkStart w:id="55" w:name="_Toc138638719"/>
      <w:bookmarkEnd w:id="55"/>
      <w:bookmarkStart w:id="56" w:name="_Toc138638538"/>
      <w:bookmarkEnd w:id="56"/>
      <w:bookmarkStart w:id="57" w:name="_Toc138638906"/>
      <w:bookmarkEnd w:id="57"/>
      <w:bookmarkStart w:id="58" w:name="_Toc138638910"/>
      <w:bookmarkEnd w:id="58"/>
      <w:bookmarkStart w:id="59" w:name="_Toc138638718"/>
      <w:bookmarkEnd w:id="59"/>
      <w:bookmarkStart w:id="60" w:name="_Toc138638535"/>
      <w:bookmarkEnd w:id="60"/>
      <w:bookmarkStart w:id="61" w:name="_Toc138638534"/>
      <w:bookmarkEnd w:id="61"/>
      <w:bookmarkStart w:id="62" w:name="_Toc138638509"/>
      <w:bookmarkEnd w:id="62"/>
      <w:bookmarkStart w:id="63" w:name="_Toc138639145"/>
      <w:bookmarkEnd w:id="63"/>
      <w:bookmarkStart w:id="64" w:name="_Toc138639074"/>
      <w:bookmarkEnd w:id="64"/>
      <w:bookmarkStart w:id="65" w:name="_Toc138638773"/>
      <w:bookmarkEnd w:id="65"/>
      <w:bookmarkStart w:id="66" w:name="_Toc138639091"/>
      <w:bookmarkEnd w:id="66"/>
      <w:bookmarkStart w:id="67" w:name="_Toc138638884"/>
      <w:bookmarkEnd w:id="67"/>
      <w:bookmarkStart w:id="68" w:name="_Toc138639090"/>
      <w:bookmarkEnd w:id="68"/>
      <w:bookmarkStart w:id="69" w:name="_合同文件的组成及解释顺序"/>
      <w:bookmarkEnd w:id="69"/>
      <w:bookmarkStart w:id="70" w:name="_Toc138638702"/>
      <w:bookmarkEnd w:id="70"/>
      <w:bookmarkStart w:id="71" w:name="_Toc138638510"/>
      <w:bookmarkEnd w:id="71"/>
      <w:bookmarkStart w:id="72" w:name="_Toc138638883"/>
      <w:bookmarkEnd w:id="72"/>
      <w:bookmarkStart w:id="73" w:name="_Toc138638907"/>
      <w:bookmarkEnd w:id="73"/>
      <w:bookmarkStart w:id="74" w:name="_Toc531016893"/>
    </w:p>
    <w:p w14:paraId="1E4BBE3F">
      <w:pPr>
        <w:widowControl/>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sz w:val="24"/>
          <w:szCs w:val="24"/>
        </w:rPr>
        <w:t>(一)</w:t>
      </w:r>
      <w:r>
        <w:rPr>
          <w:rFonts w:hint="eastAsia" w:ascii="仿宋" w:hAnsi="仿宋" w:eastAsia="仿宋" w:cs="仿宋"/>
          <w:bCs/>
          <w:sz w:val="24"/>
          <w:szCs w:val="24"/>
        </w:rPr>
        <w:t>标项名称：新疆吉木乃县吉木乃盆地油气资源调查评价吉成1井录井技术服务</w:t>
      </w:r>
    </w:p>
    <w:p w14:paraId="7BEC0A5C">
      <w:pPr>
        <w:widowControl/>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(二)项目概况</w:t>
      </w:r>
    </w:p>
    <w:p w14:paraId="3C49609E">
      <w:pPr>
        <w:widowControl/>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工作区位于新疆维吾尔自治区北部，准噶尔盆地西北缘，行政区划属阿勒泰地区吉木乃县管辖。工作区交通方便，东部有国道217南北向穿过，吉木乃县城与布尔津县城有S319省道和阿布吉高速相连，G219国道与S229省道横穿吉木乃县南部，向西通往吉木乃口岸与哈萨克斯坦斋桑县相连，各乡镇村均有公路连通，交通便利（图1）。</w:t>
      </w:r>
    </w:p>
    <w:p w14:paraId="0B65114D">
      <w:pPr>
        <w:spacing w:line="360" w:lineRule="auto"/>
        <w:jc w:val="center"/>
        <w:textAlignment w:val="baseline"/>
        <w:rPr>
          <w:rFonts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6432" behindDoc="0" locked="0" layoutInCell="1" allowOverlap="1">
                <wp:simplePos x="0" y="0"/>
                <wp:positionH relativeFrom="column">
                  <wp:posOffset>2159000</wp:posOffset>
                </wp:positionH>
                <wp:positionV relativeFrom="paragraph">
                  <wp:posOffset>1711960</wp:posOffset>
                </wp:positionV>
                <wp:extent cx="808355" cy="289560"/>
                <wp:effectExtent l="12700" t="12700" r="17145" b="269240"/>
                <wp:wrapNone/>
                <wp:docPr id="6" name="矩形标注 6"/>
                <wp:cNvGraphicFramePr/>
                <a:graphic xmlns:a="http://schemas.openxmlformats.org/drawingml/2006/main">
                  <a:graphicData uri="http://schemas.microsoft.com/office/word/2010/wordprocessingShape">
                    <wps:wsp>
                      <wps:cNvSpPr/>
                      <wps:spPr>
                        <a:xfrm>
                          <a:off x="0" y="0"/>
                          <a:ext cx="808355" cy="289560"/>
                        </a:xfrm>
                        <a:prstGeom prst="wedgeRectCallout">
                          <a:avLst>
                            <a:gd name="adj1" fmla="val -40417"/>
                            <a:gd name="adj2" fmla="val 138157"/>
                          </a:avLst>
                        </a:prstGeom>
                        <a:solidFill>
                          <a:srgbClr val="FF0000"/>
                        </a:solidFill>
                        <a:ln w="25400" cap="flat" cmpd="sng">
                          <a:solidFill>
                            <a:srgbClr val="FFFF00"/>
                          </a:solidFill>
                          <a:prstDash val="solid"/>
                          <a:round/>
                          <a:headEnd type="none" w="med" len="med"/>
                          <a:tailEnd type="none" w="med" len="med"/>
                        </a:ln>
                      </wps:spPr>
                      <wps:txbx>
                        <w:txbxContent>
                          <w:p w14:paraId="68D35407">
                            <w:pPr>
                              <w:jc w:val="center"/>
                              <w:rPr>
                                <w:rFonts w:eastAsia="宋体"/>
                                <w:b/>
                                <w:bCs/>
                                <w:color w:val="000000"/>
                              </w:rPr>
                            </w:pPr>
                            <w:r>
                              <w:rPr>
                                <w:rFonts w:hint="eastAsia"/>
                                <w:b/>
                                <w:bCs/>
                                <w:color w:val="000000"/>
                              </w:rPr>
                              <w:t>吉成1井</w:t>
                            </w:r>
                          </w:p>
                        </w:txbxContent>
                      </wps:txbx>
                      <wps:bodyPr anchor="ctr" anchorCtr="0" upright="1"/>
                    </wps:wsp>
                  </a:graphicData>
                </a:graphic>
              </wp:anchor>
            </w:drawing>
          </mc:Choice>
          <mc:Fallback>
            <w:pict>
              <v:shape id="_x0000_s1026" o:spid="_x0000_s1026" o:spt="61" type="#_x0000_t61" style="position:absolute;left:0pt;margin-left:170pt;margin-top:134.8pt;height:22.8pt;width:63.65pt;z-index:251666432;v-text-anchor:middle;mso-width-relative:page;mso-height-relative:page;" fillcolor="#FF0000" filled="t" stroked="t" coordsize="21600,21600" o:gfxdata="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b8LT2wAAAAsBAAAPAAAAAAAA&#10;AAEAIAAAACIAAABkcnMvZG93bnJldi54bWxQSwECFAAUAAAACACHTuJAznIg4kgCAACpBAAADgAA&#10;AAAAAAABACAAAAAqAQAAZHJzL2Uyb0RvYy54bWxQSwUGAAAAAAYABgBZAQAA5AUAAAAA&#10;" adj="2070,40642">
                <v:fill on="t" focussize="0,0"/>
                <v:stroke weight="2pt" color="#FFFF00" joinstyle="round"/>
                <v:imagedata o:title=""/>
                <o:lock v:ext="edit" aspectratio="f"/>
                <v:textbox>
                  <w:txbxContent>
                    <w:p w14:paraId="68D35407">
                      <w:pPr>
                        <w:jc w:val="center"/>
                        <w:rPr>
                          <w:rFonts w:eastAsia="宋体"/>
                          <w:b/>
                          <w:bCs/>
                          <w:color w:val="000000"/>
                        </w:rPr>
                      </w:pPr>
                      <w:r>
                        <w:rPr>
                          <w:rFonts w:hint="eastAsia"/>
                          <w:b/>
                          <w:bCs/>
                          <w:color w:val="000000"/>
                        </w:rPr>
                        <w:t>吉成1井</w:t>
                      </w: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5408" behindDoc="0" locked="0" layoutInCell="1" allowOverlap="1">
                <wp:simplePos x="0" y="0"/>
                <wp:positionH relativeFrom="column">
                  <wp:posOffset>2174240</wp:posOffset>
                </wp:positionH>
                <wp:positionV relativeFrom="paragraph">
                  <wp:posOffset>2259330</wp:posOffset>
                </wp:positionV>
                <wp:extent cx="75565" cy="75565"/>
                <wp:effectExtent l="12700" t="12700" r="16510" b="16510"/>
                <wp:wrapNone/>
                <wp:docPr id="2" name="五角星 2"/>
                <wp:cNvGraphicFramePr/>
                <a:graphic xmlns:a="http://schemas.openxmlformats.org/drawingml/2006/main">
                  <a:graphicData uri="http://schemas.microsoft.com/office/word/2010/wordprocessingShape">
                    <wps:wsp>
                      <wps:cNvSpPr/>
                      <wps:spPr>
                        <a:xfrm>
                          <a:off x="0" y="0"/>
                          <a:ext cx="75565" cy="75565"/>
                        </a:xfrm>
                        <a:prstGeom prst="star5">
                          <a:avLst>
                            <a:gd name="adj" fmla="val 0"/>
                            <a:gd name="hf" fmla="val 105146"/>
                            <a:gd name="vf" fmla="val 110557"/>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1.2pt;margin-top:177.9pt;height:5.95pt;width:5.95pt;z-index:251665408;v-text-anchor:middle;mso-width-relative:page;mso-height-relative:page;" fillcolor="#FF0000" filled="t" stroked="t" coordsize="75565,75565" o:gfxdata="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WDP39cA&#10;AAALAQAADwAAAAAAAAABACAAAAAiAAAAZHJzL2Rvd25yZXYueG1sUEsBAhQAFAAAAAgAh07iQHe6&#10;jHOSAgAAWgUAAA4AAAAAAAAAAQAgAAAAJgEAAGRycy9lMm9Eb2MueG1sUEsFBgAAAAAGAAYAWQEA&#10;ACoGAAAAAA==&#10;" path="m0,28863l37782,41771,37782,0,37782,41771,75564,28863,37782,41771,61133,75564,37782,41771,14431,75564,37782,41771xe">
                <v:path o:connectlocs="37782,0;0,28863;14431,75564;61133,75564;75564,28863" o:connectangles="247,164,82,82,0"/>
                <v:fill on="t" focussize="0,0"/>
                <v:stroke weight="2pt" color="#FF0000" joinstyle="round"/>
                <v:imagedata o:title=""/>
                <o:lock v:ext="edit" aspectratio="f"/>
              </v:shape>
            </w:pict>
          </mc:Fallback>
        </mc:AlternateContent>
      </w:r>
      <w:r>
        <w:rPr>
          <w:rFonts w:hint="eastAsia" w:ascii="仿宋" w:hAnsi="仿宋" w:eastAsia="仿宋" w:cs="仿宋"/>
          <w:sz w:val="24"/>
          <w:szCs w:val="24"/>
        </w:rPr>
        <w:drawing>
          <wp:inline distT="0" distB="0" distL="114300" distR="114300">
            <wp:extent cx="5652135" cy="3943350"/>
            <wp:effectExtent l="0" t="0" r="5715" b="0"/>
            <wp:docPr id="1" name="图片 1" descr="100万底图(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0万底图(CJ)"/>
                    <pic:cNvPicPr>
                      <a:picLocks noChangeAspect="1"/>
                    </pic:cNvPicPr>
                  </pic:nvPicPr>
                  <pic:blipFill>
                    <a:blip r:embed="rId11"/>
                    <a:srcRect t="1820" r="2751" b="1773"/>
                    <a:stretch>
                      <a:fillRect/>
                    </a:stretch>
                  </pic:blipFill>
                  <pic:spPr>
                    <a:xfrm>
                      <a:off x="0" y="0"/>
                      <a:ext cx="5652135" cy="3943350"/>
                    </a:xfrm>
                    <a:prstGeom prst="rect">
                      <a:avLst/>
                    </a:prstGeom>
                    <a:noFill/>
                    <a:ln>
                      <a:noFill/>
                    </a:ln>
                  </pic:spPr>
                </pic:pic>
              </a:graphicData>
            </a:graphic>
          </wp:inline>
        </w:drawing>
      </w:r>
      <w:r>
        <w:rPr>
          <w:rFonts w:hint="eastAsia" w:ascii="仿宋" w:hAnsi="仿宋" w:eastAsia="仿宋" w:cs="仿宋"/>
          <w:sz w:val="24"/>
          <w:szCs w:val="24"/>
        </w:rPr>
        <mc:AlternateContent>
          <mc:Choice Requires="wps">
            <w:drawing>
              <wp:anchor distT="0" distB="0" distL="114300" distR="114300" simplePos="0" relativeHeight="251664384" behindDoc="0" locked="0" layoutInCell="1" allowOverlap="1">
                <wp:simplePos x="0" y="0"/>
                <wp:positionH relativeFrom="column">
                  <wp:posOffset>2849245</wp:posOffset>
                </wp:positionH>
                <wp:positionV relativeFrom="paragraph">
                  <wp:posOffset>3507105</wp:posOffset>
                </wp:positionV>
                <wp:extent cx="75565" cy="75565"/>
                <wp:effectExtent l="0" t="0" r="0" b="0"/>
                <wp:wrapNone/>
                <wp:docPr id="5" name="椭圆 5"/>
                <wp:cNvGraphicFramePr/>
                <a:graphic xmlns:a="http://schemas.openxmlformats.org/drawingml/2006/main">
                  <a:graphicData uri="http://schemas.microsoft.com/office/word/2010/wordprocessingShape">
                    <wps:wsp>
                      <wps:cNvSpPr/>
                      <wps:spPr>
                        <a:xfrm>
                          <a:off x="0" y="0"/>
                          <a:ext cx="75565" cy="75565"/>
                        </a:xfrm>
                        <a:prstGeom prst="ellipse">
                          <a:avLst/>
                        </a:prstGeom>
                        <a:noFill/>
                        <a:ln>
                          <a:noFill/>
                        </a:ln>
                        <a:effectLst/>
                      </wps:spPr>
                      <wps:bodyPr vert="horz" wrap="square" anchor="t" anchorCtr="0" upright="1"/>
                    </wps:wsp>
                  </a:graphicData>
                </a:graphic>
              </wp:anchor>
            </w:drawing>
          </mc:Choice>
          <mc:Fallback>
            <w:pict>
              <v:shape id="_x0000_s1026" o:spid="_x0000_s1026" o:spt="3" type="#_x0000_t3" style="position:absolute;left:0pt;margin-left:224.35pt;margin-top:276.15pt;height:5.95pt;width:5.95pt;z-index:251664384;mso-width-relative:page;mso-height-relative:page;" filled="f" stroked="f" coordsize="21600,21600" o:gfxdata="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6K/8D2gAAAAsBAAAPAAAAAAAAAAEAIAAAACIAAABkcnMvZG93bnJldi54bWxQ&#10;SwECFAAUAAAACACHTuJAkStRf7wBAAB3AwAADgAAAAAAAAABACAAAAApAQAAZHJzL2Uyb0RvYy54&#10;bWxQSwUGAAAAAAYABgBZAQAAVwUAAAAA&#10;">
                <v:fill on="f" focussize="0,0"/>
                <v:stroke on="f"/>
                <v:imagedata o:title=""/>
                <o:lock v:ext="edit" aspectratio="f"/>
              </v:shape>
            </w:pict>
          </mc:Fallback>
        </mc:AlternateContent>
      </w:r>
    </w:p>
    <w:p w14:paraId="489BB388">
      <w:pPr>
        <w:adjustRightInd w:val="0"/>
        <w:snapToGrid w:val="0"/>
        <w:spacing w:line="360" w:lineRule="auto"/>
        <w:ind w:firstLine="480" w:firstLineChars="200"/>
        <w:jc w:val="center"/>
        <w:rPr>
          <w:rFonts w:ascii="仿宋" w:hAnsi="仿宋" w:eastAsia="仿宋" w:cs="仿宋"/>
          <w:sz w:val="24"/>
          <w:szCs w:val="24"/>
        </w:rPr>
      </w:pPr>
      <w:r>
        <w:rPr>
          <w:rFonts w:hint="eastAsia" w:ascii="仿宋" w:hAnsi="仿宋" w:eastAsia="仿宋" w:cs="仿宋"/>
          <w:sz w:val="24"/>
          <w:szCs w:val="24"/>
        </w:rPr>
        <w:t>图1  工作区交通位置图及设计井位示意图</w:t>
      </w:r>
    </w:p>
    <w:p w14:paraId="3E88BE0D">
      <w:pPr>
        <w:widowControl/>
        <w:adjustRightInd w:val="0"/>
        <w:snapToGrid w:val="0"/>
        <w:spacing w:line="360" w:lineRule="auto"/>
        <w:ind w:firstLine="480" w:firstLineChars="200"/>
        <w:rPr>
          <w:rFonts w:ascii="仿宋" w:hAnsi="仿宋" w:eastAsia="仿宋" w:cs="仿宋"/>
          <w:bCs/>
          <w:sz w:val="24"/>
          <w:szCs w:val="24"/>
        </w:rPr>
      </w:pPr>
    </w:p>
    <w:p w14:paraId="484357F4">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color w:val="000000"/>
          <w:sz w:val="24"/>
          <w:szCs w:val="24"/>
        </w:rPr>
        <w:t>根据地表露头及剖面测量成果推测，钻探所遇地层有新生界(</w:t>
      </w:r>
      <w:r>
        <w:rPr>
          <w:rFonts w:hint="eastAsia" w:ascii="仿宋" w:hAnsi="仿宋" w:eastAsia="仿宋" w:cs="仿宋"/>
          <w:sz w:val="24"/>
          <w:szCs w:val="24"/>
        </w:rPr>
        <w:t>Q、N、E</w:t>
      </w:r>
      <w:r>
        <w:rPr>
          <w:rFonts w:hint="eastAsia" w:ascii="仿宋" w:hAnsi="仿宋" w:eastAsia="仿宋" w:cs="仿宋"/>
          <w:color w:val="000000"/>
          <w:sz w:val="24"/>
          <w:szCs w:val="24"/>
        </w:rPr>
        <w:t>)、二叠系卡拉岗组（P</w:t>
      </w:r>
      <w:r>
        <w:rPr>
          <w:rFonts w:hint="eastAsia" w:ascii="仿宋" w:hAnsi="仿宋" w:eastAsia="仿宋" w:cs="仿宋"/>
          <w:color w:val="000000"/>
          <w:sz w:val="24"/>
          <w:szCs w:val="24"/>
          <w:vertAlign w:val="subscript"/>
        </w:rPr>
        <w:t>1</w:t>
      </w:r>
      <w:r>
        <w:rPr>
          <w:rFonts w:hint="eastAsia" w:ascii="仿宋" w:hAnsi="仿宋" w:eastAsia="仿宋" w:cs="仿宋"/>
          <w:i/>
          <w:iCs/>
          <w:color w:val="000000"/>
          <w:sz w:val="24"/>
          <w:szCs w:val="24"/>
        </w:rPr>
        <w:t>k</w:t>
      </w:r>
      <w:r>
        <w:rPr>
          <w:rFonts w:hint="eastAsia" w:ascii="仿宋" w:hAnsi="仿宋" w:eastAsia="仿宋" w:cs="仿宋"/>
          <w:color w:val="000000"/>
          <w:sz w:val="24"/>
          <w:szCs w:val="24"/>
        </w:rPr>
        <w:t>）</w:t>
      </w:r>
      <w:r>
        <w:rPr>
          <w:rFonts w:hint="eastAsia" w:ascii="仿宋" w:hAnsi="仿宋" w:eastAsia="仿宋" w:cs="仿宋"/>
          <w:bCs/>
          <w:sz w:val="24"/>
          <w:szCs w:val="24"/>
        </w:rPr>
        <w:t>(详见表1)。</w:t>
      </w:r>
    </w:p>
    <w:p w14:paraId="5CF4FFD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表1 吉成1井钻遇地层预测表</w:t>
      </w:r>
    </w:p>
    <w:tbl>
      <w:tblPr>
        <w:tblStyle w:val="41"/>
        <w:tblW w:w="4998" w:type="pct"/>
        <w:jc w:val="center"/>
        <w:tblLayout w:type="autofit"/>
        <w:tblCellMar>
          <w:top w:w="0" w:type="dxa"/>
          <w:left w:w="108" w:type="dxa"/>
          <w:bottom w:w="0" w:type="dxa"/>
          <w:right w:w="108" w:type="dxa"/>
        </w:tblCellMar>
      </w:tblPr>
      <w:tblGrid>
        <w:gridCol w:w="4356"/>
        <w:gridCol w:w="1642"/>
        <w:gridCol w:w="1642"/>
        <w:gridCol w:w="1642"/>
      </w:tblGrid>
      <w:tr w14:paraId="1CFD51B0">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63F3F159">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地层</w:t>
            </w:r>
          </w:p>
        </w:tc>
        <w:tc>
          <w:tcPr>
            <w:tcW w:w="884" w:type="pct"/>
            <w:tcBorders>
              <w:top w:val="single" w:color="000000" w:sz="4" w:space="0"/>
              <w:left w:val="single" w:color="000000" w:sz="4" w:space="0"/>
              <w:bottom w:val="single" w:color="000000" w:sz="4" w:space="0"/>
              <w:right w:val="single" w:color="000000" w:sz="4" w:space="0"/>
            </w:tcBorders>
            <w:vAlign w:val="center"/>
          </w:tcPr>
          <w:p w14:paraId="49873BD8">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厚度</w:t>
            </w:r>
          </w:p>
        </w:tc>
        <w:tc>
          <w:tcPr>
            <w:tcW w:w="884" w:type="pct"/>
            <w:tcBorders>
              <w:top w:val="single" w:color="000000" w:sz="4" w:space="0"/>
              <w:left w:val="single" w:color="000000" w:sz="4" w:space="0"/>
              <w:bottom w:val="single" w:color="000000" w:sz="4" w:space="0"/>
              <w:right w:val="single" w:color="000000" w:sz="4" w:space="0"/>
            </w:tcBorders>
            <w:vAlign w:val="center"/>
          </w:tcPr>
          <w:p w14:paraId="5C51B925">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顶深</w:t>
            </w:r>
          </w:p>
        </w:tc>
        <w:tc>
          <w:tcPr>
            <w:tcW w:w="884" w:type="pct"/>
            <w:tcBorders>
              <w:top w:val="single" w:color="000000" w:sz="4" w:space="0"/>
              <w:left w:val="single" w:color="000000" w:sz="4" w:space="0"/>
              <w:bottom w:val="single" w:color="000000" w:sz="4" w:space="0"/>
              <w:right w:val="single" w:color="000000" w:sz="4" w:space="0"/>
            </w:tcBorders>
            <w:vAlign w:val="center"/>
          </w:tcPr>
          <w:p w14:paraId="5D6C6A4E">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底深</w:t>
            </w:r>
          </w:p>
        </w:tc>
      </w:tr>
      <w:tr w14:paraId="1E2BA67D">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634E8577">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第四系</w:t>
            </w:r>
          </w:p>
        </w:tc>
        <w:tc>
          <w:tcPr>
            <w:tcW w:w="884" w:type="pct"/>
            <w:tcBorders>
              <w:top w:val="single" w:color="000000" w:sz="4" w:space="0"/>
              <w:left w:val="single" w:color="000000" w:sz="4" w:space="0"/>
              <w:bottom w:val="single" w:color="000000" w:sz="4" w:space="0"/>
              <w:right w:val="single" w:color="000000" w:sz="4" w:space="0"/>
            </w:tcBorders>
            <w:vAlign w:val="center"/>
          </w:tcPr>
          <w:p w14:paraId="7574BCD8">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84" w:type="pct"/>
            <w:tcBorders>
              <w:top w:val="single" w:color="000000" w:sz="4" w:space="0"/>
              <w:left w:val="single" w:color="000000" w:sz="4" w:space="0"/>
              <w:bottom w:val="single" w:color="000000" w:sz="4" w:space="0"/>
              <w:right w:val="single" w:color="000000" w:sz="4" w:space="0"/>
            </w:tcBorders>
            <w:vAlign w:val="center"/>
          </w:tcPr>
          <w:p w14:paraId="046A04E1">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84" w:type="pct"/>
            <w:tcBorders>
              <w:top w:val="single" w:color="000000" w:sz="4" w:space="0"/>
              <w:left w:val="single" w:color="000000" w:sz="4" w:space="0"/>
              <w:bottom w:val="single" w:color="000000" w:sz="4" w:space="0"/>
              <w:right w:val="single" w:color="000000" w:sz="4" w:space="0"/>
            </w:tcBorders>
            <w:vAlign w:val="center"/>
          </w:tcPr>
          <w:p w14:paraId="0C623B33">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r>
      <w:tr w14:paraId="520922C7">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48DF251B">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独山子组</w:t>
            </w:r>
          </w:p>
        </w:tc>
        <w:tc>
          <w:tcPr>
            <w:tcW w:w="884" w:type="pct"/>
            <w:tcBorders>
              <w:top w:val="single" w:color="000000" w:sz="4" w:space="0"/>
              <w:left w:val="single" w:color="000000" w:sz="4" w:space="0"/>
              <w:bottom w:val="single" w:color="000000" w:sz="4" w:space="0"/>
              <w:right w:val="single" w:color="000000" w:sz="4" w:space="0"/>
            </w:tcBorders>
            <w:vAlign w:val="center"/>
          </w:tcPr>
          <w:p w14:paraId="7406CBC8">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670</w:t>
            </w:r>
          </w:p>
        </w:tc>
        <w:tc>
          <w:tcPr>
            <w:tcW w:w="884" w:type="pct"/>
            <w:tcBorders>
              <w:top w:val="single" w:color="000000" w:sz="4" w:space="0"/>
              <w:left w:val="single" w:color="000000" w:sz="4" w:space="0"/>
              <w:bottom w:val="single" w:color="000000" w:sz="4" w:space="0"/>
              <w:right w:val="single" w:color="000000" w:sz="4" w:space="0"/>
            </w:tcBorders>
            <w:vAlign w:val="center"/>
          </w:tcPr>
          <w:p w14:paraId="2191288A">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84" w:type="pct"/>
            <w:tcBorders>
              <w:top w:val="single" w:color="000000" w:sz="4" w:space="0"/>
              <w:left w:val="single" w:color="000000" w:sz="4" w:space="0"/>
              <w:bottom w:val="single" w:color="000000" w:sz="4" w:space="0"/>
              <w:right w:val="single" w:color="000000" w:sz="4" w:space="0"/>
            </w:tcBorders>
            <w:vAlign w:val="center"/>
          </w:tcPr>
          <w:p w14:paraId="7FCF5C7A">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700</w:t>
            </w:r>
          </w:p>
        </w:tc>
      </w:tr>
      <w:tr w14:paraId="49AEB24E">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6B149B02">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安集海河组</w:t>
            </w:r>
          </w:p>
        </w:tc>
        <w:tc>
          <w:tcPr>
            <w:tcW w:w="884" w:type="pct"/>
            <w:tcBorders>
              <w:top w:val="single" w:color="000000" w:sz="4" w:space="0"/>
              <w:left w:val="single" w:color="000000" w:sz="4" w:space="0"/>
              <w:bottom w:val="single" w:color="000000" w:sz="4" w:space="0"/>
              <w:right w:val="single" w:color="000000" w:sz="4" w:space="0"/>
            </w:tcBorders>
            <w:vAlign w:val="center"/>
          </w:tcPr>
          <w:p w14:paraId="2D833DEF">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670</w:t>
            </w:r>
          </w:p>
        </w:tc>
        <w:tc>
          <w:tcPr>
            <w:tcW w:w="884" w:type="pct"/>
            <w:tcBorders>
              <w:top w:val="single" w:color="000000" w:sz="4" w:space="0"/>
              <w:left w:val="single" w:color="000000" w:sz="4" w:space="0"/>
              <w:bottom w:val="single" w:color="000000" w:sz="4" w:space="0"/>
              <w:right w:val="single" w:color="000000" w:sz="4" w:space="0"/>
            </w:tcBorders>
            <w:vAlign w:val="center"/>
          </w:tcPr>
          <w:p w14:paraId="1F09F3FD">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700</w:t>
            </w:r>
          </w:p>
        </w:tc>
        <w:tc>
          <w:tcPr>
            <w:tcW w:w="884" w:type="pct"/>
            <w:tcBorders>
              <w:top w:val="single" w:color="000000" w:sz="4" w:space="0"/>
              <w:left w:val="single" w:color="000000" w:sz="4" w:space="0"/>
              <w:bottom w:val="single" w:color="000000" w:sz="4" w:space="0"/>
              <w:right w:val="single" w:color="000000" w:sz="4" w:space="0"/>
            </w:tcBorders>
            <w:vAlign w:val="center"/>
          </w:tcPr>
          <w:p w14:paraId="50149B8F">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1370</w:t>
            </w:r>
          </w:p>
        </w:tc>
      </w:tr>
      <w:tr w14:paraId="3C35BB6E">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747F9C79">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卡拉岗组第四段</w:t>
            </w:r>
          </w:p>
        </w:tc>
        <w:tc>
          <w:tcPr>
            <w:tcW w:w="884" w:type="pct"/>
            <w:tcBorders>
              <w:top w:val="single" w:color="000000" w:sz="4" w:space="0"/>
              <w:left w:val="single" w:color="000000" w:sz="4" w:space="0"/>
              <w:bottom w:val="single" w:color="000000" w:sz="4" w:space="0"/>
              <w:right w:val="single" w:color="000000" w:sz="4" w:space="0"/>
            </w:tcBorders>
            <w:vAlign w:val="center"/>
          </w:tcPr>
          <w:p w14:paraId="30A04746">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1330</w:t>
            </w:r>
          </w:p>
        </w:tc>
        <w:tc>
          <w:tcPr>
            <w:tcW w:w="884" w:type="pct"/>
            <w:tcBorders>
              <w:top w:val="single" w:color="000000" w:sz="4" w:space="0"/>
              <w:left w:val="single" w:color="000000" w:sz="4" w:space="0"/>
              <w:bottom w:val="single" w:color="000000" w:sz="4" w:space="0"/>
              <w:right w:val="single" w:color="000000" w:sz="4" w:space="0"/>
            </w:tcBorders>
            <w:vAlign w:val="center"/>
          </w:tcPr>
          <w:p w14:paraId="02CAEC42">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1370</w:t>
            </w:r>
          </w:p>
        </w:tc>
        <w:tc>
          <w:tcPr>
            <w:tcW w:w="884" w:type="pct"/>
            <w:tcBorders>
              <w:top w:val="single" w:color="000000" w:sz="4" w:space="0"/>
              <w:left w:val="single" w:color="000000" w:sz="4" w:space="0"/>
              <w:bottom w:val="single" w:color="000000" w:sz="4" w:space="0"/>
              <w:right w:val="single" w:color="000000" w:sz="4" w:space="0"/>
            </w:tcBorders>
            <w:vAlign w:val="center"/>
          </w:tcPr>
          <w:p w14:paraId="0093AD27">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2700</w:t>
            </w:r>
          </w:p>
        </w:tc>
      </w:tr>
      <w:tr w14:paraId="31692D66">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74D13289">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卡拉岗组第三段</w:t>
            </w:r>
          </w:p>
        </w:tc>
        <w:tc>
          <w:tcPr>
            <w:tcW w:w="884" w:type="pct"/>
            <w:tcBorders>
              <w:top w:val="single" w:color="000000" w:sz="4" w:space="0"/>
              <w:left w:val="single" w:color="000000" w:sz="4" w:space="0"/>
              <w:bottom w:val="single" w:color="000000" w:sz="4" w:space="0"/>
              <w:right w:val="single" w:color="000000" w:sz="4" w:space="0"/>
            </w:tcBorders>
            <w:vAlign w:val="center"/>
          </w:tcPr>
          <w:p w14:paraId="1C923687">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600</w:t>
            </w:r>
          </w:p>
        </w:tc>
        <w:tc>
          <w:tcPr>
            <w:tcW w:w="884" w:type="pct"/>
            <w:tcBorders>
              <w:top w:val="single" w:color="000000" w:sz="4" w:space="0"/>
              <w:left w:val="single" w:color="000000" w:sz="4" w:space="0"/>
              <w:bottom w:val="single" w:color="000000" w:sz="4" w:space="0"/>
              <w:right w:val="single" w:color="000000" w:sz="4" w:space="0"/>
            </w:tcBorders>
            <w:vAlign w:val="center"/>
          </w:tcPr>
          <w:p w14:paraId="07B3F8D1">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2700</w:t>
            </w:r>
          </w:p>
        </w:tc>
        <w:tc>
          <w:tcPr>
            <w:tcW w:w="884" w:type="pct"/>
            <w:tcBorders>
              <w:top w:val="single" w:color="000000" w:sz="4" w:space="0"/>
              <w:left w:val="single" w:color="000000" w:sz="4" w:space="0"/>
              <w:bottom w:val="single" w:color="000000" w:sz="4" w:space="0"/>
              <w:right w:val="single" w:color="000000" w:sz="4" w:space="0"/>
            </w:tcBorders>
            <w:vAlign w:val="center"/>
          </w:tcPr>
          <w:p w14:paraId="500EC05E">
            <w:pPr>
              <w:widowControl/>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3300</w:t>
            </w:r>
          </w:p>
        </w:tc>
      </w:tr>
      <w:tr w14:paraId="1323D0C3">
        <w:tblPrEx>
          <w:tblCellMar>
            <w:top w:w="0" w:type="dxa"/>
            <w:left w:w="108" w:type="dxa"/>
            <w:bottom w:w="0" w:type="dxa"/>
            <w:right w:w="108" w:type="dxa"/>
          </w:tblCellMar>
        </w:tblPrEx>
        <w:trPr>
          <w:trHeight w:val="255" w:hRule="atLeast"/>
          <w:jc w:val="center"/>
        </w:trPr>
        <w:tc>
          <w:tcPr>
            <w:tcW w:w="2345" w:type="pct"/>
            <w:tcBorders>
              <w:top w:val="single" w:color="000000" w:sz="4" w:space="0"/>
              <w:left w:val="single" w:color="000000" w:sz="4" w:space="0"/>
              <w:bottom w:val="single" w:color="000000" w:sz="4" w:space="0"/>
              <w:right w:val="single" w:color="000000" w:sz="4" w:space="0"/>
            </w:tcBorders>
            <w:vAlign w:val="center"/>
          </w:tcPr>
          <w:p w14:paraId="4BF17E87">
            <w:pPr>
              <w:widowControl/>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卡拉岗组第二段</w:t>
            </w:r>
          </w:p>
        </w:tc>
        <w:tc>
          <w:tcPr>
            <w:tcW w:w="884" w:type="pct"/>
            <w:tcBorders>
              <w:top w:val="single" w:color="000000" w:sz="4" w:space="0"/>
              <w:left w:val="single" w:color="000000" w:sz="4" w:space="0"/>
              <w:bottom w:val="single" w:color="000000" w:sz="4" w:space="0"/>
              <w:right w:val="single" w:color="000000" w:sz="4" w:space="0"/>
            </w:tcBorders>
            <w:vAlign w:val="center"/>
          </w:tcPr>
          <w:p w14:paraId="37799795">
            <w:pPr>
              <w:widowControl/>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300</w:t>
            </w:r>
          </w:p>
        </w:tc>
        <w:tc>
          <w:tcPr>
            <w:tcW w:w="884" w:type="pct"/>
            <w:tcBorders>
              <w:top w:val="single" w:color="000000" w:sz="4" w:space="0"/>
              <w:left w:val="single" w:color="000000" w:sz="4" w:space="0"/>
              <w:bottom w:val="single" w:color="000000" w:sz="4" w:space="0"/>
              <w:right w:val="single" w:color="000000" w:sz="4" w:space="0"/>
            </w:tcBorders>
            <w:vAlign w:val="center"/>
          </w:tcPr>
          <w:p w14:paraId="01312E25">
            <w:pPr>
              <w:widowControl/>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3470</w:t>
            </w:r>
          </w:p>
        </w:tc>
        <w:tc>
          <w:tcPr>
            <w:tcW w:w="884" w:type="pct"/>
            <w:tcBorders>
              <w:top w:val="single" w:color="000000" w:sz="4" w:space="0"/>
              <w:left w:val="single" w:color="000000" w:sz="4" w:space="0"/>
              <w:bottom w:val="single" w:color="000000" w:sz="4" w:space="0"/>
              <w:right w:val="single" w:color="000000" w:sz="4" w:space="0"/>
            </w:tcBorders>
            <w:vAlign w:val="center"/>
          </w:tcPr>
          <w:p w14:paraId="70AA31BA">
            <w:pPr>
              <w:widowControl/>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3600</w:t>
            </w:r>
          </w:p>
        </w:tc>
      </w:tr>
    </w:tbl>
    <w:p w14:paraId="31314ABA">
      <w:pPr>
        <w:widowControl/>
        <w:spacing w:line="360" w:lineRule="auto"/>
        <w:ind w:firstLine="480" w:firstLineChars="200"/>
        <w:jc w:val="left"/>
        <w:rPr>
          <w:rFonts w:ascii="仿宋" w:hAnsi="仿宋" w:eastAsia="仿宋" w:cs="仿宋"/>
          <w:sz w:val="24"/>
          <w:szCs w:val="24"/>
          <w:lang w:eastAsia="zh-Hans"/>
        </w:rPr>
      </w:pPr>
      <w:r>
        <w:rPr>
          <w:rFonts w:hint="eastAsia" w:ascii="仿宋" w:hAnsi="仿宋" w:eastAsia="仿宋" w:cs="仿宋"/>
          <w:sz w:val="24"/>
          <w:szCs w:val="24"/>
        </w:rPr>
        <w:t>吉成1井</w:t>
      </w:r>
      <w:r>
        <w:rPr>
          <w:rFonts w:hint="eastAsia" w:ascii="仿宋" w:hAnsi="仿宋" w:eastAsia="仿宋" w:cs="仿宋"/>
          <w:sz w:val="24"/>
          <w:szCs w:val="24"/>
          <w:lang w:eastAsia="zh-Hans"/>
        </w:rPr>
        <w:t>调查井采用</w:t>
      </w:r>
      <w:r>
        <w:rPr>
          <w:rFonts w:hint="eastAsia" w:ascii="仿宋" w:hAnsi="仿宋" w:eastAsia="仿宋" w:cs="仿宋"/>
          <w:sz w:val="24"/>
          <w:szCs w:val="24"/>
        </w:rPr>
        <w:t>导管+三</w:t>
      </w:r>
      <w:r>
        <w:rPr>
          <w:rFonts w:hint="eastAsia" w:ascii="仿宋" w:hAnsi="仿宋" w:eastAsia="仿宋" w:cs="仿宋"/>
          <w:sz w:val="24"/>
          <w:szCs w:val="24"/>
          <w:lang w:eastAsia="zh-Hans"/>
        </w:rPr>
        <w:t>开方式施工。</w:t>
      </w:r>
    </w:p>
    <w:p w14:paraId="50DF9709">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导管：套管尺寸571mm，封隔第四系，建立井口。</w:t>
      </w:r>
    </w:p>
    <w:p w14:paraId="45DA0FE6">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1.一开钻具组合</w:t>
      </w:r>
    </w:p>
    <w:p w14:paraId="0EAC333A">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钻具组合：一开采用Ф444.5mm牙轮钻头开钻，钻至200米。</w:t>
      </w:r>
    </w:p>
    <w:p w14:paraId="438A3061">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2.二开钻具组合</w:t>
      </w:r>
    </w:p>
    <w:p w14:paraId="5927A9EC">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钻具组合：二开常规钻进采用Ф311.2mm牙轮钻头（或PDC钻头），取心钻进采用Φ215mmPDC取心钻头，钻至2200米。</w:t>
      </w:r>
    </w:p>
    <w:p w14:paraId="5B326CFE">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2.三开钻具组合</w:t>
      </w:r>
    </w:p>
    <w:p w14:paraId="5797FCF7">
      <w:pPr>
        <w:widowControl/>
        <w:spacing w:line="360" w:lineRule="auto"/>
        <w:ind w:firstLine="480" w:firstLineChars="200"/>
        <w:jc w:val="left"/>
        <w:rPr>
          <w:rFonts w:ascii="仿宋" w:hAnsi="仿宋" w:eastAsia="仿宋" w:cs="仿宋"/>
          <w:sz w:val="24"/>
          <w:szCs w:val="24"/>
          <w:lang w:eastAsia="zh-Hans"/>
        </w:rPr>
      </w:pPr>
      <w:r>
        <w:rPr>
          <w:rFonts w:hint="eastAsia" w:ascii="仿宋" w:hAnsi="仿宋" w:eastAsia="仿宋" w:cs="仿宋"/>
          <w:sz w:val="24"/>
          <w:szCs w:val="24"/>
        </w:rPr>
        <w:t>钻具组合：三开常规钻进采用Ф215.9mm牙轮钻头（或PDC钻头），取心钻进采用Φ215mmPDC取心钻头，钻至3600米。</w:t>
      </w:r>
    </w:p>
    <w:p w14:paraId="1E5E71B4">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(四)工作任务</w:t>
      </w:r>
    </w:p>
    <w:p w14:paraId="76CCDEBF">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目标任务：钻井过程利用相关录井技术手段，通过实测数据、资料和参数观察、检测、判断和分析地下岩石性质和含油气情况。</w:t>
      </w:r>
    </w:p>
    <w:p w14:paraId="6B4E9535">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具体工程任务：完成录井工程施工设计；根据甲方要求开展吉成1井录井工作；提交录井工作原始资料及图件；提交成果报告及附图、附表、附件等。</w:t>
      </w:r>
    </w:p>
    <w:p w14:paraId="332D81BD">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(五)工作量</w:t>
      </w:r>
    </w:p>
    <w:p w14:paraId="15BECD2A">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吉成1井工作量3600米，录井</w:t>
      </w:r>
      <w:r>
        <w:rPr>
          <w:rFonts w:hint="eastAsia" w:ascii="仿宋" w:hAnsi="仿宋" w:eastAsia="仿宋" w:cs="仿宋"/>
          <w:spacing w:val="4"/>
          <w:sz w:val="24"/>
          <w:szCs w:val="24"/>
          <w:lang w:val="en-US" w:eastAsia="zh-CN"/>
        </w:rPr>
        <w:t>预计</w:t>
      </w:r>
      <w:r>
        <w:rPr>
          <w:rFonts w:hint="eastAsia" w:ascii="仿宋" w:hAnsi="仿宋" w:eastAsia="仿宋" w:cs="仿宋"/>
          <w:spacing w:val="4"/>
          <w:sz w:val="24"/>
          <w:szCs w:val="24"/>
        </w:rPr>
        <w:t>天数60天，</w:t>
      </w:r>
      <w:r>
        <w:rPr>
          <w:rFonts w:hint="eastAsia" w:ascii="仿宋" w:hAnsi="仿宋" w:eastAsia="仿宋" w:cs="仿宋"/>
          <w:spacing w:val="4"/>
          <w:sz w:val="24"/>
          <w:szCs w:val="24"/>
          <w:lang w:val="en-US" w:eastAsia="zh-CN"/>
        </w:rPr>
        <w:t>具体根据钻井进度而定，</w:t>
      </w:r>
      <w:r>
        <w:rPr>
          <w:rFonts w:hint="eastAsia" w:ascii="仿宋" w:hAnsi="仿宋" w:eastAsia="仿宋" w:cs="仿宋"/>
          <w:spacing w:val="4"/>
          <w:sz w:val="24"/>
          <w:szCs w:val="24"/>
        </w:rPr>
        <w:t>全井段进行录井工作。</w:t>
      </w:r>
    </w:p>
    <w:p w14:paraId="3E1A2D60">
      <w:pPr>
        <w:widowControl/>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录井项目：</w:t>
      </w: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钻时录井、荧光录井、气测录井、钻井液录井、地化录井等</w:t>
      </w:r>
      <w:r>
        <w:rPr>
          <w:rFonts w:hint="eastAsia" w:ascii="仿宋" w:hAnsi="仿宋" w:eastAsia="仿宋" w:cs="仿宋"/>
          <w:sz w:val="24"/>
          <w:szCs w:val="24"/>
          <w:lang w:val="en-US" w:eastAsia="zh-CN"/>
        </w:rPr>
        <w:t>以及</w:t>
      </w:r>
      <w:r>
        <w:rPr>
          <w:rFonts w:hint="eastAsia" w:ascii="仿宋" w:hAnsi="仿宋" w:eastAsia="仿宋" w:cs="仿宋"/>
          <w:sz w:val="24"/>
          <w:szCs w:val="24"/>
        </w:rPr>
        <w:t>野外现场解吸。</w:t>
      </w:r>
    </w:p>
    <w:p w14:paraId="416BA3BD">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表2 吉成1井综合录井工作量</w:t>
      </w:r>
    </w:p>
    <w:tbl>
      <w:tblPr>
        <w:tblStyle w:val="41"/>
        <w:tblW w:w="5000" w:type="pct"/>
        <w:jc w:val="center"/>
        <w:tblLayout w:type="fixed"/>
        <w:tblCellMar>
          <w:top w:w="0" w:type="dxa"/>
          <w:left w:w="108" w:type="dxa"/>
          <w:bottom w:w="0" w:type="dxa"/>
          <w:right w:w="108" w:type="dxa"/>
        </w:tblCellMar>
      </w:tblPr>
      <w:tblGrid>
        <w:gridCol w:w="1628"/>
        <w:gridCol w:w="1078"/>
        <w:gridCol w:w="6580"/>
      </w:tblGrid>
      <w:tr w14:paraId="1023C44E">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4BD47122">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28DA4653">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井段</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3BE9183C">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施工密度</w:t>
            </w:r>
          </w:p>
        </w:tc>
      </w:tr>
      <w:tr w14:paraId="287F4747">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4044C3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钻时录井</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E30504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全井段</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1CF4A84F">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录井间距1米，目的层卡层时加密</w:t>
            </w:r>
          </w:p>
        </w:tc>
      </w:tr>
      <w:tr w14:paraId="659AF60B">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4CD0094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钻井液录井</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2715CB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全井段</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0E01FF2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一开每20米测量1次；二开以后每10米测量1次；泥浆密度、粘度明显变化时2米测1次</w:t>
            </w:r>
          </w:p>
        </w:tc>
      </w:tr>
      <w:tr w14:paraId="13CBD18C">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0A79C12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气测录井</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72EF39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全井段</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10850A0B">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每1米记录1点</w:t>
            </w:r>
          </w:p>
        </w:tc>
      </w:tr>
      <w:tr w14:paraId="2EC499FD">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1F6D825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荧光录井</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072940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目的层</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1444060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1米1次，对油气显示较好的井段0.2米1次</w:t>
            </w:r>
          </w:p>
        </w:tc>
      </w:tr>
      <w:tr w14:paraId="55BC3B23">
        <w:tblPrEx>
          <w:tblCellMar>
            <w:top w:w="0" w:type="dxa"/>
            <w:left w:w="108" w:type="dxa"/>
            <w:bottom w:w="0" w:type="dxa"/>
            <w:right w:w="108" w:type="dxa"/>
          </w:tblCellMar>
        </w:tblPrEx>
        <w:trPr>
          <w:trHeight w:val="34" w:hRule="atLeast"/>
          <w:jc w:val="center"/>
        </w:trPr>
        <w:tc>
          <w:tcPr>
            <w:tcW w:w="876" w:type="pct"/>
            <w:tcBorders>
              <w:top w:val="single" w:color="000000" w:sz="4" w:space="0"/>
              <w:left w:val="single" w:color="000000" w:sz="4" w:space="0"/>
              <w:bottom w:val="single" w:color="000000" w:sz="4" w:space="0"/>
              <w:right w:val="single" w:color="000000" w:sz="4" w:space="0"/>
            </w:tcBorders>
            <w:noWrap/>
            <w:vAlign w:val="center"/>
          </w:tcPr>
          <w:p w14:paraId="5F6483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地化录井</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EF525C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目的层</w:t>
            </w:r>
          </w:p>
        </w:tc>
        <w:tc>
          <w:tcPr>
            <w:tcW w:w="3542" w:type="pct"/>
            <w:tcBorders>
              <w:top w:val="single" w:color="000000" w:sz="4" w:space="0"/>
              <w:left w:val="single" w:color="000000" w:sz="4" w:space="0"/>
              <w:bottom w:val="single" w:color="000000" w:sz="4" w:space="0"/>
              <w:right w:val="single" w:color="000000" w:sz="4" w:space="0"/>
            </w:tcBorders>
            <w:noWrap/>
            <w:vAlign w:val="center"/>
          </w:tcPr>
          <w:p w14:paraId="6322015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1点/米</w:t>
            </w:r>
          </w:p>
        </w:tc>
      </w:tr>
    </w:tbl>
    <w:p w14:paraId="396603E2">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(六)技术及质量要求</w:t>
      </w:r>
    </w:p>
    <w:p w14:paraId="5251C436">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1.执行标准</w:t>
      </w:r>
    </w:p>
    <w:p w14:paraId="4C46620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地质综合录井技术要求主要参照《油气井地质录井规范》(SY/T 5788.3-2014)、《油气探井气测录井规范》SY/T 5788.2-2018 、《页岩气调查录井技术规程》(DZ/T 0364-2021)、《石油定量荧光录井规范》SY/T 6611-2017等规范执行。</w:t>
      </w:r>
    </w:p>
    <w:p w14:paraId="708B85C4">
      <w:pPr>
        <w:spacing w:line="360" w:lineRule="auto"/>
        <w:ind w:firstLine="480" w:firstLineChars="200"/>
        <w:jc w:val="left"/>
        <w:rPr>
          <w:rFonts w:ascii="仿宋" w:hAnsi="仿宋" w:eastAsia="仿宋" w:cs="仿宋"/>
          <w:sz w:val="24"/>
          <w:szCs w:val="24"/>
        </w:rPr>
      </w:pPr>
    </w:p>
    <w:p w14:paraId="1B92E05A">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.提交资料内容包括但不限于：</w:t>
      </w:r>
    </w:p>
    <w:p w14:paraId="77CE4704">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(1)后效气测原始记录</w:t>
      </w:r>
    </w:p>
    <w:p w14:paraId="06953697">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(2)实时数据记录</w:t>
      </w:r>
    </w:p>
    <w:p w14:paraId="6BE6E96B">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(3)气测异常统计表</w:t>
      </w:r>
    </w:p>
    <w:p w14:paraId="7614BBC4">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(4)气测综合解释曲线图</w:t>
      </w:r>
    </w:p>
    <w:p w14:paraId="2DFD84FE">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(5)录井工作设计</w:t>
      </w:r>
    </w:p>
    <w:p w14:paraId="4DD03C8B">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(6)迟到时间测定记录</w:t>
      </w:r>
    </w:p>
    <w:p w14:paraId="3A659272">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(7)提交所有相关电子资料。</w:t>
      </w:r>
    </w:p>
    <w:p w14:paraId="7F2AD7BC">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(8)现场解吸成果表</w:t>
      </w:r>
    </w:p>
    <w:p w14:paraId="0001357D">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(9)损失气量估算表</w:t>
      </w:r>
    </w:p>
    <w:p w14:paraId="02815DEF">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(10)钻井日报</w:t>
      </w:r>
    </w:p>
    <w:p w14:paraId="51160CB6">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(11)气测录井工作总结</w:t>
      </w:r>
    </w:p>
    <w:p w14:paraId="26B7F3D7">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(12)地化录井工作总结</w:t>
      </w:r>
    </w:p>
    <w:p w14:paraId="7D4C312E">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(13)荧光录井工作总结</w:t>
      </w:r>
    </w:p>
    <w:p w14:paraId="584B5E6C">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(14)现场解吸工作总结</w:t>
      </w:r>
    </w:p>
    <w:p w14:paraId="2451DB1D">
      <w:pPr>
        <w:snapToGrid w:val="0"/>
        <w:spacing w:line="360" w:lineRule="auto"/>
        <w:ind w:firstLine="496" w:firstLineChars="200"/>
        <w:jc w:val="left"/>
        <w:rPr>
          <w:rFonts w:ascii="仿宋" w:hAnsi="仿宋" w:eastAsia="仿宋" w:cs="仿宋"/>
          <w:spacing w:val="4"/>
          <w:sz w:val="24"/>
          <w:szCs w:val="24"/>
        </w:rPr>
      </w:pPr>
      <w:r>
        <w:rPr>
          <w:rFonts w:hint="eastAsia" w:ascii="仿宋" w:hAnsi="仿宋" w:eastAsia="仿宋" w:cs="仿宋"/>
          <w:spacing w:val="4"/>
          <w:sz w:val="24"/>
          <w:szCs w:val="24"/>
        </w:rPr>
        <w:t>(15)吉成1井录井工作总结报告</w:t>
      </w:r>
    </w:p>
    <w:p w14:paraId="71508742">
      <w:pPr>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(八)工期</w:t>
      </w:r>
    </w:p>
    <w:p w14:paraId="585C3D53">
      <w:pPr>
        <w:adjustRightInd w:val="0"/>
        <w:snapToGrid w:val="0"/>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2026年4月至</w:t>
      </w:r>
      <w:r>
        <w:rPr>
          <w:rFonts w:hint="eastAsia" w:ascii="仿宋" w:hAnsi="仿宋" w:eastAsia="仿宋" w:cs="仿宋"/>
          <w:bCs/>
          <w:sz w:val="24"/>
          <w:szCs w:val="24"/>
          <w:lang w:val="en-US" w:eastAsia="zh-CN"/>
        </w:rPr>
        <w:t>12</w:t>
      </w:r>
      <w:r>
        <w:rPr>
          <w:rFonts w:hint="eastAsia" w:ascii="仿宋" w:hAnsi="仿宋" w:eastAsia="仿宋" w:cs="仿宋"/>
          <w:bCs/>
          <w:sz w:val="24"/>
          <w:szCs w:val="24"/>
        </w:rPr>
        <w:t>月，具体按照钻井进度而定。</w:t>
      </w:r>
    </w:p>
    <w:p w14:paraId="2D7BE8C5">
      <w:pPr>
        <w:spacing w:line="360" w:lineRule="auto"/>
        <w:rPr>
          <w:rFonts w:ascii="仿宋" w:hAnsi="仿宋" w:eastAsia="仿宋" w:cs="仿宋"/>
          <w:sz w:val="24"/>
          <w:szCs w:val="24"/>
        </w:rPr>
      </w:pPr>
    </w:p>
    <w:p w14:paraId="6F612EB6">
      <w:pPr>
        <w:pStyle w:val="231"/>
        <w:spacing w:line="360" w:lineRule="auto"/>
        <w:ind w:firstLine="420"/>
        <w:jc w:val="both"/>
        <w:rPr>
          <w:rFonts w:hint="default" w:ascii="仿宋" w:hAnsi="仿宋" w:eastAsia="仿宋" w:cs="仿宋"/>
          <w:sz w:val="24"/>
          <w:szCs w:val="24"/>
          <w:highlight w:val="yellow"/>
        </w:rPr>
      </w:pPr>
    </w:p>
    <w:p w14:paraId="2CC56177">
      <w:pPr>
        <w:pStyle w:val="231"/>
        <w:spacing w:line="360" w:lineRule="auto"/>
        <w:ind w:firstLine="420"/>
        <w:jc w:val="both"/>
        <w:rPr>
          <w:rFonts w:hint="default" w:ascii="仿宋" w:hAnsi="仿宋" w:eastAsia="仿宋" w:cs="仿宋"/>
          <w:sz w:val="24"/>
          <w:szCs w:val="24"/>
        </w:rPr>
      </w:pPr>
    </w:p>
    <w:p w14:paraId="762DE7D5">
      <w:pPr>
        <w:spacing w:line="360" w:lineRule="auto"/>
        <w:ind w:firstLine="480" w:firstLineChars="200"/>
        <w:rPr>
          <w:rFonts w:ascii="仿宋" w:hAnsi="仿宋" w:eastAsia="仿宋" w:cs="仿宋"/>
          <w:bCs/>
          <w:sz w:val="24"/>
          <w:szCs w:val="24"/>
        </w:rPr>
      </w:pPr>
    </w:p>
    <w:p w14:paraId="46D3A73B">
      <w:pPr>
        <w:rPr>
          <w:rFonts w:ascii="仿宋" w:hAnsi="仿宋" w:eastAsia="仿宋" w:cs="仿宋"/>
          <w:b/>
          <w:sz w:val="24"/>
          <w:szCs w:val="24"/>
        </w:rPr>
      </w:pPr>
      <w:bookmarkStart w:id="75" w:name="_Toc1807"/>
      <w:r>
        <w:rPr>
          <w:rFonts w:hint="eastAsia" w:ascii="仿宋" w:hAnsi="仿宋" w:eastAsia="仿宋" w:cs="仿宋"/>
          <w:b/>
          <w:sz w:val="24"/>
          <w:szCs w:val="24"/>
        </w:rPr>
        <w:br w:type="page"/>
      </w:r>
    </w:p>
    <w:p w14:paraId="4FD351F5">
      <w:pPr>
        <w:spacing w:line="440" w:lineRule="exact"/>
        <w:jc w:val="center"/>
        <w:outlineLvl w:val="0"/>
        <w:rPr>
          <w:rFonts w:ascii="仿宋" w:hAnsi="仿宋" w:eastAsia="仿宋" w:cs="仿宋"/>
          <w:b/>
          <w:sz w:val="24"/>
          <w:szCs w:val="24"/>
        </w:rPr>
      </w:pPr>
      <w:r>
        <w:rPr>
          <w:rFonts w:hint="eastAsia" w:ascii="仿宋" w:hAnsi="仿宋" w:eastAsia="仿宋" w:cs="仿宋"/>
          <w:b/>
          <w:sz w:val="24"/>
          <w:szCs w:val="24"/>
        </w:rPr>
        <w:t>第五章 投标文件格式</w:t>
      </w:r>
      <w:bookmarkEnd w:id="74"/>
      <w:bookmarkEnd w:id="75"/>
    </w:p>
    <w:p w14:paraId="70A167F5">
      <w:pPr>
        <w:rPr>
          <w:rFonts w:ascii="仿宋" w:hAnsi="仿宋" w:eastAsia="仿宋" w:cs="仿宋"/>
          <w:b/>
          <w:sz w:val="24"/>
          <w:szCs w:val="24"/>
        </w:rPr>
      </w:pPr>
    </w:p>
    <w:p w14:paraId="08E3AEE4">
      <w:pPr>
        <w:rPr>
          <w:rFonts w:ascii="仿宋" w:hAnsi="仿宋" w:eastAsia="仿宋" w:cs="仿宋"/>
          <w:b/>
          <w:sz w:val="24"/>
          <w:szCs w:val="24"/>
        </w:rPr>
      </w:pPr>
    </w:p>
    <w:p w14:paraId="48595A9D">
      <w:pPr>
        <w:rPr>
          <w:rFonts w:ascii="仿宋" w:hAnsi="仿宋" w:eastAsia="仿宋" w:cs="仿宋"/>
          <w:b/>
          <w:sz w:val="24"/>
          <w:szCs w:val="24"/>
        </w:rPr>
      </w:pPr>
    </w:p>
    <w:p w14:paraId="75875141">
      <w:pPr>
        <w:rPr>
          <w:rFonts w:ascii="仿宋" w:hAnsi="仿宋" w:eastAsia="仿宋" w:cs="仿宋"/>
          <w:b/>
          <w:sz w:val="24"/>
          <w:szCs w:val="24"/>
        </w:rPr>
      </w:pPr>
    </w:p>
    <w:p w14:paraId="2352650D">
      <w:pPr>
        <w:rPr>
          <w:rFonts w:ascii="仿宋" w:hAnsi="仿宋" w:eastAsia="仿宋" w:cs="仿宋"/>
          <w:sz w:val="24"/>
          <w:szCs w:val="24"/>
          <w:u w:val="single"/>
        </w:rPr>
      </w:pPr>
      <w:r>
        <w:rPr>
          <w:rFonts w:hint="eastAsia" w:ascii="仿宋" w:hAnsi="仿宋" w:eastAsia="仿宋" w:cs="仿宋"/>
          <w:sz w:val="24"/>
          <w:szCs w:val="24"/>
          <w:u w:val="single"/>
        </w:rPr>
        <w:t>投标文件封面示例</w:t>
      </w:r>
    </w:p>
    <w:p w14:paraId="45A54E27">
      <w:pPr>
        <w:rPr>
          <w:rFonts w:ascii="仿宋" w:hAnsi="仿宋" w:eastAsia="仿宋" w:cs="仿宋"/>
          <w:sz w:val="24"/>
          <w:szCs w:val="24"/>
          <w:u w:val="single"/>
        </w:rPr>
      </w:pPr>
    </w:p>
    <w:p w14:paraId="775A2692">
      <w:pPr>
        <w:rPr>
          <w:rFonts w:ascii="仿宋" w:hAnsi="仿宋" w:eastAsia="仿宋" w:cs="仿宋"/>
          <w:sz w:val="24"/>
          <w:szCs w:val="24"/>
          <w:u w:val="single"/>
        </w:rPr>
      </w:pPr>
    </w:p>
    <w:p w14:paraId="22B2F9ED">
      <w:pPr>
        <w:rPr>
          <w:rFonts w:ascii="仿宋" w:hAnsi="仿宋" w:eastAsia="仿宋" w:cs="仿宋"/>
          <w:sz w:val="24"/>
          <w:szCs w:val="24"/>
          <w:u w:val="single"/>
        </w:rPr>
      </w:pPr>
    </w:p>
    <w:p w14:paraId="35B7CA9A">
      <w:pPr>
        <w:rPr>
          <w:rFonts w:ascii="仿宋" w:hAnsi="仿宋" w:eastAsia="仿宋" w:cs="仿宋"/>
          <w:sz w:val="24"/>
          <w:szCs w:val="24"/>
          <w:u w:val="single"/>
        </w:rPr>
      </w:pPr>
    </w:p>
    <w:p w14:paraId="65DC7646">
      <w:pPr>
        <w:rPr>
          <w:rFonts w:ascii="仿宋" w:hAnsi="仿宋" w:eastAsia="仿宋" w:cs="仿宋"/>
          <w:sz w:val="24"/>
          <w:szCs w:val="24"/>
          <w:u w:val="single"/>
        </w:rPr>
      </w:pPr>
    </w:p>
    <w:p w14:paraId="788C7C5E">
      <w:pPr>
        <w:spacing w:line="480" w:lineRule="auto"/>
        <w:jc w:val="center"/>
        <w:rPr>
          <w:rFonts w:ascii="仿宋" w:hAnsi="仿宋" w:eastAsia="仿宋" w:cs="仿宋"/>
          <w:b/>
          <w:bCs/>
          <w:sz w:val="24"/>
          <w:szCs w:val="24"/>
          <w:u w:val="single"/>
        </w:rPr>
      </w:pPr>
      <w:r>
        <w:rPr>
          <w:rFonts w:hint="eastAsia" w:ascii="仿宋" w:hAnsi="仿宋" w:eastAsia="仿宋" w:cs="仿宋"/>
          <w:b/>
          <w:bCs/>
          <w:sz w:val="24"/>
          <w:szCs w:val="24"/>
          <w:u w:val="single"/>
        </w:rPr>
        <w:t>（项目名称）</w:t>
      </w:r>
    </w:p>
    <w:p w14:paraId="3589E0B0">
      <w:pPr>
        <w:spacing w:line="480" w:lineRule="auto"/>
        <w:jc w:val="center"/>
        <w:rPr>
          <w:rFonts w:ascii="仿宋" w:hAnsi="仿宋" w:eastAsia="仿宋" w:cs="仿宋"/>
          <w:b/>
          <w:bCs/>
          <w:sz w:val="24"/>
          <w:szCs w:val="24"/>
          <w:u w:val="single"/>
        </w:rPr>
      </w:pPr>
      <w:r>
        <w:rPr>
          <w:rFonts w:hint="eastAsia" w:ascii="仿宋" w:hAnsi="仿宋" w:eastAsia="仿宋" w:cs="仿宋"/>
          <w:b/>
          <w:bCs/>
          <w:sz w:val="24"/>
          <w:szCs w:val="24"/>
          <w:u w:val="single"/>
        </w:rPr>
        <w:t>（项目编号）</w:t>
      </w:r>
    </w:p>
    <w:p w14:paraId="6BD90229">
      <w:pPr>
        <w:pStyle w:val="15"/>
        <w:jc w:val="center"/>
      </w:pPr>
      <w:r>
        <w:rPr>
          <w:rFonts w:hint="eastAsia" w:ascii="仿宋" w:hAnsi="仿宋" w:eastAsia="仿宋" w:cs="仿宋"/>
          <w:b/>
          <w:bCs/>
          <w:szCs w:val="24"/>
          <w:u w:val="single"/>
        </w:rPr>
        <w:t>（标项名称）</w:t>
      </w:r>
    </w:p>
    <w:p w14:paraId="38D26781">
      <w:pPr>
        <w:spacing w:line="300" w:lineRule="exact"/>
        <w:jc w:val="center"/>
        <w:rPr>
          <w:rFonts w:ascii="仿宋" w:hAnsi="仿宋" w:eastAsia="仿宋" w:cs="仿宋"/>
          <w:b/>
          <w:bCs/>
          <w:sz w:val="24"/>
          <w:szCs w:val="24"/>
        </w:rPr>
      </w:pPr>
    </w:p>
    <w:p w14:paraId="3C5AB57E">
      <w:pPr>
        <w:spacing w:line="300" w:lineRule="exact"/>
        <w:jc w:val="center"/>
        <w:rPr>
          <w:rFonts w:ascii="仿宋" w:hAnsi="仿宋" w:eastAsia="仿宋" w:cs="仿宋"/>
          <w:b/>
          <w:bCs/>
          <w:sz w:val="24"/>
          <w:szCs w:val="24"/>
        </w:rPr>
      </w:pPr>
    </w:p>
    <w:p w14:paraId="497D9C66">
      <w:pPr>
        <w:spacing w:line="300" w:lineRule="exact"/>
        <w:jc w:val="center"/>
        <w:rPr>
          <w:rFonts w:ascii="仿宋" w:hAnsi="仿宋" w:eastAsia="仿宋" w:cs="仿宋"/>
          <w:b/>
          <w:bCs/>
          <w:sz w:val="24"/>
          <w:szCs w:val="24"/>
        </w:rPr>
      </w:pPr>
      <w:r>
        <w:rPr>
          <w:rFonts w:hint="eastAsia" w:ascii="仿宋" w:hAnsi="仿宋" w:eastAsia="仿宋" w:cs="仿宋"/>
          <w:b/>
          <w:bCs/>
          <w:sz w:val="24"/>
          <w:szCs w:val="24"/>
        </w:rPr>
        <w:t>投标文件</w:t>
      </w:r>
    </w:p>
    <w:p w14:paraId="08261087">
      <w:pPr>
        <w:spacing w:line="720" w:lineRule="auto"/>
        <w:rPr>
          <w:rFonts w:ascii="仿宋" w:hAnsi="仿宋" w:eastAsia="仿宋" w:cs="仿宋"/>
          <w:sz w:val="24"/>
          <w:szCs w:val="24"/>
        </w:rPr>
      </w:pPr>
    </w:p>
    <w:p w14:paraId="397E8EEC">
      <w:pPr>
        <w:spacing w:line="720" w:lineRule="auto"/>
        <w:rPr>
          <w:rFonts w:ascii="仿宋" w:hAnsi="仿宋" w:eastAsia="仿宋" w:cs="仿宋"/>
          <w:sz w:val="24"/>
          <w:szCs w:val="24"/>
        </w:rPr>
      </w:pPr>
      <w:r>
        <w:rPr>
          <w:rFonts w:hint="eastAsia" w:ascii="仿宋" w:hAnsi="仿宋" w:eastAsia="仿宋" w:cs="仿宋"/>
          <w:sz w:val="24"/>
          <w:szCs w:val="24"/>
        </w:rPr>
        <w:t>投标人：（盖章）</w:t>
      </w:r>
    </w:p>
    <w:p w14:paraId="504BA9FC">
      <w:pPr>
        <w:spacing w:line="720" w:lineRule="auto"/>
        <w:rPr>
          <w:rFonts w:ascii="仿宋" w:hAnsi="仿宋" w:eastAsia="仿宋" w:cs="仿宋"/>
          <w:sz w:val="24"/>
          <w:szCs w:val="24"/>
        </w:rPr>
      </w:pPr>
      <w:r>
        <w:rPr>
          <w:rFonts w:hint="eastAsia" w:ascii="仿宋" w:hAnsi="仿宋" w:eastAsia="仿宋" w:cs="仿宋"/>
          <w:sz w:val="24"/>
          <w:szCs w:val="24"/>
        </w:rPr>
        <w:t>法定代表人：（盖章）</w:t>
      </w:r>
    </w:p>
    <w:p w14:paraId="462E2F19">
      <w:pPr>
        <w:spacing w:line="720" w:lineRule="auto"/>
        <w:rPr>
          <w:rFonts w:ascii="仿宋" w:hAnsi="仿宋" w:eastAsia="仿宋" w:cs="仿宋"/>
          <w:sz w:val="24"/>
          <w:szCs w:val="24"/>
        </w:rPr>
      </w:pPr>
      <w:r>
        <w:rPr>
          <w:rFonts w:hint="eastAsia" w:ascii="仿宋" w:hAnsi="仿宋" w:eastAsia="仿宋" w:cs="仿宋"/>
          <w:sz w:val="24"/>
          <w:szCs w:val="24"/>
        </w:rPr>
        <w:t>单位地址：</w:t>
      </w:r>
    </w:p>
    <w:p w14:paraId="79730A70">
      <w:pPr>
        <w:spacing w:line="720" w:lineRule="auto"/>
        <w:rPr>
          <w:rFonts w:ascii="仿宋" w:hAnsi="仿宋" w:eastAsia="仿宋" w:cs="仿宋"/>
          <w:sz w:val="24"/>
          <w:szCs w:val="24"/>
        </w:rPr>
      </w:pPr>
      <w:r>
        <w:rPr>
          <w:rFonts w:hint="eastAsia" w:ascii="仿宋" w:hAnsi="仿宋" w:eastAsia="仿宋" w:cs="仿宋"/>
          <w:sz w:val="24"/>
          <w:szCs w:val="24"/>
        </w:rPr>
        <w:t>邮政编码：</w:t>
      </w:r>
    </w:p>
    <w:p w14:paraId="5D15277E">
      <w:pPr>
        <w:spacing w:line="720" w:lineRule="auto"/>
        <w:rPr>
          <w:rFonts w:ascii="仿宋" w:hAnsi="仿宋" w:eastAsia="仿宋" w:cs="仿宋"/>
          <w:sz w:val="24"/>
          <w:szCs w:val="24"/>
        </w:rPr>
      </w:pPr>
      <w:r>
        <w:rPr>
          <w:rFonts w:hint="eastAsia" w:ascii="仿宋" w:hAnsi="仿宋" w:eastAsia="仿宋" w:cs="仿宋"/>
          <w:sz w:val="24"/>
          <w:szCs w:val="24"/>
        </w:rPr>
        <w:t>联系人：</w:t>
      </w:r>
    </w:p>
    <w:p w14:paraId="5DD8E81C">
      <w:pPr>
        <w:spacing w:line="720" w:lineRule="auto"/>
        <w:rPr>
          <w:rFonts w:ascii="仿宋" w:hAnsi="仿宋" w:eastAsia="仿宋" w:cs="仿宋"/>
          <w:sz w:val="24"/>
          <w:szCs w:val="24"/>
        </w:rPr>
      </w:pPr>
      <w:r>
        <w:rPr>
          <w:rFonts w:hint="eastAsia" w:ascii="仿宋" w:hAnsi="仿宋" w:eastAsia="仿宋" w:cs="仿宋"/>
          <w:sz w:val="24"/>
          <w:szCs w:val="24"/>
        </w:rPr>
        <w:t>联系电话：</w:t>
      </w:r>
    </w:p>
    <w:p w14:paraId="159BD9DD">
      <w:pPr>
        <w:spacing w:line="720" w:lineRule="auto"/>
        <w:ind w:firstLine="2" w:firstLineChars="1"/>
        <w:jc w:val="center"/>
        <w:rPr>
          <w:rFonts w:ascii="仿宋" w:hAnsi="仿宋" w:eastAsia="仿宋" w:cs="仿宋"/>
          <w:sz w:val="24"/>
          <w:szCs w:val="24"/>
        </w:rPr>
      </w:pPr>
      <w:r>
        <w:rPr>
          <w:rFonts w:hint="eastAsia" w:ascii="仿宋" w:hAnsi="仿宋" w:eastAsia="仿宋" w:cs="仿宋"/>
          <w:sz w:val="24"/>
          <w:szCs w:val="24"/>
        </w:rPr>
        <w:t>年月日</w:t>
      </w:r>
    </w:p>
    <w:p w14:paraId="43AAFAFC">
      <w:pPr>
        <w:rPr>
          <w:rFonts w:ascii="仿宋" w:hAnsi="仿宋" w:eastAsia="仿宋" w:cs="仿宋"/>
          <w:b/>
          <w:sz w:val="24"/>
          <w:szCs w:val="24"/>
        </w:rPr>
      </w:pPr>
      <w:bookmarkStart w:id="76" w:name="_Toc3990"/>
      <w:bookmarkStart w:id="77" w:name="_Toc531016894"/>
      <w:r>
        <w:rPr>
          <w:rFonts w:hint="eastAsia" w:ascii="仿宋" w:hAnsi="仿宋" w:eastAsia="仿宋" w:cs="仿宋"/>
          <w:b/>
          <w:sz w:val="24"/>
          <w:szCs w:val="24"/>
        </w:rPr>
        <w:br w:type="page"/>
      </w:r>
    </w:p>
    <w:p w14:paraId="362D5280">
      <w:pPr>
        <w:tabs>
          <w:tab w:val="center" w:pos="4832"/>
          <w:tab w:val="left" w:pos="7140"/>
        </w:tabs>
        <w:jc w:val="center"/>
        <w:outlineLvl w:val="1"/>
        <w:rPr>
          <w:rFonts w:ascii="仿宋" w:hAnsi="仿宋" w:eastAsia="仿宋" w:cs="仿宋"/>
          <w:b/>
          <w:sz w:val="24"/>
          <w:szCs w:val="24"/>
        </w:rPr>
      </w:pPr>
      <w:r>
        <w:rPr>
          <w:rFonts w:hint="eastAsia" w:ascii="仿宋" w:hAnsi="仿宋" w:eastAsia="仿宋" w:cs="仿宋"/>
          <w:b/>
          <w:sz w:val="24"/>
          <w:szCs w:val="24"/>
        </w:rPr>
        <w:t>目录</w:t>
      </w:r>
      <w:bookmarkEnd w:id="76"/>
      <w:bookmarkEnd w:id="77"/>
    </w:p>
    <w:p w14:paraId="4ADBA490">
      <w:pPr>
        <w:spacing w:line="360" w:lineRule="auto"/>
        <w:rPr>
          <w:rFonts w:ascii="仿宋" w:hAnsi="仿宋" w:eastAsia="仿宋" w:cs="仿宋"/>
          <w:bCs/>
          <w:sz w:val="24"/>
          <w:szCs w:val="24"/>
          <w:shd w:val="clear" w:color="auto" w:fill="FFFFFF" w:themeFill="background1"/>
        </w:rPr>
      </w:pPr>
    </w:p>
    <w:p w14:paraId="4647247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一、投标函</w:t>
      </w:r>
    </w:p>
    <w:p w14:paraId="6863D5B4">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二、开标一览表</w:t>
      </w:r>
    </w:p>
    <w:p w14:paraId="2E456F76">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三、投标价格明细表</w:t>
      </w:r>
    </w:p>
    <w:p w14:paraId="61172979">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四、商务条款偏离表</w:t>
      </w:r>
    </w:p>
    <w:p w14:paraId="16BC754F">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五、技术条款偏离表</w:t>
      </w:r>
    </w:p>
    <w:p w14:paraId="656DADA4">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六、法定代表人身份证明书</w:t>
      </w:r>
    </w:p>
    <w:p w14:paraId="7E83BAB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七、法定代表人授权委托书</w:t>
      </w:r>
    </w:p>
    <w:p w14:paraId="21FFEDE7">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八、投标人基本情况</w:t>
      </w:r>
    </w:p>
    <w:p w14:paraId="6091B1F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8.1、法人或者其他组织的营业执照等证明文件，自然人的身份证明</w:t>
      </w:r>
    </w:p>
    <w:p w14:paraId="51721D60">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8.2、财务状况报告，依法缴纳税收和社会保障资金的相关材料</w:t>
      </w:r>
    </w:p>
    <w:p w14:paraId="24B384C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8.3、具备履行合同所必需的设备和专业技术能力的证明材料</w:t>
      </w:r>
    </w:p>
    <w:p w14:paraId="3A93F6B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8.4、参加政府采购活动前3年内在经营活动中没有重大违法记录的书面声明</w:t>
      </w:r>
    </w:p>
    <w:p w14:paraId="1E08A0EE">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8.5、具备法律、行政法规规定的其他条件的证明材料</w:t>
      </w:r>
    </w:p>
    <w:p w14:paraId="1218579B">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九、投标人近三年类似项目业绩表</w:t>
      </w:r>
    </w:p>
    <w:p w14:paraId="5283C949">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十、项目负责人简历表</w:t>
      </w:r>
    </w:p>
    <w:p w14:paraId="1186A4C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十一、拟派本项目服务人员情况表</w:t>
      </w:r>
    </w:p>
    <w:p w14:paraId="3B46E0BC">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十二、服务方案</w:t>
      </w:r>
    </w:p>
    <w:p w14:paraId="4980FA9A">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十三、其他需要提交的资料</w:t>
      </w:r>
    </w:p>
    <w:p w14:paraId="4897E7C5">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注：为了便于查找，请按上述顺序编制投标文件内容，并在目录中标明每项内容的起始页码。</w:t>
      </w:r>
    </w:p>
    <w:p w14:paraId="38CE34EE">
      <w:pPr>
        <w:tabs>
          <w:tab w:val="center" w:pos="4832"/>
          <w:tab w:val="left" w:pos="7140"/>
        </w:tabs>
        <w:spacing w:line="360" w:lineRule="auto"/>
        <w:jc w:val="center"/>
        <w:outlineLvl w:val="1"/>
        <w:rPr>
          <w:rFonts w:ascii="仿宋" w:hAnsi="仿宋" w:eastAsia="仿宋" w:cs="仿宋"/>
          <w:b/>
          <w:sz w:val="24"/>
          <w:szCs w:val="24"/>
          <w:shd w:val="clear" w:color="auto" w:fill="FFFFFF" w:themeFill="background1"/>
        </w:rPr>
      </w:pPr>
      <w:r>
        <w:rPr>
          <w:rFonts w:hint="eastAsia" w:ascii="仿宋" w:hAnsi="仿宋" w:eastAsia="仿宋" w:cs="仿宋"/>
          <w:b/>
          <w:sz w:val="24"/>
          <w:szCs w:val="24"/>
        </w:rPr>
        <w:br w:type="page"/>
      </w:r>
      <w:bookmarkStart w:id="78" w:name="_Toc38446470"/>
      <w:bookmarkStart w:id="79" w:name="_Toc533503181"/>
      <w:bookmarkStart w:id="80" w:name="_Toc507586166"/>
      <w:bookmarkStart w:id="81" w:name="_Toc18537"/>
      <w:bookmarkStart w:id="82" w:name="_Toc11555"/>
      <w:r>
        <w:rPr>
          <w:rFonts w:hint="eastAsia" w:ascii="仿宋" w:hAnsi="仿宋" w:eastAsia="仿宋" w:cs="仿宋"/>
          <w:b/>
          <w:sz w:val="24"/>
          <w:szCs w:val="24"/>
          <w:shd w:val="clear" w:color="auto" w:fill="FFFFFF" w:themeFill="background1"/>
        </w:rPr>
        <w:t>一、投标函</w:t>
      </w:r>
      <w:bookmarkEnd w:id="78"/>
      <w:bookmarkEnd w:id="79"/>
      <w:bookmarkEnd w:id="80"/>
      <w:bookmarkEnd w:id="81"/>
      <w:bookmarkEnd w:id="82"/>
    </w:p>
    <w:p w14:paraId="6A996B6B">
      <w:pPr>
        <w:widowControl/>
        <w:snapToGrid w:val="0"/>
        <w:spacing w:line="336"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483BE8CA">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根据已收到的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项目的</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的全部内容后，我方郑重承诺如下：</w:t>
      </w:r>
    </w:p>
    <w:p w14:paraId="5C94330E">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1.如果我方中标，我方将在</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规定的时间内签订合同。如果我方违约，除没收投标保证金外，贵方有权终止我方中标并选择其它成交投标人。</w:t>
      </w:r>
    </w:p>
    <w:p w14:paraId="210E57D0">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2.本</w:t>
      </w:r>
      <w:r>
        <w:rPr>
          <w:rFonts w:hint="eastAsia" w:ascii="仿宋" w:hAnsi="仿宋" w:eastAsia="仿宋" w:cs="仿宋"/>
          <w:sz w:val="24"/>
          <w:szCs w:val="24"/>
          <w:shd w:val="clear" w:color="auto" w:fill="FFFFFF" w:themeFill="background1"/>
        </w:rPr>
        <w:t>投标文件</w:t>
      </w:r>
      <w:r>
        <w:rPr>
          <w:rFonts w:hint="eastAsia" w:ascii="仿宋" w:hAnsi="仿宋" w:eastAsia="仿宋" w:cs="仿宋"/>
          <w:kern w:val="0"/>
          <w:sz w:val="24"/>
          <w:szCs w:val="24"/>
          <w:shd w:val="clear" w:color="auto" w:fill="FFFFFF" w:themeFill="background1"/>
        </w:rPr>
        <w:t>在</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规定的投标有效期内对我方具有约束力，如果我方在投标有效期内撤销投标，其投标保证金将被贵方没收。</w:t>
      </w:r>
    </w:p>
    <w:p w14:paraId="361F09BC">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3.我方已详细阅读</w:t>
      </w:r>
      <w:r>
        <w:rPr>
          <w:rFonts w:hint="eastAsia" w:ascii="仿宋" w:hAnsi="仿宋" w:eastAsia="仿宋" w:cs="仿宋"/>
          <w:sz w:val="24"/>
          <w:szCs w:val="24"/>
          <w:shd w:val="clear" w:color="auto" w:fill="FFFFFF" w:themeFill="background1"/>
        </w:rPr>
        <w:t>招标文件</w:t>
      </w:r>
      <w:r>
        <w:rPr>
          <w:rFonts w:hint="eastAsia" w:ascii="仿宋" w:hAnsi="仿宋" w:eastAsia="仿宋" w:cs="仿宋"/>
          <w:kern w:val="0"/>
          <w:sz w:val="24"/>
          <w:szCs w:val="24"/>
          <w:shd w:val="clear" w:color="auto" w:fill="FFFFFF" w:themeFill="background1"/>
        </w:rPr>
        <w:t>全部内容且完全理解，同意放弃对这方面有不明及误解的权力。若有违反，同意被废除投标资格并接受处罚。</w:t>
      </w:r>
    </w:p>
    <w:p w14:paraId="646303C6">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4.我方保证</w:t>
      </w:r>
      <w:r>
        <w:rPr>
          <w:rFonts w:hint="eastAsia" w:ascii="仿宋" w:hAnsi="仿宋" w:eastAsia="仿宋" w:cs="仿宋"/>
          <w:sz w:val="24"/>
          <w:szCs w:val="24"/>
          <w:shd w:val="clear" w:color="auto" w:fill="FFFFFF" w:themeFill="background1"/>
        </w:rPr>
        <w:t>投标文件</w:t>
      </w:r>
      <w:r>
        <w:rPr>
          <w:rFonts w:hint="eastAsia" w:ascii="仿宋" w:hAnsi="仿宋" w:eastAsia="仿宋" w:cs="仿宋"/>
          <w:kern w:val="0"/>
          <w:sz w:val="24"/>
          <w:szCs w:val="24"/>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77690F34">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5.我方愿意提供贵方可能要求的与投标有关的一切数据或资料，完全理解贵方不一定接受最低投标报价的投标或收到的任何投标。</w:t>
      </w:r>
    </w:p>
    <w:p w14:paraId="4C036F7A">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6.我方派法定代表人或其授权委托人作为我方代表，负责按时参加开标会并签署与投标有关的相关文件等。</w:t>
      </w:r>
    </w:p>
    <w:p w14:paraId="4058D77A">
      <w:pPr>
        <w:widowControl/>
        <w:snapToGrid w:val="0"/>
        <w:spacing w:line="336" w:lineRule="auto"/>
        <w:ind w:firstLine="420"/>
        <w:jc w:val="left"/>
        <w:rPr>
          <w:rFonts w:ascii="仿宋" w:hAnsi="仿宋" w:eastAsia="仿宋" w:cs="仿宋"/>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7.我方</w:t>
      </w:r>
      <w:r>
        <w:rPr>
          <w:rFonts w:hint="eastAsia" w:ascii="仿宋" w:hAnsi="仿宋" w:eastAsia="仿宋" w:cs="仿宋"/>
          <w:sz w:val="24"/>
          <w:szCs w:val="24"/>
          <w:shd w:val="clear" w:color="auto" w:fill="FFFFFF" w:themeFill="background1"/>
        </w:rPr>
        <w:t>保证按招标文件及合同约定原则处理因采购人原因增加或调整的工作量及其他事宜。</w:t>
      </w:r>
    </w:p>
    <w:p w14:paraId="585C91F1">
      <w:pPr>
        <w:widowControl/>
        <w:snapToGrid w:val="0"/>
        <w:spacing w:line="336" w:lineRule="auto"/>
        <w:ind w:firstLine="42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8.如我方中标，我方自愿向采购代理机构支付咨询费，并在合同签订后3个工作日内向采购代理机构提供采购合同原件一份用于采购资料备案工作。</w:t>
      </w:r>
    </w:p>
    <w:p w14:paraId="3524A86B">
      <w:pPr>
        <w:widowControl/>
        <w:snapToGrid w:val="0"/>
        <w:spacing w:line="336"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6B2319C0">
      <w:pPr>
        <w:widowControl/>
        <w:snapToGrid w:val="0"/>
        <w:spacing w:line="336"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（盖章）                       </w:t>
      </w:r>
    </w:p>
    <w:p w14:paraId="48A508A4">
      <w:pPr>
        <w:widowControl/>
        <w:snapToGrid w:val="0"/>
        <w:spacing w:line="336" w:lineRule="auto"/>
        <w:jc w:val="righ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日期：年 月 日</w:t>
      </w:r>
    </w:p>
    <w:p w14:paraId="6265F50B">
      <w:pPr>
        <w:rPr>
          <w:rFonts w:ascii="仿宋" w:hAnsi="仿宋" w:eastAsia="仿宋" w:cs="仿宋"/>
          <w:b/>
          <w:sz w:val="24"/>
          <w:szCs w:val="24"/>
          <w:shd w:val="clear" w:color="auto" w:fill="FFFFFF" w:themeFill="background1"/>
        </w:rPr>
      </w:pPr>
      <w:bookmarkStart w:id="83" w:name="_Toc14116"/>
      <w:bookmarkStart w:id="84" w:name="_Toc26164"/>
      <w:bookmarkStart w:id="85" w:name="_Toc507586169"/>
      <w:bookmarkStart w:id="86" w:name="_Toc533503184"/>
      <w:bookmarkStart w:id="87" w:name="_Toc38446474"/>
      <w:r>
        <w:rPr>
          <w:rFonts w:hint="eastAsia" w:ascii="仿宋" w:hAnsi="仿宋" w:eastAsia="仿宋" w:cs="仿宋"/>
          <w:b/>
          <w:sz w:val="24"/>
          <w:szCs w:val="24"/>
          <w:shd w:val="clear" w:color="auto" w:fill="FFFFFF" w:themeFill="background1"/>
        </w:rPr>
        <w:br w:type="page"/>
      </w:r>
    </w:p>
    <w:p w14:paraId="5F777533">
      <w:pPr>
        <w:jc w:val="center"/>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二、开标一览表</w:t>
      </w:r>
      <w:bookmarkEnd w:id="83"/>
    </w:p>
    <w:p w14:paraId="12FEC22A">
      <w:pPr>
        <w:pStyle w:val="39"/>
        <w:ind w:firstLine="234"/>
        <w:jc w:val="right"/>
        <w:rPr>
          <w:rFonts w:ascii="仿宋" w:hAnsi="仿宋" w:eastAsia="仿宋" w:cs="仿宋"/>
          <w:color w:val="000000"/>
          <w:spacing w:val="-3"/>
          <w:sz w:val="24"/>
          <w:szCs w:val="24"/>
        </w:rPr>
      </w:pPr>
    </w:p>
    <w:p w14:paraId="29F53C55">
      <w:pPr>
        <w:pStyle w:val="39"/>
        <w:ind w:firstLine="234"/>
        <w:jc w:val="right"/>
        <w:rPr>
          <w:rFonts w:ascii="仿宋" w:hAnsi="仿宋" w:eastAsia="仿宋" w:cs="仿宋"/>
          <w:color w:val="000000"/>
          <w:sz w:val="24"/>
          <w:szCs w:val="24"/>
        </w:rPr>
      </w:pPr>
      <w:r>
        <w:rPr>
          <w:rFonts w:hint="eastAsia" w:ascii="仿宋" w:hAnsi="仿宋" w:eastAsia="仿宋" w:cs="仿宋"/>
          <w:color w:val="000000"/>
          <w:spacing w:val="-3"/>
          <w:sz w:val="24"/>
          <w:szCs w:val="24"/>
        </w:rPr>
        <w:t>报价单位：</w:t>
      </w:r>
      <w:r>
        <w:rPr>
          <w:rFonts w:hint="eastAsia" w:ascii="仿宋" w:hAnsi="仿宋" w:eastAsia="仿宋" w:cs="仿宋"/>
          <w:color w:val="000000"/>
          <w:sz w:val="24"/>
          <w:szCs w:val="24"/>
        </w:rPr>
        <w:t>人</w:t>
      </w:r>
      <w:r>
        <w:rPr>
          <w:rFonts w:hint="eastAsia" w:ascii="仿宋" w:hAnsi="仿宋" w:eastAsia="仿宋" w:cs="仿宋"/>
          <w:color w:val="000000"/>
          <w:spacing w:val="-3"/>
          <w:sz w:val="24"/>
          <w:szCs w:val="24"/>
        </w:rPr>
        <w:t>民</w:t>
      </w:r>
      <w:r>
        <w:rPr>
          <w:rFonts w:hint="eastAsia" w:ascii="仿宋" w:hAnsi="仿宋" w:eastAsia="仿宋" w:cs="仿宋"/>
          <w:color w:val="000000"/>
          <w:sz w:val="24"/>
          <w:szCs w:val="24"/>
        </w:rPr>
        <w:t>币元</w:t>
      </w:r>
    </w:p>
    <w:p w14:paraId="02D0989C">
      <w:pPr>
        <w:pStyle w:val="39"/>
        <w:ind w:firstLine="240"/>
        <w:jc w:val="right"/>
        <w:rPr>
          <w:rFonts w:ascii="仿宋" w:hAnsi="仿宋" w:eastAsia="仿宋" w:cs="仿宋"/>
          <w:color w:val="000000"/>
          <w:sz w:val="24"/>
          <w:szCs w:val="24"/>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7AD77A2D">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0EECB84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6836" w:type="dxa"/>
            <w:tcBorders>
              <w:top w:val="single" w:color="auto" w:sz="4" w:space="0"/>
              <w:left w:val="nil"/>
              <w:bottom w:val="single" w:color="auto" w:sz="4" w:space="0"/>
              <w:right w:val="single" w:color="auto" w:sz="4" w:space="0"/>
            </w:tcBorders>
            <w:vAlign w:val="center"/>
          </w:tcPr>
          <w:p w14:paraId="7E0A61CB">
            <w:pPr>
              <w:widowControl/>
              <w:spacing w:line="360" w:lineRule="auto"/>
              <w:rPr>
                <w:rFonts w:ascii="仿宋" w:hAnsi="仿宋" w:eastAsia="仿宋" w:cs="仿宋"/>
                <w:color w:val="000000"/>
                <w:sz w:val="24"/>
                <w:szCs w:val="24"/>
              </w:rPr>
            </w:pPr>
          </w:p>
        </w:tc>
      </w:tr>
      <w:tr w14:paraId="03C8A0A1">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2039">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6836" w:type="dxa"/>
            <w:tcBorders>
              <w:top w:val="single" w:color="auto" w:sz="4" w:space="0"/>
              <w:left w:val="nil"/>
              <w:bottom w:val="single" w:color="auto" w:sz="4" w:space="0"/>
              <w:right w:val="single" w:color="auto" w:sz="4" w:space="0"/>
            </w:tcBorders>
            <w:vAlign w:val="center"/>
          </w:tcPr>
          <w:p w14:paraId="0593A8A2">
            <w:pPr>
              <w:widowControl/>
              <w:spacing w:line="360" w:lineRule="auto"/>
              <w:rPr>
                <w:rFonts w:ascii="仿宋" w:hAnsi="仿宋" w:eastAsia="仿宋" w:cs="仿宋"/>
                <w:color w:val="000000"/>
                <w:sz w:val="24"/>
                <w:szCs w:val="24"/>
              </w:rPr>
            </w:pPr>
          </w:p>
        </w:tc>
      </w:tr>
      <w:tr w14:paraId="00AF80E1">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2D474193">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标项名称</w:t>
            </w:r>
          </w:p>
        </w:tc>
        <w:tc>
          <w:tcPr>
            <w:tcW w:w="6836" w:type="dxa"/>
            <w:tcBorders>
              <w:top w:val="single" w:color="auto" w:sz="4" w:space="0"/>
              <w:left w:val="nil"/>
              <w:bottom w:val="single" w:color="auto" w:sz="4" w:space="0"/>
              <w:right w:val="single" w:color="auto" w:sz="4" w:space="0"/>
            </w:tcBorders>
            <w:vAlign w:val="center"/>
          </w:tcPr>
          <w:p w14:paraId="6107FD00">
            <w:pPr>
              <w:widowControl/>
              <w:spacing w:line="360" w:lineRule="auto"/>
              <w:rPr>
                <w:rFonts w:ascii="仿宋" w:hAnsi="仿宋" w:eastAsia="仿宋" w:cs="仿宋"/>
                <w:color w:val="000000"/>
                <w:sz w:val="24"/>
                <w:szCs w:val="24"/>
              </w:rPr>
            </w:pPr>
          </w:p>
        </w:tc>
      </w:tr>
      <w:tr w14:paraId="34A2D842">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3E84EB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投标报价</w:t>
            </w:r>
          </w:p>
        </w:tc>
        <w:tc>
          <w:tcPr>
            <w:tcW w:w="6836" w:type="dxa"/>
            <w:tcBorders>
              <w:top w:val="single" w:color="auto" w:sz="4" w:space="0"/>
              <w:left w:val="nil"/>
              <w:bottom w:val="single" w:color="auto" w:sz="4" w:space="0"/>
              <w:right w:val="single" w:color="auto" w:sz="4" w:space="0"/>
            </w:tcBorders>
            <w:vAlign w:val="center"/>
          </w:tcPr>
          <w:p w14:paraId="3F060FC8">
            <w:pPr>
              <w:widowControl/>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大写：   </w:t>
            </w:r>
          </w:p>
          <w:p w14:paraId="6B01B0EC">
            <w:pPr>
              <w:widowControl/>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小写：</w:t>
            </w:r>
          </w:p>
        </w:tc>
      </w:tr>
      <w:tr w14:paraId="5E96FDA1">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2AFBC251">
            <w:pPr>
              <w:widowControl/>
              <w:spacing w:line="360" w:lineRule="auto"/>
              <w:jc w:val="center"/>
              <w:rPr>
                <w:rFonts w:ascii="仿宋" w:hAnsi="仿宋" w:eastAsia="仿宋" w:cs="仿宋"/>
                <w:color w:val="000000"/>
                <w:sz w:val="24"/>
                <w:szCs w:val="24"/>
              </w:rPr>
            </w:pPr>
            <w:r>
              <w:rPr>
                <w:rFonts w:hint="eastAsia" w:ascii="仿宋" w:hAnsi="仿宋" w:eastAsia="仿宋" w:cs="仿宋"/>
                <w:kern w:val="0"/>
                <w:sz w:val="24"/>
                <w:szCs w:val="24"/>
                <w:shd w:val="clear" w:color="auto" w:fill="FFFFFF" w:themeFill="background1"/>
              </w:rPr>
              <w:t>服务周期</w:t>
            </w:r>
          </w:p>
        </w:tc>
        <w:tc>
          <w:tcPr>
            <w:tcW w:w="6836" w:type="dxa"/>
            <w:tcBorders>
              <w:top w:val="single" w:color="auto" w:sz="4" w:space="0"/>
              <w:left w:val="nil"/>
              <w:bottom w:val="single" w:color="auto" w:sz="4" w:space="0"/>
              <w:right w:val="single" w:color="auto" w:sz="4" w:space="0"/>
            </w:tcBorders>
            <w:vAlign w:val="center"/>
          </w:tcPr>
          <w:p w14:paraId="1A412DE0">
            <w:pPr>
              <w:widowControl/>
              <w:spacing w:line="360" w:lineRule="auto"/>
              <w:rPr>
                <w:rFonts w:ascii="仿宋" w:hAnsi="仿宋" w:eastAsia="仿宋" w:cs="仿宋"/>
                <w:color w:val="000000"/>
                <w:sz w:val="24"/>
                <w:szCs w:val="24"/>
              </w:rPr>
            </w:pPr>
          </w:p>
        </w:tc>
      </w:tr>
      <w:tr w14:paraId="6CB39E9E">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27F7FF4B">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    注</w:t>
            </w:r>
          </w:p>
        </w:tc>
        <w:tc>
          <w:tcPr>
            <w:tcW w:w="6836" w:type="dxa"/>
            <w:tcBorders>
              <w:top w:val="single" w:color="auto" w:sz="4" w:space="0"/>
              <w:left w:val="nil"/>
              <w:bottom w:val="single" w:color="auto" w:sz="4" w:space="0"/>
              <w:right w:val="single" w:color="auto" w:sz="4" w:space="0"/>
            </w:tcBorders>
            <w:vAlign w:val="center"/>
          </w:tcPr>
          <w:p w14:paraId="65B6A408">
            <w:pPr>
              <w:widowControl/>
              <w:spacing w:line="360" w:lineRule="auto"/>
              <w:rPr>
                <w:rFonts w:ascii="仿宋" w:hAnsi="仿宋" w:eastAsia="仿宋" w:cs="仿宋"/>
                <w:color w:val="000000"/>
                <w:sz w:val="24"/>
                <w:szCs w:val="24"/>
              </w:rPr>
            </w:pPr>
          </w:p>
        </w:tc>
      </w:tr>
    </w:tbl>
    <w:p w14:paraId="559A71A8">
      <w:pPr>
        <w:spacing w:line="360" w:lineRule="auto"/>
        <w:ind w:firstLine="480" w:firstLineChars="200"/>
        <w:jc w:val="left"/>
        <w:rPr>
          <w:rFonts w:ascii="仿宋" w:hAnsi="仿宋" w:eastAsia="仿宋" w:cs="仿宋"/>
          <w:color w:val="000000"/>
          <w:sz w:val="24"/>
          <w:szCs w:val="24"/>
        </w:rPr>
      </w:pPr>
    </w:p>
    <w:p w14:paraId="232211AA">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755D3459">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 xml:space="preserve">2、“开标一览表”为多页的，每页均需由法定代表人盖章并盖投标人印章。 </w:t>
      </w:r>
    </w:p>
    <w:p w14:paraId="4A8A18B8">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67A70514">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5DC8FBBB">
      <w:pPr>
        <w:widowControl/>
        <w:snapToGrid w:val="0"/>
        <w:spacing w:line="360" w:lineRule="auto"/>
        <w:jc w:val="left"/>
        <w:rPr>
          <w:rFonts w:ascii="仿宋" w:hAnsi="仿宋" w:eastAsia="仿宋" w:cs="仿宋"/>
          <w:kern w:val="0"/>
          <w:sz w:val="24"/>
          <w:szCs w:val="24"/>
          <w:shd w:val="clear" w:color="auto" w:fill="FFFFFF" w:themeFill="background1"/>
        </w:rPr>
      </w:pPr>
    </w:p>
    <w:p w14:paraId="324FDF28">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（盖章）                       </w:t>
      </w:r>
    </w:p>
    <w:p w14:paraId="64B67096">
      <w:pPr>
        <w:widowControl/>
        <w:snapToGrid w:val="0"/>
        <w:spacing w:line="360" w:lineRule="auto"/>
        <w:jc w:val="righ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日期：年 月 日</w:t>
      </w:r>
    </w:p>
    <w:p w14:paraId="4C43B1E3">
      <w:pPr>
        <w:pStyle w:val="39"/>
        <w:ind w:firstLine="210"/>
        <w:rPr>
          <w:rFonts w:ascii="仿宋" w:hAnsi="仿宋" w:eastAsia="仿宋" w:cs="仿宋"/>
          <w:shd w:val="clear" w:color="auto" w:fill="FFFFFF" w:themeFill="background1"/>
        </w:rPr>
      </w:pPr>
    </w:p>
    <w:p w14:paraId="3E5E454E">
      <w:pPr>
        <w:widowControl/>
        <w:jc w:val="left"/>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2D99EB0F">
      <w:pPr>
        <w:tabs>
          <w:tab w:val="center" w:pos="4832"/>
          <w:tab w:val="left" w:pos="7140"/>
        </w:tabs>
        <w:spacing w:line="360" w:lineRule="auto"/>
        <w:jc w:val="center"/>
        <w:outlineLvl w:val="1"/>
        <w:rPr>
          <w:rFonts w:ascii="仿宋" w:hAnsi="仿宋" w:eastAsia="仿宋" w:cs="仿宋"/>
          <w:b/>
          <w:sz w:val="24"/>
          <w:szCs w:val="24"/>
          <w:shd w:val="clear" w:color="auto" w:fill="FFFFFF" w:themeFill="background1"/>
        </w:rPr>
      </w:pPr>
      <w:bookmarkStart w:id="88" w:name="_Toc11784"/>
      <w:r>
        <w:rPr>
          <w:rFonts w:hint="eastAsia" w:ascii="仿宋" w:hAnsi="仿宋" w:eastAsia="仿宋" w:cs="仿宋"/>
          <w:b/>
          <w:sz w:val="24"/>
          <w:szCs w:val="24"/>
          <w:shd w:val="clear" w:color="auto" w:fill="FFFFFF" w:themeFill="background1"/>
        </w:rPr>
        <w:t>三、投标价格明细表</w:t>
      </w:r>
      <w:bookmarkEnd w:id="84"/>
      <w:bookmarkEnd w:id="88"/>
    </w:p>
    <w:tbl>
      <w:tblPr>
        <w:tblStyle w:val="4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7"/>
        <w:gridCol w:w="1517"/>
        <w:gridCol w:w="1069"/>
        <w:gridCol w:w="1157"/>
        <w:gridCol w:w="1532"/>
        <w:gridCol w:w="11"/>
        <w:gridCol w:w="1526"/>
        <w:gridCol w:w="1541"/>
      </w:tblGrid>
      <w:tr w14:paraId="45E3C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3345AE1C">
            <w:pPr>
              <w:spacing w:line="360" w:lineRule="auto"/>
              <w:jc w:val="center"/>
              <w:rPr>
                <w:rFonts w:ascii="仿宋" w:hAnsi="仿宋" w:eastAsia="仿宋" w:cs="仿宋"/>
                <w:bCs/>
                <w:sz w:val="24"/>
                <w:szCs w:val="24"/>
              </w:rPr>
            </w:pPr>
            <w:r>
              <w:rPr>
                <w:rFonts w:hint="eastAsia" w:ascii="仿宋" w:hAnsi="仿宋" w:eastAsia="仿宋" w:cs="仿宋"/>
                <w:bCs/>
                <w:sz w:val="24"/>
                <w:szCs w:val="24"/>
              </w:rPr>
              <w:t>序号</w:t>
            </w:r>
          </w:p>
        </w:tc>
        <w:tc>
          <w:tcPr>
            <w:tcW w:w="817" w:type="pct"/>
            <w:tcBorders>
              <w:right w:val="single" w:color="auto" w:sz="4" w:space="0"/>
            </w:tcBorders>
            <w:vAlign w:val="center"/>
          </w:tcPr>
          <w:p w14:paraId="5B37E937">
            <w:pPr>
              <w:spacing w:line="360" w:lineRule="auto"/>
              <w:jc w:val="center"/>
              <w:rPr>
                <w:rFonts w:ascii="仿宋" w:hAnsi="仿宋" w:eastAsia="仿宋" w:cs="仿宋"/>
                <w:bCs/>
                <w:sz w:val="24"/>
                <w:szCs w:val="24"/>
              </w:rPr>
            </w:pPr>
            <w:r>
              <w:rPr>
                <w:rFonts w:hint="eastAsia" w:ascii="仿宋" w:hAnsi="仿宋" w:eastAsia="仿宋" w:cs="仿宋"/>
                <w:bCs/>
                <w:sz w:val="24"/>
                <w:szCs w:val="24"/>
              </w:rPr>
              <w:t>服务名称</w:t>
            </w:r>
          </w:p>
        </w:tc>
        <w:tc>
          <w:tcPr>
            <w:tcW w:w="576" w:type="pct"/>
            <w:tcBorders>
              <w:left w:val="single" w:color="auto" w:sz="4" w:space="0"/>
            </w:tcBorders>
            <w:vAlign w:val="center"/>
          </w:tcPr>
          <w:p w14:paraId="76AFED9A">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623" w:type="pct"/>
            <w:tcBorders>
              <w:right w:val="single" w:color="auto" w:sz="4" w:space="0"/>
            </w:tcBorders>
            <w:vAlign w:val="center"/>
          </w:tcPr>
          <w:p w14:paraId="40F02A7A">
            <w:pPr>
              <w:spacing w:line="360" w:lineRule="auto"/>
              <w:jc w:val="center"/>
              <w:rPr>
                <w:rFonts w:ascii="仿宋" w:hAnsi="仿宋" w:eastAsia="仿宋" w:cs="仿宋"/>
                <w:bCs/>
                <w:sz w:val="24"/>
                <w:szCs w:val="24"/>
              </w:rPr>
            </w:pPr>
            <w:r>
              <w:rPr>
                <w:rFonts w:hint="eastAsia" w:ascii="仿宋" w:hAnsi="仿宋" w:eastAsia="仿宋" w:cs="仿宋"/>
                <w:bCs/>
                <w:sz w:val="24"/>
                <w:szCs w:val="24"/>
              </w:rPr>
              <w:t>单位</w:t>
            </w:r>
          </w:p>
        </w:tc>
        <w:tc>
          <w:tcPr>
            <w:tcW w:w="825" w:type="pct"/>
            <w:tcBorders>
              <w:left w:val="single" w:color="auto" w:sz="4" w:space="0"/>
            </w:tcBorders>
            <w:vAlign w:val="center"/>
          </w:tcPr>
          <w:p w14:paraId="58D9C297">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单价</w:t>
            </w:r>
            <w:r>
              <w:rPr>
                <w:rFonts w:hint="eastAsia" w:ascii="仿宋" w:hAnsi="仿宋" w:eastAsia="仿宋" w:cs="仿宋"/>
                <w:bCs/>
                <w:sz w:val="24"/>
                <w:szCs w:val="24"/>
              </w:rPr>
              <w:t>（元）</w:t>
            </w:r>
          </w:p>
        </w:tc>
        <w:tc>
          <w:tcPr>
            <w:tcW w:w="826" w:type="pct"/>
            <w:gridSpan w:val="2"/>
            <w:tcBorders>
              <w:left w:val="single" w:color="auto" w:sz="4" w:space="0"/>
            </w:tcBorders>
            <w:vAlign w:val="center"/>
          </w:tcPr>
          <w:p w14:paraId="3611346B">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报价</w:t>
            </w:r>
            <w:r>
              <w:rPr>
                <w:rFonts w:hint="eastAsia" w:ascii="仿宋" w:hAnsi="仿宋" w:eastAsia="仿宋" w:cs="仿宋"/>
                <w:bCs/>
                <w:sz w:val="24"/>
                <w:szCs w:val="24"/>
              </w:rPr>
              <w:t>（元）</w:t>
            </w:r>
          </w:p>
        </w:tc>
        <w:tc>
          <w:tcPr>
            <w:tcW w:w="830" w:type="pct"/>
            <w:vAlign w:val="center"/>
          </w:tcPr>
          <w:p w14:paraId="0E6D833F">
            <w:pPr>
              <w:spacing w:line="360" w:lineRule="auto"/>
              <w:jc w:val="center"/>
              <w:rPr>
                <w:rFonts w:ascii="仿宋" w:hAnsi="仿宋" w:eastAsia="仿宋" w:cs="仿宋"/>
                <w:bCs/>
                <w:sz w:val="24"/>
                <w:szCs w:val="24"/>
              </w:rPr>
            </w:pPr>
            <w:r>
              <w:rPr>
                <w:rFonts w:hint="eastAsia" w:ascii="仿宋" w:hAnsi="仿宋" w:eastAsia="仿宋" w:cs="仿宋"/>
                <w:bCs/>
                <w:sz w:val="24"/>
                <w:szCs w:val="24"/>
              </w:rPr>
              <w:t>备注</w:t>
            </w:r>
          </w:p>
        </w:tc>
      </w:tr>
      <w:tr w14:paraId="2BB5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2286A19A">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3F808A10">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09D60E6C">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4543F145">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44F10F01">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2B7BC61E">
            <w:pPr>
              <w:spacing w:line="360" w:lineRule="auto"/>
              <w:jc w:val="center"/>
              <w:rPr>
                <w:rFonts w:ascii="仿宋" w:hAnsi="仿宋" w:eastAsia="仿宋" w:cs="仿宋"/>
                <w:kern w:val="0"/>
                <w:sz w:val="24"/>
                <w:szCs w:val="24"/>
              </w:rPr>
            </w:pPr>
          </w:p>
        </w:tc>
        <w:tc>
          <w:tcPr>
            <w:tcW w:w="830" w:type="pct"/>
            <w:vAlign w:val="center"/>
          </w:tcPr>
          <w:p w14:paraId="2BA471B9">
            <w:pPr>
              <w:spacing w:line="360" w:lineRule="auto"/>
              <w:jc w:val="center"/>
              <w:rPr>
                <w:rFonts w:ascii="仿宋" w:hAnsi="仿宋" w:eastAsia="仿宋" w:cs="仿宋"/>
                <w:bCs/>
                <w:sz w:val="24"/>
                <w:szCs w:val="24"/>
              </w:rPr>
            </w:pPr>
          </w:p>
        </w:tc>
      </w:tr>
      <w:tr w14:paraId="10AE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47A8D5A3">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1A4A6183">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13E27433">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6E7221E2">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513A0DF9">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430C8C3D">
            <w:pPr>
              <w:spacing w:line="360" w:lineRule="auto"/>
              <w:jc w:val="center"/>
              <w:rPr>
                <w:rFonts w:ascii="仿宋" w:hAnsi="仿宋" w:eastAsia="仿宋" w:cs="仿宋"/>
                <w:kern w:val="0"/>
                <w:sz w:val="24"/>
                <w:szCs w:val="24"/>
              </w:rPr>
            </w:pPr>
          </w:p>
        </w:tc>
        <w:tc>
          <w:tcPr>
            <w:tcW w:w="830" w:type="pct"/>
            <w:vAlign w:val="center"/>
          </w:tcPr>
          <w:p w14:paraId="0145ED93">
            <w:pPr>
              <w:spacing w:line="360" w:lineRule="auto"/>
              <w:jc w:val="center"/>
              <w:rPr>
                <w:rFonts w:ascii="仿宋" w:hAnsi="仿宋" w:eastAsia="仿宋" w:cs="仿宋"/>
                <w:bCs/>
                <w:sz w:val="24"/>
                <w:szCs w:val="24"/>
              </w:rPr>
            </w:pPr>
          </w:p>
        </w:tc>
      </w:tr>
      <w:tr w14:paraId="5D4E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2A2EF507">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5778E26B">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305A728D">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4A0D38AD">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312488A4">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13C06974">
            <w:pPr>
              <w:spacing w:line="360" w:lineRule="auto"/>
              <w:jc w:val="center"/>
              <w:rPr>
                <w:rFonts w:ascii="仿宋" w:hAnsi="仿宋" w:eastAsia="仿宋" w:cs="仿宋"/>
                <w:kern w:val="0"/>
                <w:sz w:val="24"/>
                <w:szCs w:val="24"/>
              </w:rPr>
            </w:pPr>
          </w:p>
        </w:tc>
        <w:tc>
          <w:tcPr>
            <w:tcW w:w="830" w:type="pct"/>
            <w:vAlign w:val="center"/>
          </w:tcPr>
          <w:p w14:paraId="6C786EBD">
            <w:pPr>
              <w:spacing w:line="360" w:lineRule="auto"/>
              <w:jc w:val="center"/>
              <w:rPr>
                <w:rFonts w:ascii="仿宋" w:hAnsi="仿宋" w:eastAsia="仿宋" w:cs="仿宋"/>
                <w:bCs/>
                <w:sz w:val="24"/>
                <w:szCs w:val="24"/>
              </w:rPr>
            </w:pPr>
          </w:p>
        </w:tc>
      </w:tr>
      <w:tr w14:paraId="008B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7FC0E1C9">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28D22A43">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148CE7F8">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23D39F92">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3AAE0FE5">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2A682E62">
            <w:pPr>
              <w:spacing w:line="360" w:lineRule="auto"/>
              <w:jc w:val="center"/>
              <w:rPr>
                <w:rFonts w:ascii="仿宋" w:hAnsi="仿宋" w:eastAsia="仿宋" w:cs="仿宋"/>
                <w:kern w:val="0"/>
                <w:sz w:val="24"/>
                <w:szCs w:val="24"/>
              </w:rPr>
            </w:pPr>
          </w:p>
        </w:tc>
        <w:tc>
          <w:tcPr>
            <w:tcW w:w="830" w:type="pct"/>
            <w:vAlign w:val="center"/>
          </w:tcPr>
          <w:p w14:paraId="15B8E7B1">
            <w:pPr>
              <w:spacing w:line="360" w:lineRule="auto"/>
              <w:jc w:val="center"/>
              <w:rPr>
                <w:rFonts w:ascii="仿宋" w:hAnsi="仿宋" w:eastAsia="仿宋" w:cs="仿宋"/>
                <w:bCs/>
                <w:sz w:val="24"/>
                <w:szCs w:val="24"/>
              </w:rPr>
            </w:pPr>
          </w:p>
        </w:tc>
      </w:tr>
      <w:tr w14:paraId="2E87E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06B858D1">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527129B5">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10DBC23C">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71218160">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1EA6CBD7">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1224D9BE">
            <w:pPr>
              <w:spacing w:line="360" w:lineRule="auto"/>
              <w:jc w:val="center"/>
              <w:rPr>
                <w:rFonts w:ascii="仿宋" w:hAnsi="仿宋" w:eastAsia="仿宋" w:cs="仿宋"/>
                <w:kern w:val="0"/>
                <w:sz w:val="24"/>
                <w:szCs w:val="24"/>
              </w:rPr>
            </w:pPr>
          </w:p>
        </w:tc>
        <w:tc>
          <w:tcPr>
            <w:tcW w:w="830" w:type="pct"/>
            <w:vAlign w:val="center"/>
          </w:tcPr>
          <w:p w14:paraId="45ACC7D7">
            <w:pPr>
              <w:spacing w:line="360" w:lineRule="auto"/>
              <w:jc w:val="center"/>
              <w:rPr>
                <w:rFonts w:ascii="仿宋" w:hAnsi="仿宋" w:eastAsia="仿宋" w:cs="仿宋"/>
                <w:bCs/>
                <w:sz w:val="24"/>
                <w:szCs w:val="24"/>
              </w:rPr>
            </w:pPr>
          </w:p>
        </w:tc>
      </w:tr>
      <w:tr w14:paraId="63E1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359F02B0">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34BD3218">
            <w:pPr>
              <w:spacing w:line="360" w:lineRule="auto"/>
              <w:jc w:val="center"/>
              <w:rPr>
                <w:rFonts w:ascii="仿宋" w:hAnsi="仿宋" w:eastAsia="仿宋" w:cs="仿宋"/>
                <w:kern w:val="0"/>
                <w:sz w:val="24"/>
                <w:szCs w:val="24"/>
              </w:rPr>
            </w:pPr>
          </w:p>
        </w:tc>
        <w:tc>
          <w:tcPr>
            <w:tcW w:w="576" w:type="pct"/>
            <w:tcBorders>
              <w:left w:val="single" w:color="auto" w:sz="4" w:space="0"/>
            </w:tcBorders>
            <w:vAlign w:val="center"/>
          </w:tcPr>
          <w:p w14:paraId="7641C4A5">
            <w:pPr>
              <w:spacing w:line="360" w:lineRule="auto"/>
              <w:jc w:val="center"/>
              <w:rPr>
                <w:rFonts w:ascii="仿宋" w:hAnsi="仿宋" w:eastAsia="仿宋" w:cs="仿宋"/>
                <w:kern w:val="0"/>
                <w:sz w:val="24"/>
                <w:szCs w:val="24"/>
              </w:rPr>
            </w:pPr>
          </w:p>
        </w:tc>
        <w:tc>
          <w:tcPr>
            <w:tcW w:w="623" w:type="pct"/>
            <w:tcBorders>
              <w:right w:val="single" w:color="auto" w:sz="4" w:space="0"/>
            </w:tcBorders>
            <w:vAlign w:val="center"/>
          </w:tcPr>
          <w:p w14:paraId="6D87A57C">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4B071A34">
            <w:pPr>
              <w:spacing w:line="360" w:lineRule="auto"/>
              <w:jc w:val="center"/>
              <w:rPr>
                <w:rFonts w:ascii="仿宋" w:hAnsi="仿宋" w:eastAsia="仿宋" w:cs="仿宋"/>
                <w:kern w:val="0"/>
                <w:sz w:val="24"/>
                <w:szCs w:val="24"/>
              </w:rPr>
            </w:pPr>
          </w:p>
        </w:tc>
        <w:tc>
          <w:tcPr>
            <w:tcW w:w="826" w:type="pct"/>
            <w:gridSpan w:val="2"/>
            <w:tcBorders>
              <w:left w:val="single" w:color="auto" w:sz="4" w:space="0"/>
            </w:tcBorders>
            <w:vAlign w:val="center"/>
          </w:tcPr>
          <w:p w14:paraId="4AC64BA1">
            <w:pPr>
              <w:spacing w:line="360" w:lineRule="auto"/>
              <w:jc w:val="center"/>
              <w:rPr>
                <w:rFonts w:ascii="仿宋" w:hAnsi="仿宋" w:eastAsia="仿宋" w:cs="仿宋"/>
                <w:kern w:val="0"/>
                <w:sz w:val="24"/>
                <w:szCs w:val="24"/>
              </w:rPr>
            </w:pPr>
          </w:p>
        </w:tc>
        <w:tc>
          <w:tcPr>
            <w:tcW w:w="830" w:type="pct"/>
            <w:vAlign w:val="center"/>
          </w:tcPr>
          <w:p w14:paraId="03675C8A">
            <w:pPr>
              <w:spacing w:line="360" w:lineRule="auto"/>
              <w:jc w:val="center"/>
              <w:rPr>
                <w:rFonts w:ascii="仿宋" w:hAnsi="仿宋" w:eastAsia="仿宋" w:cs="仿宋"/>
                <w:bCs/>
                <w:sz w:val="24"/>
                <w:szCs w:val="24"/>
              </w:rPr>
            </w:pPr>
          </w:p>
        </w:tc>
      </w:tr>
      <w:tr w14:paraId="663C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7" w:type="pct"/>
            <w:gridSpan w:val="6"/>
            <w:tcBorders>
              <w:right w:val="single" w:color="auto" w:sz="4" w:space="0"/>
            </w:tcBorders>
            <w:vAlign w:val="center"/>
          </w:tcPr>
          <w:p w14:paraId="50EC20D3">
            <w:pPr>
              <w:spacing w:line="360" w:lineRule="auto"/>
              <w:jc w:val="center"/>
              <w:rPr>
                <w:rFonts w:ascii="仿宋" w:hAnsi="仿宋" w:eastAsia="仿宋" w:cs="仿宋"/>
                <w:bCs/>
                <w:sz w:val="24"/>
                <w:szCs w:val="24"/>
              </w:rPr>
            </w:pPr>
            <w:r>
              <w:rPr>
                <w:rFonts w:hint="eastAsia" w:ascii="仿宋" w:hAnsi="仿宋" w:eastAsia="仿宋" w:cs="仿宋"/>
                <w:kern w:val="0"/>
                <w:sz w:val="24"/>
                <w:szCs w:val="24"/>
              </w:rPr>
              <w:t>合计</w:t>
            </w:r>
            <w:r>
              <w:rPr>
                <w:rFonts w:hint="eastAsia" w:ascii="仿宋" w:hAnsi="仿宋" w:eastAsia="仿宋" w:cs="仿宋"/>
                <w:bCs/>
                <w:sz w:val="24"/>
                <w:szCs w:val="24"/>
              </w:rPr>
              <w:t>（元）</w:t>
            </w:r>
          </w:p>
        </w:tc>
        <w:tc>
          <w:tcPr>
            <w:tcW w:w="822" w:type="pct"/>
            <w:tcBorders>
              <w:left w:val="single" w:color="auto" w:sz="4" w:space="0"/>
            </w:tcBorders>
            <w:vAlign w:val="center"/>
          </w:tcPr>
          <w:p w14:paraId="47C1A472">
            <w:pPr>
              <w:spacing w:line="360" w:lineRule="auto"/>
              <w:jc w:val="center"/>
              <w:rPr>
                <w:rFonts w:ascii="仿宋" w:hAnsi="仿宋" w:eastAsia="仿宋" w:cs="仿宋"/>
                <w:bCs/>
                <w:sz w:val="24"/>
                <w:szCs w:val="24"/>
              </w:rPr>
            </w:pPr>
          </w:p>
        </w:tc>
        <w:tc>
          <w:tcPr>
            <w:tcW w:w="830" w:type="pct"/>
            <w:vAlign w:val="center"/>
          </w:tcPr>
          <w:p w14:paraId="6A07B08E">
            <w:pPr>
              <w:spacing w:line="360" w:lineRule="auto"/>
              <w:jc w:val="center"/>
              <w:rPr>
                <w:rFonts w:ascii="仿宋" w:hAnsi="仿宋" w:eastAsia="仿宋" w:cs="仿宋"/>
                <w:bCs/>
                <w:sz w:val="24"/>
                <w:szCs w:val="24"/>
              </w:rPr>
            </w:pPr>
          </w:p>
        </w:tc>
      </w:tr>
    </w:tbl>
    <w:p w14:paraId="02E90DDE">
      <w:pPr>
        <w:spacing w:line="360" w:lineRule="auto"/>
        <w:rPr>
          <w:rFonts w:ascii="仿宋" w:hAnsi="仿宋" w:eastAsia="仿宋" w:cs="仿宋"/>
          <w:sz w:val="24"/>
          <w:szCs w:val="24"/>
          <w:shd w:val="clear" w:color="auto" w:fill="FFFFFF" w:themeFill="background1"/>
        </w:rPr>
      </w:pPr>
    </w:p>
    <w:p w14:paraId="69CFC223">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w:t>
      </w:r>
    </w:p>
    <w:p w14:paraId="51E0AE2F">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1、投标人填报投标价格合计应与投标函载明价格一致，若不一致，应按照第二章评审办法修正原则进行修正。</w:t>
      </w:r>
    </w:p>
    <w:p w14:paraId="608599D7">
      <w:pPr>
        <w:spacing w:line="360" w:lineRule="auto"/>
        <w:rPr>
          <w:rFonts w:ascii="仿宋" w:hAnsi="仿宋" w:eastAsia="仿宋" w:cs="仿宋"/>
          <w:shd w:val="clear" w:color="auto" w:fill="FFFFFF" w:themeFill="background1"/>
        </w:rPr>
      </w:pPr>
      <w:r>
        <w:rPr>
          <w:rFonts w:hint="eastAsia" w:ascii="仿宋" w:hAnsi="仿宋" w:eastAsia="仿宋" w:cs="仿宋"/>
          <w:sz w:val="24"/>
          <w:szCs w:val="24"/>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7F16F03D">
      <w:pPr>
        <w:spacing w:line="360" w:lineRule="auto"/>
        <w:jc w:val="left"/>
        <w:rPr>
          <w:rFonts w:ascii="仿宋" w:hAnsi="仿宋" w:eastAsia="仿宋" w:cs="仿宋"/>
          <w:sz w:val="24"/>
          <w:szCs w:val="24"/>
          <w:shd w:val="clear" w:color="auto" w:fill="FFFFFF" w:themeFill="background1"/>
        </w:rPr>
      </w:pPr>
    </w:p>
    <w:p w14:paraId="4D5474E1">
      <w:pPr>
        <w:spacing w:line="360" w:lineRule="auto"/>
        <w:jc w:val="left"/>
        <w:rPr>
          <w:rFonts w:ascii="仿宋" w:hAnsi="仿宋" w:eastAsia="仿宋" w:cs="仿宋"/>
          <w:sz w:val="24"/>
          <w:szCs w:val="24"/>
          <w:shd w:val="clear" w:color="auto" w:fill="FFFFFF" w:themeFill="background1"/>
        </w:rPr>
      </w:pPr>
    </w:p>
    <w:p w14:paraId="1C1CD193">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76AAC28A">
      <w:pPr>
        <w:widowControl/>
        <w:snapToGrid w:val="0"/>
        <w:spacing w:line="360" w:lineRule="auto"/>
        <w:jc w:val="left"/>
        <w:rPr>
          <w:rFonts w:ascii="仿宋" w:hAnsi="仿宋" w:eastAsia="仿宋" w:cs="仿宋"/>
          <w:kern w:val="0"/>
          <w:sz w:val="24"/>
          <w:szCs w:val="24"/>
          <w:shd w:val="clear" w:color="auto" w:fill="FFFFFF" w:themeFill="background1"/>
        </w:rPr>
      </w:pPr>
    </w:p>
    <w:p w14:paraId="3D651C5D">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0D397A0B">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595715AB">
      <w:pPr>
        <w:widowControl/>
        <w:spacing w:line="360" w:lineRule="auto"/>
        <w:jc w:val="left"/>
        <w:rPr>
          <w:rFonts w:ascii="仿宋" w:hAnsi="仿宋" w:eastAsia="仿宋" w:cs="仿宋"/>
          <w:b/>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p>
    <w:p w14:paraId="40834CCB">
      <w:pPr>
        <w:tabs>
          <w:tab w:val="center" w:pos="4832"/>
          <w:tab w:val="left" w:pos="7140"/>
        </w:tabs>
        <w:spacing w:line="360" w:lineRule="auto"/>
        <w:jc w:val="center"/>
        <w:outlineLvl w:val="1"/>
        <w:rPr>
          <w:rFonts w:ascii="仿宋" w:hAnsi="仿宋" w:eastAsia="仿宋" w:cs="仿宋"/>
          <w:kern w:val="0"/>
          <w:sz w:val="24"/>
          <w:szCs w:val="24"/>
          <w:shd w:val="clear" w:color="auto" w:fill="FFFFFF" w:themeFill="background1"/>
        </w:rPr>
      </w:pPr>
      <w:bookmarkStart w:id="89" w:name="_Toc5136"/>
      <w:bookmarkStart w:id="90" w:name="_Toc10230"/>
      <w:r>
        <w:rPr>
          <w:rFonts w:hint="eastAsia" w:ascii="仿宋" w:hAnsi="仿宋" w:eastAsia="仿宋" w:cs="仿宋"/>
          <w:b/>
          <w:sz w:val="24"/>
          <w:szCs w:val="24"/>
          <w:shd w:val="clear" w:color="auto" w:fill="FFFFFF" w:themeFill="background1"/>
        </w:rPr>
        <w:t>四、商务条款偏离表</w:t>
      </w:r>
      <w:bookmarkEnd w:id="85"/>
      <w:bookmarkEnd w:id="86"/>
      <w:bookmarkEnd w:id="87"/>
      <w:bookmarkEnd w:id="89"/>
      <w:bookmarkEnd w:id="90"/>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AB39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467894B">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序号</w:t>
            </w:r>
          </w:p>
        </w:tc>
        <w:tc>
          <w:tcPr>
            <w:tcW w:w="1814" w:type="dxa"/>
            <w:vAlign w:val="center"/>
          </w:tcPr>
          <w:p w14:paraId="58E58A67">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招标文件条目号</w:t>
            </w:r>
          </w:p>
        </w:tc>
        <w:tc>
          <w:tcPr>
            <w:tcW w:w="2083" w:type="dxa"/>
            <w:vAlign w:val="center"/>
          </w:tcPr>
          <w:p w14:paraId="35816819">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招标文件商务条款</w:t>
            </w:r>
          </w:p>
        </w:tc>
        <w:tc>
          <w:tcPr>
            <w:tcW w:w="2182" w:type="dxa"/>
            <w:vAlign w:val="center"/>
          </w:tcPr>
          <w:p w14:paraId="21415673">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投标文件商务条款</w:t>
            </w:r>
          </w:p>
        </w:tc>
        <w:tc>
          <w:tcPr>
            <w:tcW w:w="1155" w:type="dxa"/>
            <w:vAlign w:val="center"/>
          </w:tcPr>
          <w:p w14:paraId="76423F36">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偏离</w:t>
            </w:r>
          </w:p>
        </w:tc>
        <w:tc>
          <w:tcPr>
            <w:tcW w:w="1219" w:type="dxa"/>
            <w:vAlign w:val="center"/>
          </w:tcPr>
          <w:p w14:paraId="78708EC2">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说明</w:t>
            </w:r>
          </w:p>
        </w:tc>
      </w:tr>
      <w:tr w14:paraId="46A86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ACDB492">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30B436AA">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31D2D3B4">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30CDC7F9">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0EEE4030">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3659FB05">
            <w:pPr>
              <w:spacing w:line="360" w:lineRule="auto"/>
              <w:jc w:val="center"/>
              <w:rPr>
                <w:rFonts w:ascii="仿宋" w:hAnsi="仿宋" w:eastAsia="仿宋" w:cs="仿宋"/>
                <w:b/>
                <w:bCs/>
                <w:szCs w:val="21"/>
                <w:shd w:val="clear" w:color="auto" w:fill="FFFFFF" w:themeFill="background1"/>
              </w:rPr>
            </w:pPr>
          </w:p>
        </w:tc>
      </w:tr>
      <w:tr w14:paraId="3015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D32D335">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7F3A80A0">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265A8AB2">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75F4CBC9">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06FFC400">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7B87E497">
            <w:pPr>
              <w:spacing w:line="360" w:lineRule="auto"/>
              <w:jc w:val="center"/>
              <w:rPr>
                <w:rFonts w:ascii="仿宋" w:hAnsi="仿宋" w:eastAsia="仿宋" w:cs="仿宋"/>
                <w:b/>
                <w:bCs/>
                <w:szCs w:val="21"/>
                <w:shd w:val="clear" w:color="auto" w:fill="FFFFFF" w:themeFill="background1"/>
              </w:rPr>
            </w:pPr>
          </w:p>
        </w:tc>
      </w:tr>
      <w:tr w14:paraId="666B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ABE02E0">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216A2F52">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44E39247">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4CD020E1">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572F4A9B">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3FFF88CF">
            <w:pPr>
              <w:spacing w:line="360" w:lineRule="auto"/>
              <w:jc w:val="center"/>
              <w:rPr>
                <w:rFonts w:ascii="仿宋" w:hAnsi="仿宋" w:eastAsia="仿宋" w:cs="仿宋"/>
                <w:b/>
                <w:bCs/>
                <w:szCs w:val="21"/>
                <w:shd w:val="clear" w:color="auto" w:fill="FFFFFF" w:themeFill="background1"/>
              </w:rPr>
            </w:pPr>
          </w:p>
        </w:tc>
      </w:tr>
      <w:tr w14:paraId="2B91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BB4DD35">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77B10600">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4378D7D8">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798AD5C2">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58C0EE69">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38F5DDE7">
            <w:pPr>
              <w:spacing w:line="360" w:lineRule="auto"/>
              <w:jc w:val="center"/>
              <w:rPr>
                <w:rFonts w:ascii="仿宋" w:hAnsi="仿宋" w:eastAsia="仿宋" w:cs="仿宋"/>
                <w:b/>
                <w:bCs/>
                <w:szCs w:val="21"/>
                <w:shd w:val="clear" w:color="auto" w:fill="FFFFFF" w:themeFill="background1"/>
              </w:rPr>
            </w:pPr>
          </w:p>
        </w:tc>
      </w:tr>
      <w:tr w14:paraId="19DCF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ACA6C4A">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52384ACD">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6D92DE11">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04D2C4FA">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4F8AD319">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246F3B53">
            <w:pPr>
              <w:spacing w:line="360" w:lineRule="auto"/>
              <w:jc w:val="center"/>
              <w:rPr>
                <w:rFonts w:ascii="仿宋" w:hAnsi="仿宋" w:eastAsia="仿宋" w:cs="仿宋"/>
                <w:b/>
                <w:bCs/>
                <w:szCs w:val="21"/>
                <w:shd w:val="clear" w:color="auto" w:fill="FFFFFF" w:themeFill="background1"/>
              </w:rPr>
            </w:pPr>
          </w:p>
        </w:tc>
      </w:tr>
    </w:tbl>
    <w:p w14:paraId="27B39CFE">
      <w:pPr>
        <w:spacing w:line="360" w:lineRule="auto"/>
        <w:ind w:firstLine="420" w:firstLineChars="200"/>
        <w:jc w:val="left"/>
        <w:rPr>
          <w:rFonts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2465B289">
      <w:pPr>
        <w:spacing w:line="360" w:lineRule="auto"/>
        <w:ind w:firstLine="480" w:firstLineChars="200"/>
        <w:jc w:val="left"/>
        <w:rPr>
          <w:rFonts w:ascii="仿宋" w:hAnsi="仿宋" w:eastAsia="仿宋" w:cs="仿宋"/>
          <w:sz w:val="24"/>
          <w:szCs w:val="24"/>
          <w:shd w:val="clear" w:color="auto" w:fill="FFFFFF" w:themeFill="background1"/>
        </w:rPr>
      </w:pPr>
    </w:p>
    <w:p w14:paraId="6F3F16D7">
      <w:pPr>
        <w:spacing w:line="360" w:lineRule="auto"/>
        <w:ind w:firstLine="480" w:firstLineChars="200"/>
        <w:jc w:val="left"/>
        <w:rPr>
          <w:rFonts w:ascii="仿宋" w:hAnsi="仿宋" w:eastAsia="仿宋" w:cs="仿宋"/>
          <w:sz w:val="24"/>
          <w:szCs w:val="24"/>
          <w:shd w:val="clear" w:color="auto" w:fill="FFFFFF" w:themeFill="background1"/>
        </w:rPr>
      </w:pPr>
    </w:p>
    <w:p w14:paraId="01934B1D">
      <w:pPr>
        <w:spacing w:line="360" w:lineRule="auto"/>
        <w:jc w:val="left"/>
        <w:rPr>
          <w:rFonts w:ascii="仿宋" w:hAnsi="仿宋" w:eastAsia="仿宋" w:cs="仿宋"/>
          <w:sz w:val="24"/>
          <w:szCs w:val="24"/>
          <w:shd w:val="clear" w:color="auto" w:fill="FFFFFF" w:themeFill="background1"/>
        </w:rPr>
      </w:pPr>
    </w:p>
    <w:p w14:paraId="77D3E0FE">
      <w:pPr>
        <w:spacing w:line="360" w:lineRule="auto"/>
        <w:jc w:val="left"/>
        <w:rPr>
          <w:rFonts w:ascii="仿宋" w:hAnsi="仿宋" w:eastAsia="仿宋" w:cs="仿宋"/>
          <w:sz w:val="24"/>
          <w:szCs w:val="24"/>
          <w:shd w:val="clear" w:color="auto" w:fill="FFFFFF" w:themeFill="background1"/>
        </w:rPr>
      </w:pPr>
    </w:p>
    <w:p w14:paraId="38720317">
      <w:pPr>
        <w:spacing w:line="360" w:lineRule="auto"/>
        <w:jc w:val="left"/>
        <w:rPr>
          <w:rFonts w:ascii="仿宋" w:hAnsi="仿宋" w:eastAsia="仿宋" w:cs="仿宋"/>
          <w:sz w:val="24"/>
          <w:szCs w:val="24"/>
          <w:shd w:val="clear" w:color="auto" w:fill="FFFFFF" w:themeFill="background1"/>
        </w:rPr>
      </w:pPr>
    </w:p>
    <w:p w14:paraId="7A00C823">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40179DEE">
      <w:pPr>
        <w:widowControl/>
        <w:snapToGrid w:val="0"/>
        <w:spacing w:line="360" w:lineRule="auto"/>
        <w:jc w:val="left"/>
        <w:rPr>
          <w:rFonts w:ascii="仿宋" w:hAnsi="仿宋" w:eastAsia="仿宋" w:cs="仿宋"/>
          <w:kern w:val="0"/>
          <w:sz w:val="24"/>
          <w:szCs w:val="24"/>
          <w:shd w:val="clear" w:color="auto" w:fill="FFFFFF" w:themeFill="background1"/>
        </w:rPr>
      </w:pPr>
    </w:p>
    <w:p w14:paraId="17FAFDCD">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8DD6227">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58DE3556">
      <w:pPr>
        <w:widowControl/>
        <w:spacing w:line="360" w:lineRule="auto"/>
        <w:jc w:val="left"/>
        <w:rPr>
          <w:rFonts w:ascii="仿宋" w:hAnsi="仿宋" w:eastAsia="仿宋" w:cs="仿宋"/>
          <w:b/>
          <w:bCs/>
          <w:kern w:val="36"/>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p>
    <w:p w14:paraId="031CF8CE">
      <w:pPr>
        <w:tabs>
          <w:tab w:val="center" w:pos="4832"/>
          <w:tab w:val="left" w:pos="7140"/>
        </w:tabs>
        <w:spacing w:line="360" w:lineRule="auto"/>
        <w:jc w:val="center"/>
        <w:outlineLvl w:val="1"/>
        <w:rPr>
          <w:rFonts w:ascii="仿宋" w:hAnsi="仿宋" w:eastAsia="仿宋" w:cs="仿宋"/>
          <w:kern w:val="0"/>
          <w:sz w:val="24"/>
          <w:szCs w:val="24"/>
          <w:shd w:val="clear" w:color="auto" w:fill="FFFFFF" w:themeFill="background1"/>
        </w:rPr>
      </w:pPr>
      <w:bookmarkStart w:id="91" w:name="_Toc1549"/>
      <w:bookmarkStart w:id="92" w:name="_Toc4958"/>
      <w:r>
        <w:rPr>
          <w:rFonts w:hint="eastAsia" w:ascii="仿宋" w:hAnsi="仿宋" w:eastAsia="仿宋" w:cs="仿宋"/>
          <w:b/>
          <w:sz w:val="24"/>
          <w:szCs w:val="24"/>
          <w:shd w:val="clear" w:color="auto" w:fill="FFFFFF" w:themeFill="background1"/>
        </w:rPr>
        <w:t>五、技术条款偏离表</w:t>
      </w:r>
      <w:bookmarkEnd w:id="91"/>
      <w:bookmarkEnd w:id="92"/>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E2C4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C9738E8">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序号</w:t>
            </w:r>
          </w:p>
        </w:tc>
        <w:tc>
          <w:tcPr>
            <w:tcW w:w="1814" w:type="dxa"/>
            <w:vAlign w:val="center"/>
          </w:tcPr>
          <w:p w14:paraId="2D075822">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招标文件条目号</w:t>
            </w:r>
          </w:p>
        </w:tc>
        <w:tc>
          <w:tcPr>
            <w:tcW w:w="2083" w:type="dxa"/>
            <w:vAlign w:val="center"/>
          </w:tcPr>
          <w:p w14:paraId="45298E47">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招标文件技术条款</w:t>
            </w:r>
          </w:p>
        </w:tc>
        <w:tc>
          <w:tcPr>
            <w:tcW w:w="2182" w:type="dxa"/>
            <w:vAlign w:val="center"/>
          </w:tcPr>
          <w:p w14:paraId="679DAA39">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投标文件技术条款</w:t>
            </w:r>
          </w:p>
        </w:tc>
        <w:tc>
          <w:tcPr>
            <w:tcW w:w="1155" w:type="dxa"/>
            <w:vAlign w:val="center"/>
          </w:tcPr>
          <w:p w14:paraId="3C10FC60">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偏离</w:t>
            </w:r>
          </w:p>
        </w:tc>
        <w:tc>
          <w:tcPr>
            <w:tcW w:w="1219" w:type="dxa"/>
            <w:vAlign w:val="center"/>
          </w:tcPr>
          <w:p w14:paraId="1A0B08AF">
            <w:pPr>
              <w:spacing w:line="360" w:lineRule="auto"/>
              <w:jc w:val="center"/>
              <w:rPr>
                <w:rFonts w:ascii="仿宋" w:hAnsi="仿宋" w:eastAsia="仿宋" w:cs="仿宋"/>
                <w:bCs/>
                <w:szCs w:val="21"/>
                <w:shd w:val="clear" w:color="auto" w:fill="FFFFFF" w:themeFill="background1"/>
              </w:rPr>
            </w:pPr>
            <w:r>
              <w:rPr>
                <w:rFonts w:hint="eastAsia" w:ascii="仿宋" w:hAnsi="仿宋" w:eastAsia="仿宋" w:cs="仿宋"/>
                <w:bCs/>
                <w:szCs w:val="21"/>
                <w:shd w:val="clear" w:color="auto" w:fill="FFFFFF" w:themeFill="background1"/>
              </w:rPr>
              <w:t>说明</w:t>
            </w:r>
          </w:p>
        </w:tc>
      </w:tr>
      <w:tr w14:paraId="1066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59DB53D">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6A998CBE">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1CDE7D3F">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652FA1E9">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1AD5E626">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364A3BCE">
            <w:pPr>
              <w:spacing w:line="360" w:lineRule="auto"/>
              <w:jc w:val="center"/>
              <w:rPr>
                <w:rFonts w:ascii="仿宋" w:hAnsi="仿宋" w:eastAsia="仿宋" w:cs="仿宋"/>
                <w:b/>
                <w:bCs/>
                <w:szCs w:val="21"/>
                <w:shd w:val="clear" w:color="auto" w:fill="FFFFFF" w:themeFill="background1"/>
              </w:rPr>
            </w:pPr>
          </w:p>
        </w:tc>
      </w:tr>
      <w:tr w14:paraId="58C9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97ABF20">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3A9BEFE1">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7A4C163A">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1D0AE71E">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08F81136">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623101A1">
            <w:pPr>
              <w:spacing w:line="360" w:lineRule="auto"/>
              <w:jc w:val="center"/>
              <w:rPr>
                <w:rFonts w:ascii="仿宋" w:hAnsi="仿宋" w:eastAsia="仿宋" w:cs="仿宋"/>
                <w:b/>
                <w:bCs/>
                <w:szCs w:val="21"/>
                <w:shd w:val="clear" w:color="auto" w:fill="FFFFFF" w:themeFill="background1"/>
              </w:rPr>
            </w:pPr>
          </w:p>
        </w:tc>
      </w:tr>
      <w:tr w14:paraId="27B99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048067E">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4579459A">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138688BE">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4D9F90B0">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415F9D13">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5E057F28">
            <w:pPr>
              <w:spacing w:line="360" w:lineRule="auto"/>
              <w:jc w:val="center"/>
              <w:rPr>
                <w:rFonts w:ascii="仿宋" w:hAnsi="仿宋" w:eastAsia="仿宋" w:cs="仿宋"/>
                <w:b/>
                <w:bCs/>
                <w:szCs w:val="21"/>
                <w:shd w:val="clear" w:color="auto" w:fill="FFFFFF" w:themeFill="background1"/>
              </w:rPr>
            </w:pPr>
          </w:p>
        </w:tc>
      </w:tr>
      <w:tr w14:paraId="7B45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064B5A">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2288709F">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032C15E4">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5E5DED85">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3C469F81">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1C64FCC1">
            <w:pPr>
              <w:spacing w:line="360" w:lineRule="auto"/>
              <w:jc w:val="center"/>
              <w:rPr>
                <w:rFonts w:ascii="仿宋" w:hAnsi="仿宋" w:eastAsia="仿宋" w:cs="仿宋"/>
                <w:b/>
                <w:bCs/>
                <w:szCs w:val="21"/>
                <w:shd w:val="clear" w:color="auto" w:fill="FFFFFF" w:themeFill="background1"/>
              </w:rPr>
            </w:pPr>
          </w:p>
        </w:tc>
      </w:tr>
      <w:tr w14:paraId="43C2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D638D4E">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585943B9">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3ABB016C">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2EFFB8D2">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3274E221">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128ED8AA">
            <w:pPr>
              <w:spacing w:line="360" w:lineRule="auto"/>
              <w:jc w:val="center"/>
              <w:rPr>
                <w:rFonts w:ascii="仿宋" w:hAnsi="仿宋" w:eastAsia="仿宋" w:cs="仿宋"/>
                <w:b/>
                <w:bCs/>
                <w:szCs w:val="21"/>
                <w:shd w:val="clear" w:color="auto" w:fill="FFFFFF" w:themeFill="background1"/>
              </w:rPr>
            </w:pPr>
          </w:p>
        </w:tc>
      </w:tr>
      <w:tr w14:paraId="5F11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1FBD30F">
            <w:pPr>
              <w:spacing w:line="360" w:lineRule="auto"/>
              <w:jc w:val="center"/>
              <w:rPr>
                <w:rFonts w:ascii="仿宋" w:hAnsi="仿宋" w:eastAsia="仿宋" w:cs="仿宋"/>
                <w:b/>
                <w:bCs/>
                <w:szCs w:val="21"/>
                <w:shd w:val="clear" w:color="auto" w:fill="FFFFFF" w:themeFill="background1"/>
              </w:rPr>
            </w:pPr>
          </w:p>
        </w:tc>
        <w:tc>
          <w:tcPr>
            <w:tcW w:w="1814" w:type="dxa"/>
            <w:vAlign w:val="center"/>
          </w:tcPr>
          <w:p w14:paraId="57E4D35D">
            <w:pPr>
              <w:spacing w:line="360" w:lineRule="auto"/>
              <w:jc w:val="center"/>
              <w:rPr>
                <w:rFonts w:ascii="仿宋" w:hAnsi="仿宋" w:eastAsia="仿宋" w:cs="仿宋"/>
                <w:b/>
                <w:bCs/>
                <w:szCs w:val="21"/>
                <w:shd w:val="clear" w:color="auto" w:fill="FFFFFF" w:themeFill="background1"/>
              </w:rPr>
            </w:pPr>
          </w:p>
        </w:tc>
        <w:tc>
          <w:tcPr>
            <w:tcW w:w="2083" w:type="dxa"/>
            <w:vAlign w:val="center"/>
          </w:tcPr>
          <w:p w14:paraId="2D4876DD">
            <w:pPr>
              <w:spacing w:line="360" w:lineRule="auto"/>
              <w:jc w:val="center"/>
              <w:rPr>
                <w:rFonts w:ascii="仿宋" w:hAnsi="仿宋" w:eastAsia="仿宋" w:cs="仿宋"/>
                <w:b/>
                <w:bCs/>
                <w:szCs w:val="21"/>
                <w:shd w:val="clear" w:color="auto" w:fill="FFFFFF" w:themeFill="background1"/>
              </w:rPr>
            </w:pPr>
          </w:p>
        </w:tc>
        <w:tc>
          <w:tcPr>
            <w:tcW w:w="2182" w:type="dxa"/>
            <w:vAlign w:val="center"/>
          </w:tcPr>
          <w:p w14:paraId="45DD9E3A">
            <w:pPr>
              <w:spacing w:line="360" w:lineRule="auto"/>
              <w:jc w:val="center"/>
              <w:rPr>
                <w:rFonts w:ascii="仿宋" w:hAnsi="仿宋" w:eastAsia="仿宋" w:cs="仿宋"/>
                <w:b/>
                <w:bCs/>
                <w:szCs w:val="21"/>
                <w:shd w:val="clear" w:color="auto" w:fill="FFFFFF" w:themeFill="background1"/>
              </w:rPr>
            </w:pPr>
          </w:p>
        </w:tc>
        <w:tc>
          <w:tcPr>
            <w:tcW w:w="1155" w:type="dxa"/>
            <w:vAlign w:val="center"/>
          </w:tcPr>
          <w:p w14:paraId="2479A48B">
            <w:pPr>
              <w:spacing w:line="360" w:lineRule="auto"/>
              <w:jc w:val="center"/>
              <w:rPr>
                <w:rFonts w:ascii="仿宋" w:hAnsi="仿宋" w:eastAsia="仿宋" w:cs="仿宋"/>
                <w:b/>
                <w:bCs/>
                <w:szCs w:val="21"/>
                <w:shd w:val="clear" w:color="auto" w:fill="FFFFFF" w:themeFill="background1"/>
              </w:rPr>
            </w:pPr>
          </w:p>
        </w:tc>
        <w:tc>
          <w:tcPr>
            <w:tcW w:w="1219" w:type="dxa"/>
            <w:vAlign w:val="center"/>
          </w:tcPr>
          <w:p w14:paraId="70E0B703">
            <w:pPr>
              <w:spacing w:line="360" w:lineRule="auto"/>
              <w:jc w:val="center"/>
              <w:rPr>
                <w:rFonts w:ascii="仿宋" w:hAnsi="仿宋" w:eastAsia="仿宋" w:cs="仿宋"/>
                <w:b/>
                <w:bCs/>
                <w:szCs w:val="21"/>
                <w:shd w:val="clear" w:color="auto" w:fill="FFFFFF" w:themeFill="background1"/>
              </w:rPr>
            </w:pPr>
          </w:p>
        </w:tc>
      </w:tr>
    </w:tbl>
    <w:p w14:paraId="7363BF4E">
      <w:pPr>
        <w:spacing w:line="360" w:lineRule="auto"/>
        <w:ind w:firstLine="420" w:firstLineChars="200"/>
        <w:jc w:val="left"/>
        <w:rPr>
          <w:rFonts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备注：投标人对招标文件</w:t>
      </w:r>
      <w:r>
        <w:rPr>
          <w:rFonts w:hint="eastAsia" w:ascii="仿宋" w:hAnsi="仿宋" w:eastAsia="仿宋" w:cs="仿宋"/>
          <w:bCs/>
          <w:szCs w:val="21"/>
          <w:shd w:val="clear" w:color="auto" w:fill="FFFFFF" w:themeFill="background1"/>
        </w:rPr>
        <w:t>技术</w:t>
      </w:r>
      <w:r>
        <w:rPr>
          <w:rFonts w:hint="eastAsia" w:ascii="仿宋" w:hAnsi="仿宋" w:eastAsia="仿宋" w:cs="仿宋"/>
          <w:szCs w:val="24"/>
          <w:shd w:val="clear" w:color="auto" w:fill="FFFFFF" w:themeFill="background1"/>
        </w:rPr>
        <w:t>条款有偏离的，应在此表中列明实际响应的内容并加以说明，以便查对。请在此偏离表“偏离”中填写无偏离或正偏离或负偏离。技术条款是指服务标准和要求中的实质性内容。</w:t>
      </w:r>
    </w:p>
    <w:p w14:paraId="3270228C">
      <w:pPr>
        <w:spacing w:line="360" w:lineRule="auto"/>
        <w:ind w:firstLine="480" w:firstLineChars="200"/>
        <w:jc w:val="left"/>
        <w:rPr>
          <w:rFonts w:ascii="仿宋" w:hAnsi="仿宋" w:eastAsia="仿宋" w:cs="仿宋"/>
          <w:sz w:val="24"/>
          <w:szCs w:val="24"/>
          <w:shd w:val="clear" w:color="auto" w:fill="FFFFFF" w:themeFill="background1"/>
        </w:rPr>
      </w:pPr>
    </w:p>
    <w:p w14:paraId="557DD0CA">
      <w:pPr>
        <w:spacing w:line="360" w:lineRule="auto"/>
        <w:ind w:firstLine="480" w:firstLineChars="200"/>
        <w:jc w:val="left"/>
        <w:rPr>
          <w:rFonts w:ascii="仿宋" w:hAnsi="仿宋" w:eastAsia="仿宋" w:cs="仿宋"/>
          <w:sz w:val="24"/>
          <w:szCs w:val="24"/>
          <w:shd w:val="clear" w:color="auto" w:fill="FFFFFF" w:themeFill="background1"/>
        </w:rPr>
      </w:pPr>
    </w:p>
    <w:p w14:paraId="3508A72E">
      <w:pPr>
        <w:spacing w:line="360" w:lineRule="auto"/>
        <w:jc w:val="left"/>
        <w:rPr>
          <w:rFonts w:ascii="仿宋" w:hAnsi="仿宋" w:eastAsia="仿宋" w:cs="仿宋"/>
          <w:sz w:val="24"/>
          <w:szCs w:val="24"/>
          <w:shd w:val="clear" w:color="auto" w:fill="FFFFFF" w:themeFill="background1"/>
        </w:rPr>
      </w:pPr>
    </w:p>
    <w:p w14:paraId="6A8FF778">
      <w:pPr>
        <w:spacing w:line="360" w:lineRule="auto"/>
        <w:jc w:val="left"/>
        <w:rPr>
          <w:rFonts w:ascii="仿宋" w:hAnsi="仿宋" w:eastAsia="仿宋" w:cs="仿宋"/>
          <w:sz w:val="24"/>
          <w:szCs w:val="24"/>
          <w:shd w:val="clear" w:color="auto" w:fill="FFFFFF" w:themeFill="background1"/>
        </w:rPr>
      </w:pPr>
    </w:p>
    <w:p w14:paraId="7CE90F2B">
      <w:pPr>
        <w:spacing w:line="360" w:lineRule="auto"/>
        <w:jc w:val="left"/>
        <w:rPr>
          <w:rFonts w:ascii="仿宋" w:hAnsi="仿宋" w:eastAsia="仿宋" w:cs="仿宋"/>
          <w:sz w:val="24"/>
          <w:szCs w:val="24"/>
          <w:shd w:val="clear" w:color="auto" w:fill="FFFFFF" w:themeFill="background1"/>
        </w:rPr>
      </w:pPr>
    </w:p>
    <w:p w14:paraId="3D47F58C">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93B5FB4">
      <w:pPr>
        <w:widowControl/>
        <w:snapToGrid w:val="0"/>
        <w:spacing w:line="360" w:lineRule="auto"/>
        <w:jc w:val="left"/>
        <w:rPr>
          <w:rFonts w:ascii="仿宋" w:hAnsi="仿宋" w:eastAsia="仿宋" w:cs="仿宋"/>
          <w:kern w:val="0"/>
          <w:sz w:val="24"/>
          <w:szCs w:val="24"/>
          <w:shd w:val="clear" w:color="auto" w:fill="FFFFFF" w:themeFill="background1"/>
        </w:rPr>
      </w:pPr>
    </w:p>
    <w:p w14:paraId="750559F4">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03DE7CE5">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499D6439">
      <w:pPr>
        <w:tabs>
          <w:tab w:val="center" w:pos="4832"/>
          <w:tab w:val="left" w:pos="7140"/>
        </w:tabs>
        <w:spacing w:line="360" w:lineRule="auto"/>
        <w:jc w:val="center"/>
        <w:outlineLvl w:val="1"/>
        <w:rPr>
          <w:rFonts w:ascii="仿宋" w:hAnsi="仿宋" w:eastAsia="仿宋" w:cs="仿宋"/>
          <w:b/>
          <w:sz w:val="24"/>
          <w:szCs w:val="24"/>
          <w:shd w:val="clear" w:color="auto" w:fill="FFFFFF" w:themeFill="background1"/>
        </w:rPr>
      </w:pPr>
      <w:r>
        <w:rPr>
          <w:rFonts w:hint="eastAsia" w:ascii="仿宋" w:hAnsi="仿宋" w:eastAsia="仿宋" w:cs="仿宋"/>
          <w:b/>
          <w:bCs/>
          <w:kern w:val="36"/>
          <w:sz w:val="24"/>
          <w:szCs w:val="24"/>
          <w:shd w:val="clear" w:color="auto" w:fill="FFFFFF" w:themeFill="background1"/>
        </w:rPr>
        <w:br w:type="page"/>
      </w:r>
      <w:bookmarkStart w:id="93" w:name="_Toc38446475"/>
      <w:bookmarkStart w:id="94" w:name="_Toc533503185"/>
      <w:bookmarkStart w:id="95" w:name="_Toc30533"/>
      <w:bookmarkStart w:id="96" w:name="_Toc31121"/>
      <w:bookmarkStart w:id="97" w:name="_Toc507586170"/>
      <w:r>
        <w:rPr>
          <w:rFonts w:hint="eastAsia" w:ascii="仿宋" w:hAnsi="仿宋" w:eastAsia="仿宋" w:cs="仿宋"/>
          <w:b/>
          <w:sz w:val="24"/>
          <w:szCs w:val="24"/>
          <w:shd w:val="clear" w:color="auto" w:fill="FFFFFF" w:themeFill="background1"/>
        </w:rPr>
        <w:t>六、法定代表人身份证明书</w:t>
      </w:r>
      <w:bookmarkEnd w:id="93"/>
      <w:bookmarkEnd w:id="94"/>
      <w:bookmarkEnd w:id="95"/>
      <w:bookmarkEnd w:id="96"/>
      <w:bookmarkEnd w:id="97"/>
    </w:p>
    <w:p w14:paraId="7DC0F456">
      <w:pPr>
        <w:widowControl/>
        <w:snapToGrid w:val="0"/>
        <w:spacing w:line="360" w:lineRule="auto"/>
        <w:jc w:val="left"/>
        <w:rPr>
          <w:rFonts w:ascii="仿宋" w:hAnsi="仿宋" w:eastAsia="仿宋" w:cs="仿宋"/>
          <w:kern w:val="0"/>
          <w:sz w:val="24"/>
          <w:szCs w:val="24"/>
          <w:shd w:val="clear" w:color="auto" w:fill="FFFFFF" w:themeFill="background1"/>
        </w:rPr>
      </w:pPr>
    </w:p>
    <w:p w14:paraId="2E0DB310">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 标 人：</w:t>
      </w:r>
      <w:r>
        <w:rPr>
          <w:rFonts w:hint="eastAsia" w:ascii="仿宋" w:hAnsi="仿宋" w:eastAsia="仿宋" w:cs="仿宋"/>
          <w:kern w:val="0"/>
          <w:sz w:val="24"/>
          <w:szCs w:val="24"/>
          <w:u w:val="single"/>
          <w:shd w:val="clear" w:color="auto" w:fill="FFFFFF" w:themeFill="background1"/>
        </w:rPr>
        <w:t xml:space="preserve">                              </w:t>
      </w:r>
    </w:p>
    <w:p w14:paraId="37317ADE">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单位性质：</w:t>
      </w:r>
      <w:r>
        <w:rPr>
          <w:rFonts w:hint="eastAsia" w:ascii="仿宋" w:hAnsi="仿宋" w:eastAsia="仿宋" w:cs="仿宋"/>
          <w:kern w:val="0"/>
          <w:sz w:val="24"/>
          <w:szCs w:val="24"/>
          <w:u w:val="single"/>
          <w:shd w:val="clear" w:color="auto" w:fill="FFFFFF" w:themeFill="background1"/>
        </w:rPr>
        <w:t xml:space="preserve">                              </w:t>
      </w:r>
    </w:p>
    <w:p w14:paraId="70B877FC">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地    址：</w:t>
      </w:r>
      <w:r>
        <w:rPr>
          <w:rFonts w:hint="eastAsia" w:ascii="仿宋" w:hAnsi="仿宋" w:eastAsia="仿宋" w:cs="仿宋"/>
          <w:kern w:val="0"/>
          <w:sz w:val="24"/>
          <w:szCs w:val="24"/>
          <w:u w:val="single"/>
          <w:shd w:val="clear" w:color="auto" w:fill="FFFFFF" w:themeFill="background1"/>
        </w:rPr>
        <w:t xml:space="preserve">                              </w:t>
      </w:r>
    </w:p>
    <w:p w14:paraId="538788A6">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成立时间：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月</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日</w:t>
      </w:r>
    </w:p>
    <w:p w14:paraId="37C774A0">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经营期限：</w:t>
      </w:r>
      <w:r>
        <w:rPr>
          <w:rFonts w:hint="eastAsia" w:ascii="仿宋" w:hAnsi="仿宋" w:eastAsia="仿宋" w:cs="仿宋"/>
          <w:kern w:val="0"/>
          <w:sz w:val="24"/>
          <w:szCs w:val="24"/>
          <w:u w:val="single"/>
          <w:shd w:val="clear" w:color="auto" w:fill="FFFFFF" w:themeFill="background1"/>
        </w:rPr>
        <w:t xml:space="preserve">                              </w:t>
      </w:r>
    </w:p>
    <w:p w14:paraId="68F7B312">
      <w:pPr>
        <w:widowControl/>
        <w:snapToGrid w:val="0"/>
        <w:spacing w:line="360" w:lineRule="auto"/>
        <w:jc w:val="left"/>
        <w:rPr>
          <w:rFonts w:ascii="仿宋" w:hAnsi="仿宋" w:eastAsia="仿宋" w:cs="仿宋"/>
          <w:kern w:val="0"/>
          <w:sz w:val="24"/>
          <w:szCs w:val="24"/>
          <w:shd w:val="clear" w:color="auto" w:fill="FFFFFF" w:themeFill="background1"/>
        </w:rPr>
      </w:pPr>
    </w:p>
    <w:p w14:paraId="1E3E5282">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姓名：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年龄：</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职务：</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（投标人名称）的法定代表人。</w:t>
      </w:r>
    </w:p>
    <w:p w14:paraId="1426F0AC">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特此证明。</w:t>
      </w:r>
    </w:p>
    <w:p w14:paraId="1CDD1ED8">
      <w:pPr>
        <w:widowControl/>
        <w:snapToGrid w:val="0"/>
        <w:spacing w:line="360" w:lineRule="auto"/>
        <w:jc w:val="left"/>
        <w:rPr>
          <w:rFonts w:ascii="仿宋" w:hAnsi="仿宋" w:eastAsia="仿宋" w:cs="仿宋"/>
          <w:kern w:val="0"/>
          <w:sz w:val="24"/>
          <w:szCs w:val="24"/>
          <w:shd w:val="clear" w:color="auto" w:fill="FFFFFF" w:themeFill="background1"/>
        </w:rPr>
      </w:pPr>
    </w:p>
    <w:p w14:paraId="5E61FAFA">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附：法定代表人身份证明</w:t>
      </w:r>
    </w:p>
    <w:p w14:paraId="79377402">
      <w:pPr>
        <w:widowControl/>
        <w:snapToGrid w:val="0"/>
        <w:spacing w:line="360" w:lineRule="auto"/>
        <w:jc w:val="left"/>
        <w:rPr>
          <w:rFonts w:ascii="仿宋" w:hAnsi="仿宋" w:eastAsia="仿宋" w:cs="仿宋"/>
          <w:kern w:val="0"/>
          <w:sz w:val="24"/>
          <w:szCs w:val="24"/>
          <w:shd w:val="clear" w:color="auto" w:fill="FFFFFF" w:themeFill="background1"/>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493D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CDC42E8">
            <w:pPr>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法定代表人身份证复印件（正面）</w:t>
            </w:r>
          </w:p>
        </w:tc>
      </w:tr>
    </w:tbl>
    <w:p w14:paraId="725B1CD6">
      <w:pPr>
        <w:spacing w:line="360" w:lineRule="auto"/>
        <w:rPr>
          <w:rFonts w:ascii="仿宋" w:hAnsi="仿宋" w:eastAsia="仿宋" w:cs="仿宋"/>
          <w:vanish/>
          <w:sz w:val="24"/>
          <w:szCs w:val="24"/>
          <w:shd w:val="clear" w:color="auto" w:fill="FFFFFF" w:themeFill="background1"/>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44C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0E09F82">
            <w:pPr>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法定代表人身份证复印件（反面）</w:t>
            </w:r>
          </w:p>
        </w:tc>
      </w:tr>
    </w:tbl>
    <w:p w14:paraId="27B69DB2">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w:t>
      </w:r>
    </w:p>
    <w:p w14:paraId="698A3209">
      <w:pPr>
        <w:widowControl/>
        <w:snapToGrid w:val="0"/>
        <w:spacing w:line="360" w:lineRule="auto"/>
        <w:jc w:val="left"/>
        <w:rPr>
          <w:rFonts w:ascii="仿宋" w:hAnsi="仿宋" w:eastAsia="仿宋" w:cs="仿宋"/>
          <w:kern w:val="0"/>
          <w:sz w:val="24"/>
          <w:szCs w:val="24"/>
          <w:shd w:val="clear" w:color="auto" w:fill="FFFFFF" w:themeFill="background1"/>
        </w:rPr>
      </w:pPr>
    </w:p>
    <w:p w14:paraId="7CEE47A4">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168D8BC7">
      <w:pPr>
        <w:widowControl/>
        <w:snapToGrid w:val="0"/>
        <w:spacing w:line="360" w:lineRule="auto"/>
        <w:jc w:val="righ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日期： 年  月  日</w:t>
      </w:r>
    </w:p>
    <w:p w14:paraId="4532A7E9">
      <w:pPr>
        <w:widowControl/>
        <w:snapToGrid w:val="0"/>
        <w:spacing w:line="360" w:lineRule="auto"/>
        <w:jc w:val="right"/>
        <w:rPr>
          <w:rFonts w:ascii="仿宋" w:hAnsi="仿宋" w:eastAsia="仿宋" w:cs="仿宋"/>
          <w:kern w:val="0"/>
          <w:sz w:val="24"/>
          <w:szCs w:val="24"/>
          <w:shd w:val="clear" w:color="auto" w:fill="FFFFFF" w:themeFill="background1"/>
        </w:rPr>
      </w:pPr>
    </w:p>
    <w:p w14:paraId="62CECE70">
      <w:pPr>
        <w:tabs>
          <w:tab w:val="center" w:pos="4832"/>
          <w:tab w:val="left" w:pos="7140"/>
        </w:tabs>
        <w:spacing w:line="360" w:lineRule="auto"/>
        <w:jc w:val="center"/>
        <w:outlineLvl w:val="1"/>
        <w:rPr>
          <w:rFonts w:ascii="仿宋" w:hAnsi="仿宋" w:eastAsia="仿宋" w:cs="仿宋"/>
          <w:b/>
          <w:sz w:val="24"/>
          <w:szCs w:val="24"/>
          <w:shd w:val="clear" w:color="auto" w:fill="FFFFFF" w:themeFill="background1"/>
        </w:rPr>
      </w:pPr>
      <w:r>
        <w:rPr>
          <w:rFonts w:hint="eastAsia" w:ascii="仿宋" w:hAnsi="仿宋" w:eastAsia="仿宋" w:cs="仿宋"/>
          <w:b/>
          <w:bCs/>
          <w:kern w:val="0"/>
          <w:sz w:val="24"/>
          <w:szCs w:val="24"/>
          <w:shd w:val="clear" w:color="auto" w:fill="FFFFFF" w:themeFill="background1"/>
        </w:rPr>
        <w:br w:type="page"/>
      </w:r>
      <w:bookmarkStart w:id="98" w:name="_Toc29637"/>
      <w:bookmarkStart w:id="99" w:name="_Toc533503186"/>
      <w:bookmarkStart w:id="100" w:name="_Toc38446476"/>
      <w:bookmarkStart w:id="101" w:name="_Toc507586171"/>
      <w:bookmarkStart w:id="102" w:name="_Toc24163"/>
      <w:r>
        <w:rPr>
          <w:rFonts w:hint="eastAsia" w:ascii="仿宋" w:hAnsi="仿宋" w:eastAsia="仿宋" w:cs="仿宋"/>
          <w:b/>
          <w:sz w:val="24"/>
          <w:szCs w:val="24"/>
          <w:shd w:val="clear" w:color="auto" w:fill="FFFFFF" w:themeFill="background1"/>
        </w:rPr>
        <w:t>七、法定代表人授权委托书</w:t>
      </w:r>
      <w:bookmarkEnd w:id="98"/>
      <w:bookmarkEnd w:id="99"/>
      <w:bookmarkEnd w:id="100"/>
      <w:bookmarkEnd w:id="101"/>
      <w:bookmarkEnd w:id="102"/>
    </w:p>
    <w:p w14:paraId="0DC767F8">
      <w:pPr>
        <w:widowControl/>
        <w:snapToGrid w:val="0"/>
        <w:spacing w:line="360" w:lineRule="auto"/>
        <w:jc w:val="left"/>
        <w:rPr>
          <w:rFonts w:ascii="仿宋" w:hAnsi="仿宋" w:eastAsia="仿宋" w:cs="仿宋"/>
          <w:kern w:val="0"/>
          <w:sz w:val="24"/>
          <w:szCs w:val="24"/>
          <w:shd w:val="clear" w:color="auto" w:fill="FFFFFF" w:themeFill="background1"/>
        </w:rPr>
      </w:pPr>
    </w:p>
    <w:p w14:paraId="10B48527">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本人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（姓名）系</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（投标人名称）的法定代表人，现拟派我单位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（姓名）为我方委托代理人。委托代理人根据授权，就</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（标项名称）的投标，以本公司名义处理一切与之有关的事务，其法律后果由我方承担。</w:t>
      </w:r>
    </w:p>
    <w:p w14:paraId="0C7D6F38">
      <w:pPr>
        <w:widowControl/>
        <w:snapToGrid w:val="0"/>
        <w:spacing w:line="360" w:lineRule="auto"/>
        <w:ind w:firstLine="480" w:firstLineChars="200"/>
        <w:jc w:val="left"/>
        <w:rPr>
          <w:rFonts w:ascii="仿宋" w:hAnsi="仿宋" w:eastAsia="仿宋" w:cs="仿宋"/>
          <w:kern w:val="0"/>
          <w:sz w:val="24"/>
          <w:szCs w:val="24"/>
          <w:u w:val="single"/>
          <w:shd w:val="clear" w:color="auto" w:fill="FFFFFF" w:themeFill="background1"/>
        </w:rPr>
      </w:pPr>
      <w:r>
        <w:rPr>
          <w:rFonts w:hint="eastAsia" w:ascii="仿宋" w:hAnsi="仿宋" w:eastAsia="仿宋" w:cs="仿宋"/>
          <w:kern w:val="0"/>
          <w:sz w:val="24"/>
          <w:szCs w:val="24"/>
          <w:shd w:val="clear" w:color="auto" w:fill="FFFFFF" w:themeFill="background1"/>
        </w:rPr>
        <w:t>代理人：</w:t>
      </w:r>
      <w:r>
        <w:rPr>
          <w:rFonts w:hint="eastAsia" w:ascii="仿宋" w:hAnsi="仿宋" w:eastAsia="仿宋" w:cs="仿宋"/>
          <w:i/>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性别：</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年龄：</w:t>
      </w:r>
      <w:r>
        <w:rPr>
          <w:rFonts w:hint="eastAsia" w:ascii="仿宋" w:hAnsi="仿宋" w:eastAsia="仿宋" w:cs="仿宋"/>
          <w:kern w:val="0"/>
          <w:sz w:val="24"/>
          <w:szCs w:val="24"/>
          <w:u w:val="single"/>
          <w:shd w:val="clear" w:color="auto" w:fill="FFFFFF" w:themeFill="background1"/>
        </w:rPr>
        <w:t xml:space="preserve">                    </w:t>
      </w:r>
    </w:p>
    <w:p w14:paraId="3B1CF45A">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单  位：</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部门：</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 xml:space="preserve"> 职务：</w:t>
      </w:r>
      <w:r>
        <w:rPr>
          <w:rFonts w:hint="eastAsia" w:ascii="仿宋" w:hAnsi="仿宋" w:eastAsia="仿宋" w:cs="仿宋"/>
          <w:kern w:val="0"/>
          <w:sz w:val="24"/>
          <w:szCs w:val="24"/>
          <w:u w:val="single"/>
          <w:shd w:val="clear" w:color="auto" w:fill="FFFFFF" w:themeFill="background1"/>
        </w:rPr>
        <w:t xml:space="preserve">                    </w:t>
      </w:r>
    </w:p>
    <w:p w14:paraId="3EBF53D6">
      <w:pPr>
        <w:widowControl/>
        <w:snapToGri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代理人无转委权，特此申明。</w:t>
      </w:r>
    </w:p>
    <w:p w14:paraId="565617A5">
      <w:pPr>
        <w:widowControl/>
        <w:snapToGrid w:val="0"/>
        <w:spacing w:line="360" w:lineRule="auto"/>
        <w:jc w:val="left"/>
        <w:rPr>
          <w:rFonts w:ascii="仿宋" w:hAnsi="仿宋" w:eastAsia="仿宋" w:cs="仿宋"/>
          <w:kern w:val="0"/>
          <w:sz w:val="24"/>
          <w:szCs w:val="24"/>
          <w:shd w:val="clear" w:color="auto" w:fill="FFFFFF" w:themeFill="background1"/>
        </w:rPr>
      </w:pPr>
    </w:p>
    <w:p w14:paraId="40984A73">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附：委托代理人身份证明。</w:t>
      </w:r>
    </w:p>
    <w:p w14:paraId="1A79FC99">
      <w:pPr>
        <w:pStyle w:val="15"/>
        <w:rPr>
          <w:rFonts w:ascii="仿宋" w:hAnsi="仿宋" w:eastAsia="仿宋" w:cs="仿宋"/>
          <w:szCs w:val="24"/>
          <w:shd w:val="clear" w:color="auto" w:fill="FFFFFF" w:themeFill="background1"/>
        </w:rPr>
      </w:pPr>
      <w:r>
        <w:rPr>
          <w:rFonts w:hint="eastAsia" w:ascii="仿宋" w:hAnsi="仿宋" w:eastAsia="仿宋" w:cs="仿宋"/>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73D4EEB">
                            <w:pPr>
                              <w:pStyle w:val="15"/>
                              <w:autoSpaceDE w:val="0"/>
                              <w:autoSpaceDN w:val="0"/>
                              <w:ind w:firstLine="480" w:firstLineChars="200"/>
                              <w:rPr>
                                <w:rFonts w:ascii="宋体" w:hAnsi="宋体" w:cs="宋体"/>
                              </w:rPr>
                            </w:pPr>
                          </w:p>
                          <w:p w14:paraId="069C007B">
                            <w:pPr>
                              <w:pStyle w:val="15"/>
                              <w:autoSpaceDE w:val="0"/>
                              <w:autoSpaceDN w:val="0"/>
                              <w:ind w:firstLine="480" w:firstLineChars="200"/>
                              <w:rPr>
                                <w:rFonts w:ascii="宋体" w:hAnsi="宋体" w:cs="宋体"/>
                              </w:rPr>
                            </w:pPr>
                            <w:r>
                              <w:rPr>
                                <w:rFonts w:hint="eastAsia" w:ascii="宋体" w:hAnsi="宋体" w:cs="宋体"/>
                              </w:rPr>
                              <w:t>法定代表人身份证复印件</w:t>
                            </w:r>
                          </w:p>
                          <w:p w14:paraId="4464C130">
                            <w:pPr>
                              <w:pStyle w:val="15"/>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073D4EEB">
                      <w:pPr>
                        <w:pStyle w:val="15"/>
                        <w:autoSpaceDE w:val="0"/>
                        <w:autoSpaceDN w:val="0"/>
                        <w:ind w:firstLine="480" w:firstLineChars="200"/>
                        <w:rPr>
                          <w:rFonts w:ascii="宋体" w:hAnsi="宋体" w:cs="宋体"/>
                        </w:rPr>
                      </w:pPr>
                    </w:p>
                    <w:p w14:paraId="069C007B">
                      <w:pPr>
                        <w:pStyle w:val="15"/>
                        <w:autoSpaceDE w:val="0"/>
                        <w:autoSpaceDN w:val="0"/>
                        <w:ind w:firstLine="480" w:firstLineChars="200"/>
                        <w:rPr>
                          <w:rFonts w:ascii="宋体" w:hAnsi="宋体" w:cs="宋体"/>
                        </w:rPr>
                      </w:pPr>
                      <w:r>
                        <w:rPr>
                          <w:rFonts w:hint="eastAsia" w:ascii="宋体" w:hAnsi="宋体" w:cs="宋体"/>
                        </w:rPr>
                        <w:t>法定代表人身份证复印件</w:t>
                      </w:r>
                    </w:p>
                    <w:p w14:paraId="4464C130">
                      <w:pPr>
                        <w:pStyle w:val="15"/>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C49332B">
                            <w:pPr>
                              <w:pStyle w:val="15"/>
                              <w:ind w:left="417" w:right="416"/>
                              <w:jc w:val="center"/>
                              <w:rPr>
                                <w:rFonts w:ascii="宋体" w:hAnsi="宋体" w:cs="宋体"/>
                              </w:rPr>
                            </w:pPr>
                          </w:p>
                          <w:p w14:paraId="470D67F9">
                            <w:pPr>
                              <w:pStyle w:val="15"/>
                              <w:ind w:left="417" w:right="416"/>
                              <w:jc w:val="center"/>
                              <w:rPr>
                                <w:rFonts w:ascii="宋体" w:hAnsi="宋体" w:cs="宋体"/>
                              </w:rPr>
                            </w:pPr>
                            <w:r>
                              <w:rPr>
                                <w:rFonts w:hint="eastAsia" w:ascii="宋体" w:hAnsi="宋体" w:cs="宋体"/>
                              </w:rPr>
                              <w:t>授权代表身份证复印件</w:t>
                            </w:r>
                          </w:p>
                          <w:p w14:paraId="0B5A26AB">
                            <w:pPr>
                              <w:pStyle w:val="15"/>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0C49332B">
                      <w:pPr>
                        <w:pStyle w:val="15"/>
                        <w:ind w:left="417" w:right="416"/>
                        <w:jc w:val="center"/>
                        <w:rPr>
                          <w:rFonts w:ascii="宋体" w:hAnsi="宋体" w:cs="宋体"/>
                        </w:rPr>
                      </w:pPr>
                    </w:p>
                    <w:p w14:paraId="470D67F9">
                      <w:pPr>
                        <w:pStyle w:val="15"/>
                        <w:ind w:left="417" w:right="416"/>
                        <w:jc w:val="center"/>
                        <w:rPr>
                          <w:rFonts w:ascii="宋体" w:hAnsi="宋体" w:cs="宋体"/>
                        </w:rPr>
                      </w:pPr>
                      <w:r>
                        <w:rPr>
                          <w:rFonts w:hint="eastAsia" w:ascii="宋体" w:hAnsi="宋体" w:cs="宋体"/>
                        </w:rPr>
                        <w:t>授权代表身份证复印件</w:t>
                      </w:r>
                    </w:p>
                    <w:p w14:paraId="0B5A26AB">
                      <w:pPr>
                        <w:pStyle w:val="15"/>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2FC6B7A0">
                            <w:pPr>
                              <w:pStyle w:val="15"/>
                              <w:rPr>
                                <w:rFonts w:ascii="宋体" w:hAnsi="宋体" w:cs="宋体"/>
                              </w:rPr>
                            </w:pPr>
                          </w:p>
                          <w:p w14:paraId="1024DFB3">
                            <w:pPr>
                              <w:pStyle w:val="15"/>
                              <w:ind w:left="417" w:right="417"/>
                              <w:jc w:val="center"/>
                              <w:rPr>
                                <w:rFonts w:ascii="宋体" w:hAnsi="宋体" w:cs="宋体"/>
                              </w:rPr>
                            </w:pPr>
                            <w:r>
                              <w:rPr>
                                <w:rFonts w:hint="eastAsia" w:ascii="宋体" w:hAnsi="宋体" w:cs="宋体"/>
                              </w:rPr>
                              <w:t>法定代表人身份证复印件</w:t>
                            </w:r>
                          </w:p>
                          <w:p w14:paraId="3F1DBE17">
                            <w:pPr>
                              <w:pStyle w:val="15"/>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2FC6B7A0">
                      <w:pPr>
                        <w:pStyle w:val="15"/>
                        <w:rPr>
                          <w:rFonts w:ascii="宋体" w:hAnsi="宋体" w:cs="宋体"/>
                        </w:rPr>
                      </w:pPr>
                    </w:p>
                    <w:p w14:paraId="1024DFB3">
                      <w:pPr>
                        <w:pStyle w:val="15"/>
                        <w:ind w:left="417" w:right="417"/>
                        <w:jc w:val="center"/>
                        <w:rPr>
                          <w:rFonts w:ascii="宋体" w:hAnsi="宋体" w:cs="宋体"/>
                        </w:rPr>
                      </w:pPr>
                      <w:r>
                        <w:rPr>
                          <w:rFonts w:hint="eastAsia" w:ascii="宋体" w:hAnsi="宋体" w:cs="宋体"/>
                        </w:rPr>
                        <w:t>法定代表人身份证复印件</w:t>
                      </w:r>
                    </w:p>
                    <w:p w14:paraId="3F1DBE17">
                      <w:pPr>
                        <w:pStyle w:val="15"/>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FD13649">
                            <w:pPr>
                              <w:pStyle w:val="15"/>
                              <w:rPr>
                                <w:rFonts w:ascii="宋体" w:hAnsi="宋体" w:cs="宋体"/>
                              </w:rPr>
                            </w:pPr>
                          </w:p>
                          <w:p w14:paraId="64850B33">
                            <w:pPr>
                              <w:pStyle w:val="15"/>
                              <w:ind w:left="417" w:right="416"/>
                              <w:jc w:val="center"/>
                              <w:rPr>
                                <w:rFonts w:ascii="宋体" w:hAnsi="宋体" w:cs="宋体"/>
                              </w:rPr>
                            </w:pPr>
                            <w:r>
                              <w:rPr>
                                <w:rFonts w:hint="eastAsia" w:ascii="宋体" w:hAnsi="宋体" w:cs="宋体"/>
                              </w:rPr>
                              <w:t>授权代表身份证复印件</w:t>
                            </w:r>
                          </w:p>
                          <w:p w14:paraId="78BD66E2">
                            <w:pPr>
                              <w:pStyle w:val="15"/>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FD13649">
                      <w:pPr>
                        <w:pStyle w:val="15"/>
                        <w:rPr>
                          <w:rFonts w:ascii="宋体" w:hAnsi="宋体" w:cs="宋体"/>
                        </w:rPr>
                      </w:pPr>
                    </w:p>
                    <w:p w14:paraId="64850B33">
                      <w:pPr>
                        <w:pStyle w:val="15"/>
                        <w:ind w:left="417" w:right="416"/>
                        <w:jc w:val="center"/>
                        <w:rPr>
                          <w:rFonts w:ascii="宋体" w:hAnsi="宋体" w:cs="宋体"/>
                        </w:rPr>
                      </w:pPr>
                      <w:r>
                        <w:rPr>
                          <w:rFonts w:hint="eastAsia" w:ascii="宋体" w:hAnsi="宋体" w:cs="宋体"/>
                        </w:rPr>
                        <w:t>授权代表身份证复印件</w:t>
                      </w:r>
                    </w:p>
                    <w:p w14:paraId="78BD66E2">
                      <w:pPr>
                        <w:pStyle w:val="15"/>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615B2141">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3686F1CB">
      <w:pPr>
        <w:widowControl/>
        <w:snapToGrid w:val="0"/>
        <w:spacing w:line="360" w:lineRule="auto"/>
        <w:jc w:val="left"/>
        <w:rPr>
          <w:rFonts w:ascii="仿宋" w:hAnsi="仿宋" w:eastAsia="仿宋" w:cs="仿宋"/>
          <w:kern w:val="0"/>
          <w:sz w:val="24"/>
          <w:szCs w:val="24"/>
          <w:shd w:val="clear" w:color="auto" w:fill="FFFFFF" w:themeFill="background1"/>
        </w:rPr>
      </w:pPr>
    </w:p>
    <w:p w14:paraId="07B3A7DD">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29E498C1">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6872FF5D">
      <w:pPr>
        <w:spacing w:line="360" w:lineRule="auto"/>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 xml:space="preserve"> </w:t>
      </w:r>
      <w:bookmarkStart w:id="103" w:name="_Toc38446478"/>
      <w:bookmarkStart w:id="104" w:name="_Toc30621"/>
      <w:bookmarkStart w:id="105" w:name="_Toc23743"/>
      <w:bookmarkStart w:id="106" w:name="_Toc533503189"/>
      <w:bookmarkStart w:id="107" w:name="_Toc507586173"/>
    </w:p>
    <w:p w14:paraId="34D836E5">
      <w:pP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79940873">
      <w:pPr>
        <w:spacing w:line="360" w:lineRule="auto"/>
        <w:jc w:val="center"/>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八、投标人基本情况</w:t>
      </w:r>
      <w:bookmarkEnd w:id="103"/>
      <w:bookmarkEnd w:id="104"/>
      <w:bookmarkEnd w:id="105"/>
      <w:bookmarkEnd w:id="106"/>
      <w:bookmarkEnd w:id="107"/>
    </w:p>
    <w:p w14:paraId="646CE34D">
      <w:pPr>
        <w:spacing w:line="360" w:lineRule="auto"/>
        <w:jc w:val="left"/>
        <w:rPr>
          <w:rFonts w:ascii="仿宋" w:hAnsi="仿宋" w:eastAsia="仿宋" w:cs="仿宋"/>
          <w:sz w:val="24"/>
          <w:szCs w:val="24"/>
          <w:shd w:val="clear" w:color="auto" w:fill="FFFFFF" w:themeFill="background1"/>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BF1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FB6649">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投标人名称</w:t>
            </w:r>
          </w:p>
        </w:tc>
        <w:tc>
          <w:tcPr>
            <w:tcW w:w="7300" w:type="dxa"/>
            <w:gridSpan w:val="3"/>
            <w:vAlign w:val="center"/>
          </w:tcPr>
          <w:p w14:paraId="26BC1A1D">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36D3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06F6453">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注册地址</w:t>
            </w:r>
          </w:p>
        </w:tc>
        <w:tc>
          <w:tcPr>
            <w:tcW w:w="3165" w:type="dxa"/>
            <w:vAlign w:val="center"/>
          </w:tcPr>
          <w:p w14:paraId="3CE8C970">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650703F9">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邮政编码</w:t>
            </w:r>
          </w:p>
        </w:tc>
        <w:tc>
          <w:tcPr>
            <w:tcW w:w="2140" w:type="dxa"/>
            <w:vAlign w:val="center"/>
          </w:tcPr>
          <w:p w14:paraId="123AEFFC">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1CC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FEC3857">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成立时间</w:t>
            </w:r>
          </w:p>
        </w:tc>
        <w:tc>
          <w:tcPr>
            <w:tcW w:w="3165" w:type="dxa"/>
            <w:vAlign w:val="center"/>
          </w:tcPr>
          <w:p w14:paraId="613DED51">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7AF6BC10">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企业性质</w:t>
            </w:r>
          </w:p>
        </w:tc>
        <w:tc>
          <w:tcPr>
            <w:tcW w:w="2140" w:type="dxa"/>
            <w:vAlign w:val="center"/>
          </w:tcPr>
          <w:p w14:paraId="2BD993E2">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7ED8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F9424A4">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营业执照号</w:t>
            </w:r>
          </w:p>
        </w:tc>
        <w:tc>
          <w:tcPr>
            <w:tcW w:w="3165" w:type="dxa"/>
            <w:vAlign w:val="center"/>
          </w:tcPr>
          <w:p w14:paraId="5CB0BE98">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584EFB23">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注册资金</w:t>
            </w:r>
          </w:p>
        </w:tc>
        <w:tc>
          <w:tcPr>
            <w:tcW w:w="2140" w:type="dxa"/>
            <w:vAlign w:val="center"/>
          </w:tcPr>
          <w:p w14:paraId="045D03F2">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106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BBDC245">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法定代表人</w:t>
            </w:r>
          </w:p>
        </w:tc>
        <w:tc>
          <w:tcPr>
            <w:tcW w:w="3165" w:type="dxa"/>
            <w:vAlign w:val="center"/>
          </w:tcPr>
          <w:p w14:paraId="78CDB5FA">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22226CA0">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电话</w:t>
            </w:r>
          </w:p>
        </w:tc>
        <w:tc>
          <w:tcPr>
            <w:tcW w:w="2140" w:type="dxa"/>
            <w:vAlign w:val="center"/>
          </w:tcPr>
          <w:p w14:paraId="3403BAF8">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6652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72ED871">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联系人</w:t>
            </w:r>
          </w:p>
        </w:tc>
        <w:tc>
          <w:tcPr>
            <w:tcW w:w="3165" w:type="dxa"/>
            <w:vAlign w:val="center"/>
          </w:tcPr>
          <w:p w14:paraId="3CF9390A">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42645CA6">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电话</w:t>
            </w:r>
          </w:p>
        </w:tc>
        <w:tc>
          <w:tcPr>
            <w:tcW w:w="2140" w:type="dxa"/>
            <w:vAlign w:val="center"/>
          </w:tcPr>
          <w:p w14:paraId="44094687">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1ADC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8EEB4D">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传真</w:t>
            </w:r>
          </w:p>
        </w:tc>
        <w:tc>
          <w:tcPr>
            <w:tcW w:w="3165" w:type="dxa"/>
            <w:vAlign w:val="center"/>
          </w:tcPr>
          <w:p w14:paraId="1199AFB8">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6F5556F8">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网址</w:t>
            </w:r>
          </w:p>
        </w:tc>
        <w:tc>
          <w:tcPr>
            <w:tcW w:w="2140" w:type="dxa"/>
            <w:vAlign w:val="center"/>
          </w:tcPr>
          <w:p w14:paraId="36FE64F8">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170E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89CE63D">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开户银行</w:t>
            </w:r>
          </w:p>
        </w:tc>
        <w:tc>
          <w:tcPr>
            <w:tcW w:w="3165" w:type="dxa"/>
            <w:vAlign w:val="center"/>
          </w:tcPr>
          <w:p w14:paraId="2E1EA396">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c>
          <w:tcPr>
            <w:tcW w:w="1995" w:type="dxa"/>
            <w:vAlign w:val="center"/>
          </w:tcPr>
          <w:p w14:paraId="0F68E0AE">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银行帐号</w:t>
            </w:r>
          </w:p>
        </w:tc>
        <w:tc>
          <w:tcPr>
            <w:tcW w:w="2140" w:type="dxa"/>
            <w:vAlign w:val="center"/>
          </w:tcPr>
          <w:p w14:paraId="0D9328A2">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26D7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6E0F222">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职工概况</w:t>
            </w:r>
          </w:p>
        </w:tc>
        <w:tc>
          <w:tcPr>
            <w:tcW w:w="7300" w:type="dxa"/>
            <w:gridSpan w:val="3"/>
            <w:vAlign w:val="center"/>
          </w:tcPr>
          <w:p w14:paraId="43464B20">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r w14:paraId="2B99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7D8D16">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经营范围</w:t>
            </w:r>
          </w:p>
        </w:tc>
        <w:tc>
          <w:tcPr>
            <w:tcW w:w="7300" w:type="dxa"/>
            <w:gridSpan w:val="3"/>
            <w:vAlign w:val="center"/>
          </w:tcPr>
          <w:p w14:paraId="2E006996">
            <w:pPr>
              <w:autoSpaceDE w:val="0"/>
              <w:autoSpaceDN w:val="0"/>
              <w:adjustRightInd w:val="0"/>
              <w:snapToGrid w:val="0"/>
              <w:spacing w:line="360" w:lineRule="auto"/>
              <w:jc w:val="center"/>
              <w:rPr>
                <w:rFonts w:ascii="仿宋" w:hAnsi="仿宋" w:eastAsia="仿宋" w:cs="仿宋"/>
                <w:kern w:val="0"/>
                <w:sz w:val="24"/>
                <w:szCs w:val="24"/>
                <w:shd w:val="clear" w:color="auto" w:fill="FFFFFF" w:themeFill="background1"/>
              </w:rPr>
            </w:pPr>
          </w:p>
        </w:tc>
      </w:tr>
    </w:tbl>
    <w:p w14:paraId="76202F5D">
      <w:pPr>
        <w:spacing w:line="360" w:lineRule="auto"/>
        <w:ind w:firstLine="504" w:firstLineChars="200"/>
        <w:rPr>
          <w:rFonts w:ascii="仿宋" w:hAnsi="仿宋" w:eastAsia="仿宋" w:cs="仿宋"/>
          <w:spacing w:val="6"/>
          <w:sz w:val="24"/>
          <w:szCs w:val="24"/>
          <w:shd w:val="clear" w:color="auto" w:fill="FFFFFF" w:themeFill="background1"/>
        </w:rPr>
      </w:pPr>
    </w:p>
    <w:p w14:paraId="20BD97B8">
      <w:pPr>
        <w:widowControl/>
        <w:jc w:val="left"/>
        <w:rPr>
          <w:rFonts w:ascii="仿宋" w:hAnsi="仿宋" w:eastAsia="仿宋" w:cs="仿宋"/>
          <w:spacing w:val="6"/>
          <w:sz w:val="24"/>
          <w:szCs w:val="24"/>
          <w:shd w:val="clear" w:color="auto" w:fill="FFFFFF" w:themeFill="background1"/>
        </w:rPr>
      </w:pPr>
      <w:r>
        <w:rPr>
          <w:rFonts w:hint="eastAsia" w:ascii="仿宋" w:hAnsi="仿宋" w:eastAsia="仿宋" w:cs="仿宋"/>
          <w:spacing w:val="6"/>
          <w:sz w:val="24"/>
          <w:szCs w:val="24"/>
          <w:shd w:val="clear" w:color="auto" w:fill="FFFFFF" w:themeFill="background1"/>
        </w:rPr>
        <w:br w:type="page"/>
      </w:r>
    </w:p>
    <w:p w14:paraId="7E744055">
      <w:pPr>
        <w:spacing w:line="360" w:lineRule="auto"/>
        <w:jc w:val="center"/>
        <w:outlineLvl w:val="1"/>
        <w:rPr>
          <w:rFonts w:ascii="仿宋" w:hAnsi="仿宋" w:eastAsia="仿宋" w:cs="仿宋"/>
          <w:b/>
          <w:sz w:val="24"/>
          <w:szCs w:val="24"/>
          <w:shd w:val="clear" w:color="auto" w:fill="FFFFFF" w:themeFill="background1"/>
        </w:rPr>
      </w:pPr>
      <w:bookmarkStart w:id="108" w:name="_Toc32366"/>
      <w:bookmarkStart w:id="109" w:name="_Toc107422184"/>
      <w:bookmarkStart w:id="110" w:name="_Toc11207"/>
      <w:bookmarkStart w:id="111" w:name="_Toc109143671"/>
      <w:bookmarkStart w:id="112" w:name="_Toc113901849"/>
      <w:bookmarkStart w:id="113" w:name="_Toc20683"/>
      <w:bookmarkStart w:id="114" w:name="_Toc22928"/>
      <w:bookmarkStart w:id="115" w:name="_Toc128476878"/>
      <w:bookmarkStart w:id="116" w:name="_Toc133453662"/>
      <w:bookmarkStart w:id="117" w:name="_Toc111556487"/>
      <w:r>
        <w:rPr>
          <w:rFonts w:hint="eastAsia" w:ascii="仿宋" w:hAnsi="仿宋" w:eastAsia="仿宋" w:cs="仿宋"/>
          <w:b/>
          <w:sz w:val="24"/>
          <w:szCs w:val="24"/>
          <w:shd w:val="clear" w:color="auto" w:fill="FFFFFF" w:themeFill="background1"/>
        </w:rPr>
        <w:t>8.1、</w:t>
      </w:r>
      <w:bookmarkEnd w:id="108"/>
      <w:bookmarkEnd w:id="109"/>
      <w:bookmarkEnd w:id="110"/>
      <w:bookmarkEnd w:id="111"/>
      <w:r>
        <w:rPr>
          <w:rFonts w:hint="eastAsia" w:ascii="仿宋" w:hAnsi="仿宋" w:eastAsia="仿宋" w:cs="仿宋"/>
          <w:b/>
          <w:sz w:val="24"/>
          <w:szCs w:val="24"/>
          <w:shd w:val="clear" w:color="auto" w:fill="FFFFFF" w:themeFill="background1"/>
        </w:rPr>
        <w:t>法人或者其他组织的营业执照等证明文件，自然人的身份证明</w:t>
      </w:r>
      <w:bookmarkEnd w:id="112"/>
      <w:bookmarkEnd w:id="113"/>
      <w:bookmarkEnd w:id="114"/>
      <w:bookmarkEnd w:id="115"/>
      <w:bookmarkEnd w:id="116"/>
    </w:p>
    <w:p w14:paraId="3377681A">
      <w:pPr>
        <w:spacing w:line="360" w:lineRule="auto"/>
        <w:rPr>
          <w:rFonts w:ascii="仿宋" w:hAnsi="仿宋" w:eastAsia="仿宋" w:cs="仿宋"/>
          <w:sz w:val="24"/>
          <w:szCs w:val="24"/>
          <w:shd w:val="clear" w:color="auto" w:fill="FFFFFF" w:themeFill="background1"/>
        </w:rPr>
      </w:pPr>
    </w:p>
    <w:p w14:paraId="06C49476">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一、如投标人是企业（包括合伙企业），应提供在工商部门注册的有效“企业法人营业执照”或“营业执照”;</w:t>
      </w:r>
    </w:p>
    <w:p w14:paraId="60AD49E6">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二、如投标人是事业单位，应提供有效的“事业单位法人证书”;</w:t>
      </w:r>
    </w:p>
    <w:p w14:paraId="291BD51C">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三、投标人是非企业专业服务机构的，应提供执业许可证等证明文件;</w:t>
      </w:r>
    </w:p>
    <w:p w14:paraId="0C06F2D6">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四、如投标人是个体工商户，应提供有效的“个体工商户营业执照”;</w:t>
      </w:r>
    </w:p>
    <w:p w14:paraId="7560D3A8">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五、如投标人是自然人，应提供有效的自然人身份证明。</w:t>
      </w:r>
    </w:p>
    <w:p w14:paraId="3BE3216A">
      <w:pPr>
        <w:spacing w:line="360" w:lineRule="auto"/>
        <w:rPr>
          <w:rFonts w:ascii="仿宋" w:hAnsi="仿宋" w:eastAsia="仿宋" w:cs="仿宋"/>
          <w:sz w:val="24"/>
          <w:szCs w:val="24"/>
          <w:shd w:val="clear" w:color="auto" w:fill="FFFFFF" w:themeFill="background1"/>
        </w:rPr>
      </w:pPr>
    </w:p>
    <w:p w14:paraId="13B8E2F9">
      <w:pPr>
        <w:spacing w:line="360" w:lineRule="auto"/>
        <w:rPr>
          <w:rFonts w:ascii="仿宋" w:hAnsi="仿宋" w:eastAsia="仿宋" w:cs="仿宋"/>
          <w:sz w:val="24"/>
          <w:szCs w:val="24"/>
          <w:shd w:val="clear" w:color="auto" w:fill="FFFFFF" w:themeFill="background1"/>
        </w:rPr>
      </w:pPr>
    </w:p>
    <w:p w14:paraId="7D85050F">
      <w:pPr>
        <w:widowControl/>
        <w:spacing w:line="360" w:lineRule="auto"/>
        <w:jc w:val="left"/>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br w:type="page"/>
      </w:r>
    </w:p>
    <w:p w14:paraId="7E17A59D">
      <w:pPr>
        <w:rPr>
          <w:rFonts w:ascii="仿宋" w:hAnsi="仿宋" w:eastAsia="仿宋" w:cs="仿宋"/>
          <w:shd w:val="clear" w:color="auto" w:fill="FFFFFF" w:themeFill="background1"/>
        </w:rPr>
      </w:pPr>
    </w:p>
    <w:p w14:paraId="71585012">
      <w:pPr>
        <w:spacing w:line="360" w:lineRule="auto"/>
        <w:jc w:val="center"/>
        <w:outlineLvl w:val="1"/>
        <w:rPr>
          <w:rFonts w:ascii="仿宋" w:hAnsi="仿宋" w:eastAsia="仿宋" w:cs="仿宋"/>
          <w:b/>
          <w:sz w:val="24"/>
          <w:szCs w:val="24"/>
          <w:shd w:val="clear" w:color="auto" w:fill="FFFFFF" w:themeFill="background1"/>
        </w:rPr>
      </w:pPr>
      <w:bookmarkStart w:id="118" w:name="_Toc113901850"/>
      <w:bookmarkStart w:id="119" w:name="_Toc128476879"/>
      <w:bookmarkStart w:id="120" w:name="_Toc591"/>
      <w:bookmarkStart w:id="121" w:name="_Toc10010"/>
      <w:bookmarkStart w:id="122" w:name="_Toc133453663"/>
      <w:r>
        <w:rPr>
          <w:rFonts w:hint="eastAsia" w:ascii="仿宋" w:hAnsi="仿宋" w:eastAsia="仿宋" w:cs="仿宋"/>
          <w:b/>
          <w:sz w:val="24"/>
          <w:szCs w:val="24"/>
          <w:shd w:val="clear" w:color="auto" w:fill="FFFFFF" w:themeFill="background1"/>
        </w:rPr>
        <w:t>8.2、</w:t>
      </w:r>
      <w:bookmarkEnd w:id="117"/>
      <w:r>
        <w:rPr>
          <w:rFonts w:hint="eastAsia" w:ascii="仿宋" w:hAnsi="仿宋" w:eastAsia="仿宋" w:cs="仿宋"/>
          <w:b/>
          <w:sz w:val="24"/>
          <w:szCs w:val="24"/>
          <w:shd w:val="clear" w:color="auto" w:fill="FFFFFF" w:themeFill="background1"/>
        </w:rPr>
        <w:t>财务状况报告，依法缴纳税收和社会保障资金的相关材料</w:t>
      </w:r>
      <w:bookmarkEnd w:id="118"/>
      <w:bookmarkEnd w:id="119"/>
      <w:bookmarkEnd w:id="120"/>
      <w:bookmarkEnd w:id="121"/>
      <w:bookmarkEnd w:id="122"/>
    </w:p>
    <w:p w14:paraId="4DA6E3B3">
      <w:pPr>
        <w:pStyle w:val="15"/>
        <w:spacing w:line="360" w:lineRule="auto"/>
        <w:rPr>
          <w:rFonts w:ascii="仿宋" w:hAnsi="仿宋" w:eastAsia="仿宋" w:cs="仿宋"/>
          <w:spacing w:val="10"/>
          <w:szCs w:val="24"/>
          <w:shd w:val="clear" w:color="auto" w:fill="FFFFFF" w:themeFill="background1"/>
        </w:rPr>
      </w:pPr>
    </w:p>
    <w:p w14:paraId="60B70657">
      <w:pPr>
        <w:spacing w:line="480" w:lineRule="auto"/>
        <w:ind w:firstLine="480" w:firstLineChars="200"/>
        <w:rPr>
          <w:rFonts w:ascii="仿宋" w:hAnsi="仿宋" w:eastAsia="仿宋" w:cs="仿宋"/>
          <w:color w:val="000000"/>
          <w:sz w:val="24"/>
          <w:szCs w:val="24"/>
        </w:rPr>
      </w:pPr>
      <w:bookmarkStart w:id="123" w:name="_Toc30348"/>
      <w:bookmarkStart w:id="124" w:name="_Toc113901851"/>
      <w:bookmarkStart w:id="125" w:name="_Toc128476880"/>
      <w:bookmarkStart w:id="126" w:name="_Toc111556488"/>
      <w:r>
        <w:rPr>
          <w:rFonts w:hint="eastAsia" w:ascii="仿宋" w:hAnsi="仿宋" w:eastAsia="仿宋" w:cs="仿宋"/>
          <w:color w:val="000000"/>
          <w:sz w:val="24"/>
          <w:szCs w:val="24"/>
        </w:rPr>
        <w:t>一、财务状况报告（满足下述一条要求即可）：</w:t>
      </w:r>
    </w:p>
    <w:p w14:paraId="7708EE1F">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要求1、经审计的财务报告（2024年度或2025年度，包括“四表-注”，即资产负债表、利润表、现金流量表、所有者权益变动表及其附注）或银行出具的资信/金证明。</w:t>
      </w:r>
    </w:p>
    <w:p w14:paraId="667FB2BE">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要求2、成立不足三个月（以投标文件递交截止之日为期限）的投标人无需提供。</w:t>
      </w:r>
    </w:p>
    <w:p w14:paraId="1DE62DD9">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二、依法缴纳税收和社会保障资金的相关材料</w:t>
      </w:r>
    </w:p>
    <w:p w14:paraId="4529494C">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2.1、依法缴纳税收的证明材料：</w:t>
      </w:r>
    </w:p>
    <w:p w14:paraId="2F6F3945">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投标人参加政府采购活动前一段时间（响应文件递交截止之日前六个月内任一个月）内缴纳税收的完税凭证（指各种完税证、缴款书、印花税票、扣（收）税凭证以及其他完税证明）。</w:t>
      </w:r>
    </w:p>
    <w:p w14:paraId="073FC37E">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2.2、依法缴纳社会保障资金的证明材料：</w:t>
      </w:r>
    </w:p>
    <w:p w14:paraId="5D21F00E">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投标人参加政府采购活动前一段时间（响应文件递交截止之日前六个月内任一个月）内缴纳社会保险的凭据，其他组织和自然人也需要提供缴纳税收的凭据和缴纳社会保险的凭据。</w:t>
      </w:r>
    </w:p>
    <w:p w14:paraId="43ADF6E4">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2.3、依法免税或不需要缴纳社会保障资金的投标人，应提供相应文件证明其依法免税或不需要缴纳社会保障资金。</w:t>
      </w:r>
    </w:p>
    <w:p w14:paraId="21B9DCE7">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三、注：</w:t>
      </w:r>
    </w:p>
    <w:p w14:paraId="4CC59884">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3.1、如因有关主管部门政策调整，部分证明材料有所增减，以最新政策要求为准；</w:t>
      </w:r>
    </w:p>
    <w:p w14:paraId="0E90ED09">
      <w:pPr>
        <w:spacing w:line="480" w:lineRule="auto"/>
        <w:ind w:firstLine="480" w:firstLineChars="200"/>
        <w:rPr>
          <w:rFonts w:ascii="仿宋" w:hAnsi="仿宋" w:eastAsia="仿宋" w:cs="仿宋"/>
          <w:b/>
          <w:sz w:val="24"/>
          <w:szCs w:val="24"/>
          <w:shd w:val="clear" w:color="auto" w:fill="FFFFFF" w:themeFill="background1"/>
        </w:rPr>
      </w:pPr>
      <w:r>
        <w:rPr>
          <w:rFonts w:hint="eastAsia" w:ascii="仿宋" w:hAnsi="仿宋" w:eastAsia="仿宋" w:cs="仿宋"/>
          <w:color w:val="000000"/>
          <w:sz w:val="24"/>
          <w:szCs w:val="24"/>
        </w:rPr>
        <w:t>3.2、如投标人所在地有关主管部门反馈的证明材料与本文中要求不一致时，以当地要求为准，但须投标人提供文字说明。</w:t>
      </w:r>
      <w:r>
        <w:rPr>
          <w:rFonts w:hint="eastAsia" w:ascii="仿宋" w:hAnsi="仿宋" w:eastAsia="仿宋" w:cs="仿宋"/>
          <w:b/>
          <w:sz w:val="24"/>
          <w:szCs w:val="24"/>
          <w:shd w:val="clear" w:color="auto" w:fill="FFFFFF" w:themeFill="background1"/>
        </w:rPr>
        <w:br w:type="page"/>
      </w:r>
    </w:p>
    <w:p w14:paraId="46364CDC">
      <w:pPr>
        <w:tabs>
          <w:tab w:val="center" w:pos="4832"/>
          <w:tab w:val="left" w:pos="7140"/>
        </w:tabs>
        <w:spacing w:line="360" w:lineRule="auto"/>
        <w:jc w:val="center"/>
        <w:outlineLvl w:val="1"/>
        <w:rPr>
          <w:rFonts w:ascii="仿宋" w:hAnsi="仿宋" w:eastAsia="仿宋" w:cs="仿宋"/>
          <w:b/>
          <w:sz w:val="24"/>
          <w:szCs w:val="24"/>
          <w:shd w:val="clear" w:color="auto" w:fill="FFFFFF" w:themeFill="background1"/>
        </w:rPr>
      </w:pPr>
      <w:bookmarkStart w:id="127" w:name="_Toc133453664"/>
      <w:bookmarkStart w:id="128" w:name="_Toc5928"/>
      <w:r>
        <w:rPr>
          <w:rFonts w:hint="eastAsia" w:ascii="仿宋" w:hAnsi="仿宋" w:eastAsia="仿宋" w:cs="仿宋"/>
          <w:b/>
          <w:sz w:val="24"/>
          <w:szCs w:val="24"/>
          <w:shd w:val="clear" w:color="auto" w:fill="FFFFFF" w:themeFill="background1"/>
        </w:rPr>
        <w:t>8.3、具备履行合同所必需的设备和专业技术能力的证明材料</w:t>
      </w:r>
      <w:bookmarkEnd w:id="123"/>
      <w:bookmarkEnd w:id="124"/>
      <w:bookmarkEnd w:id="125"/>
      <w:bookmarkEnd w:id="127"/>
      <w:bookmarkEnd w:id="128"/>
    </w:p>
    <w:p w14:paraId="6255A199">
      <w:pPr>
        <w:spacing w:line="360" w:lineRule="auto"/>
        <w:rPr>
          <w:rFonts w:ascii="仿宋" w:hAnsi="仿宋" w:eastAsia="仿宋" w:cs="仿宋"/>
          <w:sz w:val="24"/>
          <w:szCs w:val="24"/>
          <w:shd w:val="clear" w:color="auto" w:fill="FFFFFF" w:themeFill="background1"/>
        </w:rPr>
      </w:pPr>
    </w:p>
    <w:p w14:paraId="550606AA">
      <w:pPr>
        <w:spacing w:line="360" w:lineRule="auto"/>
        <w:rPr>
          <w:rFonts w:ascii="仿宋" w:hAnsi="仿宋" w:eastAsia="仿宋" w:cs="仿宋"/>
          <w:sz w:val="24"/>
          <w:szCs w:val="24"/>
          <w:shd w:val="clear" w:color="auto" w:fill="FFFFFF" w:themeFill="background1"/>
        </w:rPr>
      </w:pPr>
    </w:p>
    <w:p w14:paraId="7B641B41">
      <w:pPr>
        <w:spacing w:line="360" w:lineRule="auto"/>
        <w:jc w:val="center"/>
        <w:rPr>
          <w:rFonts w:ascii="仿宋" w:hAnsi="仿宋" w:eastAsia="仿宋" w:cs="仿宋"/>
          <w:b/>
          <w:sz w:val="24"/>
          <w:szCs w:val="24"/>
          <w:shd w:val="clear" w:color="auto" w:fill="FFFFFF" w:themeFill="background1"/>
        </w:rPr>
      </w:pPr>
      <w:r>
        <w:rPr>
          <w:rFonts w:hint="eastAsia" w:ascii="仿宋" w:hAnsi="仿宋" w:eastAsia="仿宋" w:cs="仿宋"/>
          <w:b/>
          <w:sz w:val="24"/>
          <w:szCs w:val="24"/>
          <w:shd w:val="clear" w:color="auto" w:fill="FFFFFF" w:themeFill="background1"/>
        </w:rPr>
        <w:t>具有履行合同所必需的设备和专业技术能力的承诺</w:t>
      </w:r>
      <w:bookmarkEnd w:id="126"/>
      <w:r>
        <w:rPr>
          <w:rFonts w:hint="eastAsia" w:ascii="仿宋" w:hAnsi="仿宋" w:eastAsia="仿宋" w:cs="仿宋"/>
          <w:b/>
          <w:sz w:val="24"/>
          <w:szCs w:val="24"/>
          <w:shd w:val="clear" w:color="auto" w:fill="FFFFFF" w:themeFill="background1"/>
        </w:rPr>
        <w:t>函</w:t>
      </w:r>
    </w:p>
    <w:p w14:paraId="394686FC">
      <w:pPr>
        <w:adjustRightInd w:val="0"/>
        <w:snapToGrid w:val="0"/>
        <w:spacing w:line="360" w:lineRule="auto"/>
        <w:ind w:firstLine="480" w:firstLineChars="200"/>
        <w:jc w:val="center"/>
        <w:rPr>
          <w:rFonts w:ascii="仿宋" w:hAnsi="仿宋" w:eastAsia="仿宋" w:cs="仿宋"/>
          <w:sz w:val="24"/>
          <w:szCs w:val="24"/>
          <w:shd w:val="clear" w:color="auto" w:fill="FFFFFF" w:themeFill="background1"/>
        </w:rPr>
      </w:pPr>
    </w:p>
    <w:p w14:paraId="5D84105F">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11582ADA">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p>
    <w:p w14:paraId="2EFF38CD">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我单位郑重承诺： </w:t>
      </w:r>
    </w:p>
    <w:p w14:paraId="67377E61">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我单位具备履行</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w:t>
      </w:r>
      <w:r>
        <w:rPr>
          <w:rFonts w:hint="eastAsia" w:ascii="仿宋" w:hAnsi="仿宋" w:eastAsia="仿宋" w:cs="仿宋"/>
          <w:sz w:val="24"/>
          <w:szCs w:val="24"/>
          <w:shd w:val="clear" w:color="auto" w:fill="FFFFFF" w:themeFill="background1"/>
        </w:rPr>
        <w:t>项目名称</w:t>
      </w:r>
      <w:r>
        <w:rPr>
          <w:rFonts w:hint="eastAsia" w:ascii="仿宋" w:hAnsi="仿宋" w:eastAsia="仿宋" w:cs="仿宋"/>
          <w:kern w:val="0"/>
          <w:sz w:val="24"/>
          <w:szCs w:val="24"/>
          <w:shd w:val="clear" w:color="auto" w:fill="FFFFFF" w:themeFill="background1"/>
        </w:rPr>
        <w:t>）合同所必需的设备和专业技术能力；</w:t>
      </w:r>
    </w:p>
    <w:p w14:paraId="01E5F398">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特此承诺。 </w:t>
      </w:r>
    </w:p>
    <w:p w14:paraId="223445B9">
      <w:pPr>
        <w:autoSpaceDE w:val="0"/>
        <w:autoSpaceDN w:val="0"/>
        <w:adjustRightInd w:val="0"/>
        <w:spacing w:line="360" w:lineRule="auto"/>
        <w:jc w:val="left"/>
        <w:rPr>
          <w:rFonts w:ascii="仿宋" w:hAnsi="仿宋" w:eastAsia="仿宋" w:cs="仿宋"/>
          <w:kern w:val="0"/>
          <w:sz w:val="24"/>
          <w:szCs w:val="24"/>
          <w:shd w:val="clear" w:color="auto" w:fill="FFFFFF" w:themeFill="background1"/>
        </w:rPr>
      </w:pPr>
    </w:p>
    <w:p w14:paraId="7D739142">
      <w:pPr>
        <w:autoSpaceDE w:val="0"/>
        <w:autoSpaceDN w:val="0"/>
        <w:adjustRightInd w:val="0"/>
        <w:spacing w:line="360" w:lineRule="auto"/>
        <w:jc w:val="left"/>
        <w:rPr>
          <w:rFonts w:ascii="仿宋" w:hAnsi="仿宋" w:eastAsia="仿宋" w:cs="仿宋"/>
          <w:kern w:val="0"/>
          <w:sz w:val="24"/>
          <w:szCs w:val="24"/>
          <w:shd w:val="clear" w:color="auto" w:fill="FFFFFF" w:themeFill="background1"/>
        </w:rPr>
      </w:pPr>
    </w:p>
    <w:p w14:paraId="3E00BB52">
      <w:pPr>
        <w:autoSpaceDE w:val="0"/>
        <w:autoSpaceDN w:val="0"/>
        <w:adjustRightInd w:val="0"/>
        <w:spacing w:line="360" w:lineRule="auto"/>
        <w:jc w:val="left"/>
        <w:rPr>
          <w:rFonts w:ascii="仿宋" w:hAnsi="仿宋" w:eastAsia="仿宋" w:cs="仿宋"/>
          <w:kern w:val="0"/>
          <w:sz w:val="24"/>
          <w:szCs w:val="24"/>
          <w:shd w:val="clear" w:color="auto" w:fill="FFFFFF" w:themeFill="background1"/>
        </w:rPr>
      </w:pPr>
    </w:p>
    <w:p w14:paraId="1E8B9228">
      <w:pPr>
        <w:autoSpaceDE w:val="0"/>
        <w:autoSpaceDN w:val="0"/>
        <w:adjustRightInd w:val="0"/>
        <w:spacing w:line="360" w:lineRule="auto"/>
        <w:jc w:val="left"/>
        <w:rPr>
          <w:rFonts w:ascii="仿宋" w:hAnsi="仿宋" w:eastAsia="仿宋" w:cs="仿宋"/>
          <w:kern w:val="0"/>
          <w:sz w:val="24"/>
          <w:szCs w:val="24"/>
          <w:shd w:val="clear" w:color="auto" w:fill="FFFFFF" w:themeFill="background1"/>
        </w:rPr>
      </w:pPr>
    </w:p>
    <w:p w14:paraId="36BC64B3">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07C982C0">
      <w:pPr>
        <w:widowControl/>
        <w:snapToGrid w:val="0"/>
        <w:spacing w:line="360" w:lineRule="auto"/>
        <w:jc w:val="left"/>
        <w:rPr>
          <w:rFonts w:ascii="仿宋" w:hAnsi="仿宋" w:eastAsia="仿宋" w:cs="仿宋"/>
          <w:kern w:val="0"/>
          <w:sz w:val="24"/>
          <w:szCs w:val="24"/>
          <w:shd w:val="clear" w:color="auto" w:fill="FFFFFF" w:themeFill="background1"/>
        </w:rPr>
      </w:pPr>
    </w:p>
    <w:p w14:paraId="5788B374">
      <w:pPr>
        <w:widowControl/>
        <w:snapToGrid w:val="0"/>
        <w:spacing w:line="360" w:lineRule="auto"/>
        <w:jc w:val="left"/>
        <w:rPr>
          <w:rFonts w:ascii="仿宋" w:hAnsi="仿宋" w:eastAsia="仿宋" w:cs="仿宋"/>
          <w:kern w:val="0"/>
          <w:sz w:val="24"/>
          <w:szCs w:val="24"/>
          <w:shd w:val="clear" w:color="auto" w:fill="FFFFFF" w:themeFill="background1"/>
        </w:rPr>
      </w:pPr>
    </w:p>
    <w:p w14:paraId="6729BFB4">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3C3174A2">
      <w:pPr>
        <w:adjustRightInd w:val="0"/>
        <w:snapToGrid w:val="0"/>
        <w:spacing w:line="360" w:lineRule="auto"/>
        <w:rPr>
          <w:rFonts w:ascii="仿宋" w:hAnsi="仿宋" w:eastAsia="仿宋" w:cs="仿宋"/>
          <w:bCs/>
          <w:sz w:val="24"/>
          <w:szCs w:val="24"/>
          <w:shd w:val="clear" w:color="auto" w:fill="FFFFFF" w:themeFill="background1"/>
        </w:rPr>
      </w:pPr>
    </w:p>
    <w:p w14:paraId="600E93AC">
      <w:pPr>
        <w:spacing w:line="360" w:lineRule="auto"/>
        <w:rPr>
          <w:rFonts w:ascii="仿宋" w:hAnsi="仿宋" w:eastAsia="仿宋" w:cs="仿宋"/>
          <w:sz w:val="24"/>
          <w:szCs w:val="24"/>
          <w:shd w:val="clear" w:color="auto" w:fill="FFFFFF" w:themeFill="background1"/>
        </w:rPr>
      </w:pPr>
    </w:p>
    <w:p w14:paraId="2A1A2B7F">
      <w:pPr>
        <w:spacing w:line="360" w:lineRule="auto"/>
        <w:rPr>
          <w:rFonts w:ascii="仿宋" w:hAnsi="仿宋" w:eastAsia="仿宋" w:cs="仿宋"/>
          <w:sz w:val="24"/>
          <w:szCs w:val="24"/>
          <w:shd w:val="clear" w:color="auto" w:fill="FFFFFF" w:themeFill="background1"/>
        </w:rPr>
      </w:pPr>
    </w:p>
    <w:p w14:paraId="0F6C7B66">
      <w:pPr>
        <w:spacing w:line="360" w:lineRule="auto"/>
        <w:rPr>
          <w:rFonts w:ascii="仿宋" w:hAnsi="仿宋" w:eastAsia="仿宋" w:cs="仿宋"/>
          <w:sz w:val="24"/>
          <w:szCs w:val="24"/>
          <w:shd w:val="clear" w:color="auto" w:fill="FFFFFF" w:themeFill="background1"/>
        </w:rPr>
      </w:pPr>
    </w:p>
    <w:p w14:paraId="2D900DE1">
      <w:pPr>
        <w:spacing w:line="360" w:lineRule="auto"/>
        <w:rPr>
          <w:rFonts w:ascii="仿宋" w:hAnsi="仿宋" w:eastAsia="仿宋" w:cs="仿宋"/>
          <w:sz w:val="24"/>
          <w:szCs w:val="24"/>
          <w:shd w:val="clear" w:color="auto" w:fill="FFFFFF" w:themeFill="background1"/>
        </w:rPr>
      </w:pPr>
    </w:p>
    <w:p w14:paraId="6788598B">
      <w:pPr>
        <w:widowControl/>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5832C314">
      <w:pPr>
        <w:adjustRightInd w:val="0"/>
        <w:snapToGrid w:val="0"/>
        <w:spacing w:line="360" w:lineRule="auto"/>
        <w:jc w:val="center"/>
        <w:outlineLvl w:val="1"/>
        <w:rPr>
          <w:rFonts w:ascii="仿宋" w:hAnsi="仿宋" w:eastAsia="仿宋" w:cs="仿宋"/>
          <w:b/>
          <w:sz w:val="24"/>
          <w:szCs w:val="24"/>
          <w:shd w:val="clear" w:color="auto" w:fill="FFFFFF" w:themeFill="background1"/>
        </w:rPr>
      </w:pPr>
      <w:bookmarkStart w:id="129" w:name="_Toc5703"/>
      <w:bookmarkStart w:id="130" w:name="_Toc9548"/>
      <w:bookmarkStart w:id="131" w:name="_Toc133453665"/>
      <w:bookmarkStart w:id="132" w:name="_Toc113901852"/>
      <w:bookmarkStart w:id="133" w:name="_Toc128476881"/>
      <w:bookmarkStart w:id="134" w:name="_Toc111556490"/>
      <w:r>
        <w:rPr>
          <w:rFonts w:hint="eastAsia" w:ascii="仿宋" w:hAnsi="仿宋" w:eastAsia="仿宋" w:cs="仿宋"/>
          <w:b/>
          <w:sz w:val="24"/>
          <w:szCs w:val="24"/>
          <w:shd w:val="clear" w:color="auto" w:fill="FFFFFF" w:themeFill="background1"/>
        </w:rPr>
        <w:t>8.4、参加政府采购活动前3年内在经营活动中没有重大违法记录的书面声明</w:t>
      </w:r>
      <w:bookmarkEnd w:id="129"/>
      <w:bookmarkEnd w:id="130"/>
      <w:bookmarkEnd w:id="131"/>
      <w:bookmarkEnd w:id="132"/>
      <w:bookmarkEnd w:id="133"/>
    </w:p>
    <w:bookmarkEnd w:id="134"/>
    <w:p w14:paraId="789FAE19">
      <w:pPr>
        <w:widowControl/>
        <w:adjustRightInd w:val="0"/>
        <w:snapToGrid w:val="0"/>
        <w:spacing w:line="360" w:lineRule="auto"/>
        <w:rPr>
          <w:rFonts w:ascii="仿宋" w:hAnsi="仿宋" w:eastAsia="仿宋" w:cs="仿宋"/>
          <w:sz w:val="24"/>
          <w:szCs w:val="24"/>
          <w:shd w:val="clear" w:color="auto" w:fill="FFFFFF" w:themeFill="background1"/>
        </w:rPr>
      </w:pPr>
    </w:p>
    <w:p w14:paraId="11541393">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致：</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（采购人名称）</w:t>
      </w:r>
    </w:p>
    <w:p w14:paraId="5974E346">
      <w:pPr>
        <w:adjustRightInd w:val="0"/>
        <w:snapToGrid w:val="0"/>
        <w:spacing w:line="360" w:lineRule="auto"/>
        <w:ind w:firstLine="480" w:firstLineChars="200"/>
        <w:rPr>
          <w:rFonts w:ascii="仿宋" w:hAnsi="仿宋" w:eastAsia="仿宋" w:cs="仿宋"/>
          <w:sz w:val="24"/>
          <w:szCs w:val="24"/>
          <w:shd w:val="clear" w:color="auto" w:fill="FFFFFF" w:themeFill="background1"/>
        </w:rPr>
      </w:pPr>
    </w:p>
    <w:p w14:paraId="556EA707">
      <w:pPr>
        <w:adjustRightInd w:val="0"/>
        <w:snapToGrid w:val="0"/>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我单位在参与</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sz w:val="24"/>
          <w:szCs w:val="24"/>
          <w:shd w:val="clear" w:color="auto" w:fill="FFFFFF" w:themeFill="background1"/>
        </w:rPr>
        <w:t>（项目名称）</w:t>
      </w:r>
      <w:r>
        <w:rPr>
          <w:rFonts w:hint="eastAsia" w:ascii="仿宋" w:hAnsi="仿宋" w:eastAsia="仿宋" w:cs="仿宋"/>
          <w:kern w:val="0"/>
          <w:sz w:val="24"/>
          <w:szCs w:val="24"/>
          <w:shd w:val="clear" w:color="auto" w:fill="FFFFFF" w:themeFill="background1"/>
        </w:rPr>
        <w:t>前三年内（以</w:t>
      </w:r>
      <w:r>
        <w:rPr>
          <w:rFonts w:hint="eastAsia" w:ascii="仿宋" w:hAnsi="仿宋" w:eastAsia="仿宋" w:cs="仿宋"/>
          <w:sz w:val="24"/>
          <w:szCs w:val="24"/>
          <w:shd w:val="clear" w:color="auto" w:fill="FFFFFF" w:themeFill="background1"/>
        </w:rPr>
        <w:t>投标文件递交截止之日为期限</w:t>
      </w:r>
      <w:r>
        <w:rPr>
          <w:rFonts w:hint="eastAsia" w:ascii="仿宋" w:hAnsi="仿宋" w:eastAsia="仿宋" w:cs="仿宋"/>
          <w:kern w:val="0"/>
          <w:sz w:val="24"/>
          <w:szCs w:val="24"/>
          <w:shd w:val="clear" w:color="auto" w:fill="FFFFFF" w:themeFill="background1"/>
        </w:rPr>
        <w:t>）在经营活动中没有重大违法记录。</w:t>
      </w:r>
    </w:p>
    <w:p w14:paraId="19BC69FE">
      <w:pPr>
        <w:adjustRightInd w:val="0"/>
        <w:snapToGrid w:val="0"/>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shd w:val="clear" w:color="auto" w:fill="FFFFFF" w:themeFill="background1"/>
        </w:rPr>
        <w:t>我单位</w:t>
      </w:r>
      <w:r>
        <w:rPr>
          <w:rFonts w:hint="eastAsia" w:ascii="仿宋" w:hAnsi="仿宋" w:eastAsia="仿宋" w:cs="仿宋"/>
          <w:sz w:val="24"/>
          <w:szCs w:val="24"/>
          <w:shd w:val="clear" w:color="auto" w:fill="FFFFFF" w:themeFill="background1"/>
        </w:rPr>
        <w:t>将无条件退出本项目的投标，并承担因此引起的一切后果。我方对此声明负全部法律责任。</w:t>
      </w:r>
    </w:p>
    <w:p w14:paraId="043B37C9">
      <w:pPr>
        <w:adjustRightInd w:val="0"/>
        <w:snapToGrid w:val="0"/>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特此声明！</w:t>
      </w:r>
    </w:p>
    <w:p w14:paraId="7270C848">
      <w:pPr>
        <w:adjustRightInd w:val="0"/>
        <w:snapToGrid w:val="0"/>
        <w:spacing w:line="360" w:lineRule="auto"/>
        <w:ind w:firstLine="480" w:firstLineChars="200"/>
        <w:rPr>
          <w:rFonts w:ascii="仿宋" w:hAnsi="仿宋" w:eastAsia="仿宋" w:cs="仿宋"/>
          <w:sz w:val="24"/>
          <w:szCs w:val="24"/>
          <w:shd w:val="clear" w:color="auto" w:fill="FFFFFF" w:themeFill="background1"/>
        </w:rPr>
      </w:pPr>
    </w:p>
    <w:p w14:paraId="29AB54EE">
      <w:pPr>
        <w:adjustRightInd w:val="0"/>
        <w:snapToGrid w:val="0"/>
        <w:spacing w:line="360" w:lineRule="auto"/>
        <w:ind w:firstLine="480" w:firstLineChars="200"/>
        <w:rPr>
          <w:rFonts w:ascii="仿宋" w:hAnsi="仿宋" w:eastAsia="仿宋" w:cs="仿宋"/>
          <w:sz w:val="24"/>
          <w:szCs w:val="24"/>
          <w:shd w:val="clear" w:color="auto" w:fill="FFFFFF" w:themeFill="background1"/>
        </w:rPr>
      </w:pPr>
    </w:p>
    <w:p w14:paraId="2B15C53C">
      <w:pPr>
        <w:adjustRightInd w:val="0"/>
        <w:snapToGrid w:val="0"/>
        <w:spacing w:line="360" w:lineRule="auto"/>
        <w:ind w:firstLine="420" w:firstLineChars="200"/>
        <w:rPr>
          <w:rFonts w:ascii="仿宋" w:hAnsi="仿宋" w:eastAsia="仿宋" w:cs="仿宋"/>
          <w:szCs w:val="24"/>
          <w:shd w:val="clear" w:color="auto" w:fill="FFFFFF" w:themeFill="background1"/>
        </w:rPr>
      </w:pPr>
      <w:r>
        <w:rPr>
          <w:rFonts w:hint="eastAsia" w:ascii="仿宋" w:hAnsi="仿宋" w:eastAsia="仿宋" w:cs="仿宋"/>
          <w:szCs w:val="24"/>
          <w:shd w:val="clear" w:color="auto" w:fill="FFFFFF" w:themeFill="background1"/>
        </w:rPr>
        <w:t>备注：</w:t>
      </w:r>
    </w:p>
    <w:p w14:paraId="697C6F45">
      <w:pPr>
        <w:adjustRightInd w:val="0"/>
        <w:snapToGrid w:val="0"/>
        <w:spacing w:line="360" w:lineRule="auto"/>
        <w:ind w:firstLine="420" w:firstLineChars="200"/>
        <w:rPr>
          <w:rFonts w:ascii="仿宋" w:hAnsi="仿宋" w:eastAsia="仿宋" w:cs="仿宋"/>
          <w:sz w:val="24"/>
          <w:szCs w:val="24"/>
          <w:shd w:val="clear" w:color="auto" w:fill="FFFFFF" w:themeFill="background1"/>
        </w:rPr>
      </w:pPr>
      <w:r>
        <w:rPr>
          <w:rFonts w:hint="eastAsia" w:ascii="仿宋" w:hAnsi="仿宋" w:eastAsia="仿宋" w:cs="仿宋"/>
          <w:szCs w:val="24"/>
          <w:shd w:val="clear" w:color="auto" w:fill="FFFFFF" w:themeFill="background1"/>
        </w:rPr>
        <w:t>若投标人在投标文件递交截止之日成立时间不足三年，以自成立以来的时间计取。</w:t>
      </w:r>
    </w:p>
    <w:p w14:paraId="4285DB94">
      <w:pPr>
        <w:adjustRightInd w:val="0"/>
        <w:snapToGrid w:val="0"/>
        <w:spacing w:line="360" w:lineRule="auto"/>
        <w:ind w:firstLine="480" w:firstLineChars="200"/>
        <w:rPr>
          <w:rFonts w:ascii="仿宋" w:hAnsi="仿宋" w:eastAsia="仿宋" w:cs="仿宋"/>
          <w:kern w:val="0"/>
          <w:sz w:val="24"/>
          <w:szCs w:val="24"/>
          <w:shd w:val="clear" w:color="auto" w:fill="FFFFFF" w:themeFill="background1"/>
        </w:rPr>
      </w:pPr>
    </w:p>
    <w:p w14:paraId="71962E87">
      <w:pPr>
        <w:adjustRightInd w:val="0"/>
        <w:snapToGrid w:val="0"/>
        <w:spacing w:line="360" w:lineRule="auto"/>
        <w:ind w:firstLine="3112" w:firstLineChars="1297"/>
        <w:rPr>
          <w:rFonts w:ascii="仿宋" w:hAnsi="仿宋" w:eastAsia="仿宋" w:cs="仿宋"/>
          <w:sz w:val="24"/>
          <w:szCs w:val="24"/>
          <w:shd w:val="clear" w:color="auto" w:fill="FFFFFF" w:themeFill="background1"/>
        </w:rPr>
      </w:pPr>
    </w:p>
    <w:p w14:paraId="76420112">
      <w:pPr>
        <w:widowControl/>
        <w:snapToGrid w:val="0"/>
        <w:spacing w:line="360" w:lineRule="auto"/>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投标人：</w:t>
      </w:r>
      <w:r>
        <w:rPr>
          <w:rFonts w:hint="eastAsia" w:ascii="仿宋" w:hAnsi="仿宋" w:eastAsia="仿宋" w:cs="仿宋"/>
          <w:kern w:val="0"/>
          <w:sz w:val="24"/>
          <w:szCs w:val="24"/>
          <w:u w:val="single"/>
          <w:shd w:val="clear" w:color="auto" w:fill="FFFFFF" w:themeFill="background1"/>
        </w:rPr>
        <w:t xml:space="preserve">               </w:t>
      </w:r>
      <w:r>
        <w:rPr>
          <w:rFonts w:hint="eastAsia" w:ascii="仿宋" w:hAnsi="仿宋" w:eastAsia="仿宋" w:cs="仿宋"/>
          <w:kern w:val="0"/>
          <w:sz w:val="24"/>
          <w:szCs w:val="24"/>
          <w:shd w:val="clear" w:color="auto" w:fill="FFFFFF" w:themeFill="background1"/>
        </w:rPr>
        <w:t>（盖章）</w:t>
      </w:r>
    </w:p>
    <w:p w14:paraId="4E80611A">
      <w:pPr>
        <w:widowControl/>
        <w:snapToGrid w:val="0"/>
        <w:spacing w:line="360" w:lineRule="auto"/>
        <w:ind w:firstLine="420"/>
        <w:jc w:val="center"/>
        <w:rPr>
          <w:rFonts w:ascii="仿宋" w:hAnsi="仿宋" w:eastAsia="仿宋" w:cs="仿宋"/>
          <w:kern w:val="0"/>
          <w:sz w:val="24"/>
          <w:szCs w:val="24"/>
          <w:shd w:val="clear" w:color="auto" w:fill="FFFFFF" w:themeFill="background1"/>
        </w:rPr>
      </w:pPr>
    </w:p>
    <w:p w14:paraId="35F7C091">
      <w:pPr>
        <w:widowControl/>
        <w:snapToGrid w:val="0"/>
        <w:spacing w:line="360" w:lineRule="auto"/>
        <w:ind w:firstLine="420"/>
        <w:jc w:val="center"/>
        <w:rPr>
          <w:rFonts w:ascii="仿宋" w:hAnsi="仿宋" w:eastAsia="仿宋" w:cs="仿宋"/>
          <w:kern w:val="0"/>
          <w:sz w:val="24"/>
          <w:szCs w:val="24"/>
          <w:shd w:val="clear" w:color="auto" w:fill="FFFFFF" w:themeFill="background1"/>
        </w:rPr>
      </w:pPr>
    </w:p>
    <w:p w14:paraId="44B3BB17">
      <w:pPr>
        <w:widowControl/>
        <w:snapToGrid w:val="0"/>
        <w:spacing w:line="360" w:lineRule="auto"/>
        <w:ind w:firstLine="420"/>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 xml:space="preserve">                                               日期： 年  月  日</w:t>
      </w:r>
    </w:p>
    <w:p w14:paraId="79FD538F">
      <w:pPr>
        <w:widowControl/>
        <w:snapToGrid w:val="0"/>
        <w:spacing w:line="360" w:lineRule="auto"/>
        <w:ind w:firstLine="420"/>
        <w:rPr>
          <w:rFonts w:ascii="仿宋" w:hAnsi="仿宋" w:eastAsia="仿宋" w:cs="仿宋"/>
          <w:kern w:val="0"/>
          <w:sz w:val="24"/>
          <w:szCs w:val="24"/>
          <w:shd w:val="clear" w:color="auto" w:fill="FFFFFF" w:themeFill="background1"/>
        </w:rPr>
      </w:pPr>
    </w:p>
    <w:p w14:paraId="6329BCDD">
      <w:pPr>
        <w:widowControl/>
        <w:jc w:val="left"/>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p>
    <w:p w14:paraId="6BABACDF">
      <w:pPr>
        <w:adjustRightInd w:val="0"/>
        <w:snapToGrid w:val="0"/>
        <w:spacing w:line="360" w:lineRule="auto"/>
        <w:jc w:val="center"/>
        <w:outlineLvl w:val="1"/>
        <w:rPr>
          <w:rFonts w:ascii="仿宋" w:hAnsi="仿宋" w:eastAsia="仿宋" w:cs="仿宋"/>
          <w:b/>
          <w:sz w:val="24"/>
          <w:szCs w:val="24"/>
          <w:shd w:val="clear" w:color="auto" w:fill="FFFFFF" w:themeFill="background1"/>
        </w:rPr>
      </w:pPr>
      <w:bookmarkStart w:id="135" w:name="_Toc26372"/>
      <w:bookmarkStart w:id="136" w:name="_Toc128476882"/>
      <w:bookmarkStart w:id="137" w:name="_Toc133453666"/>
      <w:bookmarkStart w:id="138" w:name="_Toc15699"/>
      <w:bookmarkStart w:id="139" w:name="_Toc113901853"/>
      <w:r>
        <w:rPr>
          <w:rFonts w:hint="eastAsia" w:ascii="仿宋" w:hAnsi="仿宋" w:eastAsia="仿宋" w:cs="仿宋"/>
          <w:b/>
          <w:sz w:val="24"/>
          <w:szCs w:val="24"/>
          <w:shd w:val="clear" w:color="auto" w:fill="FFFFFF" w:themeFill="background1"/>
        </w:rPr>
        <w:t>8.5、具备法律、行政法规规定的其他条件的证明材料</w:t>
      </w:r>
      <w:bookmarkEnd w:id="135"/>
      <w:bookmarkEnd w:id="136"/>
      <w:bookmarkEnd w:id="137"/>
      <w:bookmarkEnd w:id="138"/>
      <w:bookmarkEnd w:id="139"/>
    </w:p>
    <w:p w14:paraId="59DD11BA">
      <w:pPr>
        <w:widowControl/>
        <w:adjustRightInd w:val="0"/>
        <w:snapToGrid w:val="0"/>
        <w:spacing w:line="360" w:lineRule="auto"/>
        <w:rPr>
          <w:rFonts w:ascii="仿宋" w:hAnsi="仿宋" w:eastAsia="仿宋" w:cs="仿宋"/>
          <w:sz w:val="24"/>
          <w:szCs w:val="24"/>
          <w:shd w:val="clear" w:color="auto" w:fill="FFFFFF" w:themeFill="background1"/>
        </w:rPr>
      </w:pPr>
    </w:p>
    <w:p w14:paraId="12503DB7">
      <w:pPr>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1、国家有关主管部门的行政许可（如有时）。</w:t>
      </w:r>
    </w:p>
    <w:p w14:paraId="59E9200B">
      <w:pPr>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2、投标人如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7CF8D94">
      <w:pPr>
        <w:spacing w:line="360" w:lineRule="auto"/>
        <w:ind w:firstLine="480" w:firstLineChars="200"/>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br w:type="page"/>
      </w:r>
    </w:p>
    <w:p w14:paraId="317761FB">
      <w:pPr>
        <w:pStyle w:val="35"/>
        <w:spacing w:line="360" w:lineRule="auto"/>
        <w:rPr>
          <w:rStyle w:val="44"/>
          <w:rFonts w:ascii="仿宋" w:hAnsi="仿宋" w:eastAsia="仿宋" w:cs="仿宋"/>
          <w:shd w:val="clear" w:color="auto" w:fill="FFFFFF" w:themeFill="background1"/>
        </w:rPr>
      </w:pPr>
      <w:r>
        <w:rPr>
          <w:rFonts w:hint="eastAsia" w:ascii="仿宋" w:hAnsi="仿宋" w:eastAsia="仿宋" w:cs="仿宋"/>
          <w:shd w:val="clear" w:color="auto" w:fill="FFFFFF" w:themeFill="background1"/>
        </w:rPr>
        <w:t xml:space="preserve"> </w:t>
      </w:r>
      <w:r>
        <w:rPr>
          <w:rStyle w:val="44"/>
          <w:rFonts w:hint="eastAsia" w:ascii="仿宋" w:hAnsi="仿宋" w:eastAsia="仿宋" w:cs="仿宋"/>
          <w:shd w:val="clear" w:color="auto" w:fill="FFFFFF" w:themeFill="background1"/>
        </w:rPr>
        <w:t xml:space="preserve">附表一、                  </w:t>
      </w:r>
    </w:p>
    <w:p w14:paraId="422FBD8D">
      <w:pPr>
        <w:spacing w:line="588" w:lineRule="exact"/>
        <w:jc w:val="center"/>
        <w:rPr>
          <w:rFonts w:ascii="仿宋" w:hAnsi="仿宋" w:eastAsia="仿宋" w:cs="仿宋"/>
          <w:b/>
          <w:spacing w:val="6"/>
          <w:sz w:val="24"/>
        </w:rPr>
      </w:pPr>
      <w:r>
        <w:rPr>
          <w:rFonts w:hint="eastAsia" w:ascii="仿宋" w:hAnsi="仿宋" w:eastAsia="仿宋" w:cs="仿宋"/>
          <w:b/>
          <w:spacing w:val="6"/>
          <w:sz w:val="24"/>
        </w:rPr>
        <w:t>中小企业声明函（工程、服务）</w:t>
      </w:r>
    </w:p>
    <w:p w14:paraId="664F2CFD">
      <w:pPr>
        <w:spacing w:line="588" w:lineRule="exact"/>
        <w:jc w:val="center"/>
        <w:rPr>
          <w:rFonts w:ascii="仿宋" w:hAnsi="仿宋" w:eastAsia="仿宋" w:cs="仿宋"/>
          <w:b/>
          <w:spacing w:val="6"/>
          <w:sz w:val="24"/>
        </w:rPr>
      </w:pPr>
    </w:p>
    <w:p w14:paraId="36845B90">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本公司（联合体）郑重声明，根据《政府采购促进中小企业发展管理办法》（财库﹝2020﹞46 号）的规定，本公司</w:t>
      </w:r>
      <w:r>
        <w:rPr>
          <w:rFonts w:hint="eastAsia" w:ascii="仿宋" w:hAnsi="仿宋" w:eastAsia="仿宋" w:cs="仿宋"/>
          <w:kern w:val="0"/>
          <w:sz w:val="24"/>
          <w:szCs w:val="24"/>
          <w:u w:val="single"/>
        </w:rPr>
        <w:t>（联合体）</w:t>
      </w:r>
      <w:r>
        <w:rPr>
          <w:rFonts w:hint="eastAsia" w:ascii="仿宋" w:hAnsi="仿宋" w:eastAsia="仿宋" w:cs="仿宋"/>
          <w:kern w:val="0"/>
          <w:sz w:val="24"/>
          <w:szCs w:val="24"/>
        </w:rPr>
        <w:t>参加</w:t>
      </w:r>
      <w:r>
        <w:rPr>
          <w:rFonts w:hint="eastAsia" w:ascii="仿宋" w:hAnsi="仿宋" w:eastAsia="仿宋" w:cs="仿宋"/>
          <w:kern w:val="0"/>
          <w:sz w:val="24"/>
          <w:szCs w:val="24"/>
          <w:u w:val="single"/>
        </w:rPr>
        <w:t>（单位名称）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（项目名称）</w:t>
      </w:r>
      <w:r>
        <w:rPr>
          <w:rFonts w:hint="eastAsia" w:ascii="仿宋" w:hAnsi="仿宋" w:eastAsia="仿宋" w:cs="仿宋"/>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CE4976E">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1. </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 xml:space="preserve"> ，属于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14:paraId="64D59929">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2. </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 xml:space="preserve"> ，属于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14:paraId="631F02F3">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w:t>
      </w:r>
    </w:p>
    <w:p w14:paraId="65851C70">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4A4ECD1F">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14:paraId="5EF7F7F7">
      <w:pPr>
        <w:spacing w:line="588" w:lineRule="exact"/>
        <w:ind w:firstLine="480" w:firstLineChars="200"/>
        <w:jc w:val="right"/>
        <w:rPr>
          <w:rFonts w:ascii="仿宋" w:hAnsi="仿宋" w:eastAsia="仿宋" w:cs="仿宋"/>
          <w:kern w:val="0"/>
          <w:sz w:val="24"/>
          <w:szCs w:val="24"/>
        </w:rPr>
      </w:pPr>
      <w:r>
        <w:rPr>
          <w:rFonts w:hint="eastAsia" w:ascii="仿宋" w:hAnsi="仿宋" w:eastAsia="仿宋" w:cs="仿宋"/>
          <w:kern w:val="0"/>
          <w:sz w:val="24"/>
          <w:szCs w:val="24"/>
        </w:rPr>
        <w:t>企业名称（盖章）：</w:t>
      </w:r>
    </w:p>
    <w:p w14:paraId="636CE726">
      <w:pPr>
        <w:spacing w:line="588" w:lineRule="exact"/>
        <w:ind w:right="480" w:firstLine="480" w:firstLineChars="200"/>
        <w:jc w:val="right"/>
        <w:rPr>
          <w:rFonts w:ascii="仿宋" w:hAnsi="仿宋" w:eastAsia="仿宋" w:cs="仿宋"/>
          <w:b/>
          <w:sz w:val="24"/>
          <w:szCs w:val="24"/>
        </w:rPr>
      </w:pPr>
      <w:r>
        <w:rPr>
          <w:rFonts w:hint="eastAsia" w:ascii="仿宋" w:hAnsi="仿宋" w:eastAsia="仿宋" w:cs="仿宋"/>
          <w:kern w:val="0"/>
          <w:sz w:val="24"/>
          <w:szCs w:val="24"/>
        </w:rPr>
        <w:t>日期：</w:t>
      </w:r>
    </w:p>
    <w:p w14:paraId="64698766">
      <w:pPr>
        <w:spacing w:line="588" w:lineRule="exact"/>
        <w:rPr>
          <w:rStyle w:val="44"/>
          <w:rFonts w:ascii="仿宋" w:hAnsi="仿宋" w:eastAsia="仿宋" w:cs="仿宋"/>
          <w:kern w:val="0"/>
          <w:sz w:val="24"/>
          <w:szCs w:val="24"/>
        </w:rPr>
      </w:pPr>
      <w:r>
        <w:rPr>
          <w:rFonts w:hint="eastAsia" w:ascii="仿宋" w:hAnsi="仿宋" w:eastAsia="仿宋" w:cs="仿宋"/>
          <w:kern w:val="0"/>
          <w:sz w:val="24"/>
          <w:szCs w:val="24"/>
        </w:rPr>
        <w:t>注：人员、营业收入、资产总额填报上一年度数据，无上一年度数据的新成立企业可不填报。</w:t>
      </w:r>
    </w:p>
    <w:p w14:paraId="792659E9">
      <w:pPr>
        <w:spacing w:line="360" w:lineRule="auto"/>
        <w:ind w:firstLine="420" w:firstLineChars="200"/>
        <w:rPr>
          <w:rFonts w:ascii="仿宋" w:hAnsi="仿宋" w:eastAsia="仿宋" w:cs="仿宋"/>
        </w:rPr>
      </w:pPr>
    </w:p>
    <w:p w14:paraId="0BF2E482">
      <w:pPr>
        <w:tabs>
          <w:tab w:val="left" w:pos="3777"/>
          <w:tab w:val="center" w:pos="4819"/>
        </w:tabs>
        <w:spacing w:line="360" w:lineRule="auto"/>
        <w:jc w:val="center"/>
        <w:rPr>
          <w:rFonts w:ascii="仿宋" w:hAnsi="仿宋" w:eastAsia="仿宋" w:cs="仿宋"/>
          <w:b/>
          <w:sz w:val="32"/>
          <w:szCs w:val="32"/>
        </w:rPr>
      </w:pPr>
      <w:r>
        <w:rPr>
          <w:rFonts w:hint="eastAsia" w:ascii="仿宋" w:hAnsi="仿宋" w:eastAsia="仿宋" w:cs="仿宋"/>
          <w:b/>
          <w:sz w:val="32"/>
          <w:szCs w:val="32"/>
        </w:rPr>
        <w:br w:type="page"/>
      </w:r>
      <w:bookmarkStart w:id="140" w:name="_Toc138177925"/>
      <w:bookmarkStart w:id="141" w:name="_Toc28587"/>
      <w:bookmarkStart w:id="142" w:name="_Toc3480"/>
      <w:bookmarkStart w:id="143" w:name="_Toc2253"/>
      <w:r>
        <w:rPr>
          <w:rFonts w:hint="eastAsia" w:ascii="仿宋" w:hAnsi="仿宋" w:eastAsia="仿宋" w:cs="仿宋"/>
          <w:b/>
          <w:spacing w:val="6"/>
          <w:sz w:val="24"/>
        </w:rPr>
        <w:t>监狱企业声明函</w:t>
      </w:r>
      <w:bookmarkEnd w:id="140"/>
      <w:bookmarkEnd w:id="141"/>
      <w:bookmarkEnd w:id="142"/>
      <w:bookmarkEnd w:id="143"/>
    </w:p>
    <w:p w14:paraId="68DC029A">
      <w:pPr>
        <w:spacing w:line="360" w:lineRule="auto"/>
        <w:jc w:val="center"/>
        <w:rPr>
          <w:rFonts w:ascii="仿宋" w:hAnsi="仿宋" w:eastAsia="仿宋" w:cs="仿宋"/>
          <w:sz w:val="24"/>
          <w:szCs w:val="24"/>
        </w:rPr>
      </w:pPr>
      <w:r>
        <w:rPr>
          <w:rFonts w:hint="eastAsia" w:ascii="仿宋" w:hAnsi="仿宋" w:eastAsia="仿宋" w:cs="仿宋"/>
          <w:sz w:val="24"/>
          <w:szCs w:val="24"/>
        </w:rPr>
        <w:t>（监狱企业适用）</w:t>
      </w:r>
    </w:p>
    <w:p w14:paraId="12F2768F">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本公司郑重声明，根据《关于政府采购支持监狱企业发展有关问题的通知》（财库[2014]68号）的规定，本公司为监狱企业。</w:t>
      </w:r>
    </w:p>
    <w:p w14:paraId="5278343C">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本公司参加______单位的______项目采购活动，采购活动提供本企业（填写制造的货物，由本企业承担工程、提供服务）。</w:t>
      </w:r>
    </w:p>
    <w:p w14:paraId="48984645">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本条所称货物不包括使用大型企业注册商标的货物和服务。</w:t>
      </w:r>
    </w:p>
    <w:p w14:paraId="703FE7EE">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14:paraId="63F2A188">
      <w:pPr>
        <w:spacing w:line="360" w:lineRule="auto"/>
        <w:ind w:firstLine="4860" w:firstLineChars="2025"/>
        <w:rPr>
          <w:rFonts w:ascii="仿宋" w:hAnsi="仿宋" w:eastAsia="仿宋" w:cs="仿宋"/>
          <w:sz w:val="24"/>
          <w:szCs w:val="24"/>
        </w:rPr>
      </w:pPr>
    </w:p>
    <w:p w14:paraId="6933C3AD">
      <w:pPr>
        <w:spacing w:line="360" w:lineRule="auto"/>
        <w:ind w:firstLine="4320" w:firstLineChars="1800"/>
        <w:rPr>
          <w:rFonts w:ascii="仿宋" w:hAnsi="仿宋" w:eastAsia="仿宋" w:cs="仿宋"/>
          <w:sz w:val="24"/>
          <w:szCs w:val="24"/>
        </w:rPr>
      </w:pPr>
      <w:r>
        <w:rPr>
          <w:rFonts w:hint="eastAsia" w:ascii="仿宋" w:hAnsi="仿宋" w:eastAsia="仿宋" w:cs="仿宋"/>
          <w:sz w:val="24"/>
          <w:szCs w:val="24"/>
        </w:rPr>
        <w:t>企业名称（加盖公章）：</w:t>
      </w:r>
    </w:p>
    <w:p w14:paraId="2D64FB3A">
      <w:pPr>
        <w:spacing w:line="360" w:lineRule="auto"/>
        <w:jc w:val="right"/>
        <w:rPr>
          <w:rFonts w:ascii="仿宋" w:hAnsi="仿宋" w:eastAsia="仿宋" w:cs="仿宋"/>
          <w:sz w:val="24"/>
          <w:szCs w:val="24"/>
        </w:rPr>
      </w:pPr>
      <w:r>
        <w:rPr>
          <w:rFonts w:hint="eastAsia" w:ascii="仿宋" w:hAnsi="仿宋" w:eastAsia="仿宋" w:cs="仿宋"/>
          <w:sz w:val="24"/>
          <w:szCs w:val="24"/>
        </w:rPr>
        <w:t>法定代表人（负责人）或其授权代表（签字）：</w:t>
      </w:r>
    </w:p>
    <w:p w14:paraId="285B0651">
      <w:pPr>
        <w:tabs>
          <w:tab w:val="left" w:pos="2880"/>
        </w:tabs>
        <w:spacing w:line="460" w:lineRule="atLeast"/>
        <w:ind w:firstLine="4560" w:firstLineChars="1900"/>
        <w:rPr>
          <w:rFonts w:ascii="仿宋" w:hAnsi="仿宋" w:eastAsia="仿宋" w:cs="仿宋"/>
          <w:sz w:val="24"/>
          <w:szCs w:val="24"/>
        </w:rPr>
      </w:pPr>
      <w:r>
        <w:rPr>
          <w:rFonts w:hint="eastAsia" w:ascii="仿宋" w:hAnsi="仿宋" w:eastAsia="仿宋" w:cs="仿宋"/>
          <w:sz w:val="24"/>
          <w:szCs w:val="24"/>
        </w:rPr>
        <w:t>日期：</w:t>
      </w:r>
    </w:p>
    <w:p w14:paraId="02566F14">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注：后附监狱企业资格证明文件</w:t>
      </w:r>
    </w:p>
    <w:p w14:paraId="78161137">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1.省级以上监狱管理局、戒毒管理局（含新疆生产建设兵团）出具的属于监狱企业的证明文件；</w:t>
      </w:r>
    </w:p>
    <w:p w14:paraId="36F075E1">
      <w:pPr>
        <w:spacing w:line="440" w:lineRule="exact"/>
        <w:ind w:firstLine="720" w:firstLineChars="300"/>
        <w:rPr>
          <w:rFonts w:ascii="仿宋" w:hAnsi="仿宋" w:eastAsia="仿宋" w:cs="仿宋"/>
          <w:b/>
          <w:sz w:val="24"/>
          <w:szCs w:val="24"/>
        </w:rPr>
      </w:pPr>
      <w:r>
        <w:rPr>
          <w:rFonts w:hint="eastAsia" w:ascii="仿宋" w:hAnsi="仿宋" w:eastAsia="仿宋" w:cs="仿宋"/>
          <w:sz w:val="24"/>
          <w:szCs w:val="24"/>
        </w:rPr>
        <w:t>2.证明材料加盖供应商公章。</w:t>
      </w:r>
    </w:p>
    <w:p w14:paraId="1F91A124">
      <w:pPr>
        <w:spacing w:line="360" w:lineRule="auto"/>
        <w:rPr>
          <w:rFonts w:ascii="仿宋" w:hAnsi="仿宋" w:eastAsia="仿宋" w:cs="仿宋"/>
          <w:sz w:val="24"/>
          <w:szCs w:val="24"/>
        </w:rPr>
      </w:pPr>
      <w:r>
        <w:rPr>
          <w:rFonts w:hint="eastAsia" w:ascii="仿宋" w:hAnsi="仿宋" w:eastAsia="仿宋" w:cs="仿宋"/>
          <w:sz w:val="24"/>
          <w:szCs w:val="24"/>
        </w:rPr>
        <w:t xml:space="preserve">（若响应性文件中无上述证明文件，则在评审时不考虑对该监狱企业的相关优惠。） </w:t>
      </w:r>
    </w:p>
    <w:p w14:paraId="6F9B143D">
      <w:pPr>
        <w:tabs>
          <w:tab w:val="left" w:pos="3600"/>
        </w:tabs>
        <w:adjustRightInd w:val="0"/>
        <w:snapToGrid w:val="0"/>
        <w:spacing w:line="440" w:lineRule="exact"/>
        <w:jc w:val="center"/>
        <w:rPr>
          <w:rFonts w:ascii="仿宋" w:hAnsi="仿宋" w:eastAsia="仿宋" w:cs="仿宋"/>
        </w:rPr>
      </w:pPr>
    </w:p>
    <w:p w14:paraId="10210C0F">
      <w:pPr>
        <w:tabs>
          <w:tab w:val="left" w:pos="3777"/>
          <w:tab w:val="center" w:pos="4819"/>
        </w:tabs>
        <w:spacing w:line="360" w:lineRule="auto"/>
        <w:jc w:val="center"/>
        <w:rPr>
          <w:rFonts w:ascii="仿宋" w:hAnsi="仿宋" w:eastAsia="仿宋" w:cs="仿宋"/>
          <w:b/>
          <w:spacing w:val="6"/>
          <w:sz w:val="24"/>
        </w:rPr>
      </w:pPr>
      <w:bookmarkStart w:id="144" w:name="_Toc20936"/>
      <w:bookmarkStart w:id="145" w:name="_Toc12565"/>
      <w:bookmarkStart w:id="146" w:name="_Toc138177926"/>
      <w:bookmarkStart w:id="147" w:name="_Toc2606"/>
      <w:r>
        <w:rPr>
          <w:rFonts w:hint="eastAsia" w:ascii="仿宋" w:hAnsi="仿宋" w:eastAsia="仿宋" w:cs="仿宋"/>
          <w:b/>
          <w:spacing w:val="6"/>
          <w:sz w:val="24"/>
        </w:rPr>
        <w:t>残疾人福利性单位声明函</w:t>
      </w:r>
      <w:bookmarkEnd w:id="144"/>
      <w:bookmarkEnd w:id="145"/>
      <w:bookmarkEnd w:id="146"/>
      <w:bookmarkEnd w:id="147"/>
    </w:p>
    <w:p w14:paraId="411154BA">
      <w:pPr>
        <w:autoSpaceDE w:val="0"/>
        <w:autoSpaceDN w:val="0"/>
        <w:adjustRightInd w:val="0"/>
        <w:spacing w:line="440" w:lineRule="exact"/>
        <w:rPr>
          <w:rFonts w:ascii="仿宋" w:hAnsi="仿宋" w:eastAsia="仿宋" w:cs="仿宋"/>
          <w:b/>
          <w:bCs/>
          <w:spacing w:val="6"/>
        </w:rPr>
      </w:pPr>
    </w:p>
    <w:p w14:paraId="578BDB5F">
      <w:pPr>
        <w:adjustRightInd w:val="0"/>
        <w:snapToGrid w:val="0"/>
        <w:spacing w:line="44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0D464C">
      <w:pPr>
        <w:adjustRightInd w:val="0"/>
        <w:snapToGrid w:val="0"/>
        <w:spacing w:line="44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 xml:space="preserve">本单位对上述声明的真实性负责。如有虚假，将依法承担相应责任。 </w:t>
      </w:r>
    </w:p>
    <w:p w14:paraId="25508CF8">
      <w:pPr>
        <w:adjustRightInd w:val="0"/>
        <w:snapToGrid w:val="0"/>
        <w:spacing w:line="440" w:lineRule="exact"/>
        <w:ind w:firstLine="504" w:firstLineChars="200"/>
        <w:rPr>
          <w:rFonts w:ascii="仿宋" w:hAnsi="仿宋" w:eastAsia="仿宋" w:cs="仿宋"/>
          <w:spacing w:val="6"/>
          <w:sz w:val="24"/>
          <w:szCs w:val="28"/>
        </w:rPr>
      </w:pPr>
    </w:p>
    <w:p w14:paraId="717B8104">
      <w:pPr>
        <w:adjustRightInd w:val="0"/>
        <w:snapToGrid w:val="0"/>
        <w:spacing w:line="440" w:lineRule="exact"/>
        <w:ind w:firstLine="5544" w:firstLineChars="2200"/>
        <w:rPr>
          <w:rFonts w:ascii="仿宋" w:hAnsi="仿宋" w:eastAsia="仿宋" w:cs="仿宋"/>
          <w:spacing w:val="6"/>
          <w:sz w:val="24"/>
          <w:szCs w:val="28"/>
        </w:rPr>
      </w:pPr>
      <w:r>
        <w:rPr>
          <w:rFonts w:hint="eastAsia" w:ascii="仿宋" w:hAnsi="仿宋" w:eastAsia="仿宋" w:cs="仿宋"/>
          <w:spacing w:val="6"/>
          <w:sz w:val="24"/>
          <w:szCs w:val="28"/>
        </w:rPr>
        <w:t>单位名称（盖章）：</w:t>
      </w:r>
    </w:p>
    <w:p w14:paraId="35F25AB3">
      <w:pPr>
        <w:widowControl/>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pacing w:val="6"/>
          <w:sz w:val="24"/>
          <w:szCs w:val="28"/>
        </w:rPr>
        <w:t xml:space="preserve">                      日  期：</w:t>
      </w:r>
    </w:p>
    <w:p w14:paraId="4967395F">
      <w:pPr>
        <w:widowControl/>
        <w:spacing w:line="360" w:lineRule="auto"/>
        <w:jc w:val="left"/>
        <w:rPr>
          <w:rFonts w:ascii="仿宋" w:hAnsi="仿宋" w:eastAsia="仿宋" w:cs="仿宋"/>
          <w:b/>
          <w:sz w:val="24"/>
          <w:szCs w:val="24"/>
          <w:shd w:val="clear" w:color="auto" w:fill="FFFFFF" w:themeFill="background1"/>
        </w:rPr>
      </w:pPr>
    </w:p>
    <w:p w14:paraId="4E05D697">
      <w:pPr>
        <w:widowControl/>
        <w:spacing w:line="360" w:lineRule="auto"/>
        <w:jc w:val="left"/>
        <w:rPr>
          <w:rFonts w:ascii="仿宋" w:hAnsi="仿宋" w:eastAsia="仿宋" w:cs="仿宋"/>
          <w:b/>
          <w:sz w:val="24"/>
          <w:szCs w:val="24"/>
          <w:shd w:val="clear" w:color="auto" w:fill="FFFFFF" w:themeFill="background1"/>
        </w:rPr>
      </w:pPr>
    </w:p>
    <w:p w14:paraId="1F5EA74F">
      <w:pPr>
        <w:tabs>
          <w:tab w:val="center" w:pos="4832"/>
          <w:tab w:val="left" w:pos="7140"/>
        </w:tabs>
        <w:spacing w:line="360" w:lineRule="auto"/>
        <w:jc w:val="center"/>
        <w:outlineLvl w:val="1"/>
        <w:rPr>
          <w:rFonts w:ascii="仿宋" w:hAnsi="仿宋" w:eastAsia="仿宋" w:cs="仿宋"/>
          <w:b/>
          <w:bCs/>
          <w:sz w:val="24"/>
          <w:szCs w:val="24"/>
          <w:shd w:val="clear" w:color="auto" w:fill="FFFFFF" w:themeFill="background1"/>
        </w:rPr>
      </w:pPr>
      <w:bookmarkStart w:id="148" w:name="_Toc25643"/>
      <w:bookmarkStart w:id="149" w:name="_Toc507586174"/>
      <w:bookmarkStart w:id="150" w:name="_Toc533503190"/>
      <w:bookmarkStart w:id="151" w:name="_Toc38446479"/>
      <w:bookmarkStart w:id="152" w:name="_Toc9955"/>
      <w:r>
        <w:rPr>
          <w:rFonts w:hint="eastAsia" w:ascii="仿宋" w:hAnsi="仿宋" w:eastAsia="仿宋" w:cs="仿宋"/>
          <w:b/>
          <w:sz w:val="24"/>
          <w:szCs w:val="24"/>
          <w:shd w:val="clear" w:color="auto" w:fill="FFFFFF" w:themeFill="background1"/>
        </w:rPr>
        <w:t>九、</w:t>
      </w:r>
      <w:bookmarkEnd w:id="148"/>
      <w:bookmarkEnd w:id="149"/>
      <w:bookmarkEnd w:id="150"/>
      <w:bookmarkEnd w:id="151"/>
      <w:r>
        <w:rPr>
          <w:rFonts w:hint="eastAsia" w:ascii="仿宋" w:hAnsi="仿宋" w:eastAsia="仿宋" w:cs="仿宋"/>
          <w:b/>
          <w:bCs/>
          <w:sz w:val="24"/>
          <w:szCs w:val="24"/>
          <w:shd w:val="clear" w:color="auto" w:fill="FFFFFF" w:themeFill="background1"/>
        </w:rPr>
        <w:t>投标人近三年类似项目业绩表</w:t>
      </w:r>
      <w:bookmarkEnd w:id="152"/>
    </w:p>
    <w:p w14:paraId="7F8B6F58">
      <w:pPr>
        <w:spacing w:line="360" w:lineRule="auto"/>
        <w:jc w:val="left"/>
        <w:rPr>
          <w:rFonts w:ascii="仿宋" w:hAnsi="仿宋" w:eastAsia="仿宋" w:cs="仿宋"/>
          <w:sz w:val="24"/>
          <w:szCs w:val="24"/>
          <w:shd w:val="clear" w:color="auto" w:fill="FFFFFF" w:themeFill="background1"/>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535E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DEC200">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004244E">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2B400DC">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9BAC297">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采购人</w:t>
            </w:r>
          </w:p>
          <w:p w14:paraId="6A618E6A">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1D990C49">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216731E5">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1B8219C1">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BE829F4">
            <w:pPr>
              <w:jc w:val="center"/>
              <w:rPr>
                <w:rFonts w:ascii="仿宋" w:hAnsi="仿宋" w:eastAsia="仿宋" w:cs="仿宋"/>
                <w:kern w:val="0"/>
                <w:sz w:val="24"/>
                <w:szCs w:val="24"/>
                <w:shd w:val="clear" w:color="auto" w:fill="FFFFFF" w:themeFill="background1"/>
              </w:rPr>
            </w:pPr>
            <w:r>
              <w:rPr>
                <w:rFonts w:hint="eastAsia" w:ascii="仿宋" w:hAnsi="仿宋" w:eastAsia="仿宋" w:cs="仿宋"/>
                <w:kern w:val="0"/>
                <w:sz w:val="24"/>
                <w:szCs w:val="24"/>
                <w:shd w:val="clear" w:color="auto" w:fill="FFFFFF" w:themeFill="background1"/>
              </w:rPr>
              <w:t>备注</w:t>
            </w:r>
          </w:p>
        </w:tc>
      </w:tr>
      <w:tr w14:paraId="6F48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C2A873">
            <w:pPr>
              <w:jc w:val="center"/>
              <w:rPr>
                <w:rFonts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234CB06">
            <w:pPr>
              <w:jc w:val="center"/>
              <w:rPr>
                <w:rFonts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A018BAD">
            <w:pPr>
              <w:jc w:val="center"/>
              <w:rPr>
                <w:rFonts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662530E">
            <w:pPr>
              <w:jc w:val="center"/>
              <w:rPr>
                <w:rFonts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F6ED8F6">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FE9873A">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543ED9A">
            <w:pPr>
              <w:jc w:val="center"/>
              <w:rPr>
                <w:rFonts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5682159">
            <w:pPr>
              <w:jc w:val="center"/>
              <w:rPr>
                <w:rFonts w:ascii="仿宋" w:hAnsi="仿宋" w:eastAsia="仿宋" w:cs="仿宋"/>
                <w:kern w:val="0"/>
                <w:sz w:val="24"/>
                <w:szCs w:val="24"/>
                <w:shd w:val="clear" w:color="auto" w:fill="FFFFFF" w:themeFill="background1"/>
              </w:rPr>
            </w:pPr>
          </w:p>
        </w:tc>
      </w:tr>
      <w:tr w14:paraId="2642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D173116">
            <w:pPr>
              <w:jc w:val="center"/>
              <w:rPr>
                <w:rFonts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56CCBC3">
            <w:pPr>
              <w:jc w:val="center"/>
              <w:rPr>
                <w:rFonts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B537D4">
            <w:pPr>
              <w:jc w:val="center"/>
              <w:rPr>
                <w:rFonts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D268B29">
            <w:pPr>
              <w:jc w:val="center"/>
              <w:rPr>
                <w:rFonts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BD6B811">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49B192C">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DDF8915">
            <w:pPr>
              <w:jc w:val="center"/>
              <w:rPr>
                <w:rFonts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E320D2">
            <w:pPr>
              <w:jc w:val="center"/>
              <w:rPr>
                <w:rFonts w:ascii="仿宋" w:hAnsi="仿宋" w:eastAsia="仿宋" w:cs="仿宋"/>
                <w:kern w:val="0"/>
                <w:sz w:val="24"/>
                <w:szCs w:val="24"/>
                <w:shd w:val="clear" w:color="auto" w:fill="FFFFFF" w:themeFill="background1"/>
              </w:rPr>
            </w:pPr>
          </w:p>
        </w:tc>
      </w:tr>
      <w:tr w14:paraId="56B6F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C948A70">
            <w:pPr>
              <w:jc w:val="center"/>
              <w:rPr>
                <w:rFonts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92D90AD">
            <w:pPr>
              <w:jc w:val="center"/>
              <w:rPr>
                <w:rFonts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0EDD0C">
            <w:pPr>
              <w:jc w:val="center"/>
              <w:rPr>
                <w:rFonts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987D5F8">
            <w:pPr>
              <w:jc w:val="center"/>
              <w:rPr>
                <w:rFonts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4DF8230">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E1C784">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868496A">
            <w:pPr>
              <w:jc w:val="center"/>
              <w:rPr>
                <w:rFonts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FCBF5FF">
            <w:pPr>
              <w:jc w:val="center"/>
              <w:rPr>
                <w:rFonts w:ascii="仿宋" w:hAnsi="仿宋" w:eastAsia="仿宋" w:cs="仿宋"/>
                <w:kern w:val="0"/>
                <w:sz w:val="24"/>
                <w:szCs w:val="24"/>
                <w:shd w:val="clear" w:color="auto" w:fill="FFFFFF" w:themeFill="background1"/>
              </w:rPr>
            </w:pPr>
          </w:p>
        </w:tc>
      </w:tr>
      <w:tr w14:paraId="62E0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8016E75">
            <w:pPr>
              <w:jc w:val="center"/>
              <w:rPr>
                <w:rFonts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0DBA310">
            <w:pPr>
              <w:jc w:val="center"/>
              <w:rPr>
                <w:rFonts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86C632">
            <w:pPr>
              <w:jc w:val="center"/>
              <w:rPr>
                <w:rFonts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2C2ACA6">
            <w:pPr>
              <w:jc w:val="center"/>
              <w:rPr>
                <w:rFonts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552998A">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FCFE4AC">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7EE4C21">
            <w:pPr>
              <w:jc w:val="center"/>
              <w:rPr>
                <w:rFonts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8BA090">
            <w:pPr>
              <w:jc w:val="center"/>
              <w:rPr>
                <w:rFonts w:ascii="仿宋" w:hAnsi="仿宋" w:eastAsia="仿宋" w:cs="仿宋"/>
                <w:kern w:val="0"/>
                <w:sz w:val="24"/>
                <w:szCs w:val="24"/>
                <w:shd w:val="clear" w:color="auto" w:fill="FFFFFF" w:themeFill="background1"/>
              </w:rPr>
            </w:pPr>
          </w:p>
        </w:tc>
      </w:tr>
      <w:tr w14:paraId="677F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75315C2">
            <w:pPr>
              <w:jc w:val="center"/>
              <w:rPr>
                <w:rFonts w:ascii="仿宋" w:hAnsi="仿宋" w:eastAsia="仿宋" w:cs="仿宋"/>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3313FCD">
            <w:pPr>
              <w:jc w:val="center"/>
              <w:rPr>
                <w:rFonts w:ascii="仿宋" w:hAnsi="仿宋" w:eastAsia="仿宋" w:cs="仿宋"/>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4C5E0B">
            <w:pPr>
              <w:jc w:val="center"/>
              <w:rPr>
                <w:rFonts w:ascii="仿宋" w:hAnsi="仿宋" w:eastAsia="仿宋" w:cs="仿宋"/>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6E861D6">
            <w:pPr>
              <w:jc w:val="center"/>
              <w:rPr>
                <w:rFonts w:ascii="仿宋" w:hAnsi="仿宋" w:eastAsia="仿宋" w:cs="仿宋"/>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8763E42">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B79E28">
            <w:pPr>
              <w:jc w:val="center"/>
              <w:rPr>
                <w:rFonts w:ascii="仿宋" w:hAnsi="仿宋" w:eastAsia="仿宋" w:cs="仿宋"/>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41CAB3">
            <w:pPr>
              <w:jc w:val="center"/>
              <w:rPr>
                <w:rFonts w:ascii="仿宋" w:hAnsi="仿宋" w:eastAsia="仿宋" w:cs="仿宋"/>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344D110">
            <w:pPr>
              <w:jc w:val="center"/>
              <w:rPr>
                <w:rFonts w:ascii="仿宋" w:hAnsi="仿宋" w:eastAsia="仿宋" w:cs="仿宋"/>
                <w:kern w:val="0"/>
                <w:sz w:val="24"/>
                <w:szCs w:val="24"/>
                <w:shd w:val="clear" w:color="auto" w:fill="FFFFFF" w:themeFill="background1"/>
              </w:rPr>
            </w:pPr>
          </w:p>
        </w:tc>
      </w:tr>
    </w:tbl>
    <w:p w14:paraId="00C47E1F">
      <w:pPr>
        <w:spacing w:line="360" w:lineRule="auto"/>
        <w:jc w:val="left"/>
        <w:rPr>
          <w:rFonts w:ascii="仿宋" w:hAnsi="仿宋" w:eastAsia="仿宋" w:cs="仿宋"/>
          <w:sz w:val="24"/>
          <w:szCs w:val="24"/>
          <w:shd w:val="clear" w:color="auto" w:fill="FFFFFF" w:themeFill="background1"/>
        </w:rPr>
      </w:pPr>
    </w:p>
    <w:p w14:paraId="20B0E30A">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备注：本表后须附业绩的证明资料：</w:t>
      </w:r>
      <w:r>
        <w:rPr>
          <w:rFonts w:hint="eastAsia" w:ascii="仿宋" w:hAnsi="仿宋" w:eastAsia="仿宋" w:cs="仿宋"/>
          <w:sz w:val="24"/>
          <w:szCs w:val="24"/>
          <w:u w:val="single"/>
          <w:shd w:val="clear" w:color="auto" w:fill="FFFFFF" w:themeFill="background1"/>
        </w:rPr>
        <w:t>需提供招标文件要求的有关书面证明材料。</w:t>
      </w:r>
    </w:p>
    <w:p w14:paraId="7CFC2618">
      <w:pPr>
        <w:spacing w:line="360" w:lineRule="auto"/>
        <w:ind w:firstLine="480" w:firstLineChars="200"/>
        <w:rPr>
          <w:rFonts w:ascii="仿宋" w:hAnsi="仿宋" w:eastAsia="仿宋" w:cs="仿宋"/>
          <w:sz w:val="24"/>
          <w:szCs w:val="24"/>
          <w:u w:val="single"/>
          <w:shd w:val="clear" w:color="auto" w:fill="FFFFFF" w:themeFill="background1"/>
        </w:rPr>
      </w:pPr>
    </w:p>
    <w:p w14:paraId="388C2983">
      <w:pPr>
        <w:spacing w:line="360" w:lineRule="auto"/>
        <w:ind w:firstLine="480" w:firstLineChars="200"/>
        <w:rPr>
          <w:rFonts w:ascii="仿宋" w:hAnsi="仿宋" w:eastAsia="仿宋" w:cs="仿宋"/>
          <w:sz w:val="24"/>
          <w:szCs w:val="24"/>
          <w:u w:val="single"/>
          <w:shd w:val="clear" w:color="auto" w:fill="FFFFFF" w:themeFill="background1"/>
        </w:rPr>
      </w:pPr>
    </w:p>
    <w:p w14:paraId="643CA9A1">
      <w:pPr>
        <w:widowControl/>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br w:type="page"/>
      </w:r>
    </w:p>
    <w:p w14:paraId="5125B6CD">
      <w:pPr>
        <w:tabs>
          <w:tab w:val="center" w:pos="4832"/>
          <w:tab w:val="left" w:pos="7140"/>
        </w:tabs>
        <w:spacing w:line="360" w:lineRule="auto"/>
        <w:jc w:val="center"/>
        <w:outlineLvl w:val="1"/>
        <w:rPr>
          <w:rFonts w:ascii="仿宋" w:hAnsi="仿宋" w:eastAsia="仿宋" w:cs="仿宋"/>
          <w:b/>
          <w:bCs/>
          <w:sz w:val="24"/>
          <w:szCs w:val="24"/>
          <w:shd w:val="clear" w:color="auto" w:fill="FFFFFF" w:themeFill="background1"/>
        </w:rPr>
      </w:pPr>
      <w:bookmarkStart w:id="153" w:name="_Toc20381"/>
      <w:bookmarkStart w:id="154" w:name="_Toc533503191"/>
      <w:bookmarkStart w:id="155" w:name="_Toc15333"/>
      <w:bookmarkStart w:id="156" w:name="_Toc507586175"/>
      <w:bookmarkStart w:id="157" w:name="_Toc38446480"/>
      <w:r>
        <w:rPr>
          <w:rFonts w:hint="eastAsia" w:ascii="仿宋" w:hAnsi="仿宋" w:eastAsia="仿宋" w:cs="仿宋"/>
          <w:b/>
          <w:sz w:val="24"/>
          <w:szCs w:val="24"/>
          <w:shd w:val="clear" w:color="auto" w:fill="FFFFFF" w:themeFill="background1"/>
        </w:rPr>
        <w:t>十、</w:t>
      </w:r>
      <w:r>
        <w:rPr>
          <w:rFonts w:hint="eastAsia" w:ascii="仿宋" w:hAnsi="仿宋" w:eastAsia="仿宋" w:cs="仿宋"/>
          <w:b/>
          <w:bCs/>
          <w:sz w:val="24"/>
          <w:szCs w:val="24"/>
          <w:shd w:val="clear" w:color="auto" w:fill="FFFFFF" w:themeFill="background1"/>
        </w:rPr>
        <w:t>项目负责人简历表</w:t>
      </w:r>
      <w:bookmarkEnd w:id="153"/>
      <w:bookmarkEnd w:id="154"/>
      <w:bookmarkEnd w:id="155"/>
      <w:bookmarkEnd w:id="156"/>
      <w:bookmarkEnd w:id="157"/>
    </w:p>
    <w:p w14:paraId="3F0BA747">
      <w:pPr>
        <w:spacing w:line="360" w:lineRule="auto"/>
        <w:jc w:val="left"/>
        <w:rPr>
          <w:rFonts w:ascii="仿宋" w:hAnsi="仿宋" w:eastAsia="仿宋" w:cs="仿宋"/>
          <w:sz w:val="24"/>
          <w:szCs w:val="24"/>
          <w:shd w:val="clear" w:color="auto" w:fill="FFFFFF" w:themeFill="background1"/>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1D93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08EBA0D">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姓名</w:t>
            </w:r>
          </w:p>
        </w:tc>
        <w:tc>
          <w:tcPr>
            <w:tcW w:w="2602" w:type="dxa"/>
            <w:gridSpan w:val="2"/>
            <w:vAlign w:val="center"/>
          </w:tcPr>
          <w:p w14:paraId="6A4B38B5">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784205EC">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性别</w:t>
            </w:r>
          </w:p>
        </w:tc>
        <w:tc>
          <w:tcPr>
            <w:tcW w:w="2639" w:type="dxa"/>
            <w:gridSpan w:val="2"/>
            <w:vAlign w:val="center"/>
          </w:tcPr>
          <w:p w14:paraId="031F7EF6">
            <w:pPr>
              <w:spacing w:line="360" w:lineRule="auto"/>
              <w:jc w:val="center"/>
              <w:rPr>
                <w:rFonts w:ascii="仿宋" w:hAnsi="仿宋" w:eastAsia="仿宋" w:cs="仿宋"/>
                <w:sz w:val="24"/>
                <w:szCs w:val="24"/>
                <w:shd w:val="clear" w:color="auto" w:fill="FFFFFF" w:themeFill="background1"/>
              </w:rPr>
            </w:pPr>
          </w:p>
        </w:tc>
      </w:tr>
      <w:tr w14:paraId="0FD7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636B46B">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身份证号码</w:t>
            </w:r>
          </w:p>
        </w:tc>
        <w:tc>
          <w:tcPr>
            <w:tcW w:w="2602" w:type="dxa"/>
            <w:gridSpan w:val="2"/>
            <w:vAlign w:val="center"/>
          </w:tcPr>
          <w:p w14:paraId="7B3A5F29">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3CB166F6">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学历</w:t>
            </w:r>
          </w:p>
        </w:tc>
        <w:tc>
          <w:tcPr>
            <w:tcW w:w="2639" w:type="dxa"/>
            <w:gridSpan w:val="2"/>
            <w:vAlign w:val="center"/>
          </w:tcPr>
          <w:p w14:paraId="1C5611C8">
            <w:pPr>
              <w:spacing w:line="360" w:lineRule="auto"/>
              <w:jc w:val="center"/>
              <w:rPr>
                <w:rFonts w:ascii="仿宋" w:hAnsi="仿宋" w:eastAsia="仿宋" w:cs="仿宋"/>
                <w:sz w:val="24"/>
                <w:szCs w:val="24"/>
                <w:shd w:val="clear" w:color="auto" w:fill="FFFFFF" w:themeFill="background1"/>
              </w:rPr>
            </w:pPr>
          </w:p>
        </w:tc>
      </w:tr>
      <w:tr w14:paraId="210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A3DB441">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毕业学校</w:t>
            </w:r>
          </w:p>
        </w:tc>
        <w:tc>
          <w:tcPr>
            <w:tcW w:w="2602" w:type="dxa"/>
            <w:gridSpan w:val="2"/>
            <w:vAlign w:val="center"/>
          </w:tcPr>
          <w:p w14:paraId="727FFCC8">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27DBD414">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专业</w:t>
            </w:r>
          </w:p>
        </w:tc>
        <w:tc>
          <w:tcPr>
            <w:tcW w:w="2639" w:type="dxa"/>
            <w:gridSpan w:val="2"/>
            <w:vAlign w:val="center"/>
          </w:tcPr>
          <w:p w14:paraId="1588A199">
            <w:pPr>
              <w:spacing w:line="360" w:lineRule="auto"/>
              <w:jc w:val="center"/>
              <w:rPr>
                <w:rFonts w:ascii="仿宋" w:hAnsi="仿宋" w:eastAsia="仿宋" w:cs="仿宋"/>
                <w:sz w:val="24"/>
                <w:szCs w:val="24"/>
                <w:shd w:val="clear" w:color="auto" w:fill="FFFFFF" w:themeFill="background1"/>
              </w:rPr>
            </w:pPr>
          </w:p>
        </w:tc>
      </w:tr>
      <w:tr w14:paraId="64CB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BCC1BE">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参加工作时间</w:t>
            </w:r>
          </w:p>
        </w:tc>
        <w:tc>
          <w:tcPr>
            <w:tcW w:w="2602" w:type="dxa"/>
            <w:gridSpan w:val="2"/>
            <w:vAlign w:val="center"/>
          </w:tcPr>
          <w:p w14:paraId="7ED283AE">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3533B025">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从事本职业年限</w:t>
            </w:r>
          </w:p>
        </w:tc>
        <w:tc>
          <w:tcPr>
            <w:tcW w:w="2639" w:type="dxa"/>
            <w:gridSpan w:val="2"/>
            <w:vAlign w:val="center"/>
          </w:tcPr>
          <w:p w14:paraId="33E4EC0A">
            <w:pPr>
              <w:spacing w:line="360" w:lineRule="auto"/>
              <w:jc w:val="center"/>
              <w:rPr>
                <w:rFonts w:ascii="仿宋" w:hAnsi="仿宋" w:eastAsia="仿宋" w:cs="仿宋"/>
                <w:sz w:val="24"/>
                <w:szCs w:val="24"/>
                <w:shd w:val="clear" w:color="auto" w:fill="FFFFFF" w:themeFill="background1"/>
              </w:rPr>
            </w:pPr>
          </w:p>
        </w:tc>
      </w:tr>
      <w:tr w14:paraId="600B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F618AF5">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在公司担任职务</w:t>
            </w:r>
          </w:p>
        </w:tc>
        <w:tc>
          <w:tcPr>
            <w:tcW w:w="2602" w:type="dxa"/>
            <w:gridSpan w:val="2"/>
            <w:vAlign w:val="center"/>
          </w:tcPr>
          <w:p w14:paraId="4F088E27">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00BA1D48">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联系方式</w:t>
            </w:r>
          </w:p>
        </w:tc>
        <w:tc>
          <w:tcPr>
            <w:tcW w:w="2639" w:type="dxa"/>
            <w:gridSpan w:val="2"/>
            <w:vAlign w:val="center"/>
          </w:tcPr>
          <w:p w14:paraId="7058D588">
            <w:pPr>
              <w:spacing w:line="360" w:lineRule="auto"/>
              <w:jc w:val="center"/>
              <w:rPr>
                <w:rFonts w:ascii="仿宋" w:hAnsi="仿宋" w:eastAsia="仿宋" w:cs="仿宋"/>
                <w:sz w:val="24"/>
                <w:szCs w:val="24"/>
                <w:shd w:val="clear" w:color="auto" w:fill="FFFFFF" w:themeFill="background1"/>
              </w:rPr>
            </w:pPr>
          </w:p>
        </w:tc>
      </w:tr>
      <w:tr w14:paraId="6E98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55CECF2">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证书名称</w:t>
            </w:r>
          </w:p>
        </w:tc>
        <w:tc>
          <w:tcPr>
            <w:tcW w:w="2602" w:type="dxa"/>
            <w:gridSpan w:val="2"/>
            <w:vAlign w:val="center"/>
          </w:tcPr>
          <w:p w14:paraId="50A9EC6D">
            <w:pPr>
              <w:spacing w:line="360" w:lineRule="auto"/>
              <w:jc w:val="center"/>
              <w:rPr>
                <w:rFonts w:ascii="仿宋" w:hAnsi="仿宋" w:eastAsia="仿宋" w:cs="仿宋"/>
                <w:sz w:val="24"/>
                <w:szCs w:val="24"/>
                <w:shd w:val="clear" w:color="auto" w:fill="FFFFFF" w:themeFill="background1"/>
              </w:rPr>
            </w:pPr>
          </w:p>
        </w:tc>
        <w:tc>
          <w:tcPr>
            <w:tcW w:w="1935" w:type="dxa"/>
            <w:gridSpan w:val="2"/>
            <w:vAlign w:val="center"/>
          </w:tcPr>
          <w:p w14:paraId="2FDDB3A2">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证书编号</w:t>
            </w:r>
          </w:p>
        </w:tc>
        <w:tc>
          <w:tcPr>
            <w:tcW w:w="2639" w:type="dxa"/>
            <w:gridSpan w:val="2"/>
            <w:vAlign w:val="center"/>
          </w:tcPr>
          <w:p w14:paraId="227756E4">
            <w:pPr>
              <w:spacing w:line="360" w:lineRule="auto"/>
              <w:jc w:val="center"/>
              <w:rPr>
                <w:rFonts w:ascii="仿宋" w:hAnsi="仿宋" w:eastAsia="仿宋" w:cs="仿宋"/>
                <w:sz w:val="24"/>
                <w:szCs w:val="24"/>
                <w:shd w:val="clear" w:color="auto" w:fill="FFFFFF" w:themeFill="background1"/>
              </w:rPr>
            </w:pPr>
          </w:p>
        </w:tc>
      </w:tr>
      <w:tr w14:paraId="38E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50C69B69">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近三年类似业绩</w:t>
            </w:r>
          </w:p>
        </w:tc>
        <w:tc>
          <w:tcPr>
            <w:tcW w:w="1372" w:type="dxa"/>
            <w:vAlign w:val="center"/>
          </w:tcPr>
          <w:p w14:paraId="3DCA0A30">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项目名称</w:t>
            </w:r>
          </w:p>
        </w:tc>
        <w:tc>
          <w:tcPr>
            <w:tcW w:w="1463" w:type="dxa"/>
            <w:gridSpan w:val="2"/>
            <w:vAlign w:val="center"/>
          </w:tcPr>
          <w:p w14:paraId="457FEB92">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采购人</w:t>
            </w:r>
          </w:p>
        </w:tc>
        <w:tc>
          <w:tcPr>
            <w:tcW w:w="1702" w:type="dxa"/>
            <w:vAlign w:val="center"/>
          </w:tcPr>
          <w:p w14:paraId="56EAA8AE">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合同内容</w:t>
            </w:r>
          </w:p>
        </w:tc>
        <w:tc>
          <w:tcPr>
            <w:tcW w:w="1275" w:type="dxa"/>
            <w:vAlign w:val="center"/>
          </w:tcPr>
          <w:p w14:paraId="67DB1628">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合同价格</w:t>
            </w:r>
          </w:p>
        </w:tc>
        <w:tc>
          <w:tcPr>
            <w:tcW w:w="1364" w:type="dxa"/>
            <w:vAlign w:val="center"/>
          </w:tcPr>
          <w:p w14:paraId="2B36AD0C">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签约日期</w:t>
            </w:r>
          </w:p>
        </w:tc>
      </w:tr>
      <w:tr w14:paraId="571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E9A8024">
            <w:pPr>
              <w:spacing w:line="360" w:lineRule="auto"/>
              <w:jc w:val="center"/>
              <w:rPr>
                <w:rFonts w:ascii="仿宋" w:hAnsi="仿宋" w:eastAsia="仿宋" w:cs="仿宋"/>
                <w:sz w:val="24"/>
                <w:szCs w:val="24"/>
                <w:shd w:val="clear" w:color="auto" w:fill="FFFFFF" w:themeFill="background1"/>
              </w:rPr>
            </w:pPr>
          </w:p>
        </w:tc>
        <w:tc>
          <w:tcPr>
            <w:tcW w:w="1372" w:type="dxa"/>
            <w:vAlign w:val="center"/>
          </w:tcPr>
          <w:p w14:paraId="6C69F02B">
            <w:pPr>
              <w:spacing w:line="360" w:lineRule="auto"/>
              <w:jc w:val="center"/>
              <w:rPr>
                <w:rFonts w:ascii="仿宋" w:hAnsi="仿宋" w:eastAsia="仿宋" w:cs="仿宋"/>
                <w:sz w:val="24"/>
                <w:szCs w:val="24"/>
                <w:shd w:val="clear" w:color="auto" w:fill="FFFFFF" w:themeFill="background1"/>
              </w:rPr>
            </w:pPr>
          </w:p>
        </w:tc>
        <w:tc>
          <w:tcPr>
            <w:tcW w:w="1463" w:type="dxa"/>
            <w:gridSpan w:val="2"/>
            <w:vAlign w:val="center"/>
          </w:tcPr>
          <w:p w14:paraId="5EF3603B">
            <w:pPr>
              <w:spacing w:line="360" w:lineRule="auto"/>
              <w:jc w:val="center"/>
              <w:rPr>
                <w:rFonts w:ascii="仿宋" w:hAnsi="仿宋" w:eastAsia="仿宋" w:cs="仿宋"/>
                <w:sz w:val="24"/>
                <w:szCs w:val="24"/>
                <w:shd w:val="clear" w:color="auto" w:fill="FFFFFF" w:themeFill="background1"/>
              </w:rPr>
            </w:pPr>
          </w:p>
        </w:tc>
        <w:tc>
          <w:tcPr>
            <w:tcW w:w="1702" w:type="dxa"/>
            <w:vAlign w:val="center"/>
          </w:tcPr>
          <w:p w14:paraId="5FCAA983">
            <w:pPr>
              <w:spacing w:line="360" w:lineRule="auto"/>
              <w:jc w:val="center"/>
              <w:rPr>
                <w:rFonts w:ascii="仿宋" w:hAnsi="仿宋" w:eastAsia="仿宋" w:cs="仿宋"/>
                <w:sz w:val="24"/>
                <w:szCs w:val="24"/>
                <w:shd w:val="clear" w:color="auto" w:fill="FFFFFF" w:themeFill="background1"/>
              </w:rPr>
            </w:pPr>
          </w:p>
        </w:tc>
        <w:tc>
          <w:tcPr>
            <w:tcW w:w="1275" w:type="dxa"/>
            <w:vAlign w:val="center"/>
          </w:tcPr>
          <w:p w14:paraId="55A4A25D">
            <w:pPr>
              <w:spacing w:line="360" w:lineRule="auto"/>
              <w:jc w:val="center"/>
              <w:rPr>
                <w:rFonts w:ascii="仿宋" w:hAnsi="仿宋" w:eastAsia="仿宋" w:cs="仿宋"/>
                <w:sz w:val="24"/>
                <w:szCs w:val="24"/>
                <w:shd w:val="clear" w:color="auto" w:fill="FFFFFF" w:themeFill="background1"/>
              </w:rPr>
            </w:pPr>
          </w:p>
        </w:tc>
        <w:tc>
          <w:tcPr>
            <w:tcW w:w="1364" w:type="dxa"/>
            <w:vAlign w:val="center"/>
          </w:tcPr>
          <w:p w14:paraId="316EE018">
            <w:pPr>
              <w:spacing w:line="360" w:lineRule="auto"/>
              <w:jc w:val="center"/>
              <w:rPr>
                <w:rFonts w:ascii="仿宋" w:hAnsi="仿宋" w:eastAsia="仿宋" w:cs="仿宋"/>
                <w:sz w:val="24"/>
                <w:szCs w:val="24"/>
                <w:shd w:val="clear" w:color="auto" w:fill="FFFFFF" w:themeFill="background1"/>
              </w:rPr>
            </w:pPr>
          </w:p>
        </w:tc>
      </w:tr>
      <w:tr w14:paraId="195A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F942A9A">
            <w:pPr>
              <w:spacing w:line="360" w:lineRule="auto"/>
              <w:jc w:val="center"/>
              <w:rPr>
                <w:rFonts w:ascii="仿宋" w:hAnsi="仿宋" w:eastAsia="仿宋" w:cs="仿宋"/>
                <w:sz w:val="24"/>
                <w:szCs w:val="24"/>
                <w:shd w:val="clear" w:color="auto" w:fill="FFFFFF" w:themeFill="background1"/>
              </w:rPr>
            </w:pPr>
          </w:p>
        </w:tc>
        <w:tc>
          <w:tcPr>
            <w:tcW w:w="1372" w:type="dxa"/>
            <w:vAlign w:val="center"/>
          </w:tcPr>
          <w:p w14:paraId="6D467FD8">
            <w:pPr>
              <w:spacing w:line="360" w:lineRule="auto"/>
              <w:jc w:val="center"/>
              <w:rPr>
                <w:rFonts w:ascii="仿宋" w:hAnsi="仿宋" w:eastAsia="仿宋" w:cs="仿宋"/>
                <w:sz w:val="24"/>
                <w:szCs w:val="24"/>
                <w:shd w:val="clear" w:color="auto" w:fill="FFFFFF" w:themeFill="background1"/>
              </w:rPr>
            </w:pPr>
          </w:p>
        </w:tc>
        <w:tc>
          <w:tcPr>
            <w:tcW w:w="1463" w:type="dxa"/>
            <w:gridSpan w:val="2"/>
            <w:vAlign w:val="center"/>
          </w:tcPr>
          <w:p w14:paraId="3B42B161">
            <w:pPr>
              <w:spacing w:line="360" w:lineRule="auto"/>
              <w:jc w:val="center"/>
              <w:rPr>
                <w:rFonts w:ascii="仿宋" w:hAnsi="仿宋" w:eastAsia="仿宋" w:cs="仿宋"/>
                <w:sz w:val="24"/>
                <w:szCs w:val="24"/>
                <w:shd w:val="clear" w:color="auto" w:fill="FFFFFF" w:themeFill="background1"/>
              </w:rPr>
            </w:pPr>
          </w:p>
        </w:tc>
        <w:tc>
          <w:tcPr>
            <w:tcW w:w="1702" w:type="dxa"/>
            <w:vAlign w:val="center"/>
          </w:tcPr>
          <w:p w14:paraId="0860941D">
            <w:pPr>
              <w:spacing w:line="360" w:lineRule="auto"/>
              <w:jc w:val="center"/>
              <w:rPr>
                <w:rFonts w:ascii="仿宋" w:hAnsi="仿宋" w:eastAsia="仿宋" w:cs="仿宋"/>
                <w:sz w:val="24"/>
                <w:szCs w:val="24"/>
                <w:shd w:val="clear" w:color="auto" w:fill="FFFFFF" w:themeFill="background1"/>
              </w:rPr>
            </w:pPr>
          </w:p>
        </w:tc>
        <w:tc>
          <w:tcPr>
            <w:tcW w:w="1275" w:type="dxa"/>
            <w:vAlign w:val="center"/>
          </w:tcPr>
          <w:p w14:paraId="2A3829D0">
            <w:pPr>
              <w:spacing w:line="360" w:lineRule="auto"/>
              <w:jc w:val="center"/>
              <w:rPr>
                <w:rFonts w:ascii="仿宋" w:hAnsi="仿宋" w:eastAsia="仿宋" w:cs="仿宋"/>
                <w:sz w:val="24"/>
                <w:szCs w:val="24"/>
                <w:shd w:val="clear" w:color="auto" w:fill="FFFFFF" w:themeFill="background1"/>
              </w:rPr>
            </w:pPr>
          </w:p>
        </w:tc>
        <w:tc>
          <w:tcPr>
            <w:tcW w:w="1364" w:type="dxa"/>
            <w:vAlign w:val="center"/>
          </w:tcPr>
          <w:p w14:paraId="061991DC">
            <w:pPr>
              <w:spacing w:line="360" w:lineRule="auto"/>
              <w:jc w:val="center"/>
              <w:rPr>
                <w:rFonts w:ascii="仿宋" w:hAnsi="仿宋" w:eastAsia="仿宋" w:cs="仿宋"/>
                <w:sz w:val="24"/>
                <w:szCs w:val="24"/>
                <w:shd w:val="clear" w:color="auto" w:fill="FFFFFF" w:themeFill="background1"/>
              </w:rPr>
            </w:pPr>
          </w:p>
        </w:tc>
      </w:tr>
      <w:tr w14:paraId="1512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E65AD79">
            <w:pPr>
              <w:spacing w:line="360" w:lineRule="auto"/>
              <w:jc w:val="center"/>
              <w:rPr>
                <w:rFonts w:ascii="仿宋" w:hAnsi="仿宋" w:eastAsia="仿宋" w:cs="仿宋"/>
                <w:sz w:val="24"/>
                <w:szCs w:val="24"/>
                <w:shd w:val="clear" w:color="auto" w:fill="FFFFFF" w:themeFill="background1"/>
              </w:rPr>
            </w:pPr>
          </w:p>
        </w:tc>
        <w:tc>
          <w:tcPr>
            <w:tcW w:w="1372" w:type="dxa"/>
            <w:vAlign w:val="center"/>
          </w:tcPr>
          <w:p w14:paraId="7013FB9F">
            <w:pPr>
              <w:spacing w:line="360" w:lineRule="auto"/>
              <w:jc w:val="center"/>
              <w:rPr>
                <w:rFonts w:ascii="仿宋" w:hAnsi="仿宋" w:eastAsia="仿宋" w:cs="仿宋"/>
                <w:sz w:val="24"/>
                <w:szCs w:val="24"/>
                <w:shd w:val="clear" w:color="auto" w:fill="FFFFFF" w:themeFill="background1"/>
              </w:rPr>
            </w:pPr>
          </w:p>
        </w:tc>
        <w:tc>
          <w:tcPr>
            <w:tcW w:w="1463" w:type="dxa"/>
            <w:gridSpan w:val="2"/>
            <w:vAlign w:val="center"/>
          </w:tcPr>
          <w:p w14:paraId="6EA7888A">
            <w:pPr>
              <w:spacing w:line="360" w:lineRule="auto"/>
              <w:jc w:val="center"/>
              <w:rPr>
                <w:rFonts w:ascii="仿宋" w:hAnsi="仿宋" w:eastAsia="仿宋" w:cs="仿宋"/>
                <w:sz w:val="24"/>
                <w:szCs w:val="24"/>
                <w:shd w:val="clear" w:color="auto" w:fill="FFFFFF" w:themeFill="background1"/>
              </w:rPr>
            </w:pPr>
          </w:p>
        </w:tc>
        <w:tc>
          <w:tcPr>
            <w:tcW w:w="1702" w:type="dxa"/>
            <w:vAlign w:val="center"/>
          </w:tcPr>
          <w:p w14:paraId="06BA0115">
            <w:pPr>
              <w:spacing w:line="360" w:lineRule="auto"/>
              <w:jc w:val="center"/>
              <w:rPr>
                <w:rFonts w:ascii="仿宋" w:hAnsi="仿宋" w:eastAsia="仿宋" w:cs="仿宋"/>
                <w:sz w:val="24"/>
                <w:szCs w:val="24"/>
                <w:shd w:val="clear" w:color="auto" w:fill="FFFFFF" w:themeFill="background1"/>
              </w:rPr>
            </w:pPr>
          </w:p>
        </w:tc>
        <w:tc>
          <w:tcPr>
            <w:tcW w:w="1275" w:type="dxa"/>
            <w:vAlign w:val="center"/>
          </w:tcPr>
          <w:p w14:paraId="5B4C6406">
            <w:pPr>
              <w:spacing w:line="360" w:lineRule="auto"/>
              <w:jc w:val="center"/>
              <w:rPr>
                <w:rFonts w:ascii="仿宋" w:hAnsi="仿宋" w:eastAsia="仿宋" w:cs="仿宋"/>
                <w:sz w:val="24"/>
                <w:szCs w:val="24"/>
                <w:shd w:val="clear" w:color="auto" w:fill="FFFFFF" w:themeFill="background1"/>
              </w:rPr>
            </w:pPr>
          </w:p>
        </w:tc>
        <w:tc>
          <w:tcPr>
            <w:tcW w:w="1364" w:type="dxa"/>
            <w:vAlign w:val="center"/>
          </w:tcPr>
          <w:p w14:paraId="2562DC15">
            <w:pPr>
              <w:spacing w:line="360" w:lineRule="auto"/>
              <w:jc w:val="center"/>
              <w:rPr>
                <w:rFonts w:ascii="仿宋" w:hAnsi="仿宋" w:eastAsia="仿宋" w:cs="仿宋"/>
                <w:sz w:val="24"/>
                <w:szCs w:val="24"/>
                <w:shd w:val="clear" w:color="auto" w:fill="FFFFFF" w:themeFill="background1"/>
              </w:rPr>
            </w:pPr>
          </w:p>
        </w:tc>
      </w:tr>
      <w:tr w14:paraId="6E4D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6756471">
            <w:pPr>
              <w:spacing w:line="360" w:lineRule="auto"/>
              <w:jc w:val="center"/>
              <w:rPr>
                <w:rFonts w:ascii="仿宋" w:hAnsi="仿宋" w:eastAsia="仿宋" w:cs="仿宋"/>
                <w:sz w:val="24"/>
                <w:szCs w:val="24"/>
                <w:shd w:val="clear" w:color="auto" w:fill="FFFFFF" w:themeFill="background1"/>
              </w:rPr>
            </w:pPr>
          </w:p>
        </w:tc>
        <w:tc>
          <w:tcPr>
            <w:tcW w:w="1372" w:type="dxa"/>
            <w:vAlign w:val="center"/>
          </w:tcPr>
          <w:p w14:paraId="14F88E4A">
            <w:pPr>
              <w:spacing w:line="360" w:lineRule="auto"/>
              <w:jc w:val="center"/>
              <w:rPr>
                <w:rFonts w:ascii="仿宋" w:hAnsi="仿宋" w:eastAsia="仿宋" w:cs="仿宋"/>
                <w:sz w:val="24"/>
                <w:szCs w:val="24"/>
                <w:shd w:val="clear" w:color="auto" w:fill="FFFFFF" w:themeFill="background1"/>
              </w:rPr>
            </w:pPr>
          </w:p>
        </w:tc>
        <w:tc>
          <w:tcPr>
            <w:tcW w:w="1463" w:type="dxa"/>
            <w:gridSpan w:val="2"/>
            <w:vAlign w:val="center"/>
          </w:tcPr>
          <w:p w14:paraId="2BC19A4F">
            <w:pPr>
              <w:spacing w:line="360" w:lineRule="auto"/>
              <w:jc w:val="center"/>
              <w:rPr>
                <w:rFonts w:ascii="仿宋" w:hAnsi="仿宋" w:eastAsia="仿宋" w:cs="仿宋"/>
                <w:sz w:val="24"/>
                <w:szCs w:val="24"/>
                <w:shd w:val="clear" w:color="auto" w:fill="FFFFFF" w:themeFill="background1"/>
              </w:rPr>
            </w:pPr>
          </w:p>
        </w:tc>
        <w:tc>
          <w:tcPr>
            <w:tcW w:w="1702" w:type="dxa"/>
            <w:vAlign w:val="center"/>
          </w:tcPr>
          <w:p w14:paraId="7E3ED144">
            <w:pPr>
              <w:spacing w:line="360" w:lineRule="auto"/>
              <w:jc w:val="center"/>
              <w:rPr>
                <w:rFonts w:ascii="仿宋" w:hAnsi="仿宋" w:eastAsia="仿宋" w:cs="仿宋"/>
                <w:sz w:val="24"/>
                <w:szCs w:val="24"/>
                <w:shd w:val="clear" w:color="auto" w:fill="FFFFFF" w:themeFill="background1"/>
              </w:rPr>
            </w:pPr>
          </w:p>
        </w:tc>
        <w:tc>
          <w:tcPr>
            <w:tcW w:w="1275" w:type="dxa"/>
            <w:vAlign w:val="center"/>
          </w:tcPr>
          <w:p w14:paraId="3BBDCB2A">
            <w:pPr>
              <w:spacing w:line="360" w:lineRule="auto"/>
              <w:jc w:val="center"/>
              <w:rPr>
                <w:rFonts w:ascii="仿宋" w:hAnsi="仿宋" w:eastAsia="仿宋" w:cs="仿宋"/>
                <w:sz w:val="24"/>
                <w:szCs w:val="24"/>
                <w:shd w:val="clear" w:color="auto" w:fill="FFFFFF" w:themeFill="background1"/>
              </w:rPr>
            </w:pPr>
          </w:p>
        </w:tc>
        <w:tc>
          <w:tcPr>
            <w:tcW w:w="1364" w:type="dxa"/>
            <w:vAlign w:val="center"/>
          </w:tcPr>
          <w:p w14:paraId="07E70111">
            <w:pPr>
              <w:spacing w:line="360" w:lineRule="auto"/>
              <w:jc w:val="center"/>
              <w:rPr>
                <w:rFonts w:ascii="仿宋" w:hAnsi="仿宋" w:eastAsia="仿宋" w:cs="仿宋"/>
                <w:sz w:val="24"/>
                <w:szCs w:val="24"/>
                <w:shd w:val="clear" w:color="auto" w:fill="FFFFFF" w:themeFill="background1"/>
              </w:rPr>
            </w:pPr>
          </w:p>
        </w:tc>
      </w:tr>
      <w:tr w14:paraId="354C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4C5B267">
            <w:pPr>
              <w:spacing w:line="360" w:lineRule="auto"/>
              <w:jc w:val="center"/>
              <w:rPr>
                <w:rFonts w:ascii="仿宋" w:hAnsi="仿宋" w:eastAsia="仿宋" w:cs="仿宋"/>
                <w:sz w:val="24"/>
                <w:szCs w:val="24"/>
                <w:shd w:val="clear" w:color="auto" w:fill="FFFFFF" w:themeFill="background1"/>
              </w:rPr>
            </w:pPr>
          </w:p>
        </w:tc>
        <w:tc>
          <w:tcPr>
            <w:tcW w:w="1372" w:type="dxa"/>
            <w:vAlign w:val="center"/>
          </w:tcPr>
          <w:p w14:paraId="293712BA">
            <w:pPr>
              <w:spacing w:line="360" w:lineRule="auto"/>
              <w:jc w:val="center"/>
              <w:rPr>
                <w:rFonts w:ascii="仿宋" w:hAnsi="仿宋" w:eastAsia="仿宋" w:cs="仿宋"/>
                <w:sz w:val="24"/>
                <w:szCs w:val="24"/>
                <w:shd w:val="clear" w:color="auto" w:fill="FFFFFF" w:themeFill="background1"/>
              </w:rPr>
            </w:pPr>
          </w:p>
        </w:tc>
        <w:tc>
          <w:tcPr>
            <w:tcW w:w="1463" w:type="dxa"/>
            <w:gridSpan w:val="2"/>
            <w:vAlign w:val="center"/>
          </w:tcPr>
          <w:p w14:paraId="2E8DB177">
            <w:pPr>
              <w:spacing w:line="360" w:lineRule="auto"/>
              <w:jc w:val="center"/>
              <w:rPr>
                <w:rFonts w:ascii="仿宋" w:hAnsi="仿宋" w:eastAsia="仿宋" w:cs="仿宋"/>
                <w:sz w:val="24"/>
                <w:szCs w:val="24"/>
                <w:shd w:val="clear" w:color="auto" w:fill="FFFFFF" w:themeFill="background1"/>
              </w:rPr>
            </w:pPr>
          </w:p>
        </w:tc>
        <w:tc>
          <w:tcPr>
            <w:tcW w:w="1702" w:type="dxa"/>
            <w:vAlign w:val="center"/>
          </w:tcPr>
          <w:p w14:paraId="18FFA462">
            <w:pPr>
              <w:spacing w:line="360" w:lineRule="auto"/>
              <w:jc w:val="center"/>
              <w:rPr>
                <w:rFonts w:ascii="仿宋" w:hAnsi="仿宋" w:eastAsia="仿宋" w:cs="仿宋"/>
                <w:sz w:val="24"/>
                <w:szCs w:val="24"/>
                <w:shd w:val="clear" w:color="auto" w:fill="FFFFFF" w:themeFill="background1"/>
              </w:rPr>
            </w:pPr>
          </w:p>
        </w:tc>
        <w:tc>
          <w:tcPr>
            <w:tcW w:w="1275" w:type="dxa"/>
            <w:vAlign w:val="center"/>
          </w:tcPr>
          <w:p w14:paraId="5F9D6680">
            <w:pPr>
              <w:spacing w:line="360" w:lineRule="auto"/>
              <w:jc w:val="center"/>
              <w:rPr>
                <w:rFonts w:ascii="仿宋" w:hAnsi="仿宋" w:eastAsia="仿宋" w:cs="仿宋"/>
                <w:sz w:val="24"/>
                <w:szCs w:val="24"/>
                <w:shd w:val="clear" w:color="auto" w:fill="FFFFFF" w:themeFill="background1"/>
              </w:rPr>
            </w:pPr>
          </w:p>
        </w:tc>
        <w:tc>
          <w:tcPr>
            <w:tcW w:w="1364" w:type="dxa"/>
            <w:vAlign w:val="center"/>
          </w:tcPr>
          <w:p w14:paraId="1771F8C9">
            <w:pPr>
              <w:spacing w:line="360" w:lineRule="auto"/>
              <w:jc w:val="center"/>
              <w:rPr>
                <w:rFonts w:ascii="仿宋" w:hAnsi="仿宋" w:eastAsia="仿宋" w:cs="仿宋"/>
                <w:sz w:val="24"/>
                <w:szCs w:val="24"/>
                <w:shd w:val="clear" w:color="auto" w:fill="FFFFFF" w:themeFill="background1"/>
              </w:rPr>
            </w:pPr>
          </w:p>
        </w:tc>
      </w:tr>
    </w:tbl>
    <w:p w14:paraId="26B9D543">
      <w:pPr>
        <w:spacing w:line="360" w:lineRule="auto"/>
        <w:ind w:firstLine="480" w:firstLineChars="200"/>
        <w:jc w:val="left"/>
        <w:rPr>
          <w:rFonts w:ascii="仿宋" w:hAnsi="仿宋" w:eastAsia="仿宋" w:cs="仿宋"/>
          <w:sz w:val="24"/>
          <w:szCs w:val="24"/>
          <w:shd w:val="clear" w:color="auto" w:fill="FFFFFF" w:themeFill="background1"/>
        </w:rPr>
      </w:pPr>
    </w:p>
    <w:p w14:paraId="5B0FD9D8">
      <w:pPr>
        <w:spacing w:line="360" w:lineRule="auto"/>
        <w:ind w:firstLine="480" w:firstLineChars="200"/>
        <w:jc w:val="left"/>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备注：本表后需提供招标文件要求的有关书面证明材料。</w:t>
      </w:r>
    </w:p>
    <w:p w14:paraId="19AA8A57">
      <w:pPr>
        <w:tabs>
          <w:tab w:val="center" w:pos="4832"/>
          <w:tab w:val="left" w:pos="7140"/>
        </w:tabs>
        <w:spacing w:line="360" w:lineRule="auto"/>
        <w:jc w:val="center"/>
        <w:outlineLvl w:val="1"/>
        <w:rPr>
          <w:rFonts w:ascii="仿宋" w:hAnsi="仿宋" w:eastAsia="仿宋" w:cs="仿宋"/>
          <w:b/>
          <w:bCs/>
          <w:sz w:val="24"/>
          <w:szCs w:val="24"/>
          <w:shd w:val="clear" w:color="auto" w:fill="FFFFFF" w:themeFill="background1"/>
        </w:rPr>
      </w:pPr>
      <w:bookmarkStart w:id="158" w:name="_Toc507586176"/>
      <w:r>
        <w:rPr>
          <w:rFonts w:hint="eastAsia" w:ascii="仿宋" w:hAnsi="仿宋" w:eastAsia="仿宋" w:cs="仿宋"/>
          <w:b/>
          <w:bCs/>
          <w:sz w:val="24"/>
          <w:szCs w:val="24"/>
          <w:shd w:val="clear" w:color="auto" w:fill="FFFFFF" w:themeFill="background1"/>
        </w:rPr>
        <w:br w:type="page"/>
      </w:r>
      <w:bookmarkStart w:id="159" w:name="_Toc38446481"/>
      <w:bookmarkStart w:id="160" w:name="_Toc533503192"/>
      <w:bookmarkStart w:id="161" w:name="_Toc4484"/>
      <w:bookmarkStart w:id="162" w:name="_Toc5101"/>
      <w:r>
        <w:rPr>
          <w:rFonts w:hint="eastAsia" w:ascii="仿宋" w:hAnsi="仿宋" w:eastAsia="仿宋" w:cs="仿宋"/>
          <w:b/>
          <w:bCs/>
          <w:sz w:val="24"/>
          <w:szCs w:val="24"/>
          <w:shd w:val="clear" w:color="auto" w:fill="FFFFFF" w:themeFill="background1"/>
        </w:rPr>
        <w:t>十一、</w:t>
      </w:r>
      <w:bookmarkEnd w:id="158"/>
      <w:bookmarkEnd w:id="159"/>
      <w:bookmarkEnd w:id="160"/>
      <w:r>
        <w:rPr>
          <w:rFonts w:hint="eastAsia" w:ascii="仿宋" w:hAnsi="仿宋" w:eastAsia="仿宋" w:cs="仿宋"/>
          <w:b/>
          <w:bCs/>
          <w:sz w:val="24"/>
          <w:szCs w:val="24"/>
          <w:shd w:val="clear" w:color="auto" w:fill="FFFFFF" w:themeFill="background1"/>
        </w:rPr>
        <w:t>拟派本项目服务人员情况表</w:t>
      </w:r>
      <w:bookmarkEnd w:id="161"/>
      <w:bookmarkEnd w:id="162"/>
    </w:p>
    <w:p w14:paraId="495588EC">
      <w:pPr>
        <w:spacing w:line="360" w:lineRule="auto"/>
        <w:rPr>
          <w:rFonts w:ascii="仿宋" w:hAnsi="仿宋" w:eastAsia="仿宋" w:cs="仿宋"/>
          <w:sz w:val="24"/>
          <w:szCs w:val="24"/>
          <w:shd w:val="clear" w:color="auto" w:fill="FFFFFF" w:themeFill="background1"/>
        </w:rPr>
      </w:pP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891"/>
        <w:gridCol w:w="891"/>
        <w:gridCol w:w="1814"/>
        <w:gridCol w:w="891"/>
        <w:gridCol w:w="1506"/>
        <w:gridCol w:w="1506"/>
        <w:gridCol w:w="891"/>
      </w:tblGrid>
      <w:tr w14:paraId="6ED1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36127C34">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序号</w:t>
            </w:r>
          </w:p>
        </w:tc>
        <w:tc>
          <w:tcPr>
            <w:tcW w:w="480" w:type="pct"/>
            <w:vAlign w:val="center"/>
          </w:tcPr>
          <w:p w14:paraId="70D7F63D">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姓名</w:t>
            </w:r>
          </w:p>
        </w:tc>
        <w:tc>
          <w:tcPr>
            <w:tcW w:w="480" w:type="pct"/>
            <w:vAlign w:val="center"/>
          </w:tcPr>
          <w:p w14:paraId="3ECB79BA">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性别</w:t>
            </w:r>
          </w:p>
        </w:tc>
        <w:tc>
          <w:tcPr>
            <w:tcW w:w="977" w:type="pct"/>
            <w:vAlign w:val="center"/>
          </w:tcPr>
          <w:p w14:paraId="114268BC">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身份证号码</w:t>
            </w:r>
          </w:p>
        </w:tc>
        <w:tc>
          <w:tcPr>
            <w:tcW w:w="480" w:type="pct"/>
            <w:vAlign w:val="center"/>
          </w:tcPr>
          <w:p w14:paraId="042C6D16">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学历</w:t>
            </w:r>
          </w:p>
        </w:tc>
        <w:tc>
          <w:tcPr>
            <w:tcW w:w="811" w:type="pct"/>
            <w:vAlign w:val="center"/>
          </w:tcPr>
          <w:p w14:paraId="57D632C7">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担任岗位</w:t>
            </w:r>
          </w:p>
        </w:tc>
        <w:tc>
          <w:tcPr>
            <w:tcW w:w="811" w:type="pct"/>
            <w:vAlign w:val="center"/>
          </w:tcPr>
          <w:p w14:paraId="560644C4">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从事类似</w:t>
            </w:r>
          </w:p>
          <w:p w14:paraId="1AF4EF44">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工作年限</w:t>
            </w:r>
          </w:p>
        </w:tc>
        <w:tc>
          <w:tcPr>
            <w:tcW w:w="480" w:type="pct"/>
            <w:vAlign w:val="center"/>
          </w:tcPr>
          <w:p w14:paraId="73AB45E7">
            <w:pPr>
              <w:spacing w:line="360" w:lineRule="auto"/>
              <w:jc w:val="center"/>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备注</w:t>
            </w:r>
          </w:p>
        </w:tc>
      </w:tr>
      <w:tr w14:paraId="003B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30A18820">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6C78CB6A">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783EAC70">
            <w:pPr>
              <w:spacing w:line="360" w:lineRule="auto"/>
              <w:jc w:val="center"/>
              <w:rPr>
                <w:rFonts w:ascii="仿宋" w:hAnsi="仿宋" w:eastAsia="仿宋" w:cs="仿宋"/>
                <w:sz w:val="24"/>
                <w:szCs w:val="24"/>
                <w:shd w:val="clear" w:color="auto" w:fill="FFFFFF" w:themeFill="background1"/>
              </w:rPr>
            </w:pPr>
          </w:p>
        </w:tc>
        <w:tc>
          <w:tcPr>
            <w:tcW w:w="977" w:type="pct"/>
            <w:vAlign w:val="center"/>
          </w:tcPr>
          <w:p w14:paraId="2BF418E5">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12264229">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3414B49C">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764C32F4">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34F82E24">
            <w:pPr>
              <w:spacing w:line="360" w:lineRule="auto"/>
              <w:jc w:val="center"/>
              <w:rPr>
                <w:rFonts w:ascii="仿宋" w:hAnsi="仿宋" w:eastAsia="仿宋" w:cs="仿宋"/>
                <w:sz w:val="24"/>
                <w:szCs w:val="24"/>
                <w:shd w:val="clear" w:color="auto" w:fill="FFFFFF" w:themeFill="background1"/>
              </w:rPr>
            </w:pPr>
          </w:p>
        </w:tc>
      </w:tr>
      <w:tr w14:paraId="4082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4664B447">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0675B85F">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5562C478">
            <w:pPr>
              <w:spacing w:line="360" w:lineRule="auto"/>
              <w:jc w:val="center"/>
              <w:rPr>
                <w:rFonts w:ascii="仿宋" w:hAnsi="仿宋" w:eastAsia="仿宋" w:cs="仿宋"/>
                <w:sz w:val="24"/>
                <w:szCs w:val="24"/>
                <w:shd w:val="clear" w:color="auto" w:fill="FFFFFF" w:themeFill="background1"/>
              </w:rPr>
            </w:pPr>
          </w:p>
        </w:tc>
        <w:tc>
          <w:tcPr>
            <w:tcW w:w="977" w:type="pct"/>
            <w:vAlign w:val="center"/>
          </w:tcPr>
          <w:p w14:paraId="7A3C4BD2">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6DB1A33F">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2E76E9C7">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67571CA5">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29FF32D2">
            <w:pPr>
              <w:spacing w:line="360" w:lineRule="auto"/>
              <w:jc w:val="center"/>
              <w:rPr>
                <w:rFonts w:ascii="仿宋" w:hAnsi="仿宋" w:eastAsia="仿宋" w:cs="仿宋"/>
                <w:sz w:val="24"/>
                <w:szCs w:val="24"/>
                <w:shd w:val="clear" w:color="auto" w:fill="FFFFFF" w:themeFill="background1"/>
              </w:rPr>
            </w:pPr>
          </w:p>
        </w:tc>
      </w:tr>
      <w:tr w14:paraId="5841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45A12D0B">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1AC2AFE1">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07C88B39">
            <w:pPr>
              <w:spacing w:line="360" w:lineRule="auto"/>
              <w:jc w:val="center"/>
              <w:rPr>
                <w:rFonts w:ascii="仿宋" w:hAnsi="仿宋" w:eastAsia="仿宋" w:cs="仿宋"/>
                <w:sz w:val="24"/>
                <w:szCs w:val="24"/>
                <w:shd w:val="clear" w:color="auto" w:fill="FFFFFF" w:themeFill="background1"/>
              </w:rPr>
            </w:pPr>
          </w:p>
        </w:tc>
        <w:tc>
          <w:tcPr>
            <w:tcW w:w="977" w:type="pct"/>
            <w:vAlign w:val="center"/>
          </w:tcPr>
          <w:p w14:paraId="0F2FFA5F">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23CAC163">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5D95B74B">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35C9812C">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0097B8A8">
            <w:pPr>
              <w:spacing w:line="360" w:lineRule="auto"/>
              <w:jc w:val="center"/>
              <w:rPr>
                <w:rFonts w:ascii="仿宋" w:hAnsi="仿宋" w:eastAsia="仿宋" w:cs="仿宋"/>
                <w:sz w:val="24"/>
                <w:szCs w:val="24"/>
                <w:shd w:val="clear" w:color="auto" w:fill="FFFFFF" w:themeFill="background1"/>
              </w:rPr>
            </w:pPr>
          </w:p>
        </w:tc>
      </w:tr>
      <w:tr w14:paraId="775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295AFC62">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543A05E4">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28F68B81">
            <w:pPr>
              <w:spacing w:line="360" w:lineRule="auto"/>
              <w:jc w:val="center"/>
              <w:rPr>
                <w:rFonts w:ascii="仿宋" w:hAnsi="仿宋" w:eastAsia="仿宋" w:cs="仿宋"/>
                <w:sz w:val="24"/>
                <w:szCs w:val="24"/>
                <w:shd w:val="clear" w:color="auto" w:fill="FFFFFF" w:themeFill="background1"/>
              </w:rPr>
            </w:pPr>
          </w:p>
        </w:tc>
        <w:tc>
          <w:tcPr>
            <w:tcW w:w="977" w:type="pct"/>
            <w:vAlign w:val="center"/>
          </w:tcPr>
          <w:p w14:paraId="6F7574AF">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3F48C26D">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71C2E034">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03810804">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351C6453">
            <w:pPr>
              <w:spacing w:line="360" w:lineRule="auto"/>
              <w:jc w:val="center"/>
              <w:rPr>
                <w:rFonts w:ascii="仿宋" w:hAnsi="仿宋" w:eastAsia="仿宋" w:cs="仿宋"/>
                <w:sz w:val="24"/>
                <w:szCs w:val="24"/>
                <w:shd w:val="clear" w:color="auto" w:fill="FFFFFF" w:themeFill="background1"/>
              </w:rPr>
            </w:pPr>
          </w:p>
        </w:tc>
      </w:tr>
      <w:tr w14:paraId="4558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159BE803">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362337CB">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5C32946E">
            <w:pPr>
              <w:spacing w:line="360" w:lineRule="auto"/>
              <w:jc w:val="center"/>
              <w:rPr>
                <w:rFonts w:ascii="仿宋" w:hAnsi="仿宋" w:eastAsia="仿宋" w:cs="仿宋"/>
                <w:sz w:val="24"/>
                <w:szCs w:val="24"/>
                <w:shd w:val="clear" w:color="auto" w:fill="FFFFFF" w:themeFill="background1"/>
              </w:rPr>
            </w:pPr>
          </w:p>
        </w:tc>
        <w:tc>
          <w:tcPr>
            <w:tcW w:w="977" w:type="pct"/>
            <w:vAlign w:val="center"/>
          </w:tcPr>
          <w:p w14:paraId="7B9B1EDF">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460ADE94">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0D317706">
            <w:pPr>
              <w:spacing w:line="360" w:lineRule="auto"/>
              <w:jc w:val="center"/>
              <w:rPr>
                <w:rFonts w:ascii="仿宋" w:hAnsi="仿宋" w:eastAsia="仿宋" w:cs="仿宋"/>
                <w:sz w:val="24"/>
                <w:szCs w:val="24"/>
                <w:shd w:val="clear" w:color="auto" w:fill="FFFFFF" w:themeFill="background1"/>
              </w:rPr>
            </w:pPr>
          </w:p>
        </w:tc>
        <w:tc>
          <w:tcPr>
            <w:tcW w:w="811" w:type="pct"/>
            <w:vAlign w:val="center"/>
          </w:tcPr>
          <w:p w14:paraId="3E02192E">
            <w:pPr>
              <w:spacing w:line="360" w:lineRule="auto"/>
              <w:jc w:val="center"/>
              <w:rPr>
                <w:rFonts w:ascii="仿宋" w:hAnsi="仿宋" w:eastAsia="仿宋" w:cs="仿宋"/>
                <w:sz w:val="24"/>
                <w:szCs w:val="24"/>
                <w:shd w:val="clear" w:color="auto" w:fill="FFFFFF" w:themeFill="background1"/>
              </w:rPr>
            </w:pPr>
          </w:p>
        </w:tc>
        <w:tc>
          <w:tcPr>
            <w:tcW w:w="480" w:type="pct"/>
            <w:vAlign w:val="center"/>
          </w:tcPr>
          <w:p w14:paraId="5C5FF6DD">
            <w:pPr>
              <w:spacing w:line="360" w:lineRule="auto"/>
              <w:jc w:val="center"/>
              <w:rPr>
                <w:rFonts w:ascii="仿宋" w:hAnsi="仿宋" w:eastAsia="仿宋" w:cs="仿宋"/>
                <w:sz w:val="24"/>
                <w:szCs w:val="24"/>
                <w:shd w:val="clear" w:color="auto" w:fill="FFFFFF" w:themeFill="background1"/>
              </w:rPr>
            </w:pPr>
          </w:p>
        </w:tc>
      </w:tr>
    </w:tbl>
    <w:p w14:paraId="19BBB153">
      <w:pPr>
        <w:spacing w:line="360" w:lineRule="auto"/>
        <w:jc w:val="left"/>
        <w:rPr>
          <w:rFonts w:ascii="仿宋" w:hAnsi="仿宋" w:eastAsia="仿宋" w:cs="仿宋"/>
          <w:bCs/>
          <w:sz w:val="24"/>
          <w:szCs w:val="24"/>
          <w:shd w:val="clear" w:color="auto" w:fill="FFFFFF" w:themeFill="background1"/>
        </w:rPr>
      </w:pPr>
    </w:p>
    <w:p w14:paraId="403F6F8A">
      <w:pPr>
        <w:spacing w:line="360" w:lineRule="auto"/>
        <w:jc w:val="left"/>
        <w:rPr>
          <w:rFonts w:ascii="仿宋" w:hAnsi="仿宋" w:eastAsia="仿宋" w:cs="仿宋"/>
          <w:sz w:val="24"/>
          <w:szCs w:val="24"/>
          <w:shd w:val="clear" w:color="auto" w:fill="FFFFFF" w:themeFill="background1"/>
        </w:rPr>
      </w:pPr>
      <w:r>
        <w:rPr>
          <w:rFonts w:hint="eastAsia" w:ascii="仿宋" w:hAnsi="仿宋" w:eastAsia="仿宋" w:cs="仿宋"/>
          <w:bCs/>
          <w:sz w:val="24"/>
          <w:szCs w:val="24"/>
          <w:shd w:val="clear" w:color="auto" w:fill="FFFFFF" w:themeFill="background1"/>
        </w:rPr>
        <w:t>备注：</w:t>
      </w:r>
      <w:r>
        <w:rPr>
          <w:rFonts w:hint="eastAsia" w:ascii="仿宋" w:hAnsi="仿宋" w:eastAsia="仿宋" w:cs="仿宋"/>
          <w:sz w:val="24"/>
          <w:szCs w:val="24"/>
          <w:shd w:val="clear" w:color="auto" w:fill="FFFFFF" w:themeFill="background1"/>
        </w:rPr>
        <w:t>本表后需提供招标文件要求的有关书面证明材料。</w:t>
      </w:r>
    </w:p>
    <w:p w14:paraId="22CD9135">
      <w:pPr>
        <w:spacing w:line="360" w:lineRule="auto"/>
        <w:jc w:val="center"/>
        <w:outlineLvl w:val="1"/>
        <w:rPr>
          <w:rFonts w:ascii="仿宋" w:hAnsi="仿宋" w:eastAsia="仿宋" w:cs="仿宋"/>
          <w:bCs/>
          <w:szCs w:val="24"/>
          <w:shd w:val="clear" w:color="auto" w:fill="FFFFFF" w:themeFill="background1"/>
        </w:rPr>
      </w:pPr>
      <w:r>
        <w:rPr>
          <w:rFonts w:hint="eastAsia" w:ascii="仿宋" w:hAnsi="仿宋" w:eastAsia="仿宋" w:cs="仿宋"/>
          <w:sz w:val="24"/>
          <w:szCs w:val="24"/>
          <w:shd w:val="clear" w:color="auto" w:fill="FFFFFF" w:themeFill="background1"/>
        </w:rPr>
        <w:br w:type="page"/>
      </w:r>
      <w:bookmarkStart w:id="163" w:name="_Toc38446482"/>
      <w:bookmarkStart w:id="164" w:name="_Toc4741"/>
      <w:bookmarkStart w:id="165" w:name="_Toc533503193"/>
      <w:bookmarkStart w:id="166" w:name="_Toc507586177"/>
      <w:bookmarkStart w:id="167" w:name="_Toc18396"/>
      <w:r>
        <w:rPr>
          <w:rFonts w:hint="eastAsia" w:ascii="仿宋" w:hAnsi="仿宋" w:eastAsia="仿宋" w:cs="仿宋"/>
          <w:b/>
          <w:sz w:val="24"/>
          <w:szCs w:val="24"/>
          <w:shd w:val="clear" w:color="auto" w:fill="FFFFFF" w:themeFill="background1"/>
        </w:rPr>
        <w:t>十二、</w:t>
      </w:r>
      <w:r>
        <w:rPr>
          <w:rFonts w:hint="eastAsia" w:ascii="仿宋" w:hAnsi="仿宋" w:eastAsia="仿宋" w:cs="仿宋"/>
          <w:b/>
          <w:bCs/>
          <w:sz w:val="24"/>
          <w:szCs w:val="24"/>
          <w:shd w:val="clear" w:color="auto" w:fill="FFFFFF" w:themeFill="background1"/>
        </w:rPr>
        <w:t>服务方案</w:t>
      </w:r>
      <w:bookmarkEnd w:id="163"/>
      <w:bookmarkEnd w:id="164"/>
      <w:bookmarkEnd w:id="165"/>
      <w:bookmarkEnd w:id="166"/>
      <w:bookmarkEnd w:id="167"/>
    </w:p>
    <w:p w14:paraId="2BB6F094">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bCs/>
          <w:sz w:val="24"/>
          <w:szCs w:val="24"/>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sz w:val="24"/>
          <w:szCs w:val="24"/>
          <w:shd w:val="clear" w:color="auto" w:fill="FFFFFF" w:themeFill="background1"/>
        </w:rPr>
        <w:t>自行拟定。</w:t>
      </w:r>
    </w:p>
    <w:p w14:paraId="75D58B81">
      <w:pPr>
        <w:spacing w:line="360" w:lineRule="auto"/>
        <w:ind w:firstLine="480" w:firstLineChars="200"/>
        <w:rPr>
          <w:rFonts w:ascii="仿宋" w:hAnsi="仿宋" w:eastAsia="仿宋" w:cs="仿宋"/>
          <w:bCs/>
          <w:sz w:val="24"/>
          <w:szCs w:val="24"/>
          <w:shd w:val="clear" w:color="auto" w:fill="FFFFFF" w:themeFill="background1"/>
        </w:rPr>
      </w:pPr>
    </w:p>
    <w:p w14:paraId="3739F490">
      <w:pPr>
        <w:pStyle w:val="15"/>
        <w:rPr>
          <w:rFonts w:ascii="仿宋" w:hAnsi="仿宋" w:eastAsia="仿宋" w:cs="仿宋"/>
        </w:rPr>
      </w:pPr>
    </w:p>
    <w:p w14:paraId="6185E5C3">
      <w:pPr>
        <w:rPr>
          <w:rFonts w:ascii="仿宋" w:hAnsi="仿宋" w:eastAsia="仿宋" w:cs="仿宋"/>
        </w:rPr>
      </w:pPr>
    </w:p>
    <w:p w14:paraId="4EF75299">
      <w:pPr>
        <w:pStyle w:val="15"/>
        <w:rPr>
          <w:rFonts w:ascii="仿宋" w:hAnsi="仿宋" w:eastAsia="仿宋" w:cs="仿宋"/>
        </w:rPr>
      </w:pPr>
    </w:p>
    <w:p w14:paraId="274C8E0C">
      <w:pPr>
        <w:rPr>
          <w:rFonts w:ascii="仿宋" w:hAnsi="仿宋" w:eastAsia="仿宋" w:cs="仿宋"/>
        </w:rPr>
      </w:pPr>
    </w:p>
    <w:p w14:paraId="33BCF10A">
      <w:pPr>
        <w:spacing w:line="360" w:lineRule="auto"/>
        <w:jc w:val="center"/>
        <w:outlineLvl w:val="1"/>
        <w:rPr>
          <w:rFonts w:ascii="仿宋" w:hAnsi="仿宋" w:eastAsia="仿宋" w:cs="仿宋"/>
          <w:b/>
          <w:sz w:val="24"/>
          <w:szCs w:val="24"/>
          <w:shd w:val="clear" w:color="auto" w:fill="FFFFFF" w:themeFill="background1"/>
        </w:rPr>
      </w:pPr>
      <w:bookmarkStart w:id="168" w:name="_Toc38446484"/>
      <w:bookmarkStart w:id="169" w:name="_Toc507586178"/>
      <w:bookmarkStart w:id="170" w:name="_Toc274"/>
      <w:bookmarkStart w:id="171" w:name="_Toc533503194"/>
      <w:bookmarkStart w:id="172" w:name="_Toc13425"/>
      <w:r>
        <w:rPr>
          <w:rFonts w:hint="eastAsia" w:ascii="仿宋" w:hAnsi="仿宋" w:eastAsia="仿宋" w:cs="仿宋"/>
          <w:b/>
          <w:sz w:val="24"/>
          <w:szCs w:val="24"/>
          <w:shd w:val="clear" w:color="auto" w:fill="FFFFFF" w:themeFill="background1"/>
        </w:rPr>
        <w:t>十三、其他需要提交的资料</w:t>
      </w:r>
      <w:bookmarkEnd w:id="168"/>
      <w:bookmarkEnd w:id="169"/>
      <w:bookmarkEnd w:id="170"/>
      <w:bookmarkEnd w:id="171"/>
      <w:bookmarkEnd w:id="172"/>
    </w:p>
    <w:p w14:paraId="25CBEF1E">
      <w:pPr>
        <w:spacing w:line="360" w:lineRule="auto"/>
        <w:ind w:firstLine="480" w:firstLineChars="200"/>
        <w:rPr>
          <w:rFonts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根据招标文件的要求和投标人认为需要提供的资料（如投标保证金缴纳凭证等）。</w:t>
      </w:r>
    </w:p>
    <w:p w14:paraId="3A26CECF">
      <w:pPr>
        <w:spacing w:line="360" w:lineRule="auto"/>
        <w:ind w:firstLine="480" w:firstLineChars="200"/>
        <w:rPr>
          <w:rFonts w:ascii="仿宋" w:hAnsi="仿宋" w:eastAsia="仿宋" w:cs="仿宋"/>
          <w:sz w:val="24"/>
          <w:szCs w:val="24"/>
          <w:shd w:val="clear" w:color="auto" w:fill="FFFFFF" w:themeFill="background1"/>
        </w:rPr>
      </w:pPr>
    </w:p>
    <w:p w14:paraId="23E3D59A">
      <w:pPr>
        <w:widowControl/>
        <w:jc w:val="left"/>
        <w:rPr>
          <w:rFonts w:ascii="仿宋" w:hAnsi="仿宋" w:eastAsia="仿宋" w:cs="仿宋"/>
          <w:b/>
          <w:sz w:val="24"/>
          <w:szCs w:val="24"/>
        </w:rPr>
      </w:pPr>
      <w:r>
        <w:rPr>
          <w:rFonts w:hint="eastAsia" w:ascii="仿宋" w:hAnsi="仿宋" w:eastAsia="仿宋" w:cs="仿宋"/>
          <w:b/>
          <w:sz w:val="24"/>
          <w:szCs w:val="24"/>
        </w:rPr>
        <w:br w:type="page"/>
      </w:r>
    </w:p>
    <w:p w14:paraId="356ACE1C">
      <w:pPr>
        <w:tabs>
          <w:tab w:val="center" w:pos="4832"/>
          <w:tab w:val="left" w:pos="7140"/>
        </w:tabs>
        <w:spacing w:line="360" w:lineRule="auto"/>
        <w:jc w:val="center"/>
        <w:outlineLvl w:val="0"/>
        <w:rPr>
          <w:rFonts w:ascii="仿宋" w:hAnsi="仿宋" w:eastAsia="仿宋" w:cs="仿宋"/>
          <w:b/>
          <w:sz w:val="24"/>
          <w:szCs w:val="24"/>
        </w:rPr>
      </w:pPr>
      <w:bookmarkStart w:id="173" w:name="_Toc24631"/>
      <w:r>
        <w:rPr>
          <w:rFonts w:hint="eastAsia" w:ascii="仿宋" w:hAnsi="仿宋" w:eastAsia="仿宋" w:cs="仿宋"/>
          <w:b/>
          <w:sz w:val="24"/>
          <w:szCs w:val="24"/>
        </w:rPr>
        <w:t>第六章 补充条款</w:t>
      </w:r>
      <w:bookmarkEnd w:id="173"/>
    </w:p>
    <w:p w14:paraId="67492632">
      <w:pPr>
        <w:spacing w:line="360" w:lineRule="auto"/>
        <w:ind w:firstLine="480" w:firstLineChars="200"/>
        <w:jc w:val="center"/>
        <w:rPr>
          <w:rFonts w:ascii="仿宋" w:hAnsi="仿宋" w:eastAsia="仿宋" w:cs="仿宋"/>
          <w:sz w:val="24"/>
          <w:szCs w:val="24"/>
        </w:rPr>
      </w:pPr>
    </w:p>
    <w:sectPr>
      <w:headerReference r:id="rId7" w:type="default"/>
      <w:footerReference r:id="rId8"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9073">
    <w:pPr>
      <w:pStyle w:val="24"/>
      <w:ind w:right="90"/>
      <w:jc w:val="right"/>
    </w:pPr>
  </w:p>
  <w:p w14:paraId="7B5724AA">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DFAF">
    <w:pPr>
      <w:pStyle w:val="24"/>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44D48177">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493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9FCE">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1"/>
                          </w:sdtPr>
                          <w:sdtEndPr>
                            <w:rPr>
                              <w:rFonts w:asciiTheme="minorEastAsia" w:hAnsiTheme="minorEastAsia" w:eastAsiaTheme="minorEastAsia"/>
                              <w:sz w:val="30"/>
                              <w:szCs w:val="30"/>
                            </w:rPr>
                          </w:sdtEndPr>
                          <w:sdtContent>
                            <w:p w14:paraId="09016714">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20</w:t>
                              </w:r>
                              <w:r>
                                <w:rPr>
                                  <w:rFonts w:asciiTheme="minorEastAsia" w:hAnsiTheme="minorEastAsia" w:eastAsiaTheme="minorEastAsia"/>
                                  <w:sz w:val="24"/>
                                  <w:szCs w:val="24"/>
                                </w:rPr>
                                <w:fldChar w:fldCharType="end"/>
                              </w:r>
                            </w:p>
                          </w:sdtContent>
                        </w:sdt>
                        <w:p w14:paraId="37B3DD2A">
                          <w:pPr>
                            <w:pStyle w:val="39"/>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1"/>
                    </w:sdtPr>
                    <w:sdtEndPr>
                      <w:rPr>
                        <w:rFonts w:asciiTheme="minorEastAsia" w:hAnsiTheme="minorEastAsia" w:eastAsiaTheme="minorEastAsia"/>
                        <w:sz w:val="30"/>
                        <w:szCs w:val="30"/>
                      </w:rPr>
                    </w:sdtEndPr>
                    <w:sdtContent>
                      <w:p w14:paraId="09016714">
                        <w:pPr>
                          <w:pStyle w:val="24"/>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20</w:t>
                        </w:r>
                        <w:r>
                          <w:rPr>
                            <w:rFonts w:asciiTheme="minorEastAsia" w:hAnsiTheme="minorEastAsia" w:eastAsiaTheme="minorEastAsia"/>
                            <w:sz w:val="24"/>
                            <w:szCs w:val="24"/>
                          </w:rPr>
                          <w:fldChar w:fldCharType="end"/>
                        </w:r>
                      </w:p>
                    </w:sdtContent>
                  </w:sdt>
                  <w:p w14:paraId="37B3DD2A">
                    <w:pPr>
                      <w:pStyle w:val="39"/>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06BF2">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4C1A">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OWQ2ZjQyZjA2ODg5YzhmYjI4OWM3MjYxOTFlODY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853"/>
    <w:rsid w:val="002D6CF2"/>
    <w:rsid w:val="002E1B79"/>
    <w:rsid w:val="002E25BC"/>
    <w:rsid w:val="002E29B4"/>
    <w:rsid w:val="002E5AAD"/>
    <w:rsid w:val="002E679E"/>
    <w:rsid w:val="002F10F5"/>
    <w:rsid w:val="002F2283"/>
    <w:rsid w:val="002F640F"/>
    <w:rsid w:val="002F7FD1"/>
    <w:rsid w:val="00300C92"/>
    <w:rsid w:val="003017E3"/>
    <w:rsid w:val="00301F05"/>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C6DC3"/>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52CC"/>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43E"/>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1C56B21"/>
    <w:rsid w:val="02125852"/>
    <w:rsid w:val="02795D1A"/>
    <w:rsid w:val="028271B2"/>
    <w:rsid w:val="02957E3E"/>
    <w:rsid w:val="03151A50"/>
    <w:rsid w:val="03346C50"/>
    <w:rsid w:val="034D62DE"/>
    <w:rsid w:val="03604826"/>
    <w:rsid w:val="036C262D"/>
    <w:rsid w:val="038965C0"/>
    <w:rsid w:val="03AD7315"/>
    <w:rsid w:val="03CA02A5"/>
    <w:rsid w:val="03CD5B4A"/>
    <w:rsid w:val="03D075ED"/>
    <w:rsid w:val="03EC32E0"/>
    <w:rsid w:val="03F178ED"/>
    <w:rsid w:val="04107E55"/>
    <w:rsid w:val="043C0AB7"/>
    <w:rsid w:val="047168CE"/>
    <w:rsid w:val="048552F8"/>
    <w:rsid w:val="0488627D"/>
    <w:rsid w:val="04CF69F1"/>
    <w:rsid w:val="04DF1DFA"/>
    <w:rsid w:val="0508408B"/>
    <w:rsid w:val="051416E4"/>
    <w:rsid w:val="05155D56"/>
    <w:rsid w:val="05336F74"/>
    <w:rsid w:val="053946FE"/>
    <w:rsid w:val="053F44DA"/>
    <w:rsid w:val="0556347F"/>
    <w:rsid w:val="05657965"/>
    <w:rsid w:val="056A6870"/>
    <w:rsid w:val="057F2246"/>
    <w:rsid w:val="059D7485"/>
    <w:rsid w:val="05A218FD"/>
    <w:rsid w:val="05D518A0"/>
    <w:rsid w:val="05E32826"/>
    <w:rsid w:val="05EC584B"/>
    <w:rsid w:val="05FB57C1"/>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DE4810"/>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056C7"/>
    <w:rsid w:val="0DD62318"/>
    <w:rsid w:val="0DFD4250"/>
    <w:rsid w:val="0E151025"/>
    <w:rsid w:val="0E347BBB"/>
    <w:rsid w:val="0E4C5684"/>
    <w:rsid w:val="0E4E0B87"/>
    <w:rsid w:val="0E790EB9"/>
    <w:rsid w:val="0E90348C"/>
    <w:rsid w:val="0E9272B5"/>
    <w:rsid w:val="0EA145B8"/>
    <w:rsid w:val="0EB96D98"/>
    <w:rsid w:val="0EDD7260"/>
    <w:rsid w:val="0EFE142F"/>
    <w:rsid w:val="0F0D2C42"/>
    <w:rsid w:val="0F24532B"/>
    <w:rsid w:val="0F3E048F"/>
    <w:rsid w:val="0F4E3B33"/>
    <w:rsid w:val="0F4E7C06"/>
    <w:rsid w:val="0F522FDA"/>
    <w:rsid w:val="0F5576A6"/>
    <w:rsid w:val="0F681E28"/>
    <w:rsid w:val="0F75161B"/>
    <w:rsid w:val="0F833182"/>
    <w:rsid w:val="0F837C65"/>
    <w:rsid w:val="0FAB6F93"/>
    <w:rsid w:val="0FE872AF"/>
    <w:rsid w:val="0FEC63EC"/>
    <w:rsid w:val="0FED3DE9"/>
    <w:rsid w:val="102B2696"/>
    <w:rsid w:val="102E7CFD"/>
    <w:rsid w:val="103F078A"/>
    <w:rsid w:val="10411A22"/>
    <w:rsid w:val="104834EE"/>
    <w:rsid w:val="104E41AE"/>
    <w:rsid w:val="10612D17"/>
    <w:rsid w:val="1083059A"/>
    <w:rsid w:val="109B6273"/>
    <w:rsid w:val="10B75798"/>
    <w:rsid w:val="10C152C4"/>
    <w:rsid w:val="10C6436B"/>
    <w:rsid w:val="10DF70BF"/>
    <w:rsid w:val="1148579C"/>
    <w:rsid w:val="116746F9"/>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7C7D54"/>
    <w:rsid w:val="17911BEA"/>
    <w:rsid w:val="17AF0188"/>
    <w:rsid w:val="17D06220"/>
    <w:rsid w:val="18ADF896"/>
    <w:rsid w:val="19043F59"/>
    <w:rsid w:val="19047893"/>
    <w:rsid w:val="190D7E26"/>
    <w:rsid w:val="190E0680"/>
    <w:rsid w:val="19351120"/>
    <w:rsid w:val="19996254"/>
    <w:rsid w:val="19E21BB8"/>
    <w:rsid w:val="1A4A621C"/>
    <w:rsid w:val="1AA057B7"/>
    <w:rsid w:val="1AEF00AA"/>
    <w:rsid w:val="1B456999"/>
    <w:rsid w:val="1B4B1512"/>
    <w:rsid w:val="1B5776CB"/>
    <w:rsid w:val="1B672584"/>
    <w:rsid w:val="1B7C5240"/>
    <w:rsid w:val="1B7E4928"/>
    <w:rsid w:val="1B8F0552"/>
    <w:rsid w:val="1BD0376A"/>
    <w:rsid w:val="1BD10986"/>
    <w:rsid w:val="1BD664C1"/>
    <w:rsid w:val="1BE62E2C"/>
    <w:rsid w:val="1BE83685"/>
    <w:rsid w:val="1C5521A2"/>
    <w:rsid w:val="1C6401A7"/>
    <w:rsid w:val="1C6C5F2C"/>
    <w:rsid w:val="1CAE4A99"/>
    <w:rsid w:val="1CD207E0"/>
    <w:rsid w:val="1D2027D7"/>
    <w:rsid w:val="1D374D5D"/>
    <w:rsid w:val="1DAA7037"/>
    <w:rsid w:val="1DC97089"/>
    <w:rsid w:val="1DEA22A2"/>
    <w:rsid w:val="1E0C5F9A"/>
    <w:rsid w:val="1E3962F7"/>
    <w:rsid w:val="1E45218B"/>
    <w:rsid w:val="1E4A58C3"/>
    <w:rsid w:val="1E546218"/>
    <w:rsid w:val="1E5633AE"/>
    <w:rsid w:val="1ECD0317"/>
    <w:rsid w:val="1EFB0E1B"/>
    <w:rsid w:val="1F0C54A8"/>
    <w:rsid w:val="1FAA2EDE"/>
    <w:rsid w:val="1FB91219"/>
    <w:rsid w:val="1FB91DAD"/>
    <w:rsid w:val="1FB96AC5"/>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1F94B03"/>
    <w:rsid w:val="221F0D41"/>
    <w:rsid w:val="2225798F"/>
    <w:rsid w:val="22361626"/>
    <w:rsid w:val="224D658A"/>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80504D"/>
    <w:rsid w:val="27B76579"/>
    <w:rsid w:val="27C7230C"/>
    <w:rsid w:val="27D51A6E"/>
    <w:rsid w:val="280813E1"/>
    <w:rsid w:val="28092E82"/>
    <w:rsid w:val="280A70F0"/>
    <w:rsid w:val="28241E16"/>
    <w:rsid w:val="2828418B"/>
    <w:rsid w:val="285831A2"/>
    <w:rsid w:val="2880705B"/>
    <w:rsid w:val="28935078"/>
    <w:rsid w:val="28BA032F"/>
    <w:rsid w:val="28D771B3"/>
    <w:rsid w:val="28F22610"/>
    <w:rsid w:val="291F32E1"/>
    <w:rsid w:val="29583B07"/>
    <w:rsid w:val="296576F6"/>
    <w:rsid w:val="297A26A8"/>
    <w:rsid w:val="297F5D39"/>
    <w:rsid w:val="29D37D2A"/>
    <w:rsid w:val="29E17978"/>
    <w:rsid w:val="29F66FE5"/>
    <w:rsid w:val="2A0C6CC3"/>
    <w:rsid w:val="2A0E7F0F"/>
    <w:rsid w:val="2A1213E4"/>
    <w:rsid w:val="2A207473"/>
    <w:rsid w:val="2A396D97"/>
    <w:rsid w:val="2A832468"/>
    <w:rsid w:val="2A881708"/>
    <w:rsid w:val="2A965A80"/>
    <w:rsid w:val="2A973BAD"/>
    <w:rsid w:val="2AAD386A"/>
    <w:rsid w:val="2ABB161D"/>
    <w:rsid w:val="2AEB1EBC"/>
    <w:rsid w:val="2AEC58C2"/>
    <w:rsid w:val="2B25315D"/>
    <w:rsid w:val="2B272BDA"/>
    <w:rsid w:val="2B347B2F"/>
    <w:rsid w:val="2B4861ED"/>
    <w:rsid w:val="2B512035"/>
    <w:rsid w:val="2B605293"/>
    <w:rsid w:val="2B612554"/>
    <w:rsid w:val="2B8354F2"/>
    <w:rsid w:val="2B94670F"/>
    <w:rsid w:val="2B9F4376"/>
    <w:rsid w:val="2BBB30E2"/>
    <w:rsid w:val="2BDB76C2"/>
    <w:rsid w:val="2BE3057D"/>
    <w:rsid w:val="2C013CDC"/>
    <w:rsid w:val="2C2124F4"/>
    <w:rsid w:val="2C3579BB"/>
    <w:rsid w:val="2C4F3D60"/>
    <w:rsid w:val="2C6C6D68"/>
    <w:rsid w:val="2C750052"/>
    <w:rsid w:val="2C7A1FF1"/>
    <w:rsid w:val="2C881984"/>
    <w:rsid w:val="2C8A2821"/>
    <w:rsid w:val="2C9D6E98"/>
    <w:rsid w:val="2CEC37BF"/>
    <w:rsid w:val="2CF56F7A"/>
    <w:rsid w:val="2D0504C1"/>
    <w:rsid w:val="2D426C3D"/>
    <w:rsid w:val="2D5B1AF1"/>
    <w:rsid w:val="2D645A8B"/>
    <w:rsid w:val="2D795EE6"/>
    <w:rsid w:val="2DA75C8B"/>
    <w:rsid w:val="2DB61DC2"/>
    <w:rsid w:val="2DDC5444"/>
    <w:rsid w:val="2DE8326D"/>
    <w:rsid w:val="2E091627"/>
    <w:rsid w:val="2E4A429A"/>
    <w:rsid w:val="2E6426E9"/>
    <w:rsid w:val="2E742A36"/>
    <w:rsid w:val="2E806AC0"/>
    <w:rsid w:val="2EB10C98"/>
    <w:rsid w:val="2EC41B6D"/>
    <w:rsid w:val="2EE40C35"/>
    <w:rsid w:val="2F37118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916000"/>
    <w:rsid w:val="32A323B5"/>
    <w:rsid w:val="32BF029E"/>
    <w:rsid w:val="32BF4ECF"/>
    <w:rsid w:val="32E65F2C"/>
    <w:rsid w:val="32F609DC"/>
    <w:rsid w:val="32FC6F32"/>
    <w:rsid w:val="330A715A"/>
    <w:rsid w:val="330D309E"/>
    <w:rsid w:val="332561EC"/>
    <w:rsid w:val="33384636"/>
    <w:rsid w:val="336530DF"/>
    <w:rsid w:val="33663C27"/>
    <w:rsid w:val="3380537B"/>
    <w:rsid w:val="338A6244"/>
    <w:rsid w:val="338E7B26"/>
    <w:rsid w:val="33936F97"/>
    <w:rsid w:val="33BA4C3D"/>
    <w:rsid w:val="33BD766E"/>
    <w:rsid w:val="33C022CD"/>
    <w:rsid w:val="33C865FF"/>
    <w:rsid w:val="33EE55C1"/>
    <w:rsid w:val="341C2C0D"/>
    <w:rsid w:val="342C7624"/>
    <w:rsid w:val="34620568"/>
    <w:rsid w:val="34797724"/>
    <w:rsid w:val="349E59C5"/>
    <w:rsid w:val="34C52530"/>
    <w:rsid w:val="34C9220C"/>
    <w:rsid w:val="34F22E60"/>
    <w:rsid w:val="34F52E22"/>
    <w:rsid w:val="34FD5173"/>
    <w:rsid w:val="35132EF4"/>
    <w:rsid w:val="351E0F07"/>
    <w:rsid w:val="35403AD5"/>
    <w:rsid w:val="356F0F35"/>
    <w:rsid w:val="35773A99"/>
    <w:rsid w:val="357F43D3"/>
    <w:rsid w:val="3599165E"/>
    <w:rsid w:val="35B93F94"/>
    <w:rsid w:val="35C82B31"/>
    <w:rsid w:val="35D26A5B"/>
    <w:rsid w:val="35DF6709"/>
    <w:rsid w:val="35E42AC7"/>
    <w:rsid w:val="362B686B"/>
    <w:rsid w:val="362E5694"/>
    <w:rsid w:val="363641A4"/>
    <w:rsid w:val="363D0CFC"/>
    <w:rsid w:val="365454CD"/>
    <w:rsid w:val="36596B7F"/>
    <w:rsid w:val="36915EB5"/>
    <w:rsid w:val="36AB7421"/>
    <w:rsid w:val="36C074C4"/>
    <w:rsid w:val="36CC167E"/>
    <w:rsid w:val="36DE5C94"/>
    <w:rsid w:val="3709455A"/>
    <w:rsid w:val="371344B3"/>
    <w:rsid w:val="37213DE5"/>
    <w:rsid w:val="374B4FC3"/>
    <w:rsid w:val="37846422"/>
    <w:rsid w:val="37906B8B"/>
    <w:rsid w:val="37912C2B"/>
    <w:rsid w:val="37AF9877"/>
    <w:rsid w:val="37B05FEC"/>
    <w:rsid w:val="38007C07"/>
    <w:rsid w:val="380A685C"/>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22009D"/>
    <w:rsid w:val="3A7E0A06"/>
    <w:rsid w:val="3A7E1162"/>
    <w:rsid w:val="3A942F44"/>
    <w:rsid w:val="3A972710"/>
    <w:rsid w:val="3AF61384"/>
    <w:rsid w:val="3AF82491"/>
    <w:rsid w:val="3B013DDA"/>
    <w:rsid w:val="3B475B9C"/>
    <w:rsid w:val="3B620EA2"/>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44362"/>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3FF3221C"/>
    <w:rsid w:val="3FF9BADD"/>
    <w:rsid w:val="40424194"/>
    <w:rsid w:val="404C36C2"/>
    <w:rsid w:val="40774F6D"/>
    <w:rsid w:val="40AC6ABD"/>
    <w:rsid w:val="40E524A1"/>
    <w:rsid w:val="40F70F22"/>
    <w:rsid w:val="41022B36"/>
    <w:rsid w:val="410C33C4"/>
    <w:rsid w:val="410C6A04"/>
    <w:rsid w:val="411970AC"/>
    <w:rsid w:val="41271642"/>
    <w:rsid w:val="412B3CFA"/>
    <w:rsid w:val="41614DC5"/>
    <w:rsid w:val="418C2A9A"/>
    <w:rsid w:val="41A91B94"/>
    <w:rsid w:val="41BE5103"/>
    <w:rsid w:val="41F01338"/>
    <w:rsid w:val="42260647"/>
    <w:rsid w:val="422A255C"/>
    <w:rsid w:val="423F17DF"/>
    <w:rsid w:val="425A3496"/>
    <w:rsid w:val="429F4798"/>
    <w:rsid w:val="42B07FE0"/>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1435D9"/>
    <w:rsid w:val="45344663"/>
    <w:rsid w:val="45924D5C"/>
    <w:rsid w:val="45FA3D9C"/>
    <w:rsid w:val="45FA5C41"/>
    <w:rsid w:val="46071AC6"/>
    <w:rsid w:val="460A786B"/>
    <w:rsid w:val="4656787E"/>
    <w:rsid w:val="465765F5"/>
    <w:rsid w:val="46683C12"/>
    <w:rsid w:val="46975BF7"/>
    <w:rsid w:val="46AA30C5"/>
    <w:rsid w:val="46B11CD5"/>
    <w:rsid w:val="47071FDC"/>
    <w:rsid w:val="47390B3E"/>
    <w:rsid w:val="4739459F"/>
    <w:rsid w:val="4740699E"/>
    <w:rsid w:val="47501485"/>
    <w:rsid w:val="475F7C6C"/>
    <w:rsid w:val="47B578DE"/>
    <w:rsid w:val="48BC712F"/>
    <w:rsid w:val="490364C8"/>
    <w:rsid w:val="491F5084"/>
    <w:rsid w:val="49375169"/>
    <w:rsid w:val="496137C4"/>
    <w:rsid w:val="496C50A6"/>
    <w:rsid w:val="49711339"/>
    <w:rsid w:val="498F50D9"/>
    <w:rsid w:val="49977984"/>
    <w:rsid w:val="49FF361D"/>
    <w:rsid w:val="4A523DC6"/>
    <w:rsid w:val="4A7466FF"/>
    <w:rsid w:val="4AA352A0"/>
    <w:rsid w:val="4AB06EC7"/>
    <w:rsid w:val="4AFD2145"/>
    <w:rsid w:val="4B344C32"/>
    <w:rsid w:val="4B560286"/>
    <w:rsid w:val="4B6A50B4"/>
    <w:rsid w:val="4B710E47"/>
    <w:rsid w:val="4B7A3338"/>
    <w:rsid w:val="4B9316C9"/>
    <w:rsid w:val="4B9A31BC"/>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375E50"/>
    <w:rsid w:val="4F3A4FAD"/>
    <w:rsid w:val="4F413421"/>
    <w:rsid w:val="4F5542BA"/>
    <w:rsid w:val="4F5B6A7C"/>
    <w:rsid w:val="4F902DE8"/>
    <w:rsid w:val="4FE66D69"/>
    <w:rsid w:val="4FEF31B4"/>
    <w:rsid w:val="4FF108B5"/>
    <w:rsid w:val="4FF727BF"/>
    <w:rsid w:val="50126FB4"/>
    <w:rsid w:val="50366BB1"/>
    <w:rsid w:val="505D37E8"/>
    <w:rsid w:val="505E5044"/>
    <w:rsid w:val="50645371"/>
    <w:rsid w:val="50783615"/>
    <w:rsid w:val="50975B14"/>
    <w:rsid w:val="50E161AA"/>
    <w:rsid w:val="5103512C"/>
    <w:rsid w:val="51051CE7"/>
    <w:rsid w:val="512833BF"/>
    <w:rsid w:val="52026457"/>
    <w:rsid w:val="521F1693"/>
    <w:rsid w:val="523D05D3"/>
    <w:rsid w:val="524349D3"/>
    <w:rsid w:val="527B17DD"/>
    <w:rsid w:val="527B1A36"/>
    <w:rsid w:val="527F1783"/>
    <w:rsid w:val="528662F0"/>
    <w:rsid w:val="529E3019"/>
    <w:rsid w:val="52FA3944"/>
    <w:rsid w:val="530B0855"/>
    <w:rsid w:val="53125FE1"/>
    <w:rsid w:val="531E4716"/>
    <w:rsid w:val="534C582B"/>
    <w:rsid w:val="536729EA"/>
    <w:rsid w:val="5385080E"/>
    <w:rsid w:val="53B355D7"/>
    <w:rsid w:val="53CB308B"/>
    <w:rsid w:val="53F33750"/>
    <w:rsid w:val="541E31C1"/>
    <w:rsid w:val="54226DAD"/>
    <w:rsid w:val="54B57C0A"/>
    <w:rsid w:val="54C2149E"/>
    <w:rsid w:val="54D072C3"/>
    <w:rsid w:val="551845E5"/>
    <w:rsid w:val="55741A72"/>
    <w:rsid w:val="55AC42BD"/>
    <w:rsid w:val="55AD5A35"/>
    <w:rsid w:val="55CD5707"/>
    <w:rsid w:val="55D05DD8"/>
    <w:rsid w:val="55DF072A"/>
    <w:rsid w:val="561719BF"/>
    <w:rsid w:val="561C4D71"/>
    <w:rsid w:val="562070BA"/>
    <w:rsid w:val="562654E2"/>
    <w:rsid w:val="56276D69"/>
    <w:rsid w:val="565F7902"/>
    <w:rsid w:val="567B0D05"/>
    <w:rsid w:val="5687274B"/>
    <w:rsid w:val="56AF7B24"/>
    <w:rsid w:val="56E3240E"/>
    <w:rsid w:val="56E94B75"/>
    <w:rsid w:val="56EB2994"/>
    <w:rsid w:val="56F077A0"/>
    <w:rsid w:val="57580AC9"/>
    <w:rsid w:val="577E4D9D"/>
    <w:rsid w:val="57887360"/>
    <w:rsid w:val="57B73A21"/>
    <w:rsid w:val="57C91F73"/>
    <w:rsid w:val="57CA524F"/>
    <w:rsid w:val="57F55ADD"/>
    <w:rsid w:val="57F87AFA"/>
    <w:rsid w:val="58350BDD"/>
    <w:rsid w:val="58365C18"/>
    <w:rsid w:val="58BB07A8"/>
    <w:rsid w:val="58D16635"/>
    <w:rsid w:val="58F93554"/>
    <w:rsid w:val="58F93587"/>
    <w:rsid w:val="590B7E1B"/>
    <w:rsid w:val="59235EE6"/>
    <w:rsid w:val="593A6196"/>
    <w:rsid w:val="593D5A74"/>
    <w:rsid w:val="59634AD2"/>
    <w:rsid w:val="59684D1F"/>
    <w:rsid w:val="596F7DF9"/>
    <w:rsid w:val="59700CB2"/>
    <w:rsid w:val="5992590A"/>
    <w:rsid w:val="59F73FA9"/>
    <w:rsid w:val="5A006E37"/>
    <w:rsid w:val="5A0709C0"/>
    <w:rsid w:val="5A443ABB"/>
    <w:rsid w:val="5A4D392F"/>
    <w:rsid w:val="5A5B1C29"/>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A3CD1"/>
    <w:rsid w:val="5CAC42F9"/>
    <w:rsid w:val="5CBA7FC0"/>
    <w:rsid w:val="5CCF4CCD"/>
    <w:rsid w:val="5D2C38E4"/>
    <w:rsid w:val="5D333476"/>
    <w:rsid w:val="5D34491A"/>
    <w:rsid w:val="5D411F85"/>
    <w:rsid w:val="5D4F642A"/>
    <w:rsid w:val="5D536E7C"/>
    <w:rsid w:val="5D706898"/>
    <w:rsid w:val="5D7828E6"/>
    <w:rsid w:val="5D874EB5"/>
    <w:rsid w:val="5DB85ED3"/>
    <w:rsid w:val="5DC871F5"/>
    <w:rsid w:val="5DFB2D6D"/>
    <w:rsid w:val="5E1A5A1C"/>
    <w:rsid w:val="5E2C6546"/>
    <w:rsid w:val="5E4F72F6"/>
    <w:rsid w:val="5E6721EE"/>
    <w:rsid w:val="5EC827A4"/>
    <w:rsid w:val="5ECD6188"/>
    <w:rsid w:val="5ED65FEF"/>
    <w:rsid w:val="5EE12163"/>
    <w:rsid w:val="5F052914"/>
    <w:rsid w:val="5F0A5F36"/>
    <w:rsid w:val="5F0B4ACB"/>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357CC5"/>
    <w:rsid w:val="63417E63"/>
    <w:rsid w:val="63586D06"/>
    <w:rsid w:val="638669D0"/>
    <w:rsid w:val="639B5D89"/>
    <w:rsid w:val="63A32E81"/>
    <w:rsid w:val="63A82549"/>
    <w:rsid w:val="640052D8"/>
    <w:rsid w:val="6402249F"/>
    <w:rsid w:val="6417398B"/>
    <w:rsid w:val="64382979"/>
    <w:rsid w:val="646D3538"/>
    <w:rsid w:val="64DC72A8"/>
    <w:rsid w:val="64F13D73"/>
    <w:rsid w:val="64FFED47"/>
    <w:rsid w:val="65114B98"/>
    <w:rsid w:val="65170A3D"/>
    <w:rsid w:val="651E4C38"/>
    <w:rsid w:val="65365292"/>
    <w:rsid w:val="653809CB"/>
    <w:rsid w:val="65436AE1"/>
    <w:rsid w:val="65527C1B"/>
    <w:rsid w:val="65704466"/>
    <w:rsid w:val="6584222B"/>
    <w:rsid w:val="65CD26B4"/>
    <w:rsid w:val="65D214B6"/>
    <w:rsid w:val="660A60F8"/>
    <w:rsid w:val="661253BE"/>
    <w:rsid w:val="6612692A"/>
    <w:rsid w:val="66161F0A"/>
    <w:rsid w:val="66196145"/>
    <w:rsid w:val="662F2F18"/>
    <w:rsid w:val="6670389E"/>
    <w:rsid w:val="66C60A29"/>
    <w:rsid w:val="66D042E9"/>
    <w:rsid w:val="66F66FFA"/>
    <w:rsid w:val="66F73355"/>
    <w:rsid w:val="671921DE"/>
    <w:rsid w:val="6731565E"/>
    <w:rsid w:val="673536B8"/>
    <w:rsid w:val="674E497A"/>
    <w:rsid w:val="677D30E0"/>
    <w:rsid w:val="67C25F42"/>
    <w:rsid w:val="67D132C7"/>
    <w:rsid w:val="68006EE8"/>
    <w:rsid w:val="68166C87"/>
    <w:rsid w:val="6819202A"/>
    <w:rsid w:val="68401238"/>
    <w:rsid w:val="684727D9"/>
    <w:rsid w:val="68535FE0"/>
    <w:rsid w:val="68683D31"/>
    <w:rsid w:val="686D2070"/>
    <w:rsid w:val="68A139E4"/>
    <w:rsid w:val="68B3726E"/>
    <w:rsid w:val="68BD171A"/>
    <w:rsid w:val="68C1349D"/>
    <w:rsid w:val="68D659E5"/>
    <w:rsid w:val="69264754"/>
    <w:rsid w:val="694420CC"/>
    <w:rsid w:val="696E1C4C"/>
    <w:rsid w:val="697C74E5"/>
    <w:rsid w:val="69816C11"/>
    <w:rsid w:val="6A1224A0"/>
    <w:rsid w:val="6A292147"/>
    <w:rsid w:val="6A31115D"/>
    <w:rsid w:val="6A502F91"/>
    <w:rsid w:val="6A5C2E89"/>
    <w:rsid w:val="6A6B1379"/>
    <w:rsid w:val="6A6F21B0"/>
    <w:rsid w:val="6A7C062B"/>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3891"/>
    <w:rsid w:val="6CB674EB"/>
    <w:rsid w:val="6CC3417C"/>
    <w:rsid w:val="6CF751CD"/>
    <w:rsid w:val="6CFE2A90"/>
    <w:rsid w:val="6D033406"/>
    <w:rsid w:val="6D0E42A3"/>
    <w:rsid w:val="6D363AA9"/>
    <w:rsid w:val="6D6A23A6"/>
    <w:rsid w:val="6D747C94"/>
    <w:rsid w:val="6D7A7986"/>
    <w:rsid w:val="6D843218"/>
    <w:rsid w:val="6DAA3AC3"/>
    <w:rsid w:val="6DB27C2E"/>
    <w:rsid w:val="6DB33789"/>
    <w:rsid w:val="6DBB470D"/>
    <w:rsid w:val="6DC349D7"/>
    <w:rsid w:val="6DCF3E9D"/>
    <w:rsid w:val="6DD01ED5"/>
    <w:rsid w:val="6DD02FE9"/>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4F5C6B"/>
    <w:rsid w:val="6F6D5808"/>
    <w:rsid w:val="6FF3443A"/>
    <w:rsid w:val="6FF40BBB"/>
    <w:rsid w:val="70013752"/>
    <w:rsid w:val="70317E9E"/>
    <w:rsid w:val="70342CA5"/>
    <w:rsid w:val="70363C29"/>
    <w:rsid w:val="705410A6"/>
    <w:rsid w:val="705D2BE9"/>
    <w:rsid w:val="708A7E30"/>
    <w:rsid w:val="70E26C32"/>
    <w:rsid w:val="70E86DEE"/>
    <w:rsid w:val="712307DD"/>
    <w:rsid w:val="71356F33"/>
    <w:rsid w:val="717D05E1"/>
    <w:rsid w:val="719C3171"/>
    <w:rsid w:val="71BF2057"/>
    <w:rsid w:val="71DA2984"/>
    <w:rsid w:val="71E81E35"/>
    <w:rsid w:val="71F31696"/>
    <w:rsid w:val="721169B3"/>
    <w:rsid w:val="723D3F29"/>
    <w:rsid w:val="725344BD"/>
    <w:rsid w:val="72556B12"/>
    <w:rsid w:val="725F4533"/>
    <w:rsid w:val="72665AB1"/>
    <w:rsid w:val="726B0346"/>
    <w:rsid w:val="72846E13"/>
    <w:rsid w:val="729F603C"/>
    <w:rsid w:val="72A20E4A"/>
    <w:rsid w:val="72A21144"/>
    <w:rsid w:val="72AC5DEC"/>
    <w:rsid w:val="72BA11D4"/>
    <w:rsid w:val="72BB5863"/>
    <w:rsid w:val="72C34BC0"/>
    <w:rsid w:val="72EF0842"/>
    <w:rsid w:val="73653045"/>
    <w:rsid w:val="736D13CC"/>
    <w:rsid w:val="73C34FB0"/>
    <w:rsid w:val="73DD042E"/>
    <w:rsid w:val="73E630B6"/>
    <w:rsid w:val="745D4CA2"/>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DB6BF5"/>
    <w:rsid w:val="75E13D13"/>
    <w:rsid w:val="763E2F56"/>
    <w:rsid w:val="76582980"/>
    <w:rsid w:val="765B603D"/>
    <w:rsid w:val="765C7713"/>
    <w:rsid w:val="76671C9E"/>
    <w:rsid w:val="767B6F1E"/>
    <w:rsid w:val="76820B5D"/>
    <w:rsid w:val="768E1D0F"/>
    <w:rsid w:val="76BA5152"/>
    <w:rsid w:val="76D457A0"/>
    <w:rsid w:val="76E97262"/>
    <w:rsid w:val="771F0D94"/>
    <w:rsid w:val="77411B76"/>
    <w:rsid w:val="77482DDB"/>
    <w:rsid w:val="774B2396"/>
    <w:rsid w:val="778012E8"/>
    <w:rsid w:val="77A35526"/>
    <w:rsid w:val="77AA1492"/>
    <w:rsid w:val="781A460E"/>
    <w:rsid w:val="782F7348"/>
    <w:rsid w:val="783025F2"/>
    <w:rsid w:val="78582600"/>
    <w:rsid w:val="7881670C"/>
    <w:rsid w:val="78967EE6"/>
    <w:rsid w:val="78BD4522"/>
    <w:rsid w:val="78C427C8"/>
    <w:rsid w:val="78C42AEC"/>
    <w:rsid w:val="78DA4DE9"/>
    <w:rsid w:val="78DB45BB"/>
    <w:rsid w:val="78EA6A67"/>
    <w:rsid w:val="79010C64"/>
    <w:rsid w:val="79164A8A"/>
    <w:rsid w:val="79343267"/>
    <w:rsid w:val="794A3E9B"/>
    <w:rsid w:val="796304EA"/>
    <w:rsid w:val="799042FF"/>
    <w:rsid w:val="79D96301"/>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EEF774"/>
    <w:rsid w:val="7DF34CB6"/>
    <w:rsid w:val="7E035813"/>
    <w:rsid w:val="7E1410AD"/>
    <w:rsid w:val="7E1809CF"/>
    <w:rsid w:val="7E3F8497"/>
    <w:rsid w:val="7E4253D3"/>
    <w:rsid w:val="7E46459C"/>
    <w:rsid w:val="7E753D6C"/>
    <w:rsid w:val="7E905C32"/>
    <w:rsid w:val="7EC30AC6"/>
    <w:rsid w:val="7EFB1398"/>
    <w:rsid w:val="7F1926C7"/>
    <w:rsid w:val="7F1D6B1B"/>
    <w:rsid w:val="7F425919"/>
    <w:rsid w:val="7F5D7905"/>
    <w:rsid w:val="7F8A0016"/>
    <w:rsid w:val="7FC927A8"/>
    <w:rsid w:val="7FD36A43"/>
    <w:rsid w:val="7FE27B5E"/>
    <w:rsid w:val="7FF76C79"/>
    <w:rsid w:val="83F342B8"/>
    <w:rsid w:val="97669D6F"/>
    <w:rsid w:val="AFE5B4E1"/>
    <w:rsid w:val="B67B34E5"/>
    <w:rsid w:val="BB5A9AE8"/>
    <w:rsid w:val="BCEACE62"/>
    <w:rsid w:val="BFFF1798"/>
    <w:rsid w:val="FB6D5706"/>
    <w:rsid w:val="FFF9B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table of authorities"/>
    <w:basedOn w:val="1"/>
    <w:next w:val="1"/>
    <w:unhideWhenUsed/>
    <w:qFormat/>
    <w:uiPriority w:val="0"/>
    <w:pPr>
      <w:ind w:left="420" w:leftChars="200"/>
    </w:pPr>
  </w:style>
  <w:style w:type="paragraph" w:styleId="11">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Document Map"/>
    <w:basedOn w:val="1"/>
    <w:link w:val="135"/>
    <w:qFormat/>
    <w:uiPriority w:val="0"/>
    <w:rPr>
      <w:rFonts w:ascii="宋体" w:hAnsi="Calibri" w:eastAsia="宋体" w:cs="Times New Roman"/>
      <w:kern w:val="0"/>
      <w:sz w:val="18"/>
      <w:szCs w:val="20"/>
    </w:rPr>
  </w:style>
  <w:style w:type="paragraph" w:styleId="13">
    <w:name w:val="toa heading"/>
    <w:basedOn w:val="1"/>
    <w:next w:val="1"/>
    <w:qFormat/>
    <w:uiPriority w:val="0"/>
    <w:pPr>
      <w:spacing w:before="120"/>
    </w:pPr>
    <w:rPr>
      <w:rFonts w:ascii="Cambria" w:hAnsi="Cambria"/>
      <w:sz w:val="24"/>
      <w:szCs w:val="20"/>
    </w:rPr>
  </w:style>
  <w:style w:type="paragraph" w:styleId="14">
    <w:name w:val="annotation text"/>
    <w:basedOn w:val="1"/>
    <w:link w:val="163"/>
    <w:qFormat/>
    <w:uiPriority w:val="0"/>
    <w:pPr>
      <w:jc w:val="left"/>
    </w:pPr>
  </w:style>
  <w:style w:type="paragraph" w:styleId="15">
    <w:name w:val="Body Text"/>
    <w:basedOn w:val="1"/>
    <w:next w:val="1"/>
    <w:link w:val="138"/>
    <w:qFormat/>
    <w:uiPriority w:val="99"/>
    <w:pPr>
      <w:spacing w:after="120"/>
    </w:pPr>
    <w:rPr>
      <w:rFonts w:ascii="Calibri" w:hAnsi="Calibri" w:eastAsia="宋体" w:cs="Times New Roman"/>
      <w:kern w:val="0"/>
      <w:sz w:val="24"/>
      <w:szCs w:val="20"/>
    </w:rPr>
  </w:style>
  <w:style w:type="paragraph" w:styleId="16">
    <w:name w:val="Body Text Indent"/>
    <w:basedOn w:val="1"/>
    <w:link w:val="69"/>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8"/>
    <w:qFormat/>
    <w:uiPriority w:val="0"/>
    <w:rPr>
      <w:szCs w:val="21"/>
    </w:rPr>
  </w:style>
  <w:style w:type="paragraph" w:styleId="22">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1"/>
    <w:qFormat/>
    <w:uiPriority w:val="99"/>
    <w:rPr>
      <w:rFonts w:ascii="Calibri" w:hAnsi="Calibri" w:eastAsia="宋体" w:cs="Times New Roman"/>
      <w:sz w:val="18"/>
      <w:szCs w:val="18"/>
    </w:rPr>
  </w:style>
  <w:style w:type="paragraph" w:styleId="24">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175"/>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61"/>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4"/>
    <w:next w:val="14"/>
    <w:link w:val="168"/>
    <w:qFormat/>
    <w:uiPriority w:val="0"/>
    <w:rPr>
      <w:b/>
      <w:bCs/>
    </w:rPr>
  </w:style>
  <w:style w:type="paragraph" w:styleId="39">
    <w:name w:val="Body Text First Indent"/>
    <w:basedOn w:val="15"/>
    <w:link w:val="208"/>
    <w:unhideWhenUsed/>
    <w:qFormat/>
    <w:uiPriority w:val="99"/>
    <w:pPr>
      <w:ind w:firstLine="420" w:firstLineChars="100"/>
    </w:pPr>
    <w:rPr>
      <w:rFonts w:asciiTheme="minorHAnsi" w:hAnsiTheme="minorHAnsi" w:eastAsiaTheme="minorEastAsia" w:cstheme="minorBidi"/>
      <w:kern w:val="2"/>
      <w:sz w:val="21"/>
      <w:szCs w:val="22"/>
    </w:rPr>
  </w:style>
  <w:style w:type="paragraph" w:styleId="40">
    <w:name w:val="Body Text First Indent 2"/>
    <w:basedOn w:val="16"/>
    <w:next w:val="1"/>
    <w:link w:val="212"/>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5"/>
    <w:qFormat/>
    <w:uiPriority w:val="0"/>
    <w:pPr>
      <w:spacing w:after="0"/>
      <w:ind w:firstLine="560" w:firstLineChars="200"/>
      <w:jc w:val="left"/>
    </w:pPr>
    <w:rPr>
      <w:rFonts w:ascii="Arial" w:hAnsi="Arial" w:eastAsia="仿宋" w:cs="宋体"/>
      <w:sz w:val="28"/>
      <w:szCs w:val="21"/>
    </w:rPr>
  </w:style>
  <w:style w:type="character" w:customStyle="1" w:styleId="64">
    <w:name w:val="标题 1 字符"/>
    <w:basedOn w:val="43"/>
    <w:link w:val="2"/>
    <w:qFormat/>
    <w:uiPriority w:val="9"/>
    <w:rPr>
      <w:rFonts w:ascii="???" w:hAnsi="???" w:eastAsia="宋体" w:cs="Arial"/>
      <w:b/>
      <w:bCs/>
      <w:color w:val="020000"/>
      <w:kern w:val="36"/>
      <w:sz w:val="44"/>
      <w:szCs w:val="44"/>
    </w:rPr>
  </w:style>
  <w:style w:type="character" w:customStyle="1" w:styleId="65">
    <w:name w:val="标题 3 字符"/>
    <w:basedOn w:val="43"/>
    <w:link w:val="4"/>
    <w:qFormat/>
    <w:uiPriority w:val="0"/>
    <w:rPr>
      <w:rFonts w:ascii="??" w:hAnsi="??" w:eastAsia="宋体" w:cs="Arial"/>
      <w:b/>
      <w:bCs/>
      <w:color w:val="000000"/>
      <w:kern w:val="0"/>
      <w:sz w:val="32"/>
      <w:szCs w:val="32"/>
    </w:rPr>
  </w:style>
  <w:style w:type="character" w:customStyle="1" w:styleId="66">
    <w:name w:val="标题 2 字符"/>
    <w:basedOn w:val="43"/>
    <w:link w:val="3"/>
    <w:qFormat/>
    <w:uiPriority w:val="99"/>
    <w:rPr>
      <w:rFonts w:ascii="???" w:hAnsi="???" w:eastAsia="宋体" w:cs="Arial"/>
      <w:b/>
      <w:bCs/>
      <w:color w:val="020000"/>
      <w:kern w:val="0"/>
      <w:sz w:val="32"/>
      <w:szCs w:val="32"/>
    </w:rPr>
  </w:style>
  <w:style w:type="character" w:customStyle="1" w:styleId="67">
    <w:name w:val="页眉 字符"/>
    <w:basedOn w:val="43"/>
    <w:link w:val="25"/>
    <w:qFormat/>
    <w:uiPriority w:val="99"/>
    <w:rPr>
      <w:rFonts w:ascii="Calibri" w:hAnsi="Calibri" w:eastAsia="宋体" w:cs="Times New Roman"/>
      <w:sz w:val="18"/>
      <w:szCs w:val="18"/>
    </w:rPr>
  </w:style>
  <w:style w:type="character" w:customStyle="1" w:styleId="68">
    <w:name w:val="页脚 字符"/>
    <w:basedOn w:val="43"/>
    <w:link w:val="24"/>
    <w:qFormat/>
    <w:uiPriority w:val="99"/>
    <w:rPr>
      <w:rFonts w:ascii="Calibri" w:hAnsi="Calibri" w:eastAsia="宋体" w:cs="Times New Roman"/>
      <w:sz w:val="18"/>
      <w:szCs w:val="18"/>
    </w:rPr>
  </w:style>
  <w:style w:type="character" w:customStyle="1" w:styleId="69">
    <w:name w:val="正文文本缩进 字符"/>
    <w:basedOn w:val="43"/>
    <w:link w:val="16"/>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3"/>
    <w:qFormat/>
    <w:uiPriority w:val="99"/>
    <w:rPr>
      <w:rFonts w:cs="Times New Roman"/>
    </w:rPr>
  </w:style>
  <w:style w:type="paragraph" w:customStyle="1" w:styleId="73">
    <w:name w:val="表格文字"/>
    <w:basedOn w:val="1"/>
    <w:next w:val="15"/>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3"/>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3"/>
    <w:link w:val="76"/>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qFormat/>
    <w:locked/>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字符"/>
    <w:basedOn w:val="43"/>
    <w:link w:val="23"/>
    <w:qFormat/>
    <w:uiPriority w:val="99"/>
    <w:rPr>
      <w:rFonts w:ascii="Calibri" w:hAnsi="Calibri" w:eastAsia="宋体" w:cs="Times New Roman"/>
      <w:sz w:val="18"/>
      <w:szCs w:val="18"/>
    </w:rPr>
  </w:style>
  <w:style w:type="character" w:customStyle="1" w:styleId="82">
    <w:name w:val="ui-bz-bg-hover1"/>
    <w:basedOn w:val="43"/>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3"/>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3"/>
    <w:qFormat/>
    <w:uiPriority w:val="99"/>
    <w:rPr>
      <w:rFonts w:cs="Times New Roman"/>
    </w:rPr>
  </w:style>
  <w:style w:type="character" w:customStyle="1" w:styleId="92">
    <w:name w:val="no52"/>
    <w:basedOn w:val="43"/>
    <w:qFormat/>
    <w:uiPriority w:val="99"/>
    <w:rPr>
      <w:rFonts w:cs="Times New Roman"/>
    </w:rPr>
  </w:style>
  <w:style w:type="character" w:customStyle="1" w:styleId="93">
    <w:name w:val="no4"/>
    <w:basedOn w:val="43"/>
    <w:qFormat/>
    <w:uiPriority w:val="99"/>
    <w:rPr>
      <w:rFonts w:cs="Times New Roman"/>
    </w:rPr>
  </w:style>
  <w:style w:type="character" w:customStyle="1" w:styleId="94">
    <w:name w:val="my-notice"/>
    <w:basedOn w:val="43"/>
    <w:qFormat/>
    <w:uiPriority w:val="99"/>
    <w:rPr>
      <w:rFonts w:cs="Times New Roman"/>
    </w:rPr>
  </w:style>
  <w:style w:type="character" w:customStyle="1" w:styleId="95">
    <w:name w:val="ico-jiang"/>
    <w:basedOn w:val="43"/>
    <w:qFormat/>
    <w:uiPriority w:val="99"/>
    <w:rPr>
      <w:rFonts w:cs="Times New Roman"/>
    </w:rPr>
  </w:style>
  <w:style w:type="character" w:customStyle="1" w:styleId="96">
    <w:name w:val="ico-jiang2"/>
    <w:basedOn w:val="43"/>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43"/>
    <w:qFormat/>
    <w:uiPriority w:val="99"/>
    <w:rPr>
      <w:rFonts w:cs="Times New Roman"/>
    </w:rPr>
  </w:style>
  <w:style w:type="character" w:customStyle="1" w:styleId="100">
    <w:name w:val="org_name2"/>
    <w:basedOn w:val="43"/>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3"/>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3"/>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3"/>
    <w:qFormat/>
    <w:uiPriority w:val="99"/>
    <w:rPr>
      <w:rFonts w:cs="Times New Roman"/>
    </w:rPr>
  </w:style>
  <w:style w:type="character" w:customStyle="1" w:styleId="108">
    <w:name w:val="bds_nopic2"/>
    <w:basedOn w:val="43"/>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3"/>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3"/>
    <w:qFormat/>
    <w:uiPriority w:val="99"/>
    <w:rPr>
      <w:rFonts w:cs="Times New Roman"/>
    </w:rPr>
  </w:style>
  <w:style w:type="character" w:customStyle="1" w:styleId="113">
    <w:name w:val="bds_more2"/>
    <w:basedOn w:val="43"/>
    <w:qFormat/>
    <w:uiPriority w:val="99"/>
    <w:rPr>
      <w:rFonts w:cs="Times New Roman"/>
    </w:rPr>
  </w:style>
  <w:style w:type="character" w:customStyle="1" w:styleId="114">
    <w:name w:val="my-class"/>
    <w:basedOn w:val="43"/>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3"/>
    <w:qFormat/>
    <w:uiPriority w:val="99"/>
    <w:rPr>
      <w:rFonts w:cs="Times New Roman"/>
    </w:rPr>
  </w:style>
  <w:style w:type="character" w:customStyle="1" w:styleId="117">
    <w:name w:val="正文缩进 字符"/>
    <w:link w:val="6"/>
    <w:qFormat/>
    <w:locked/>
    <w:uiPriority w:val="0"/>
    <w:rPr>
      <w:rFonts w:ascii="Times New Roman" w:hAnsi="Times New Roman" w:eastAsia="宋体" w:cs="Times New Roman"/>
      <w:kern w:val="0"/>
      <w:sz w:val="24"/>
      <w:szCs w:val="20"/>
    </w:rPr>
  </w:style>
  <w:style w:type="character" w:customStyle="1" w:styleId="118">
    <w:name w:val="ico-jiang1"/>
    <w:basedOn w:val="43"/>
    <w:qFormat/>
    <w:uiPriority w:val="99"/>
    <w:rPr>
      <w:rFonts w:cs="Times New Roman"/>
    </w:rPr>
  </w:style>
  <w:style w:type="character" w:customStyle="1" w:styleId="119">
    <w:name w:val="no62"/>
    <w:basedOn w:val="43"/>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3"/>
    <w:qFormat/>
    <w:uiPriority w:val="99"/>
    <w:rPr>
      <w:rFonts w:cs="Times New Roman"/>
    </w:rPr>
  </w:style>
  <w:style w:type="character" w:customStyle="1" w:styleId="122">
    <w:name w:val="no5"/>
    <w:basedOn w:val="43"/>
    <w:qFormat/>
    <w:uiPriority w:val="99"/>
    <w:rPr>
      <w:rFonts w:cs="Times New Roman"/>
    </w:rPr>
  </w:style>
  <w:style w:type="character" w:customStyle="1" w:styleId="123">
    <w:name w:val="bds_more3"/>
    <w:basedOn w:val="43"/>
    <w:qFormat/>
    <w:uiPriority w:val="99"/>
    <w:rPr>
      <w:rFonts w:cs="Times New Roman"/>
    </w:rPr>
  </w:style>
  <w:style w:type="character" w:customStyle="1" w:styleId="124">
    <w:name w:val="no42"/>
    <w:basedOn w:val="43"/>
    <w:qFormat/>
    <w:uiPriority w:val="99"/>
    <w:rPr>
      <w:rFonts w:cs="Times New Roman"/>
    </w:rPr>
  </w:style>
  <w:style w:type="character" w:customStyle="1" w:styleId="125">
    <w:name w:val="bds_nopic1"/>
    <w:basedOn w:val="43"/>
    <w:qFormat/>
    <w:uiPriority w:val="99"/>
    <w:rPr>
      <w:rFonts w:cs="Times New Roman"/>
    </w:rPr>
  </w:style>
  <w:style w:type="character" w:customStyle="1" w:styleId="126">
    <w:name w:val="my-notice1"/>
    <w:basedOn w:val="43"/>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3"/>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字符"/>
    <w:basedOn w:val="43"/>
    <w:link w:val="22"/>
    <w:qFormat/>
    <w:uiPriority w:val="99"/>
    <w:rPr>
      <w:rFonts w:ascii="宋体" w:hAnsi="Calibri" w:eastAsia="宋体" w:cs="Times New Roman"/>
      <w:kern w:val="0"/>
      <w:sz w:val="24"/>
      <w:szCs w:val="20"/>
    </w:rPr>
  </w:style>
  <w:style w:type="character" w:customStyle="1" w:styleId="132">
    <w:name w:val="Body Text Indent 2 Char1"/>
    <w:basedOn w:val="43"/>
    <w:semiHidden/>
    <w:qFormat/>
    <w:locked/>
    <w:uiPriority w:val="99"/>
    <w:rPr>
      <w:rFonts w:cs="Times New Roman"/>
    </w:rPr>
  </w:style>
  <w:style w:type="character" w:customStyle="1" w:styleId="133">
    <w:name w:val="正文文本缩进 3 字符"/>
    <w:basedOn w:val="43"/>
    <w:link w:val="30"/>
    <w:qFormat/>
    <w:uiPriority w:val="99"/>
    <w:rPr>
      <w:rFonts w:ascii="宋体" w:hAnsi="Calibri" w:eastAsia="宋体" w:cs="Times New Roman"/>
      <w:kern w:val="0"/>
      <w:sz w:val="20"/>
      <w:szCs w:val="20"/>
    </w:rPr>
  </w:style>
  <w:style w:type="character" w:customStyle="1" w:styleId="134">
    <w:name w:val="Body Text Indent 3 Char1"/>
    <w:basedOn w:val="43"/>
    <w:semiHidden/>
    <w:qFormat/>
    <w:locked/>
    <w:uiPriority w:val="99"/>
    <w:rPr>
      <w:rFonts w:cs="Times New Roman"/>
      <w:sz w:val="16"/>
      <w:szCs w:val="16"/>
    </w:rPr>
  </w:style>
  <w:style w:type="character" w:customStyle="1" w:styleId="135">
    <w:name w:val="文档结构图 字符"/>
    <w:basedOn w:val="43"/>
    <w:link w:val="12"/>
    <w:qFormat/>
    <w:uiPriority w:val="99"/>
    <w:rPr>
      <w:rFonts w:ascii="宋体" w:hAnsi="Calibri" w:eastAsia="宋体" w:cs="Times New Roman"/>
      <w:kern w:val="0"/>
      <w:sz w:val="18"/>
      <w:szCs w:val="20"/>
    </w:rPr>
  </w:style>
  <w:style w:type="character" w:customStyle="1" w:styleId="136">
    <w:name w:val="Document Map Char3"/>
    <w:basedOn w:val="43"/>
    <w:semiHidden/>
    <w:qFormat/>
    <w:locked/>
    <w:uiPriority w:val="99"/>
    <w:rPr>
      <w:rFonts w:ascii="Times New Roman" w:hAnsi="Times New Roman" w:cs="Times New Roman"/>
      <w:sz w:val="2"/>
    </w:rPr>
  </w:style>
  <w:style w:type="paragraph" w:customStyle="1" w:styleId="137">
    <w:name w:val="_Style 1"/>
    <w:basedOn w:val="1"/>
    <w:qFormat/>
    <w:uiPriority w:val="99"/>
    <w:pPr>
      <w:ind w:firstLine="420" w:firstLineChars="200"/>
    </w:pPr>
    <w:rPr>
      <w:rFonts w:ascii="Times New Roman" w:hAnsi="Times New Roman" w:eastAsia="宋体" w:cs="Times New Roman"/>
      <w:szCs w:val="24"/>
    </w:rPr>
  </w:style>
  <w:style w:type="character" w:customStyle="1" w:styleId="138">
    <w:name w:val="正文文本 字符"/>
    <w:basedOn w:val="43"/>
    <w:link w:val="15"/>
    <w:qFormat/>
    <w:uiPriority w:val="99"/>
    <w:rPr>
      <w:rFonts w:ascii="Calibri" w:hAnsi="Calibri" w:eastAsia="宋体" w:cs="Times New Roman"/>
      <w:kern w:val="0"/>
      <w:sz w:val="24"/>
      <w:szCs w:val="20"/>
    </w:rPr>
  </w:style>
  <w:style w:type="character" w:customStyle="1" w:styleId="139">
    <w:name w:val="Body Text Char1"/>
    <w:basedOn w:val="43"/>
    <w:semiHidden/>
    <w:qFormat/>
    <w:locked/>
    <w:uiPriority w:val="99"/>
    <w:rPr>
      <w:rFonts w:cs="Times New Roman"/>
    </w:rPr>
  </w:style>
  <w:style w:type="paragraph" w:customStyle="1" w:styleId="140">
    <w:name w:val="_Style 21"/>
    <w:basedOn w:val="1"/>
    <w:qFormat/>
    <w:uiPriority w:val="99"/>
    <w:rPr>
      <w:rFonts w:ascii="Times New Roman" w:hAnsi="Times New Roman" w:eastAsia="宋体" w:cs="Times New Roman"/>
      <w:szCs w:val="20"/>
    </w:rPr>
  </w:style>
  <w:style w:type="paragraph" w:customStyle="1" w:styleId="141">
    <w:name w:val="p0"/>
    <w:basedOn w:val="1"/>
    <w:qFormat/>
    <w:uiPriority w:val="99"/>
    <w:pPr>
      <w:widowControl/>
    </w:pPr>
    <w:rPr>
      <w:rFonts w:ascii="Times New Roman" w:hAnsi="Times New Roman" w:eastAsia="宋体" w:cs="Times New Roman"/>
      <w:kern w:val="0"/>
      <w:szCs w:val="21"/>
    </w:rPr>
  </w:style>
  <w:style w:type="paragraph" w:customStyle="1" w:styleId="14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3">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4">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7">
    <w:name w:val="_Style 2"/>
    <w:basedOn w:val="1"/>
    <w:qFormat/>
    <w:uiPriority w:val="99"/>
    <w:pPr>
      <w:ind w:firstLine="420" w:firstLineChars="200"/>
    </w:pPr>
    <w:rPr>
      <w:rFonts w:ascii="Calibri" w:hAnsi="Calibri" w:eastAsia="宋体" w:cs="Times New Roman"/>
    </w:rPr>
  </w:style>
  <w:style w:type="paragraph" w:customStyle="1" w:styleId="148">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9">
    <w:name w:val="_Style 11"/>
    <w:basedOn w:val="1"/>
    <w:qFormat/>
    <w:uiPriority w:val="99"/>
    <w:rPr>
      <w:rFonts w:ascii="Times New Roman" w:hAnsi="Times New Roman" w:eastAsia="宋体" w:cs="Times New Roman"/>
      <w:szCs w:val="24"/>
    </w:rPr>
  </w:style>
  <w:style w:type="paragraph" w:customStyle="1" w:styleId="150">
    <w:name w:val="Char"/>
    <w:basedOn w:val="1"/>
    <w:qFormat/>
    <w:uiPriority w:val="99"/>
    <w:rPr>
      <w:rFonts w:ascii="Times New Roman" w:hAnsi="Times New Roman" w:eastAsia="宋体" w:cs="Times New Roman"/>
      <w:szCs w:val="21"/>
    </w:rPr>
  </w:style>
  <w:style w:type="paragraph" w:customStyle="1" w:styleId="15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2">
    <w:name w:val="列出段落2"/>
    <w:basedOn w:val="1"/>
    <w:qFormat/>
    <w:uiPriority w:val="99"/>
    <w:pPr>
      <w:ind w:firstLine="420" w:firstLineChars="200"/>
    </w:pPr>
    <w:rPr>
      <w:rFonts w:ascii="Times New Roman" w:hAnsi="Times New Roman" w:eastAsia="宋体"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99"/>
    <w:rPr>
      <w:rFonts w:hint="eastAsia" w:ascii="宋体" w:hAnsi="宋体" w:eastAsia="宋体" w:cs="宋体"/>
      <w:b/>
      <w:color w:val="000000"/>
      <w:sz w:val="22"/>
      <w:szCs w:val="22"/>
      <w:u w:val="none"/>
    </w:rPr>
  </w:style>
  <w:style w:type="character" w:customStyle="1" w:styleId="157">
    <w:name w:val="font21"/>
    <w:qFormat/>
    <w:uiPriority w:val="0"/>
    <w:rPr>
      <w:rFonts w:hint="eastAsia" w:ascii="宋体" w:hAnsi="宋体" w:eastAsia="宋体" w:cs="宋体"/>
      <w:color w:val="000000"/>
      <w:sz w:val="18"/>
      <w:szCs w:val="18"/>
      <w:u w:val="none"/>
    </w:rPr>
  </w:style>
  <w:style w:type="character" w:customStyle="1" w:styleId="158">
    <w:name w:val="日期 字符"/>
    <w:link w:val="21"/>
    <w:qFormat/>
    <w:uiPriority w:val="0"/>
    <w:rPr>
      <w:szCs w:val="21"/>
    </w:rPr>
  </w:style>
  <w:style w:type="character" w:customStyle="1" w:styleId="159">
    <w:name w:val="font01"/>
    <w:qFormat/>
    <w:uiPriority w:val="99"/>
    <w:rPr>
      <w:rFonts w:hint="eastAsia" w:ascii="宋体" w:hAnsi="宋体" w:eastAsia="宋体" w:cs="宋体"/>
      <w:color w:val="000000"/>
      <w:sz w:val="22"/>
      <w:szCs w:val="22"/>
      <w:u w:val="none"/>
    </w:rPr>
  </w:style>
  <w:style w:type="character" w:customStyle="1" w:styleId="160">
    <w:name w:val="Char Char1"/>
    <w:qFormat/>
    <w:uiPriority w:val="0"/>
    <w:rPr>
      <w:rFonts w:eastAsia="宋体"/>
      <w:kern w:val="2"/>
      <w:sz w:val="18"/>
      <w:szCs w:val="18"/>
      <w:lang w:val="en-US" w:eastAsia="zh-CN" w:bidi="ar-SA"/>
    </w:rPr>
  </w:style>
  <w:style w:type="character" w:customStyle="1" w:styleId="161">
    <w:name w:val="标题 字符"/>
    <w:link w:val="37"/>
    <w:qFormat/>
    <w:uiPriority w:val="0"/>
    <w:rPr>
      <w:rFonts w:ascii="Cambria" w:hAnsi="Cambria" w:cs="Times New Roman"/>
      <w:b/>
      <w:bCs/>
      <w:sz w:val="32"/>
      <w:szCs w:val="32"/>
    </w:rPr>
  </w:style>
  <w:style w:type="character" w:customStyle="1" w:styleId="162">
    <w:name w:val="hei141"/>
    <w:qFormat/>
    <w:uiPriority w:val="0"/>
    <w:rPr>
      <w:rFonts w:hint="eastAsia" w:ascii="宋体" w:hAnsi="宋体" w:eastAsia="宋体"/>
      <w:color w:val="000000"/>
      <w:sz w:val="19"/>
      <w:szCs w:val="19"/>
      <w:u w:val="none"/>
    </w:rPr>
  </w:style>
  <w:style w:type="character" w:customStyle="1" w:styleId="163">
    <w:name w:val="批注文字 字符"/>
    <w:link w:val="14"/>
    <w:qFormat/>
    <w:uiPriority w:val="0"/>
  </w:style>
  <w:style w:type="character" w:customStyle="1" w:styleId="164">
    <w:name w:val="apple-style-span"/>
    <w:basedOn w:val="43"/>
    <w:qFormat/>
    <w:uiPriority w:val="0"/>
  </w:style>
  <w:style w:type="character" w:customStyle="1" w:styleId="165">
    <w:name w:val="param-valu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qFormat/>
    <w:uiPriority w:val="0"/>
    <w:rPr>
      <w:rFonts w:hint="eastAsia" w:ascii="宋体" w:hAnsi="宋体" w:eastAsia="宋体" w:cs="宋体"/>
      <w:color w:val="FF0000"/>
      <w:sz w:val="22"/>
      <w:szCs w:val="22"/>
      <w:u w:val="none"/>
    </w:rPr>
  </w:style>
  <w:style w:type="character" w:customStyle="1" w:styleId="168">
    <w:name w:val="批注主题 字符"/>
    <w:link w:val="38"/>
    <w:qFormat/>
    <w:uiPriority w:val="0"/>
    <w:rPr>
      <w:b/>
      <w:bCs/>
    </w:rPr>
  </w:style>
  <w:style w:type="character" w:customStyle="1" w:styleId="169">
    <w:name w:val="批注文字 Char1"/>
    <w:basedOn w:val="43"/>
    <w:semiHidden/>
    <w:qFormat/>
    <w:uiPriority w:val="99"/>
  </w:style>
  <w:style w:type="paragraph" w:customStyle="1" w:styleId="17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semiHidden/>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日期 Char1"/>
    <w:basedOn w:val="43"/>
    <w:semiHidden/>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脚注文本 字符"/>
    <w:basedOn w:val="43"/>
    <w:link w:val="28"/>
    <w:semiHidden/>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标题 Char1"/>
    <w:basedOn w:val="43"/>
    <w:qFormat/>
    <w:uiPriority w:val="10"/>
    <w:rPr>
      <w:rFonts w:eastAsia="宋体" w:asciiTheme="majorHAnsi" w:hAnsiTheme="majorHAnsi" w:cstheme="majorBidi"/>
      <w:b/>
      <w:bCs/>
      <w:sz w:val="32"/>
      <w:szCs w:val="32"/>
    </w:rPr>
  </w:style>
  <w:style w:type="paragraph" w:customStyle="1" w:styleId="17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3"/>
    <w:basedOn w:val="1"/>
    <w:qFormat/>
    <w:uiPriority w:val="0"/>
    <w:pPr>
      <w:ind w:firstLine="420" w:firstLineChars="200"/>
    </w:pPr>
    <w:rPr>
      <w:rFonts w:ascii="Times New Roman" w:hAnsi="Times New Roman" w:eastAsia="宋体"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4"/>
    <w:basedOn w:val="1"/>
    <w:qFormat/>
    <w:uiPriority w:val="0"/>
    <w:pPr>
      <w:ind w:firstLine="420" w:firstLineChars="200"/>
    </w:pPr>
    <w:rPr>
      <w:rFonts w:ascii="Times New Roman" w:hAnsi="Times New Roman" w:eastAsia="宋体"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5"/>
    <w:basedOn w:val="1"/>
    <w:qFormat/>
    <w:uiPriority w:val="0"/>
    <w:pPr>
      <w:ind w:firstLine="420" w:firstLineChars="200"/>
    </w:pPr>
    <w:rPr>
      <w:rFonts w:ascii="Times New Roman" w:hAnsi="Times New Roman" w:eastAsia="宋体" w:cs="Times New Roman"/>
      <w:szCs w:val="24"/>
    </w:rPr>
  </w:style>
  <w:style w:type="character" w:customStyle="1" w:styleId="198">
    <w:name w:val="纯文本 字符"/>
    <w:link w:val="19"/>
    <w:qFormat/>
    <w:uiPriority w:val="99"/>
    <w:rPr>
      <w:rFonts w:ascii="宋体" w:hAnsi="Courier New" w:eastAsia="宋体"/>
      <w:szCs w:val="21"/>
    </w:rPr>
  </w:style>
  <w:style w:type="character" w:customStyle="1" w:styleId="199">
    <w:name w:val="纯文本 Char1"/>
    <w:basedOn w:val="43"/>
    <w:semiHidden/>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ind w:firstLine="420" w:firstLineChars="200"/>
    </w:p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8">
    <w:name w:val="正文首行缩进 字符"/>
    <w:basedOn w:val="138"/>
    <w:link w:val="39"/>
    <w:qFormat/>
    <w:uiPriority w:val="99"/>
    <w:rPr>
      <w:rFonts w:asciiTheme="minorHAnsi" w:hAnsiTheme="minorHAnsi" w:eastAsiaTheme="minorEastAsia" w:cstheme="minorBidi"/>
      <w:kern w:val="2"/>
      <w:sz w:val="21"/>
      <w:szCs w:val="22"/>
    </w:rPr>
  </w:style>
  <w:style w:type="paragraph" w:customStyle="1" w:styleId="209">
    <w:name w:val="Table Paragraph"/>
    <w:basedOn w:val="1"/>
    <w:qFormat/>
    <w:uiPriority w:val="1"/>
    <w:pPr>
      <w:autoSpaceDE w:val="0"/>
      <w:autoSpaceDN w:val="0"/>
      <w:jc w:val="left"/>
    </w:pPr>
    <w:rPr>
      <w:rFonts w:ascii="宋体" w:hAnsi="宋体" w:eastAsia="宋体" w:cs="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字符"/>
    <w:basedOn w:val="69"/>
    <w:link w:val="40"/>
    <w:semiHidden/>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character" w:customStyle="1" w:styleId="222">
    <w:name w:val="font51"/>
    <w:basedOn w:val="43"/>
    <w:qFormat/>
    <w:uiPriority w:val="0"/>
    <w:rPr>
      <w:rFonts w:hint="default" w:ascii="Wingdings 2" w:hAnsi="Wingdings 2" w:eastAsia="Wingdings 2" w:cs="Wingdings 2"/>
      <w:color w:val="000000"/>
      <w:sz w:val="20"/>
      <w:szCs w:val="20"/>
      <w:u w:val="none"/>
    </w:rPr>
  </w:style>
  <w:style w:type="character" w:customStyle="1" w:styleId="223">
    <w:name w:val="font31"/>
    <w:basedOn w:val="43"/>
    <w:qFormat/>
    <w:uiPriority w:val="0"/>
    <w:rPr>
      <w:rFonts w:hint="default" w:ascii="Times New Roman" w:hAnsi="Times New Roman" w:cs="Times New Roman"/>
      <w:color w:val="000000"/>
      <w:sz w:val="20"/>
      <w:szCs w:val="20"/>
      <w:u w:val="none"/>
    </w:rPr>
  </w:style>
  <w:style w:type="paragraph" w:customStyle="1" w:styleId="224">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6">
    <w:name w:val="纯文本1"/>
    <w:basedOn w:val="1"/>
    <w:qFormat/>
    <w:uiPriority w:val="0"/>
    <w:rPr>
      <w:rFonts w:ascii="宋体" w:hAnsi="Courier New" w:eastAsia="宋体" w:cs="Times New Roman"/>
      <w:kern w:val="0"/>
      <w:sz w:val="20"/>
      <w:szCs w:val="20"/>
    </w:rPr>
  </w:style>
  <w:style w:type="paragraph" w:customStyle="1" w:styleId="227">
    <w:name w:val="标题 5（有编号）（绿盟科技）"/>
    <w:basedOn w:val="1"/>
    <w:next w:val="228"/>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9">
    <w:name w:val="7）页眉页脚"/>
    <w:qFormat/>
    <w:uiPriority w:val="0"/>
    <w:rPr>
      <w:rFonts w:ascii="仿宋_GB2312" w:eastAsia="仿宋_GB2312"/>
      <w:b/>
      <w:i/>
      <w:sz w:val="18"/>
      <w:vertAlign w:val="baseline"/>
    </w:rPr>
  </w:style>
  <w:style w:type="paragraph" w:customStyle="1" w:styleId="230">
    <w:name w:val="正文2"/>
    <w:basedOn w:val="1"/>
    <w:qFormat/>
    <w:uiPriority w:val="0"/>
    <w:pPr>
      <w:spacing w:before="156" w:line="360" w:lineRule="auto"/>
      <w:ind w:firstLine="510" w:firstLineChars="200"/>
    </w:pPr>
    <w:rPr>
      <w:rFonts w:ascii="Times New Roman" w:hAnsi="Times New Roman"/>
      <w:sz w:val="24"/>
      <w:szCs w:val="20"/>
    </w:rPr>
  </w:style>
  <w:style w:type="paragraph" w:customStyle="1" w:styleId="231">
    <w:name w:val="null3"/>
    <w:hidden/>
    <w:qFormat/>
    <w:uiPriority w:val="0"/>
    <w:rPr>
      <w:rFonts w:hint="eastAsia" w:asciiTheme="minorHAnsi" w:hAnsiTheme="minorHAnsi" w:eastAsiaTheme="minorEastAsia" w:cstheme="minorBidi"/>
      <w:lang w:val="en-US" w:eastAsia="zh-Hans" w:bidi="ar-SA"/>
    </w:rPr>
  </w:style>
  <w:style w:type="character" w:customStyle="1" w:styleId="232">
    <w:name w:val="正文文本 + 11.5 pt1"/>
    <w:qFormat/>
    <w:uiPriority w:val="0"/>
    <w:rPr>
      <w:rFonts w:ascii="MingLiU" w:eastAsia="MingLiU" w:cs="MingLiU"/>
      <w:sz w:val="23"/>
      <w:szCs w:val="23"/>
      <w:lang w:bidi="ar-SA"/>
    </w:rPr>
  </w:style>
  <w:style w:type="paragraph" w:customStyle="1" w:styleId="233">
    <w:name w:val="Normal"/>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10966</Words>
  <Characters>12187</Characters>
  <Lines>301</Lines>
  <Paragraphs>85</Paragraphs>
  <TotalTime>4</TotalTime>
  <ScaleCrop>false</ScaleCrop>
  <LinksUpToDate>false</LinksUpToDate>
  <CharactersWithSpaces>12326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2024-04-30T13:58:00Z</dcterms:created>
  <dc:creator>Administrator</dc:creator>
  <cp:lastModifiedBy>.</cp:lastModifiedBy>
  <cp:lastPrinted>2022-04-10T04:00:00Z</cp:lastPrinted>
  <dcterms:modified xsi:type="dcterms:W3CDTF">2026-05-08T09:57:01Z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A4CB273860734CF0A8204BFFC7DA7A4B_13</vt:lpwstr>
  </property>
  <property fmtid="{D5CDD505-2E9C-101B-9397-08002B2CF9AE}" pid="4" name="KSOTemplateDocerSaveRecord">
    <vt:lpwstr>eyJoZGlkIjoiMDBmMDQ0YjhjZjBkYTc3ZWEzYWJlNzQwYjE0MzM0YTYiLCJ1c2VySWQiOiI1NzcxNzM2NTMifQ==</vt:lpwstr>
  </property>
</Properties>
</file>