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497062">
      <w:pPr>
        <w:jc w:val="both"/>
        <w:rPr>
          <w:rFonts w:hint="eastAsia" w:ascii="宋体" w:hAnsi="宋体" w:eastAsia="宋体" w:cs="宋体"/>
          <w:b/>
          <w:bCs/>
          <w:sz w:val="48"/>
          <w:szCs w:val="48"/>
          <w:highlight w:val="none"/>
        </w:rPr>
      </w:pPr>
    </w:p>
    <w:p w14:paraId="47263807">
      <w:pPr>
        <w:jc w:val="center"/>
        <w:rPr>
          <w:rFonts w:hint="default" w:ascii="宋体" w:hAnsi="宋体" w:eastAsia="宋体" w:cs="宋体"/>
          <w:b/>
          <w:bCs/>
          <w:sz w:val="52"/>
          <w:szCs w:val="52"/>
          <w:highlight w:val="none"/>
          <w:lang w:val="en-US" w:eastAsia="zh-CN"/>
        </w:rPr>
      </w:pPr>
      <w:r>
        <w:rPr>
          <w:rFonts w:hint="eastAsia" w:ascii="宋体" w:hAnsi="宋体" w:eastAsia="宋体" w:cs="宋体"/>
          <w:b/>
          <w:bCs/>
          <w:sz w:val="52"/>
          <w:szCs w:val="52"/>
          <w:highlight w:val="none"/>
          <w:lang w:eastAsia="zh-CN"/>
        </w:rPr>
        <w:t>新疆维吾尔自治区昌吉某某单位食材采购项目标包四（</w:t>
      </w:r>
      <w:r>
        <w:rPr>
          <w:rFonts w:hint="eastAsia" w:ascii="宋体" w:hAnsi="宋体" w:eastAsia="宋体" w:cs="宋体"/>
          <w:b/>
          <w:bCs/>
          <w:sz w:val="52"/>
          <w:szCs w:val="52"/>
          <w:highlight w:val="none"/>
          <w:lang w:val="en-US" w:eastAsia="zh-CN"/>
        </w:rPr>
        <w:t>猪肉</w:t>
      </w:r>
      <w:r>
        <w:rPr>
          <w:rFonts w:hint="eastAsia" w:ascii="宋体" w:hAnsi="宋体" w:eastAsia="宋体" w:cs="宋体"/>
          <w:b/>
          <w:bCs/>
          <w:sz w:val="52"/>
          <w:szCs w:val="52"/>
          <w:highlight w:val="none"/>
          <w:lang w:eastAsia="zh-CN"/>
        </w:rPr>
        <w:t>类）</w:t>
      </w:r>
    </w:p>
    <w:p w14:paraId="14D357F5">
      <w:pPr>
        <w:jc w:val="center"/>
        <w:rPr>
          <w:rFonts w:hint="eastAsia" w:ascii="宋体" w:hAnsi="宋体" w:eastAsia="宋体" w:cs="宋体"/>
          <w:b/>
          <w:bCs/>
          <w:sz w:val="52"/>
          <w:szCs w:val="52"/>
          <w:highlight w:val="none"/>
        </w:rPr>
      </w:pPr>
    </w:p>
    <w:p w14:paraId="477B1159">
      <w:pPr>
        <w:jc w:val="center"/>
        <w:rPr>
          <w:rFonts w:hint="eastAsia" w:ascii="宋体" w:hAnsi="宋体" w:eastAsia="宋体" w:cs="宋体"/>
          <w:b/>
          <w:bCs/>
          <w:sz w:val="52"/>
          <w:szCs w:val="52"/>
          <w:highlight w:val="none"/>
        </w:rPr>
      </w:pPr>
      <w:r>
        <w:rPr>
          <w:rFonts w:hint="eastAsia" w:ascii="宋体" w:hAnsi="宋体" w:eastAsia="宋体" w:cs="宋体"/>
          <w:b/>
          <w:bCs/>
          <w:sz w:val="52"/>
          <w:szCs w:val="52"/>
          <w:highlight w:val="none"/>
        </w:rPr>
        <w:t>招标文件</w:t>
      </w:r>
    </w:p>
    <w:p w14:paraId="40DDBE22">
      <w:pPr>
        <w:pStyle w:val="14"/>
        <w:ind w:left="0" w:leftChars="0" w:firstLine="0" w:firstLineChars="0"/>
        <w:rPr>
          <w:rFonts w:hint="eastAsia" w:ascii="宋体" w:hAnsi="宋体" w:eastAsia="宋体" w:cs="宋体"/>
          <w:highlight w:val="none"/>
        </w:rPr>
      </w:pPr>
    </w:p>
    <w:p w14:paraId="0DE953A1">
      <w:pPr>
        <w:jc w:val="center"/>
        <w:rPr>
          <w:rFonts w:hint="eastAsia" w:ascii="宋体" w:hAnsi="宋体" w:eastAsia="宋体" w:cs="宋体"/>
          <w:b/>
          <w:bCs/>
          <w:sz w:val="44"/>
          <w:szCs w:val="44"/>
          <w:highlight w:val="none"/>
          <w:lang w:eastAsia="zh-CN"/>
        </w:rPr>
      </w:pPr>
    </w:p>
    <w:p w14:paraId="44FFB4E5">
      <w:pPr>
        <w:pStyle w:val="21"/>
        <w:rPr>
          <w:rFonts w:hint="default" w:ascii="宋体" w:hAnsi="宋体" w:eastAsia="宋体" w:cs="宋体"/>
          <w:b/>
          <w:bCs/>
          <w:kern w:val="2"/>
          <w:sz w:val="30"/>
          <w:szCs w:val="30"/>
          <w:highlight w:val="none"/>
          <w:lang w:val="en-US" w:eastAsia="zh-CN" w:bidi="ar-SA"/>
        </w:rPr>
      </w:pPr>
      <w:r>
        <w:rPr>
          <w:rFonts w:hint="eastAsia" w:ascii="宋体" w:hAnsi="宋体" w:eastAsia="宋体" w:cs="宋体"/>
          <w:b/>
          <w:bCs/>
          <w:kern w:val="2"/>
          <w:sz w:val="30"/>
          <w:szCs w:val="30"/>
          <w:highlight w:val="none"/>
          <w:lang w:val="en-US" w:eastAsia="zh-CN" w:bidi="ar-SA"/>
        </w:rPr>
        <w:t>项目编号：XJL-ZB-2026-34</w:t>
      </w:r>
    </w:p>
    <w:p w14:paraId="5D50E8BE">
      <w:pPr>
        <w:rPr>
          <w:rFonts w:hint="eastAsia" w:ascii="宋体" w:hAnsi="宋体" w:eastAsia="宋体" w:cs="宋体"/>
          <w:b/>
          <w:bCs/>
          <w:sz w:val="30"/>
          <w:szCs w:val="30"/>
          <w:highlight w:val="none"/>
          <w:lang w:eastAsia="zh-CN"/>
        </w:rPr>
      </w:pPr>
      <w:r>
        <w:rPr>
          <w:rFonts w:hint="eastAsia" w:ascii="宋体" w:hAnsi="宋体" w:eastAsia="宋体" w:cs="宋体"/>
          <w:b/>
          <w:bCs/>
          <w:sz w:val="30"/>
          <w:szCs w:val="30"/>
          <w:highlight w:val="none"/>
        </w:rPr>
        <w:t>采购人</w:t>
      </w:r>
      <w:r>
        <w:rPr>
          <w:rFonts w:hint="eastAsia" w:ascii="宋体" w:hAnsi="宋体" w:eastAsia="宋体" w:cs="宋体"/>
          <w:b/>
          <w:bCs/>
          <w:sz w:val="30"/>
          <w:szCs w:val="30"/>
          <w:highlight w:val="none"/>
          <w:lang w:eastAsia="zh-CN"/>
        </w:rPr>
        <w:t>（</w:t>
      </w:r>
      <w:r>
        <w:rPr>
          <w:rFonts w:hint="eastAsia" w:ascii="宋体" w:hAnsi="宋体" w:eastAsia="宋体" w:cs="宋体"/>
          <w:b/>
          <w:bCs/>
          <w:sz w:val="30"/>
          <w:szCs w:val="30"/>
          <w:highlight w:val="none"/>
          <w:lang w:val="en-US" w:eastAsia="zh-CN"/>
        </w:rPr>
        <w:t>盖章</w:t>
      </w:r>
      <w:r>
        <w:rPr>
          <w:rFonts w:hint="eastAsia" w:ascii="宋体" w:hAnsi="宋体" w:eastAsia="宋体" w:cs="宋体"/>
          <w:b/>
          <w:bCs/>
          <w:sz w:val="30"/>
          <w:szCs w:val="30"/>
          <w:highlight w:val="none"/>
          <w:lang w:eastAsia="zh-CN"/>
        </w:rPr>
        <w:t>）</w:t>
      </w:r>
      <w:r>
        <w:rPr>
          <w:rFonts w:hint="eastAsia" w:ascii="宋体" w:hAnsi="宋体" w:eastAsia="宋体" w:cs="宋体"/>
          <w:b/>
          <w:bCs/>
          <w:sz w:val="30"/>
          <w:szCs w:val="30"/>
          <w:highlight w:val="none"/>
        </w:rPr>
        <w:t>：</w:t>
      </w:r>
      <w:r>
        <w:rPr>
          <w:rFonts w:hint="eastAsia" w:ascii="宋体" w:hAnsi="宋体" w:eastAsia="宋体" w:cs="宋体"/>
          <w:b/>
          <w:bCs/>
          <w:sz w:val="30"/>
          <w:szCs w:val="30"/>
          <w:highlight w:val="none"/>
          <w:lang w:eastAsia="zh-CN"/>
        </w:rPr>
        <w:t>新疆维吾尔自治区昌吉某某单位</w:t>
      </w:r>
    </w:p>
    <w:p w14:paraId="01EE45E0">
      <w:pPr>
        <w:rPr>
          <w:rFonts w:hint="eastAsia" w:ascii="宋体" w:hAnsi="宋体" w:eastAsia="宋体" w:cs="宋体"/>
          <w:b/>
          <w:bCs/>
          <w:sz w:val="30"/>
          <w:szCs w:val="30"/>
          <w:highlight w:val="none"/>
          <w:lang w:eastAsia="zh-CN"/>
        </w:rPr>
      </w:pPr>
      <w:r>
        <w:rPr>
          <w:rFonts w:hint="eastAsia" w:ascii="宋体" w:hAnsi="宋体" w:eastAsia="宋体" w:cs="宋体"/>
          <w:b/>
          <w:bCs/>
          <w:sz w:val="30"/>
          <w:szCs w:val="30"/>
          <w:highlight w:val="none"/>
        </w:rPr>
        <w:t>采购人地址：</w:t>
      </w:r>
      <w:r>
        <w:rPr>
          <w:rFonts w:hint="eastAsia" w:ascii="宋体" w:hAnsi="宋体" w:eastAsia="宋体" w:cs="宋体"/>
          <w:b/>
          <w:bCs/>
          <w:sz w:val="30"/>
          <w:szCs w:val="30"/>
          <w:highlight w:val="none"/>
          <w:lang w:eastAsia="zh-CN"/>
        </w:rPr>
        <w:t>昌吉市大西渠镇</w:t>
      </w:r>
    </w:p>
    <w:p w14:paraId="17942C2A">
      <w:pPr>
        <w:tabs>
          <w:tab w:val="left" w:pos="7542"/>
        </w:tabs>
        <w:rPr>
          <w:rFonts w:hint="eastAsia" w:ascii="宋体" w:hAnsi="宋体" w:eastAsia="宋体" w:cs="宋体"/>
          <w:b/>
          <w:bCs/>
          <w:sz w:val="30"/>
          <w:szCs w:val="30"/>
          <w:highlight w:val="none"/>
          <w:lang w:val="en-US" w:eastAsia="zh-CN"/>
        </w:rPr>
      </w:pPr>
      <w:r>
        <w:rPr>
          <w:rFonts w:hint="eastAsia" w:ascii="宋体" w:hAnsi="宋体" w:eastAsia="宋体" w:cs="宋体"/>
          <w:b/>
          <w:bCs/>
          <w:sz w:val="30"/>
          <w:szCs w:val="30"/>
          <w:highlight w:val="none"/>
        </w:rPr>
        <w:t>采购联系人：张伟国、赵云</w:t>
      </w:r>
    </w:p>
    <w:p w14:paraId="39E53CC3">
      <w:pPr>
        <w:rPr>
          <w:rFonts w:hint="default" w:ascii="宋体" w:hAnsi="宋体" w:eastAsia="宋体" w:cs="宋体"/>
          <w:b/>
          <w:bCs/>
          <w:sz w:val="30"/>
          <w:szCs w:val="30"/>
          <w:highlight w:val="none"/>
          <w:lang w:val="en-US" w:eastAsia="zh-CN"/>
        </w:rPr>
      </w:pPr>
      <w:r>
        <w:rPr>
          <w:rFonts w:hint="eastAsia" w:ascii="宋体" w:hAnsi="宋体" w:eastAsia="宋体" w:cs="宋体"/>
          <w:b/>
          <w:bCs/>
          <w:sz w:val="30"/>
          <w:szCs w:val="30"/>
          <w:highlight w:val="none"/>
        </w:rPr>
        <w:t>采购联系电话：18997566658、18209068376</w:t>
      </w:r>
    </w:p>
    <w:p w14:paraId="7A38DDF7">
      <w:pPr>
        <w:rPr>
          <w:rFonts w:hint="eastAsia" w:ascii="宋体" w:hAnsi="宋体" w:eastAsia="宋体" w:cs="宋体"/>
          <w:b/>
          <w:bCs/>
          <w:sz w:val="30"/>
          <w:szCs w:val="30"/>
          <w:highlight w:val="none"/>
          <w:lang w:eastAsia="zh-CN"/>
        </w:rPr>
      </w:pPr>
      <w:r>
        <w:rPr>
          <w:rFonts w:hint="eastAsia" w:ascii="宋体" w:hAnsi="宋体" w:eastAsia="宋体" w:cs="宋体"/>
          <w:b/>
          <w:bCs/>
          <w:sz w:val="30"/>
          <w:szCs w:val="30"/>
          <w:highlight w:val="none"/>
        </w:rPr>
        <w:t>………………………………………………………………………………</w:t>
      </w:r>
    </w:p>
    <w:p w14:paraId="2BB9ED53">
      <w:pPr>
        <w:rPr>
          <w:rFonts w:hint="eastAsia" w:ascii="宋体" w:hAnsi="宋体" w:eastAsia="宋体" w:cs="宋体"/>
          <w:b/>
          <w:bCs/>
          <w:sz w:val="30"/>
          <w:szCs w:val="30"/>
          <w:highlight w:val="none"/>
          <w:lang w:eastAsia="zh-CN"/>
        </w:rPr>
      </w:pPr>
      <w:r>
        <w:rPr>
          <w:rFonts w:hint="eastAsia" w:ascii="宋体" w:hAnsi="宋体" w:eastAsia="宋体" w:cs="宋体"/>
          <w:b/>
          <w:bCs/>
          <w:sz w:val="30"/>
          <w:szCs w:val="30"/>
          <w:highlight w:val="none"/>
        </w:rPr>
        <w:t>代理机构名称</w:t>
      </w:r>
      <w:r>
        <w:rPr>
          <w:rFonts w:hint="eastAsia" w:ascii="宋体" w:hAnsi="宋体" w:eastAsia="宋体" w:cs="宋体"/>
          <w:b/>
          <w:bCs/>
          <w:sz w:val="30"/>
          <w:szCs w:val="30"/>
          <w:highlight w:val="none"/>
          <w:lang w:eastAsia="zh-CN"/>
        </w:rPr>
        <w:t>（</w:t>
      </w:r>
      <w:r>
        <w:rPr>
          <w:rFonts w:hint="eastAsia" w:ascii="宋体" w:hAnsi="宋体" w:eastAsia="宋体" w:cs="宋体"/>
          <w:b/>
          <w:bCs/>
          <w:sz w:val="30"/>
          <w:szCs w:val="30"/>
          <w:highlight w:val="none"/>
          <w:lang w:val="en-US" w:eastAsia="zh-CN"/>
        </w:rPr>
        <w:t>盖章</w:t>
      </w:r>
      <w:r>
        <w:rPr>
          <w:rFonts w:hint="eastAsia" w:ascii="宋体" w:hAnsi="宋体" w:eastAsia="宋体" w:cs="宋体"/>
          <w:b/>
          <w:bCs/>
          <w:sz w:val="30"/>
          <w:szCs w:val="30"/>
          <w:highlight w:val="none"/>
          <w:lang w:eastAsia="zh-CN"/>
        </w:rPr>
        <w:t>）</w:t>
      </w:r>
      <w:r>
        <w:rPr>
          <w:rFonts w:hint="eastAsia" w:ascii="宋体" w:hAnsi="宋体" w:eastAsia="宋体" w:cs="宋体"/>
          <w:b/>
          <w:bCs/>
          <w:sz w:val="30"/>
          <w:szCs w:val="30"/>
          <w:highlight w:val="none"/>
        </w:rPr>
        <w:t>：</w:t>
      </w:r>
      <w:r>
        <w:rPr>
          <w:rFonts w:hint="eastAsia" w:ascii="宋体" w:hAnsi="宋体" w:eastAsia="宋体" w:cs="宋体"/>
          <w:b/>
          <w:bCs/>
          <w:sz w:val="30"/>
          <w:szCs w:val="30"/>
          <w:highlight w:val="none"/>
          <w:lang w:eastAsia="zh-CN"/>
        </w:rPr>
        <w:t>新疆新建联项目管理咨询有限公司</w:t>
      </w:r>
    </w:p>
    <w:p w14:paraId="229D13EC">
      <w:pPr>
        <w:rPr>
          <w:rFonts w:hint="eastAsia" w:ascii="宋体" w:hAnsi="宋体" w:eastAsia="宋体" w:cs="宋体"/>
          <w:b/>
          <w:bCs/>
          <w:sz w:val="30"/>
          <w:szCs w:val="30"/>
          <w:highlight w:val="none"/>
          <w:lang w:eastAsia="zh-CN"/>
        </w:rPr>
      </w:pPr>
      <w:r>
        <w:rPr>
          <w:rFonts w:hint="eastAsia" w:ascii="宋体" w:hAnsi="宋体" w:eastAsia="宋体" w:cs="宋体"/>
          <w:b/>
          <w:bCs/>
          <w:sz w:val="30"/>
          <w:szCs w:val="30"/>
          <w:highlight w:val="none"/>
          <w:lang w:eastAsia="zh-CN"/>
        </w:rPr>
        <w:t>法定代表人（盖章）：王利民</w:t>
      </w:r>
    </w:p>
    <w:p w14:paraId="723BF593">
      <w:pPr>
        <w:rPr>
          <w:rFonts w:hint="eastAsia" w:ascii="宋体" w:hAnsi="宋体" w:eastAsia="宋体" w:cs="宋体"/>
          <w:b/>
          <w:bCs/>
          <w:sz w:val="30"/>
          <w:szCs w:val="30"/>
          <w:highlight w:val="none"/>
          <w:lang w:eastAsia="zh-CN"/>
        </w:rPr>
      </w:pPr>
      <w:r>
        <w:rPr>
          <w:rFonts w:hint="eastAsia" w:ascii="宋体" w:hAnsi="宋体" w:eastAsia="宋体" w:cs="宋体"/>
          <w:b/>
          <w:bCs/>
          <w:sz w:val="30"/>
          <w:szCs w:val="30"/>
          <w:highlight w:val="none"/>
        </w:rPr>
        <w:t>代理机构地址：</w:t>
      </w:r>
      <w:r>
        <w:rPr>
          <w:rFonts w:hint="eastAsia" w:ascii="宋体" w:hAnsi="宋体" w:eastAsia="宋体" w:cs="宋体"/>
          <w:b/>
          <w:bCs/>
          <w:sz w:val="30"/>
          <w:szCs w:val="30"/>
          <w:highlight w:val="none"/>
          <w:lang w:eastAsia="zh-CN"/>
        </w:rPr>
        <w:t>乌鲁木齐市水磨沟区龙盛街898号中央公园</w:t>
      </w:r>
      <w:r>
        <w:rPr>
          <w:rFonts w:hint="eastAsia" w:ascii="宋体" w:hAnsi="宋体" w:eastAsia="宋体" w:cs="宋体"/>
          <w:b/>
          <w:bCs/>
          <w:sz w:val="30"/>
          <w:szCs w:val="30"/>
          <w:highlight w:val="none"/>
          <w:lang w:val="en-US" w:eastAsia="zh-CN"/>
        </w:rPr>
        <w:t>商住小区</w:t>
      </w:r>
      <w:r>
        <w:rPr>
          <w:rFonts w:hint="eastAsia" w:ascii="宋体" w:hAnsi="宋体" w:eastAsia="宋体" w:cs="宋体"/>
          <w:b/>
          <w:bCs/>
          <w:sz w:val="30"/>
          <w:szCs w:val="30"/>
          <w:highlight w:val="none"/>
          <w:lang w:eastAsia="zh-CN"/>
        </w:rPr>
        <w:t>S6栋14层</w:t>
      </w:r>
    </w:p>
    <w:p w14:paraId="761954A1">
      <w:pPr>
        <w:rPr>
          <w:rFonts w:hint="eastAsia" w:ascii="宋体" w:hAnsi="宋体" w:eastAsia="宋体" w:cs="宋体"/>
          <w:b/>
          <w:bCs/>
          <w:sz w:val="30"/>
          <w:szCs w:val="30"/>
          <w:highlight w:val="none"/>
        </w:rPr>
      </w:pPr>
      <w:r>
        <w:rPr>
          <w:rFonts w:hint="eastAsia" w:ascii="宋体" w:hAnsi="宋体" w:eastAsia="宋体" w:cs="宋体"/>
          <w:b/>
          <w:bCs/>
          <w:sz w:val="30"/>
          <w:szCs w:val="30"/>
          <w:highlight w:val="none"/>
        </w:rPr>
        <w:t>代理机构联系人：</w:t>
      </w:r>
      <w:r>
        <w:rPr>
          <w:rFonts w:hint="eastAsia" w:ascii="宋体" w:hAnsi="宋体" w:eastAsia="宋体" w:cs="宋体"/>
          <w:b/>
          <w:bCs/>
          <w:sz w:val="30"/>
          <w:szCs w:val="30"/>
          <w:highlight w:val="none"/>
          <w:lang w:val="en-US" w:eastAsia="zh-CN"/>
        </w:rPr>
        <w:t>王斯薇、邓学文、柯大龙</w:t>
      </w:r>
      <w:r>
        <w:rPr>
          <w:rFonts w:hint="eastAsia" w:ascii="宋体" w:hAnsi="宋体" w:eastAsia="宋体" w:cs="宋体"/>
          <w:b/>
          <w:bCs/>
          <w:sz w:val="30"/>
          <w:szCs w:val="30"/>
          <w:highlight w:val="none"/>
        </w:rPr>
        <w:t xml:space="preserve"> </w:t>
      </w:r>
    </w:p>
    <w:p w14:paraId="0BCAEA38">
      <w:pPr>
        <w:rPr>
          <w:rFonts w:hint="eastAsia" w:ascii="宋体" w:hAnsi="宋体" w:eastAsia="宋体" w:cs="宋体"/>
          <w:b/>
          <w:bCs/>
          <w:sz w:val="30"/>
          <w:szCs w:val="30"/>
          <w:highlight w:val="none"/>
          <w:lang w:eastAsia="zh-CN"/>
        </w:rPr>
      </w:pPr>
      <w:r>
        <w:rPr>
          <w:rFonts w:hint="eastAsia" w:ascii="宋体" w:hAnsi="宋体" w:eastAsia="宋体" w:cs="宋体"/>
          <w:b/>
          <w:bCs/>
          <w:sz w:val="30"/>
          <w:szCs w:val="30"/>
          <w:highlight w:val="none"/>
        </w:rPr>
        <w:t>代理机构联系电话：18209212104</w:t>
      </w:r>
      <w:r>
        <w:rPr>
          <w:rFonts w:hint="eastAsia" w:ascii="宋体" w:hAnsi="宋体" w:eastAsia="宋体" w:cs="宋体"/>
          <w:b/>
          <w:bCs/>
          <w:sz w:val="30"/>
          <w:szCs w:val="30"/>
          <w:highlight w:val="none"/>
          <w:lang w:eastAsia="zh-CN"/>
        </w:rPr>
        <w:t>、18599020403、0991-8875119</w:t>
      </w:r>
    </w:p>
    <w:p w14:paraId="7CB8BC76">
      <w:pPr>
        <w:jc w:val="center"/>
        <w:rPr>
          <w:rFonts w:hint="eastAsia" w:ascii="宋体" w:hAnsi="宋体" w:eastAsia="宋体" w:cs="宋体"/>
          <w:b/>
          <w:bCs/>
          <w:sz w:val="32"/>
          <w:szCs w:val="32"/>
          <w:highlight w:val="none"/>
          <w:lang w:eastAsia="zh-CN"/>
        </w:rPr>
      </w:pPr>
      <w:r>
        <w:rPr>
          <w:rFonts w:hint="eastAsia" w:ascii="宋体" w:hAnsi="宋体" w:eastAsia="宋体" w:cs="宋体"/>
          <w:b/>
          <w:bCs/>
          <w:sz w:val="32"/>
          <w:szCs w:val="32"/>
          <w:highlight w:val="none"/>
          <w:lang w:eastAsia="zh-CN"/>
        </w:rPr>
        <w:t>二〇二</w:t>
      </w:r>
      <w:r>
        <w:rPr>
          <w:rFonts w:hint="eastAsia" w:ascii="宋体" w:hAnsi="宋体" w:eastAsia="宋体" w:cs="宋体"/>
          <w:b/>
          <w:bCs/>
          <w:sz w:val="32"/>
          <w:szCs w:val="32"/>
          <w:highlight w:val="none"/>
          <w:lang w:val="en-US" w:eastAsia="zh-CN"/>
        </w:rPr>
        <w:t>六</w:t>
      </w:r>
      <w:r>
        <w:rPr>
          <w:rFonts w:hint="eastAsia" w:ascii="宋体" w:hAnsi="宋体" w:eastAsia="宋体" w:cs="宋体"/>
          <w:b/>
          <w:bCs/>
          <w:sz w:val="32"/>
          <w:szCs w:val="32"/>
          <w:highlight w:val="none"/>
          <w:lang w:eastAsia="zh-CN"/>
        </w:rPr>
        <w:t>年</w:t>
      </w:r>
      <w:r>
        <w:rPr>
          <w:rFonts w:hint="eastAsia" w:ascii="宋体" w:hAnsi="宋体" w:eastAsia="宋体" w:cs="宋体"/>
          <w:b/>
          <w:bCs/>
          <w:sz w:val="32"/>
          <w:szCs w:val="32"/>
          <w:highlight w:val="none"/>
          <w:lang w:val="en-US" w:eastAsia="zh-CN"/>
        </w:rPr>
        <w:t>四</w:t>
      </w:r>
      <w:r>
        <w:rPr>
          <w:rFonts w:hint="eastAsia" w:ascii="宋体" w:hAnsi="宋体" w:eastAsia="宋体" w:cs="宋体"/>
          <w:b/>
          <w:bCs/>
          <w:sz w:val="32"/>
          <w:szCs w:val="32"/>
          <w:highlight w:val="none"/>
          <w:lang w:eastAsia="zh-CN"/>
        </w:rPr>
        <w:t>月</w:t>
      </w:r>
    </w:p>
    <w:p w14:paraId="36D903D8">
      <w:pPr>
        <w:adjustRightInd w:val="0"/>
        <w:snapToGrid w:val="0"/>
        <w:spacing w:line="360" w:lineRule="auto"/>
        <w:jc w:val="center"/>
        <w:rPr>
          <w:rFonts w:hint="eastAsia" w:ascii="宋体" w:hAnsi="宋体" w:eastAsia="宋体" w:cs="宋体"/>
          <w:highlight w:val="none"/>
        </w:rPr>
        <w:sectPr>
          <w:headerReference r:id="rId3" w:type="default"/>
          <w:pgSz w:w="11906" w:h="16838"/>
          <w:pgMar w:top="1417" w:right="1417" w:bottom="1417" w:left="1417" w:header="851" w:footer="992" w:gutter="0"/>
          <w:pgNumType w:fmt="decimal" w:start="1"/>
          <w:cols w:space="720" w:num="1"/>
          <w:docGrid w:type="lines" w:linePitch="312" w:charSpace="0"/>
        </w:sectPr>
      </w:pPr>
    </w:p>
    <w:p w14:paraId="5065AB27">
      <w:pPr>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目  录</w:t>
      </w:r>
    </w:p>
    <w:sdt>
      <w:sdtPr>
        <w:rPr>
          <w:rFonts w:hint="eastAsia" w:ascii="宋体" w:hAnsi="宋体" w:eastAsia="宋体" w:cs="宋体"/>
          <w:bCs/>
          <w:spacing w:val="10"/>
          <w:kern w:val="0"/>
          <w:sz w:val="28"/>
          <w:szCs w:val="28"/>
          <w:highlight w:val="none"/>
        </w:rPr>
        <w:id w:val="147451175"/>
        <w15:color w:val="DBDBDB"/>
      </w:sdtPr>
      <w:sdtEndPr>
        <w:rPr>
          <w:rFonts w:hint="eastAsia" w:ascii="宋体" w:hAnsi="宋体" w:eastAsia="宋体" w:cs="宋体"/>
          <w:bCs/>
          <w:spacing w:val="10"/>
          <w:kern w:val="0"/>
          <w:sz w:val="24"/>
          <w:szCs w:val="21"/>
          <w:highlight w:val="none"/>
        </w:rPr>
      </w:sdtEndPr>
      <w:sdtContent>
        <w:p w14:paraId="2B4EA9DF">
          <w:pPr>
            <w:pStyle w:val="21"/>
            <w:tabs>
              <w:tab w:val="right" w:leader="dot" w:pos="9072"/>
            </w:tabs>
            <w:rPr>
              <w:rFonts w:hint="eastAsia" w:ascii="宋体" w:hAnsi="宋体" w:eastAsia="宋体" w:cs="宋体"/>
              <w:bCs/>
              <w:spacing w:val="10"/>
              <w:kern w:val="0"/>
              <w:sz w:val="28"/>
              <w:szCs w:val="28"/>
              <w:highlight w:val="none"/>
            </w:rPr>
          </w:pPr>
          <w:r>
            <w:rPr>
              <w:rFonts w:hint="eastAsia" w:ascii="宋体" w:hAnsi="宋体" w:eastAsia="宋体" w:cs="宋体"/>
              <w:bCs/>
              <w:spacing w:val="10"/>
              <w:kern w:val="0"/>
              <w:sz w:val="28"/>
              <w:szCs w:val="28"/>
              <w:highlight w:val="none"/>
            </w:rPr>
            <w:fldChar w:fldCharType="begin"/>
          </w:r>
          <w:r>
            <w:rPr>
              <w:rFonts w:hint="eastAsia" w:ascii="宋体" w:hAnsi="宋体" w:eastAsia="宋体" w:cs="宋体"/>
              <w:bCs/>
              <w:spacing w:val="10"/>
              <w:kern w:val="0"/>
              <w:sz w:val="28"/>
              <w:szCs w:val="28"/>
              <w:highlight w:val="none"/>
            </w:rPr>
            <w:instrText xml:space="preserve">TOC \o "1-2" \h \u </w:instrText>
          </w:r>
          <w:r>
            <w:rPr>
              <w:rFonts w:hint="eastAsia" w:ascii="宋体" w:hAnsi="宋体" w:eastAsia="宋体" w:cs="宋体"/>
              <w:bCs/>
              <w:spacing w:val="10"/>
              <w:kern w:val="0"/>
              <w:sz w:val="28"/>
              <w:szCs w:val="28"/>
              <w:highlight w:val="none"/>
            </w:rPr>
            <w:fldChar w:fldCharType="separate"/>
          </w:r>
        </w:p>
        <w:sdt>
          <w:sdtPr>
            <w:rPr>
              <w:rFonts w:ascii="宋体" w:hAnsi="宋体" w:eastAsia="宋体" w:cstheme="minorBidi"/>
              <w:kern w:val="2"/>
              <w:sz w:val="21"/>
              <w:szCs w:val="24"/>
              <w:lang w:val="en-US" w:eastAsia="zh-CN" w:bidi="ar-SA"/>
            </w:rPr>
            <w:id w:val="147475139"/>
            <w15:color w:val="DBDBDB"/>
            <w:docPartObj>
              <w:docPartGallery w:val="Table of Contents"/>
              <w:docPartUnique/>
            </w:docPartObj>
          </w:sdtPr>
          <w:sdtEndPr>
            <w:rPr>
              <w:rFonts w:hint="eastAsia" w:asciiTheme="minorHAnsi" w:hAnsiTheme="minorHAnsi" w:eastAsiaTheme="minorEastAsia" w:cstheme="minorBidi"/>
              <w:kern w:val="2"/>
              <w:sz w:val="21"/>
              <w:szCs w:val="24"/>
              <w:lang w:val="en-US" w:eastAsia="zh-CN" w:bidi="ar-SA"/>
            </w:rPr>
          </w:sdtEndPr>
          <w:sdtContent>
            <w:p w14:paraId="52E39A18">
              <w:pPr>
                <w:spacing w:before="0" w:beforeLines="0" w:after="0" w:afterLines="0" w:line="240" w:lineRule="auto"/>
                <w:ind w:left="0" w:leftChars="0" w:right="0" w:rightChars="0" w:firstLine="0" w:firstLineChars="0"/>
                <w:jc w:val="center"/>
              </w:pPr>
            </w:p>
            <w:p w14:paraId="113CBB03">
              <w:pPr>
                <w:pStyle w:val="21"/>
                <w:tabs>
                  <w:tab w:val="right" w:leader="dot" w:pos="9072"/>
                </w:tabs>
                <w:rPr>
                  <w:rFonts w:hint="eastAsia" w:ascii="宋体" w:hAnsi="宋体" w:eastAsia="宋体" w:cs="宋体"/>
                  <w:sz w:val="28"/>
                  <w:szCs w:val="28"/>
                </w:rPr>
              </w:pPr>
              <w:r>
                <w:rPr>
                  <w:rFonts w:hint="eastAsia"/>
                </w:rPr>
                <w:fldChar w:fldCharType="begin"/>
              </w:r>
              <w:r>
                <w:rPr>
                  <w:rFonts w:hint="eastAsia"/>
                </w:rPr>
                <w:instrText xml:space="preserve">TOC \o "1-1" \h \u </w:instrText>
              </w:r>
              <w:r>
                <w:rPr>
                  <w:rFonts w:hint="eastAsia"/>
                </w:rPr>
                <w:fldChar w:fldCharType="separate"/>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_Toc109 </w:instrText>
              </w:r>
              <w:r>
                <w:rPr>
                  <w:rFonts w:hint="eastAsia" w:ascii="宋体" w:hAnsi="宋体" w:eastAsia="宋体" w:cs="宋体"/>
                  <w:sz w:val="28"/>
                  <w:szCs w:val="28"/>
                </w:rPr>
                <w:fldChar w:fldCharType="separate"/>
              </w:r>
              <w:r>
                <w:rPr>
                  <w:rFonts w:hint="eastAsia" w:ascii="宋体" w:hAnsi="宋体" w:eastAsia="宋体" w:cs="宋体"/>
                  <w:sz w:val="28"/>
                  <w:szCs w:val="28"/>
                  <w:highlight w:val="none"/>
                </w:rPr>
                <w:t>第一章 招标公告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_Toc109 \h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3485752">
              <w:pPr>
                <w:pStyle w:val="21"/>
                <w:tabs>
                  <w:tab w:val="right" w:leader="dot" w:pos="9072"/>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_Toc28951 </w:instrText>
              </w:r>
              <w:r>
                <w:rPr>
                  <w:rFonts w:hint="eastAsia" w:ascii="宋体" w:hAnsi="宋体" w:eastAsia="宋体" w:cs="宋体"/>
                  <w:sz w:val="28"/>
                  <w:szCs w:val="28"/>
                </w:rPr>
                <w:fldChar w:fldCharType="separate"/>
              </w:r>
              <w:r>
                <w:rPr>
                  <w:rFonts w:hint="eastAsia" w:ascii="宋体" w:hAnsi="宋体" w:eastAsia="宋体" w:cs="宋体"/>
                  <w:bCs/>
                  <w:sz w:val="28"/>
                  <w:szCs w:val="28"/>
                  <w:highlight w:val="none"/>
                </w:rPr>
                <w:t>第二章 投标须知前附表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_Toc28951 \h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C2780D5">
              <w:pPr>
                <w:pStyle w:val="21"/>
                <w:tabs>
                  <w:tab w:val="right" w:leader="dot" w:pos="9072"/>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_Toc27707 </w:instrText>
              </w:r>
              <w:r>
                <w:rPr>
                  <w:rFonts w:hint="eastAsia" w:ascii="宋体" w:hAnsi="宋体" w:eastAsia="宋体" w:cs="宋体"/>
                  <w:sz w:val="28"/>
                  <w:szCs w:val="28"/>
                </w:rPr>
                <w:fldChar w:fldCharType="separate"/>
              </w:r>
              <w:r>
                <w:rPr>
                  <w:rFonts w:hint="eastAsia" w:ascii="宋体" w:hAnsi="宋体" w:eastAsia="宋体" w:cs="宋体"/>
                  <w:sz w:val="28"/>
                  <w:szCs w:val="28"/>
                  <w:highlight w:val="none"/>
                </w:rPr>
                <w:t>第三章 投标人须知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_Toc27707 \h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121695F">
              <w:pPr>
                <w:pStyle w:val="21"/>
                <w:tabs>
                  <w:tab w:val="right" w:leader="dot" w:pos="9072"/>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_Toc24408 </w:instrText>
              </w:r>
              <w:r>
                <w:rPr>
                  <w:rFonts w:hint="eastAsia" w:ascii="宋体" w:hAnsi="宋体" w:eastAsia="宋体" w:cs="宋体"/>
                  <w:sz w:val="28"/>
                  <w:szCs w:val="28"/>
                </w:rPr>
                <w:fldChar w:fldCharType="separate"/>
              </w:r>
              <w:r>
                <w:rPr>
                  <w:rFonts w:hint="eastAsia" w:ascii="宋体" w:hAnsi="宋体" w:eastAsia="宋体" w:cs="宋体"/>
                  <w:sz w:val="28"/>
                  <w:szCs w:val="28"/>
                  <w:highlight w:val="none"/>
                </w:rPr>
                <w:t>第四章 采购合同</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_Toc24408 \h </w:instrText>
              </w:r>
              <w:r>
                <w:rPr>
                  <w:rFonts w:hint="eastAsia" w:ascii="宋体" w:hAnsi="宋体" w:eastAsia="宋体" w:cs="宋体"/>
                  <w:sz w:val="28"/>
                  <w:szCs w:val="28"/>
                </w:rPr>
                <w:fldChar w:fldCharType="separate"/>
              </w:r>
              <w:r>
                <w:rPr>
                  <w:rFonts w:hint="eastAsia" w:ascii="宋体" w:hAnsi="宋体" w:eastAsia="宋体" w:cs="宋体"/>
                  <w:sz w:val="28"/>
                  <w:szCs w:val="28"/>
                </w:rPr>
                <w:t>25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644EADF">
              <w:pPr>
                <w:pStyle w:val="21"/>
                <w:tabs>
                  <w:tab w:val="right" w:leader="dot" w:pos="9072"/>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_Toc13461 </w:instrText>
              </w:r>
              <w:r>
                <w:rPr>
                  <w:rFonts w:hint="eastAsia" w:ascii="宋体" w:hAnsi="宋体" w:eastAsia="宋体" w:cs="宋体"/>
                  <w:sz w:val="28"/>
                  <w:szCs w:val="28"/>
                </w:rPr>
                <w:fldChar w:fldCharType="separate"/>
              </w:r>
              <w:r>
                <w:rPr>
                  <w:rFonts w:hint="eastAsia" w:ascii="宋体" w:hAnsi="宋体" w:eastAsia="宋体" w:cs="宋体"/>
                  <w:bCs/>
                  <w:spacing w:val="4"/>
                  <w:sz w:val="28"/>
                  <w:szCs w:val="28"/>
                  <w:lang w:eastAsia="zh-CN"/>
                </w:rPr>
                <w:t>第</w:t>
              </w:r>
              <w:r>
                <w:rPr>
                  <w:rFonts w:hint="eastAsia" w:ascii="宋体" w:hAnsi="宋体" w:eastAsia="宋体" w:cs="宋体"/>
                  <w:bCs/>
                  <w:spacing w:val="4"/>
                  <w:sz w:val="28"/>
                  <w:szCs w:val="28"/>
                  <w:lang w:val="en-US" w:eastAsia="zh-CN"/>
                </w:rPr>
                <w:t>五</w:t>
              </w:r>
              <w:r>
                <w:rPr>
                  <w:rFonts w:hint="eastAsia" w:ascii="宋体" w:hAnsi="宋体" w:eastAsia="宋体" w:cs="宋体"/>
                  <w:bCs/>
                  <w:spacing w:val="4"/>
                  <w:sz w:val="28"/>
                  <w:szCs w:val="28"/>
                  <w:lang w:eastAsia="zh-CN"/>
                </w:rPr>
                <w:t>章</w:t>
              </w:r>
              <w:r>
                <w:rPr>
                  <w:rFonts w:hint="eastAsia" w:ascii="宋体" w:hAnsi="宋体" w:eastAsia="宋体" w:cs="宋体"/>
                  <w:bCs/>
                  <w:spacing w:val="4"/>
                  <w:sz w:val="28"/>
                  <w:szCs w:val="28"/>
                  <w:lang w:val="en-US" w:eastAsia="zh-CN"/>
                </w:rPr>
                <w:t xml:space="preserve"> </w:t>
              </w:r>
              <w:r>
                <w:rPr>
                  <w:rFonts w:hint="eastAsia" w:ascii="宋体" w:hAnsi="宋体" w:eastAsia="宋体" w:cs="宋体"/>
                  <w:bCs/>
                  <w:spacing w:val="4"/>
                  <w:sz w:val="28"/>
                  <w:szCs w:val="28"/>
                  <w:lang w:eastAsia="zh-CN"/>
                </w:rPr>
                <w:t>资格审查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_Toc13461 \h </w:instrText>
              </w:r>
              <w:r>
                <w:rPr>
                  <w:rFonts w:hint="eastAsia" w:ascii="宋体" w:hAnsi="宋体" w:eastAsia="宋体" w:cs="宋体"/>
                  <w:sz w:val="28"/>
                  <w:szCs w:val="28"/>
                </w:rPr>
                <w:fldChar w:fldCharType="separate"/>
              </w:r>
              <w:r>
                <w:rPr>
                  <w:rFonts w:hint="eastAsia" w:ascii="宋体" w:hAnsi="宋体" w:eastAsia="宋体" w:cs="宋体"/>
                  <w:sz w:val="28"/>
                  <w:szCs w:val="28"/>
                </w:rPr>
                <w:t>34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A898D4F">
              <w:pPr>
                <w:pStyle w:val="21"/>
                <w:tabs>
                  <w:tab w:val="right" w:leader="dot" w:pos="9072"/>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_Toc21649 </w:instrText>
              </w:r>
              <w:r>
                <w:rPr>
                  <w:rFonts w:hint="eastAsia" w:ascii="宋体" w:hAnsi="宋体" w:eastAsia="宋体" w:cs="宋体"/>
                  <w:sz w:val="28"/>
                  <w:szCs w:val="28"/>
                </w:rPr>
                <w:fldChar w:fldCharType="separate"/>
              </w:r>
              <w:r>
                <w:rPr>
                  <w:rFonts w:hint="eastAsia" w:ascii="宋体" w:hAnsi="宋体" w:eastAsia="宋体" w:cs="宋体"/>
                  <w:sz w:val="28"/>
                  <w:szCs w:val="28"/>
                  <w:highlight w:val="none"/>
                </w:rPr>
                <w:t>第</w:t>
              </w:r>
              <w:r>
                <w:rPr>
                  <w:rFonts w:hint="eastAsia" w:ascii="宋体" w:hAnsi="宋体" w:eastAsia="宋体" w:cs="宋体"/>
                  <w:sz w:val="28"/>
                  <w:szCs w:val="28"/>
                  <w:highlight w:val="none"/>
                  <w:lang w:val="en-US" w:eastAsia="zh-CN"/>
                </w:rPr>
                <w:t>六</w:t>
              </w:r>
              <w:r>
                <w:rPr>
                  <w:rFonts w:hint="eastAsia" w:ascii="宋体" w:hAnsi="宋体" w:eastAsia="宋体" w:cs="宋体"/>
                  <w:sz w:val="28"/>
                  <w:szCs w:val="28"/>
                  <w:highlight w:val="none"/>
                </w:rPr>
                <w:t>章 采购需求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_Toc21649 \h </w:instrText>
              </w:r>
              <w:r>
                <w:rPr>
                  <w:rFonts w:hint="eastAsia" w:ascii="宋体" w:hAnsi="宋体" w:eastAsia="宋体" w:cs="宋体"/>
                  <w:sz w:val="28"/>
                  <w:szCs w:val="28"/>
                </w:rPr>
                <w:fldChar w:fldCharType="separate"/>
              </w:r>
              <w:r>
                <w:rPr>
                  <w:rFonts w:hint="eastAsia" w:ascii="宋体" w:hAnsi="宋体" w:eastAsia="宋体" w:cs="宋体"/>
                  <w:sz w:val="28"/>
                  <w:szCs w:val="28"/>
                </w:rPr>
                <w:t>37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6D771EB">
              <w:pPr>
                <w:pStyle w:val="21"/>
                <w:tabs>
                  <w:tab w:val="right" w:leader="dot" w:pos="9072"/>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_Toc21297 </w:instrText>
              </w:r>
              <w:r>
                <w:rPr>
                  <w:rFonts w:hint="eastAsia" w:ascii="宋体" w:hAnsi="宋体" w:eastAsia="宋体" w:cs="宋体"/>
                  <w:sz w:val="28"/>
                  <w:szCs w:val="28"/>
                </w:rPr>
                <w:fldChar w:fldCharType="separate"/>
              </w:r>
              <w:r>
                <w:rPr>
                  <w:rFonts w:hint="eastAsia" w:ascii="宋体" w:hAnsi="宋体" w:eastAsia="宋体" w:cs="宋体"/>
                  <w:sz w:val="28"/>
                  <w:szCs w:val="28"/>
                  <w:highlight w:val="none"/>
                </w:rPr>
                <w:t>第</w:t>
              </w:r>
              <w:r>
                <w:rPr>
                  <w:rFonts w:hint="eastAsia" w:ascii="宋体" w:hAnsi="宋体" w:eastAsia="宋体" w:cs="宋体"/>
                  <w:sz w:val="28"/>
                  <w:szCs w:val="28"/>
                  <w:highlight w:val="none"/>
                  <w:lang w:val="en-US" w:eastAsia="zh-CN"/>
                </w:rPr>
                <w:t>七</w:t>
              </w:r>
              <w:r>
                <w:rPr>
                  <w:rFonts w:hint="eastAsia" w:ascii="宋体" w:hAnsi="宋体" w:eastAsia="宋体" w:cs="宋体"/>
                  <w:sz w:val="28"/>
                  <w:szCs w:val="28"/>
                  <w:highlight w:val="none"/>
                </w:rPr>
                <w:t>章 评标方法和标准</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_Toc21297 \h </w:instrText>
              </w:r>
              <w:r>
                <w:rPr>
                  <w:rFonts w:hint="eastAsia" w:ascii="宋体" w:hAnsi="宋体" w:eastAsia="宋体" w:cs="宋体"/>
                  <w:sz w:val="28"/>
                  <w:szCs w:val="28"/>
                </w:rPr>
                <w:fldChar w:fldCharType="separate"/>
              </w:r>
              <w:r>
                <w:rPr>
                  <w:rFonts w:hint="eastAsia" w:ascii="宋体" w:hAnsi="宋体" w:eastAsia="宋体" w:cs="宋体"/>
                  <w:sz w:val="28"/>
                  <w:szCs w:val="28"/>
                </w:rPr>
                <w:t>42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9110893">
              <w:pPr>
                <w:pStyle w:val="21"/>
                <w:tabs>
                  <w:tab w:val="right" w:leader="dot" w:pos="9072"/>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_Toc17026 </w:instrText>
              </w:r>
              <w:r>
                <w:rPr>
                  <w:rFonts w:hint="eastAsia" w:ascii="宋体" w:hAnsi="宋体" w:eastAsia="宋体" w:cs="宋体"/>
                  <w:sz w:val="28"/>
                  <w:szCs w:val="28"/>
                </w:rPr>
                <w:fldChar w:fldCharType="separate"/>
              </w:r>
              <w:r>
                <w:rPr>
                  <w:rFonts w:hint="eastAsia" w:ascii="宋体" w:hAnsi="宋体" w:eastAsia="宋体" w:cs="宋体"/>
                  <w:bCs/>
                  <w:spacing w:val="4"/>
                  <w:sz w:val="28"/>
                  <w:szCs w:val="28"/>
                  <w:highlight w:val="none"/>
                  <w:lang w:eastAsia="zh-CN"/>
                </w:rPr>
                <w:t>第</w:t>
              </w:r>
              <w:r>
                <w:rPr>
                  <w:rFonts w:hint="eastAsia" w:ascii="宋体" w:hAnsi="宋体" w:eastAsia="宋体" w:cs="宋体"/>
                  <w:bCs/>
                  <w:spacing w:val="4"/>
                  <w:sz w:val="28"/>
                  <w:szCs w:val="28"/>
                  <w:highlight w:val="none"/>
                  <w:lang w:val="en-US" w:eastAsia="zh-CN"/>
                </w:rPr>
                <w:t>八</w:t>
              </w:r>
              <w:r>
                <w:rPr>
                  <w:rFonts w:hint="eastAsia" w:ascii="宋体" w:hAnsi="宋体" w:eastAsia="宋体" w:cs="宋体"/>
                  <w:bCs/>
                  <w:spacing w:val="4"/>
                  <w:sz w:val="28"/>
                  <w:szCs w:val="28"/>
                  <w:highlight w:val="none"/>
                  <w:lang w:eastAsia="zh-CN"/>
                </w:rPr>
                <w:t>章</w:t>
              </w:r>
              <w:r>
                <w:rPr>
                  <w:rFonts w:hint="eastAsia" w:ascii="宋体" w:hAnsi="宋体" w:eastAsia="宋体" w:cs="宋体"/>
                  <w:bCs/>
                  <w:spacing w:val="4"/>
                  <w:sz w:val="28"/>
                  <w:szCs w:val="28"/>
                  <w:highlight w:val="none"/>
                  <w:lang w:val="en-US" w:eastAsia="zh-CN"/>
                </w:rPr>
                <w:t xml:space="preserve"> </w:t>
              </w:r>
              <w:r>
                <w:rPr>
                  <w:rFonts w:hint="eastAsia" w:ascii="宋体" w:hAnsi="宋体" w:eastAsia="宋体" w:cs="宋体"/>
                  <w:bCs/>
                  <w:spacing w:val="4"/>
                  <w:sz w:val="28"/>
                  <w:szCs w:val="28"/>
                  <w:highlight w:val="none"/>
                  <w:lang w:eastAsia="zh-CN"/>
                </w:rPr>
                <w:t>投标文件格式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_Toc17026 \h </w:instrText>
              </w:r>
              <w:r>
                <w:rPr>
                  <w:rFonts w:hint="eastAsia" w:ascii="宋体" w:hAnsi="宋体" w:eastAsia="宋体" w:cs="宋体"/>
                  <w:sz w:val="28"/>
                  <w:szCs w:val="28"/>
                </w:rPr>
                <w:fldChar w:fldCharType="separate"/>
              </w:r>
              <w:r>
                <w:rPr>
                  <w:rFonts w:hint="eastAsia" w:ascii="宋体" w:hAnsi="宋体" w:eastAsia="宋体" w:cs="宋体"/>
                  <w:sz w:val="28"/>
                  <w:szCs w:val="28"/>
                </w:rPr>
                <w:t>56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6F48BCC">
              <w:pPr>
                <w:rPr>
                  <w:rFonts w:hint="eastAsia" w:asciiTheme="minorHAnsi" w:hAnsiTheme="minorHAnsi" w:eastAsiaTheme="minorEastAsia" w:cstheme="minorBidi"/>
                  <w:kern w:val="2"/>
                  <w:sz w:val="21"/>
                  <w:szCs w:val="24"/>
                  <w:lang w:val="en-US" w:eastAsia="zh-CN" w:bidi="ar-SA"/>
                </w:rPr>
                <w:sectPr>
                  <w:footerReference r:id="rId4" w:type="default"/>
                  <w:pgSz w:w="11906" w:h="16838"/>
                  <w:pgMar w:top="1417" w:right="1417" w:bottom="1417" w:left="1417" w:header="851" w:footer="992" w:gutter="0"/>
                  <w:pgNumType w:fmt="decimal" w:start="1"/>
                  <w:cols w:space="425" w:num="1"/>
                  <w:docGrid w:type="lines" w:linePitch="312" w:charSpace="0"/>
                </w:sectPr>
              </w:pPr>
              <w:r>
                <w:rPr>
                  <w:rFonts w:hint="eastAsia"/>
                </w:rPr>
                <w:fldChar w:fldCharType="end"/>
              </w:r>
            </w:p>
          </w:sdtContent>
        </w:sdt>
        <w:p w14:paraId="0117600F">
          <w:pPr>
            <w:rPr>
              <w:rFonts w:hint="eastAsia" w:asciiTheme="minorHAnsi" w:hAnsiTheme="minorHAnsi" w:eastAsiaTheme="minorEastAsia" w:cstheme="minorBidi"/>
              <w:kern w:val="2"/>
              <w:sz w:val="21"/>
              <w:szCs w:val="24"/>
              <w:lang w:val="en-US" w:eastAsia="zh-CN" w:bidi="ar-SA"/>
            </w:rPr>
          </w:pPr>
        </w:p>
        <w:p w14:paraId="65172F31">
          <w:pPr>
            <w:bidi w:val="0"/>
            <w:outlineLvl w:val="9"/>
            <w:rPr>
              <w:rFonts w:hint="eastAsia" w:ascii="宋体" w:hAnsi="宋体" w:eastAsia="宋体" w:cs="宋体"/>
              <w:highlight w:val="none"/>
            </w:rPr>
          </w:pPr>
          <w:r>
            <w:rPr>
              <w:rFonts w:hint="eastAsia" w:ascii="宋体" w:hAnsi="宋体" w:eastAsia="宋体" w:cs="宋体"/>
              <w:bCs/>
              <w:spacing w:val="10"/>
              <w:kern w:val="0"/>
              <w:sz w:val="28"/>
              <w:szCs w:val="28"/>
              <w:highlight w:val="none"/>
            </w:rPr>
            <w:fldChar w:fldCharType="end"/>
          </w:r>
          <w:bookmarkStart w:id="0" w:name="_Toc15331"/>
          <w:bookmarkStart w:id="1" w:name="_Toc29620"/>
          <w:bookmarkStart w:id="2" w:name="_Toc109"/>
        </w:p>
      </w:sdtContent>
    </w:sdt>
    <w:p w14:paraId="78767081">
      <w:pPr>
        <w:pStyle w:val="2"/>
        <w:bidi w:val="0"/>
        <w:rPr>
          <w:rFonts w:hint="eastAsia" w:ascii="宋体" w:hAnsi="宋体" w:eastAsia="宋体" w:cs="宋体"/>
          <w:highlight w:val="none"/>
        </w:rPr>
      </w:pPr>
      <w:r>
        <w:rPr>
          <w:rFonts w:hint="eastAsia" w:ascii="宋体" w:hAnsi="宋体" w:eastAsia="宋体" w:cs="宋体"/>
          <w:highlight w:val="none"/>
        </w:rPr>
        <w:t>第一章 招标公告</w:t>
      </w:r>
      <w:bookmarkEnd w:id="0"/>
      <w:bookmarkEnd w:id="1"/>
      <w:bookmarkEnd w:id="2"/>
    </w:p>
    <w:p w14:paraId="79892342">
      <w:pPr>
        <w:adjustRightInd w:val="0"/>
        <w:snapToGrid w:val="0"/>
        <w:spacing w:line="440" w:lineRule="exact"/>
        <w:ind w:firstLine="480" w:firstLineChars="200"/>
        <w:rPr>
          <w:rFonts w:hint="eastAsia" w:ascii="宋体" w:hAnsi="宋体" w:eastAsia="宋体" w:cs="宋体"/>
          <w:sz w:val="24"/>
          <w:highlight w:val="none"/>
        </w:rPr>
      </w:pPr>
    </w:p>
    <w:p w14:paraId="38EDA227">
      <w:pPr>
        <w:pBdr>
          <w:top w:val="single" w:color="auto" w:sz="4" w:space="1"/>
          <w:left w:val="single" w:color="auto" w:sz="4" w:space="4"/>
          <w:bottom w:val="single" w:color="auto" w:sz="4" w:space="1"/>
          <w:right w:val="single" w:color="auto" w:sz="4" w:space="4"/>
        </w:pBdr>
        <w:spacing w:line="360" w:lineRule="auto"/>
        <w:rPr>
          <w:rFonts w:hint="eastAsia" w:ascii="宋体" w:hAnsi="宋体" w:eastAsia="宋体" w:cs="宋体"/>
          <w:sz w:val="24"/>
          <w:szCs w:val="24"/>
          <w:highlight w:val="none"/>
        </w:rPr>
      </w:pPr>
      <w:bookmarkStart w:id="3" w:name="_Toc35393790"/>
      <w:bookmarkStart w:id="4" w:name="_Toc35393621"/>
      <w:bookmarkStart w:id="5" w:name="_Toc28359002"/>
      <w:bookmarkStart w:id="6" w:name="_Hlk24379207"/>
      <w:bookmarkStart w:id="7" w:name="_Toc28359079"/>
      <w:r>
        <w:rPr>
          <w:rFonts w:hint="eastAsia" w:ascii="宋体" w:hAnsi="宋体" w:eastAsia="宋体" w:cs="宋体"/>
          <w:sz w:val="24"/>
          <w:szCs w:val="24"/>
          <w:highlight w:val="none"/>
        </w:rPr>
        <w:t>项目概况</w:t>
      </w:r>
    </w:p>
    <w:p w14:paraId="3B0F6CDE">
      <w:pPr>
        <w:pBdr>
          <w:top w:val="single" w:color="auto" w:sz="4" w:space="1"/>
          <w:left w:val="single" w:color="auto" w:sz="4" w:space="4"/>
          <w:bottom w:val="single" w:color="auto" w:sz="4" w:space="1"/>
          <w:right w:val="single" w:color="auto" w:sz="4" w:space="4"/>
        </w:pBdr>
        <w:spacing w:line="360" w:lineRule="auto"/>
        <w:jc w:val="left"/>
        <w:rPr>
          <w:rFonts w:hint="eastAsia" w:ascii="宋体" w:hAnsi="宋体" w:eastAsia="宋体" w:cs="宋体"/>
          <w:b/>
          <w:bCs/>
          <w:sz w:val="24"/>
          <w:szCs w:val="24"/>
          <w:highlight w:val="none"/>
        </w:rPr>
      </w:pPr>
      <w:r>
        <w:rPr>
          <w:rFonts w:hint="eastAsia" w:ascii="宋体" w:hAnsi="宋体" w:eastAsia="宋体" w:cs="宋体"/>
          <w:sz w:val="24"/>
          <w:szCs w:val="24"/>
          <w:highlight w:val="none"/>
          <w:lang w:eastAsia="zh-CN"/>
        </w:rPr>
        <w:t>新疆维吾尔自治区昌吉某某单位食材采购项目标包四（猪肉类）</w:t>
      </w:r>
      <w:r>
        <w:rPr>
          <w:rFonts w:hint="eastAsia" w:ascii="宋体" w:hAnsi="宋体" w:eastAsia="宋体" w:cs="宋体"/>
          <w:sz w:val="24"/>
          <w:szCs w:val="24"/>
          <w:highlight w:val="none"/>
        </w:rPr>
        <w:t>的潜在供应商应在</w:t>
      </w:r>
      <w:r>
        <w:rPr>
          <w:rFonts w:hint="eastAsia" w:ascii="宋体" w:hAnsi="宋体" w:eastAsia="宋体" w:cs="宋体"/>
          <w:sz w:val="24"/>
          <w:szCs w:val="24"/>
          <w:highlight w:val="none"/>
          <w:lang w:eastAsia="zh-CN"/>
        </w:rPr>
        <w:t>政采云平台</w:t>
      </w:r>
      <w:r>
        <w:rPr>
          <w:rFonts w:hint="eastAsia" w:ascii="宋体" w:hAnsi="宋体" w:eastAsia="宋体" w:cs="宋体"/>
          <w:sz w:val="24"/>
          <w:szCs w:val="24"/>
          <w:highlight w:val="none"/>
        </w:rPr>
        <w:t>线上获取采购文件，</w:t>
      </w:r>
      <w:r>
        <w:rPr>
          <w:rFonts w:hint="eastAsia" w:ascii="宋体" w:hAnsi="宋体" w:eastAsia="宋体" w:cs="宋体"/>
          <w:color w:val="auto"/>
          <w:sz w:val="24"/>
          <w:szCs w:val="24"/>
          <w:highlight w:val="none"/>
        </w:rPr>
        <w:t>并于</w:t>
      </w:r>
      <w:r>
        <w:rPr>
          <w:rFonts w:hint="eastAsia" w:ascii="宋体" w:hAnsi="宋体" w:eastAsia="宋体" w:cs="宋体"/>
          <w:color w:val="auto"/>
          <w:sz w:val="24"/>
          <w:szCs w:val="24"/>
          <w:highlight w:val="none"/>
          <w:lang w:eastAsia="zh-CN"/>
        </w:rPr>
        <w:t>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lang w:val="en-US" w:eastAsia="zh-CN"/>
        </w:rPr>
        <w:t xml:space="preserve">11 </w:t>
      </w:r>
      <w:r>
        <w:rPr>
          <w:rFonts w:hint="eastAsia" w:ascii="宋体" w:hAnsi="宋体" w:eastAsia="宋体" w:cs="宋体"/>
          <w:color w:val="auto"/>
          <w:sz w:val="24"/>
          <w:szCs w:val="24"/>
          <w:highlight w:val="none"/>
          <w:lang w:eastAsia="zh-CN"/>
        </w:rPr>
        <w:t>日11时00</w:t>
      </w:r>
      <w:r>
        <w:rPr>
          <w:rFonts w:hint="eastAsia" w:ascii="宋体" w:hAnsi="宋体" w:eastAsia="宋体" w:cs="宋体"/>
          <w:bCs/>
          <w:color w:val="auto"/>
          <w:sz w:val="24"/>
          <w:szCs w:val="24"/>
          <w:highlight w:val="none"/>
        </w:rPr>
        <w:t>分前递交响应文件</w:t>
      </w:r>
      <w:r>
        <w:rPr>
          <w:rFonts w:hint="eastAsia" w:ascii="宋体" w:hAnsi="宋体" w:eastAsia="宋体" w:cs="宋体"/>
          <w:color w:val="auto"/>
          <w:sz w:val="24"/>
          <w:szCs w:val="24"/>
          <w:highlight w:val="none"/>
        </w:rPr>
        <w:t>。</w:t>
      </w:r>
    </w:p>
    <w:bookmarkEnd w:id="3"/>
    <w:bookmarkEnd w:id="4"/>
    <w:bookmarkEnd w:id="5"/>
    <w:bookmarkEnd w:id="6"/>
    <w:bookmarkEnd w:id="7"/>
    <w:p w14:paraId="62662761">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一、项目基本情况</w:t>
      </w:r>
    </w:p>
    <w:p w14:paraId="29CD3213">
      <w:pPr>
        <w:spacing w:line="360" w:lineRule="auto"/>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项目编号：XJL-ZB-2026-34</w:t>
      </w:r>
    </w:p>
    <w:p w14:paraId="33AEC4CA">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项目名称：</w:t>
      </w:r>
      <w:r>
        <w:rPr>
          <w:rFonts w:hint="eastAsia" w:ascii="宋体" w:hAnsi="宋体" w:eastAsia="宋体" w:cs="宋体"/>
          <w:sz w:val="24"/>
          <w:szCs w:val="24"/>
          <w:highlight w:val="none"/>
          <w:lang w:eastAsia="zh-CN"/>
        </w:rPr>
        <w:t>新疆维吾尔自治区昌吉某某单位食材采购项目标包四（猪肉类）</w:t>
      </w:r>
    </w:p>
    <w:p w14:paraId="2305D41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采购方式：公开招标</w:t>
      </w:r>
    </w:p>
    <w:p w14:paraId="45C0C807">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预算金额</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1000000.00</w:t>
      </w:r>
    </w:p>
    <w:p w14:paraId="73040CFD">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最高限价（</w:t>
      </w:r>
      <w:r>
        <w:rPr>
          <w:rFonts w:hint="eastAsia" w:ascii="宋体" w:hAnsi="宋体" w:eastAsia="宋体" w:cs="宋体"/>
          <w:color w:val="auto"/>
          <w:sz w:val="24"/>
          <w:szCs w:val="24"/>
          <w:highlight w:val="none"/>
          <w:lang w:val="en-US" w:eastAsia="zh-CN"/>
        </w:rPr>
        <w:t>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1000000.00</w:t>
      </w:r>
    </w:p>
    <w:p w14:paraId="2C3F1063">
      <w:pPr>
        <w:spacing w:line="360" w:lineRule="auto"/>
        <w:ind w:firstLine="480" w:firstLineChars="20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sz w:val="24"/>
          <w:szCs w:val="24"/>
          <w:highlight w:val="none"/>
          <w:lang w:eastAsia="zh-CN"/>
        </w:rPr>
        <w:t>简要规格描述或项目基本概况介绍、用途：新疆维吾尔自治区昌吉某某单位食材采购项目标包四（猪肉类），</w:t>
      </w:r>
      <w:r>
        <w:rPr>
          <w:rFonts w:hint="eastAsia" w:ascii="宋体" w:hAnsi="宋体" w:eastAsia="宋体" w:cs="宋体"/>
          <w:color w:val="000000" w:themeColor="text1"/>
          <w:sz w:val="24"/>
          <w:highlight w:val="none"/>
          <w14:textFill>
            <w14:solidFill>
              <w14:schemeClr w14:val="tx1"/>
            </w14:solidFill>
          </w14:textFill>
        </w:rPr>
        <w:t>具体内容详见</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14:textFill>
            <w14:solidFill>
              <w14:schemeClr w14:val="tx1"/>
            </w14:solidFill>
          </w14:textFill>
        </w:rPr>
        <w:t>第</w:t>
      </w:r>
      <w:r>
        <w:rPr>
          <w:rFonts w:hint="eastAsia" w:ascii="宋体" w:hAnsi="宋体" w:eastAsia="宋体" w:cs="宋体"/>
          <w:color w:val="000000" w:themeColor="text1"/>
          <w:sz w:val="24"/>
          <w:highlight w:val="none"/>
          <w:lang w:val="en-US" w:eastAsia="zh-CN"/>
          <w14:textFill>
            <w14:solidFill>
              <w14:schemeClr w14:val="tx1"/>
            </w14:solidFill>
          </w14:textFill>
        </w:rPr>
        <w:t>六</w:t>
      </w:r>
      <w:r>
        <w:rPr>
          <w:rFonts w:hint="eastAsia" w:ascii="宋体" w:hAnsi="宋体" w:eastAsia="宋体" w:cs="宋体"/>
          <w:color w:val="000000" w:themeColor="text1"/>
          <w:sz w:val="24"/>
          <w:highlight w:val="none"/>
          <w14:textFill>
            <w14:solidFill>
              <w14:schemeClr w14:val="tx1"/>
            </w14:solidFill>
          </w14:textFill>
        </w:rPr>
        <w:t>章内容。</w:t>
      </w:r>
    </w:p>
    <w:p w14:paraId="45725F1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合同履行期限：</w:t>
      </w:r>
      <w:r>
        <w:rPr>
          <w:rFonts w:hint="eastAsia" w:ascii="宋体" w:hAnsi="宋体" w:eastAsia="宋体" w:cs="宋体"/>
          <w:sz w:val="24"/>
          <w:szCs w:val="24"/>
          <w:highlight w:val="none"/>
          <w:lang w:val="en-US" w:eastAsia="zh-CN"/>
        </w:rPr>
        <w:t>1年</w:t>
      </w:r>
    </w:p>
    <w:p w14:paraId="1F9DD215">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本项目</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否</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接受联合体投标。</w:t>
      </w:r>
    </w:p>
    <w:p w14:paraId="580CD9DD">
      <w:pPr>
        <w:spacing w:line="360" w:lineRule="auto"/>
        <w:rPr>
          <w:rFonts w:hint="eastAsia" w:ascii="宋体" w:hAnsi="宋体" w:eastAsia="宋体" w:cs="宋体"/>
          <w:b/>
          <w:bCs/>
          <w:sz w:val="24"/>
          <w:szCs w:val="24"/>
          <w:highlight w:val="none"/>
        </w:rPr>
      </w:pPr>
      <w:bookmarkStart w:id="8" w:name="_Toc35393622"/>
      <w:bookmarkStart w:id="9" w:name="_Toc28359080"/>
      <w:bookmarkStart w:id="10" w:name="_Toc28359003"/>
      <w:bookmarkStart w:id="11" w:name="_Toc35393791"/>
      <w:r>
        <w:rPr>
          <w:rFonts w:hint="eastAsia" w:ascii="宋体" w:hAnsi="宋体" w:eastAsia="宋体" w:cs="宋体"/>
          <w:b/>
          <w:bCs/>
          <w:sz w:val="24"/>
          <w:szCs w:val="24"/>
          <w:highlight w:val="none"/>
        </w:rPr>
        <w:t>二、申请人的资格要求</w:t>
      </w:r>
      <w:bookmarkEnd w:id="8"/>
      <w:bookmarkEnd w:id="9"/>
      <w:bookmarkEnd w:id="10"/>
      <w:bookmarkEnd w:id="11"/>
    </w:p>
    <w:p w14:paraId="62DC4A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bookmarkStart w:id="12" w:name="_Toc28359081"/>
      <w:bookmarkStart w:id="13" w:name="_Toc28359004"/>
      <w:r>
        <w:rPr>
          <w:rFonts w:hint="eastAsia" w:ascii="宋体" w:hAnsi="宋体" w:eastAsia="宋体" w:cs="宋体"/>
          <w:sz w:val="24"/>
          <w:szCs w:val="24"/>
          <w:highlight w:val="none"/>
        </w:rPr>
        <w:t>1.满足《中华人民共和国政府采购法》第二十二条规定</w:t>
      </w:r>
      <w:r>
        <w:rPr>
          <w:rFonts w:hint="eastAsia" w:ascii="宋体" w:hAnsi="宋体" w:eastAsia="宋体" w:cs="宋体"/>
          <w:sz w:val="24"/>
          <w:szCs w:val="24"/>
          <w:highlight w:val="none"/>
          <w:lang w:eastAsia="zh-CN"/>
        </w:rPr>
        <w:t>。</w:t>
      </w:r>
    </w:p>
    <w:p w14:paraId="544E97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w:t>
      </w:r>
      <w:bookmarkStart w:id="14" w:name="_Toc35393623"/>
      <w:bookmarkStart w:id="15" w:name="_Toc35393792"/>
      <w:r>
        <w:rPr>
          <w:rFonts w:hint="eastAsia" w:ascii="宋体" w:hAnsi="宋体" w:eastAsia="宋体" w:cs="宋体"/>
          <w:sz w:val="24"/>
          <w:szCs w:val="24"/>
          <w:highlight w:val="none"/>
        </w:rPr>
        <w:t>采购项目需要落实的政府采购政策:</w:t>
      </w:r>
      <w:r>
        <w:rPr>
          <w:rFonts w:hint="eastAsia" w:ascii="宋体" w:hAnsi="宋体" w:eastAsia="宋体" w:cs="宋体"/>
          <w:color w:val="auto"/>
          <w:sz w:val="24"/>
          <w:szCs w:val="24"/>
          <w:highlight w:val="none"/>
          <w:lang w:eastAsia="zh-CN"/>
        </w:rPr>
        <w:t>本项目专门面向</w:t>
      </w:r>
      <w:r>
        <w:rPr>
          <w:rFonts w:hint="eastAsia" w:ascii="宋体" w:hAnsi="宋体" w:eastAsia="宋体" w:cs="宋体"/>
          <w:color w:val="auto"/>
          <w:sz w:val="24"/>
          <w:szCs w:val="24"/>
          <w:highlight w:val="none"/>
          <w:lang w:val="en-US" w:eastAsia="zh-CN"/>
        </w:rPr>
        <w:t>中</w:t>
      </w:r>
      <w:r>
        <w:rPr>
          <w:rFonts w:hint="eastAsia" w:ascii="宋体" w:hAnsi="宋体" w:eastAsia="宋体" w:cs="宋体"/>
          <w:color w:val="auto"/>
          <w:sz w:val="24"/>
          <w:szCs w:val="24"/>
          <w:highlight w:val="none"/>
          <w:lang w:eastAsia="zh-CN"/>
        </w:rPr>
        <w:t>小企业</w:t>
      </w:r>
      <w:r>
        <w:rPr>
          <w:rFonts w:hint="eastAsia" w:ascii="宋体" w:hAnsi="宋体" w:eastAsia="宋体" w:cs="宋体"/>
          <w:color w:val="000000"/>
          <w:kern w:val="0"/>
          <w:sz w:val="24"/>
          <w:szCs w:val="24"/>
          <w:highlight w:val="none"/>
          <w:lang w:eastAsia="zh-CN"/>
        </w:rPr>
        <w:t>。</w:t>
      </w:r>
    </w:p>
    <w:p w14:paraId="3AC830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3.本项目的特定资格要求：</w:t>
      </w:r>
      <w:r>
        <w:rPr>
          <w:rFonts w:hint="eastAsia" w:ascii="宋体" w:hAnsi="宋体" w:eastAsia="宋体" w:cs="宋体"/>
          <w:sz w:val="24"/>
          <w:szCs w:val="24"/>
          <w:highlight w:val="none"/>
          <w:lang w:val="en-US" w:eastAsia="zh-CN"/>
        </w:rPr>
        <w:t>无。</w:t>
      </w:r>
    </w:p>
    <w:p w14:paraId="1F9C41D1">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三、获取招标文件</w:t>
      </w:r>
      <w:bookmarkEnd w:id="12"/>
      <w:bookmarkEnd w:id="13"/>
      <w:bookmarkEnd w:id="14"/>
      <w:bookmarkEnd w:id="15"/>
    </w:p>
    <w:p w14:paraId="1C6AAA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bookmarkStart w:id="16" w:name="_Toc28359005"/>
      <w:bookmarkStart w:id="17" w:name="_Toc35393793"/>
      <w:bookmarkStart w:id="18" w:name="_Toc28359082"/>
      <w:bookmarkStart w:id="19" w:name="_Toc35393624"/>
      <w:r>
        <w:rPr>
          <w:rFonts w:hint="eastAsia" w:ascii="宋体" w:hAnsi="宋体" w:eastAsia="宋体" w:cs="宋体"/>
          <w:color w:val="auto"/>
          <w:sz w:val="24"/>
          <w:szCs w:val="24"/>
          <w:highlight w:val="none"/>
        </w:rPr>
        <w:t>时间：202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15 </w:t>
      </w:r>
      <w:r>
        <w:rPr>
          <w:rFonts w:hint="eastAsia" w:ascii="宋体" w:hAnsi="宋体" w:eastAsia="宋体" w:cs="宋体"/>
          <w:color w:val="auto"/>
          <w:sz w:val="24"/>
          <w:szCs w:val="24"/>
          <w:highlight w:val="none"/>
        </w:rPr>
        <w:t>日至202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26 </w:t>
      </w:r>
      <w:r>
        <w:rPr>
          <w:rFonts w:hint="eastAsia" w:ascii="宋体" w:hAnsi="宋体" w:eastAsia="宋体" w:cs="宋体"/>
          <w:color w:val="auto"/>
          <w:sz w:val="24"/>
          <w:szCs w:val="24"/>
          <w:highlight w:val="none"/>
        </w:rPr>
        <w:t>日，每天上午</w:t>
      </w:r>
      <w:r>
        <w:rPr>
          <w:rFonts w:hint="eastAsia" w:ascii="宋体" w:hAns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0，下午1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0至</w:t>
      </w: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59</w:t>
      </w:r>
      <w:r>
        <w:rPr>
          <w:rFonts w:hint="eastAsia" w:ascii="宋体" w:hAnsi="宋体" w:eastAsia="宋体" w:cs="宋体"/>
          <w:color w:val="auto"/>
          <w:sz w:val="24"/>
          <w:szCs w:val="24"/>
          <w:highlight w:val="none"/>
        </w:rPr>
        <w:t>（北京时间，法定节假日除外）</w:t>
      </w:r>
    </w:p>
    <w:p w14:paraId="019ED4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地点：政采云平台线上获取</w:t>
      </w:r>
    </w:p>
    <w:p w14:paraId="172479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方式：供应商登录</w:t>
      </w:r>
      <w:r>
        <w:rPr>
          <w:rFonts w:hint="eastAsia" w:ascii="宋体" w:hAnsi="宋体" w:eastAsia="宋体" w:cs="宋体"/>
          <w:sz w:val="24"/>
          <w:szCs w:val="24"/>
          <w:highlight w:val="none"/>
          <w:lang w:eastAsia="zh-CN"/>
        </w:rPr>
        <w:t>政采云平台https://www.zcygov.com/</w:t>
      </w:r>
      <w:r>
        <w:rPr>
          <w:rFonts w:hint="eastAsia" w:ascii="宋体" w:hAnsi="宋体" w:eastAsia="宋体" w:cs="宋体"/>
          <w:sz w:val="24"/>
          <w:szCs w:val="24"/>
          <w:highlight w:val="none"/>
        </w:rPr>
        <w:t>在线申请获取采购文件（进入“项目采购”应用，在获取采购文件菜单中选择项目，申请获取采购文件）</w:t>
      </w:r>
    </w:p>
    <w:p w14:paraId="73431D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售价（元）：</w:t>
      </w:r>
      <w:r>
        <w:rPr>
          <w:rFonts w:hint="eastAsia" w:ascii="宋体" w:hAnsi="宋体" w:eastAsia="宋体" w:cs="宋体"/>
          <w:sz w:val="24"/>
          <w:szCs w:val="24"/>
          <w:highlight w:val="none"/>
          <w:lang w:val="en-US" w:eastAsia="zh-CN"/>
        </w:rPr>
        <w:t>0</w:t>
      </w:r>
    </w:p>
    <w:p w14:paraId="25416E68">
      <w:pPr>
        <w:spacing w:line="360" w:lineRule="auto"/>
        <w:rPr>
          <w:rFonts w:hint="eastAsia" w:ascii="宋体" w:hAnsi="宋体" w:eastAsia="宋体" w:cs="宋体"/>
          <w:sz w:val="24"/>
          <w:szCs w:val="24"/>
          <w:highlight w:val="none"/>
        </w:rPr>
      </w:pPr>
      <w:r>
        <w:rPr>
          <w:rFonts w:hint="eastAsia" w:ascii="宋体" w:hAnsi="宋体" w:eastAsia="宋体" w:cs="宋体"/>
          <w:b/>
          <w:bCs/>
          <w:sz w:val="24"/>
          <w:szCs w:val="24"/>
          <w:highlight w:val="none"/>
        </w:rPr>
        <w:t>四、</w:t>
      </w:r>
      <w:bookmarkEnd w:id="16"/>
      <w:bookmarkEnd w:id="17"/>
      <w:bookmarkEnd w:id="18"/>
      <w:bookmarkEnd w:id="19"/>
      <w:r>
        <w:rPr>
          <w:rFonts w:hint="eastAsia" w:ascii="宋体" w:hAnsi="宋体" w:eastAsia="宋体" w:cs="宋体"/>
          <w:b/>
          <w:bCs/>
          <w:sz w:val="24"/>
          <w:szCs w:val="24"/>
          <w:highlight w:val="none"/>
        </w:rPr>
        <w:t>提交投标文件截止时间、开标时间和地点</w:t>
      </w:r>
    </w:p>
    <w:p w14:paraId="19FCDC6F">
      <w:pPr>
        <w:spacing w:line="360" w:lineRule="auto"/>
        <w:ind w:firstLine="480" w:firstLineChars="200"/>
        <w:rPr>
          <w:rFonts w:hint="eastAsia" w:ascii="宋体" w:hAnsi="宋体" w:eastAsia="宋体" w:cs="宋体"/>
          <w:color w:val="FF0000"/>
          <w:sz w:val="24"/>
          <w:szCs w:val="24"/>
          <w:highlight w:val="none"/>
        </w:rPr>
      </w:pPr>
      <w:bookmarkStart w:id="20" w:name="_Toc28359007"/>
      <w:bookmarkStart w:id="21" w:name="_Toc35393625"/>
      <w:bookmarkStart w:id="22" w:name="_Toc35393794"/>
      <w:bookmarkStart w:id="23" w:name="_Toc28359084"/>
      <w:r>
        <w:rPr>
          <w:rFonts w:hint="eastAsia" w:ascii="宋体" w:hAnsi="宋体" w:eastAsia="宋体" w:cs="宋体"/>
          <w:color w:val="auto"/>
          <w:sz w:val="24"/>
          <w:szCs w:val="24"/>
          <w:highlight w:val="none"/>
        </w:rPr>
        <w:t>提交投标文件截止时间：</w:t>
      </w:r>
      <w:r>
        <w:rPr>
          <w:rFonts w:hint="eastAsia" w:ascii="宋体" w:hAnsi="宋体" w:eastAsia="宋体" w:cs="宋体"/>
          <w:color w:val="auto"/>
          <w:sz w:val="24"/>
          <w:szCs w:val="24"/>
          <w:highlight w:val="none"/>
          <w:lang w:eastAsia="zh-CN"/>
        </w:rPr>
        <w:t>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lang w:val="en-US" w:eastAsia="zh-CN"/>
        </w:rPr>
        <w:t xml:space="preserve"> 11 </w:t>
      </w:r>
      <w:r>
        <w:rPr>
          <w:rFonts w:hint="eastAsia" w:ascii="宋体" w:hAnsi="宋体" w:eastAsia="宋体" w:cs="宋体"/>
          <w:color w:val="auto"/>
          <w:sz w:val="24"/>
          <w:szCs w:val="24"/>
          <w:highlight w:val="none"/>
          <w:lang w:eastAsia="zh-CN"/>
        </w:rPr>
        <w:t>日11时00分</w:t>
      </w:r>
      <w:r>
        <w:rPr>
          <w:rFonts w:hint="eastAsia" w:ascii="宋体" w:hAnsi="宋体" w:eastAsia="宋体" w:cs="宋体"/>
          <w:color w:val="auto"/>
          <w:sz w:val="24"/>
          <w:szCs w:val="24"/>
          <w:highlight w:val="none"/>
        </w:rPr>
        <w:t>（北京时间）</w:t>
      </w:r>
    </w:p>
    <w:p w14:paraId="3F78CCF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投标地点：请登录政采云投标客户端投标</w:t>
      </w:r>
    </w:p>
    <w:p w14:paraId="75C6CB9D">
      <w:pPr>
        <w:spacing w:line="360" w:lineRule="auto"/>
        <w:ind w:firstLine="480" w:firstLineChars="200"/>
        <w:rPr>
          <w:rFonts w:hint="eastAsia" w:ascii="宋体" w:hAnsi="宋体" w:eastAsia="宋体" w:cs="宋体"/>
          <w:color w:val="FF0000"/>
          <w:sz w:val="24"/>
          <w:szCs w:val="24"/>
          <w:highlight w:val="none"/>
        </w:rPr>
      </w:pPr>
      <w:r>
        <w:rPr>
          <w:rFonts w:hint="eastAsia" w:ascii="宋体" w:hAnsi="宋体" w:eastAsia="宋体" w:cs="宋体"/>
          <w:color w:val="auto"/>
          <w:sz w:val="24"/>
          <w:szCs w:val="24"/>
          <w:highlight w:val="none"/>
        </w:rPr>
        <w:t>开标时间：</w:t>
      </w:r>
      <w:r>
        <w:rPr>
          <w:rFonts w:hint="eastAsia" w:ascii="宋体" w:hAnsi="宋体" w:eastAsia="宋体" w:cs="宋体"/>
          <w:color w:val="auto"/>
          <w:sz w:val="24"/>
          <w:szCs w:val="24"/>
          <w:highlight w:val="none"/>
          <w:lang w:eastAsia="zh-CN"/>
        </w:rPr>
        <w:t>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lang w:val="en-US" w:eastAsia="zh-CN"/>
        </w:rPr>
        <w:t xml:space="preserve"> 11 </w:t>
      </w:r>
      <w:r>
        <w:rPr>
          <w:rFonts w:hint="eastAsia" w:ascii="宋体" w:hAnsi="宋体" w:eastAsia="宋体" w:cs="宋体"/>
          <w:color w:val="auto"/>
          <w:sz w:val="24"/>
          <w:szCs w:val="24"/>
          <w:highlight w:val="none"/>
          <w:lang w:eastAsia="zh-CN"/>
        </w:rPr>
        <w:t>日11时00分</w:t>
      </w:r>
      <w:r>
        <w:rPr>
          <w:rFonts w:hint="eastAsia" w:ascii="宋体" w:hAnsi="宋体" w:eastAsia="宋体" w:cs="宋体"/>
          <w:color w:val="auto"/>
          <w:sz w:val="24"/>
          <w:szCs w:val="24"/>
          <w:highlight w:val="none"/>
        </w:rPr>
        <w:t>（北京时间）</w:t>
      </w:r>
    </w:p>
    <w:p w14:paraId="32DB82A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开标地点：</w:t>
      </w:r>
      <w:r>
        <w:rPr>
          <w:rFonts w:hint="eastAsia" w:ascii="宋体" w:hAnsi="宋体" w:eastAsia="宋体" w:cs="宋体"/>
          <w:color w:val="auto"/>
          <w:sz w:val="24"/>
          <w:szCs w:val="24"/>
          <w:highlight w:val="none"/>
          <w:lang w:eastAsia="zh-CN"/>
        </w:rPr>
        <w:t>政采云平台</w:t>
      </w:r>
      <w:r>
        <w:rPr>
          <w:rFonts w:hint="eastAsia" w:ascii="宋体" w:hAnsi="宋体" w:eastAsia="宋体" w:cs="宋体"/>
          <w:color w:val="auto"/>
          <w:sz w:val="24"/>
          <w:szCs w:val="24"/>
          <w:highlight w:val="none"/>
        </w:rPr>
        <w:t>https://login.zcygov.cn/</w:t>
      </w:r>
    </w:p>
    <w:p w14:paraId="34F6F486">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五、公告期限</w:t>
      </w:r>
      <w:bookmarkEnd w:id="20"/>
      <w:bookmarkEnd w:id="21"/>
      <w:bookmarkEnd w:id="22"/>
      <w:bookmarkEnd w:id="23"/>
    </w:p>
    <w:p w14:paraId="6B4CF56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自本公告发布之日起5个工作日。</w:t>
      </w:r>
    </w:p>
    <w:p w14:paraId="7B36D88A">
      <w:pPr>
        <w:spacing w:line="360" w:lineRule="auto"/>
        <w:rPr>
          <w:rFonts w:hint="eastAsia" w:ascii="宋体" w:hAnsi="宋体" w:eastAsia="宋体" w:cs="宋体"/>
          <w:b/>
          <w:bCs/>
          <w:sz w:val="24"/>
          <w:szCs w:val="24"/>
          <w:highlight w:val="none"/>
        </w:rPr>
      </w:pPr>
      <w:bookmarkStart w:id="24" w:name="_Toc35393795"/>
      <w:bookmarkStart w:id="25" w:name="_Toc35393626"/>
      <w:r>
        <w:rPr>
          <w:rFonts w:hint="eastAsia" w:ascii="宋体" w:hAnsi="宋体" w:eastAsia="宋体" w:cs="宋体"/>
          <w:b/>
          <w:bCs/>
          <w:sz w:val="24"/>
          <w:szCs w:val="24"/>
          <w:highlight w:val="none"/>
        </w:rPr>
        <w:t>六、其他补充事宜</w:t>
      </w:r>
      <w:bookmarkEnd w:id="24"/>
      <w:bookmarkEnd w:id="25"/>
    </w:p>
    <w:p w14:paraId="4BBDF3B9">
      <w:pPr>
        <w:spacing w:line="360" w:lineRule="auto"/>
        <w:ind w:firstLine="480" w:firstLineChars="200"/>
        <w:rPr>
          <w:rFonts w:hint="eastAsia" w:ascii="宋体" w:hAnsi="宋体" w:eastAsia="宋体" w:cs="宋体"/>
          <w:sz w:val="24"/>
          <w:szCs w:val="24"/>
          <w:highlight w:val="none"/>
        </w:rPr>
      </w:pPr>
      <w:bookmarkStart w:id="26" w:name="_Toc35393627"/>
      <w:bookmarkStart w:id="27" w:name="_Toc35393796"/>
      <w:bookmarkStart w:id="28" w:name="_Toc28359008"/>
      <w:bookmarkStart w:id="29" w:name="_Toc28359085"/>
      <w:r>
        <w:rPr>
          <w:rFonts w:hint="eastAsia" w:ascii="宋体" w:hAnsi="宋体" w:eastAsia="宋体" w:cs="宋体"/>
          <w:sz w:val="24"/>
          <w:szCs w:val="24"/>
          <w:highlight w:val="none"/>
        </w:rPr>
        <w:t>1.本次采购采用电子交易方式，电子交易平台为“</w:t>
      </w:r>
      <w:r>
        <w:rPr>
          <w:rFonts w:hint="eastAsia" w:ascii="宋体" w:hAnsi="宋体" w:eastAsia="宋体" w:cs="宋体"/>
          <w:sz w:val="24"/>
          <w:szCs w:val="24"/>
          <w:highlight w:val="none"/>
          <w:lang w:eastAsia="zh-CN"/>
        </w:rPr>
        <w:t>政采云平台</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https://www.zcygov.cn/</w:t>
      </w:r>
      <w:r>
        <w:rPr>
          <w:rFonts w:hint="eastAsia" w:ascii="宋体" w:hAnsi="宋体" w:eastAsia="宋体" w:cs="宋体"/>
          <w:sz w:val="24"/>
          <w:szCs w:val="24"/>
          <w:highlight w:val="none"/>
        </w:rPr>
        <w:t>）”。供应商参与本项目电子交易活动前，应注册成为</w:t>
      </w:r>
      <w:r>
        <w:rPr>
          <w:rFonts w:hint="eastAsia" w:ascii="宋体" w:hAnsi="宋体" w:eastAsia="宋体" w:cs="宋体"/>
          <w:sz w:val="24"/>
          <w:szCs w:val="24"/>
          <w:highlight w:val="none"/>
          <w:lang w:eastAsia="zh-CN"/>
        </w:rPr>
        <w:t>政采云平台</w:t>
      </w:r>
      <w:r>
        <w:rPr>
          <w:rFonts w:hint="eastAsia" w:ascii="宋体" w:hAnsi="宋体" w:eastAsia="宋体" w:cs="宋体"/>
          <w:sz w:val="24"/>
          <w:szCs w:val="24"/>
          <w:highlight w:val="none"/>
        </w:rPr>
        <w:t>供应商。编制电子响应文件前还需申领CA证书并绑定帐号。供应商应充分考虑完成平台注册、申领CA证书等所需的时间。因未注册入库、未办理CA数字证书等原因造成无法投标或投标失败等后果由供应商自行承担。</w:t>
      </w:r>
    </w:p>
    <w:p w14:paraId="44C84A0A">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2.供应商将</w:t>
      </w:r>
      <w:r>
        <w:rPr>
          <w:rFonts w:hint="eastAsia" w:ascii="宋体" w:hAnsi="宋体" w:eastAsia="宋体" w:cs="宋体"/>
          <w:sz w:val="24"/>
          <w:szCs w:val="24"/>
          <w:highlight w:val="none"/>
          <w:lang w:eastAsia="zh-CN"/>
        </w:rPr>
        <w:t>政采云平台</w:t>
      </w:r>
      <w:r>
        <w:rPr>
          <w:rFonts w:hint="eastAsia" w:ascii="宋体" w:hAnsi="宋体" w:eastAsia="宋体" w:cs="宋体"/>
          <w:sz w:val="24"/>
          <w:szCs w:val="24"/>
          <w:highlight w:val="none"/>
        </w:rPr>
        <w:t>电子交易客户端下载、安装完成后，可通过账号密码或CA登录客户端进行响应文件的制作及上传。在使用</w:t>
      </w:r>
      <w:r>
        <w:rPr>
          <w:rFonts w:hint="eastAsia" w:ascii="宋体" w:hAnsi="宋体" w:eastAsia="宋体" w:cs="宋体"/>
          <w:sz w:val="24"/>
          <w:szCs w:val="24"/>
          <w:highlight w:val="none"/>
          <w:lang w:eastAsia="zh-CN"/>
        </w:rPr>
        <w:t>政采云平台</w:t>
      </w:r>
      <w:r>
        <w:rPr>
          <w:rFonts w:hint="eastAsia" w:ascii="宋体" w:hAnsi="宋体" w:eastAsia="宋体" w:cs="宋体"/>
          <w:sz w:val="24"/>
          <w:szCs w:val="24"/>
          <w:highlight w:val="none"/>
        </w:rPr>
        <w:t>投标客户端时，建议使用WIN7及以上操作系统。客户端请至新疆政府采购网（http://www.ccgp-xinjiang.gov.cn/）下载专区查看，如有问题可拨打政采云客户服务热线957</w:t>
      </w:r>
      <w:r>
        <w:rPr>
          <w:rFonts w:hint="eastAsia" w:ascii="宋体" w:hAnsi="宋体" w:eastAsia="宋体" w:cs="宋体"/>
          <w:sz w:val="24"/>
          <w:szCs w:val="24"/>
          <w:highlight w:val="none"/>
          <w:lang w:val="en-US" w:eastAsia="zh-CN"/>
        </w:rPr>
        <w:t>63</w:t>
      </w:r>
      <w:r>
        <w:rPr>
          <w:rFonts w:hint="eastAsia" w:ascii="宋体" w:hAnsi="宋体" w:eastAsia="宋体" w:cs="宋体"/>
          <w:sz w:val="24"/>
          <w:szCs w:val="24"/>
          <w:highlight w:val="none"/>
        </w:rPr>
        <w:t>进行咨询。</w:t>
      </w:r>
    </w:p>
    <w:p w14:paraId="00DA718F">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3.加密的电子响应文件应在递交截止时间前通过</w:t>
      </w:r>
      <w:r>
        <w:rPr>
          <w:rFonts w:hint="eastAsia" w:ascii="宋体" w:hAnsi="宋体" w:eastAsia="宋体" w:cs="宋体"/>
          <w:sz w:val="24"/>
          <w:szCs w:val="24"/>
          <w:highlight w:val="none"/>
          <w:lang w:eastAsia="zh-CN"/>
        </w:rPr>
        <w:t>政采云平台</w:t>
      </w:r>
      <w:r>
        <w:rPr>
          <w:rFonts w:hint="eastAsia" w:ascii="宋体" w:hAnsi="宋体" w:eastAsia="宋体" w:cs="宋体"/>
          <w:sz w:val="24"/>
          <w:szCs w:val="24"/>
          <w:highlight w:val="none"/>
        </w:rPr>
        <w:t>上传完成。投标人在开标时须使用制作加密电子投标文件所使用的CA锁及电脑，电脑须提前配置好浏览器，以便开标时解锁。如因供应商自身原因导致在规定时间内无法正常解密的（如：浏览器故障、未安装相关驱动、网络故障、加密CA与解密CA不一致等），采购代理机构不予异常处理，视为供应商自动弃标。</w:t>
      </w:r>
    </w:p>
    <w:p w14:paraId="57C6528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参与电子投标的投标人，进入“不见面开标”大厅操作提示：“项目采购-开标评标”功能在规定的时间内进行签到、解密等，完成“开标一览表”在线签章。注意：如未在规定时间进行以上操作，将导致投标（响应）无效。</w:t>
      </w:r>
    </w:p>
    <w:p w14:paraId="724F266C">
      <w:pPr>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特别提示：</w:t>
      </w:r>
    </w:p>
    <w:p w14:paraId="493B9E0D">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采购限额标准以上，200万元以下的货物和服务采购项目、400万元以下的工程采购项目，适宜由中小企业提供的，采购人应当专门面向中小企业采购。</w:t>
      </w:r>
    </w:p>
    <w:p w14:paraId="2C620246">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超过200万元的货物和服务采购项目、超过400万元的工程采购项目中适宜由中小企业提供的，预留该部分采购项目预算总额的30%以上专门面向中小企业采购，其中预留给小微企业的比例不低于60%。</w:t>
      </w:r>
    </w:p>
    <w:p w14:paraId="2EF25755">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5651E845">
      <w:pPr>
        <w:pStyle w:val="2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5C65E3F6">
      <w:pPr>
        <w:pStyle w:val="2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2D66E037">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七、对本次</w:t>
      </w:r>
      <w:r>
        <w:rPr>
          <w:rFonts w:hint="eastAsia" w:ascii="宋体" w:hAnsi="宋体" w:eastAsia="宋体" w:cs="宋体"/>
          <w:b/>
          <w:bCs/>
          <w:sz w:val="24"/>
          <w:szCs w:val="24"/>
          <w:highlight w:val="none"/>
          <w:lang w:val="en-US" w:eastAsia="zh-CN"/>
        </w:rPr>
        <w:t>采购</w:t>
      </w:r>
      <w:r>
        <w:rPr>
          <w:rFonts w:hint="eastAsia" w:ascii="宋体" w:hAnsi="宋体" w:eastAsia="宋体" w:cs="宋体"/>
          <w:b/>
          <w:bCs/>
          <w:sz w:val="24"/>
          <w:szCs w:val="24"/>
          <w:highlight w:val="none"/>
        </w:rPr>
        <w:t>提出询问，请按以下方式联系</w:t>
      </w:r>
      <w:bookmarkEnd w:id="26"/>
      <w:bookmarkEnd w:id="27"/>
      <w:bookmarkEnd w:id="28"/>
      <w:bookmarkEnd w:id="29"/>
    </w:p>
    <w:p w14:paraId="1D1C676B">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1.采购人信息</w:t>
      </w:r>
    </w:p>
    <w:p w14:paraId="4D2562BE">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名 称：</w:t>
      </w:r>
      <w:r>
        <w:rPr>
          <w:rFonts w:hint="eastAsia" w:ascii="宋体" w:hAnsi="宋体" w:eastAsia="宋体" w:cs="宋体"/>
          <w:sz w:val="24"/>
          <w:szCs w:val="24"/>
          <w:highlight w:val="none"/>
          <w:lang w:eastAsia="zh-CN"/>
        </w:rPr>
        <w:t>新疆维吾尔自治区昌吉某某单位</w:t>
      </w:r>
    </w:p>
    <w:p w14:paraId="6E1AB5B6">
      <w:pPr>
        <w:spacing w:line="360" w:lineRule="auto"/>
        <w:ind w:firstLine="480" w:firstLineChars="200"/>
        <w:rPr>
          <w:rFonts w:hint="eastAsia" w:ascii="宋体" w:hAnsi="宋体" w:eastAsia="宋体" w:cs="宋体"/>
          <w:bCs/>
          <w:kern w:val="0"/>
          <w:sz w:val="24"/>
          <w:szCs w:val="24"/>
          <w:highlight w:val="none"/>
          <w:lang w:eastAsia="zh-CN"/>
        </w:rPr>
      </w:pPr>
      <w:r>
        <w:rPr>
          <w:rFonts w:hint="eastAsia" w:ascii="宋体" w:hAnsi="宋体" w:eastAsia="宋体" w:cs="宋体"/>
          <w:sz w:val="24"/>
          <w:szCs w:val="24"/>
          <w:highlight w:val="none"/>
        </w:rPr>
        <w:t>地 址：</w:t>
      </w:r>
      <w:r>
        <w:rPr>
          <w:rFonts w:hint="eastAsia" w:ascii="宋体" w:hAnsi="宋体" w:eastAsia="宋体" w:cs="宋体"/>
          <w:bCs/>
          <w:kern w:val="0"/>
          <w:sz w:val="24"/>
          <w:szCs w:val="24"/>
          <w:highlight w:val="none"/>
          <w:lang w:eastAsia="zh-CN"/>
        </w:rPr>
        <w:t>昌吉市大西渠镇</w:t>
      </w:r>
    </w:p>
    <w:p w14:paraId="36121427">
      <w:pPr>
        <w:keepNext w:val="0"/>
        <w:keepLines w:val="0"/>
        <w:pageBreakBefore w:val="0"/>
        <w:wordWrap/>
        <w:overflowPunct/>
        <w:topLinePunct w:val="0"/>
        <w:bidi w:val="0"/>
        <w:spacing w:line="360" w:lineRule="auto"/>
        <w:ind w:firstLine="480" w:firstLineChars="200"/>
        <w:rPr>
          <w:rFonts w:hint="eastAsia" w:ascii="宋体" w:hAnsi="宋体" w:eastAsia="宋体" w:cs="宋体"/>
          <w:bCs/>
          <w:kern w:val="0"/>
          <w:sz w:val="24"/>
          <w:szCs w:val="24"/>
          <w:highlight w:val="none"/>
          <w:lang w:eastAsia="zh-CN"/>
        </w:rPr>
      </w:pPr>
      <w:r>
        <w:rPr>
          <w:rFonts w:hint="eastAsia" w:ascii="宋体" w:hAnsi="宋体" w:eastAsia="宋体" w:cs="宋体"/>
          <w:sz w:val="24"/>
          <w:szCs w:val="24"/>
          <w:highlight w:val="none"/>
          <w:lang w:eastAsia="zh-CN"/>
        </w:rPr>
        <w:t>联系人：张伟国、赵云</w:t>
      </w:r>
    </w:p>
    <w:p w14:paraId="2FD143BD">
      <w:pPr>
        <w:adjustRightInd w:val="0"/>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联系方式：18997566658、18209068376</w:t>
      </w:r>
    </w:p>
    <w:p w14:paraId="31A3D5DB">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2.采购代理机构信息</w:t>
      </w:r>
    </w:p>
    <w:p w14:paraId="685C1A53">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名 称：</w:t>
      </w:r>
      <w:r>
        <w:rPr>
          <w:rFonts w:hint="eastAsia" w:ascii="宋体" w:hAnsi="宋体" w:eastAsia="宋体" w:cs="宋体"/>
          <w:sz w:val="24"/>
          <w:szCs w:val="24"/>
          <w:highlight w:val="none"/>
          <w:lang w:eastAsia="zh-CN"/>
        </w:rPr>
        <w:t>新疆新建联项目管理咨询有限公司</w:t>
      </w:r>
    </w:p>
    <w:p w14:paraId="111D1145">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地</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址：</w:t>
      </w:r>
      <w:r>
        <w:rPr>
          <w:rFonts w:hint="eastAsia" w:ascii="宋体" w:hAnsi="宋体" w:eastAsia="宋体" w:cs="宋体"/>
          <w:sz w:val="24"/>
          <w:szCs w:val="24"/>
          <w:highlight w:val="none"/>
          <w:lang w:eastAsia="zh-CN"/>
        </w:rPr>
        <w:t>乌鲁木齐市水磨沟区龙盛街898号中央公园商住小区S6栋14层</w:t>
      </w:r>
    </w:p>
    <w:p w14:paraId="03816E07">
      <w:pPr>
        <w:spacing w:line="360" w:lineRule="auto"/>
        <w:ind w:firstLine="480" w:firstLineChars="200"/>
        <w:rPr>
          <w:rStyle w:val="37"/>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联系方式</w:t>
      </w:r>
      <w:r>
        <w:rPr>
          <w:rFonts w:hint="eastAsia" w:ascii="宋体" w:hAnsi="宋体" w:eastAsia="宋体" w:cs="宋体"/>
          <w:sz w:val="24"/>
          <w:szCs w:val="24"/>
          <w:highlight w:val="none"/>
        </w:rPr>
        <w:t>：18209212104、18599020403、0991-8875119</w:t>
      </w:r>
    </w:p>
    <w:p w14:paraId="7B408DAC">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3.项目联系方式</w:t>
      </w:r>
    </w:p>
    <w:p w14:paraId="224B9B27">
      <w:pPr>
        <w:spacing w:line="360" w:lineRule="auto"/>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项目联系人：王斯薇、邓学文、柯大龙</w:t>
      </w:r>
    </w:p>
    <w:p w14:paraId="6F901CC5">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联系方式</w:t>
      </w:r>
      <w:r>
        <w:rPr>
          <w:rFonts w:hint="eastAsia" w:ascii="宋体" w:hAnsi="宋体" w:eastAsia="宋体" w:cs="宋体"/>
          <w:sz w:val="24"/>
          <w:szCs w:val="24"/>
          <w:highlight w:val="none"/>
        </w:rPr>
        <w:t>：18209212104、18599020403、0991-8875119</w:t>
      </w:r>
    </w:p>
    <w:p w14:paraId="6B10A3A2">
      <w:pPr>
        <w:jc w:val="right"/>
        <w:rPr>
          <w:rFonts w:hint="eastAsia" w:ascii="宋体" w:hAnsi="宋体" w:eastAsia="宋体" w:cs="宋体"/>
          <w:highlight w:val="none"/>
          <w:lang w:val="en-US" w:eastAsia="zh-CN"/>
        </w:rPr>
      </w:pPr>
      <w:r>
        <w:rPr>
          <w:rFonts w:hint="eastAsia" w:ascii="宋体" w:hAnsi="宋体" w:eastAsia="宋体" w:cs="宋体"/>
          <w:sz w:val="24"/>
          <w:highlight w:val="none"/>
        </w:rPr>
        <w:br w:type="page"/>
      </w:r>
    </w:p>
    <w:p w14:paraId="1FE4B916">
      <w:pPr>
        <w:adjustRightInd w:val="0"/>
        <w:snapToGrid w:val="0"/>
        <w:spacing w:line="360" w:lineRule="auto"/>
        <w:jc w:val="center"/>
        <w:outlineLvl w:val="0"/>
        <w:rPr>
          <w:rFonts w:hint="eastAsia" w:ascii="宋体" w:hAnsi="宋体" w:eastAsia="宋体" w:cs="宋体"/>
          <w:b/>
          <w:bCs/>
          <w:sz w:val="32"/>
          <w:szCs w:val="32"/>
          <w:highlight w:val="none"/>
        </w:rPr>
      </w:pPr>
      <w:bookmarkStart w:id="30" w:name="_Toc11834"/>
      <w:bookmarkStart w:id="31" w:name="_Toc19959"/>
      <w:bookmarkStart w:id="32" w:name="_Toc1805"/>
      <w:bookmarkStart w:id="33" w:name="_Toc28951"/>
      <w:r>
        <w:rPr>
          <w:rFonts w:hint="eastAsia" w:ascii="宋体" w:hAnsi="宋体" w:eastAsia="宋体" w:cs="宋体"/>
          <w:b/>
          <w:bCs/>
          <w:sz w:val="32"/>
          <w:szCs w:val="32"/>
          <w:highlight w:val="none"/>
        </w:rPr>
        <w:t>第二章 投标须知前附表</w:t>
      </w:r>
      <w:bookmarkEnd w:id="30"/>
      <w:bookmarkEnd w:id="31"/>
      <w:bookmarkEnd w:id="32"/>
      <w:bookmarkEnd w:id="33"/>
    </w:p>
    <w:p w14:paraId="5EADE692">
      <w:pPr>
        <w:adjustRightInd w:val="0"/>
        <w:snapToGrid w:val="0"/>
        <w:spacing w:line="360" w:lineRule="auto"/>
        <w:ind w:right="-313" w:rightChars="-149" w:firstLine="480" w:firstLineChars="200"/>
        <w:rPr>
          <w:rFonts w:hint="eastAsia" w:ascii="宋体" w:hAnsi="宋体" w:eastAsia="宋体" w:cs="宋体"/>
          <w:sz w:val="24"/>
          <w:highlight w:val="none"/>
        </w:rPr>
      </w:pPr>
      <w:r>
        <w:rPr>
          <w:rFonts w:hint="eastAsia" w:ascii="宋体" w:hAnsi="宋体" w:eastAsia="宋体" w:cs="宋体"/>
          <w:sz w:val="24"/>
          <w:highlight w:val="none"/>
        </w:rPr>
        <w:t>本表是本招标项目的具体资料，是对投标人须知的具体补充和修改，如有矛盾，应以本前附表为准。</w:t>
      </w:r>
    </w:p>
    <w:tbl>
      <w:tblPr>
        <w:tblStyle w:val="31"/>
        <w:tblW w:w="4993" w:type="pct"/>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917"/>
        <w:gridCol w:w="8216"/>
      </w:tblGrid>
      <w:tr w14:paraId="5383B75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95" w:hRule="atLeast"/>
        </w:trPr>
        <w:tc>
          <w:tcPr>
            <w:tcW w:w="502" w:type="pct"/>
            <w:tcBorders>
              <w:tl2br w:val="nil"/>
              <w:tr2bl w:val="nil"/>
            </w:tcBorders>
          </w:tcPr>
          <w:p w14:paraId="3280DF35">
            <w:pPr>
              <w:widowControl/>
              <w:adjustRightInd w:val="0"/>
              <w:snapToGrid w:val="0"/>
              <w:spacing w:line="440" w:lineRule="exact"/>
              <w:jc w:val="center"/>
              <w:rPr>
                <w:rFonts w:hint="eastAsia" w:ascii="宋体" w:hAnsi="宋体" w:eastAsia="宋体" w:cs="宋体"/>
                <w:b/>
                <w:bCs/>
                <w:kern w:val="0"/>
                <w:sz w:val="24"/>
                <w:highlight w:val="none"/>
                <w:lang w:bidi="ar"/>
              </w:rPr>
            </w:pPr>
            <w:r>
              <w:rPr>
                <w:rFonts w:hint="eastAsia" w:ascii="宋体" w:hAnsi="宋体" w:eastAsia="宋体" w:cs="宋体"/>
                <w:b/>
                <w:bCs/>
                <w:kern w:val="0"/>
                <w:sz w:val="24"/>
                <w:highlight w:val="none"/>
                <w:lang w:bidi="ar"/>
              </w:rPr>
              <w:t>条款号</w:t>
            </w:r>
          </w:p>
        </w:tc>
        <w:tc>
          <w:tcPr>
            <w:tcW w:w="4497" w:type="pct"/>
            <w:tcBorders>
              <w:tl2br w:val="nil"/>
              <w:tr2bl w:val="nil"/>
            </w:tcBorders>
          </w:tcPr>
          <w:p w14:paraId="72673039">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kern w:val="0"/>
                <w:sz w:val="24"/>
                <w:highlight w:val="none"/>
                <w:lang w:bidi="ar"/>
              </w:rPr>
            </w:pPr>
            <w:r>
              <w:rPr>
                <w:rFonts w:hint="eastAsia" w:ascii="宋体" w:hAnsi="宋体" w:eastAsia="宋体" w:cs="宋体"/>
                <w:b/>
                <w:bCs/>
                <w:kern w:val="0"/>
                <w:sz w:val="24"/>
                <w:highlight w:val="none"/>
                <w:lang w:bidi="ar"/>
              </w:rPr>
              <w:t>内容</w:t>
            </w:r>
          </w:p>
        </w:tc>
      </w:tr>
      <w:tr w14:paraId="2C68151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502" w:type="pct"/>
            <w:tcBorders>
              <w:tl2br w:val="nil"/>
              <w:tr2bl w:val="nil"/>
            </w:tcBorders>
            <w:vAlign w:val="center"/>
          </w:tcPr>
          <w:p w14:paraId="183854A5">
            <w:pPr>
              <w:widowControl/>
              <w:adjustRightInd w:val="0"/>
              <w:snapToGrid w:val="0"/>
              <w:spacing w:line="440" w:lineRule="exact"/>
              <w:jc w:val="center"/>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1.1</w:t>
            </w:r>
          </w:p>
        </w:tc>
        <w:tc>
          <w:tcPr>
            <w:tcW w:w="4497" w:type="pct"/>
            <w:tcBorders>
              <w:tl2br w:val="nil"/>
              <w:tr2bl w:val="nil"/>
            </w:tcBorders>
            <w:vAlign w:val="center"/>
          </w:tcPr>
          <w:p w14:paraId="3537F410">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采购人：</w:t>
            </w:r>
            <w:r>
              <w:rPr>
                <w:rFonts w:hint="eastAsia" w:ascii="宋体" w:hAnsi="宋体" w:eastAsia="宋体" w:cs="宋体"/>
                <w:sz w:val="24"/>
                <w:szCs w:val="24"/>
                <w:highlight w:val="none"/>
                <w:lang w:eastAsia="zh-CN"/>
              </w:rPr>
              <w:t>新疆维吾尔自治区昌吉某某单位</w:t>
            </w:r>
          </w:p>
          <w:p w14:paraId="2161C8A6">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highlight w:val="none"/>
                <w:lang w:eastAsia="zh-CN" w:bidi="ar"/>
              </w:rPr>
            </w:pPr>
            <w:r>
              <w:rPr>
                <w:rFonts w:hint="eastAsia" w:ascii="宋体" w:hAnsi="宋体" w:eastAsia="宋体" w:cs="宋体"/>
                <w:kern w:val="0"/>
                <w:sz w:val="24"/>
                <w:highlight w:val="none"/>
                <w:lang w:bidi="ar"/>
              </w:rPr>
              <w:t>地  址：</w:t>
            </w:r>
            <w:r>
              <w:rPr>
                <w:rFonts w:hint="eastAsia" w:ascii="宋体" w:hAnsi="宋体" w:eastAsia="宋体" w:cs="宋体"/>
                <w:bCs/>
                <w:kern w:val="0"/>
                <w:sz w:val="24"/>
                <w:szCs w:val="24"/>
                <w:highlight w:val="none"/>
                <w:lang w:eastAsia="zh-CN"/>
              </w:rPr>
              <w:t>昌吉市大西渠镇</w:t>
            </w:r>
          </w:p>
          <w:p w14:paraId="64A9ACE2">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highlight w:val="none"/>
                <w:lang w:val="en-US" w:eastAsia="zh-CN" w:bidi="ar"/>
              </w:rPr>
            </w:pPr>
            <w:r>
              <w:rPr>
                <w:rFonts w:hint="eastAsia" w:ascii="宋体" w:hAnsi="宋体" w:eastAsia="宋体" w:cs="宋体"/>
                <w:kern w:val="0"/>
                <w:sz w:val="24"/>
                <w:highlight w:val="none"/>
                <w:lang w:bidi="ar"/>
              </w:rPr>
              <w:t>联系人：张伟国、赵云</w:t>
            </w:r>
          </w:p>
          <w:p w14:paraId="76751A96">
            <w:pPr>
              <w:adjustRightInd w:val="0"/>
              <w:snapToGrid w:val="0"/>
              <w:spacing w:line="360" w:lineRule="auto"/>
              <w:rPr>
                <w:rFonts w:hint="eastAsia" w:ascii="宋体" w:hAnsi="宋体" w:eastAsia="宋体" w:cs="宋体"/>
                <w:kern w:val="0"/>
                <w:sz w:val="24"/>
                <w:highlight w:val="none"/>
                <w:lang w:val="en-US" w:eastAsia="zh-CN" w:bidi="ar"/>
              </w:rPr>
            </w:pPr>
            <w:r>
              <w:rPr>
                <w:rFonts w:hint="eastAsia" w:ascii="宋体" w:hAnsi="宋体" w:eastAsia="宋体" w:cs="宋体"/>
                <w:kern w:val="0"/>
                <w:sz w:val="24"/>
                <w:highlight w:val="none"/>
                <w:lang w:bidi="ar"/>
              </w:rPr>
              <w:t>联系方式：18997566658、18209068376</w:t>
            </w:r>
          </w:p>
        </w:tc>
      </w:tr>
      <w:tr w14:paraId="15A5A7D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67" w:hRule="atLeast"/>
        </w:trPr>
        <w:tc>
          <w:tcPr>
            <w:tcW w:w="502" w:type="pct"/>
            <w:tcBorders>
              <w:tl2br w:val="nil"/>
              <w:tr2bl w:val="nil"/>
            </w:tcBorders>
            <w:vAlign w:val="center"/>
          </w:tcPr>
          <w:p w14:paraId="65F67C4E">
            <w:pPr>
              <w:widowControl/>
              <w:adjustRightInd w:val="0"/>
              <w:snapToGrid w:val="0"/>
              <w:spacing w:line="440" w:lineRule="exact"/>
              <w:jc w:val="center"/>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1.2</w:t>
            </w:r>
          </w:p>
        </w:tc>
        <w:tc>
          <w:tcPr>
            <w:tcW w:w="4497" w:type="pct"/>
            <w:tcBorders>
              <w:tl2br w:val="nil"/>
              <w:tr2bl w:val="nil"/>
            </w:tcBorders>
            <w:vAlign w:val="center"/>
          </w:tcPr>
          <w:p w14:paraId="17C4610C">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highlight w:val="none"/>
                <w:lang w:eastAsia="zh-CN" w:bidi="ar"/>
              </w:rPr>
            </w:pPr>
            <w:r>
              <w:rPr>
                <w:rFonts w:hint="eastAsia" w:ascii="宋体" w:hAnsi="宋体" w:eastAsia="宋体" w:cs="宋体"/>
                <w:kern w:val="0"/>
                <w:sz w:val="24"/>
                <w:highlight w:val="none"/>
                <w:lang w:bidi="ar"/>
              </w:rPr>
              <w:t>采购代理机构：</w:t>
            </w:r>
            <w:r>
              <w:rPr>
                <w:rFonts w:hint="eastAsia" w:ascii="宋体" w:hAnsi="宋体" w:eastAsia="宋体" w:cs="宋体"/>
                <w:kern w:val="0"/>
                <w:sz w:val="24"/>
                <w:highlight w:val="none"/>
                <w:lang w:eastAsia="zh-CN" w:bidi="ar"/>
              </w:rPr>
              <w:t>新疆新建联项目管理咨询有限公司</w:t>
            </w:r>
          </w:p>
          <w:p w14:paraId="584AD3EE">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highlight w:val="none"/>
                <w:lang w:eastAsia="zh-CN" w:bidi="ar"/>
              </w:rPr>
            </w:pPr>
            <w:r>
              <w:rPr>
                <w:rFonts w:hint="eastAsia" w:ascii="宋体" w:hAnsi="宋体" w:eastAsia="宋体" w:cs="宋体"/>
                <w:kern w:val="0"/>
                <w:sz w:val="24"/>
                <w:highlight w:val="none"/>
                <w:lang w:bidi="ar"/>
              </w:rPr>
              <w:t>地</w:t>
            </w:r>
            <w:r>
              <w:rPr>
                <w:rFonts w:hint="eastAsia" w:ascii="宋体" w:hAnsi="宋体" w:eastAsia="宋体" w:cs="宋体"/>
                <w:kern w:val="0"/>
                <w:sz w:val="24"/>
                <w:highlight w:val="none"/>
                <w:lang w:val="en-US" w:eastAsia="zh-CN" w:bidi="ar"/>
              </w:rPr>
              <w:t xml:space="preserve">  </w:t>
            </w:r>
            <w:r>
              <w:rPr>
                <w:rFonts w:hint="eastAsia" w:ascii="宋体" w:hAnsi="宋体" w:eastAsia="宋体" w:cs="宋体"/>
                <w:kern w:val="0"/>
                <w:sz w:val="24"/>
                <w:highlight w:val="none"/>
                <w:lang w:bidi="ar"/>
              </w:rPr>
              <w:t>址：</w:t>
            </w:r>
            <w:r>
              <w:rPr>
                <w:rFonts w:hint="eastAsia" w:ascii="宋体" w:hAnsi="宋体" w:eastAsia="宋体" w:cs="宋体"/>
                <w:kern w:val="0"/>
                <w:sz w:val="24"/>
                <w:highlight w:val="none"/>
                <w:lang w:eastAsia="zh-CN" w:bidi="ar"/>
              </w:rPr>
              <w:t>乌鲁木齐市水磨沟区龙盛街898号中央公园商住小区S6栋14层</w:t>
            </w:r>
          </w:p>
          <w:p w14:paraId="7F574C4D">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联系人：王斯薇、邓学文、柯大龙</w:t>
            </w:r>
          </w:p>
          <w:p w14:paraId="21A29987">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highlight w:val="none"/>
                <w:lang w:bidi="ar"/>
              </w:rPr>
            </w:pPr>
            <w:r>
              <w:rPr>
                <w:rFonts w:hint="eastAsia" w:ascii="宋体" w:hAnsi="宋体" w:eastAsia="宋体" w:cs="宋体"/>
                <w:kern w:val="0"/>
                <w:sz w:val="24"/>
                <w:highlight w:val="none"/>
                <w:lang w:val="en-US" w:eastAsia="zh-CN" w:bidi="ar"/>
              </w:rPr>
              <w:t>联系方式</w:t>
            </w:r>
            <w:r>
              <w:rPr>
                <w:rFonts w:hint="eastAsia" w:ascii="宋体" w:hAnsi="宋体" w:eastAsia="宋体" w:cs="宋体"/>
                <w:kern w:val="0"/>
                <w:sz w:val="24"/>
                <w:highlight w:val="none"/>
                <w:lang w:bidi="ar"/>
              </w:rPr>
              <w:t>：18209212104、18599020403、0991-8875119</w:t>
            </w:r>
          </w:p>
        </w:tc>
      </w:tr>
      <w:tr w14:paraId="4D1FD32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4" w:hRule="atLeast"/>
        </w:trPr>
        <w:tc>
          <w:tcPr>
            <w:tcW w:w="502" w:type="pct"/>
            <w:tcBorders>
              <w:bottom w:val="single" w:color="auto" w:sz="4" w:space="0"/>
              <w:tl2br w:val="nil"/>
              <w:tr2bl w:val="nil"/>
            </w:tcBorders>
            <w:vAlign w:val="center"/>
          </w:tcPr>
          <w:p w14:paraId="003CB497">
            <w:pPr>
              <w:widowControl/>
              <w:adjustRightInd w:val="0"/>
              <w:snapToGrid w:val="0"/>
              <w:spacing w:line="440" w:lineRule="exact"/>
              <w:jc w:val="center"/>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 xml:space="preserve">1.3.4 </w:t>
            </w:r>
          </w:p>
        </w:tc>
        <w:tc>
          <w:tcPr>
            <w:tcW w:w="4497" w:type="pct"/>
            <w:tcBorders>
              <w:bottom w:val="single" w:color="auto" w:sz="4" w:space="0"/>
              <w:tl2br w:val="nil"/>
              <w:tr2bl w:val="nil"/>
            </w:tcBorders>
            <w:vAlign w:val="center"/>
          </w:tcPr>
          <w:p w14:paraId="6EB4513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1.满足《中华人民共和国政府采购法》第二十二条规定</w:t>
            </w:r>
            <w:r>
              <w:rPr>
                <w:rFonts w:hint="eastAsia" w:ascii="宋体" w:hAnsi="宋体" w:eastAsia="宋体" w:cs="宋体"/>
                <w:sz w:val="24"/>
                <w:szCs w:val="24"/>
                <w:highlight w:val="none"/>
                <w:lang w:eastAsia="zh-CN"/>
              </w:rPr>
              <w:t>。</w:t>
            </w:r>
          </w:p>
          <w:p w14:paraId="1C62C37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highlight w:val="none"/>
                <w:lang w:eastAsia="zh-CN"/>
              </w:rPr>
            </w:pPr>
            <w:r>
              <w:rPr>
                <w:rFonts w:hint="eastAsia" w:ascii="宋体" w:hAnsi="宋体" w:eastAsia="宋体" w:cs="宋体"/>
                <w:sz w:val="24"/>
                <w:highlight w:val="none"/>
              </w:rPr>
              <w:t>2.采购项目需要落实的政府采购政策:</w:t>
            </w:r>
            <w:r>
              <w:rPr>
                <w:rFonts w:hint="eastAsia" w:ascii="宋体" w:hAnsi="宋体" w:eastAsia="宋体" w:cs="宋体"/>
                <w:color w:val="auto"/>
                <w:sz w:val="24"/>
                <w:szCs w:val="24"/>
                <w:highlight w:val="none"/>
                <w:lang w:eastAsia="zh-CN"/>
              </w:rPr>
              <w:t>本项目专门面向中小企业</w:t>
            </w:r>
            <w:r>
              <w:rPr>
                <w:rFonts w:hint="eastAsia" w:ascii="宋体" w:hAnsi="宋体" w:eastAsia="宋体" w:cs="宋体"/>
                <w:color w:val="000000"/>
                <w:kern w:val="0"/>
                <w:sz w:val="24"/>
                <w:szCs w:val="24"/>
                <w:highlight w:val="none"/>
                <w:lang w:eastAsia="zh-CN"/>
              </w:rPr>
              <w:t>。</w:t>
            </w:r>
          </w:p>
          <w:p w14:paraId="7E33ECB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kern w:val="0"/>
                <w:sz w:val="24"/>
                <w:highlight w:val="none"/>
                <w:lang w:bidi="ar"/>
              </w:rPr>
            </w:pPr>
            <w:r>
              <w:rPr>
                <w:rFonts w:hint="eastAsia" w:ascii="宋体" w:hAnsi="宋体" w:eastAsia="宋体" w:cs="宋体"/>
                <w:sz w:val="24"/>
                <w:szCs w:val="24"/>
                <w:highlight w:val="none"/>
              </w:rPr>
              <w:t>3.本项目的特定资格要求：</w:t>
            </w:r>
            <w:r>
              <w:rPr>
                <w:rFonts w:hint="eastAsia" w:ascii="宋体" w:hAnsi="宋体" w:eastAsia="宋体" w:cs="宋体"/>
                <w:sz w:val="24"/>
                <w:szCs w:val="24"/>
                <w:highlight w:val="none"/>
                <w:lang w:val="en-US" w:eastAsia="zh-CN"/>
              </w:rPr>
              <w:t>无。</w:t>
            </w:r>
          </w:p>
        </w:tc>
      </w:tr>
      <w:tr w14:paraId="0816A33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45" w:hRule="atLeast"/>
        </w:trPr>
        <w:tc>
          <w:tcPr>
            <w:tcW w:w="502" w:type="pct"/>
            <w:tcBorders>
              <w:top w:val="single" w:color="auto" w:sz="4" w:space="0"/>
              <w:tl2br w:val="nil"/>
              <w:tr2bl w:val="nil"/>
            </w:tcBorders>
            <w:vAlign w:val="center"/>
          </w:tcPr>
          <w:p w14:paraId="50570F2F">
            <w:pPr>
              <w:widowControl/>
              <w:adjustRightInd w:val="0"/>
              <w:snapToGrid w:val="0"/>
              <w:spacing w:line="440" w:lineRule="exact"/>
              <w:jc w:val="center"/>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 xml:space="preserve">1.4 </w:t>
            </w:r>
          </w:p>
        </w:tc>
        <w:tc>
          <w:tcPr>
            <w:tcW w:w="4497" w:type="pct"/>
            <w:tcBorders>
              <w:top w:val="single" w:color="auto" w:sz="4" w:space="0"/>
              <w:tl2br w:val="nil"/>
              <w:tr2bl w:val="nil"/>
            </w:tcBorders>
            <w:vAlign w:val="center"/>
          </w:tcPr>
          <w:p w14:paraId="594E4B86">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是否允许采购进口产品：</w:t>
            </w:r>
          </w:p>
          <w:p w14:paraId="56443A63">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highlight w:val="none"/>
              </w:rPr>
            </w:pPr>
            <w:r>
              <w:rPr>
                <w:rFonts w:hint="eastAsia" w:ascii="宋体" w:hAnsi="宋体" w:eastAsia="宋体" w:cs="宋体"/>
                <w:color w:val="000000"/>
                <w:kern w:val="0"/>
                <w:sz w:val="24"/>
                <w:szCs w:val="24"/>
                <w:highlight w:val="none"/>
                <w:lang w:val="en-US" w:eastAsia="zh-CN" w:bidi="ar"/>
              </w:rPr>
              <w:t xml:space="preserve">□是。 应满足要求： </w:t>
            </w:r>
          </w:p>
          <w:p w14:paraId="0A84D97F">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kern w:val="0"/>
                <w:sz w:val="24"/>
                <w:highlight w:val="none"/>
                <w:lang w:bidi="ar"/>
              </w:rPr>
            </w:pPr>
            <w:r>
              <w:rPr>
                <w:rFonts w:hint="eastAsia" w:ascii="宋体" w:hAnsi="宋体" w:eastAsia="宋体" w:cs="宋体"/>
                <w:color w:val="auto"/>
                <w:kern w:val="0"/>
                <w:sz w:val="24"/>
                <w:szCs w:val="24"/>
                <w:highlight w:val="none"/>
                <w:lang w:val="en-US" w:eastAsia="zh-CN" w:bidi="ar"/>
              </w:rPr>
              <w:t>☑否。</w:t>
            </w:r>
          </w:p>
        </w:tc>
      </w:tr>
      <w:tr w14:paraId="661C77F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0" w:hRule="atLeast"/>
        </w:trPr>
        <w:tc>
          <w:tcPr>
            <w:tcW w:w="502" w:type="pct"/>
            <w:tcBorders>
              <w:tl2br w:val="nil"/>
              <w:tr2bl w:val="nil"/>
            </w:tcBorders>
            <w:vAlign w:val="center"/>
          </w:tcPr>
          <w:p w14:paraId="31056315">
            <w:pPr>
              <w:widowControl/>
              <w:adjustRightInd w:val="0"/>
              <w:snapToGrid w:val="0"/>
              <w:spacing w:line="440" w:lineRule="exact"/>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1.5.1 </w:t>
            </w:r>
          </w:p>
        </w:tc>
        <w:tc>
          <w:tcPr>
            <w:tcW w:w="4497" w:type="pct"/>
            <w:tcBorders>
              <w:tl2br w:val="nil"/>
              <w:tr2bl w:val="nil"/>
            </w:tcBorders>
            <w:vAlign w:val="center"/>
          </w:tcPr>
          <w:p w14:paraId="58BFE7E9">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bidi="ar"/>
              </w:rPr>
              <w:t>所属行业：农林牧渔</w:t>
            </w:r>
          </w:p>
        </w:tc>
      </w:tr>
      <w:tr w14:paraId="660EA59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0" w:hRule="atLeast"/>
        </w:trPr>
        <w:tc>
          <w:tcPr>
            <w:tcW w:w="502" w:type="pct"/>
            <w:tcBorders>
              <w:tl2br w:val="nil"/>
              <w:tr2bl w:val="nil"/>
            </w:tcBorders>
            <w:vAlign w:val="center"/>
          </w:tcPr>
          <w:p w14:paraId="51ACFF58">
            <w:pPr>
              <w:widowControl/>
              <w:adjustRightInd w:val="0"/>
              <w:snapToGrid w:val="0"/>
              <w:spacing w:line="440" w:lineRule="exact"/>
              <w:jc w:val="center"/>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 xml:space="preserve">1.5.2 </w:t>
            </w:r>
          </w:p>
        </w:tc>
        <w:tc>
          <w:tcPr>
            <w:tcW w:w="4497" w:type="pct"/>
            <w:tcBorders>
              <w:tl2br w:val="nil"/>
              <w:tr2bl w:val="nil"/>
            </w:tcBorders>
            <w:vAlign w:val="center"/>
          </w:tcPr>
          <w:p w14:paraId="0227A826">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highlight w:val="none"/>
                <w:lang w:bidi="ar"/>
              </w:rPr>
            </w:pPr>
            <w:r>
              <w:rPr>
                <w:rFonts w:hint="eastAsia" w:ascii="宋体" w:hAnsi="宋体" w:eastAsia="宋体" w:cs="宋体"/>
                <w:b/>
                <w:bCs/>
                <w:color w:val="000000" w:themeColor="text1"/>
                <w:kern w:val="0"/>
                <w:sz w:val="24"/>
                <w:highlight w:val="none"/>
                <w:lang w:val="en-US" w:eastAsia="zh-CN" w:bidi="ar"/>
                <w14:textFill>
                  <w14:solidFill>
                    <w14:schemeClr w14:val="tx1"/>
                  </w14:solidFill>
                </w14:textFill>
              </w:rPr>
              <w:t>本项目：本项目专门面向中小企业。</w:t>
            </w:r>
          </w:p>
        </w:tc>
      </w:tr>
      <w:tr w14:paraId="752D2A3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33" w:hRule="atLeast"/>
        </w:trPr>
        <w:tc>
          <w:tcPr>
            <w:tcW w:w="502" w:type="pct"/>
            <w:tcBorders>
              <w:tl2br w:val="nil"/>
              <w:tr2bl w:val="nil"/>
            </w:tcBorders>
            <w:vAlign w:val="center"/>
          </w:tcPr>
          <w:p w14:paraId="72698A9D">
            <w:pPr>
              <w:widowControl/>
              <w:adjustRightInd w:val="0"/>
              <w:snapToGrid w:val="0"/>
              <w:spacing w:line="440" w:lineRule="exact"/>
              <w:jc w:val="center"/>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 xml:space="preserve">1.5.3 </w:t>
            </w:r>
          </w:p>
        </w:tc>
        <w:tc>
          <w:tcPr>
            <w:tcW w:w="4497" w:type="pct"/>
            <w:tcBorders>
              <w:tl2br w:val="nil"/>
              <w:tr2bl w:val="nil"/>
            </w:tcBorders>
            <w:vAlign w:val="center"/>
          </w:tcPr>
          <w:p w14:paraId="7481E41B">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default" w:ascii="宋体" w:hAnsi="宋体" w:eastAsia="宋体" w:cs="宋体"/>
                <w:b/>
                <w:bCs/>
                <w:color w:val="auto"/>
                <w:kern w:val="0"/>
                <w:sz w:val="24"/>
                <w:highlight w:val="none"/>
                <w:lang w:val="en-US" w:eastAsia="zh-CN" w:bidi="ar"/>
              </w:rPr>
            </w:pPr>
            <w:r>
              <w:rPr>
                <w:rFonts w:hint="eastAsia" w:ascii="宋体" w:hAnsi="宋体" w:eastAsia="宋体" w:cs="宋体"/>
                <w:b/>
                <w:bCs/>
                <w:color w:val="auto"/>
                <w:kern w:val="0"/>
                <w:sz w:val="24"/>
                <w:highlight w:val="none"/>
                <w:lang w:val="en-US" w:eastAsia="zh-CN" w:bidi="ar"/>
              </w:rPr>
              <w:t>本项目</w:t>
            </w:r>
            <w:r>
              <w:rPr>
                <w:rFonts w:hint="eastAsia" w:ascii="宋体" w:hAnsi="宋体" w:eastAsia="宋体" w:cs="宋体"/>
                <w:b/>
                <w:bCs/>
                <w:color w:val="auto"/>
                <w:kern w:val="0"/>
                <w:sz w:val="24"/>
                <w:highlight w:val="none"/>
                <w:lang w:bidi="ar"/>
              </w:rPr>
              <w:t xml:space="preserve">预留份额： </w:t>
            </w:r>
            <w:r>
              <w:rPr>
                <w:rFonts w:hint="eastAsia" w:ascii="宋体" w:hAnsi="宋体" w:eastAsia="宋体" w:cs="宋体"/>
                <w:b/>
                <w:bCs/>
                <w:color w:val="auto"/>
                <w:kern w:val="0"/>
                <w:sz w:val="24"/>
                <w:highlight w:val="none"/>
                <w:lang w:val="en-US" w:eastAsia="zh-CN" w:bidi="ar"/>
              </w:rPr>
              <w:t>100%</w:t>
            </w:r>
          </w:p>
          <w:p w14:paraId="4652448C">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highlight w:val="none"/>
                <w:lang w:val="en-US" w:eastAsia="zh-CN" w:bidi="ar"/>
              </w:rPr>
            </w:pPr>
            <w:r>
              <w:rPr>
                <w:rFonts w:hint="eastAsia" w:ascii="宋体" w:hAnsi="宋体" w:eastAsia="宋体" w:cs="宋体"/>
                <w:b/>
                <w:bCs/>
                <w:color w:val="000000" w:themeColor="text1"/>
                <w:kern w:val="0"/>
                <w:sz w:val="24"/>
                <w:highlight w:val="none"/>
                <w:lang w:val="en-US" w:eastAsia="zh-CN" w:bidi="ar"/>
                <w14:textFill>
                  <w14:solidFill>
                    <w14:schemeClr w14:val="tx1"/>
                  </w14:solidFill>
                </w14:textFill>
              </w:rPr>
              <w:t>本项目：本项目专门面向中小企业。</w:t>
            </w:r>
          </w:p>
        </w:tc>
      </w:tr>
      <w:tr w14:paraId="19F59D7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0" w:hRule="atLeast"/>
        </w:trPr>
        <w:tc>
          <w:tcPr>
            <w:tcW w:w="502" w:type="pct"/>
            <w:tcBorders>
              <w:tl2br w:val="nil"/>
              <w:tr2bl w:val="nil"/>
            </w:tcBorders>
            <w:vAlign w:val="center"/>
          </w:tcPr>
          <w:p w14:paraId="210FC297">
            <w:pPr>
              <w:widowControl/>
              <w:adjustRightInd w:val="0"/>
              <w:snapToGrid w:val="0"/>
              <w:spacing w:line="440" w:lineRule="exact"/>
              <w:jc w:val="center"/>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 xml:space="preserve">1.6 </w:t>
            </w:r>
          </w:p>
        </w:tc>
        <w:tc>
          <w:tcPr>
            <w:tcW w:w="4497" w:type="pct"/>
            <w:tcBorders>
              <w:tl2br w:val="nil"/>
              <w:tr2bl w:val="nil"/>
            </w:tcBorders>
            <w:vAlign w:val="center"/>
          </w:tcPr>
          <w:p w14:paraId="034E54FC">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是否允许联合体投标：否</w:t>
            </w:r>
          </w:p>
        </w:tc>
      </w:tr>
      <w:tr w14:paraId="682D856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0" w:hRule="atLeast"/>
        </w:trPr>
        <w:tc>
          <w:tcPr>
            <w:tcW w:w="502" w:type="pct"/>
            <w:tcBorders>
              <w:tl2br w:val="nil"/>
              <w:tr2bl w:val="nil"/>
            </w:tcBorders>
            <w:vAlign w:val="center"/>
          </w:tcPr>
          <w:p w14:paraId="0672354E">
            <w:pPr>
              <w:widowControl/>
              <w:adjustRightInd w:val="0"/>
              <w:snapToGrid w:val="0"/>
              <w:spacing w:line="440" w:lineRule="exact"/>
              <w:jc w:val="center"/>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 xml:space="preserve">1.6.8 </w:t>
            </w:r>
          </w:p>
        </w:tc>
        <w:tc>
          <w:tcPr>
            <w:tcW w:w="4497" w:type="pct"/>
            <w:tcBorders>
              <w:tl2br w:val="nil"/>
              <w:tr2bl w:val="nil"/>
            </w:tcBorders>
            <w:vAlign w:val="center"/>
          </w:tcPr>
          <w:p w14:paraId="15A81EBD">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联合体的其他资格要求：无</w:t>
            </w:r>
          </w:p>
        </w:tc>
      </w:tr>
      <w:tr w14:paraId="456DB63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324" w:hRule="atLeast"/>
        </w:trPr>
        <w:tc>
          <w:tcPr>
            <w:tcW w:w="502" w:type="pct"/>
            <w:tcBorders>
              <w:tl2br w:val="nil"/>
              <w:tr2bl w:val="nil"/>
            </w:tcBorders>
            <w:vAlign w:val="center"/>
          </w:tcPr>
          <w:p w14:paraId="52E0D03C">
            <w:pPr>
              <w:widowControl/>
              <w:adjustRightInd w:val="0"/>
              <w:snapToGrid w:val="0"/>
              <w:spacing w:line="440" w:lineRule="exact"/>
              <w:jc w:val="center"/>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 xml:space="preserve">2.2 </w:t>
            </w:r>
          </w:p>
        </w:tc>
        <w:tc>
          <w:tcPr>
            <w:tcW w:w="4497" w:type="pct"/>
            <w:tcBorders>
              <w:tl2br w:val="nil"/>
              <w:tr2bl w:val="nil"/>
            </w:tcBorders>
            <w:vAlign w:val="center"/>
          </w:tcPr>
          <w:p w14:paraId="7B501B81">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项目预算金额：</w:t>
            </w:r>
            <w:r>
              <w:rPr>
                <w:rFonts w:hint="eastAsia" w:ascii="宋体" w:hAnsi="宋体" w:eastAsia="宋体" w:cs="宋体"/>
                <w:sz w:val="24"/>
                <w:szCs w:val="24"/>
                <w:highlight w:val="none"/>
                <w:lang w:val="en-US" w:eastAsia="zh-CN"/>
              </w:rPr>
              <w:t>1000000.00</w:t>
            </w:r>
            <w:r>
              <w:rPr>
                <w:rFonts w:hint="eastAsia" w:ascii="宋体" w:hAnsi="宋体" w:eastAsia="宋体" w:cs="宋体"/>
                <w:sz w:val="24"/>
                <w:szCs w:val="24"/>
                <w:highlight w:val="none"/>
              </w:rPr>
              <w:t>元；</w:t>
            </w:r>
          </w:p>
          <w:p w14:paraId="3B140052">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bCs/>
                <w:sz w:val="24"/>
                <w:highlight w:val="none"/>
              </w:rPr>
            </w:pPr>
            <w:r>
              <w:rPr>
                <w:rFonts w:hint="eastAsia" w:ascii="宋体" w:hAnsi="宋体" w:eastAsia="宋体" w:cs="宋体"/>
                <w:bCs/>
                <w:sz w:val="24"/>
                <w:szCs w:val="24"/>
                <w:highlight w:val="none"/>
                <w:lang w:val="en-US" w:eastAsia="zh-CN"/>
              </w:rPr>
              <w:t>注：（1）本项目进行</w:t>
            </w:r>
            <w:r>
              <w:rPr>
                <w:rFonts w:hint="eastAsia" w:ascii="宋体" w:hAnsi="宋体" w:eastAsia="宋体" w:cs="宋体"/>
                <w:bCs/>
                <w:sz w:val="24"/>
                <w:highlight w:val="none"/>
              </w:rPr>
              <w:t>折扣</w:t>
            </w:r>
            <w:r>
              <w:rPr>
                <w:rFonts w:hint="eastAsia" w:ascii="宋体" w:hAnsi="宋体" w:eastAsia="宋体" w:cs="宋体"/>
                <w:bCs/>
                <w:sz w:val="24"/>
                <w:szCs w:val="24"/>
                <w:highlight w:val="none"/>
                <w:lang w:val="en-US" w:eastAsia="zh-CN"/>
              </w:rPr>
              <w:t>报价</w:t>
            </w:r>
            <w:r>
              <w:rPr>
                <w:rFonts w:hint="eastAsia" w:ascii="宋体" w:hAnsi="宋体" w:eastAsia="宋体" w:cs="宋体"/>
                <w:bCs/>
                <w:sz w:val="24"/>
                <w:highlight w:val="none"/>
              </w:rPr>
              <w:t>（折扣率不得大于100%，例如：90%或91%或92%或95%等；不得在折扣率前填写“±”，例如：不得填报+101%或-101%等，折扣率以1%为间隔）。</w:t>
            </w:r>
          </w:p>
          <w:p w14:paraId="32F67739">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bCs/>
                <w:sz w:val="24"/>
                <w:highlight w:val="none"/>
              </w:rPr>
            </w:pPr>
            <w:r>
              <w:rPr>
                <w:rFonts w:hint="eastAsia" w:ascii="宋体" w:hAnsi="宋体" w:eastAsia="宋体" w:cs="宋体"/>
                <w:bCs/>
                <w:sz w:val="24"/>
                <w:highlight w:val="none"/>
              </w:rPr>
              <w:t>2、</w:t>
            </w:r>
            <w:r>
              <w:rPr>
                <w:rFonts w:hint="eastAsia" w:ascii="宋体" w:hAnsi="宋体" w:eastAsia="宋体" w:cs="宋体"/>
                <w:bCs/>
                <w:sz w:val="24"/>
                <w:szCs w:val="24"/>
                <w:highlight w:val="none"/>
                <w:lang w:val="en-US" w:eastAsia="zh-CN"/>
              </w:rPr>
              <w:t>根据实际需求猪肉类物资</w:t>
            </w:r>
            <w:r>
              <w:rPr>
                <w:rFonts w:hint="eastAsia" w:ascii="宋体" w:hAnsi="宋体" w:eastAsia="宋体" w:cs="宋体"/>
                <w:bCs/>
                <w:sz w:val="24"/>
                <w:highlight w:val="none"/>
              </w:rPr>
              <w:t>参照乌鲁木齐北园春市场(或者九鼎官网)公布的中间价报折扣率，如因上述网站信息发布的时效等因素导致该基准价明显高于供货当日实际市场价，需求单位有权与中标人协商对基准价进行下调。若出现上述网站没有信息价（基准价）的产品品目，则由需求单位在新联市场、九鼎农贸市场等大型专业批发市场或大中型商超市场以询价方式确定送货价格(由招标人经三家及以上询价确定送货单价)，并以所询价的平均价作为送货单价，周询月结。月底结账时按中标的折扣率统一结算。</w:t>
            </w:r>
          </w:p>
          <w:p w14:paraId="7A0E0DC1">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bCs/>
                <w:sz w:val="24"/>
                <w:highlight w:val="none"/>
              </w:rPr>
            </w:pPr>
            <w:r>
              <w:rPr>
                <w:rFonts w:hint="eastAsia" w:ascii="宋体" w:hAnsi="宋体" w:eastAsia="宋体" w:cs="宋体"/>
                <w:bCs/>
                <w:sz w:val="24"/>
                <w:highlight w:val="none"/>
              </w:rPr>
              <w:t>3、结算价=基准价×中标折扣率；例如某产品信息价（基准价）为1000元，折扣率为95%，实际付款金额为950元（注：该措辞仅供解释使用，具体投标报价由供应商结合自身情况自主报价）。</w:t>
            </w:r>
          </w:p>
          <w:p w14:paraId="7A667D22">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bCs/>
                <w:sz w:val="24"/>
                <w:highlight w:val="none"/>
              </w:rPr>
            </w:pPr>
            <w:r>
              <w:rPr>
                <w:rFonts w:hint="eastAsia" w:ascii="宋体" w:hAnsi="宋体" w:eastAsia="宋体" w:cs="宋体"/>
                <w:bCs/>
                <w:sz w:val="24"/>
                <w:highlight w:val="none"/>
              </w:rPr>
              <w:t>4、本项目投标报价包括货物到达招标人指定地点的全部费用，包括但不限于项目实施所需的货物费、包装运输费、配送费、人工费、装卸费、管理费、利润、税费等一切费用。</w:t>
            </w:r>
          </w:p>
          <w:p w14:paraId="3C41D78D">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highlight w:val="none"/>
              </w:rPr>
            </w:pPr>
            <w:r>
              <w:rPr>
                <w:rFonts w:hint="eastAsia" w:ascii="宋体" w:hAnsi="宋体" w:eastAsia="宋体" w:cs="宋体"/>
                <w:bCs/>
                <w:sz w:val="24"/>
                <w:highlight w:val="none"/>
              </w:rPr>
              <w:t>5、严格开具税务发票，投标报价为含税价格，供应商应按含税金额开具增值税普通发票。</w:t>
            </w:r>
          </w:p>
        </w:tc>
      </w:tr>
      <w:tr w14:paraId="76D21E6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502" w:type="pct"/>
            <w:tcBorders>
              <w:tl2br w:val="nil"/>
              <w:tr2bl w:val="nil"/>
            </w:tcBorders>
            <w:vAlign w:val="center"/>
          </w:tcPr>
          <w:p w14:paraId="36135F22">
            <w:pPr>
              <w:widowControl/>
              <w:adjustRightInd w:val="0"/>
              <w:snapToGrid w:val="0"/>
              <w:spacing w:line="440" w:lineRule="exact"/>
              <w:jc w:val="center"/>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 xml:space="preserve">5.4 </w:t>
            </w:r>
          </w:p>
        </w:tc>
        <w:tc>
          <w:tcPr>
            <w:tcW w:w="4497" w:type="pct"/>
            <w:tcBorders>
              <w:tl2br w:val="nil"/>
              <w:tr2bl w:val="nil"/>
            </w:tcBorders>
            <w:vAlign w:val="center"/>
          </w:tcPr>
          <w:p w14:paraId="59EAFDF9">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是否组织现场考察或者召开答疑会：</w:t>
            </w:r>
            <w:r>
              <w:rPr>
                <w:rFonts w:hint="eastAsia" w:ascii="宋体" w:hAnsi="宋体" w:eastAsia="宋体" w:cs="宋体"/>
                <w:b/>
                <w:bCs/>
                <w:kern w:val="0"/>
                <w:sz w:val="24"/>
                <w:highlight w:val="none"/>
                <w:lang w:bidi="ar"/>
              </w:rPr>
              <w:t>否</w:t>
            </w:r>
            <w:r>
              <w:rPr>
                <w:rFonts w:hint="eastAsia" w:ascii="宋体" w:hAnsi="宋体" w:eastAsia="宋体" w:cs="宋体"/>
                <w:kern w:val="0"/>
                <w:sz w:val="24"/>
                <w:highlight w:val="none"/>
                <w:lang w:bidi="ar"/>
              </w:rPr>
              <w:t xml:space="preserve"> </w:t>
            </w:r>
          </w:p>
          <w:p w14:paraId="3A55A106">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组织现场考察或者召开答疑会相关要求：</w:t>
            </w:r>
          </w:p>
          <w:p w14:paraId="7B2117C1">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w:t>
            </w:r>
            <w:r>
              <w:rPr>
                <w:rFonts w:hint="eastAsia" w:ascii="宋体" w:hAnsi="宋体" w:eastAsia="宋体" w:cs="宋体"/>
                <w:kern w:val="0"/>
                <w:sz w:val="24"/>
                <w:highlight w:val="none"/>
                <w:u w:val="single"/>
                <w:lang w:bidi="ar"/>
              </w:rPr>
              <w:t xml:space="preserve">                             </w:t>
            </w:r>
            <w:r>
              <w:rPr>
                <w:rFonts w:hint="eastAsia" w:ascii="宋体" w:hAnsi="宋体" w:eastAsia="宋体" w:cs="宋体"/>
                <w:kern w:val="0"/>
                <w:sz w:val="24"/>
                <w:highlight w:val="none"/>
                <w:lang w:bidi="ar"/>
              </w:rPr>
              <w:t xml:space="preserve"> </w:t>
            </w:r>
          </w:p>
          <w:p w14:paraId="3DC6B9D0">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□将在招标文件提供期限截止后以书面形式通知所有获取招标文件的潜在投标人</w:t>
            </w:r>
          </w:p>
        </w:tc>
      </w:tr>
      <w:tr w14:paraId="7B406C3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05" w:hRule="atLeast"/>
        </w:trPr>
        <w:tc>
          <w:tcPr>
            <w:tcW w:w="502" w:type="pct"/>
            <w:tcBorders>
              <w:tl2br w:val="nil"/>
              <w:tr2bl w:val="nil"/>
            </w:tcBorders>
            <w:vAlign w:val="center"/>
          </w:tcPr>
          <w:p w14:paraId="277DEB81">
            <w:pPr>
              <w:widowControl/>
              <w:adjustRightInd w:val="0"/>
              <w:snapToGrid w:val="0"/>
              <w:spacing w:line="440" w:lineRule="exact"/>
              <w:jc w:val="center"/>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 xml:space="preserve">5.5 </w:t>
            </w:r>
          </w:p>
        </w:tc>
        <w:tc>
          <w:tcPr>
            <w:tcW w:w="4497" w:type="pct"/>
            <w:tcBorders>
              <w:tl2br w:val="nil"/>
              <w:tr2bl w:val="nil"/>
            </w:tcBorders>
            <w:vAlign w:val="center"/>
          </w:tcPr>
          <w:p w14:paraId="73359BDD">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是否需要提供样品：</w:t>
            </w:r>
            <w:r>
              <w:rPr>
                <w:rFonts w:hint="eastAsia" w:ascii="宋体" w:hAnsi="宋体" w:eastAsia="宋体" w:cs="宋体"/>
                <w:b/>
                <w:bCs/>
                <w:kern w:val="0"/>
                <w:sz w:val="24"/>
                <w:highlight w:val="none"/>
                <w:lang w:bidi="ar"/>
              </w:rPr>
              <w:t>否</w:t>
            </w:r>
            <w:r>
              <w:rPr>
                <w:rFonts w:hint="eastAsia" w:ascii="宋体" w:hAnsi="宋体" w:eastAsia="宋体" w:cs="宋体"/>
                <w:kern w:val="0"/>
                <w:sz w:val="24"/>
                <w:highlight w:val="none"/>
                <w:lang w:bidi="ar"/>
              </w:rPr>
              <w:t xml:space="preserve"> </w:t>
            </w:r>
          </w:p>
          <w:p w14:paraId="32DA9A2C">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提供样品要求包括：（样品的制作标准和要求、接收及退还，样品检测报告，检测机构、检测内容等内容）</w:t>
            </w:r>
          </w:p>
        </w:tc>
      </w:tr>
      <w:tr w14:paraId="0A9BB2C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0" w:hRule="atLeast"/>
        </w:trPr>
        <w:tc>
          <w:tcPr>
            <w:tcW w:w="502" w:type="pct"/>
            <w:tcBorders>
              <w:tl2br w:val="nil"/>
              <w:tr2bl w:val="nil"/>
            </w:tcBorders>
            <w:vAlign w:val="center"/>
          </w:tcPr>
          <w:p w14:paraId="03384BD3">
            <w:pPr>
              <w:widowControl/>
              <w:adjustRightInd w:val="0"/>
              <w:snapToGrid w:val="0"/>
              <w:spacing w:line="440" w:lineRule="exact"/>
              <w:jc w:val="center"/>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 xml:space="preserve">8.1 </w:t>
            </w:r>
          </w:p>
        </w:tc>
        <w:tc>
          <w:tcPr>
            <w:tcW w:w="4497" w:type="pct"/>
            <w:tcBorders>
              <w:tl2br w:val="nil"/>
              <w:tr2bl w:val="nil"/>
            </w:tcBorders>
            <w:vAlign w:val="center"/>
          </w:tcPr>
          <w:p w14:paraId="0D830F8E">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供应商可兼投不能兼中，如供应商在前续标包中被推荐为第一中标候选人，则在后续标包中不能被推荐为中标候选人。</w:t>
            </w:r>
          </w:p>
        </w:tc>
      </w:tr>
      <w:tr w14:paraId="0E9177E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350" w:hRule="atLeast"/>
        </w:trPr>
        <w:tc>
          <w:tcPr>
            <w:tcW w:w="502" w:type="pct"/>
            <w:tcBorders>
              <w:tl2br w:val="nil"/>
              <w:tr2bl w:val="nil"/>
            </w:tcBorders>
            <w:vAlign w:val="center"/>
          </w:tcPr>
          <w:p w14:paraId="32462E5D">
            <w:pPr>
              <w:widowControl/>
              <w:adjustRightInd w:val="0"/>
              <w:snapToGrid w:val="0"/>
              <w:spacing w:line="440" w:lineRule="exact"/>
              <w:jc w:val="center"/>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 xml:space="preserve">12 </w:t>
            </w:r>
          </w:p>
        </w:tc>
        <w:tc>
          <w:tcPr>
            <w:tcW w:w="4497" w:type="pct"/>
            <w:tcBorders>
              <w:tl2br w:val="nil"/>
              <w:tr2bl w:val="nil"/>
            </w:tcBorders>
            <w:vAlign w:val="center"/>
          </w:tcPr>
          <w:p w14:paraId="7BDF5821">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highlight w:val="none"/>
              </w:rPr>
            </w:pPr>
            <w:r>
              <w:rPr>
                <w:rFonts w:hint="eastAsia" w:ascii="宋体" w:hAnsi="宋体" w:eastAsia="宋体" w:cs="宋体"/>
                <w:sz w:val="24"/>
                <w:highlight w:val="none"/>
              </w:rPr>
              <w:t>保证金形式：网上银行或电子保函等非现金形式</w:t>
            </w:r>
          </w:p>
          <w:p w14:paraId="17622771">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default" w:ascii="宋体" w:hAnsi="宋体" w:eastAsia="宋体" w:cs="宋体"/>
                <w:sz w:val="24"/>
                <w:highlight w:val="none"/>
                <w:lang w:val="en-US" w:eastAsia="zh-CN"/>
              </w:rPr>
            </w:pPr>
            <w:r>
              <w:rPr>
                <w:rFonts w:hint="eastAsia" w:ascii="宋体" w:hAnsi="宋体" w:eastAsia="宋体" w:cs="宋体"/>
                <w:sz w:val="24"/>
                <w:highlight w:val="none"/>
              </w:rPr>
              <w:t>保证金数额：</w:t>
            </w:r>
            <w:r>
              <w:rPr>
                <w:rFonts w:hint="eastAsia" w:ascii="宋体" w:hAnsi="宋体" w:eastAsia="宋体" w:cs="宋体"/>
                <w:sz w:val="24"/>
                <w:highlight w:val="none"/>
                <w:lang w:val="en-US" w:eastAsia="zh-CN"/>
              </w:rPr>
              <w:t>19500.00元（壹万玖仟伍佰元整）</w:t>
            </w:r>
          </w:p>
          <w:p w14:paraId="34372379">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开户单位名称：新疆新建联项目管理咨询有限公司</w:t>
            </w:r>
          </w:p>
          <w:p w14:paraId="7F305552">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开 户 行：中国工商银行</w:t>
            </w:r>
            <w:r>
              <w:rPr>
                <w:rFonts w:hint="eastAsia" w:ascii="宋体" w:hAnsi="宋体" w:eastAsia="宋体" w:cs="宋体"/>
                <w:kern w:val="0"/>
                <w:sz w:val="24"/>
                <w:highlight w:val="none"/>
                <w:lang w:val="en-US" w:eastAsia="zh-CN" w:bidi="ar"/>
              </w:rPr>
              <w:t>有限公司</w:t>
            </w:r>
            <w:r>
              <w:rPr>
                <w:rFonts w:hint="eastAsia" w:ascii="宋体" w:hAnsi="宋体" w:eastAsia="宋体" w:cs="宋体"/>
                <w:kern w:val="0"/>
                <w:sz w:val="24"/>
                <w:highlight w:val="none"/>
                <w:lang w:bidi="ar"/>
              </w:rPr>
              <w:t>乌鲁木齐市中山路支行</w:t>
            </w:r>
          </w:p>
          <w:p w14:paraId="7722DA7E">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银行帐号：3002010609024801713</w:t>
            </w:r>
          </w:p>
          <w:p w14:paraId="0791F9F5">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行号：102881001021</w:t>
            </w:r>
          </w:p>
          <w:p w14:paraId="28BDEAE0">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注：1）从投标人以银行电汇或网银形式汇至投标保证金专用账户，投标人提交投标保证金应充分考虑资金在途时间,保证金须在投标截止时间前到账</w:t>
            </w:r>
            <w:r>
              <w:rPr>
                <w:rFonts w:hint="eastAsia" w:ascii="宋体" w:hAnsi="宋体" w:eastAsia="宋体" w:cs="宋体"/>
                <w:kern w:val="0"/>
                <w:sz w:val="24"/>
                <w:highlight w:val="none"/>
                <w:lang w:eastAsia="zh-CN" w:bidi="ar"/>
              </w:rPr>
              <w:t>，</w:t>
            </w:r>
            <w:r>
              <w:rPr>
                <w:rFonts w:hint="eastAsia" w:ascii="宋体" w:hAnsi="宋体" w:eastAsia="宋体" w:cs="宋体"/>
                <w:b/>
                <w:bCs/>
                <w:kern w:val="0"/>
                <w:sz w:val="24"/>
                <w:highlight w:val="none"/>
                <w:lang w:val="en-US" w:eastAsia="zh-CN" w:bidi="ar"/>
              </w:rPr>
              <w:t>转账是需备注项目简称+项目编号+标项号保证金</w:t>
            </w:r>
            <w:r>
              <w:rPr>
                <w:rFonts w:hint="eastAsia" w:ascii="宋体" w:hAnsi="宋体" w:eastAsia="宋体" w:cs="宋体"/>
                <w:kern w:val="0"/>
                <w:sz w:val="24"/>
                <w:highlight w:val="none"/>
                <w:lang w:bidi="ar"/>
              </w:rPr>
              <w:t>。</w:t>
            </w:r>
          </w:p>
          <w:p w14:paraId="7C5FFDFB">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highlight w:val="none"/>
                <w:lang w:bidi="ar"/>
              </w:rPr>
            </w:pPr>
            <w:r>
              <w:rPr>
                <w:rFonts w:hint="eastAsia" w:ascii="宋体" w:hAnsi="宋体" w:eastAsia="宋体" w:cs="宋体"/>
                <w:kern w:val="0"/>
                <w:sz w:val="24"/>
                <w:highlight w:val="none"/>
                <w:lang w:val="en-US" w:eastAsia="zh-CN" w:bidi="ar"/>
              </w:rPr>
              <w:t>2</w:t>
            </w:r>
            <w:r>
              <w:rPr>
                <w:rFonts w:hint="eastAsia" w:ascii="宋体" w:hAnsi="宋体" w:eastAsia="宋体" w:cs="宋体"/>
                <w:kern w:val="0"/>
                <w:sz w:val="24"/>
                <w:highlight w:val="none"/>
                <w:lang w:bidi="ar"/>
              </w:rPr>
              <w:t>）投标保证金有效期与投标有效期一致，投标文件中须提供加盖投标人公章的转账凭证或保证金收据证明材料复印件；</w:t>
            </w:r>
          </w:p>
          <w:p w14:paraId="4B630B26">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highlight w:val="none"/>
                <w:lang w:bidi="ar"/>
              </w:rPr>
            </w:pPr>
            <w:r>
              <w:rPr>
                <w:rFonts w:hint="eastAsia" w:ascii="宋体" w:hAnsi="宋体" w:eastAsia="宋体" w:cs="宋体"/>
                <w:kern w:val="0"/>
                <w:sz w:val="24"/>
                <w:highlight w:val="none"/>
                <w:lang w:val="en-US" w:eastAsia="zh-CN" w:bidi="ar"/>
              </w:rPr>
              <w:t>3</w:t>
            </w:r>
            <w:r>
              <w:rPr>
                <w:rFonts w:hint="eastAsia" w:ascii="宋体" w:hAnsi="宋体" w:eastAsia="宋体" w:cs="宋体"/>
                <w:kern w:val="0"/>
                <w:sz w:val="24"/>
                <w:highlight w:val="none"/>
                <w:lang w:bidi="ar"/>
              </w:rPr>
              <w:t>）开标前投标人不能按照招标文件要求缴纳投标保证金的，投标文件将被拒绝；</w:t>
            </w:r>
          </w:p>
          <w:p w14:paraId="53F7B030">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highlight w:val="none"/>
                <w:lang w:bidi="ar"/>
              </w:rPr>
            </w:pPr>
            <w:r>
              <w:rPr>
                <w:rFonts w:hint="eastAsia" w:ascii="宋体" w:hAnsi="宋体" w:eastAsia="宋体" w:cs="宋体"/>
                <w:kern w:val="0"/>
                <w:sz w:val="24"/>
                <w:highlight w:val="none"/>
                <w:lang w:val="en-US" w:eastAsia="zh-CN" w:bidi="ar"/>
              </w:rPr>
              <w:t>4</w:t>
            </w:r>
            <w:r>
              <w:rPr>
                <w:rFonts w:hint="eastAsia" w:ascii="宋体" w:hAnsi="宋体" w:eastAsia="宋体" w:cs="宋体"/>
                <w:kern w:val="0"/>
                <w:sz w:val="24"/>
                <w:highlight w:val="none"/>
                <w:lang w:bidi="ar"/>
              </w:rPr>
              <w:t>）退保金流程：</w:t>
            </w:r>
            <w:r>
              <w:rPr>
                <w:rFonts w:hint="eastAsia" w:ascii="宋体" w:hAnsi="宋体" w:eastAsia="宋体" w:cs="宋体"/>
                <w:b w:val="0"/>
                <w:bCs w:val="0"/>
                <w:sz w:val="24"/>
                <w:szCs w:val="24"/>
                <w:highlight w:val="none"/>
              </w:rPr>
              <w:t>投标单位</w:t>
            </w:r>
            <w:r>
              <w:rPr>
                <w:rFonts w:hint="eastAsia" w:ascii="宋体" w:hAnsi="宋体" w:eastAsia="宋体" w:cs="宋体"/>
                <w:b w:val="0"/>
                <w:bCs w:val="0"/>
                <w:sz w:val="24"/>
                <w:szCs w:val="24"/>
                <w:highlight w:val="none"/>
                <w:lang w:val="en-US" w:eastAsia="zh-CN"/>
              </w:rPr>
              <w:t>提供账户信息</w:t>
            </w:r>
            <w:r>
              <w:rPr>
                <w:rFonts w:hint="eastAsia" w:ascii="宋体" w:hAnsi="宋体" w:eastAsia="宋体" w:cs="宋体"/>
                <w:b w:val="0"/>
                <w:bCs w:val="0"/>
                <w:sz w:val="24"/>
                <w:szCs w:val="24"/>
                <w:highlight w:val="none"/>
              </w:rPr>
              <w:t>，</w:t>
            </w:r>
            <w:r>
              <w:rPr>
                <w:rFonts w:hint="eastAsia" w:ascii="宋体" w:hAnsi="宋体" w:eastAsia="宋体" w:cs="宋体"/>
                <w:b w:val="0"/>
                <w:bCs w:val="0"/>
                <w:sz w:val="24"/>
                <w:szCs w:val="24"/>
                <w:highlight w:val="none"/>
                <w:lang w:val="en-US" w:eastAsia="zh-CN"/>
              </w:rPr>
              <w:t>每周四周五进行保证金退还</w:t>
            </w:r>
            <w:r>
              <w:rPr>
                <w:rFonts w:hint="eastAsia" w:ascii="宋体" w:hAnsi="宋体" w:eastAsia="宋体" w:cs="宋体"/>
                <w:b w:val="0"/>
                <w:bCs w:val="0"/>
                <w:sz w:val="24"/>
                <w:szCs w:val="24"/>
                <w:highlight w:val="none"/>
              </w:rPr>
              <w:t>。</w:t>
            </w:r>
          </w:p>
          <w:p w14:paraId="01394784">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highlight w:val="none"/>
                <w:lang w:bidi="ar"/>
              </w:rPr>
            </w:pPr>
            <w:r>
              <w:rPr>
                <w:rFonts w:hint="eastAsia" w:ascii="宋体" w:hAnsi="宋体" w:eastAsia="宋体" w:cs="宋体"/>
                <w:kern w:val="0"/>
                <w:sz w:val="24"/>
                <w:highlight w:val="none"/>
                <w:lang w:val="en-US" w:eastAsia="zh-CN" w:bidi="ar"/>
              </w:rPr>
              <w:t>5</w:t>
            </w:r>
            <w:r>
              <w:rPr>
                <w:rFonts w:hint="eastAsia" w:ascii="宋体" w:hAnsi="宋体" w:eastAsia="宋体" w:cs="宋体"/>
                <w:kern w:val="0"/>
                <w:sz w:val="24"/>
                <w:highlight w:val="none"/>
                <w:lang w:bidi="ar"/>
              </w:rPr>
              <w:t>）财务电话：0991-4181876</w:t>
            </w:r>
          </w:p>
        </w:tc>
      </w:tr>
      <w:tr w14:paraId="6550746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502" w:type="pct"/>
            <w:tcBorders>
              <w:tl2br w:val="nil"/>
              <w:tr2bl w:val="nil"/>
            </w:tcBorders>
            <w:vAlign w:val="center"/>
          </w:tcPr>
          <w:p w14:paraId="31EAB398">
            <w:pPr>
              <w:widowControl/>
              <w:adjustRightInd w:val="0"/>
              <w:snapToGrid w:val="0"/>
              <w:spacing w:line="440" w:lineRule="exact"/>
              <w:jc w:val="center"/>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13.1</w:t>
            </w:r>
          </w:p>
        </w:tc>
        <w:tc>
          <w:tcPr>
            <w:tcW w:w="4497" w:type="pct"/>
            <w:tcBorders>
              <w:tl2br w:val="nil"/>
              <w:tr2bl w:val="nil"/>
            </w:tcBorders>
            <w:vAlign w:val="center"/>
          </w:tcPr>
          <w:p w14:paraId="45FB0748">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投标有效期：</w:t>
            </w:r>
            <w:r>
              <w:rPr>
                <w:rFonts w:hint="eastAsia" w:ascii="宋体" w:hAnsi="宋体" w:eastAsia="宋体" w:cs="宋体"/>
                <w:kern w:val="0"/>
                <w:sz w:val="24"/>
                <w:highlight w:val="none"/>
                <w:lang w:val="en-US" w:eastAsia="zh-CN" w:bidi="ar"/>
              </w:rPr>
              <w:t>自投标截止之日起 90日历天。</w:t>
            </w:r>
            <w:r>
              <w:rPr>
                <w:rFonts w:hint="eastAsia" w:ascii="宋体" w:hAnsi="宋体" w:eastAsia="宋体" w:cs="宋体"/>
                <w:kern w:val="0"/>
                <w:sz w:val="24"/>
                <w:highlight w:val="none"/>
                <w:lang w:bidi="ar"/>
              </w:rPr>
              <w:t xml:space="preserve"> </w:t>
            </w:r>
          </w:p>
        </w:tc>
      </w:tr>
      <w:tr w14:paraId="00BAC9F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502" w:type="pct"/>
            <w:tcBorders>
              <w:tl2br w:val="nil"/>
              <w:tr2bl w:val="nil"/>
            </w:tcBorders>
            <w:vAlign w:val="center"/>
          </w:tcPr>
          <w:p w14:paraId="42E4F598">
            <w:pPr>
              <w:widowControl/>
              <w:adjustRightInd w:val="0"/>
              <w:snapToGrid w:val="0"/>
              <w:spacing w:line="440" w:lineRule="exact"/>
              <w:jc w:val="center"/>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 xml:space="preserve">14.1 </w:t>
            </w:r>
          </w:p>
        </w:tc>
        <w:tc>
          <w:tcPr>
            <w:tcW w:w="4497" w:type="pct"/>
            <w:tcBorders>
              <w:tl2br w:val="nil"/>
              <w:tr2bl w:val="nil"/>
            </w:tcBorders>
            <w:vAlign w:val="center"/>
          </w:tcPr>
          <w:p w14:paraId="7033AE44">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highlight w:val="none"/>
              </w:rPr>
            </w:pPr>
            <w:r>
              <w:rPr>
                <w:rFonts w:hint="eastAsia" w:ascii="宋体" w:hAnsi="宋体" w:eastAsia="宋体" w:cs="宋体"/>
                <w:sz w:val="24"/>
                <w:highlight w:val="none"/>
              </w:rPr>
              <w:t>1．本项目采用不见面开标、供应商需要递交电子投标文件，加密的电子投标文件，在投标截止时间前上传至新疆政府采购网</w:t>
            </w:r>
            <w:r>
              <w:rPr>
                <w:rFonts w:hint="eastAsia" w:ascii="宋体" w:hAnsi="宋体" w:eastAsia="宋体" w:cs="宋体"/>
                <w:sz w:val="24"/>
                <w:highlight w:val="none"/>
                <w:lang w:eastAsia="zh-CN"/>
              </w:rPr>
              <w:t>政采云平台</w:t>
            </w:r>
            <w:r>
              <w:rPr>
                <w:rFonts w:hint="eastAsia" w:ascii="宋体" w:hAnsi="宋体" w:eastAsia="宋体" w:cs="宋体"/>
                <w:sz w:val="24"/>
                <w:highlight w:val="none"/>
              </w:rPr>
              <w:t>指定位置。无需在开标时递交纸质文件。</w:t>
            </w:r>
          </w:p>
          <w:p w14:paraId="732B0C3C">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highlight w:val="none"/>
                <w:lang w:eastAsia="zh-CN"/>
              </w:rPr>
            </w:pPr>
            <w:r>
              <w:rPr>
                <w:rFonts w:hint="eastAsia" w:ascii="宋体" w:hAnsi="宋体" w:eastAsia="宋体" w:cs="宋体"/>
                <w:sz w:val="24"/>
                <w:highlight w:val="none"/>
              </w:rPr>
              <w:t>2.本项目采用远程不见面交易的模式。开标当日，供应商无需到达开标现场，仅需在任意地点通过新疆政府采购网</w:t>
            </w:r>
            <w:r>
              <w:rPr>
                <w:rFonts w:hint="eastAsia" w:ascii="宋体" w:hAnsi="宋体" w:eastAsia="宋体" w:cs="宋体"/>
                <w:sz w:val="24"/>
                <w:highlight w:val="none"/>
                <w:lang w:eastAsia="zh-CN"/>
              </w:rPr>
              <w:t>政采云平台</w:t>
            </w:r>
            <w:r>
              <w:rPr>
                <w:rFonts w:hint="eastAsia" w:ascii="宋体" w:hAnsi="宋体" w:eastAsia="宋体" w:cs="宋体"/>
                <w:sz w:val="24"/>
                <w:highlight w:val="none"/>
              </w:rPr>
              <w:t>完成远程解密、开标唱标、结果公布等交互环节。供应商必须使用能正确解密投标文件的“CA 锁”在规定的时间内完成远程解密，因供应商原因未能解密、解密失败或解密超时，视为供应商撤销其投标文件，系统内投标文件将被退回</w:t>
            </w:r>
            <w:r>
              <w:rPr>
                <w:rFonts w:hint="eastAsia" w:ascii="宋体" w:hAnsi="宋体" w:eastAsia="宋体" w:cs="宋体"/>
                <w:sz w:val="24"/>
                <w:highlight w:val="none"/>
                <w:lang w:eastAsia="zh-CN"/>
              </w:rPr>
              <w:t>。</w:t>
            </w:r>
          </w:p>
          <w:p w14:paraId="7AC96E0E">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3.开标结束后投标供应商需提交投标文件数量：</w:t>
            </w:r>
          </w:p>
          <w:p w14:paraId="75C82F80">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kern w:val="0"/>
                <w:sz w:val="24"/>
                <w:highlight w:val="none"/>
                <w:lang w:bidi="ar"/>
              </w:rPr>
            </w:pPr>
            <w:r>
              <w:rPr>
                <w:rFonts w:hint="eastAsia" w:ascii="宋体" w:hAnsi="宋体" w:eastAsia="宋体" w:cs="宋体"/>
                <w:kern w:val="0"/>
                <w:sz w:val="24"/>
                <w:highlight w:val="none"/>
                <w:lang w:eastAsia="zh-CN" w:bidi="ar"/>
              </w:rPr>
              <w:t>（</w:t>
            </w:r>
            <w:r>
              <w:rPr>
                <w:rFonts w:hint="eastAsia" w:ascii="宋体" w:hAnsi="宋体" w:eastAsia="宋体" w:cs="宋体"/>
                <w:kern w:val="0"/>
                <w:sz w:val="24"/>
                <w:highlight w:val="none"/>
                <w:lang w:val="en-US" w:eastAsia="zh-CN" w:bidi="ar"/>
              </w:rPr>
              <w:t>1</w:t>
            </w:r>
            <w:r>
              <w:rPr>
                <w:rFonts w:hint="eastAsia" w:ascii="宋体" w:hAnsi="宋体" w:eastAsia="宋体" w:cs="宋体"/>
                <w:kern w:val="0"/>
                <w:sz w:val="24"/>
                <w:highlight w:val="none"/>
                <w:lang w:eastAsia="zh-CN" w:bidi="ar"/>
              </w:rPr>
              <w:t>）</w:t>
            </w:r>
            <w:r>
              <w:rPr>
                <w:rFonts w:hint="eastAsia" w:ascii="宋体" w:hAnsi="宋体" w:eastAsia="宋体" w:cs="宋体"/>
                <w:kern w:val="0"/>
                <w:sz w:val="24"/>
                <w:highlight w:val="none"/>
                <w:lang w:bidi="ar"/>
              </w:rPr>
              <w:t>开标时在线提交电子响应文件；</w:t>
            </w:r>
          </w:p>
          <w:p w14:paraId="764178EC">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kern w:val="0"/>
                <w:sz w:val="24"/>
                <w:highlight w:val="none"/>
                <w:lang w:bidi="ar"/>
              </w:rPr>
            </w:pPr>
            <w:r>
              <w:rPr>
                <w:rFonts w:hint="eastAsia" w:ascii="宋体" w:hAnsi="宋体" w:eastAsia="宋体" w:cs="宋体"/>
                <w:kern w:val="0"/>
                <w:sz w:val="24"/>
                <w:highlight w:val="none"/>
                <w:lang w:eastAsia="zh-CN" w:bidi="ar"/>
              </w:rPr>
              <w:t>（</w:t>
            </w:r>
            <w:r>
              <w:rPr>
                <w:rFonts w:hint="eastAsia" w:ascii="宋体" w:hAnsi="宋体" w:eastAsia="宋体" w:cs="宋体"/>
                <w:kern w:val="0"/>
                <w:sz w:val="24"/>
                <w:highlight w:val="none"/>
                <w:lang w:val="en-US" w:eastAsia="zh-CN" w:bidi="ar"/>
              </w:rPr>
              <w:t>2</w:t>
            </w:r>
            <w:r>
              <w:rPr>
                <w:rFonts w:hint="eastAsia" w:ascii="宋体" w:hAnsi="宋体" w:eastAsia="宋体" w:cs="宋体"/>
                <w:kern w:val="0"/>
                <w:sz w:val="24"/>
                <w:highlight w:val="none"/>
                <w:lang w:eastAsia="zh-CN" w:bidi="ar"/>
              </w:rPr>
              <w:t>）</w:t>
            </w:r>
            <w:r>
              <w:rPr>
                <w:rFonts w:hint="eastAsia" w:ascii="宋体" w:hAnsi="宋体" w:eastAsia="宋体" w:cs="宋体"/>
                <w:kern w:val="0"/>
                <w:sz w:val="24"/>
                <w:highlight w:val="none"/>
                <w:lang w:bidi="ar"/>
              </w:rPr>
              <w:t>由各单位承诺，若中标后提供纸质版文件：正本一份，副本二份，为了节能减排、保护环境，倡议投标文件双面打印！</w:t>
            </w:r>
          </w:p>
          <w:p w14:paraId="0CC09C84">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kern w:val="0"/>
                <w:sz w:val="24"/>
                <w:highlight w:val="none"/>
                <w:lang w:bidi="ar"/>
              </w:rPr>
            </w:pPr>
            <w:r>
              <w:rPr>
                <w:rFonts w:hint="eastAsia" w:ascii="宋体" w:hAnsi="宋体" w:eastAsia="宋体" w:cs="宋体"/>
                <w:kern w:val="0"/>
                <w:sz w:val="24"/>
                <w:highlight w:val="none"/>
                <w:lang w:val="en-US" w:eastAsia="zh-CN" w:bidi="ar"/>
              </w:rPr>
              <w:t>提交方式：可邮寄或提交到招标代理公司。</w:t>
            </w:r>
          </w:p>
          <w:p w14:paraId="0402914D">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highlight w:val="none"/>
                <w:lang w:bidi="ar"/>
              </w:rPr>
            </w:pPr>
            <w:r>
              <w:rPr>
                <w:rFonts w:hint="eastAsia" w:ascii="宋体" w:hAnsi="宋体" w:eastAsia="宋体" w:cs="宋体"/>
                <w:kern w:val="0"/>
                <w:sz w:val="24"/>
                <w:highlight w:val="none"/>
                <w:lang w:val="en-US" w:eastAsia="zh-CN" w:bidi="ar"/>
              </w:rPr>
              <w:t>纸质版投标文件提供时间：中标公示发出后5个工作日内。</w:t>
            </w:r>
          </w:p>
        </w:tc>
      </w:tr>
      <w:tr w14:paraId="7225F71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502" w:type="pct"/>
            <w:tcBorders>
              <w:tl2br w:val="nil"/>
              <w:tr2bl w:val="nil"/>
            </w:tcBorders>
            <w:vAlign w:val="center"/>
          </w:tcPr>
          <w:p w14:paraId="69466DD6">
            <w:pPr>
              <w:widowControl/>
              <w:adjustRightInd w:val="0"/>
              <w:snapToGrid w:val="0"/>
              <w:spacing w:line="440" w:lineRule="exact"/>
              <w:jc w:val="center"/>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16.1</w:t>
            </w:r>
          </w:p>
        </w:tc>
        <w:tc>
          <w:tcPr>
            <w:tcW w:w="4497" w:type="pct"/>
            <w:tcBorders>
              <w:tl2br w:val="nil"/>
              <w:tr2bl w:val="nil"/>
            </w:tcBorders>
            <w:vAlign w:val="center"/>
          </w:tcPr>
          <w:p w14:paraId="3FE1F430">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kern w:val="0"/>
                <w:sz w:val="24"/>
                <w:highlight w:val="none"/>
                <w:lang w:bidi="ar"/>
              </w:rPr>
            </w:pPr>
            <w:r>
              <w:rPr>
                <w:rFonts w:hint="eastAsia" w:ascii="宋体" w:hAnsi="宋体" w:eastAsia="宋体" w:cs="宋体"/>
                <w:color w:val="auto"/>
                <w:kern w:val="0"/>
                <w:sz w:val="24"/>
                <w:highlight w:val="none"/>
                <w:lang w:bidi="ar"/>
              </w:rPr>
              <w:t>投标截止时间：</w:t>
            </w:r>
            <w:r>
              <w:rPr>
                <w:rFonts w:hint="eastAsia" w:ascii="宋体" w:hAnsi="宋体" w:eastAsia="宋体" w:cs="宋体"/>
                <w:b w:val="0"/>
                <w:bCs w:val="0"/>
                <w:i w:val="0"/>
                <w:caps w:val="0"/>
                <w:color w:val="auto"/>
                <w:spacing w:val="0"/>
                <w:w w:val="100"/>
                <w:sz w:val="24"/>
                <w:highlight w:val="none"/>
                <w:lang w:val="en-US" w:eastAsia="zh-CN"/>
              </w:rPr>
              <w:t>2026年6月 11 日1</w:t>
            </w:r>
            <w:r>
              <w:rPr>
                <w:rFonts w:hint="eastAsia" w:ascii="宋体" w:hAnsi="宋体" w:eastAsia="宋体" w:cs="宋体"/>
                <w:color w:val="auto"/>
                <w:sz w:val="24"/>
                <w:szCs w:val="24"/>
                <w:highlight w:val="none"/>
                <w:lang w:eastAsia="zh-CN"/>
              </w:rPr>
              <w:t>1时00分</w:t>
            </w:r>
            <w:r>
              <w:rPr>
                <w:rFonts w:hint="eastAsia" w:ascii="宋体" w:hAnsi="宋体" w:eastAsia="宋体" w:cs="宋体"/>
                <w:b w:val="0"/>
                <w:bCs w:val="0"/>
                <w:i w:val="0"/>
                <w:caps w:val="0"/>
                <w:color w:val="auto"/>
                <w:spacing w:val="0"/>
                <w:w w:val="100"/>
                <w:sz w:val="24"/>
                <w:highlight w:val="none"/>
                <w:lang w:val="en-US" w:eastAsia="zh-CN"/>
              </w:rPr>
              <w:t>（北京时间）</w:t>
            </w:r>
          </w:p>
        </w:tc>
      </w:tr>
      <w:tr w14:paraId="7D11446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502" w:type="pct"/>
            <w:tcBorders>
              <w:tl2br w:val="nil"/>
              <w:tr2bl w:val="nil"/>
            </w:tcBorders>
            <w:vAlign w:val="center"/>
          </w:tcPr>
          <w:p w14:paraId="413CD690">
            <w:pPr>
              <w:widowControl/>
              <w:adjustRightInd w:val="0"/>
              <w:snapToGrid w:val="0"/>
              <w:spacing w:line="440" w:lineRule="exact"/>
              <w:jc w:val="center"/>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 xml:space="preserve">18.1 </w:t>
            </w:r>
          </w:p>
        </w:tc>
        <w:tc>
          <w:tcPr>
            <w:tcW w:w="4497" w:type="pct"/>
            <w:tcBorders>
              <w:tl2br w:val="nil"/>
              <w:tr2bl w:val="nil"/>
            </w:tcBorders>
            <w:vAlign w:val="center"/>
          </w:tcPr>
          <w:p w14:paraId="42E0B7D3">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 xml:space="preserve">开标时间：同投标截止时间 </w:t>
            </w:r>
          </w:p>
          <w:p w14:paraId="7F4398F8">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开标地点：</w:t>
            </w:r>
            <w:r>
              <w:rPr>
                <w:rFonts w:hint="eastAsia" w:ascii="宋体" w:hAnsi="宋体" w:eastAsia="宋体" w:cs="宋体"/>
                <w:kern w:val="0"/>
                <w:sz w:val="24"/>
                <w:highlight w:val="none"/>
                <w:lang w:val="en-US" w:eastAsia="zh-CN" w:bidi="ar"/>
              </w:rPr>
              <w:t>开标当日，投标人无需到达开标现场，仅需在任 意地点登录政采云平台（https://www.zcygov.cn）不见面 开标系统（进入“项目采购”应用，在开标评标菜单中选择 进入开标大厅）完成远程解密、提疑澄清、开标唱标、结果 公布等交互环节。</w:t>
            </w:r>
          </w:p>
        </w:tc>
      </w:tr>
      <w:tr w14:paraId="457F216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502" w:type="pct"/>
            <w:tcBorders>
              <w:tl2br w:val="nil"/>
              <w:tr2bl w:val="nil"/>
            </w:tcBorders>
            <w:vAlign w:val="center"/>
          </w:tcPr>
          <w:p w14:paraId="0A1479A2">
            <w:pPr>
              <w:widowControl/>
              <w:adjustRightInd w:val="0"/>
              <w:snapToGrid w:val="0"/>
              <w:spacing w:line="440" w:lineRule="exact"/>
              <w:jc w:val="center"/>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 xml:space="preserve">23.2 </w:t>
            </w:r>
          </w:p>
        </w:tc>
        <w:tc>
          <w:tcPr>
            <w:tcW w:w="4497" w:type="pct"/>
            <w:tcBorders>
              <w:tl2br w:val="nil"/>
              <w:tr2bl w:val="nil"/>
            </w:tcBorders>
            <w:vAlign w:val="center"/>
          </w:tcPr>
          <w:p w14:paraId="660F7F62">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评标方法：综合评分法</w:t>
            </w:r>
          </w:p>
        </w:tc>
      </w:tr>
      <w:tr w14:paraId="45BD850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502" w:type="pct"/>
            <w:tcBorders>
              <w:tl2br w:val="nil"/>
              <w:tr2bl w:val="nil"/>
            </w:tcBorders>
            <w:vAlign w:val="center"/>
          </w:tcPr>
          <w:p w14:paraId="3C4C753A">
            <w:pPr>
              <w:widowControl/>
              <w:adjustRightInd w:val="0"/>
              <w:snapToGrid w:val="0"/>
              <w:spacing w:line="440" w:lineRule="exact"/>
              <w:jc w:val="center"/>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 xml:space="preserve">27.1 </w:t>
            </w:r>
          </w:p>
        </w:tc>
        <w:tc>
          <w:tcPr>
            <w:tcW w:w="4497" w:type="pct"/>
            <w:tcBorders>
              <w:tl2br w:val="nil"/>
              <w:tr2bl w:val="nil"/>
            </w:tcBorders>
            <w:vAlign w:val="center"/>
          </w:tcPr>
          <w:p w14:paraId="7E6278B0">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推荐中标候选投标人的数量：</w:t>
            </w:r>
            <w:r>
              <w:rPr>
                <w:rFonts w:hint="eastAsia" w:ascii="宋体" w:hAnsi="宋体" w:eastAsia="宋体" w:cs="宋体"/>
                <w:kern w:val="0"/>
                <w:sz w:val="24"/>
                <w:highlight w:val="none"/>
                <w:lang w:val="en-US" w:eastAsia="zh-CN" w:bidi="ar"/>
              </w:rPr>
              <w:t>3</w:t>
            </w:r>
            <w:r>
              <w:rPr>
                <w:rFonts w:hint="eastAsia" w:ascii="宋体" w:hAnsi="宋体" w:eastAsia="宋体" w:cs="宋体"/>
                <w:kern w:val="0"/>
                <w:sz w:val="24"/>
                <w:highlight w:val="none"/>
                <w:lang w:bidi="ar"/>
              </w:rPr>
              <w:t>名</w:t>
            </w:r>
          </w:p>
        </w:tc>
      </w:tr>
      <w:tr w14:paraId="4656DB5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502" w:type="pct"/>
            <w:tcBorders>
              <w:tl2br w:val="nil"/>
              <w:tr2bl w:val="nil"/>
            </w:tcBorders>
            <w:vAlign w:val="center"/>
          </w:tcPr>
          <w:p w14:paraId="45E254A6">
            <w:pPr>
              <w:widowControl/>
              <w:adjustRightInd w:val="0"/>
              <w:snapToGrid w:val="0"/>
              <w:spacing w:line="440" w:lineRule="exact"/>
              <w:jc w:val="center"/>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 xml:space="preserve">27.2 </w:t>
            </w:r>
          </w:p>
        </w:tc>
        <w:tc>
          <w:tcPr>
            <w:tcW w:w="4497" w:type="pct"/>
            <w:tcBorders>
              <w:tl2br w:val="nil"/>
              <w:tr2bl w:val="nil"/>
            </w:tcBorders>
            <w:vAlign w:val="center"/>
          </w:tcPr>
          <w:p w14:paraId="196B499B">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 xml:space="preserve">招标人是否委托评标委员会直接确定中标人：否 </w:t>
            </w:r>
          </w:p>
        </w:tc>
      </w:tr>
      <w:tr w14:paraId="729F34F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502" w:type="pct"/>
            <w:tcBorders>
              <w:tl2br w:val="nil"/>
              <w:tr2bl w:val="nil"/>
            </w:tcBorders>
            <w:vAlign w:val="center"/>
          </w:tcPr>
          <w:p w14:paraId="4B3BDA18">
            <w:pPr>
              <w:widowControl/>
              <w:adjustRightInd w:val="0"/>
              <w:snapToGrid w:val="0"/>
              <w:spacing w:line="440" w:lineRule="exact"/>
              <w:jc w:val="center"/>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 xml:space="preserve">32.1 </w:t>
            </w:r>
          </w:p>
        </w:tc>
        <w:tc>
          <w:tcPr>
            <w:tcW w:w="4497" w:type="pct"/>
            <w:tcBorders>
              <w:tl2br w:val="nil"/>
              <w:tr2bl w:val="nil"/>
            </w:tcBorders>
          </w:tcPr>
          <w:p w14:paraId="711A0BCB">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是否由中标人缴纳招标代理费：</w:t>
            </w:r>
            <w:r>
              <w:rPr>
                <w:rFonts w:hint="eastAsia" w:ascii="宋体" w:hAnsi="宋体" w:eastAsia="宋体" w:cs="宋体"/>
                <w:kern w:val="0"/>
                <w:sz w:val="24"/>
                <w:highlight w:val="none"/>
                <w:u w:val="single"/>
                <w:lang w:val="en-US" w:eastAsia="zh-CN" w:bidi="ar"/>
              </w:rPr>
              <w:t xml:space="preserve"> </w:t>
            </w:r>
            <w:r>
              <w:rPr>
                <w:rFonts w:hint="eastAsia" w:ascii="宋体" w:hAnsi="宋体" w:eastAsia="宋体" w:cs="宋体"/>
                <w:kern w:val="0"/>
                <w:sz w:val="24"/>
                <w:highlight w:val="none"/>
                <w:u w:val="single"/>
                <w:lang w:bidi="ar"/>
              </w:rPr>
              <w:t>是</w:t>
            </w:r>
            <w:r>
              <w:rPr>
                <w:rFonts w:hint="eastAsia" w:ascii="宋体" w:hAnsi="宋体" w:eastAsia="宋体" w:cs="宋体"/>
                <w:kern w:val="0"/>
                <w:sz w:val="24"/>
                <w:highlight w:val="none"/>
                <w:u w:val="single"/>
                <w:lang w:val="en-US" w:eastAsia="zh-CN" w:bidi="ar"/>
              </w:rPr>
              <w:t xml:space="preserve"> </w:t>
            </w:r>
            <w:r>
              <w:rPr>
                <w:rFonts w:hint="eastAsia" w:ascii="宋体" w:hAnsi="宋体" w:eastAsia="宋体" w:cs="宋体"/>
                <w:kern w:val="0"/>
                <w:sz w:val="24"/>
                <w:highlight w:val="none"/>
                <w:lang w:bidi="ar"/>
              </w:rPr>
              <w:t xml:space="preserve"> </w:t>
            </w:r>
          </w:p>
          <w:p w14:paraId="70111081">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招标代理费：</w:t>
            </w:r>
            <w:r>
              <w:rPr>
                <w:rFonts w:hint="eastAsia" w:ascii="宋体" w:hAnsi="宋体" w:eastAsia="宋体" w:cs="宋体"/>
                <w:kern w:val="0"/>
                <w:sz w:val="24"/>
                <w:highlight w:val="none"/>
                <w:lang w:bidi="ar"/>
              </w:rPr>
              <w:sym w:font="Wingdings 2" w:char="0052"/>
            </w:r>
            <w:r>
              <w:rPr>
                <w:rFonts w:hint="eastAsia" w:ascii="宋体" w:hAnsi="宋体" w:eastAsia="宋体" w:cs="宋体"/>
                <w:kern w:val="0"/>
                <w:sz w:val="24"/>
                <w:highlight w:val="none"/>
                <w:lang w:bidi="ar"/>
              </w:rPr>
              <w:t>参照发改价格[2011]534号及计价格[2002]1980号文件</w:t>
            </w:r>
            <w:r>
              <w:rPr>
                <w:rFonts w:hint="eastAsia" w:ascii="宋体" w:hAnsi="宋体" w:eastAsia="宋体" w:cs="宋体"/>
                <w:kern w:val="0"/>
                <w:sz w:val="24"/>
                <w:highlight w:val="none"/>
                <w:lang w:val="en-US" w:eastAsia="zh-CN" w:bidi="ar"/>
              </w:rPr>
              <w:t>计取</w:t>
            </w:r>
            <w:r>
              <w:rPr>
                <w:rFonts w:hint="eastAsia" w:ascii="宋体" w:hAnsi="宋体" w:eastAsia="宋体" w:cs="宋体"/>
                <w:kern w:val="0"/>
                <w:sz w:val="24"/>
                <w:highlight w:val="none"/>
                <w:lang w:bidi="ar"/>
              </w:rPr>
              <w:t xml:space="preserve">的招标代理服务收费，代理服务费由中标人支付。  </w:t>
            </w:r>
          </w:p>
          <w:p w14:paraId="487349DA">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支付形式：转账、电汇等形式</w:t>
            </w:r>
          </w:p>
          <w:p w14:paraId="71D0C164">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kern w:val="0"/>
                <w:sz w:val="24"/>
                <w:highlight w:val="none"/>
                <w:lang w:bidi="ar"/>
              </w:rPr>
            </w:pPr>
            <w:r>
              <w:rPr>
                <w:rFonts w:hint="eastAsia" w:ascii="宋体" w:hAnsi="宋体" w:eastAsia="宋体" w:cs="宋体"/>
                <w:kern w:val="0"/>
                <w:sz w:val="24"/>
                <w:szCs w:val="24"/>
                <w:highlight w:val="none"/>
                <w:lang w:val="en-US" w:eastAsia="zh-CN" w:bidi="ar"/>
              </w:rPr>
              <w:t>支付时间：《中标通知书》核发前</w:t>
            </w:r>
          </w:p>
        </w:tc>
      </w:tr>
      <w:tr w14:paraId="6CEBE85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502" w:type="pct"/>
            <w:tcBorders>
              <w:tl2br w:val="nil"/>
              <w:tr2bl w:val="nil"/>
            </w:tcBorders>
            <w:vAlign w:val="center"/>
          </w:tcPr>
          <w:p w14:paraId="3B597B77">
            <w:pPr>
              <w:widowControl/>
              <w:adjustRightInd w:val="0"/>
              <w:snapToGrid w:val="0"/>
              <w:spacing w:line="440" w:lineRule="exact"/>
              <w:jc w:val="center"/>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35.2</w:t>
            </w:r>
          </w:p>
        </w:tc>
        <w:tc>
          <w:tcPr>
            <w:tcW w:w="4497" w:type="pct"/>
            <w:tcBorders>
              <w:tl2br w:val="nil"/>
              <w:tr2bl w:val="nil"/>
            </w:tcBorders>
          </w:tcPr>
          <w:p w14:paraId="10A1111C">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 xml:space="preserve">针对同一采购程序环节的质疑次数： </w:t>
            </w:r>
          </w:p>
          <w:p w14:paraId="7F62DCC4">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sym w:font="Wingdings 2" w:char="0052"/>
            </w:r>
            <w:r>
              <w:rPr>
                <w:rFonts w:hint="eastAsia" w:ascii="宋体" w:hAnsi="宋体" w:eastAsia="宋体" w:cs="宋体"/>
                <w:kern w:val="0"/>
                <w:sz w:val="24"/>
                <w:highlight w:val="none"/>
                <w:lang w:bidi="ar"/>
              </w:rPr>
              <w:t xml:space="preserve">一次性提出 </w:t>
            </w:r>
            <w:r>
              <w:rPr>
                <w:rFonts w:hint="eastAsia" w:ascii="宋体" w:hAnsi="宋体" w:eastAsia="宋体" w:cs="宋体"/>
                <w:kern w:val="0"/>
                <w:sz w:val="24"/>
                <w:highlight w:val="none"/>
                <w:lang w:bidi="ar"/>
              </w:rPr>
              <w:sym w:font="Wingdings 2" w:char="00A3"/>
            </w:r>
            <w:r>
              <w:rPr>
                <w:rFonts w:hint="eastAsia" w:ascii="宋体" w:hAnsi="宋体" w:eastAsia="宋体" w:cs="宋体"/>
                <w:kern w:val="0"/>
                <w:sz w:val="24"/>
                <w:highlight w:val="none"/>
                <w:lang w:bidi="ar"/>
              </w:rPr>
              <w:t>多次提出</w:t>
            </w:r>
          </w:p>
          <w:p w14:paraId="7B22FD31">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highlight w:val="none"/>
              </w:rPr>
            </w:pPr>
            <w:r>
              <w:rPr>
                <w:rFonts w:hint="eastAsia" w:ascii="宋体" w:hAnsi="宋体" w:eastAsia="宋体" w:cs="宋体"/>
                <w:kern w:val="0"/>
                <w:sz w:val="24"/>
                <w:highlight w:val="none"/>
                <w:lang w:bidi="ar"/>
              </w:rPr>
              <w:t>注：供应商在法定质疑期内一次性提出针对同一采购程序环节的质疑，本项目不接受供应商多次/反复质疑。</w:t>
            </w:r>
          </w:p>
        </w:tc>
      </w:tr>
      <w:tr w14:paraId="62DAA5B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917" w:type="dxa"/>
            <w:tcBorders>
              <w:tl2br w:val="nil"/>
              <w:tr2bl w:val="nil"/>
            </w:tcBorders>
            <w:vAlign w:val="center"/>
          </w:tcPr>
          <w:p w14:paraId="51CD51BF">
            <w:pPr>
              <w:widowControl/>
              <w:adjustRightInd w:val="0"/>
              <w:snapToGrid w:val="0"/>
              <w:spacing w:line="440" w:lineRule="exact"/>
              <w:jc w:val="center"/>
              <w:rPr>
                <w:rFonts w:hint="eastAsia" w:ascii="宋体" w:hAnsi="宋体" w:eastAsia="宋体" w:cs="宋体"/>
                <w:kern w:val="0"/>
                <w:sz w:val="24"/>
                <w:highlight w:val="none"/>
                <w:lang w:bidi="ar"/>
              </w:rPr>
            </w:pPr>
            <w:r>
              <w:rPr>
                <w:rFonts w:hint="eastAsia" w:ascii="宋体" w:hAnsi="宋体" w:eastAsia="宋体" w:cs="宋体"/>
                <w:kern w:val="0"/>
                <w:sz w:val="24"/>
                <w:highlight w:val="none"/>
                <w:lang w:val="en-US" w:eastAsia="zh-CN" w:bidi="ar"/>
              </w:rPr>
              <w:t>20.6</w:t>
            </w:r>
          </w:p>
        </w:tc>
        <w:tc>
          <w:tcPr>
            <w:tcW w:w="8216" w:type="dxa"/>
            <w:tcBorders>
              <w:tl2br w:val="nil"/>
              <w:tr2bl w:val="nil"/>
            </w:tcBorders>
            <w:vAlign w:val="center"/>
          </w:tcPr>
          <w:p w14:paraId="0BBD633E">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kern w:val="0"/>
                <w:sz w:val="24"/>
                <w:highlight w:val="none"/>
                <w:lang w:bidi="ar"/>
              </w:rPr>
            </w:pPr>
            <w:r>
              <w:rPr>
                <w:rFonts w:hint="eastAsia" w:ascii="宋体" w:hAnsi="宋体" w:eastAsia="宋体" w:cs="宋体"/>
                <w:b w:val="0"/>
                <w:bCs w:val="0"/>
                <w:color w:val="auto"/>
                <w:kern w:val="0"/>
                <w:sz w:val="24"/>
                <w:highlight w:val="none"/>
                <w:lang w:val="en-US" w:eastAsia="zh-CN" w:bidi="ar"/>
              </w:rPr>
              <w:t>核心产品：</w:t>
            </w:r>
            <w:r>
              <w:rPr>
                <w:rFonts w:hint="eastAsia" w:ascii="宋体" w:hAnsi="宋体" w:eastAsia="宋体" w:cs="宋体"/>
                <w:i w:val="0"/>
                <w:iCs w:val="0"/>
                <w:color w:val="000000"/>
                <w:kern w:val="0"/>
                <w:sz w:val="24"/>
                <w:szCs w:val="24"/>
                <w:highlight w:val="none"/>
                <w:u w:val="none"/>
                <w:lang w:val="en-US" w:eastAsia="zh-CN" w:bidi="ar"/>
              </w:rPr>
              <w:t>猪前腿</w:t>
            </w:r>
          </w:p>
        </w:tc>
      </w:tr>
      <w:tr w14:paraId="6AAE163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502" w:type="pct"/>
            <w:tcBorders>
              <w:tl2br w:val="nil"/>
              <w:tr2bl w:val="nil"/>
            </w:tcBorders>
            <w:vAlign w:val="center"/>
          </w:tcPr>
          <w:p w14:paraId="78C4E50D">
            <w:pPr>
              <w:widowControl/>
              <w:adjustRightInd w:val="0"/>
              <w:snapToGrid w:val="0"/>
              <w:spacing w:line="440" w:lineRule="exact"/>
              <w:jc w:val="center"/>
              <w:rPr>
                <w:rFonts w:hint="eastAsia" w:ascii="宋体" w:hAnsi="宋体" w:eastAsia="宋体" w:cs="宋体"/>
                <w:color w:val="0000FF"/>
                <w:kern w:val="0"/>
                <w:sz w:val="24"/>
                <w:highlight w:val="none"/>
                <w:lang w:val="en-US" w:eastAsia="zh-CN" w:bidi="ar"/>
              </w:rPr>
            </w:pPr>
          </w:p>
        </w:tc>
        <w:tc>
          <w:tcPr>
            <w:tcW w:w="4497" w:type="pct"/>
            <w:tcBorders>
              <w:tl2br w:val="nil"/>
              <w:tr2bl w:val="nil"/>
            </w:tcBorders>
            <w:vAlign w:val="center"/>
          </w:tcPr>
          <w:p w14:paraId="3A06B6CE">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val="0"/>
                <w:bCs w:val="0"/>
                <w:color w:val="auto"/>
                <w:kern w:val="0"/>
                <w:sz w:val="24"/>
                <w:highlight w:val="none"/>
                <w:lang w:val="en-US" w:eastAsia="zh-CN" w:bidi="ar"/>
              </w:rPr>
            </w:pPr>
            <w:r>
              <w:rPr>
                <w:rFonts w:hint="eastAsia" w:ascii="宋体" w:hAnsi="宋体" w:eastAsia="宋体" w:cs="宋体"/>
                <w:b w:val="0"/>
                <w:bCs w:val="0"/>
                <w:color w:val="auto"/>
                <w:kern w:val="0"/>
                <w:sz w:val="24"/>
                <w:highlight w:val="none"/>
                <w:lang w:val="en-US" w:eastAsia="zh-CN" w:bidi="ar"/>
              </w:rPr>
              <w:t>供货地点：</w:t>
            </w:r>
            <w:r>
              <w:rPr>
                <w:rFonts w:hint="eastAsia" w:ascii="宋体" w:hAnsi="宋体" w:eastAsia="宋体" w:cs="宋体"/>
                <w:bCs/>
                <w:kern w:val="0"/>
                <w:sz w:val="24"/>
                <w:szCs w:val="24"/>
                <w:highlight w:val="none"/>
              </w:rPr>
              <w:t>甲方指定地点。</w:t>
            </w:r>
          </w:p>
        </w:tc>
      </w:tr>
      <w:tr w14:paraId="1C05E19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502" w:type="pct"/>
            <w:tcBorders>
              <w:tl2br w:val="nil"/>
              <w:tr2bl w:val="nil"/>
            </w:tcBorders>
            <w:vAlign w:val="center"/>
          </w:tcPr>
          <w:p w14:paraId="03FE7B68">
            <w:pPr>
              <w:widowControl/>
              <w:adjustRightInd w:val="0"/>
              <w:snapToGrid w:val="0"/>
              <w:spacing w:line="440" w:lineRule="exact"/>
              <w:jc w:val="center"/>
              <w:rPr>
                <w:rFonts w:hint="eastAsia" w:ascii="宋体" w:hAnsi="宋体" w:eastAsia="宋体" w:cs="宋体"/>
                <w:color w:val="0000FF"/>
                <w:kern w:val="0"/>
                <w:sz w:val="24"/>
                <w:szCs w:val="24"/>
                <w:highlight w:val="none"/>
                <w:lang w:val="en-US" w:eastAsia="zh-CN" w:bidi="ar"/>
              </w:rPr>
            </w:pPr>
          </w:p>
        </w:tc>
        <w:tc>
          <w:tcPr>
            <w:tcW w:w="4497" w:type="pct"/>
            <w:tcBorders>
              <w:tl2br w:val="nil"/>
              <w:tr2bl w:val="nil"/>
            </w:tcBorders>
            <w:vAlign w:val="center"/>
          </w:tcPr>
          <w:p w14:paraId="712C7FE6">
            <w:pPr>
              <w:spacing w:line="240" w:lineRule="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sz w:val="24"/>
                <w:szCs w:val="24"/>
                <w:highlight w:val="none"/>
              </w:rPr>
              <w:t>合同履行期限：</w:t>
            </w:r>
            <w:r>
              <w:rPr>
                <w:rFonts w:hint="eastAsia" w:ascii="宋体" w:hAnsi="宋体" w:eastAsia="宋体" w:cs="宋体"/>
                <w:sz w:val="24"/>
                <w:szCs w:val="24"/>
                <w:highlight w:val="none"/>
                <w:lang w:val="en-US" w:eastAsia="zh-CN"/>
              </w:rPr>
              <w:t>1年</w:t>
            </w:r>
          </w:p>
        </w:tc>
      </w:tr>
      <w:tr w14:paraId="5DA04C3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502" w:type="pct"/>
            <w:tcBorders>
              <w:tl2br w:val="nil"/>
              <w:tr2bl w:val="nil"/>
            </w:tcBorders>
            <w:vAlign w:val="center"/>
          </w:tcPr>
          <w:p w14:paraId="76818E4A">
            <w:pPr>
              <w:widowControl/>
              <w:adjustRightInd w:val="0"/>
              <w:snapToGrid w:val="0"/>
              <w:spacing w:line="440" w:lineRule="exact"/>
              <w:jc w:val="center"/>
              <w:rPr>
                <w:rFonts w:hint="eastAsia" w:ascii="宋体" w:hAnsi="宋体" w:eastAsia="宋体" w:cs="宋体"/>
                <w:color w:val="0000FF"/>
                <w:kern w:val="0"/>
                <w:sz w:val="24"/>
                <w:szCs w:val="24"/>
                <w:highlight w:val="none"/>
                <w:lang w:val="en-US" w:eastAsia="zh-CN" w:bidi="ar"/>
              </w:rPr>
            </w:pPr>
          </w:p>
        </w:tc>
        <w:tc>
          <w:tcPr>
            <w:tcW w:w="4497" w:type="pct"/>
            <w:tcBorders>
              <w:tl2br w:val="nil"/>
              <w:tr2bl w:val="nil"/>
            </w:tcBorders>
            <w:vAlign w:val="center"/>
          </w:tcPr>
          <w:p w14:paraId="492109F4">
            <w:pPr>
              <w:keepNext w:val="0"/>
              <w:keepLines w:val="0"/>
              <w:pageBreakBefore w:val="0"/>
              <w:kinsoku/>
              <w:wordWrap/>
              <w:overflowPunct w:val="0"/>
              <w:topLinePunct w:val="0"/>
              <w:autoSpaceDE/>
              <w:autoSpaceDN/>
              <w:bidi w:val="0"/>
              <w:spacing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付款方式及币种</w:t>
            </w:r>
            <w:r>
              <w:rPr>
                <w:rFonts w:hint="eastAsia" w:ascii="宋体" w:hAnsi="宋体" w:eastAsia="宋体" w:cs="宋体"/>
                <w:color w:val="auto"/>
                <w:sz w:val="24"/>
                <w:szCs w:val="24"/>
                <w:highlight w:val="none"/>
                <w:lang w:eastAsia="zh-CN"/>
              </w:rPr>
              <w:t>：</w:t>
            </w:r>
          </w:p>
          <w:p w14:paraId="6E27381D">
            <w:pPr>
              <w:keepNext w:val="0"/>
              <w:keepLines w:val="0"/>
              <w:pageBreakBefore w:val="0"/>
              <w:kinsoku/>
              <w:wordWrap/>
              <w:overflowPunct w:val="0"/>
              <w:topLinePunct w:val="0"/>
              <w:autoSpaceDE/>
              <w:autoSpaceDN/>
              <w:bidi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付款币种</w:t>
            </w:r>
          </w:p>
          <w:p w14:paraId="192F01BE">
            <w:pPr>
              <w:keepNext w:val="0"/>
              <w:keepLines w:val="0"/>
              <w:pageBreakBefore w:val="0"/>
              <w:kinsoku/>
              <w:wordWrap/>
              <w:overflowPunct w:val="0"/>
              <w:topLinePunct w:val="0"/>
              <w:autoSpaceDE/>
              <w:autoSpaceDN/>
              <w:bidi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本次招标所述的项目资金均以人民币支付。</w:t>
            </w:r>
          </w:p>
          <w:p w14:paraId="5CDDB188">
            <w:pPr>
              <w:keepNext w:val="0"/>
              <w:keepLines w:val="0"/>
              <w:pageBreakBefore w:val="0"/>
              <w:kinsoku/>
              <w:wordWrap/>
              <w:topLinePunct w:val="0"/>
              <w:autoSpaceDE/>
              <w:autoSpaceDN/>
              <w:bidi w:val="0"/>
              <w:spacing w:line="360" w:lineRule="auto"/>
              <w:textAlignment w:val="auto"/>
              <w:rPr>
                <w:rFonts w:hint="eastAsia" w:ascii="宋体" w:hAnsi="宋体" w:eastAsia="宋体" w:cs="宋体"/>
                <w:b w:val="0"/>
                <w:bCs w:val="0"/>
                <w:color w:val="auto"/>
                <w:kern w:val="0"/>
                <w:sz w:val="24"/>
                <w:highlight w:val="none"/>
                <w:lang w:val="en-US" w:eastAsia="zh-CN" w:bidi="ar"/>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付款方式：最终付款方式以和甲方单位签订合同为准。</w:t>
            </w:r>
          </w:p>
        </w:tc>
      </w:tr>
      <w:tr w14:paraId="6F6A069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502" w:type="pct"/>
            <w:tcBorders>
              <w:tl2br w:val="nil"/>
              <w:tr2bl w:val="nil"/>
            </w:tcBorders>
            <w:vAlign w:val="center"/>
          </w:tcPr>
          <w:p w14:paraId="0B7542EA">
            <w:pPr>
              <w:widowControl/>
              <w:adjustRightInd w:val="0"/>
              <w:snapToGrid w:val="0"/>
              <w:spacing w:line="440" w:lineRule="exact"/>
              <w:jc w:val="center"/>
              <w:rPr>
                <w:rFonts w:hint="eastAsia" w:ascii="宋体" w:hAnsi="宋体" w:eastAsia="宋体" w:cs="宋体"/>
                <w:color w:val="0000FF"/>
                <w:kern w:val="0"/>
                <w:sz w:val="24"/>
                <w:szCs w:val="24"/>
                <w:highlight w:val="none"/>
                <w:lang w:val="en-US" w:eastAsia="zh-CN" w:bidi="ar"/>
              </w:rPr>
            </w:pPr>
          </w:p>
        </w:tc>
        <w:tc>
          <w:tcPr>
            <w:tcW w:w="4497" w:type="pct"/>
            <w:tcBorders>
              <w:tl2br w:val="nil"/>
              <w:tr2bl w:val="nil"/>
            </w:tcBorders>
            <w:vAlign w:val="center"/>
          </w:tcPr>
          <w:p w14:paraId="6221A471">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val="0"/>
                <w:color w:val="000000" w:themeColor="text1"/>
                <w:kern w:val="0"/>
                <w:sz w:val="24"/>
                <w:highlight w:val="no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highlight w:val="none"/>
                <w:lang w:val="en-US" w:eastAsia="zh-CN" w:bidi="ar"/>
                <w14:textFill>
                  <w14:solidFill>
                    <w14:schemeClr w14:val="tx1"/>
                  </w14:solidFill>
                </w14:textFill>
              </w:rPr>
              <w:t>履约保证金： ☑需要缴纳  □不需要缴纳1.金额：供应商在签订合同后，按采购预算金额的10%向甲方一次性甲方缴纳。2.支付方式：投标人可自主选择以支票、汇票、本票、电汇、转账、网银、保函等非现金形式缴纳或提交保证。</w:t>
            </w:r>
          </w:p>
        </w:tc>
      </w:tr>
      <w:tr w14:paraId="6EE36A9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502" w:type="pct"/>
            <w:tcBorders>
              <w:tl2br w:val="nil"/>
              <w:tr2bl w:val="nil"/>
            </w:tcBorders>
            <w:vAlign w:val="center"/>
          </w:tcPr>
          <w:p w14:paraId="531CFB5F">
            <w:pPr>
              <w:widowControl/>
              <w:adjustRightInd w:val="0"/>
              <w:snapToGrid w:val="0"/>
              <w:spacing w:line="440" w:lineRule="exact"/>
              <w:jc w:val="center"/>
              <w:rPr>
                <w:rFonts w:hint="eastAsia" w:ascii="宋体" w:hAnsi="宋体" w:eastAsia="宋体" w:cs="宋体"/>
                <w:color w:val="0000FF"/>
                <w:kern w:val="0"/>
                <w:sz w:val="24"/>
                <w:szCs w:val="24"/>
                <w:highlight w:val="none"/>
                <w:lang w:val="en-US" w:eastAsia="zh-CN" w:bidi="ar"/>
              </w:rPr>
            </w:pPr>
          </w:p>
        </w:tc>
        <w:tc>
          <w:tcPr>
            <w:tcW w:w="4497" w:type="pct"/>
            <w:tcBorders>
              <w:tl2br w:val="nil"/>
              <w:tr2bl w:val="nil"/>
            </w:tcBorders>
            <w:vAlign w:val="center"/>
          </w:tcPr>
          <w:p w14:paraId="64759DD5">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val="0"/>
                <w:color w:val="000000" w:themeColor="text1"/>
                <w:kern w:val="0"/>
                <w:sz w:val="24"/>
                <w:highlight w:val="no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highlight w:val="none"/>
                <w:lang w:val="en-US" w:eastAsia="zh-CN" w:bidi="ar"/>
                <w14:textFill>
                  <w14:solidFill>
                    <w14:schemeClr w14:val="tx1"/>
                  </w14:solidFill>
                </w14:textFill>
              </w:rPr>
              <w:t>公告发布媒介：政采云（https://www.zcygov.cn/）</w:t>
            </w:r>
          </w:p>
        </w:tc>
      </w:tr>
      <w:tr w14:paraId="5C86115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965" w:type="dxa"/>
            <w:tcBorders>
              <w:tl2br w:val="nil"/>
              <w:tr2bl w:val="nil"/>
            </w:tcBorders>
            <w:vAlign w:val="center"/>
          </w:tcPr>
          <w:p w14:paraId="647A945F">
            <w:pPr>
              <w:pStyle w:val="77"/>
              <w:spacing w:before="282" w:line="360" w:lineRule="auto"/>
              <w:ind w:left="-107" w:leftChars="-51" w:right="-108" w:rightChars="0"/>
              <w:jc w:val="center"/>
              <w:rPr>
                <w:rFonts w:hint="eastAsia" w:ascii="宋体" w:hAnsi="宋体" w:eastAsia="宋体" w:cs="宋体"/>
                <w:color w:val="0000FF"/>
                <w:kern w:val="0"/>
                <w:sz w:val="24"/>
                <w:szCs w:val="24"/>
                <w:highlight w:val="none"/>
                <w:lang w:val="en-US" w:eastAsia="zh-CN" w:bidi="ar"/>
              </w:rPr>
            </w:pPr>
          </w:p>
        </w:tc>
        <w:tc>
          <w:tcPr>
            <w:tcW w:w="8644" w:type="dxa"/>
            <w:tcBorders>
              <w:tl2br w:val="nil"/>
              <w:tr2bl w:val="nil"/>
            </w:tcBorders>
            <w:vAlign w:val="center"/>
          </w:tcPr>
          <w:p w14:paraId="60CFFDB8">
            <w:pPr>
              <w:pStyle w:val="77"/>
              <w:spacing w:before="28" w:line="360" w:lineRule="auto"/>
              <w:jc w:val="both"/>
              <w:rPr>
                <w:b/>
                <w:bCs/>
                <w:color w:val="auto"/>
                <w:highlight w:val="none"/>
                <w:lang w:eastAsia="zh-CN"/>
              </w:rPr>
            </w:pPr>
            <w:r>
              <w:rPr>
                <w:rFonts w:hint="eastAsia"/>
                <w:b/>
                <w:bCs/>
                <w:color w:val="auto"/>
                <w:highlight w:val="none"/>
                <w:lang w:eastAsia="zh-CN"/>
              </w:rPr>
              <w:t>1、合同履约期限：一年</w:t>
            </w:r>
          </w:p>
          <w:p w14:paraId="20A68337">
            <w:pPr>
              <w:pStyle w:val="77"/>
              <w:spacing w:before="28" w:line="360" w:lineRule="auto"/>
              <w:jc w:val="both"/>
              <w:rPr>
                <w:rFonts w:hint="eastAsia"/>
                <w:color w:val="auto"/>
                <w:highlight w:val="none"/>
                <w:lang w:eastAsia="zh-CN"/>
              </w:rPr>
            </w:pPr>
            <w:r>
              <w:rPr>
                <w:rFonts w:hint="eastAsia"/>
                <w:b/>
                <w:bCs/>
                <w:color w:val="auto"/>
                <w:highlight w:val="none"/>
                <w:lang w:eastAsia="zh-CN"/>
              </w:rPr>
              <w:t>2、供货地点：</w:t>
            </w:r>
            <w:r>
              <w:rPr>
                <w:rFonts w:hint="eastAsia"/>
                <w:highlight w:val="none"/>
                <w:lang w:eastAsia="zh-CN"/>
              </w:rPr>
              <w:t>甲方指定地点</w:t>
            </w:r>
            <w:r>
              <w:rPr>
                <w:rFonts w:hint="eastAsia"/>
                <w:color w:val="auto"/>
                <w:highlight w:val="none"/>
                <w:lang w:eastAsia="zh-CN"/>
              </w:rPr>
              <w:t>。</w:t>
            </w:r>
          </w:p>
          <w:p w14:paraId="53BAFFD9">
            <w:pPr>
              <w:pStyle w:val="77"/>
              <w:spacing w:before="28" w:line="360" w:lineRule="auto"/>
              <w:jc w:val="both"/>
              <w:rPr>
                <w:rFonts w:hint="eastAsia"/>
                <w:color w:val="auto"/>
                <w:highlight w:val="none"/>
                <w:lang w:val="en-US" w:eastAsia="zh-CN"/>
              </w:rPr>
            </w:pPr>
            <w:r>
              <w:rPr>
                <w:rFonts w:hint="eastAsia"/>
                <w:color w:val="auto"/>
                <w:highlight w:val="none"/>
                <w:lang w:val="en-US" w:eastAsia="zh-CN"/>
              </w:rPr>
              <w:t>3、质保期：按招标文件要求。</w:t>
            </w:r>
          </w:p>
          <w:p w14:paraId="50DCCC2B">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本项目共分为8个标包，分别为：</w:t>
            </w:r>
          </w:p>
          <w:p w14:paraId="77AA4492">
            <w:pPr>
              <w:spacing w:line="360" w:lineRule="auto"/>
              <w:rPr>
                <w:rFonts w:hint="default"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标包一：米面油类</w:t>
            </w:r>
          </w:p>
          <w:p w14:paraId="104DA547">
            <w:pPr>
              <w:spacing w:line="360" w:lineRule="auto"/>
              <w:rPr>
                <w:rFonts w:hint="default"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标包二：牛羊肉类</w:t>
            </w:r>
          </w:p>
          <w:p w14:paraId="7F533AB3">
            <w:pPr>
              <w:spacing w:line="360" w:lineRule="auto"/>
              <w:rPr>
                <w:rFonts w:hint="default"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标包三：禽鱼肉（鸡鸭鹅鱼）类</w:t>
            </w:r>
          </w:p>
          <w:p w14:paraId="7D3604C6">
            <w:pPr>
              <w:spacing w:line="360" w:lineRule="auto"/>
              <w:rPr>
                <w:rFonts w:hint="default"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标包四：猪肉类</w:t>
            </w:r>
          </w:p>
          <w:p w14:paraId="708B34D9">
            <w:pPr>
              <w:spacing w:line="360" w:lineRule="auto"/>
              <w:rPr>
                <w:rFonts w:hint="default"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标包五：乳制品类</w:t>
            </w:r>
          </w:p>
          <w:p w14:paraId="29D605A9">
            <w:pPr>
              <w:spacing w:line="360" w:lineRule="auto"/>
              <w:rPr>
                <w:rFonts w:hint="default"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标包六：水果类</w:t>
            </w:r>
          </w:p>
          <w:p w14:paraId="25EF4130">
            <w:pPr>
              <w:spacing w:line="360" w:lineRule="auto"/>
              <w:rPr>
                <w:rFonts w:hint="default"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标包七：蔬菜、鸡蛋类</w:t>
            </w:r>
          </w:p>
          <w:p w14:paraId="17A1E281">
            <w:pPr>
              <w:spacing w:line="360" w:lineRule="auto"/>
              <w:rPr>
                <w:rFonts w:hint="default"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标包八：副食杂支类</w:t>
            </w:r>
          </w:p>
          <w:p w14:paraId="5505084E">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开标顺序为：具体根据采购人开标标包顺序依次确定。</w:t>
            </w:r>
          </w:p>
          <w:p w14:paraId="21AB3859">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评标顺序为：具体根据采购人开标标包顺序依次确定。</w:t>
            </w:r>
          </w:p>
          <w:p w14:paraId="3D55F227">
            <w:pPr>
              <w:spacing w:line="360" w:lineRule="auto"/>
              <w:rPr>
                <w:rFonts w:hint="eastAsia" w:ascii="宋体" w:hAnsi="宋体" w:eastAsia="宋体" w:cs="宋体"/>
                <w:b w:val="0"/>
                <w:bCs w:val="0"/>
                <w:color w:val="000000" w:themeColor="text1"/>
                <w:kern w:val="0"/>
                <w:sz w:val="24"/>
                <w:highlight w:val="none"/>
                <w:lang w:val="en-US" w:eastAsia="zh-CN" w:bidi="ar"/>
                <w14:textFill>
                  <w14:solidFill>
                    <w14:schemeClr w14:val="tx1"/>
                  </w14:solidFill>
                </w14:textFill>
              </w:rPr>
            </w:pPr>
            <w:r>
              <w:rPr>
                <w:rFonts w:hint="eastAsia" w:ascii="宋体" w:hAnsi="宋体" w:eastAsia="宋体" w:cs="宋体"/>
                <w:sz w:val="24"/>
                <w:szCs w:val="24"/>
                <w:highlight w:val="none"/>
                <w:lang w:val="en-US" w:eastAsia="zh-CN"/>
              </w:rPr>
              <w:t>供应商可兼投不能兼中，如供应商在前续标包中被推荐为第一中标候选人，则在后续标包中不能被推荐为中标候选人。</w:t>
            </w:r>
          </w:p>
        </w:tc>
      </w:tr>
      <w:tr w14:paraId="3274F3B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985" w:hRule="atLeast"/>
        </w:trPr>
        <w:tc>
          <w:tcPr>
            <w:tcW w:w="5000" w:type="pct"/>
            <w:gridSpan w:val="2"/>
            <w:tcBorders>
              <w:tl2br w:val="nil"/>
              <w:tr2bl w:val="nil"/>
            </w:tcBorders>
          </w:tcPr>
          <w:p w14:paraId="7AFA4346">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备注：</w:t>
            </w:r>
          </w:p>
          <w:p w14:paraId="0102A53F">
            <w:pPr>
              <w:keepNext w:val="0"/>
              <w:keepLines w:val="0"/>
              <w:pageBreakBefore w:val="0"/>
              <w:widowControl/>
              <w:suppressLineNumbers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供应商参与本项目电子交易活动前，应注册成为政采云平台供应商。编制电子响应文件前还需申领CA证书并绑定帐号。供应商应充分考虑完成平台注册、申领CA证书等所需的时间。因未注册入库、未办理CA数字证书等原因造成无法投标或投标失败等后果由供应商自行承担。</w:t>
            </w:r>
          </w:p>
          <w:p w14:paraId="3C6D9C33">
            <w:pPr>
              <w:keepNext w:val="0"/>
              <w:keepLines w:val="0"/>
              <w:pageBreakBefore w:val="0"/>
              <w:widowControl/>
              <w:suppressLineNumbers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2.供应商将政采云平台电子交易客户端下载、安装完成后，可通过账号密码或CA登录客户端进行响应文件的制作及上传。在使用政采云平台投标客户端时，建议使用WIN7及以上操作系统。客户端请至新疆政府采购网（http://www.ccgp-xinjiang.gov.cn/）下载专区查看，如有问题可拨打政采云客户服务热线95763进行咨询。</w:t>
            </w:r>
          </w:p>
          <w:p w14:paraId="53A18EAD">
            <w:pPr>
              <w:keepNext w:val="0"/>
              <w:keepLines w:val="0"/>
              <w:pageBreakBefore w:val="0"/>
              <w:widowControl/>
              <w:suppressLineNumbers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val="en-US" w:eastAsia="zh-CN" w:bidi="ar"/>
              </w:rPr>
              <w:t>3.当出现下列情形之一，投标文件将予以退回：</w:t>
            </w:r>
          </w:p>
          <w:p w14:paraId="771B26CC">
            <w:pPr>
              <w:pStyle w:val="44"/>
              <w:keepNext w:val="0"/>
              <w:keepLines w:val="0"/>
              <w:pageBreakBefore w:val="0"/>
              <w:widowControl w:val="0"/>
              <w:kinsoku/>
              <w:wordWrap/>
              <w:overflowPunct/>
              <w:topLinePunct w:val="0"/>
              <w:autoSpaceDE/>
              <w:autoSpaceDN/>
              <w:bidi w:val="0"/>
              <w:adjustRightInd w:val="0"/>
              <w:snapToGrid w:val="0"/>
              <w:spacing w:before="0" w:after="0" w:line="360" w:lineRule="auto"/>
              <w:ind w:firstLine="520" w:firstLineChars="200"/>
              <w:textAlignment w:val="auto"/>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val="en-US" w:eastAsia="zh-CN" w:bidi="ar"/>
              </w:rPr>
              <w:t xml:space="preserve">（1）投标供应商在投标文件递交截止时间前未成功上传加 密电子投标文件； </w:t>
            </w:r>
          </w:p>
          <w:p w14:paraId="569A2478">
            <w:pPr>
              <w:pStyle w:val="44"/>
              <w:keepNext w:val="0"/>
              <w:keepLines w:val="0"/>
              <w:pageBreakBefore w:val="0"/>
              <w:widowControl w:val="0"/>
              <w:kinsoku/>
              <w:wordWrap/>
              <w:overflowPunct/>
              <w:topLinePunct w:val="0"/>
              <w:autoSpaceDE/>
              <w:autoSpaceDN/>
              <w:bidi w:val="0"/>
              <w:adjustRightInd w:val="0"/>
              <w:snapToGrid w:val="0"/>
              <w:spacing w:before="0" w:after="0" w:line="360" w:lineRule="auto"/>
              <w:ind w:firstLine="520" w:firstLineChars="200"/>
              <w:textAlignment w:val="auto"/>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val="en-US" w:eastAsia="zh-CN" w:bidi="ar"/>
              </w:rPr>
              <w:t xml:space="preserve">（2）投标供应商使用解密的CA数字证书与上传加密投标文 件使用的CA数字证书不一致； </w:t>
            </w:r>
          </w:p>
          <w:p w14:paraId="4C37BDD1">
            <w:pPr>
              <w:pStyle w:val="44"/>
              <w:keepNext w:val="0"/>
              <w:keepLines w:val="0"/>
              <w:pageBreakBefore w:val="0"/>
              <w:widowControl w:val="0"/>
              <w:kinsoku/>
              <w:wordWrap/>
              <w:overflowPunct/>
              <w:topLinePunct w:val="0"/>
              <w:autoSpaceDE/>
              <w:autoSpaceDN/>
              <w:bidi w:val="0"/>
              <w:adjustRightInd w:val="0"/>
              <w:snapToGrid w:val="0"/>
              <w:spacing w:before="0" w:after="0" w:line="360" w:lineRule="auto"/>
              <w:ind w:firstLine="520" w:firstLineChars="200"/>
              <w:textAlignment w:val="auto"/>
              <w:rPr>
                <w:rFonts w:hint="eastAsia" w:ascii="宋体" w:hAnsi="宋体" w:eastAsia="宋体" w:cs="宋体"/>
                <w:sz w:val="24"/>
                <w:szCs w:val="24"/>
                <w:highlight w:val="none"/>
                <w:lang w:val="en-US" w:eastAsia="zh-CN" w:bidi="ar"/>
              </w:rPr>
            </w:pPr>
            <w:r>
              <w:rPr>
                <w:rFonts w:hint="eastAsia" w:ascii="宋体" w:hAnsi="宋体" w:eastAsia="宋体" w:cs="宋体"/>
                <w:sz w:val="24"/>
                <w:szCs w:val="24"/>
                <w:highlight w:val="none"/>
                <w:lang w:val="en-US" w:eastAsia="zh-CN" w:bidi="ar"/>
              </w:rPr>
              <w:t>（3）投标供应商解密时CA数字证书已过期，导致无法正常解密；</w:t>
            </w:r>
          </w:p>
          <w:p w14:paraId="5B84FE6C">
            <w:pPr>
              <w:pStyle w:val="44"/>
              <w:keepNext w:val="0"/>
              <w:keepLines w:val="0"/>
              <w:pageBreakBefore w:val="0"/>
              <w:widowControl w:val="0"/>
              <w:kinsoku/>
              <w:wordWrap/>
              <w:overflowPunct/>
              <w:topLinePunct w:val="0"/>
              <w:autoSpaceDE/>
              <w:autoSpaceDN/>
              <w:bidi w:val="0"/>
              <w:adjustRightInd w:val="0"/>
              <w:snapToGrid w:val="0"/>
              <w:spacing w:before="0" w:after="0" w:line="360" w:lineRule="auto"/>
              <w:ind w:firstLine="520" w:firstLineChars="200"/>
              <w:textAlignment w:val="auto"/>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val="en-US" w:eastAsia="zh-CN" w:bidi="ar"/>
              </w:rPr>
              <w:t xml:space="preserve">（4）加密投标文件时，CA数字证书未过期，解密时，显示CA数字证书已过期，导致无法正常解密； </w:t>
            </w:r>
          </w:p>
          <w:p w14:paraId="5CE83E3E">
            <w:pPr>
              <w:pStyle w:val="44"/>
              <w:keepNext w:val="0"/>
              <w:keepLines w:val="0"/>
              <w:pageBreakBefore w:val="0"/>
              <w:widowControl w:val="0"/>
              <w:kinsoku/>
              <w:wordWrap/>
              <w:overflowPunct/>
              <w:topLinePunct w:val="0"/>
              <w:autoSpaceDE/>
              <w:autoSpaceDN/>
              <w:bidi w:val="0"/>
              <w:adjustRightInd w:val="0"/>
              <w:snapToGrid w:val="0"/>
              <w:spacing w:before="0" w:after="0" w:line="360" w:lineRule="auto"/>
              <w:ind w:firstLine="520" w:firstLineChars="200"/>
              <w:textAlignment w:val="auto"/>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val="en-US" w:eastAsia="zh-CN" w:bidi="ar"/>
              </w:rPr>
              <w:t xml:space="preserve">（5）未在规定的投标文件解密时间内进行解密的； </w:t>
            </w:r>
          </w:p>
          <w:p w14:paraId="4B133F73">
            <w:pPr>
              <w:pStyle w:val="44"/>
              <w:keepNext w:val="0"/>
              <w:keepLines w:val="0"/>
              <w:pageBreakBefore w:val="0"/>
              <w:widowControl w:val="0"/>
              <w:kinsoku/>
              <w:wordWrap/>
              <w:overflowPunct/>
              <w:topLinePunct w:val="0"/>
              <w:autoSpaceDE/>
              <w:autoSpaceDN/>
              <w:bidi w:val="0"/>
              <w:adjustRightInd w:val="0"/>
              <w:snapToGrid w:val="0"/>
              <w:spacing w:before="0" w:after="0" w:line="360" w:lineRule="auto"/>
              <w:ind w:firstLine="520" w:firstLineChars="200"/>
              <w:textAlignment w:val="auto"/>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val="en-US" w:eastAsia="zh-CN" w:bidi="ar"/>
              </w:rPr>
              <w:t xml:space="preserve">（6）投标供应商个人原因导致无法解密的其他情形。 </w:t>
            </w:r>
          </w:p>
          <w:p w14:paraId="3502B6EA">
            <w:pPr>
              <w:pStyle w:val="44"/>
              <w:keepNext w:val="0"/>
              <w:keepLines w:val="0"/>
              <w:pageBreakBefore w:val="0"/>
              <w:widowControl w:val="0"/>
              <w:kinsoku/>
              <w:wordWrap/>
              <w:overflowPunct/>
              <w:topLinePunct w:val="0"/>
              <w:autoSpaceDE/>
              <w:autoSpaceDN/>
              <w:bidi w:val="0"/>
              <w:adjustRightInd w:val="0"/>
              <w:snapToGrid w:val="0"/>
              <w:spacing w:before="0" w:after="0" w:line="360" w:lineRule="auto"/>
              <w:ind w:firstLine="520" w:firstLineChars="200"/>
              <w:textAlignment w:val="auto"/>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val="en-US" w:eastAsia="zh-CN" w:bidi="ar"/>
              </w:rPr>
              <w:t>4</w:t>
            </w:r>
            <w:r>
              <w:rPr>
                <w:rFonts w:hint="eastAsia" w:ascii="宋体" w:hAnsi="宋体" w:cs="宋体"/>
                <w:sz w:val="24"/>
                <w:szCs w:val="24"/>
                <w:highlight w:val="none"/>
                <w:lang w:val="en-US" w:eastAsia="zh-CN" w:bidi="ar"/>
              </w:rPr>
              <w:t>.</w:t>
            </w:r>
            <w:r>
              <w:rPr>
                <w:rFonts w:hint="eastAsia" w:ascii="宋体" w:hAnsi="宋体" w:eastAsia="宋体" w:cs="宋体"/>
                <w:sz w:val="24"/>
                <w:szCs w:val="24"/>
                <w:highlight w:val="none"/>
                <w:lang w:val="en-US" w:eastAsia="zh-CN" w:bidi="ar"/>
              </w:rPr>
              <w:t xml:space="preserve">投标供应商应在投标截止时间前将投标时使用的计算机安装相关的浏览器（推荐使用谷歌浏览器）、CA驱动等软件，方便投标文件解密时能够正常解密。投标供应商需在投标截止时间前自行测试开标时使用的计算机，如因投标供应商自身原因导致投标文件解密失败的，由投标供应商自行承担相应后果。 </w:t>
            </w:r>
          </w:p>
          <w:p w14:paraId="22CDA0DC">
            <w:pPr>
              <w:keepNext w:val="0"/>
              <w:keepLines w:val="0"/>
              <w:pageBreakBefore w:val="0"/>
              <w:widowControl/>
              <w:suppressLineNumbers w:val="0"/>
              <w:kinsoku/>
              <w:wordWrap/>
              <w:overflowPunct/>
              <w:topLinePunct w:val="0"/>
              <w:autoSpaceDE/>
              <w:autoSpaceDN/>
              <w:bidi w:val="0"/>
              <w:spacing w:line="360" w:lineRule="auto"/>
              <w:ind w:firstLine="482" w:firstLineChars="200"/>
              <w:jc w:val="left"/>
              <w:textAlignment w:val="auto"/>
              <w:rPr>
                <w:rFonts w:hint="eastAsia" w:ascii="宋体" w:hAnsi="宋体" w:eastAsia="宋体" w:cs="宋体"/>
                <w:b/>
                <w:bCs/>
                <w:sz w:val="24"/>
                <w:szCs w:val="24"/>
                <w:highlight w:val="none"/>
                <w:lang w:val="en-US" w:eastAsia="zh-CN" w:bidi="ar"/>
              </w:rPr>
            </w:pPr>
            <w:r>
              <w:rPr>
                <w:rFonts w:hint="eastAsia" w:ascii="宋体" w:hAnsi="宋体" w:eastAsia="宋体" w:cs="宋体"/>
                <w:b/>
                <w:bCs w:val="0"/>
                <w:sz w:val="24"/>
                <w:szCs w:val="24"/>
                <w:highlight w:val="none"/>
                <w:lang w:val="en-US" w:eastAsia="zh-CN" w:bidi="ar"/>
              </w:rPr>
              <w:t>5.</w:t>
            </w:r>
            <w:r>
              <w:rPr>
                <w:rFonts w:hint="eastAsia" w:ascii="宋体" w:hAnsi="宋体" w:eastAsia="宋体" w:cs="宋体"/>
                <w:b/>
                <w:bCs w:val="0"/>
                <w:sz w:val="24"/>
                <w:szCs w:val="24"/>
                <w:highlight w:val="none"/>
                <w:lang w:bidi="ar"/>
              </w:rPr>
              <w:t>不见面开标默认解密时长：30分钟</w:t>
            </w:r>
            <w:r>
              <w:rPr>
                <w:rFonts w:hint="eastAsia" w:ascii="宋体" w:hAnsi="宋体" w:eastAsia="宋体" w:cs="宋体"/>
                <w:b/>
                <w:bCs w:val="0"/>
                <w:sz w:val="24"/>
                <w:szCs w:val="24"/>
                <w:highlight w:val="none"/>
                <w:lang w:eastAsia="zh-CN" w:bidi="ar"/>
              </w:rPr>
              <w:t>，</w:t>
            </w:r>
            <w:r>
              <w:rPr>
                <w:rFonts w:hint="eastAsia" w:ascii="宋体" w:hAnsi="宋体" w:eastAsia="宋体" w:cs="宋体"/>
                <w:b/>
                <w:bCs w:val="0"/>
                <w:sz w:val="24"/>
                <w:szCs w:val="24"/>
                <w:highlight w:val="none"/>
              </w:rPr>
              <w:t>关于能否延长解密时间的约定：否</w:t>
            </w:r>
          </w:p>
          <w:p w14:paraId="50374D04">
            <w:pPr>
              <w:keepNext w:val="0"/>
              <w:keepLines w:val="0"/>
              <w:pageBreakBefore w:val="0"/>
              <w:widowControl/>
              <w:suppressLineNumbers w:val="0"/>
              <w:kinsoku/>
              <w:wordWrap/>
              <w:overflowPunct/>
              <w:topLinePunct w:val="0"/>
              <w:autoSpaceDE/>
              <w:autoSpaceDN/>
              <w:bidi w:val="0"/>
              <w:spacing w:line="360" w:lineRule="auto"/>
              <w:ind w:firstLine="482" w:firstLineChars="200"/>
              <w:jc w:val="left"/>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bidi="ar"/>
              </w:rPr>
              <w:t>6.</w:t>
            </w:r>
            <w:r>
              <w:rPr>
                <w:rFonts w:hint="eastAsia" w:ascii="宋体" w:hAnsi="宋体" w:eastAsia="宋体" w:cs="宋体"/>
                <w:b/>
                <w:bCs/>
                <w:color w:val="000000"/>
                <w:kern w:val="0"/>
                <w:sz w:val="24"/>
                <w:szCs w:val="24"/>
                <w:highlight w:val="none"/>
                <w:lang w:val="en-US" w:eastAsia="zh-CN" w:bidi="ar"/>
              </w:rPr>
              <w:t>为保证本项目产品质量，良好的售后服务；最低报价不作为中标的唯一依据。投标人提供相同品牌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r>
              <w:rPr>
                <w:rFonts w:hint="eastAsia" w:ascii="宋体" w:hAnsi="宋体" w:eastAsia="宋体" w:cs="宋体"/>
                <w:color w:val="000000"/>
                <w:kern w:val="0"/>
                <w:sz w:val="24"/>
                <w:szCs w:val="24"/>
                <w:highlight w:val="none"/>
                <w:lang w:val="en-US" w:eastAsia="zh-CN" w:bidi="ar"/>
              </w:rPr>
              <w:t>对两家以上集成商或代理商使用相同制造商产品作为其项目包的一部分，且相同设备的价格总和均超过该项目包各自投标总价60%的，按一家投标人认定。</w:t>
            </w:r>
          </w:p>
          <w:p w14:paraId="0F873FFE">
            <w:pPr>
              <w:keepNext w:val="0"/>
              <w:keepLines w:val="0"/>
              <w:pageBreakBefore w:val="0"/>
              <w:widowControl/>
              <w:suppressLineNumbers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highlight w:val="none"/>
              </w:rPr>
            </w:pPr>
            <w:r>
              <w:rPr>
                <w:rFonts w:hint="eastAsia" w:ascii="宋体" w:hAnsi="宋体" w:eastAsia="宋体" w:cs="宋体"/>
                <w:color w:val="000000"/>
                <w:kern w:val="0"/>
                <w:sz w:val="24"/>
                <w:szCs w:val="24"/>
                <w:highlight w:val="none"/>
                <w:lang w:val="en-US" w:eastAsia="zh-CN" w:bidi="ar"/>
              </w:rPr>
              <w:t>投标人应认真阅读招标文件中的每一个条款及要求，因误读招标文件而造成的后果，招标人概不负责。</w:t>
            </w:r>
          </w:p>
        </w:tc>
      </w:tr>
    </w:tbl>
    <w:p w14:paraId="4840B83C">
      <w:pPr>
        <w:rPr>
          <w:rFonts w:hint="eastAsia" w:ascii="宋体" w:hAnsi="宋体" w:eastAsia="宋体" w:cs="宋体"/>
          <w:sz w:val="24"/>
          <w:highlight w:val="none"/>
        </w:rPr>
      </w:pPr>
      <w:r>
        <w:rPr>
          <w:rFonts w:hint="eastAsia" w:ascii="宋体" w:hAnsi="宋体" w:eastAsia="宋体" w:cs="宋体"/>
          <w:sz w:val="24"/>
          <w:highlight w:val="none"/>
        </w:rPr>
        <w:br w:type="page"/>
      </w:r>
    </w:p>
    <w:p w14:paraId="4DAB6DF6">
      <w:pPr>
        <w:pStyle w:val="2"/>
        <w:bidi w:val="0"/>
        <w:rPr>
          <w:rFonts w:hint="eastAsia" w:ascii="宋体" w:hAnsi="宋体" w:eastAsia="宋体" w:cs="宋体"/>
          <w:b/>
          <w:bCs/>
          <w:sz w:val="28"/>
          <w:szCs w:val="28"/>
          <w:highlight w:val="none"/>
        </w:rPr>
      </w:pPr>
      <w:bookmarkStart w:id="34" w:name="_Toc25513"/>
      <w:bookmarkStart w:id="35" w:name="_Toc236"/>
      <w:bookmarkStart w:id="36" w:name="_Toc27707"/>
      <w:r>
        <w:rPr>
          <w:rFonts w:hint="eastAsia" w:ascii="宋体" w:hAnsi="宋体" w:eastAsia="宋体" w:cs="宋体"/>
          <w:highlight w:val="none"/>
        </w:rPr>
        <w:t>第三章 投标人须知</w:t>
      </w:r>
      <w:bookmarkEnd w:id="34"/>
      <w:bookmarkEnd w:id="35"/>
      <w:bookmarkEnd w:id="36"/>
    </w:p>
    <w:p w14:paraId="0D321F89">
      <w:pPr>
        <w:pStyle w:val="3"/>
        <w:bidi w:val="0"/>
        <w:rPr>
          <w:rFonts w:hint="eastAsia" w:ascii="宋体" w:hAnsi="宋体" w:eastAsia="宋体" w:cs="宋体"/>
          <w:b/>
          <w:bCs/>
          <w:sz w:val="24"/>
          <w:highlight w:val="none"/>
        </w:rPr>
      </w:pPr>
      <w:bookmarkStart w:id="37" w:name="_Toc22142"/>
      <w:bookmarkStart w:id="38" w:name="_Toc11492"/>
      <w:r>
        <w:rPr>
          <w:rFonts w:hint="eastAsia" w:ascii="宋体" w:hAnsi="宋体" w:eastAsia="宋体" w:cs="宋体"/>
          <w:highlight w:val="none"/>
        </w:rPr>
        <w:t>一、说 明</w:t>
      </w:r>
      <w:bookmarkEnd w:id="37"/>
      <w:bookmarkEnd w:id="38"/>
    </w:p>
    <w:p w14:paraId="3120645B">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482" w:firstLineChars="200"/>
        <w:textAlignment w:val="auto"/>
        <w:rPr>
          <w:rFonts w:hint="eastAsia" w:ascii="宋体" w:hAnsi="宋体" w:eastAsia="宋体" w:cs="宋体"/>
          <w:b/>
          <w:bCs/>
          <w:sz w:val="24"/>
          <w:highlight w:val="none"/>
        </w:rPr>
      </w:pPr>
      <w:r>
        <w:rPr>
          <w:rFonts w:hint="eastAsia" w:ascii="宋体" w:hAnsi="宋体" w:eastAsia="宋体" w:cs="宋体"/>
          <w:b/>
          <w:bCs/>
          <w:sz w:val="24"/>
          <w:highlight w:val="none"/>
        </w:rPr>
        <w:t xml:space="preserve">1.  采购人、采购代理机构及投标人 </w:t>
      </w:r>
    </w:p>
    <w:p w14:paraId="49A4F05B">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1.1 采购人：是指依法进行政府采购的国家机构、事业单位、团体组织。</w:t>
      </w:r>
    </w:p>
    <w:p w14:paraId="64F54788">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1.2 采购代理机构：</w:t>
      </w:r>
      <w:r>
        <w:rPr>
          <w:rFonts w:hint="eastAsia" w:ascii="宋体" w:hAnsi="宋体" w:eastAsia="宋体" w:cs="宋体"/>
          <w:sz w:val="24"/>
          <w:highlight w:val="none"/>
          <w:lang w:val="en-US" w:eastAsia="zh-CN"/>
        </w:rPr>
        <w:t>是</w:t>
      </w:r>
      <w:r>
        <w:rPr>
          <w:rFonts w:hint="eastAsia" w:ascii="宋体" w:hAnsi="宋体" w:eastAsia="宋体" w:cs="宋体"/>
          <w:sz w:val="24"/>
          <w:highlight w:val="none"/>
        </w:rPr>
        <w:t>指接受采购人委托，代理采购项目的采购代理机构。</w:t>
      </w:r>
    </w:p>
    <w:p w14:paraId="2A4F6B20">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1.3 投标人：是指响应招标、参加投标竞争的法人、非法人组织或者自然人。潜在投标人：以招标文件规定的方式获取本项目招标文件的法人、非法人组织或者自然人。</w:t>
      </w:r>
    </w:p>
    <w:p w14:paraId="7800104D">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482" w:firstLineChars="200"/>
        <w:textAlignment w:val="auto"/>
        <w:rPr>
          <w:rFonts w:hint="eastAsia" w:ascii="宋体" w:hAnsi="宋体" w:eastAsia="宋体" w:cs="宋体"/>
          <w:b/>
          <w:bCs/>
          <w:sz w:val="24"/>
          <w:highlight w:val="none"/>
        </w:rPr>
      </w:pPr>
      <w:r>
        <w:rPr>
          <w:rFonts w:hint="eastAsia" w:ascii="宋体" w:hAnsi="宋体" w:eastAsia="宋体" w:cs="宋体"/>
          <w:b/>
          <w:bCs/>
          <w:sz w:val="24"/>
          <w:highlight w:val="none"/>
        </w:rPr>
        <w:t xml:space="preserve">投标人须满足以下条件： </w:t>
      </w:r>
    </w:p>
    <w:p w14:paraId="5093C48C">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 xml:space="preserve">1.3.1在中华人民共和国境内注册，能够独立承担民事责任，有生产或供应能力的本国投标人，包括法人、非法人组织或者自然人。 </w:t>
      </w:r>
    </w:p>
    <w:p w14:paraId="484A747D">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 xml:space="preserve">1.3.2 具备《中华人民共和国政府采购法》第二十二条关于投标人条件的规定，遵守国家、本项目采购人本级和上级财政部门政府采购的有关规定。 </w:t>
      </w:r>
    </w:p>
    <w:p w14:paraId="131F805D">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 xml:space="preserve">1.3.3 以招标文件规定的方式获得了本项目的招标文件。 </w:t>
      </w:r>
    </w:p>
    <w:p w14:paraId="32804A1D">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1.3.4 符合</w:t>
      </w:r>
      <w:r>
        <w:rPr>
          <w:rFonts w:hint="eastAsia" w:ascii="宋体" w:hAnsi="宋体" w:eastAsia="宋体" w:cs="宋体"/>
          <w:sz w:val="24"/>
          <w:highlight w:val="none"/>
          <w:u w:val="single"/>
        </w:rPr>
        <w:t>投标须知前附表</w:t>
      </w:r>
      <w:r>
        <w:rPr>
          <w:rFonts w:hint="eastAsia" w:ascii="宋体" w:hAnsi="宋体" w:eastAsia="宋体" w:cs="宋体"/>
          <w:sz w:val="24"/>
          <w:highlight w:val="none"/>
        </w:rPr>
        <w:t>中规定的其他资格要求。</w:t>
      </w:r>
    </w:p>
    <w:p w14:paraId="6489950F">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1.4</w:t>
      </w:r>
      <w:r>
        <w:rPr>
          <w:rFonts w:hint="eastAsia" w:ascii="宋体" w:hAnsi="宋体" w:eastAsia="宋体" w:cs="宋体"/>
          <w:spacing w:val="1"/>
          <w:w w:val="26"/>
          <w:kern w:val="0"/>
          <w:sz w:val="24"/>
          <w:highlight w:val="none"/>
        </w:rPr>
        <w:t xml:space="preserve">  </w:t>
      </w:r>
      <w:r>
        <w:rPr>
          <w:rFonts w:hint="eastAsia" w:ascii="宋体" w:hAnsi="宋体" w:eastAsia="宋体" w:cs="宋体"/>
          <w:w w:val="26"/>
          <w:kern w:val="0"/>
          <w:sz w:val="24"/>
          <w:highlight w:val="none"/>
        </w:rPr>
        <w:t xml:space="preserve"> </w:t>
      </w:r>
      <w:r>
        <w:rPr>
          <w:rFonts w:hint="eastAsia" w:ascii="宋体" w:hAnsi="宋体" w:eastAsia="宋体" w:cs="宋体"/>
          <w:sz w:val="24"/>
          <w:highlight w:val="none"/>
        </w:rPr>
        <w:t>如经财政主管部门批准可以采购进口产品，将在</w:t>
      </w:r>
      <w:r>
        <w:rPr>
          <w:rFonts w:hint="eastAsia" w:ascii="宋体" w:hAnsi="宋体" w:eastAsia="宋体" w:cs="宋体"/>
          <w:sz w:val="24"/>
          <w:highlight w:val="none"/>
          <w:u w:val="single"/>
        </w:rPr>
        <w:t>投标须知前附表</w:t>
      </w:r>
      <w:r>
        <w:rPr>
          <w:rFonts w:hint="eastAsia" w:ascii="宋体" w:hAnsi="宋体" w:eastAsia="宋体" w:cs="宋体"/>
          <w:sz w:val="24"/>
          <w:highlight w:val="none"/>
        </w:rPr>
        <w:t>中写明。但投标人应保证所投产品可履行合法报通关手续进入中国关境内。若</w:t>
      </w:r>
      <w:r>
        <w:rPr>
          <w:rFonts w:hint="eastAsia" w:ascii="宋体" w:hAnsi="宋体" w:eastAsia="宋体" w:cs="宋体"/>
          <w:sz w:val="24"/>
          <w:highlight w:val="none"/>
          <w:u w:val="single"/>
        </w:rPr>
        <w:t>投标须知前附表</w:t>
      </w:r>
      <w:r>
        <w:rPr>
          <w:rFonts w:hint="eastAsia" w:ascii="宋体" w:hAnsi="宋体" w:eastAsia="宋体" w:cs="宋体"/>
          <w:sz w:val="24"/>
          <w:highlight w:val="none"/>
        </w:rPr>
        <w:t>中未写明允许采购进口产品，如投标人所投产品为进口产品，其投标将作为</w:t>
      </w:r>
      <w:r>
        <w:rPr>
          <w:rFonts w:hint="eastAsia" w:ascii="宋体" w:hAnsi="宋体" w:eastAsia="宋体" w:cs="宋体"/>
          <w:b/>
          <w:bCs/>
          <w:sz w:val="24"/>
          <w:highlight w:val="none"/>
        </w:rPr>
        <w:t>无效投标</w:t>
      </w:r>
      <w:r>
        <w:rPr>
          <w:rFonts w:hint="eastAsia" w:ascii="宋体" w:hAnsi="宋体" w:eastAsia="宋体" w:cs="宋体"/>
          <w:sz w:val="24"/>
          <w:highlight w:val="none"/>
        </w:rPr>
        <w:t>被拒绝。</w:t>
      </w:r>
    </w:p>
    <w:p w14:paraId="3CA97C5F">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 xml:space="preserve">1.5 投标人提供的货物由中小企业制造，货物由中小企业生产且使用该中小企业商号或者注册商标，享受中小企业扶持政策。投标人根据《工业和信息化部、国家统计局、国家发展和改革委员会、财政部关于印发中小企业划型标准规定的通知》（工信部联企业[2011]300 号）确定企业类型；也可在工业和信息化部网站（https://www.miit.gov.cn/）的“中小企业规模类型自测小程序”自助查询到企业类型。 </w:t>
      </w:r>
    </w:p>
    <w:p w14:paraId="44273A47">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1.5.1 投标标的所属行业见</w:t>
      </w:r>
      <w:r>
        <w:rPr>
          <w:rFonts w:hint="eastAsia" w:ascii="宋体" w:hAnsi="宋体" w:eastAsia="宋体" w:cs="宋体"/>
          <w:sz w:val="24"/>
          <w:highlight w:val="none"/>
          <w:u w:val="single"/>
        </w:rPr>
        <w:t>投标人须知前附表</w:t>
      </w:r>
      <w:r>
        <w:rPr>
          <w:rFonts w:hint="eastAsia" w:ascii="宋体" w:hAnsi="宋体" w:eastAsia="宋体" w:cs="宋体"/>
          <w:sz w:val="24"/>
          <w:highlight w:val="none"/>
        </w:rPr>
        <w:t xml:space="preserve">。 </w:t>
      </w:r>
    </w:p>
    <w:p w14:paraId="2BEACD1A">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1.5.2 若</w:t>
      </w:r>
      <w:r>
        <w:rPr>
          <w:rFonts w:hint="eastAsia" w:ascii="宋体" w:hAnsi="宋体" w:eastAsia="宋体" w:cs="宋体"/>
          <w:sz w:val="24"/>
          <w:highlight w:val="none"/>
          <w:u w:val="single"/>
        </w:rPr>
        <w:t>投标须知前附表</w:t>
      </w:r>
      <w:r>
        <w:rPr>
          <w:rFonts w:hint="eastAsia" w:ascii="宋体" w:hAnsi="宋体" w:eastAsia="宋体" w:cs="宋体"/>
          <w:sz w:val="24"/>
          <w:highlight w:val="none"/>
        </w:rPr>
        <w:t>中写明</w:t>
      </w:r>
      <w:r>
        <w:rPr>
          <w:rFonts w:hint="eastAsia" w:ascii="宋体" w:hAnsi="宋体" w:eastAsia="宋体" w:cs="宋体"/>
          <w:sz w:val="24"/>
          <w:highlight w:val="none"/>
          <w:lang w:eastAsia="zh-CN"/>
        </w:rPr>
        <w:t>本项目专门面向中小企业</w:t>
      </w:r>
      <w:r>
        <w:rPr>
          <w:rFonts w:hint="eastAsia" w:ascii="宋体" w:hAnsi="宋体" w:eastAsia="宋体" w:cs="宋体"/>
          <w:sz w:val="24"/>
          <w:highlight w:val="none"/>
        </w:rPr>
        <w:t>采购的，如投标人所提供的货物为非</w:t>
      </w:r>
      <w:r>
        <w:rPr>
          <w:rFonts w:hint="eastAsia" w:ascii="宋体" w:hAnsi="宋体" w:eastAsia="宋体" w:cs="宋体"/>
          <w:sz w:val="24"/>
          <w:highlight w:val="none"/>
          <w:lang w:val="en-US" w:eastAsia="zh-CN"/>
        </w:rPr>
        <w:t>中</w:t>
      </w:r>
      <w:r>
        <w:rPr>
          <w:rFonts w:hint="eastAsia" w:ascii="宋体" w:hAnsi="宋体" w:eastAsia="宋体" w:cs="宋体"/>
          <w:sz w:val="24"/>
          <w:highlight w:val="none"/>
        </w:rPr>
        <w:t>小企业制造，其投标将被认定为</w:t>
      </w:r>
      <w:r>
        <w:rPr>
          <w:rFonts w:hint="eastAsia" w:ascii="宋体" w:hAnsi="宋体" w:eastAsia="宋体" w:cs="宋体"/>
          <w:b/>
          <w:bCs/>
          <w:sz w:val="24"/>
          <w:highlight w:val="none"/>
        </w:rPr>
        <w:t>投标无效</w:t>
      </w:r>
      <w:r>
        <w:rPr>
          <w:rFonts w:hint="eastAsia" w:ascii="宋体" w:hAnsi="宋体" w:eastAsia="宋体" w:cs="宋体"/>
          <w:sz w:val="24"/>
          <w:highlight w:val="none"/>
        </w:rPr>
        <w:t>。承接企业如为监狱企业或残疾人福利性单位的，视同为小型、微型企业。</w:t>
      </w:r>
    </w:p>
    <w:p w14:paraId="68F77587">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1.5.3 本项目是否面向中小企业采购预留份额、措施及比例见</w:t>
      </w:r>
      <w:r>
        <w:rPr>
          <w:rFonts w:hint="eastAsia" w:ascii="宋体" w:hAnsi="宋体" w:eastAsia="宋体" w:cs="宋体"/>
          <w:sz w:val="24"/>
          <w:highlight w:val="none"/>
          <w:u w:val="single"/>
        </w:rPr>
        <w:t>投标人须知前附表</w:t>
      </w:r>
      <w:r>
        <w:rPr>
          <w:rFonts w:hint="eastAsia" w:ascii="宋体" w:hAnsi="宋体" w:eastAsia="宋体" w:cs="宋体"/>
          <w:sz w:val="24"/>
          <w:highlight w:val="none"/>
        </w:rPr>
        <w:t>，未达到上述比例的投标将被认定为</w:t>
      </w:r>
      <w:r>
        <w:rPr>
          <w:rFonts w:hint="eastAsia" w:ascii="宋体" w:hAnsi="宋体" w:eastAsia="宋体" w:cs="宋体"/>
          <w:b/>
          <w:bCs/>
          <w:sz w:val="24"/>
          <w:highlight w:val="none"/>
        </w:rPr>
        <w:t>投标无效</w:t>
      </w:r>
      <w:r>
        <w:rPr>
          <w:rFonts w:hint="eastAsia" w:ascii="宋体" w:hAnsi="宋体" w:eastAsia="宋体" w:cs="宋体"/>
          <w:sz w:val="24"/>
          <w:highlight w:val="none"/>
        </w:rPr>
        <w:t>。承接企业如为监狱企业或残疾人福利性单位的，视同为小型、微型企业。</w:t>
      </w:r>
    </w:p>
    <w:p w14:paraId="5E50158D">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1.5.4 享受中小企业扶持政策获得政府采购合同的，小微企业不得将合同分包给大中型企业，中型企业不得将合同分包给大型企业。</w:t>
      </w:r>
    </w:p>
    <w:p w14:paraId="7D0D417B">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1.6 如</w:t>
      </w:r>
      <w:r>
        <w:rPr>
          <w:rFonts w:hint="eastAsia" w:ascii="宋体" w:hAnsi="宋体" w:eastAsia="宋体" w:cs="宋体"/>
          <w:sz w:val="24"/>
          <w:highlight w:val="none"/>
          <w:u w:val="single"/>
        </w:rPr>
        <w:t>投标须知前附表</w:t>
      </w:r>
      <w:r>
        <w:rPr>
          <w:rFonts w:hint="eastAsia" w:ascii="宋体" w:hAnsi="宋体" w:eastAsia="宋体" w:cs="宋体"/>
          <w:sz w:val="24"/>
          <w:highlight w:val="none"/>
        </w:rPr>
        <w:t xml:space="preserve">中允许联合体投标，对联合体规定如下： </w:t>
      </w:r>
    </w:p>
    <w:p w14:paraId="79928B5E">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 xml:space="preserve">1.6.1 两个以上投标人可以组成一个投标联合体，以一个投标人的身份投标。 </w:t>
      </w:r>
    </w:p>
    <w:p w14:paraId="4D02A425">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1.6.2 联合体各方均应符合《中华人民共和国政府采购法》第二十二条规定的条件，遵守国家、本项目采购人本级和上级财政部门政府采购的有关规定。</w:t>
      </w:r>
    </w:p>
    <w:p w14:paraId="6D8F5ECB">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 xml:space="preserve">1.6.3 采购人根据采购项目对投标人的特殊要求，联合体中至少应当有一方符合相关规定。 </w:t>
      </w:r>
    </w:p>
    <w:p w14:paraId="2C026CCC">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 xml:space="preserve">1.6.4 联合体各方应签订共同投标协议，明确约定联合体各方承担的工作和相应的责任，并将共同投标协议连同投标文件一并提交采购人或采购代理机构。 </w:t>
      </w:r>
    </w:p>
    <w:p w14:paraId="5C4BC29D">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 xml:space="preserve">1.6.5 大中型企业、其他自然人、法人或者非法人组织与小型、微型企业组成联合体共同参加投标，共同投标协议中应写明小型、微型企业的协议合同金额占到共同投标协议投标总金额的比例。联合体各方均为中小企业的，联合体视同中小企业。其中，联合体各方均为小微企业的，联合体视同小微企业。 </w:t>
      </w:r>
    </w:p>
    <w:p w14:paraId="72FD09AC">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1.6.6 联合体中有同类资质的投标人按照联合体分工承担相同工作的，按照资质等级较低的投标人确定资质等级。</w:t>
      </w:r>
      <w:r>
        <w:rPr>
          <w:rFonts w:hint="eastAsia" w:ascii="宋体" w:hAnsi="宋体" w:eastAsia="宋体" w:cs="宋体"/>
          <w:sz w:val="24"/>
          <w:highlight w:val="none"/>
          <w:lang w:bidi="ar"/>
        </w:rPr>
        <w:t>（本项目不适用）</w:t>
      </w:r>
      <w:r>
        <w:rPr>
          <w:rFonts w:hint="eastAsia" w:ascii="宋体" w:hAnsi="宋体" w:eastAsia="宋体" w:cs="宋体"/>
          <w:sz w:val="24"/>
          <w:highlight w:val="none"/>
        </w:rPr>
        <w:t xml:space="preserve"> </w:t>
      </w:r>
    </w:p>
    <w:p w14:paraId="18910724">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1.6.7 以联合体形式参加政府采购活动的，联合体各方不得再单独参加或者与其他投标人另外组成联合体参加本项目投标，否则相关投标将被认定为</w:t>
      </w:r>
      <w:r>
        <w:rPr>
          <w:rFonts w:hint="eastAsia" w:ascii="宋体" w:hAnsi="宋体" w:eastAsia="宋体" w:cs="宋体"/>
          <w:b/>
          <w:bCs/>
          <w:sz w:val="24"/>
          <w:highlight w:val="none"/>
        </w:rPr>
        <w:t>投标无效</w:t>
      </w:r>
      <w:r>
        <w:rPr>
          <w:rFonts w:hint="eastAsia" w:ascii="宋体" w:hAnsi="宋体" w:eastAsia="宋体" w:cs="宋体"/>
          <w:sz w:val="24"/>
          <w:highlight w:val="none"/>
        </w:rPr>
        <w:t xml:space="preserve">。 </w:t>
      </w:r>
    </w:p>
    <w:p w14:paraId="1AB76297">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1.6.8 对联合体投标的其他资格要求见</w:t>
      </w:r>
      <w:r>
        <w:rPr>
          <w:rFonts w:hint="eastAsia" w:ascii="宋体" w:hAnsi="宋体" w:eastAsia="宋体" w:cs="宋体"/>
          <w:sz w:val="24"/>
          <w:highlight w:val="none"/>
          <w:u w:val="single"/>
        </w:rPr>
        <w:t>投标须知前附表</w:t>
      </w:r>
      <w:r>
        <w:rPr>
          <w:rFonts w:hint="eastAsia" w:ascii="宋体" w:hAnsi="宋体" w:eastAsia="宋体" w:cs="宋体"/>
          <w:sz w:val="24"/>
          <w:highlight w:val="none"/>
        </w:rPr>
        <w:t xml:space="preserve">。 </w:t>
      </w:r>
    </w:p>
    <w:p w14:paraId="0FDBF208">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right="0" w:rightChars="0" w:firstLine="480" w:firstLineChars="200"/>
        <w:textAlignment w:val="auto"/>
        <w:rPr>
          <w:rFonts w:hint="eastAsia" w:ascii="宋体" w:hAnsi="宋体" w:eastAsia="宋体" w:cs="宋体"/>
          <w:bCs w:val="0"/>
          <w:spacing w:val="0"/>
          <w:kern w:val="2"/>
          <w:sz w:val="24"/>
          <w:szCs w:val="24"/>
          <w:highlight w:val="none"/>
          <w:lang w:bidi="ar"/>
        </w:rPr>
      </w:pPr>
      <w:r>
        <w:rPr>
          <w:rFonts w:hint="eastAsia" w:ascii="宋体" w:hAnsi="宋体" w:eastAsia="宋体" w:cs="宋体"/>
          <w:bCs w:val="0"/>
          <w:spacing w:val="0"/>
          <w:kern w:val="2"/>
          <w:sz w:val="24"/>
          <w:szCs w:val="24"/>
          <w:highlight w:val="none"/>
          <w:lang w:bidi="ar"/>
        </w:rPr>
        <w:t>1.7 单位负责人为同一人或者存在直接控股、管理关系的不同投标人，其投标将被认定为</w:t>
      </w:r>
      <w:r>
        <w:rPr>
          <w:rFonts w:hint="eastAsia" w:ascii="宋体" w:hAnsi="宋体" w:eastAsia="宋体" w:cs="宋体"/>
          <w:b/>
          <w:spacing w:val="0"/>
          <w:kern w:val="2"/>
          <w:sz w:val="24"/>
          <w:szCs w:val="24"/>
          <w:highlight w:val="none"/>
          <w:lang w:bidi="ar"/>
        </w:rPr>
        <w:t>投标无效</w:t>
      </w:r>
      <w:r>
        <w:rPr>
          <w:rFonts w:hint="eastAsia" w:ascii="宋体" w:hAnsi="宋体" w:eastAsia="宋体" w:cs="宋体"/>
          <w:bCs w:val="0"/>
          <w:spacing w:val="0"/>
          <w:kern w:val="2"/>
          <w:sz w:val="24"/>
          <w:szCs w:val="24"/>
          <w:highlight w:val="none"/>
          <w:lang w:bidi="ar"/>
        </w:rPr>
        <w:t xml:space="preserve">。 </w:t>
      </w:r>
    </w:p>
    <w:p w14:paraId="240DE110">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right="0" w:rightChars="0" w:firstLine="480" w:firstLineChars="200"/>
        <w:textAlignment w:val="auto"/>
        <w:rPr>
          <w:rFonts w:hint="eastAsia" w:ascii="宋体" w:hAnsi="宋体" w:eastAsia="宋体" w:cs="宋体"/>
          <w:bCs w:val="0"/>
          <w:spacing w:val="0"/>
          <w:kern w:val="2"/>
          <w:sz w:val="24"/>
          <w:szCs w:val="24"/>
          <w:highlight w:val="none"/>
          <w:lang w:bidi="ar"/>
        </w:rPr>
      </w:pPr>
      <w:r>
        <w:rPr>
          <w:rFonts w:hint="eastAsia" w:ascii="宋体" w:hAnsi="宋体" w:eastAsia="宋体" w:cs="宋体"/>
          <w:bCs w:val="0"/>
          <w:spacing w:val="0"/>
          <w:kern w:val="2"/>
          <w:sz w:val="24"/>
          <w:szCs w:val="24"/>
          <w:highlight w:val="none"/>
          <w:lang w:bidi="ar"/>
        </w:rPr>
        <w:t>1.8 为本项目提供整体设计、规范编制或者项目管理、监理、检测等服务的投标人，其投标将被认定为</w:t>
      </w:r>
      <w:r>
        <w:rPr>
          <w:rFonts w:hint="eastAsia" w:ascii="宋体" w:hAnsi="宋体" w:eastAsia="宋体" w:cs="宋体"/>
          <w:b/>
          <w:spacing w:val="0"/>
          <w:kern w:val="2"/>
          <w:sz w:val="24"/>
          <w:szCs w:val="24"/>
          <w:highlight w:val="none"/>
          <w:lang w:bidi="ar"/>
        </w:rPr>
        <w:t>投标无效</w:t>
      </w:r>
      <w:r>
        <w:rPr>
          <w:rFonts w:hint="eastAsia" w:ascii="宋体" w:hAnsi="宋体" w:eastAsia="宋体" w:cs="宋体"/>
          <w:bCs w:val="0"/>
          <w:spacing w:val="0"/>
          <w:kern w:val="2"/>
          <w:sz w:val="24"/>
          <w:szCs w:val="24"/>
          <w:highlight w:val="none"/>
          <w:lang w:bidi="ar"/>
        </w:rPr>
        <w:t>。</w:t>
      </w:r>
    </w:p>
    <w:p w14:paraId="1B666424">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482" w:firstLineChars="200"/>
        <w:textAlignment w:val="auto"/>
        <w:rPr>
          <w:rFonts w:hint="eastAsia" w:ascii="宋体" w:hAnsi="宋体" w:eastAsia="宋体" w:cs="宋体"/>
          <w:b/>
          <w:bCs/>
          <w:sz w:val="24"/>
          <w:highlight w:val="none"/>
        </w:rPr>
      </w:pPr>
      <w:r>
        <w:rPr>
          <w:rFonts w:hint="eastAsia" w:ascii="宋体" w:hAnsi="宋体" w:eastAsia="宋体" w:cs="宋体"/>
          <w:b/>
          <w:bCs/>
          <w:sz w:val="24"/>
          <w:highlight w:val="none"/>
        </w:rPr>
        <w:t xml:space="preserve">2．资金来源 </w:t>
      </w:r>
    </w:p>
    <w:p w14:paraId="6A546984">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 xml:space="preserve">2.1 本项目的采购人已获得足以支付本次招标后所签订的合同项下的资金（包括财政性资金和本项目采购中无法与财政性资金分割的非财政性资金）。 </w:t>
      </w:r>
    </w:p>
    <w:p w14:paraId="18BA7F86">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2.2 项目预算金额和最高限价见</w:t>
      </w:r>
      <w:r>
        <w:rPr>
          <w:rFonts w:hint="eastAsia" w:ascii="宋体" w:hAnsi="宋体" w:eastAsia="宋体" w:cs="宋体"/>
          <w:sz w:val="24"/>
          <w:highlight w:val="none"/>
          <w:u w:val="single"/>
        </w:rPr>
        <w:t>投标须知前附表</w:t>
      </w:r>
      <w:r>
        <w:rPr>
          <w:rFonts w:hint="eastAsia" w:ascii="宋体" w:hAnsi="宋体" w:eastAsia="宋体" w:cs="宋体"/>
          <w:sz w:val="24"/>
          <w:highlight w:val="none"/>
        </w:rPr>
        <w:t xml:space="preserve">。 </w:t>
      </w:r>
    </w:p>
    <w:p w14:paraId="35378D59">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2.3 投标人报价超过招标文件规定的预算金额或者最高限价的，其投标将被认定为</w:t>
      </w:r>
      <w:r>
        <w:rPr>
          <w:rFonts w:hint="eastAsia" w:ascii="宋体" w:hAnsi="宋体" w:eastAsia="宋体" w:cs="宋体"/>
          <w:b/>
          <w:bCs/>
          <w:sz w:val="24"/>
          <w:highlight w:val="none"/>
        </w:rPr>
        <w:t>投标无效</w:t>
      </w:r>
      <w:r>
        <w:rPr>
          <w:rFonts w:hint="eastAsia" w:ascii="宋体" w:hAnsi="宋体" w:eastAsia="宋体" w:cs="宋体"/>
          <w:sz w:val="24"/>
          <w:highlight w:val="none"/>
        </w:rPr>
        <w:t>。</w:t>
      </w:r>
      <w:r>
        <w:rPr>
          <w:rFonts w:hint="eastAsia" w:ascii="宋体" w:hAnsi="宋体" w:eastAsia="宋体" w:cs="宋体"/>
          <w:b/>
          <w:bCs/>
          <w:sz w:val="24"/>
          <w:highlight w:val="none"/>
        </w:rPr>
        <w:t xml:space="preserve"> </w:t>
      </w:r>
    </w:p>
    <w:p w14:paraId="3DEFABC8">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482" w:firstLineChars="200"/>
        <w:textAlignment w:val="auto"/>
        <w:rPr>
          <w:rFonts w:hint="eastAsia" w:ascii="宋体" w:hAnsi="宋体" w:eastAsia="宋体" w:cs="宋体"/>
          <w:b/>
          <w:bCs/>
          <w:sz w:val="24"/>
          <w:highlight w:val="none"/>
        </w:rPr>
      </w:pPr>
      <w:r>
        <w:rPr>
          <w:rFonts w:hint="eastAsia" w:ascii="宋体" w:hAnsi="宋体" w:eastAsia="宋体" w:cs="宋体"/>
          <w:b/>
          <w:bCs/>
          <w:sz w:val="24"/>
          <w:highlight w:val="none"/>
        </w:rPr>
        <w:t xml:space="preserve">3. 投标费用 </w:t>
      </w:r>
    </w:p>
    <w:p w14:paraId="187DECF3">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 xml:space="preserve">不论投标的结果如何，投标人应承担所有与投标有关的费用。 </w:t>
      </w:r>
    </w:p>
    <w:p w14:paraId="37ABEBC2">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482" w:firstLineChars="200"/>
        <w:textAlignment w:val="auto"/>
        <w:rPr>
          <w:rFonts w:hint="eastAsia" w:ascii="宋体" w:hAnsi="宋体" w:eastAsia="宋体" w:cs="宋体"/>
          <w:b/>
          <w:bCs/>
          <w:sz w:val="24"/>
          <w:highlight w:val="none"/>
        </w:rPr>
      </w:pPr>
      <w:r>
        <w:rPr>
          <w:rFonts w:hint="eastAsia" w:ascii="宋体" w:hAnsi="宋体" w:eastAsia="宋体" w:cs="宋体"/>
          <w:b/>
          <w:bCs/>
          <w:sz w:val="24"/>
          <w:highlight w:val="none"/>
        </w:rPr>
        <w:t xml:space="preserve">4. 适用法律 </w:t>
      </w:r>
    </w:p>
    <w:p w14:paraId="4EE2C44C">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 xml:space="preserve">本项目采购人、采购代理机构、投标人、评标委员会的相关行为均受《中华人民共和国政府采购法》、《中华人民共和国政府采购法实施条例》及本项目本级和上级财政部门政府采购有关规定的约束，其权利受到上述法律法规的保护。 </w:t>
      </w:r>
    </w:p>
    <w:p w14:paraId="20B583BB">
      <w:pPr>
        <w:bidi w:val="0"/>
        <w:rPr>
          <w:rFonts w:hint="eastAsia" w:ascii="宋体" w:hAnsi="宋体" w:eastAsia="宋体" w:cs="宋体"/>
          <w:highlight w:val="none"/>
        </w:rPr>
      </w:pPr>
    </w:p>
    <w:p w14:paraId="2FEAB481">
      <w:pPr>
        <w:pStyle w:val="3"/>
        <w:bidi w:val="0"/>
        <w:rPr>
          <w:rFonts w:hint="eastAsia" w:ascii="宋体" w:hAnsi="宋体" w:eastAsia="宋体" w:cs="宋体"/>
          <w:sz w:val="24"/>
          <w:highlight w:val="none"/>
        </w:rPr>
      </w:pPr>
      <w:bookmarkStart w:id="39" w:name="_Toc6471"/>
      <w:bookmarkStart w:id="40" w:name="_Toc16791"/>
      <w:r>
        <w:rPr>
          <w:rFonts w:hint="eastAsia" w:ascii="宋体" w:hAnsi="宋体" w:eastAsia="宋体" w:cs="宋体"/>
          <w:highlight w:val="none"/>
        </w:rPr>
        <w:t>二</w:t>
      </w:r>
      <w:r>
        <w:rPr>
          <w:rFonts w:hint="eastAsia" w:ascii="宋体" w:hAnsi="宋体" w:eastAsia="宋体" w:cs="宋体"/>
          <w:highlight w:val="none"/>
          <w:lang w:eastAsia="zh-CN"/>
        </w:rPr>
        <w:t>、</w:t>
      </w:r>
      <w:r>
        <w:rPr>
          <w:rFonts w:hint="eastAsia" w:ascii="宋体" w:hAnsi="宋体" w:eastAsia="宋体" w:cs="宋体"/>
          <w:highlight w:val="none"/>
        </w:rPr>
        <w:t>招标文件</w:t>
      </w:r>
      <w:bookmarkEnd w:id="39"/>
      <w:bookmarkEnd w:id="40"/>
    </w:p>
    <w:p w14:paraId="3009CCF8">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2" w:firstLineChars="200"/>
        <w:textAlignment w:val="auto"/>
        <w:rPr>
          <w:rFonts w:hint="eastAsia" w:ascii="宋体" w:hAnsi="宋体" w:eastAsia="宋体" w:cs="宋体"/>
          <w:b/>
          <w:bCs/>
          <w:sz w:val="24"/>
          <w:highlight w:val="none"/>
        </w:rPr>
      </w:pPr>
      <w:r>
        <w:rPr>
          <w:rFonts w:hint="eastAsia" w:ascii="宋体" w:hAnsi="宋体" w:eastAsia="宋体" w:cs="宋体"/>
          <w:b/>
          <w:bCs/>
          <w:sz w:val="24"/>
          <w:highlight w:val="none"/>
        </w:rPr>
        <w:t xml:space="preserve">5.  招标文件构成 </w:t>
      </w:r>
    </w:p>
    <w:p w14:paraId="2A9ADB81">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5.1</w:t>
      </w:r>
      <w:r>
        <w:rPr>
          <w:rFonts w:hint="eastAsia" w:ascii="宋体" w:hAnsi="宋体" w:eastAsia="宋体" w:cs="宋体"/>
          <w:spacing w:val="48"/>
          <w:kern w:val="0"/>
          <w:sz w:val="24"/>
          <w:highlight w:val="none"/>
          <w:fitText w:val="216" w:id="1"/>
        </w:rPr>
        <w:t xml:space="preserve"> </w:t>
      </w:r>
      <w:r>
        <w:rPr>
          <w:rFonts w:hint="eastAsia" w:ascii="宋体" w:hAnsi="宋体" w:eastAsia="宋体" w:cs="宋体"/>
          <w:sz w:val="24"/>
          <w:highlight w:val="none"/>
        </w:rPr>
        <w:t xml:space="preserve">要求提供货物及伴随服务的内容及详细技术需求、投标须知和合同条件等在招标文件中均有说明。 </w:t>
      </w:r>
    </w:p>
    <w:p w14:paraId="53842EFB">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 xml:space="preserve">招标文件共七章。各册的内容如下： </w:t>
      </w:r>
    </w:p>
    <w:p w14:paraId="7CCBD9D8">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 xml:space="preserve">第一章 招标公告 </w:t>
      </w:r>
    </w:p>
    <w:p w14:paraId="6DF7CF7E">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 xml:space="preserve">第二章 投标须知前附表 </w:t>
      </w:r>
    </w:p>
    <w:p w14:paraId="5C1C79AD">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第三章 投标人须知</w:t>
      </w:r>
    </w:p>
    <w:p w14:paraId="6D9B24D0">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 xml:space="preserve">第四章 采购合同 </w:t>
      </w:r>
    </w:p>
    <w:p w14:paraId="275F26FB">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rPr>
        <w:t xml:space="preserve">第五章 </w:t>
      </w:r>
      <w:r>
        <w:rPr>
          <w:rFonts w:hint="eastAsia" w:ascii="宋体" w:hAnsi="宋体" w:eastAsia="宋体" w:cs="宋体"/>
          <w:sz w:val="24"/>
          <w:highlight w:val="none"/>
          <w:lang w:val="en-US" w:eastAsia="zh-CN"/>
        </w:rPr>
        <w:t>资格审查</w:t>
      </w:r>
    </w:p>
    <w:p w14:paraId="1EA50268">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 xml:space="preserve">第六章 </w:t>
      </w:r>
      <w:r>
        <w:rPr>
          <w:rFonts w:hint="eastAsia" w:ascii="宋体" w:hAnsi="宋体" w:eastAsia="宋体" w:cs="宋体"/>
          <w:sz w:val="24"/>
          <w:highlight w:val="none"/>
        </w:rPr>
        <w:t xml:space="preserve">采购需求 </w:t>
      </w:r>
    </w:p>
    <w:p w14:paraId="7DF0B3D0">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第</w:t>
      </w:r>
      <w:r>
        <w:rPr>
          <w:rFonts w:hint="eastAsia" w:ascii="宋体" w:hAnsi="宋体" w:eastAsia="宋体" w:cs="宋体"/>
          <w:sz w:val="24"/>
          <w:highlight w:val="none"/>
          <w:lang w:val="en-US" w:eastAsia="zh-CN"/>
        </w:rPr>
        <w:t>七</w:t>
      </w:r>
      <w:r>
        <w:rPr>
          <w:rFonts w:hint="eastAsia" w:ascii="宋体" w:hAnsi="宋体" w:eastAsia="宋体" w:cs="宋体"/>
          <w:sz w:val="24"/>
          <w:highlight w:val="none"/>
        </w:rPr>
        <w:t>章 评标方法和标准</w:t>
      </w:r>
    </w:p>
    <w:p w14:paraId="06E963C1">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第</w:t>
      </w:r>
      <w:r>
        <w:rPr>
          <w:rFonts w:hint="eastAsia" w:ascii="宋体" w:hAnsi="宋体" w:eastAsia="宋体" w:cs="宋体"/>
          <w:sz w:val="24"/>
          <w:highlight w:val="none"/>
          <w:lang w:val="en-US" w:eastAsia="zh-CN"/>
        </w:rPr>
        <w:t>八</w:t>
      </w:r>
      <w:r>
        <w:rPr>
          <w:rFonts w:hint="eastAsia" w:ascii="宋体" w:hAnsi="宋体" w:eastAsia="宋体" w:cs="宋体"/>
          <w:sz w:val="24"/>
          <w:highlight w:val="none"/>
        </w:rPr>
        <w:t xml:space="preserve">章 投标文件格式 </w:t>
      </w:r>
    </w:p>
    <w:p w14:paraId="3FE4C538">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5.2  招标文件中有不一致的，有澄清的部分以最终的澄清更正内容为准；未澄清的，以</w:t>
      </w:r>
      <w:r>
        <w:rPr>
          <w:rFonts w:hint="eastAsia" w:ascii="宋体" w:hAnsi="宋体" w:eastAsia="宋体" w:cs="宋体"/>
          <w:sz w:val="24"/>
          <w:highlight w:val="none"/>
          <w:u w:val="single"/>
        </w:rPr>
        <w:t>投标须知前附表</w:t>
      </w:r>
      <w:r>
        <w:rPr>
          <w:rFonts w:hint="eastAsia" w:ascii="宋体" w:hAnsi="宋体" w:eastAsia="宋体" w:cs="宋体"/>
          <w:sz w:val="24"/>
          <w:highlight w:val="none"/>
        </w:rPr>
        <w:t>为准；</w:t>
      </w:r>
      <w:r>
        <w:rPr>
          <w:rFonts w:hint="eastAsia" w:ascii="宋体" w:hAnsi="宋体" w:eastAsia="宋体" w:cs="宋体"/>
          <w:sz w:val="24"/>
          <w:highlight w:val="none"/>
          <w:u w:val="single"/>
        </w:rPr>
        <w:t>投标须知前附表</w:t>
      </w:r>
      <w:r>
        <w:rPr>
          <w:rFonts w:hint="eastAsia" w:ascii="宋体" w:hAnsi="宋体" w:eastAsia="宋体" w:cs="宋体"/>
          <w:sz w:val="24"/>
          <w:highlight w:val="none"/>
        </w:rPr>
        <w:t xml:space="preserve">不涉及的内容，以编排在后的最后描述为准。 </w:t>
      </w:r>
    </w:p>
    <w:p w14:paraId="69194561">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5.3 投标人应认真阅读招标文件所有的事项、格式、条款和技术规范等。如投标人没有按照招标文件要求提交全部资料，或者投标文件没有对招标文件在各方面都做出实质性响应是投标人的风险，</w:t>
      </w:r>
      <w:r>
        <w:rPr>
          <w:rFonts w:hint="eastAsia" w:ascii="宋体" w:hAnsi="宋体" w:eastAsia="宋体" w:cs="宋体"/>
          <w:sz w:val="24"/>
          <w:highlight w:val="none"/>
          <w:lang w:bidi="ar"/>
        </w:rPr>
        <w:t>其投标将被认定为</w:t>
      </w:r>
      <w:r>
        <w:rPr>
          <w:rFonts w:hint="eastAsia" w:ascii="宋体" w:hAnsi="宋体" w:eastAsia="宋体" w:cs="宋体"/>
          <w:b/>
          <w:sz w:val="24"/>
          <w:highlight w:val="none"/>
          <w:lang w:bidi="ar"/>
        </w:rPr>
        <w:t>投标无效</w:t>
      </w:r>
      <w:r>
        <w:rPr>
          <w:rFonts w:hint="eastAsia" w:ascii="宋体" w:hAnsi="宋体" w:eastAsia="宋体" w:cs="宋体"/>
          <w:sz w:val="24"/>
          <w:highlight w:val="none"/>
          <w:lang w:bidi="ar"/>
        </w:rPr>
        <w:t>。</w:t>
      </w:r>
      <w:r>
        <w:rPr>
          <w:rFonts w:hint="eastAsia" w:ascii="宋体" w:hAnsi="宋体" w:eastAsia="宋体" w:cs="宋体"/>
          <w:sz w:val="24"/>
          <w:highlight w:val="none"/>
        </w:rPr>
        <w:t xml:space="preserve"> </w:t>
      </w:r>
    </w:p>
    <w:p w14:paraId="3C50E6A1">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firstLine="480" w:firstLineChars="200"/>
        <w:textAlignment w:val="auto"/>
        <w:rPr>
          <w:rFonts w:hint="eastAsia" w:ascii="宋体" w:hAnsi="宋体" w:eastAsia="宋体" w:cs="宋体"/>
          <w:bCs w:val="0"/>
          <w:spacing w:val="0"/>
          <w:kern w:val="2"/>
          <w:sz w:val="24"/>
          <w:szCs w:val="24"/>
          <w:highlight w:val="none"/>
          <w:lang w:bidi="ar"/>
        </w:rPr>
      </w:pPr>
      <w:r>
        <w:rPr>
          <w:rFonts w:hint="eastAsia" w:ascii="宋体" w:hAnsi="宋体" w:eastAsia="宋体" w:cs="宋体"/>
          <w:bCs w:val="0"/>
          <w:spacing w:val="0"/>
          <w:kern w:val="2"/>
          <w:sz w:val="24"/>
          <w:szCs w:val="24"/>
          <w:highlight w:val="none"/>
          <w:lang w:bidi="ar"/>
        </w:rPr>
        <w:t>5.4 现场考察或者答疑会及相关事项见</w:t>
      </w:r>
      <w:r>
        <w:rPr>
          <w:rFonts w:hint="eastAsia" w:ascii="宋体" w:hAnsi="宋体" w:eastAsia="宋体" w:cs="宋体"/>
          <w:bCs w:val="0"/>
          <w:spacing w:val="0"/>
          <w:kern w:val="2"/>
          <w:sz w:val="24"/>
          <w:szCs w:val="24"/>
          <w:highlight w:val="none"/>
          <w:u w:val="single"/>
          <w:lang w:bidi="ar"/>
        </w:rPr>
        <w:t>投标须知前附表</w:t>
      </w:r>
      <w:r>
        <w:rPr>
          <w:rFonts w:hint="eastAsia" w:ascii="宋体" w:hAnsi="宋体" w:eastAsia="宋体" w:cs="宋体"/>
          <w:bCs w:val="0"/>
          <w:spacing w:val="0"/>
          <w:kern w:val="2"/>
          <w:sz w:val="24"/>
          <w:szCs w:val="24"/>
          <w:highlight w:val="none"/>
          <w:lang w:bidi="ar"/>
        </w:rPr>
        <w:t xml:space="preserve">。 </w:t>
      </w:r>
    </w:p>
    <w:p w14:paraId="4F16384A">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firstLine="480" w:firstLineChars="200"/>
        <w:textAlignment w:val="auto"/>
        <w:rPr>
          <w:rFonts w:hint="eastAsia" w:ascii="宋体" w:hAnsi="宋体" w:eastAsia="宋体" w:cs="宋体"/>
          <w:bCs w:val="0"/>
          <w:spacing w:val="0"/>
          <w:kern w:val="2"/>
          <w:sz w:val="24"/>
          <w:szCs w:val="24"/>
          <w:highlight w:val="none"/>
          <w:lang w:bidi="ar"/>
        </w:rPr>
      </w:pPr>
      <w:r>
        <w:rPr>
          <w:rFonts w:hint="eastAsia" w:ascii="宋体" w:hAnsi="宋体" w:eastAsia="宋体" w:cs="宋体"/>
          <w:bCs w:val="0"/>
          <w:spacing w:val="0"/>
          <w:kern w:val="2"/>
          <w:sz w:val="24"/>
          <w:szCs w:val="24"/>
          <w:highlight w:val="none"/>
          <w:lang w:bidi="ar"/>
        </w:rPr>
        <w:t xml:space="preserve">5.5 原则上采购人、采购代理机构不要求投标人提供样品。除仅凭书面方式不能准确描述采购需求，或者需要对样品进行主观判断以确认是否满足采购需求等特殊情况除外。 </w:t>
      </w:r>
    </w:p>
    <w:p w14:paraId="79473406">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firstLine="480" w:firstLineChars="200"/>
        <w:textAlignment w:val="auto"/>
        <w:rPr>
          <w:rFonts w:hint="eastAsia" w:ascii="宋体" w:hAnsi="宋体" w:eastAsia="宋体" w:cs="宋体"/>
          <w:bCs w:val="0"/>
          <w:spacing w:val="0"/>
          <w:kern w:val="2"/>
          <w:sz w:val="24"/>
          <w:szCs w:val="24"/>
          <w:highlight w:val="none"/>
          <w:lang w:bidi="ar"/>
        </w:rPr>
      </w:pPr>
      <w:r>
        <w:rPr>
          <w:rFonts w:hint="eastAsia" w:ascii="宋体" w:hAnsi="宋体" w:eastAsia="宋体" w:cs="宋体"/>
          <w:bCs w:val="0"/>
          <w:spacing w:val="0"/>
          <w:kern w:val="2"/>
          <w:sz w:val="24"/>
          <w:szCs w:val="24"/>
          <w:highlight w:val="none"/>
          <w:lang w:bidi="ar"/>
        </w:rPr>
        <w:t>如需提供样品，对样品相关要求见</w:t>
      </w:r>
      <w:r>
        <w:rPr>
          <w:rFonts w:hint="eastAsia" w:ascii="宋体" w:hAnsi="宋体" w:eastAsia="宋体" w:cs="宋体"/>
          <w:bCs w:val="0"/>
          <w:spacing w:val="0"/>
          <w:kern w:val="2"/>
          <w:sz w:val="24"/>
          <w:szCs w:val="24"/>
          <w:highlight w:val="none"/>
          <w:u w:val="single"/>
          <w:lang w:bidi="ar"/>
        </w:rPr>
        <w:t>投标须知前附表</w:t>
      </w:r>
      <w:r>
        <w:rPr>
          <w:rFonts w:hint="eastAsia" w:ascii="宋体" w:hAnsi="宋体" w:eastAsia="宋体" w:cs="宋体"/>
          <w:bCs w:val="0"/>
          <w:spacing w:val="0"/>
          <w:kern w:val="2"/>
          <w:sz w:val="24"/>
          <w:szCs w:val="24"/>
          <w:highlight w:val="none"/>
          <w:lang w:bidi="ar"/>
        </w:rPr>
        <w:t>，对样品的评审方法及评审标准见招标文件第</w:t>
      </w:r>
      <w:r>
        <w:rPr>
          <w:rFonts w:hint="eastAsia" w:ascii="宋体" w:hAnsi="宋体" w:cs="宋体"/>
          <w:bCs w:val="0"/>
          <w:spacing w:val="0"/>
          <w:kern w:val="2"/>
          <w:sz w:val="24"/>
          <w:szCs w:val="24"/>
          <w:highlight w:val="none"/>
          <w:lang w:val="en-US" w:eastAsia="zh-CN" w:bidi="ar"/>
        </w:rPr>
        <w:t>七</w:t>
      </w:r>
      <w:r>
        <w:rPr>
          <w:rFonts w:hint="eastAsia" w:ascii="宋体" w:hAnsi="宋体" w:eastAsia="宋体" w:cs="宋体"/>
          <w:bCs w:val="0"/>
          <w:spacing w:val="0"/>
          <w:kern w:val="2"/>
          <w:sz w:val="24"/>
          <w:szCs w:val="24"/>
          <w:highlight w:val="none"/>
          <w:lang w:bidi="ar"/>
        </w:rPr>
        <w:t xml:space="preserve">章。 </w:t>
      </w:r>
    </w:p>
    <w:p w14:paraId="79551C7C">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2" w:firstLineChars="200"/>
        <w:textAlignment w:val="auto"/>
        <w:rPr>
          <w:rFonts w:hint="eastAsia" w:ascii="宋体" w:hAnsi="宋体" w:eastAsia="宋体" w:cs="宋体"/>
          <w:b/>
          <w:bCs/>
          <w:sz w:val="24"/>
          <w:highlight w:val="none"/>
        </w:rPr>
      </w:pPr>
      <w:r>
        <w:rPr>
          <w:rFonts w:hint="eastAsia" w:ascii="宋体" w:hAnsi="宋体" w:eastAsia="宋体" w:cs="宋体"/>
          <w:b/>
          <w:bCs/>
          <w:sz w:val="24"/>
          <w:highlight w:val="none"/>
        </w:rPr>
        <w:t xml:space="preserve">6. 招标文件的澄清与修改 </w:t>
      </w:r>
    </w:p>
    <w:p w14:paraId="25E6D3CB">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 xml:space="preserve">6.1 采购人可主动地或在解答投标人提出的澄清问题时对招标文件进行澄清或修改。采购代理机构将以发布澄清（更正）公告的方式，澄清或修改招标文件，澄清或修改内容作为招标文件的组成部分。 </w:t>
      </w:r>
    </w:p>
    <w:p w14:paraId="0650E17A">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 xml:space="preserve">6.2 澄清或者修改的内容可能影响投标文件编制的，采购代理机构将以书面形式通知所有获取招标文件的潜在投标人，并对其具有约束力。投标人在收到上述通知后，应及时向采购代理机构确认。投标人未回复的，视同已知晓澄清或者修改的内容。 </w:t>
      </w:r>
    </w:p>
    <w:p w14:paraId="1FDE4BA2">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因潜在投标人原因或通讯线路故障导致通知逾期送达或无法送达，采购代理机构不因此承担任何责任，有关的招标采购活动可以继续有效进行。</w:t>
      </w:r>
    </w:p>
    <w:p w14:paraId="704B4A24">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6.3</w:t>
      </w:r>
      <w:r>
        <w:rPr>
          <w:rFonts w:hint="eastAsia" w:ascii="宋体" w:hAnsi="宋体" w:eastAsia="宋体" w:cs="宋体"/>
          <w:spacing w:val="0"/>
          <w:w w:val="90"/>
          <w:kern w:val="0"/>
          <w:sz w:val="24"/>
          <w:highlight w:val="none"/>
          <w:fitText w:val="216" w:id="2"/>
        </w:rPr>
        <w:t xml:space="preserve">  </w:t>
      </w:r>
      <w:r>
        <w:rPr>
          <w:rFonts w:hint="eastAsia" w:ascii="宋体" w:hAnsi="宋体" w:eastAsia="宋体" w:cs="宋体"/>
          <w:sz w:val="24"/>
          <w:highlight w:val="none"/>
        </w:rPr>
        <w:t xml:space="preserve">为了保证对招标文件的澄清和修改满足法律的时限要求，任何要求对招标文件进行澄清的投标人，均应在投标截止期十五日前，以书面形式将澄清要求通知采购人或采购代理机构。采购人或采购代理机构将发布澄清公告或澄清通知，澄清内容为招标文件的组成部分。 </w:t>
      </w:r>
    </w:p>
    <w:p w14:paraId="3B8CAEA8">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2" w:firstLineChars="200"/>
        <w:textAlignment w:val="auto"/>
        <w:rPr>
          <w:rFonts w:hint="eastAsia" w:ascii="宋体" w:hAnsi="宋体" w:eastAsia="宋体" w:cs="宋体"/>
          <w:b/>
          <w:bCs/>
          <w:sz w:val="24"/>
          <w:highlight w:val="none"/>
        </w:rPr>
      </w:pPr>
      <w:r>
        <w:rPr>
          <w:rFonts w:hint="eastAsia" w:ascii="宋体" w:hAnsi="宋体" w:eastAsia="宋体" w:cs="宋体"/>
          <w:b/>
          <w:bCs/>
          <w:sz w:val="24"/>
          <w:highlight w:val="none"/>
        </w:rPr>
        <w:t xml:space="preserve">7. 投标截止时间的顺延 </w:t>
      </w:r>
    </w:p>
    <w:p w14:paraId="468F5980">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为使投标人有足够的时间对招标文件的澄清或者修改部分进行研究而准备投标或因其他原因，采购人将依法决定是否顺延投标截止时间。</w:t>
      </w:r>
    </w:p>
    <w:p w14:paraId="79A4D129">
      <w:pPr>
        <w:adjustRightInd w:val="0"/>
        <w:snapToGrid w:val="0"/>
        <w:spacing w:line="440" w:lineRule="exact"/>
        <w:ind w:left="636" w:hanging="636" w:hangingChars="265"/>
        <w:rPr>
          <w:rFonts w:hint="eastAsia" w:ascii="宋体" w:hAnsi="宋体" w:eastAsia="宋体" w:cs="宋体"/>
          <w:sz w:val="24"/>
          <w:highlight w:val="none"/>
        </w:rPr>
      </w:pPr>
    </w:p>
    <w:p w14:paraId="5D2F39F7">
      <w:pPr>
        <w:pStyle w:val="3"/>
        <w:bidi w:val="0"/>
        <w:rPr>
          <w:rFonts w:hint="eastAsia" w:ascii="宋体" w:hAnsi="宋体" w:eastAsia="宋体" w:cs="宋体"/>
          <w:highlight w:val="none"/>
        </w:rPr>
      </w:pPr>
      <w:bookmarkStart w:id="41" w:name="_Toc11756"/>
      <w:bookmarkStart w:id="42" w:name="_Toc28509"/>
      <w:r>
        <w:rPr>
          <w:rFonts w:hint="eastAsia" w:ascii="宋体" w:hAnsi="宋体" w:eastAsia="宋体" w:cs="宋体"/>
          <w:highlight w:val="none"/>
        </w:rPr>
        <w:t>三</w:t>
      </w:r>
      <w:r>
        <w:rPr>
          <w:rFonts w:hint="eastAsia" w:ascii="宋体" w:hAnsi="宋体" w:eastAsia="宋体" w:cs="宋体"/>
          <w:highlight w:val="none"/>
          <w:lang w:eastAsia="zh-CN"/>
        </w:rPr>
        <w:t>、</w:t>
      </w:r>
      <w:r>
        <w:rPr>
          <w:rFonts w:hint="eastAsia" w:ascii="宋体" w:hAnsi="宋体" w:eastAsia="宋体" w:cs="宋体"/>
          <w:highlight w:val="none"/>
        </w:rPr>
        <w:t>投标文件的编制</w:t>
      </w:r>
      <w:bookmarkEnd w:id="41"/>
      <w:bookmarkEnd w:id="42"/>
    </w:p>
    <w:p w14:paraId="4BF19317">
      <w:pPr>
        <w:adjustRightInd w:val="0"/>
        <w:snapToGrid w:val="0"/>
        <w:spacing w:line="440" w:lineRule="exact"/>
        <w:ind w:left="636" w:hanging="636" w:hangingChars="265"/>
        <w:rPr>
          <w:rFonts w:hint="eastAsia" w:ascii="宋体" w:hAnsi="宋体" w:eastAsia="宋体" w:cs="宋体"/>
          <w:sz w:val="24"/>
          <w:highlight w:val="none"/>
        </w:rPr>
      </w:pPr>
    </w:p>
    <w:p w14:paraId="3FB6D4B1">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right="0" w:rightChars="0" w:firstLine="482" w:firstLineChars="200"/>
        <w:textAlignment w:val="auto"/>
        <w:rPr>
          <w:rFonts w:hint="eastAsia" w:ascii="宋体" w:hAnsi="宋体" w:eastAsia="宋体" w:cs="宋体"/>
          <w:b/>
          <w:spacing w:val="0"/>
          <w:kern w:val="2"/>
          <w:sz w:val="24"/>
          <w:szCs w:val="24"/>
          <w:highlight w:val="none"/>
          <w:lang w:bidi="ar"/>
        </w:rPr>
      </w:pPr>
      <w:r>
        <w:rPr>
          <w:rFonts w:hint="eastAsia" w:ascii="宋体" w:hAnsi="宋体" w:eastAsia="宋体" w:cs="宋体"/>
          <w:b/>
          <w:spacing w:val="0"/>
          <w:kern w:val="2"/>
          <w:sz w:val="24"/>
          <w:szCs w:val="24"/>
          <w:highlight w:val="none"/>
          <w:lang w:bidi="ar"/>
        </w:rPr>
        <w:t xml:space="preserve">8. 投标范围及投标文件中标准和计量单位的使用 </w:t>
      </w:r>
    </w:p>
    <w:p w14:paraId="553DC37F">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right="0" w:rightChars="0" w:firstLine="480" w:firstLineChars="200"/>
        <w:textAlignment w:val="auto"/>
        <w:rPr>
          <w:rFonts w:hint="eastAsia" w:ascii="宋体" w:hAnsi="宋体" w:eastAsia="宋体" w:cs="宋体"/>
          <w:bCs w:val="0"/>
          <w:spacing w:val="0"/>
          <w:kern w:val="2"/>
          <w:sz w:val="24"/>
          <w:szCs w:val="24"/>
          <w:highlight w:val="none"/>
          <w:u w:val="single"/>
          <w:lang w:bidi="ar"/>
        </w:rPr>
      </w:pPr>
      <w:r>
        <w:rPr>
          <w:rFonts w:hint="eastAsia" w:ascii="宋体" w:hAnsi="宋体" w:eastAsia="宋体" w:cs="宋体"/>
          <w:bCs w:val="0"/>
          <w:spacing w:val="0"/>
          <w:kern w:val="2"/>
          <w:sz w:val="24"/>
          <w:szCs w:val="24"/>
          <w:highlight w:val="none"/>
          <w:lang w:bidi="ar"/>
        </w:rPr>
        <w:t>8.1 投标人可对招标文件中一个或几个分包货物进行投标，除非在</w:t>
      </w:r>
      <w:r>
        <w:rPr>
          <w:rFonts w:hint="eastAsia" w:ascii="宋体" w:hAnsi="宋体" w:eastAsia="宋体" w:cs="宋体"/>
          <w:bCs w:val="0"/>
          <w:spacing w:val="0"/>
          <w:kern w:val="2"/>
          <w:sz w:val="24"/>
          <w:szCs w:val="24"/>
          <w:highlight w:val="none"/>
          <w:u w:val="single"/>
          <w:lang w:bidi="ar"/>
        </w:rPr>
        <w:t>投标须知前附表</w:t>
      </w:r>
      <w:r>
        <w:rPr>
          <w:rFonts w:hint="eastAsia" w:ascii="宋体" w:hAnsi="宋体" w:eastAsia="宋体" w:cs="宋体"/>
          <w:bCs w:val="0"/>
          <w:spacing w:val="0"/>
          <w:kern w:val="2"/>
          <w:sz w:val="24"/>
          <w:szCs w:val="24"/>
          <w:highlight w:val="none"/>
          <w:lang w:bidi="ar"/>
        </w:rPr>
        <w:t xml:space="preserve">中另有规定。 </w:t>
      </w:r>
    </w:p>
    <w:p w14:paraId="2E7FB81A">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right="0" w:rightChars="0" w:firstLine="480" w:firstLineChars="200"/>
        <w:textAlignment w:val="auto"/>
        <w:rPr>
          <w:rFonts w:hint="eastAsia" w:ascii="宋体" w:hAnsi="宋体" w:eastAsia="宋体" w:cs="宋体"/>
          <w:bCs w:val="0"/>
          <w:spacing w:val="0"/>
          <w:kern w:val="2"/>
          <w:sz w:val="24"/>
          <w:szCs w:val="24"/>
          <w:highlight w:val="none"/>
          <w:lang w:bidi="ar"/>
        </w:rPr>
      </w:pPr>
      <w:r>
        <w:rPr>
          <w:rFonts w:hint="eastAsia" w:ascii="宋体" w:hAnsi="宋体" w:eastAsia="宋体" w:cs="宋体"/>
          <w:bCs w:val="0"/>
          <w:spacing w:val="0"/>
          <w:kern w:val="2"/>
          <w:sz w:val="24"/>
          <w:szCs w:val="24"/>
          <w:highlight w:val="none"/>
          <w:lang w:bidi="ar"/>
        </w:rPr>
        <w:t>8.2 投标人应当对所投分包招标文件采购需求中“采购需求一览表”所列的所有内容进行投标，如仅响应分包中的部分内容，其该包投标将被认定为</w:t>
      </w:r>
      <w:r>
        <w:rPr>
          <w:rFonts w:hint="eastAsia" w:ascii="宋体" w:hAnsi="宋体" w:eastAsia="宋体" w:cs="宋体"/>
          <w:b/>
          <w:spacing w:val="0"/>
          <w:kern w:val="2"/>
          <w:sz w:val="24"/>
          <w:szCs w:val="24"/>
          <w:highlight w:val="none"/>
          <w:lang w:bidi="ar"/>
        </w:rPr>
        <w:t>投标无效</w:t>
      </w:r>
      <w:r>
        <w:rPr>
          <w:rFonts w:hint="eastAsia" w:ascii="宋体" w:hAnsi="宋体" w:eastAsia="宋体" w:cs="宋体"/>
          <w:bCs w:val="0"/>
          <w:spacing w:val="0"/>
          <w:kern w:val="2"/>
          <w:sz w:val="24"/>
          <w:szCs w:val="24"/>
          <w:highlight w:val="none"/>
          <w:lang w:bidi="ar"/>
        </w:rPr>
        <w:t xml:space="preserve">。 </w:t>
      </w:r>
    </w:p>
    <w:p w14:paraId="6887A922">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right="0" w:rightChars="0" w:firstLine="480" w:firstLineChars="200"/>
        <w:textAlignment w:val="auto"/>
        <w:rPr>
          <w:rFonts w:hint="eastAsia" w:ascii="宋体" w:hAnsi="宋体" w:eastAsia="宋体" w:cs="宋体"/>
          <w:bCs w:val="0"/>
          <w:spacing w:val="0"/>
          <w:kern w:val="2"/>
          <w:sz w:val="24"/>
          <w:szCs w:val="24"/>
          <w:highlight w:val="none"/>
          <w:lang w:bidi="ar"/>
        </w:rPr>
      </w:pPr>
      <w:r>
        <w:rPr>
          <w:rFonts w:hint="eastAsia" w:ascii="宋体" w:hAnsi="宋体" w:eastAsia="宋体" w:cs="宋体"/>
          <w:bCs w:val="0"/>
          <w:spacing w:val="0"/>
          <w:kern w:val="2"/>
          <w:sz w:val="24"/>
          <w:szCs w:val="24"/>
          <w:highlight w:val="none"/>
          <w:lang w:bidi="ar"/>
        </w:rPr>
        <w:t xml:space="preserve">8.3 无论招标文件中是否要求，投标人所投货物及其伴随的服务和工程均应符合国家强制性标准。 </w:t>
      </w:r>
    </w:p>
    <w:p w14:paraId="500D7D96">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right="0" w:rightChars="0" w:firstLine="480" w:firstLineChars="200"/>
        <w:textAlignment w:val="auto"/>
        <w:rPr>
          <w:rFonts w:hint="eastAsia" w:ascii="宋体" w:hAnsi="宋体" w:eastAsia="宋体" w:cs="宋体"/>
          <w:bCs w:val="0"/>
          <w:spacing w:val="0"/>
          <w:kern w:val="2"/>
          <w:sz w:val="24"/>
          <w:szCs w:val="24"/>
          <w:highlight w:val="none"/>
          <w:lang w:bidi="ar"/>
        </w:rPr>
      </w:pPr>
      <w:r>
        <w:rPr>
          <w:rFonts w:hint="eastAsia" w:ascii="宋体" w:hAnsi="宋体" w:eastAsia="宋体" w:cs="宋体"/>
          <w:bCs w:val="0"/>
          <w:spacing w:val="0"/>
          <w:kern w:val="2"/>
          <w:sz w:val="24"/>
          <w:szCs w:val="24"/>
          <w:highlight w:val="none"/>
          <w:lang w:bidi="ar"/>
        </w:rPr>
        <w:t xml:space="preserve">8.4 除招标文件中有特殊要求外，投标文件中所使用的计量单位，应采用中华人民共和国法定计量单位。 </w:t>
      </w:r>
    </w:p>
    <w:p w14:paraId="08F947F3">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right="0" w:rightChars="0" w:firstLine="482" w:firstLineChars="200"/>
        <w:textAlignment w:val="auto"/>
        <w:rPr>
          <w:rFonts w:hint="eastAsia" w:ascii="宋体" w:hAnsi="宋体" w:eastAsia="宋体" w:cs="宋体"/>
          <w:b/>
          <w:spacing w:val="0"/>
          <w:kern w:val="2"/>
          <w:sz w:val="24"/>
          <w:szCs w:val="24"/>
          <w:highlight w:val="none"/>
          <w:lang w:bidi="ar"/>
        </w:rPr>
      </w:pPr>
      <w:r>
        <w:rPr>
          <w:rFonts w:hint="eastAsia" w:ascii="宋体" w:hAnsi="宋体" w:eastAsia="宋体" w:cs="宋体"/>
          <w:b/>
          <w:spacing w:val="0"/>
          <w:kern w:val="2"/>
          <w:sz w:val="24"/>
          <w:szCs w:val="24"/>
          <w:highlight w:val="none"/>
          <w:lang w:bidi="ar"/>
        </w:rPr>
        <w:t xml:space="preserve">9.  投标文件组成 </w:t>
      </w:r>
    </w:p>
    <w:p w14:paraId="5A88D563">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right="0" w:rightChars="0" w:firstLine="480" w:firstLineChars="200"/>
        <w:textAlignment w:val="auto"/>
        <w:rPr>
          <w:rFonts w:hint="eastAsia" w:ascii="宋体" w:hAnsi="宋体" w:eastAsia="宋体" w:cs="宋体"/>
          <w:bCs w:val="0"/>
          <w:spacing w:val="0"/>
          <w:kern w:val="2"/>
          <w:sz w:val="24"/>
          <w:szCs w:val="24"/>
          <w:highlight w:val="none"/>
          <w:lang w:bidi="ar"/>
        </w:rPr>
      </w:pPr>
      <w:r>
        <w:rPr>
          <w:rFonts w:hint="eastAsia" w:ascii="宋体" w:hAnsi="宋体" w:eastAsia="宋体" w:cs="宋体"/>
          <w:bCs w:val="0"/>
          <w:spacing w:val="0"/>
          <w:kern w:val="2"/>
          <w:sz w:val="24"/>
          <w:szCs w:val="24"/>
          <w:highlight w:val="none"/>
          <w:lang w:bidi="ar"/>
        </w:rPr>
        <w:t>9.1 投标人应完整地按招标文件提供的投标文件格式及要求编写投标文件，具体内容详见“第</w:t>
      </w:r>
      <w:r>
        <w:rPr>
          <w:rFonts w:hint="eastAsia" w:ascii="宋体" w:hAnsi="宋体" w:cs="宋体"/>
          <w:bCs w:val="0"/>
          <w:spacing w:val="0"/>
          <w:kern w:val="2"/>
          <w:sz w:val="24"/>
          <w:szCs w:val="24"/>
          <w:highlight w:val="none"/>
          <w:lang w:val="en-US" w:eastAsia="zh-CN" w:bidi="ar"/>
        </w:rPr>
        <w:t>八</w:t>
      </w:r>
      <w:r>
        <w:rPr>
          <w:rFonts w:hint="eastAsia" w:ascii="宋体" w:hAnsi="宋体" w:eastAsia="宋体" w:cs="宋体"/>
          <w:bCs w:val="0"/>
          <w:spacing w:val="0"/>
          <w:kern w:val="2"/>
          <w:sz w:val="24"/>
          <w:szCs w:val="24"/>
          <w:highlight w:val="none"/>
          <w:lang w:bidi="ar"/>
        </w:rPr>
        <w:t>章 投标文件格式”的相关内容。投标文件中资格审查和符合性审查涉及的事项不满足招标文件要求的，其投标将被认定为</w:t>
      </w:r>
      <w:r>
        <w:rPr>
          <w:rFonts w:hint="eastAsia" w:ascii="宋体" w:hAnsi="宋体" w:eastAsia="宋体" w:cs="宋体"/>
          <w:b/>
          <w:spacing w:val="0"/>
          <w:kern w:val="2"/>
          <w:sz w:val="24"/>
          <w:szCs w:val="24"/>
          <w:highlight w:val="none"/>
          <w:lang w:bidi="ar"/>
        </w:rPr>
        <w:t>投标无效</w:t>
      </w:r>
      <w:r>
        <w:rPr>
          <w:rFonts w:hint="eastAsia" w:ascii="宋体" w:hAnsi="宋体" w:eastAsia="宋体" w:cs="宋体"/>
          <w:bCs w:val="0"/>
          <w:spacing w:val="0"/>
          <w:kern w:val="2"/>
          <w:sz w:val="24"/>
          <w:szCs w:val="24"/>
          <w:highlight w:val="none"/>
          <w:lang w:bidi="ar"/>
        </w:rPr>
        <w:t xml:space="preserve">。 </w:t>
      </w:r>
    </w:p>
    <w:p w14:paraId="0D7D9775">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right="0" w:rightChars="0" w:firstLine="480" w:firstLineChars="200"/>
        <w:textAlignment w:val="auto"/>
        <w:rPr>
          <w:rFonts w:hint="eastAsia" w:ascii="宋体" w:hAnsi="宋体" w:eastAsia="宋体" w:cs="宋体"/>
          <w:bCs w:val="0"/>
          <w:spacing w:val="0"/>
          <w:kern w:val="2"/>
          <w:sz w:val="24"/>
          <w:szCs w:val="24"/>
          <w:highlight w:val="none"/>
          <w:lang w:bidi="ar"/>
        </w:rPr>
      </w:pPr>
      <w:r>
        <w:rPr>
          <w:rFonts w:hint="eastAsia" w:ascii="宋体" w:hAnsi="宋体" w:eastAsia="宋体" w:cs="宋体"/>
          <w:bCs w:val="0"/>
          <w:spacing w:val="0"/>
          <w:kern w:val="2"/>
          <w:sz w:val="24"/>
          <w:szCs w:val="24"/>
          <w:highlight w:val="none"/>
          <w:lang w:bidi="ar"/>
        </w:rPr>
        <w:t xml:space="preserve">9.2 上述文件应按照招标文件的规定签署和盖公章。 </w:t>
      </w:r>
    </w:p>
    <w:p w14:paraId="57B35EDE">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right="0" w:rightChars="0" w:firstLine="482" w:firstLineChars="200"/>
        <w:textAlignment w:val="auto"/>
        <w:rPr>
          <w:rFonts w:hint="eastAsia" w:ascii="宋体" w:hAnsi="宋体" w:eastAsia="宋体" w:cs="宋体"/>
          <w:b/>
          <w:spacing w:val="0"/>
          <w:kern w:val="2"/>
          <w:sz w:val="24"/>
          <w:szCs w:val="24"/>
          <w:highlight w:val="none"/>
          <w:lang w:bidi="ar"/>
        </w:rPr>
      </w:pPr>
      <w:r>
        <w:rPr>
          <w:rFonts w:hint="eastAsia" w:ascii="宋体" w:hAnsi="宋体" w:eastAsia="宋体" w:cs="宋体"/>
          <w:b/>
          <w:spacing w:val="0"/>
          <w:kern w:val="2"/>
          <w:sz w:val="24"/>
          <w:szCs w:val="24"/>
          <w:highlight w:val="none"/>
          <w:lang w:bidi="ar"/>
        </w:rPr>
        <w:t xml:space="preserve">10. 证明投标标的的合格性和符合招标文件规定的技术文件 </w:t>
      </w:r>
    </w:p>
    <w:p w14:paraId="1AB8F876">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right="0" w:rightChars="0" w:firstLine="480" w:firstLineChars="200"/>
        <w:textAlignment w:val="auto"/>
        <w:rPr>
          <w:rFonts w:hint="eastAsia" w:ascii="宋体" w:hAnsi="宋体" w:eastAsia="宋体" w:cs="宋体"/>
          <w:bCs w:val="0"/>
          <w:spacing w:val="0"/>
          <w:kern w:val="2"/>
          <w:sz w:val="24"/>
          <w:szCs w:val="24"/>
          <w:highlight w:val="none"/>
          <w:lang w:bidi="ar"/>
        </w:rPr>
      </w:pPr>
      <w:r>
        <w:rPr>
          <w:rFonts w:hint="eastAsia" w:ascii="宋体" w:hAnsi="宋体" w:eastAsia="宋体" w:cs="宋体"/>
          <w:bCs w:val="0"/>
          <w:spacing w:val="0"/>
          <w:kern w:val="2"/>
          <w:sz w:val="24"/>
          <w:szCs w:val="24"/>
          <w:highlight w:val="none"/>
          <w:lang w:bidi="ar"/>
        </w:rPr>
        <w:t xml:space="preserve">10.1 投标人应提交证明文件，证明其投标标的符合招标文件规定。该证明文件是投标文件的技术文件。 </w:t>
      </w:r>
    </w:p>
    <w:p w14:paraId="4F1BFAF8">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right="0" w:rightChars="0" w:firstLine="480" w:firstLineChars="200"/>
        <w:textAlignment w:val="auto"/>
        <w:rPr>
          <w:rFonts w:hint="eastAsia" w:ascii="宋体" w:hAnsi="宋体" w:eastAsia="宋体" w:cs="宋体"/>
          <w:bCs w:val="0"/>
          <w:spacing w:val="0"/>
          <w:kern w:val="2"/>
          <w:sz w:val="24"/>
          <w:szCs w:val="24"/>
          <w:highlight w:val="none"/>
          <w:lang w:bidi="ar"/>
        </w:rPr>
      </w:pPr>
      <w:r>
        <w:rPr>
          <w:rFonts w:hint="eastAsia" w:ascii="宋体" w:hAnsi="宋体" w:eastAsia="宋体" w:cs="宋体"/>
          <w:bCs w:val="0"/>
          <w:spacing w:val="0"/>
          <w:kern w:val="2"/>
          <w:sz w:val="24"/>
          <w:szCs w:val="24"/>
          <w:highlight w:val="none"/>
          <w:lang w:bidi="ar"/>
        </w:rPr>
        <w:t>10.2 上款所述的证明文件，可以是文字资料、图纸和数据，它包括：</w:t>
      </w:r>
    </w:p>
    <w:p w14:paraId="428C4CF5">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right="0" w:rightChars="0" w:firstLine="480" w:firstLineChars="200"/>
        <w:textAlignment w:val="auto"/>
        <w:rPr>
          <w:rFonts w:hint="eastAsia" w:ascii="宋体" w:hAnsi="宋体" w:eastAsia="宋体" w:cs="宋体"/>
          <w:bCs w:val="0"/>
          <w:spacing w:val="0"/>
          <w:kern w:val="2"/>
          <w:sz w:val="24"/>
          <w:szCs w:val="24"/>
          <w:highlight w:val="none"/>
          <w:lang w:bidi="ar"/>
        </w:rPr>
      </w:pPr>
      <w:r>
        <w:rPr>
          <w:rFonts w:hint="eastAsia" w:ascii="宋体" w:hAnsi="宋体" w:eastAsia="宋体" w:cs="宋体"/>
          <w:bCs w:val="0"/>
          <w:spacing w:val="0"/>
          <w:kern w:val="2"/>
          <w:sz w:val="24"/>
          <w:szCs w:val="24"/>
          <w:highlight w:val="none"/>
          <w:lang w:bidi="ar"/>
        </w:rPr>
        <w:t xml:space="preserve">（1）货物主要技术指标和性能的详细说明。 </w:t>
      </w:r>
    </w:p>
    <w:p w14:paraId="0C7C9FFC">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right="0" w:rightChars="0" w:firstLine="480" w:firstLineChars="200"/>
        <w:textAlignment w:val="auto"/>
        <w:rPr>
          <w:rFonts w:hint="eastAsia" w:ascii="宋体" w:hAnsi="宋体" w:eastAsia="宋体" w:cs="宋体"/>
          <w:bCs w:val="0"/>
          <w:spacing w:val="0"/>
          <w:kern w:val="2"/>
          <w:sz w:val="24"/>
          <w:szCs w:val="24"/>
          <w:highlight w:val="none"/>
          <w:lang w:bidi="ar"/>
        </w:rPr>
      </w:pPr>
      <w:r>
        <w:rPr>
          <w:rFonts w:hint="eastAsia" w:ascii="宋体" w:hAnsi="宋体" w:eastAsia="宋体" w:cs="宋体"/>
          <w:bCs w:val="0"/>
          <w:spacing w:val="0"/>
          <w:kern w:val="2"/>
          <w:sz w:val="24"/>
          <w:szCs w:val="24"/>
          <w:highlight w:val="none"/>
          <w:lang w:bidi="ar"/>
        </w:rPr>
        <w:t xml:space="preserve">（2）货物从买方开始使用至招标文件规定的保质期内正常、连续地使用所必须的备件和专用工具清单，包括备件和专用工具的货源及现行价格。 </w:t>
      </w:r>
    </w:p>
    <w:p w14:paraId="06842733">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right="0" w:rightChars="0" w:firstLine="480" w:firstLineChars="200"/>
        <w:textAlignment w:val="auto"/>
        <w:rPr>
          <w:rFonts w:hint="eastAsia" w:ascii="宋体" w:hAnsi="宋体" w:eastAsia="宋体" w:cs="宋体"/>
          <w:bCs w:val="0"/>
          <w:spacing w:val="0"/>
          <w:kern w:val="2"/>
          <w:sz w:val="24"/>
          <w:szCs w:val="24"/>
          <w:highlight w:val="none"/>
          <w:lang w:bidi="ar"/>
        </w:rPr>
      </w:pPr>
      <w:r>
        <w:rPr>
          <w:rFonts w:hint="eastAsia" w:ascii="宋体" w:hAnsi="宋体" w:eastAsia="宋体" w:cs="宋体"/>
          <w:bCs w:val="0"/>
          <w:spacing w:val="0"/>
          <w:kern w:val="2"/>
          <w:sz w:val="24"/>
          <w:szCs w:val="24"/>
          <w:highlight w:val="none"/>
          <w:lang w:bidi="ar"/>
        </w:rPr>
        <w:t>（3）对照招标文件技术规格，逐条说明所提供货物和服务已对招标文件的技术规格做出了实质性的响应，或申明与技术规格条文的偏差和例外。</w:t>
      </w:r>
    </w:p>
    <w:p w14:paraId="55B87C52">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right="0" w:rightChars="0" w:firstLine="480" w:firstLineChars="200"/>
        <w:textAlignment w:val="auto"/>
        <w:rPr>
          <w:rFonts w:hint="eastAsia" w:ascii="宋体" w:hAnsi="宋体" w:eastAsia="宋体" w:cs="宋体"/>
          <w:bCs w:val="0"/>
          <w:spacing w:val="0"/>
          <w:kern w:val="2"/>
          <w:sz w:val="24"/>
          <w:szCs w:val="24"/>
          <w:highlight w:val="none"/>
          <w:lang w:bidi="ar"/>
        </w:rPr>
      </w:pPr>
      <w:r>
        <w:rPr>
          <w:rFonts w:hint="eastAsia" w:ascii="宋体" w:hAnsi="宋体" w:eastAsia="宋体" w:cs="宋体"/>
          <w:bCs w:val="0"/>
          <w:spacing w:val="0"/>
          <w:kern w:val="2"/>
          <w:sz w:val="24"/>
          <w:szCs w:val="24"/>
          <w:highlight w:val="none"/>
          <w:lang w:bidi="ar"/>
        </w:rPr>
        <w:t>10.3 投标人应注意采购人在技术规格中指出的工艺、材料和设备的参照品牌、牌号或分类号仅起说明作用，并没有任何限制性。投标人在投标中可以选用替代品牌、牌号或分类号，但这些替代要实质上相当于技术规格的要求。</w:t>
      </w:r>
      <w:r>
        <w:rPr>
          <w:rFonts w:hint="eastAsia" w:ascii="宋体" w:hAnsi="宋体" w:eastAsia="宋体" w:cs="宋体"/>
          <w:b/>
          <w:spacing w:val="0"/>
          <w:kern w:val="2"/>
          <w:sz w:val="24"/>
          <w:szCs w:val="24"/>
          <w:highlight w:val="none"/>
          <w:lang w:bidi="ar"/>
        </w:rPr>
        <w:t>采购人、采购代理机构承诺不以上述参考品牌、牌号或分类号作为评标时判定其投标是否有效的标准</w:t>
      </w:r>
      <w:r>
        <w:rPr>
          <w:rFonts w:hint="eastAsia" w:ascii="宋体" w:hAnsi="宋体" w:eastAsia="宋体" w:cs="宋体"/>
          <w:bCs w:val="0"/>
          <w:spacing w:val="0"/>
          <w:kern w:val="2"/>
          <w:sz w:val="24"/>
          <w:szCs w:val="24"/>
          <w:highlight w:val="none"/>
          <w:lang w:bidi="ar"/>
        </w:rPr>
        <w:t xml:space="preserve">。 </w:t>
      </w:r>
    </w:p>
    <w:p w14:paraId="7CCF95A0">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480" w:firstLineChars="200"/>
        <w:textAlignment w:val="auto"/>
        <w:rPr>
          <w:rFonts w:hint="eastAsia" w:ascii="宋体" w:hAnsi="宋体" w:eastAsia="宋体" w:cs="宋体"/>
          <w:sz w:val="24"/>
          <w:highlight w:val="none"/>
          <w:lang w:bidi="ar"/>
        </w:rPr>
      </w:pPr>
      <w:r>
        <w:rPr>
          <w:rFonts w:hint="eastAsia" w:ascii="宋体" w:hAnsi="宋体" w:eastAsia="宋体" w:cs="宋体"/>
          <w:sz w:val="24"/>
          <w:highlight w:val="none"/>
          <w:lang w:bidi="ar"/>
        </w:rPr>
        <w:t>10.4 本条所指证明文件不包括对招标文件相关部分的文字、图标的复制。</w:t>
      </w:r>
    </w:p>
    <w:p w14:paraId="2774C93E">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right="0" w:rightChars="0" w:firstLine="482" w:firstLineChars="200"/>
        <w:textAlignment w:val="auto"/>
        <w:rPr>
          <w:rFonts w:hint="eastAsia" w:ascii="宋体" w:hAnsi="宋体" w:eastAsia="宋体" w:cs="宋体"/>
          <w:b/>
          <w:spacing w:val="0"/>
          <w:kern w:val="2"/>
          <w:sz w:val="24"/>
          <w:szCs w:val="24"/>
          <w:highlight w:val="none"/>
          <w:lang w:bidi="ar"/>
        </w:rPr>
      </w:pPr>
      <w:r>
        <w:rPr>
          <w:rFonts w:hint="eastAsia" w:ascii="宋体" w:hAnsi="宋体" w:eastAsia="宋体" w:cs="宋体"/>
          <w:b/>
          <w:spacing w:val="0"/>
          <w:kern w:val="2"/>
          <w:sz w:val="24"/>
          <w:szCs w:val="24"/>
          <w:highlight w:val="none"/>
          <w:lang w:bidi="ar"/>
        </w:rPr>
        <w:t xml:space="preserve">11. 投标报价 </w:t>
      </w:r>
    </w:p>
    <w:p w14:paraId="7C8CA06C">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right="0" w:rightChars="0" w:firstLine="480" w:firstLineChars="200"/>
        <w:textAlignment w:val="auto"/>
        <w:rPr>
          <w:rFonts w:hint="eastAsia" w:ascii="宋体" w:hAnsi="宋体" w:eastAsia="宋体" w:cs="宋体"/>
          <w:bCs w:val="0"/>
          <w:spacing w:val="0"/>
          <w:kern w:val="2"/>
          <w:sz w:val="24"/>
          <w:szCs w:val="24"/>
          <w:highlight w:val="none"/>
          <w:lang w:bidi="ar"/>
        </w:rPr>
      </w:pPr>
      <w:r>
        <w:rPr>
          <w:rFonts w:hint="eastAsia" w:ascii="宋体" w:hAnsi="宋体" w:eastAsia="宋体" w:cs="宋体"/>
          <w:bCs w:val="0"/>
          <w:spacing w:val="0"/>
          <w:kern w:val="2"/>
          <w:sz w:val="24"/>
          <w:szCs w:val="24"/>
          <w:highlight w:val="none"/>
          <w:lang w:bidi="ar"/>
        </w:rPr>
        <w:t>11.1 投标人的报价应当包括满足本次招标全部采购需求所应提供的货物以及伴随的服务和工程。所有投标均以人民币报价。投标人的投标报价应遵守《中华人民共和国价格法》。同时，根据《中华人民共和国政府采购法》及相关配套法律、法规的规定，为保证公平竞争，如投标人有货物主体部分的赠与行为，将导致其</w:t>
      </w:r>
      <w:r>
        <w:rPr>
          <w:rFonts w:hint="eastAsia" w:ascii="宋体" w:hAnsi="宋体" w:eastAsia="宋体" w:cs="宋体"/>
          <w:b/>
          <w:spacing w:val="0"/>
          <w:kern w:val="2"/>
          <w:sz w:val="24"/>
          <w:szCs w:val="24"/>
          <w:highlight w:val="none"/>
          <w:lang w:bidi="ar"/>
        </w:rPr>
        <w:t>投标被拒绝</w:t>
      </w:r>
      <w:r>
        <w:rPr>
          <w:rFonts w:hint="eastAsia" w:ascii="宋体" w:hAnsi="宋体" w:eastAsia="宋体" w:cs="宋体"/>
          <w:bCs w:val="0"/>
          <w:spacing w:val="0"/>
          <w:kern w:val="2"/>
          <w:sz w:val="24"/>
          <w:szCs w:val="24"/>
          <w:highlight w:val="none"/>
          <w:lang w:bidi="ar"/>
        </w:rPr>
        <w:t xml:space="preserve">。 </w:t>
      </w:r>
    </w:p>
    <w:p w14:paraId="190E66AF">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right="0" w:rightChars="0" w:firstLine="480" w:firstLineChars="200"/>
        <w:textAlignment w:val="auto"/>
        <w:rPr>
          <w:rFonts w:hint="eastAsia" w:ascii="宋体" w:hAnsi="宋体" w:eastAsia="宋体" w:cs="宋体"/>
          <w:bCs w:val="0"/>
          <w:spacing w:val="0"/>
          <w:kern w:val="2"/>
          <w:sz w:val="24"/>
          <w:szCs w:val="24"/>
          <w:highlight w:val="none"/>
          <w:lang w:bidi="ar"/>
        </w:rPr>
      </w:pPr>
      <w:r>
        <w:rPr>
          <w:rFonts w:hint="eastAsia" w:ascii="宋体" w:hAnsi="宋体" w:eastAsia="宋体" w:cs="宋体"/>
          <w:bCs w:val="0"/>
          <w:spacing w:val="0"/>
          <w:kern w:val="2"/>
          <w:sz w:val="24"/>
          <w:szCs w:val="24"/>
          <w:highlight w:val="none"/>
          <w:lang w:bidi="ar"/>
        </w:rPr>
        <w:t xml:space="preserve">11.2 投标人应在投标分项报价表上标明货物及伴随的服务和工程的单价（如适用）和总价，并由法定代表人或委托代理人签字或盖章。 </w:t>
      </w:r>
    </w:p>
    <w:p w14:paraId="55EE14F8">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right="0" w:rightChars="0" w:firstLine="480" w:firstLineChars="200"/>
        <w:textAlignment w:val="auto"/>
        <w:rPr>
          <w:rFonts w:hint="eastAsia" w:ascii="宋体" w:hAnsi="宋体" w:eastAsia="宋体" w:cs="宋体"/>
          <w:bCs w:val="0"/>
          <w:spacing w:val="0"/>
          <w:kern w:val="2"/>
          <w:sz w:val="24"/>
          <w:szCs w:val="24"/>
          <w:highlight w:val="none"/>
          <w:lang w:bidi="ar"/>
        </w:rPr>
      </w:pPr>
      <w:r>
        <w:rPr>
          <w:rFonts w:hint="eastAsia" w:ascii="宋体" w:hAnsi="宋体" w:eastAsia="宋体" w:cs="宋体"/>
          <w:bCs w:val="0"/>
          <w:spacing w:val="0"/>
          <w:kern w:val="2"/>
          <w:sz w:val="24"/>
          <w:szCs w:val="24"/>
          <w:highlight w:val="none"/>
          <w:lang w:bidi="ar"/>
        </w:rPr>
        <w:t>11.3 投标人所报的各分项投标单价在合同履行过程中是固定不变的，不得以任何理由予以变更。任何包含价格调整要求的投标，其投标将被认定为</w:t>
      </w:r>
      <w:r>
        <w:rPr>
          <w:rFonts w:hint="eastAsia" w:ascii="宋体" w:hAnsi="宋体" w:eastAsia="宋体" w:cs="宋体"/>
          <w:b/>
          <w:spacing w:val="0"/>
          <w:kern w:val="2"/>
          <w:sz w:val="24"/>
          <w:szCs w:val="24"/>
          <w:highlight w:val="none"/>
          <w:lang w:bidi="ar"/>
        </w:rPr>
        <w:t>投标无效</w:t>
      </w:r>
      <w:r>
        <w:rPr>
          <w:rFonts w:hint="eastAsia" w:ascii="宋体" w:hAnsi="宋体" w:eastAsia="宋体" w:cs="宋体"/>
          <w:bCs w:val="0"/>
          <w:spacing w:val="0"/>
          <w:kern w:val="2"/>
          <w:sz w:val="24"/>
          <w:szCs w:val="24"/>
          <w:highlight w:val="none"/>
          <w:lang w:bidi="ar"/>
        </w:rPr>
        <w:t xml:space="preserve">。 </w:t>
      </w:r>
    </w:p>
    <w:p w14:paraId="198BF048">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right="0" w:rightChars="0" w:firstLine="480" w:firstLineChars="200"/>
        <w:textAlignment w:val="auto"/>
        <w:rPr>
          <w:rFonts w:hint="eastAsia" w:ascii="宋体" w:hAnsi="宋体" w:eastAsia="宋体" w:cs="宋体"/>
          <w:bCs w:val="0"/>
          <w:spacing w:val="0"/>
          <w:kern w:val="2"/>
          <w:sz w:val="24"/>
          <w:szCs w:val="24"/>
          <w:highlight w:val="none"/>
          <w:lang w:bidi="ar"/>
        </w:rPr>
      </w:pPr>
      <w:r>
        <w:rPr>
          <w:rFonts w:hint="eastAsia" w:ascii="宋体" w:hAnsi="宋体" w:eastAsia="宋体" w:cs="宋体"/>
          <w:bCs w:val="0"/>
          <w:spacing w:val="0"/>
          <w:kern w:val="2"/>
          <w:sz w:val="24"/>
          <w:szCs w:val="24"/>
          <w:highlight w:val="none"/>
          <w:lang w:bidi="ar"/>
        </w:rPr>
        <w:t>11.4 每种货物及伴随的服务只能有一个投标报价，否则其投标将被认定为</w:t>
      </w:r>
      <w:r>
        <w:rPr>
          <w:rFonts w:hint="eastAsia" w:ascii="宋体" w:hAnsi="宋体" w:eastAsia="宋体" w:cs="宋体"/>
          <w:b/>
          <w:spacing w:val="0"/>
          <w:kern w:val="2"/>
          <w:sz w:val="24"/>
          <w:szCs w:val="24"/>
          <w:highlight w:val="none"/>
          <w:lang w:bidi="ar"/>
        </w:rPr>
        <w:t>投标无效</w:t>
      </w:r>
      <w:r>
        <w:rPr>
          <w:rFonts w:hint="eastAsia" w:ascii="宋体" w:hAnsi="宋体" w:eastAsia="宋体" w:cs="宋体"/>
          <w:bCs w:val="0"/>
          <w:spacing w:val="0"/>
          <w:kern w:val="2"/>
          <w:sz w:val="24"/>
          <w:szCs w:val="24"/>
          <w:highlight w:val="none"/>
          <w:lang w:bidi="ar"/>
        </w:rPr>
        <w:t xml:space="preserve">，采购人不接受具有附加条件的报价。 </w:t>
      </w:r>
    </w:p>
    <w:p w14:paraId="7EA552B8">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right="0" w:rightChars="0" w:firstLine="480" w:firstLineChars="200"/>
        <w:textAlignment w:val="auto"/>
        <w:rPr>
          <w:rFonts w:hint="eastAsia" w:ascii="宋体" w:hAnsi="宋体" w:eastAsia="宋体" w:cs="宋体"/>
          <w:bCs w:val="0"/>
          <w:spacing w:val="0"/>
          <w:kern w:val="2"/>
          <w:sz w:val="24"/>
          <w:szCs w:val="24"/>
          <w:highlight w:val="none"/>
          <w:lang w:bidi="ar"/>
        </w:rPr>
      </w:pPr>
      <w:r>
        <w:rPr>
          <w:rFonts w:hint="eastAsia" w:ascii="宋体" w:hAnsi="宋体" w:eastAsia="宋体" w:cs="宋体"/>
          <w:bCs w:val="0"/>
          <w:spacing w:val="0"/>
          <w:kern w:val="2"/>
          <w:sz w:val="24"/>
          <w:szCs w:val="24"/>
          <w:highlight w:val="none"/>
          <w:lang w:bidi="ar"/>
        </w:rPr>
        <w:t>11.5 投标分项报价表上的价格应按下列方式填写：</w:t>
      </w:r>
    </w:p>
    <w:p w14:paraId="01979C34">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right="0" w:rightChars="0" w:firstLine="480" w:firstLineChars="200"/>
        <w:textAlignment w:val="auto"/>
        <w:rPr>
          <w:rFonts w:hint="eastAsia" w:ascii="宋体" w:hAnsi="宋体" w:eastAsia="宋体" w:cs="宋体"/>
          <w:bCs w:val="0"/>
          <w:spacing w:val="0"/>
          <w:kern w:val="2"/>
          <w:sz w:val="24"/>
          <w:szCs w:val="24"/>
          <w:highlight w:val="none"/>
          <w:lang w:bidi="ar"/>
        </w:rPr>
      </w:pPr>
      <w:r>
        <w:rPr>
          <w:rFonts w:hint="eastAsia" w:ascii="宋体" w:hAnsi="宋体" w:eastAsia="宋体" w:cs="宋体"/>
          <w:bCs w:val="0"/>
          <w:spacing w:val="0"/>
          <w:kern w:val="2"/>
          <w:sz w:val="24"/>
          <w:szCs w:val="24"/>
          <w:highlight w:val="none"/>
          <w:lang w:bidi="ar"/>
        </w:rPr>
        <w:t>投标人须严格按照分项报价表规定的内容填写投标报价以及其他事项。投标人应根据本招标文件的规定和要求、市场价格水平及其走势、投标人的管理水平、投标人的方案和由这些因素决定的投标人之于本项目的成本水平等提出自己的报价。报价应合理，并包含完成本招标文件采购需求全部内容的所有费用，所有根据本招标文件或其它原因应由投标人支付的税款和其他应缴纳的费用都应包括在投标人提交的投标报价中。</w:t>
      </w:r>
    </w:p>
    <w:p w14:paraId="242443A5">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right="0" w:rightChars="0" w:firstLine="482" w:firstLineChars="200"/>
        <w:textAlignment w:val="auto"/>
        <w:rPr>
          <w:rFonts w:hint="eastAsia" w:ascii="宋体" w:hAnsi="宋体" w:eastAsia="宋体" w:cs="宋体"/>
          <w:b/>
          <w:spacing w:val="0"/>
          <w:kern w:val="2"/>
          <w:sz w:val="24"/>
          <w:szCs w:val="24"/>
          <w:highlight w:val="none"/>
          <w:lang w:bidi="ar"/>
        </w:rPr>
      </w:pPr>
      <w:r>
        <w:rPr>
          <w:rFonts w:hint="eastAsia" w:ascii="宋体" w:hAnsi="宋体" w:eastAsia="宋体" w:cs="宋体"/>
          <w:b/>
          <w:spacing w:val="0"/>
          <w:kern w:val="2"/>
          <w:sz w:val="24"/>
          <w:szCs w:val="24"/>
          <w:highlight w:val="none"/>
          <w:lang w:bidi="ar"/>
        </w:rPr>
        <w:t xml:space="preserve">12. 投标保证金 </w:t>
      </w:r>
    </w:p>
    <w:p w14:paraId="6AEE1FF2">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right="0" w:rightChars="0" w:firstLine="480" w:firstLineChars="200"/>
        <w:textAlignment w:val="auto"/>
        <w:rPr>
          <w:rFonts w:hint="eastAsia" w:ascii="宋体" w:hAnsi="宋体" w:eastAsia="宋体" w:cs="宋体"/>
          <w:bCs w:val="0"/>
          <w:spacing w:val="0"/>
          <w:kern w:val="2"/>
          <w:sz w:val="24"/>
          <w:szCs w:val="24"/>
          <w:highlight w:val="none"/>
          <w:lang w:bidi="ar"/>
        </w:rPr>
      </w:pPr>
      <w:r>
        <w:rPr>
          <w:rFonts w:hint="eastAsia" w:ascii="宋体" w:hAnsi="宋体" w:eastAsia="宋体" w:cs="宋体"/>
          <w:bCs w:val="0"/>
          <w:spacing w:val="0"/>
          <w:kern w:val="2"/>
          <w:sz w:val="24"/>
          <w:szCs w:val="24"/>
          <w:highlight w:val="none"/>
          <w:lang w:bidi="ar"/>
        </w:rPr>
        <w:t>12.1 投标人应提交</w:t>
      </w:r>
      <w:r>
        <w:rPr>
          <w:rFonts w:hint="eastAsia" w:ascii="宋体" w:hAnsi="宋体" w:eastAsia="宋体" w:cs="宋体"/>
          <w:bCs w:val="0"/>
          <w:spacing w:val="0"/>
          <w:kern w:val="2"/>
          <w:sz w:val="24"/>
          <w:szCs w:val="24"/>
          <w:highlight w:val="none"/>
          <w:u w:val="single"/>
          <w:lang w:bidi="ar"/>
        </w:rPr>
        <w:t>投标须知前附表</w:t>
      </w:r>
      <w:r>
        <w:rPr>
          <w:rFonts w:hint="eastAsia" w:ascii="宋体" w:hAnsi="宋体" w:eastAsia="宋体" w:cs="宋体"/>
          <w:bCs w:val="0"/>
          <w:spacing w:val="0"/>
          <w:kern w:val="2"/>
          <w:sz w:val="24"/>
          <w:szCs w:val="24"/>
          <w:highlight w:val="none"/>
          <w:lang w:bidi="ar"/>
        </w:rPr>
        <w:t xml:space="preserve">中规定的投标保证金，并作为其投标的一部分。 </w:t>
      </w:r>
    </w:p>
    <w:p w14:paraId="52A42492">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right="0" w:rightChars="0" w:firstLine="480" w:firstLineChars="200"/>
        <w:textAlignment w:val="auto"/>
        <w:rPr>
          <w:rFonts w:hint="eastAsia" w:ascii="宋体" w:hAnsi="宋体" w:eastAsia="宋体" w:cs="宋体"/>
          <w:bCs w:val="0"/>
          <w:spacing w:val="0"/>
          <w:kern w:val="2"/>
          <w:sz w:val="24"/>
          <w:szCs w:val="24"/>
          <w:highlight w:val="none"/>
          <w:lang w:bidi="ar"/>
        </w:rPr>
      </w:pPr>
      <w:r>
        <w:rPr>
          <w:rFonts w:hint="eastAsia" w:ascii="宋体" w:hAnsi="宋体" w:eastAsia="宋体" w:cs="宋体"/>
          <w:bCs w:val="0"/>
          <w:spacing w:val="0"/>
          <w:kern w:val="2"/>
          <w:sz w:val="24"/>
          <w:szCs w:val="24"/>
          <w:highlight w:val="none"/>
          <w:lang w:bidi="ar"/>
        </w:rPr>
        <w:t xml:space="preserve">12.2 投标保证金是为了保护采购人和采购代理机构免遭因投标人的行为蒙受损失而要求的。 </w:t>
      </w:r>
    </w:p>
    <w:p w14:paraId="02B31D8F">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right="0" w:rightChars="0" w:firstLine="482" w:firstLineChars="200"/>
        <w:textAlignment w:val="auto"/>
        <w:rPr>
          <w:rFonts w:hint="eastAsia" w:ascii="宋体" w:hAnsi="宋体" w:eastAsia="宋体" w:cs="宋体"/>
          <w:b/>
          <w:spacing w:val="0"/>
          <w:kern w:val="2"/>
          <w:sz w:val="24"/>
          <w:szCs w:val="24"/>
          <w:highlight w:val="none"/>
          <w:lang w:bidi="ar"/>
        </w:rPr>
      </w:pPr>
      <w:r>
        <w:rPr>
          <w:rFonts w:hint="eastAsia" w:ascii="宋体" w:hAnsi="宋体" w:eastAsia="宋体" w:cs="宋体"/>
          <w:b/>
          <w:spacing w:val="0"/>
          <w:kern w:val="2"/>
          <w:sz w:val="24"/>
          <w:szCs w:val="24"/>
          <w:highlight w:val="none"/>
          <w:lang w:bidi="ar"/>
        </w:rPr>
        <w:t xml:space="preserve">下列任何情况发生，投标保证金不予退还： </w:t>
      </w:r>
    </w:p>
    <w:p w14:paraId="02F1F285">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right="0" w:rightChars="0" w:firstLine="480" w:firstLineChars="200"/>
        <w:textAlignment w:val="auto"/>
        <w:rPr>
          <w:rFonts w:hint="eastAsia" w:ascii="宋体" w:hAnsi="宋体" w:eastAsia="宋体" w:cs="宋体"/>
          <w:bCs w:val="0"/>
          <w:spacing w:val="0"/>
          <w:kern w:val="2"/>
          <w:sz w:val="24"/>
          <w:szCs w:val="24"/>
          <w:highlight w:val="none"/>
          <w:lang w:bidi="ar"/>
        </w:rPr>
      </w:pPr>
      <w:r>
        <w:rPr>
          <w:rFonts w:hint="eastAsia" w:ascii="宋体" w:hAnsi="宋体" w:eastAsia="宋体" w:cs="宋体"/>
          <w:bCs w:val="0"/>
          <w:spacing w:val="0"/>
          <w:kern w:val="2"/>
          <w:sz w:val="24"/>
          <w:szCs w:val="24"/>
          <w:highlight w:val="none"/>
          <w:lang w:bidi="ar"/>
        </w:rPr>
        <w:t xml:space="preserve">（1）在投标有效期内，投标人撤回投标的； </w:t>
      </w:r>
    </w:p>
    <w:p w14:paraId="0A5C714F">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right="0" w:rightChars="0" w:firstLine="480" w:firstLineChars="200"/>
        <w:textAlignment w:val="auto"/>
        <w:rPr>
          <w:rFonts w:hint="eastAsia" w:ascii="宋体" w:hAnsi="宋体" w:eastAsia="宋体" w:cs="宋体"/>
          <w:bCs w:val="0"/>
          <w:spacing w:val="0"/>
          <w:kern w:val="2"/>
          <w:sz w:val="24"/>
          <w:szCs w:val="24"/>
          <w:highlight w:val="none"/>
          <w:lang w:bidi="ar"/>
        </w:rPr>
      </w:pPr>
      <w:r>
        <w:rPr>
          <w:rFonts w:hint="eastAsia" w:ascii="宋体" w:hAnsi="宋体" w:eastAsia="宋体" w:cs="宋体"/>
          <w:bCs w:val="0"/>
          <w:spacing w:val="0"/>
          <w:kern w:val="2"/>
          <w:sz w:val="24"/>
          <w:szCs w:val="24"/>
          <w:highlight w:val="none"/>
          <w:lang w:bidi="ar"/>
        </w:rPr>
        <w:t xml:space="preserve">（2）中标人不按本招标文件的规定与采购人签订合同的； </w:t>
      </w:r>
    </w:p>
    <w:p w14:paraId="6D97ACD9">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right="0" w:rightChars="0" w:firstLine="480" w:firstLineChars="200"/>
        <w:textAlignment w:val="auto"/>
        <w:rPr>
          <w:rFonts w:hint="eastAsia" w:ascii="宋体" w:hAnsi="宋体" w:eastAsia="宋体" w:cs="宋体"/>
          <w:bCs w:val="0"/>
          <w:spacing w:val="0"/>
          <w:kern w:val="2"/>
          <w:sz w:val="24"/>
          <w:szCs w:val="24"/>
          <w:highlight w:val="none"/>
          <w:lang w:bidi="ar"/>
        </w:rPr>
      </w:pPr>
      <w:r>
        <w:rPr>
          <w:rFonts w:hint="eastAsia" w:ascii="宋体" w:hAnsi="宋体" w:eastAsia="宋体" w:cs="宋体"/>
          <w:bCs w:val="0"/>
          <w:spacing w:val="0"/>
          <w:kern w:val="2"/>
          <w:sz w:val="24"/>
          <w:szCs w:val="24"/>
          <w:highlight w:val="none"/>
          <w:lang w:bidi="ar"/>
        </w:rPr>
        <w:t xml:space="preserve">（3）中标人不按本招标文件的规定提交履约保证金的； </w:t>
      </w:r>
    </w:p>
    <w:p w14:paraId="054303CD">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right="0" w:rightChars="0" w:firstLine="480" w:firstLineChars="200"/>
        <w:textAlignment w:val="auto"/>
        <w:rPr>
          <w:rFonts w:hint="eastAsia" w:ascii="宋体" w:hAnsi="宋体" w:eastAsia="宋体" w:cs="宋体"/>
          <w:bCs w:val="0"/>
          <w:spacing w:val="0"/>
          <w:kern w:val="2"/>
          <w:sz w:val="24"/>
          <w:szCs w:val="24"/>
          <w:highlight w:val="none"/>
          <w:lang w:bidi="ar"/>
        </w:rPr>
      </w:pPr>
      <w:r>
        <w:rPr>
          <w:rFonts w:hint="eastAsia" w:ascii="宋体" w:hAnsi="宋体" w:eastAsia="宋体" w:cs="宋体"/>
          <w:bCs w:val="0"/>
          <w:spacing w:val="0"/>
          <w:kern w:val="2"/>
          <w:sz w:val="24"/>
          <w:szCs w:val="24"/>
          <w:highlight w:val="none"/>
          <w:lang w:bidi="ar"/>
        </w:rPr>
        <w:t>（</w:t>
      </w:r>
      <w:r>
        <w:rPr>
          <w:rFonts w:hint="eastAsia" w:ascii="宋体" w:hAnsi="宋体" w:eastAsia="宋体" w:cs="宋体"/>
          <w:bCs w:val="0"/>
          <w:spacing w:val="0"/>
          <w:kern w:val="2"/>
          <w:sz w:val="24"/>
          <w:szCs w:val="24"/>
          <w:highlight w:val="none"/>
          <w:lang w:val="en-US" w:eastAsia="zh-CN" w:bidi="ar"/>
        </w:rPr>
        <w:t>4</w:t>
      </w:r>
      <w:r>
        <w:rPr>
          <w:rFonts w:hint="eastAsia" w:ascii="宋体" w:hAnsi="宋体" w:eastAsia="宋体" w:cs="宋体"/>
          <w:bCs w:val="0"/>
          <w:spacing w:val="0"/>
          <w:kern w:val="2"/>
          <w:sz w:val="24"/>
          <w:szCs w:val="24"/>
          <w:highlight w:val="none"/>
          <w:lang w:bidi="ar"/>
        </w:rPr>
        <w:t xml:space="preserve">）存在的串通投标情形的； </w:t>
      </w:r>
    </w:p>
    <w:p w14:paraId="622419A6">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right="0" w:rightChars="0" w:firstLine="480" w:firstLineChars="200"/>
        <w:textAlignment w:val="auto"/>
        <w:rPr>
          <w:rFonts w:hint="eastAsia" w:ascii="宋体" w:hAnsi="宋体" w:eastAsia="宋体" w:cs="宋体"/>
          <w:bCs w:val="0"/>
          <w:spacing w:val="0"/>
          <w:kern w:val="2"/>
          <w:sz w:val="24"/>
          <w:szCs w:val="24"/>
          <w:highlight w:val="none"/>
          <w:lang w:bidi="ar"/>
        </w:rPr>
      </w:pPr>
      <w:r>
        <w:rPr>
          <w:rFonts w:hint="eastAsia" w:ascii="宋体" w:hAnsi="宋体" w:eastAsia="宋体" w:cs="宋体"/>
          <w:bCs w:val="0"/>
          <w:spacing w:val="0"/>
          <w:kern w:val="2"/>
          <w:sz w:val="24"/>
          <w:szCs w:val="24"/>
          <w:highlight w:val="none"/>
          <w:lang w:bidi="ar"/>
        </w:rPr>
        <w:t>（</w:t>
      </w:r>
      <w:r>
        <w:rPr>
          <w:rFonts w:hint="eastAsia" w:ascii="宋体" w:hAnsi="宋体" w:eastAsia="宋体" w:cs="宋体"/>
          <w:bCs w:val="0"/>
          <w:spacing w:val="0"/>
          <w:kern w:val="2"/>
          <w:sz w:val="24"/>
          <w:szCs w:val="24"/>
          <w:highlight w:val="none"/>
          <w:lang w:val="en-US" w:eastAsia="zh-CN" w:bidi="ar"/>
        </w:rPr>
        <w:t>5</w:t>
      </w:r>
      <w:r>
        <w:rPr>
          <w:rFonts w:hint="eastAsia" w:ascii="宋体" w:hAnsi="宋体" w:eastAsia="宋体" w:cs="宋体"/>
          <w:bCs w:val="0"/>
          <w:spacing w:val="0"/>
          <w:kern w:val="2"/>
          <w:sz w:val="24"/>
          <w:szCs w:val="24"/>
          <w:highlight w:val="none"/>
          <w:lang w:bidi="ar"/>
        </w:rPr>
        <w:t xml:space="preserve">）存在向采购人、代理机构或评标专家行贿事实的； </w:t>
      </w:r>
    </w:p>
    <w:p w14:paraId="22833C75">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right="0" w:rightChars="0" w:firstLine="480" w:firstLineChars="200"/>
        <w:textAlignment w:val="auto"/>
        <w:rPr>
          <w:rFonts w:hint="eastAsia" w:ascii="宋体" w:hAnsi="宋体" w:eastAsia="宋体" w:cs="宋体"/>
          <w:bCs w:val="0"/>
          <w:spacing w:val="0"/>
          <w:kern w:val="2"/>
          <w:sz w:val="24"/>
          <w:szCs w:val="24"/>
          <w:highlight w:val="none"/>
          <w:lang w:bidi="ar"/>
        </w:rPr>
      </w:pPr>
      <w:r>
        <w:rPr>
          <w:rFonts w:hint="eastAsia" w:ascii="宋体" w:hAnsi="宋体" w:eastAsia="宋体" w:cs="宋体"/>
          <w:bCs w:val="0"/>
          <w:spacing w:val="0"/>
          <w:kern w:val="2"/>
          <w:sz w:val="24"/>
          <w:szCs w:val="24"/>
          <w:highlight w:val="none"/>
          <w:lang w:bidi="ar"/>
        </w:rPr>
        <w:t>（</w:t>
      </w:r>
      <w:r>
        <w:rPr>
          <w:rFonts w:hint="eastAsia" w:ascii="宋体" w:hAnsi="宋体" w:eastAsia="宋体" w:cs="宋体"/>
          <w:bCs w:val="0"/>
          <w:spacing w:val="0"/>
          <w:kern w:val="2"/>
          <w:sz w:val="24"/>
          <w:szCs w:val="24"/>
          <w:highlight w:val="none"/>
          <w:lang w:val="en-US" w:eastAsia="zh-CN" w:bidi="ar"/>
        </w:rPr>
        <w:t>6</w:t>
      </w:r>
      <w:r>
        <w:rPr>
          <w:rFonts w:hint="eastAsia" w:ascii="宋体" w:hAnsi="宋体" w:eastAsia="宋体" w:cs="宋体"/>
          <w:bCs w:val="0"/>
          <w:spacing w:val="0"/>
          <w:kern w:val="2"/>
          <w:sz w:val="24"/>
          <w:szCs w:val="24"/>
          <w:highlight w:val="none"/>
          <w:lang w:bidi="ar"/>
        </w:rPr>
        <w:t>）法律、法规规定的其它情况。</w:t>
      </w:r>
    </w:p>
    <w:p w14:paraId="0D2E6027">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right="0" w:rightChars="0" w:firstLine="480" w:firstLineChars="200"/>
        <w:textAlignment w:val="auto"/>
        <w:rPr>
          <w:rFonts w:hint="eastAsia" w:ascii="宋体" w:hAnsi="宋体" w:eastAsia="宋体" w:cs="宋体"/>
          <w:bCs w:val="0"/>
          <w:spacing w:val="0"/>
          <w:kern w:val="2"/>
          <w:sz w:val="24"/>
          <w:szCs w:val="24"/>
          <w:highlight w:val="none"/>
          <w:lang w:bidi="ar"/>
        </w:rPr>
      </w:pPr>
      <w:r>
        <w:rPr>
          <w:rFonts w:hint="eastAsia" w:ascii="宋体" w:hAnsi="宋体" w:eastAsia="宋体" w:cs="宋体"/>
          <w:bCs w:val="0"/>
          <w:spacing w:val="0"/>
          <w:kern w:val="2"/>
          <w:sz w:val="24"/>
          <w:szCs w:val="24"/>
          <w:highlight w:val="none"/>
          <w:lang w:bidi="ar"/>
        </w:rPr>
        <w:t xml:space="preserve">12.3 投标保证金可采用下列形式之一： </w:t>
      </w:r>
    </w:p>
    <w:p w14:paraId="2EF87B22">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right="0" w:rightChars="0" w:firstLine="480" w:firstLineChars="200"/>
        <w:textAlignment w:val="auto"/>
        <w:rPr>
          <w:rFonts w:hint="eastAsia" w:ascii="宋体" w:hAnsi="宋体" w:eastAsia="宋体" w:cs="宋体"/>
          <w:bCs w:val="0"/>
          <w:spacing w:val="0"/>
          <w:kern w:val="2"/>
          <w:sz w:val="24"/>
          <w:szCs w:val="24"/>
          <w:highlight w:val="none"/>
          <w:lang w:bidi="ar"/>
        </w:rPr>
      </w:pPr>
      <w:r>
        <w:rPr>
          <w:rFonts w:hint="eastAsia" w:ascii="宋体" w:hAnsi="宋体" w:eastAsia="宋体" w:cs="宋体"/>
          <w:bCs w:val="0"/>
          <w:spacing w:val="0"/>
          <w:kern w:val="2"/>
          <w:sz w:val="24"/>
          <w:szCs w:val="24"/>
          <w:highlight w:val="none"/>
          <w:lang w:bidi="ar"/>
        </w:rPr>
        <w:t>电汇、转账，以及</w:t>
      </w:r>
      <w:r>
        <w:rPr>
          <w:rFonts w:hint="eastAsia" w:ascii="宋体" w:hAnsi="宋体" w:eastAsia="宋体" w:cs="宋体"/>
          <w:bCs w:val="0"/>
          <w:spacing w:val="0"/>
          <w:kern w:val="2"/>
          <w:sz w:val="24"/>
          <w:szCs w:val="24"/>
          <w:highlight w:val="none"/>
          <w:u w:val="single"/>
          <w:lang w:bidi="ar"/>
        </w:rPr>
        <w:t>投标须知前附表</w:t>
      </w:r>
      <w:r>
        <w:rPr>
          <w:rFonts w:hint="eastAsia" w:ascii="宋体" w:hAnsi="宋体" w:eastAsia="宋体" w:cs="宋体"/>
          <w:bCs w:val="0"/>
          <w:spacing w:val="0"/>
          <w:kern w:val="2"/>
          <w:sz w:val="24"/>
          <w:szCs w:val="24"/>
          <w:highlight w:val="none"/>
          <w:lang w:bidi="ar"/>
        </w:rPr>
        <w:t xml:space="preserve">中可接受的其他形式； </w:t>
      </w:r>
    </w:p>
    <w:p w14:paraId="6D59FAEA">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right="0" w:rightChars="0" w:firstLine="480" w:firstLineChars="200"/>
        <w:textAlignment w:val="auto"/>
        <w:rPr>
          <w:rFonts w:hint="eastAsia" w:ascii="宋体" w:hAnsi="宋体" w:eastAsia="宋体" w:cs="宋体"/>
          <w:bCs w:val="0"/>
          <w:spacing w:val="0"/>
          <w:kern w:val="2"/>
          <w:sz w:val="24"/>
          <w:szCs w:val="24"/>
          <w:highlight w:val="none"/>
          <w:lang w:bidi="ar"/>
        </w:rPr>
      </w:pPr>
      <w:r>
        <w:rPr>
          <w:rFonts w:hint="eastAsia" w:ascii="宋体" w:hAnsi="宋体" w:eastAsia="宋体" w:cs="宋体"/>
          <w:bCs w:val="0"/>
          <w:spacing w:val="0"/>
          <w:kern w:val="2"/>
          <w:sz w:val="24"/>
          <w:szCs w:val="24"/>
          <w:highlight w:val="none"/>
          <w:lang w:bidi="ar"/>
        </w:rPr>
        <w:t>12.4 投标人没有根据本须知 12.1 和第 12.3 条规定提交投标保证金的，其投标将被认定为</w:t>
      </w:r>
      <w:r>
        <w:rPr>
          <w:rFonts w:hint="eastAsia" w:ascii="宋体" w:hAnsi="宋体" w:eastAsia="宋体" w:cs="宋体"/>
          <w:b/>
          <w:spacing w:val="0"/>
          <w:kern w:val="2"/>
          <w:sz w:val="24"/>
          <w:szCs w:val="24"/>
          <w:highlight w:val="none"/>
          <w:lang w:bidi="ar"/>
        </w:rPr>
        <w:t>投标无效</w:t>
      </w:r>
      <w:r>
        <w:rPr>
          <w:rFonts w:hint="eastAsia" w:ascii="宋体" w:hAnsi="宋体" w:eastAsia="宋体" w:cs="宋体"/>
          <w:bCs w:val="0"/>
          <w:spacing w:val="0"/>
          <w:kern w:val="2"/>
          <w:sz w:val="24"/>
          <w:szCs w:val="24"/>
          <w:highlight w:val="none"/>
          <w:lang w:bidi="ar"/>
        </w:rPr>
        <w:t>。采用电汇、转账等形式提交投标保证金的，投标人则应充分考虑入账时间，以确保投标保证金能按时进入指定账户。根据银行信息交换和付款时间，建议投标人投标截止日前2-3个工作日提交投标保证金。如投标人未及时提交投标保证，导致投标保证金不能按时进入指定账户的，将按照招标文件的第22.2条相关规定处理。</w:t>
      </w:r>
    </w:p>
    <w:p w14:paraId="695D3BB4">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right="0" w:rightChars="0" w:firstLine="480" w:firstLineChars="200"/>
        <w:textAlignment w:val="auto"/>
        <w:rPr>
          <w:rFonts w:hint="eastAsia" w:ascii="宋体" w:hAnsi="宋体" w:eastAsia="宋体" w:cs="宋体"/>
          <w:bCs w:val="0"/>
          <w:spacing w:val="0"/>
          <w:kern w:val="2"/>
          <w:sz w:val="24"/>
          <w:szCs w:val="24"/>
          <w:highlight w:val="none"/>
          <w:lang w:bidi="ar"/>
        </w:rPr>
      </w:pPr>
      <w:r>
        <w:rPr>
          <w:rFonts w:hint="eastAsia" w:ascii="宋体" w:hAnsi="宋体" w:eastAsia="宋体" w:cs="宋体"/>
          <w:bCs w:val="0"/>
          <w:spacing w:val="0"/>
          <w:kern w:val="2"/>
          <w:sz w:val="24"/>
          <w:szCs w:val="24"/>
          <w:highlight w:val="none"/>
          <w:lang w:bidi="ar"/>
        </w:rPr>
        <w:t xml:space="preserve">12.5 联合体投标的，可以由联合体中的一方或者共同提交投标保证金，以一方名义提交投标保证金的，对联合体各方均具有约束力。（本项目不适用） </w:t>
      </w:r>
    </w:p>
    <w:p w14:paraId="764D1C1D">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right="0" w:rightChars="0" w:firstLine="480" w:firstLineChars="200"/>
        <w:textAlignment w:val="auto"/>
        <w:rPr>
          <w:rFonts w:hint="eastAsia" w:ascii="宋体" w:hAnsi="宋体" w:eastAsia="宋体" w:cs="宋体"/>
          <w:bCs w:val="0"/>
          <w:spacing w:val="0"/>
          <w:kern w:val="2"/>
          <w:sz w:val="24"/>
          <w:szCs w:val="24"/>
          <w:highlight w:val="none"/>
          <w:lang w:bidi="ar"/>
        </w:rPr>
      </w:pPr>
      <w:r>
        <w:rPr>
          <w:rFonts w:hint="eastAsia" w:ascii="宋体" w:hAnsi="宋体" w:eastAsia="宋体" w:cs="宋体"/>
          <w:bCs w:val="0"/>
          <w:spacing w:val="0"/>
          <w:kern w:val="2"/>
          <w:sz w:val="24"/>
          <w:szCs w:val="24"/>
          <w:highlight w:val="none"/>
          <w:lang w:bidi="ar"/>
        </w:rPr>
        <w:t xml:space="preserve">12.6 中标人应在与采购人签订合同之日起 5 个工作日内及时联系采购代理机构办理投标保证金无息退还手续。未中标投标人的投标保证金将在中标通知书发出之日即中标结果公告公布之日起 5 个工作日内，及时联系采购人或采购代理机构办理无息退还投标保证金手续，因投标人自身原因导致无法及时退还的，采购人或采购代理机构将不承担资金占用费。 </w:t>
      </w:r>
    </w:p>
    <w:p w14:paraId="04CCD9CF">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right="0" w:rightChars="0" w:firstLine="482" w:firstLineChars="200"/>
        <w:textAlignment w:val="auto"/>
        <w:rPr>
          <w:rFonts w:hint="eastAsia" w:ascii="宋体" w:hAnsi="宋体" w:eastAsia="宋体" w:cs="宋体"/>
          <w:b/>
          <w:spacing w:val="0"/>
          <w:kern w:val="2"/>
          <w:sz w:val="24"/>
          <w:szCs w:val="24"/>
          <w:highlight w:val="none"/>
          <w:lang w:bidi="ar"/>
        </w:rPr>
      </w:pPr>
      <w:r>
        <w:rPr>
          <w:rFonts w:hint="eastAsia" w:ascii="宋体" w:hAnsi="宋体" w:eastAsia="宋体" w:cs="宋体"/>
          <w:b/>
          <w:spacing w:val="0"/>
          <w:kern w:val="2"/>
          <w:sz w:val="24"/>
          <w:szCs w:val="24"/>
          <w:highlight w:val="none"/>
          <w:lang w:bidi="ar"/>
        </w:rPr>
        <w:t xml:space="preserve">13. 投标有效期 </w:t>
      </w:r>
    </w:p>
    <w:p w14:paraId="62F82FD6">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right="0" w:rightChars="0" w:firstLine="480" w:firstLineChars="200"/>
        <w:textAlignment w:val="auto"/>
        <w:rPr>
          <w:rFonts w:hint="eastAsia" w:ascii="宋体" w:hAnsi="宋体" w:eastAsia="宋体" w:cs="宋体"/>
          <w:bCs w:val="0"/>
          <w:spacing w:val="0"/>
          <w:kern w:val="2"/>
          <w:sz w:val="24"/>
          <w:szCs w:val="24"/>
          <w:highlight w:val="none"/>
          <w:lang w:bidi="ar"/>
        </w:rPr>
      </w:pPr>
      <w:r>
        <w:rPr>
          <w:rFonts w:hint="eastAsia" w:ascii="宋体" w:hAnsi="宋体" w:eastAsia="宋体" w:cs="宋体"/>
          <w:bCs w:val="0"/>
          <w:spacing w:val="0"/>
          <w:kern w:val="2"/>
          <w:sz w:val="24"/>
          <w:szCs w:val="24"/>
          <w:highlight w:val="none"/>
          <w:lang w:bidi="ar"/>
        </w:rPr>
        <w:t>13.1 投标应在规定的提交投标文件截止之日起，按照</w:t>
      </w:r>
      <w:r>
        <w:rPr>
          <w:rFonts w:hint="eastAsia" w:ascii="宋体" w:hAnsi="宋体" w:eastAsia="宋体" w:cs="宋体"/>
          <w:bCs w:val="0"/>
          <w:spacing w:val="0"/>
          <w:kern w:val="2"/>
          <w:sz w:val="24"/>
          <w:szCs w:val="24"/>
          <w:highlight w:val="none"/>
          <w:u w:val="single"/>
          <w:lang w:bidi="ar"/>
        </w:rPr>
        <w:t>投标须知前附表</w:t>
      </w:r>
      <w:r>
        <w:rPr>
          <w:rFonts w:hint="eastAsia" w:ascii="宋体" w:hAnsi="宋体" w:eastAsia="宋体" w:cs="宋体"/>
          <w:bCs w:val="0"/>
          <w:spacing w:val="0"/>
          <w:kern w:val="2"/>
          <w:sz w:val="24"/>
          <w:szCs w:val="24"/>
          <w:highlight w:val="none"/>
          <w:lang w:bidi="ar"/>
        </w:rPr>
        <w:t>中规定时间内保持有效。投标有效期不满足要求的投标，其投标将被认定为</w:t>
      </w:r>
      <w:r>
        <w:rPr>
          <w:rFonts w:hint="eastAsia" w:ascii="宋体" w:hAnsi="宋体" w:eastAsia="宋体" w:cs="宋体"/>
          <w:b/>
          <w:spacing w:val="0"/>
          <w:kern w:val="2"/>
          <w:sz w:val="24"/>
          <w:szCs w:val="24"/>
          <w:highlight w:val="none"/>
          <w:lang w:bidi="ar"/>
        </w:rPr>
        <w:t>投标无效</w:t>
      </w:r>
      <w:r>
        <w:rPr>
          <w:rFonts w:hint="eastAsia" w:ascii="宋体" w:hAnsi="宋体" w:eastAsia="宋体" w:cs="宋体"/>
          <w:bCs w:val="0"/>
          <w:spacing w:val="0"/>
          <w:kern w:val="2"/>
          <w:sz w:val="24"/>
          <w:szCs w:val="24"/>
          <w:highlight w:val="none"/>
          <w:lang w:bidi="ar"/>
        </w:rPr>
        <w:t xml:space="preserve">。 </w:t>
      </w:r>
    </w:p>
    <w:p w14:paraId="44E6C7A0">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right="0" w:rightChars="0" w:firstLine="480" w:firstLineChars="200"/>
        <w:textAlignment w:val="auto"/>
        <w:rPr>
          <w:rFonts w:hint="eastAsia" w:ascii="宋体" w:hAnsi="宋体" w:eastAsia="宋体" w:cs="宋体"/>
          <w:bCs w:val="0"/>
          <w:spacing w:val="0"/>
          <w:kern w:val="2"/>
          <w:sz w:val="24"/>
          <w:szCs w:val="24"/>
          <w:highlight w:val="none"/>
          <w:lang w:bidi="ar"/>
        </w:rPr>
      </w:pPr>
      <w:r>
        <w:rPr>
          <w:rFonts w:hint="eastAsia" w:ascii="宋体" w:hAnsi="宋体" w:eastAsia="宋体" w:cs="宋体"/>
          <w:bCs w:val="0"/>
          <w:spacing w:val="0"/>
          <w:kern w:val="2"/>
          <w:sz w:val="24"/>
          <w:szCs w:val="24"/>
          <w:highlight w:val="none"/>
          <w:lang w:bidi="ar"/>
        </w:rPr>
        <w:t xml:space="preserve">13.2 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也可以拒绝延长投标有效期的要求，其投标保证金将无息退还。上述要求和答复都应以书面形式提交。 </w:t>
      </w:r>
    </w:p>
    <w:p w14:paraId="30178E3E">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right="0" w:rightChars="0" w:firstLine="482" w:firstLineChars="200"/>
        <w:textAlignment w:val="auto"/>
        <w:rPr>
          <w:rFonts w:hint="eastAsia" w:ascii="宋体" w:hAnsi="宋体" w:eastAsia="宋体" w:cs="宋体"/>
          <w:bCs w:val="0"/>
          <w:spacing w:val="0"/>
          <w:kern w:val="2"/>
          <w:sz w:val="24"/>
          <w:szCs w:val="24"/>
          <w:highlight w:val="none"/>
          <w:lang w:bidi="ar"/>
        </w:rPr>
      </w:pPr>
      <w:r>
        <w:rPr>
          <w:rFonts w:hint="eastAsia" w:ascii="宋体" w:hAnsi="宋体" w:eastAsia="宋体" w:cs="宋体"/>
          <w:b/>
          <w:spacing w:val="0"/>
          <w:kern w:val="2"/>
          <w:sz w:val="24"/>
          <w:szCs w:val="24"/>
          <w:highlight w:val="none"/>
          <w:lang w:bidi="ar"/>
        </w:rPr>
        <w:t>14. 投标文件的制作</w:t>
      </w:r>
      <w:r>
        <w:rPr>
          <w:rFonts w:hint="eastAsia" w:ascii="宋体" w:hAnsi="宋体" w:eastAsia="宋体" w:cs="宋体"/>
          <w:bCs w:val="0"/>
          <w:spacing w:val="0"/>
          <w:kern w:val="2"/>
          <w:sz w:val="24"/>
          <w:szCs w:val="24"/>
          <w:highlight w:val="none"/>
          <w:lang w:bidi="ar"/>
        </w:rPr>
        <w:t xml:space="preserve"> </w:t>
      </w:r>
    </w:p>
    <w:p w14:paraId="23E8D269">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right="0" w:rightChars="0" w:firstLine="480" w:firstLineChars="200"/>
        <w:textAlignment w:val="auto"/>
        <w:rPr>
          <w:rFonts w:hint="eastAsia" w:ascii="宋体" w:hAnsi="宋体" w:cs="宋体"/>
          <w:bCs w:val="0"/>
          <w:spacing w:val="0"/>
          <w:kern w:val="2"/>
          <w:sz w:val="24"/>
          <w:szCs w:val="24"/>
          <w:highlight w:val="none"/>
          <w:lang w:eastAsia="zh-CN" w:bidi="ar"/>
        </w:rPr>
      </w:pPr>
      <w:r>
        <w:rPr>
          <w:rFonts w:hint="eastAsia" w:ascii="宋体" w:hAnsi="宋体" w:eastAsia="宋体" w:cs="宋体"/>
          <w:bCs w:val="0"/>
          <w:spacing w:val="0"/>
          <w:kern w:val="2"/>
          <w:sz w:val="24"/>
          <w:szCs w:val="24"/>
          <w:highlight w:val="none"/>
          <w:lang w:bidi="ar"/>
        </w:rPr>
        <w:t>14.1 投标人应按</w:t>
      </w:r>
      <w:r>
        <w:rPr>
          <w:rFonts w:hint="eastAsia" w:ascii="宋体" w:hAnsi="宋体" w:eastAsia="宋体" w:cs="宋体"/>
          <w:bCs w:val="0"/>
          <w:spacing w:val="0"/>
          <w:kern w:val="2"/>
          <w:sz w:val="24"/>
          <w:szCs w:val="24"/>
          <w:highlight w:val="none"/>
          <w:u w:val="single"/>
          <w:lang w:bidi="ar"/>
        </w:rPr>
        <w:t>投标须知前附表</w:t>
      </w:r>
      <w:r>
        <w:rPr>
          <w:rFonts w:hint="eastAsia" w:ascii="宋体" w:hAnsi="宋体" w:eastAsia="宋体" w:cs="宋体"/>
          <w:bCs w:val="0"/>
          <w:spacing w:val="0"/>
          <w:kern w:val="2"/>
          <w:sz w:val="24"/>
          <w:szCs w:val="24"/>
          <w:highlight w:val="none"/>
          <w:lang w:bidi="ar"/>
        </w:rPr>
        <w:t>中的规定</w:t>
      </w:r>
      <w:r>
        <w:rPr>
          <w:rFonts w:hint="eastAsia" w:ascii="宋体" w:hAnsi="宋体" w:cs="宋体"/>
          <w:bCs w:val="0"/>
          <w:spacing w:val="0"/>
          <w:kern w:val="2"/>
          <w:sz w:val="24"/>
          <w:szCs w:val="24"/>
          <w:highlight w:val="none"/>
          <w:lang w:eastAsia="zh-CN" w:bidi="ar"/>
        </w:rPr>
        <w:t>。</w:t>
      </w:r>
    </w:p>
    <w:p w14:paraId="5E227126">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right="0" w:rightChars="0" w:firstLine="480" w:firstLineChars="200"/>
        <w:textAlignment w:val="auto"/>
        <w:rPr>
          <w:rFonts w:hint="eastAsia" w:ascii="宋体" w:hAnsi="宋体" w:cs="宋体"/>
          <w:bCs w:val="0"/>
          <w:spacing w:val="0"/>
          <w:kern w:val="2"/>
          <w:sz w:val="24"/>
          <w:szCs w:val="24"/>
          <w:highlight w:val="none"/>
          <w:lang w:eastAsia="zh-CN" w:bidi="ar"/>
        </w:rPr>
      </w:pPr>
      <w:r>
        <w:rPr>
          <w:rFonts w:hint="eastAsia" w:ascii="宋体" w:hAnsi="宋体" w:cs="宋体"/>
          <w:bCs w:val="0"/>
          <w:spacing w:val="0"/>
          <w:kern w:val="2"/>
          <w:sz w:val="24"/>
          <w:szCs w:val="24"/>
          <w:highlight w:val="none"/>
          <w:lang w:eastAsia="zh-CN" w:bidi="ar"/>
        </w:rPr>
        <w:t>1</w:t>
      </w:r>
      <w:r>
        <w:rPr>
          <w:rFonts w:hint="eastAsia" w:ascii="宋体" w:hAnsi="宋体" w:cs="宋体"/>
          <w:bCs w:val="0"/>
          <w:spacing w:val="0"/>
          <w:kern w:val="2"/>
          <w:sz w:val="24"/>
          <w:szCs w:val="24"/>
          <w:highlight w:val="none"/>
          <w:lang w:val="en-US" w:eastAsia="zh-CN" w:bidi="ar"/>
        </w:rPr>
        <w:t xml:space="preserve">4.1.1 </w:t>
      </w:r>
      <w:r>
        <w:rPr>
          <w:rFonts w:hint="eastAsia" w:ascii="宋体" w:hAnsi="宋体" w:cs="宋体"/>
          <w:bCs w:val="0"/>
          <w:spacing w:val="0"/>
          <w:kern w:val="2"/>
          <w:sz w:val="24"/>
          <w:szCs w:val="24"/>
          <w:highlight w:val="none"/>
          <w:lang w:eastAsia="zh-CN" w:bidi="ar"/>
        </w:rPr>
        <w:t>本项目采用不见面开标、供应商需要递交电子投标文件，加密的电子投标文件，在投标截止时间前上传至新疆政府采购网政采云平台指定位置。无需在开标时递交纸质文件。</w:t>
      </w:r>
    </w:p>
    <w:p w14:paraId="70F7C7E3">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right="0" w:rightChars="0" w:firstLine="480" w:firstLineChars="200"/>
        <w:textAlignment w:val="auto"/>
        <w:rPr>
          <w:rFonts w:hint="eastAsia" w:ascii="宋体" w:hAnsi="宋体" w:cs="宋体"/>
          <w:bCs w:val="0"/>
          <w:spacing w:val="0"/>
          <w:kern w:val="2"/>
          <w:sz w:val="24"/>
          <w:szCs w:val="24"/>
          <w:highlight w:val="none"/>
          <w:lang w:eastAsia="zh-CN" w:bidi="ar"/>
        </w:rPr>
      </w:pPr>
      <w:r>
        <w:rPr>
          <w:rFonts w:hint="eastAsia" w:ascii="宋体" w:hAnsi="宋体" w:cs="宋体"/>
          <w:bCs w:val="0"/>
          <w:spacing w:val="0"/>
          <w:kern w:val="2"/>
          <w:sz w:val="24"/>
          <w:szCs w:val="24"/>
          <w:highlight w:val="none"/>
          <w:lang w:eastAsia="zh-CN" w:bidi="ar"/>
        </w:rPr>
        <w:t>1</w:t>
      </w:r>
      <w:r>
        <w:rPr>
          <w:rFonts w:hint="eastAsia" w:ascii="宋体" w:hAnsi="宋体" w:cs="宋体"/>
          <w:bCs w:val="0"/>
          <w:spacing w:val="0"/>
          <w:kern w:val="2"/>
          <w:sz w:val="24"/>
          <w:szCs w:val="24"/>
          <w:highlight w:val="none"/>
          <w:lang w:val="en-US" w:eastAsia="zh-CN" w:bidi="ar"/>
        </w:rPr>
        <w:t xml:space="preserve">4.1.2 </w:t>
      </w:r>
      <w:r>
        <w:rPr>
          <w:rFonts w:hint="eastAsia" w:ascii="宋体" w:hAnsi="宋体" w:cs="宋体"/>
          <w:bCs w:val="0"/>
          <w:spacing w:val="0"/>
          <w:kern w:val="2"/>
          <w:sz w:val="24"/>
          <w:szCs w:val="24"/>
          <w:highlight w:val="none"/>
          <w:lang w:eastAsia="zh-CN" w:bidi="ar"/>
        </w:rPr>
        <w:t>本项目采用远程不见面交易的模式。开标当日，供应商无需到达开标现场，仅需在任意地点通过新疆政府采购网政采云平台完成远程解密、开标唱标、结果公布等交互环节。供应商必须使用能正确解密投标文件的“CA 锁”在规定的时间内完成远程解密，因供应商原因未能解密、解密失败或解密超时，视为供应商撤销其投标文件，系统内投标文件将被退回。</w:t>
      </w:r>
    </w:p>
    <w:p w14:paraId="715C2950">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right="0" w:rightChars="0" w:firstLine="480" w:firstLineChars="200"/>
        <w:textAlignment w:val="auto"/>
        <w:rPr>
          <w:rFonts w:hint="eastAsia" w:ascii="宋体" w:hAnsi="宋体" w:cs="宋体"/>
          <w:bCs w:val="0"/>
          <w:spacing w:val="0"/>
          <w:kern w:val="2"/>
          <w:sz w:val="24"/>
          <w:szCs w:val="24"/>
          <w:highlight w:val="none"/>
          <w:lang w:eastAsia="zh-CN" w:bidi="ar"/>
        </w:rPr>
      </w:pPr>
      <w:r>
        <w:rPr>
          <w:rFonts w:hint="eastAsia" w:ascii="宋体" w:hAnsi="宋体" w:cs="宋体"/>
          <w:bCs w:val="0"/>
          <w:spacing w:val="0"/>
          <w:kern w:val="2"/>
          <w:sz w:val="24"/>
          <w:szCs w:val="24"/>
          <w:highlight w:val="none"/>
          <w:lang w:eastAsia="zh-CN" w:bidi="ar"/>
        </w:rPr>
        <w:t>1</w:t>
      </w:r>
      <w:r>
        <w:rPr>
          <w:rFonts w:hint="eastAsia" w:ascii="宋体" w:hAnsi="宋体" w:cs="宋体"/>
          <w:bCs w:val="0"/>
          <w:spacing w:val="0"/>
          <w:kern w:val="2"/>
          <w:sz w:val="24"/>
          <w:szCs w:val="24"/>
          <w:highlight w:val="none"/>
          <w:lang w:val="en-US" w:eastAsia="zh-CN" w:bidi="ar"/>
        </w:rPr>
        <w:t xml:space="preserve">4.1.3 </w:t>
      </w:r>
      <w:r>
        <w:rPr>
          <w:rFonts w:hint="eastAsia" w:ascii="宋体" w:hAnsi="宋体" w:cs="宋体"/>
          <w:bCs w:val="0"/>
          <w:spacing w:val="0"/>
          <w:kern w:val="2"/>
          <w:sz w:val="24"/>
          <w:szCs w:val="24"/>
          <w:highlight w:val="none"/>
          <w:lang w:eastAsia="zh-CN" w:bidi="ar"/>
        </w:rPr>
        <w:t>开标结束后投标供应商需提交投标文件数量：</w:t>
      </w:r>
    </w:p>
    <w:p w14:paraId="23D72F1B">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right="0" w:rightChars="0" w:firstLine="480" w:firstLineChars="200"/>
        <w:textAlignment w:val="auto"/>
        <w:rPr>
          <w:rFonts w:hint="eastAsia" w:ascii="宋体" w:hAnsi="宋体" w:cs="宋体"/>
          <w:bCs w:val="0"/>
          <w:spacing w:val="0"/>
          <w:kern w:val="2"/>
          <w:sz w:val="24"/>
          <w:szCs w:val="24"/>
          <w:highlight w:val="none"/>
          <w:lang w:eastAsia="zh-CN" w:bidi="ar"/>
        </w:rPr>
      </w:pPr>
      <w:r>
        <w:rPr>
          <w:rFonts w:hint="eastAsia" w:ascii="宋体" w:hAnsi="宋体" w:cs="宋体"/>
          <w:bCs w:val="0"/>
          <w:spacing w:val="0"/>
          <w:kern w:val="2"/>
          <w:sz w:val="24"/>
          <w:szCs w:val="24"/>
          <w:highlight w:val="none"/>
          <w:lang w:eastAsia="zh-CN" w:bidi="ar"/>
        </w:rPr>
        <w:t>（1）开标时在线提交电子响应文件；</w:t>
      </w:r>
    </w:p>
    <w:p w14:paraId="1F4E3DC0">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right="0" w:rightChars="0" w:firstLine="480" w:firstLineChars="200"/>
        <w:textAlignment w:val="auto"/>
        <w:rPr>
          <w:rFonts w:hint="eastAsia" w:ascii="宋体" w:hAnsi="宋体" w:cs="宋体"/>
          <w:bCs w:val="0"/>
          <w:spacing w:val="0"/>
          <w:kern w:val="2"/>
          <w:sz w:val="24"/>
          <w:szCs w:val="24"/>
          <w:highlight w:val="none"/>
          <w:lang w:eastAsia="zh-CN" w:bidi="ar"/>
        </w:rPr>
      </w:pPr>
      <w:r>
        <w:rPr>
          <w:rFonts w:hint="eastAsia" w:ascii="宋体" w:hAnsi="宋体" w:cs="宋体"/>
          <w:bCs w:val="0"/>
          <w:spacing w:val="0"/>
          <w:kern w:val="2"/>
          <w:sz w:val="24"/>
          <w:szCs w:val="24"/>
          <w:highlight w:val="none"/>
          <w:lang w:eastAsia="zh-CN" w:bidi="ar"/>
        </w:rPr>
        <w:t>（2）由各单位承诺，若中标后提供纸质版文件：正本一份，副本二份，为了节能减排、保护环境，倡议投标文件双面打印！</w:t>
      </w:r>
    </w:p>
    <w:p w14:paraId="423E2DB7">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right="0" w:rightChars="0" w:firstLine="480" w:firstLineChars="200"/>
        <w:textAlignment w:val="auto"/>
        <w:rPr>
          <w:rFonts w:hint="eastAsia" w:ascii="宋体" w:hAnsi="宋体" w:cs="宋体"/>
          <w:bCs w:val="0"/>
          <w:spacing w:val="0"/>
          <w:kern w:val="2"/>
          <w:sz w:val="24"/>
          <w:szCs w:val="24"/>
          <w:highlight w:val="none"/>
          <w:lang w:eastAsia="zh-CN" w:bidi="ar"/>
        </w:rPr>
      </w:pPr>
      <w:r>
        <w:rPr>
          <w:rFonts w:hint="eastAsia" w:ascii="宋体" w:hAnsi="宋体" w:cs="宋体"/>
          <w:bCs w:val="0"/>
          <w:spacing w:val="0"/>
          <w:kern w:val="2"/>
          <w:sz w:val="24"/>
          <w:szCs w:val="24"/>
          <w:highlight w:val="none"/>
          <w:lang w:eastAsia="zh-CN" w:bidi="ar"/>
        </w:rPr>
        <w:t>提交方式：可邮寄或提交到招标代理公司。</w:t>
      </w:r>
    </w:p>
    <w:p w14:paraId="7B51FB1C">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right="0" w:rightChars="0" w:firstLine="480" w:firstLineChars="200"/>
        <w:textAlignment w:val="auto"/>
        <w:rPr>
          <w:rFonts w:hint="eastAsia" w:ascii="宋体" w:hAnsi="宋体" w:eastAsia="宋体" w:cs="宋体"/>
          <w:bCs w:val="0"/>
          <w:spacing w:val="0"/>
          <w:kern w:val="2"/>
          <w:sz w:val="24"/>
          <w:szCs w:val="24"/>
          <w:highlight w:val="none"/>
          <w:lang w:bidi="ar"/>
        </w:rPr>
      </w:pPr>
      <w:r>
        <w:rPr>
          <w:rFonts w:hint="eastAsia" w:ascii="宋体" w:hAnsi="宋体" w:cs="宋体"/>
          <w:bCs w:val="0"/>
          <w:spacing w:val="0"/>
          <w:kern w:val="2"/>
          <w:sz w:val="24"/>
          <w:szCs w:val="24"/>
          <w:highlight w:val="none"/>
          <w:lang w:eastAsia="zh-CN" w:bidi="ar"/>
        </w:rPr>
        <w:t>纸质版投标文件提供时间：中标公示发出后5个工作日内。</w:t>
      </w:r>
    </w:p>
    <w:p w14:paraId="68B96802">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right="0" w:rightChars="0" w:firstLine="480" w:firstLineChars="200"/>
        <w:textAlignment w:val="auto"/>
        <w:rPr>
          <w:rFonts w:hint="eastAsia" w:ascii="宋体" w:hAnsi="宋体" w:eastAsia="宋体" w:cs="宋体"/>
          <w:bCs w:val="0"/>
          <w:spacing w:val="0"/>
          <w:kern w:val="2"/>
          <w:sz w:val="24"/>
          <w:szCs w:val="24"/>
          <w:highlight w:val="none"/>
          <w:lang w:bidi="ar"/>
        </w:rPr>
      </w:pPr>
      <w:r>
        <w:rPr>
          <w:rFonts w:hint="eastAsia" w:ascii="宋体" w:hAnsi="宋体" w:eastAsia="宋体" w:cs="宋体"/>
          <w:bCs w:val="0"/>
          <w:spacing w:val="0"/>
          <w:kern w:val="2"/>
          <w:sz w:val="24"/>
          <w:szCs w:val="24"/>
          <w:highlight w:val="none"/>
          <w:lang w:bidi="ar"/>
        </w:rPr>
        <w:t>14.</w:t>
      </w:r>
      <w:r>
        <w:rPr>
          <w:rFonts w:hint="eastAsia" w:ascii="宋体" w:hAnsi="宋体" w:cs="宋体"/>
          <w:bCs w:val="0"/>
          <w:spacing w:val="0"/>
          <w:kern w:val="2"/>
          <w:sz w:val="24"/>
          <w:szCs w:val="24"/>
          <w:highlight w:val="none"/>
          <w:lang w:val="en-US" w:eastAsia="zh-CN" w:bidi="ar"/>
        </w:rPr>
        <w:t>2</w:t>
      </w:r>
      <w:r>
        <w:rPr>
          <w:rFonts w:hint="eastAsia" w:ascii="宋体" w:hAnsi="宋体" w:eastAsia="宋体" w:cs="宋体"/>
          <w:bCs w:val="0"/>
          <w:spacing w:val="0"/>
          <w:kern w:val="2"/>
          <w:sz w:val="24"/>
          <w:szCs w:val="24"/>
          <w:highlight w:val="none"/>
          <w:lang w:bidi="ar"/>
        </w:rPr>
        <w:t xml:space="preserve">投标文件因字迹潦草、表达不清或装订不当所引起的后果由投标人负责。 </w:t>
      </w:r>
    </w:p>
    <w:p w14:paraId="7C641A4A">
      <w:pPr>
        <w:adjustRightInd w:val="0"/>
        <w:snapToGrid w:val="0"/>
        <w:spacing w:line="440" w:lineRule="exact"/>
        <w:ind w:left="636" w:hanging="636" w:hangingChars="265"/>
        <w:rPr>
          <w:rFonts w:hint="eastAsia" w:ascii="宋体" w:hAnsi="宋体" w:eastAsia="宋体" w:cs="宋体"/>
          <w:sz w:val="24"/>
          <w:highlight w:val="none"/>
          <w:lang w:bidi="ar"/>
        </w:rPr>
      </w:pPr>
    </w:p>
    <w:p w14:paraId="24752887">
      <w:pPr>
        <w:pStyle w:val="3"/>
        <w:bidi w:val="0"/>
        <w:rPr>
          <w:rFonts w:hint="eastAsia" w:ascii="宋体" w:hAnsi="宋体" w:eastAsia="宋体" w:cs="宋体"/>
          <w:highlight w:val="none"/>
        </w:rPr>
      </w:pPr>
      <w:bookmarkStart w:id="43" w:name="_Toc12743"/>
      <w:bookmarkStart w:id="44" w:name="_Toc8831"/>
      <w:r>
        <w:rPr>
          <w:rFonts w:hint="eastAsia" w:ascii="宋体" w:hAnsi="宋体" w:eastAsia="宋体" w:cs="宋体"/>
          <w:highlight w:val="none"/>
        </w:rPr>
        <w:t>四</w:t>
      </w:r>
      <w:r>
        <w:rPr>
          <w:rFonts w:hint="eastAsia" w:ascii="宋体" w:hAnsi="宋体" w:eastAsia="宋体" w:cs="宋体"/>
          <w:highlight w:val="none"/>
          <w:lang w:eastAsia="zh-CN"/>
        </w:rPr>
        <w:t>、</w:t>
      </w:r>
      <w:r>
        <w:rPr>
          <w:rFonts w:hint="eastAsia" w:ascii="宋体" w:hAnsi="宋体" w:eastAsia="宋体" w:cs="宋体"/>
          <w:highlight w:val="none"/>
        </w:rPr>
        <w:t>投标文件的递交</w:t>
      </w:r>
      <w:bookmarkEnd w:id="43"/>
      <w:bookmarkEnd w:id="44"/>
    </w:p>
    <w:p w14:paraId="23A5F7EA">
      <w:pPr>
        <w:adjustRightInd w:val="0"/>
        <w:snapToGrid w:val="0"/>
        <w:spacing w:line="440" w:lineRule="exact"/>
        <w:ind w:left="745" w:hanging="745" w:hangingChars="265"/>
        <w:jc w:val="center"/>
        <w:rPr>
          <w:rFonts w:hint="eastAsia" w:ascii="宋体" w:hAnsi="宋体" w:eastAsia="宋体" w:cs="宋体"/>
          <w:b/>
          <w:bCs/>
          <w:sz w:val="28"/>
          <w:szCs w:val="28"/>
          <w:highlight w:val="none"/>
          <w:lang w:bidi="ar"/>
        </w:rPr>
      </w:pPr>
    </w:p>
    <w:p w14:paraId="38416954">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firstLine="482" w:firstLineChars="200"/>
        <w:textAlignment w:val="auto"/>
        <w:rPr>
          <w:rFonts w:hint="eastAsia" w:ascii="宋体" w:hAnsi="宋体" w:eastAsia="宋体" w:cs="宋体"/>
          <w:b/>
          <w:spacing w:val="0"/>
          <w:kern w:val="2"/>
          <w:sz w:val="24"/>
          <w:szCs w:val="24"/>
          <w:highlight w:val="none"/>
          <w:lang w:bidi="ar"/>
        </w:rPr>
      </w:pPr>
      <w:r>
        <w:rPr>
          <w:rFonts w:hint="eastAsia" w:ascii="宋体" w:hAnsi="宋体" w:eastAsia="宋体" w:cs="宋体"/>
          <w:b/>
          <w:spacing w:val="0"/>
          <w:kern w:val="2"/>
          <w:sz w:val="24"/>
          <w:szCs w:val="24"/>
          <w:highlight w:val="none"/>
          <w:lang w:bidi="ar"/>
        </w:rPr>
        <w:t xml:space="preserve">15. 投标文件的密封 </w:t>
      </w:r>
    </w:p>
    <w:p w14:paraId="4A09C644">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firstLine="480" w:firstLineChars="200"/>
        <w:textAlignment w:val="auto"/>
        <w:rPr>
          <w:rFonts w:hint="eastAsia" w:ascii="宋体" w:hAnsi="宋体" w:eastAsia="宋体" w:cs="宋体"/>
          <w:bCs w:val="0"/>
          <w:spacing w:val="0"/>
          <w:kern w:val="2"/>
          <w:sz w:val="24"/>
          <w:szCs w:val="24"/>
          <w:highlight w:val="none"/>
          <w:lang w:bidi="ar"/>
        </w:rPr>
      </w:pPr>
      <w:r>
        <w:rPr>
          <w:rFonts w:hint="eastAsia" w:ascii="宋体" w:hAnsi="宋体" w:eastAsia="宋体" w:cs="宋体"/>
          <w:bCs w:val="0"/>
          <w:spacing w:val="0"/>
          <w:kern w:val="2"/>
          <w:sz w:val="24"/>
          <w:szCs w:val="24"/>
          <w:highlight w:val="none"/>
          <w:lang w:bidi="ar"/>
        </w:rPr>
        <w:t>15.1 本项目采用不见面开标、供应商需要递交电子投标文件，加密的电子投标文件</w:t>
      </w:r>
      <w:r>
        <w:rPr>
          <w:rFonts w:hint="eastAsia" w:ascii="宋体" w:hAnsi="宋体" w:cs="宋体"/>
          <w:bCs w:val="0"/>
          <w:spacing w:val="0"/>
          <w:kern w:val="2"/>
          <w:sz w:val="24"/>
          <w:szCs w:val="24"/>
          <w:highlight w:val="none"/>
          <w:lang w:eastAsia="zh-CN" w:bidi="ar"/>
        </w:rPr>
        <w:t>。</w:t>
      </w:r>
      <w:r>
        <w:rPr>
          <w:rFonts w:hint="eastAsia" w:ascii="宋体" w:hAnsi="宋体" w:eastAsia="宋体" w:cs="宋体"/>
          <w:bCs w:val="0"/>
          <w:spacing w:val="0"/>
          <w:kern w:val="2"/>
          <w:sz w:val="24"/>
          <w:szCs w:val="24"/>
          <w:highlight w:val="none"/>
          <w:lang w:bidi="ar"/>
        </w:rPr>
        <w:t xml:space="preserve"> </w:t>
      </w:r>
    </w:p>
    <w:p w14:paraId="088DC85D">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firstLine="480" w:firstLineChars="200"/>
        <w:textAlignment w:val="auto"/>
        <w:rPr>
          <w:rFonts w:hint="eastAsia" w:ascii="宋体" w:hAnsi="宋体" w:eastAsia="宋体" w:cs="宋体"/>
          <w:bCs w:val="0"/>
          <w:spacing w:val="0"/>
          <w:kern w:val="2"/>
          <w:sz w:val="24"/>
          <w:szCs w:val="24"/>
          <w:highlight w:val="none"/>
          <w:lang w:bidi="ar"/>
        </w:rPr>
      </w:pPr>
      <w:r>
        <w:rPr>
          <w:rFonts w:hint="eastAsia" w:ascii="宋体" w:hAnsi="宋体" w:eastAsia="宋体" w:cs="宋体"/>
          <w:bCs w:val="0"/>
          <w:spacing w:val="0"/>
          <w:kern w:val="2"/>
          <w:sz w:val="24"/>
          <w:szCs w:val="24"/>
          <w:highlight w:val="none"/>
          <w:lang w:bidi="ar"/>
        </w:rPr>
        <w:t>15.2 如果投标文件未按上述要求加密，将被</w:t>
      </w:r>
      <w:r>
        <w:rPr>
          <w:rFonts w:hint="eastAsia" w:ascii="宋体" w:hAnsi="宋体" w:eastAsia="宋体" w:cs="宋体"/>
          <w:b/>
          <w:spacing w:val="0"/>
          <w:kern w:val="2"/>
          <w:sz w:val="24"/>
          <w:szCs w:val="24"/>
          <w:highlight w:val="none"/>
          <w:lang w:bidi="ar"/>
        </w:rPr>
        <w:t>拒绝</w:t>
      </w:r>
      <w:r>
        <w:rPr>
          <w:rFonts w:hint="eastAsia" w:ascii="宋体" w:hAnsi="宋体" w:eastAsia="宋体" w:cs="宋体"/>
          <w:bCs w:val="0"/>
          <w:spacing w:val="0"/>
          <w:kern w:val="2"/>
          <w:sz w:val="24"/>
          <w:szCs w:val="24"/>
          <w:highlight w:val="none"/>
          <w:lang w:bidi="ar"/>
        </w:rPr>
        <w:t xml:space="preserve">接收。 </w:t>
      </w:r>
    </w:p>
    <w:p w14:paraId="7CEEEC80">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firstLine="482" w:firstLineChars="200"/>
        <w:textAlignment w:val="auto"/>
        <w:rPr>
          <w:rFonts w:hint="eastAsia" w:ascii="宋体" w:hAnsi="宋体" w:eastAsia="宋体" w:cs="宋体"/>
          <w:bCs w:val="0"/>
          <w:spacing w:val="0"/>
          <w:kern w:val="2"/>
          <w:sz w:val="24"/>
          <w:szCs w:val="24"/>
          <w:highlight w:val="none"/>
          <w:lang w:bidi="ar"/>
        </w:rPr>
      </w:pPr>
      <w:r>
        <w:rPr>
          <w:rFonts w:hint="eastAsia" w:ascii="宋体" w:hAnsi="宋体" w:eastAsia="宋体" w:cs="宋体"/>
          <w:b/>
          <w:spacing w:val="0"/>
          <w:kern w:val="2"/>
          <w:sz w:val="24"/>
          <w:szCs w:val="24"/>
          <w:highlight w:val="none"/>
          <w:lang w:bidi="ar"/>
        </w:rPr>
        <w:t>16. 投标截止</w:t>
      </w:r>
      <w:r>
        <w:rPr>
          <w:rFonts w:hint="eastAsia" w:ascii="宋体" w:hAnsi="宋体" w:eastAsia="宋体" w:cs="宋体"/>
          <w:bCs w:val="0"/>
          <w:spacing w:val="0"/>
          <w:kern w:val="2"/>
          <w:sz w:val="24"/>
          <w:szCs w:val="24"/>
          <w:highlight w:val="none"/>
          <w:lang w:bidi="ar"/>
        </w:rPr>
        <w:t xml:space="preserve"> </w:t>
      </w:r>
    </w:p>
    <w:p w14:paraId="6BCEE614">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firstLine="480" w:firstLineChars="200"/>
        <w:textAlignment w:val="auto"/>
        <w:rPr>
          <w:rFonts w:hint="eastAsia" w:ascii="宋体" w:hAnsi="宋体" w:eastAsia="宋体" w:cs="宋体"/>
          <w:bCs w:val="0"/>
          <w:spacing w:val="0"/>
          <w:kern w:val="2"/>
          <w:sz w:val="24"/>
          <w:szCs w:val="24"/>
          <w:highlight w:val="none"/>
          <w:lang w:bidi="ar"/>
        </w:rPr>
      </w:pPr>
      <w:r>
        <w:rPr>
          <w:rFonts w:hint="eastAsia" w:ascii="宋体" w:hAnsi="宋体" w:eastAsia="宋体" w:cs="宋体"/>
          <w:bCs w:val="0"/>
          <w:spacing w:val="0"/>
          <w:kern w:val="2"/>
          <w:sz w:val="24"/>
          <w:szCs w:val="24"/>
          <w:highlight w:val="none"/>
          <w:lang w:bidi="ar"/>
        </w:rPr>
        <w:t>16.1 投标人应在</w:t>
      </w:r>
      <w:r>
        <w:rPr>
          <w:rFonts w:hint="eastAsia" w:ascii="宋体" w:hAnsi="宋体" w:eastAsia="宋体" w:cs="宋体"/>
          <w:bCs w:val="0"/>
          <w:spacing w:val="0"/>
          <w:kern w:val="2"/>
          <w:sz w:val="24"/>
          <w:szCs w:val="24"/>
          <w:highlight w:val="none"/>
          <w:u w:val="single"/>
          <w:lang w:bidi="ar"/>
        </w:rPr>
        <w:t>投标须知前附表</w:t>
      </w:r>
      <w:r>
        <w:rPr>
          <w:rFonts w:hint="eastAsia" w:ascii="宋体" w:hAnsi="宋体" w:eastAsia="宋体" w:cs="宋体"/>
          <w:bCs w:val="0"/>
          <w:spacing w:val="0"/>
          <w:kern w:val="2"/>
          <w:sz w:val="24"/>
          <w:szCs w:val="24"/>
          <w:highlight w:val="none"/>
          <w:lang w:bidi="ar"/>
        </w:rPr>
        <w:t xml:space="preserve">中规定的截止时间前，将投标文件递交到招标公告中规定的地点。 </w:t>
      </w:r>
    </w:p>
    <w:p w14:paraId="51F26C4A">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firstLine="480" w:firstLineChars="200"/>
        <w:textAlignment w:val="auto"/>
        <w:rPr>
          <w:rFonts w:hint="eastAsia" w:ascii="宋体" w:hAnsi="宋体" w:eastAsia="宋体" w:cs="宋体"/>
          <w:bCs w:val="0"/>
          <w:spacing w:val="0"/>
          <w:kern w:val="2"/>
          <w:sz w:val="24"/>
          <w:szCs w:val="24"/>
          <w:highlight w:val="none"/>
          <w:lang w:bidi="ar"/>
        </w:rPr>
      </w:pPr>
      <w:r>
        <w:rPr>
          <w:rFonts w:hint="eastAsia" w:ascii="宋体" w:hAnsi="宋体" w:eastAsia="宋体" w:cs="宋体"/>
          <w:bCs w:val="0"/>
          <w:spacing w:val="0"/>
          <w:kern w:val="2"/>
          <w:sz w:val="24"/>
          <w:szCs w:val="24"/>
          <w:highlight w:val="none"/>
          <w:lang w:bidi="ar"/>
        </w:rPr>
        <w:t xml:space="preserve">16.2 采购人和采购代理机构将拒绝并原封退回在投标截止期后送达的任何投标文件。 </w:t>
      </w:r>
    </w:p>
    <w:p w14:paraId="04E2BA9C">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firstLine="480" w:firstLineChars="200"/>
        <w:textAlignment w:val="auto"/>
        <w:rPr>
          <w:rFonts w:hint="eastAsia" w:ascii="宋体" w:hAnsi="宋体" w:eastAsia="宋体" w:cs="宋体"/>
          <w:bCs w:val="0"/>
          <w:spacing w:val="0"/>
          <w:kern w:val="2"/>
          <w:sz w:val="24"/>
          <w:szCs w:val="24"/>
          <w:highlight w:val="none"/>
          <w:lang w:bidi="ar"/>
        </w:rPr>
      </w:pPr>
      <w:r>
        <w:rPr>
          <w:rFonts w:hint="eastAsia" w:ascii="宋体" w:hAnsi="宋体" w:eastAsia="宋体" w:cs="宋体"/>
          <w:bCs w:val="0"/>
          <w:spacing w:val="0"/>
          <w:kern w:val="2"/>
          <w:sz w:val="24"/>
          <w:szCs w:val="24"/>
          <w:highlight w:val="none"/>
          <w:lang w:bidi="ar"/>
        </w:rPr>
        <w:t xml:space="preserve">16.3 采购人和采购代理机构有权按本须知的规定，通过修改招标文件，延长投标截止期。在此情况下，采购人、采购代理机构和投标人受投标截止期制约的所有权利和义务均应延长至新的截止期。 </w:t>
      </w:r>
    </w:p>
    <w:p w14:paraId="247F7350">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firstLine="482" w:firstLineChars="200"/>
        <w:textAlignment w:val="auto"/>
        <w:rPr>
          <w:rFonts w:hint="eastAsia" w:ascii="宋体" w:hAnsi="宋体" w:eastAsia="宋体" w:cs="宋体"/>
          <w:b/>
          <w:spacing w:val="0"/>
          <w:kern w:val="2"/>
          <w:sz w:val="24"/>
          <w:szCs w:val="24"/>
          <w:highlight w:val="none"/>
          <w:lang w:bidi="ar"/>
        </w:rPr>
      </w:pPr>
      <w:r>
        <w:rPr>
          <w:rFonts w:hint="eastAsia" w:ascii="宋体" w:hAnsi="宋体" w:eastAsia="宋体" w:cs="宋体"/>
          <w:b/>
          <w:spacing w:val="0"/>
          <w:kern w:val="2"/>
          <w:sz w:val="24"/>
          <w:szCs w:val="24"/>
          <w:highlight w:val="none"/>
          <w:lang w:bidi="ar"/>
        </w:rPr>
        <w:t xml:space="preserve">17. 投标文件的接收、修改与撤回 </w:t>
      </w:r>
    </w:p>
    <w:p w14:paraId="6BEA0F38">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firstLine="480" w:firstLineChars="200"/>
        <w:textAlignment w:val="auto"/>
        <w:rPr>
          <w:rFonts w:hint="eastAsia" w:ascii="宋体" w:hAnsi="宋体" w:eastAsia="宋体" w:cs="宋体"/>
          <w:bCs w:val="0"/>
          <w:spacing w:val="0"/>
          <w:kern w:val="2"/>
          <w:sz w:val="24"/>
          <w:szCs w:val="24"/>
          <w:highlight w:val="none"/>
          <w:lang w:bidi="ar"/>
        </w:rPr>
      </w:pPr>
      <w:r>
        <w:rPr>
          <w:rFonts w:hint="eastAsia" w:ascii="宋体" w:hAnsi="宋体" w:eastAsia="宋体" w:cs="宋体"/>
          <w:bCs w:val="0"/>
          <w:spacing w:val="0"/>
          <w:kern w:val="2"/>
          <w:sz w:val="24"/>
          <w:szCs w:val="24"/>
          <w:highlight w:val="none"/>
          <w:lang w:bidi="ar"/>
        </w:rPr>
        <w:t xml:space="preserve">17.1 采购人和采购代理机构将按招标文件规定的时间和地点接收投标文件。 </w:t>
      </w:r>
    </w:p>
    <w:p w14:paraId="6D1295B1">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firstLine="480" w:firstLineChars="200"/>
        <w:textAlignment w:val="auto"/>
        <w:rPr>
          <w:rFonts w:hint="eastAsia" w:ascii="宋体" w:hAnsi="宋体" w:eastAsia="宋体" w:cs="宋体"/>
          <w:bCs w:val="0"/>
          <w:spacing w:val="0"/>
          <w:kern w:val="2"/>
          <w:sz w:val="24"/>
          <w:szCs w:val="24"/>
          <w:highlight w:val="none"/>
          <w:lang w:bidi="ar"/>
        </w:rPr>
      </w:pPr>
      <w:r>
        <w:rPr>
          <w:rFonts w:hint="eastAsia" w:ascii="宋体" w:hAnsi="宋体" w:eastAsia="宋体" w:cs="宋体"/>
          <w:bCs w:val="0"/>
          <w:spacing w:val="0"/>
          <w:kern w:val="2"/>
          <w:sz w:val="24"/>
          <w:szCs w:val="24"/>
          <w:highlight w:val="none"/>
          <w:lang w:bidi="ar"/>
        </w:rPr>
        <w:t xml:space="preserve">17.2 采购人或者采购代理机构收到投标文件后，应当如实记载投标文件的送达时间和密封情况。 </w:t>
      </w:r>
    </w:p>
    <w:p w14:paraId="51924171">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firstLine="480" w:firstLineChars="200"/>
        <w:textAlignment w:val="auto"/>
        <w:rPr>
          <w:rFonts w:hint="eastAsia" w:ascii="宋体" w:hAnsi="宋体" w:eastAsia="宋体" w:cs="宋体"/>
          <w:bCs w:val="0"/>
          <w:spacing w:val="0"/>
          <w:kern w:val="2"/>
          <w:sz w:val="24"/>
          <w:szCs w:val="24"/>
          <w:highlight w:val="none"/>
          <w:lang w:bidi="ar"/>
        </w:rPr>
      </w:pPr>
      <w:r>
        <w:rPr>
          <w:rFonts w:hint="eastAsia" w:ascii="宋体" w:hAnsi="宋体" w:eastAsia="宋体" w:cs="宋体"/>
          <w:bCs w:val="0"/>
          <w:spacing w:val="0"/>
          <w:kern w:val="2"/>
          <w:sz w:val="24"/>
          <w:szCs w:val="24"/>
          <w:highlight w:val="none"/>
          <w:lang w:bidi="ar"/>
        </w:rPr>
        <w:t xml:space="preserve">17.3 递交投标文件以后，如果投标人要进行修改，须提出书面通知并在投标截止时间前送达开标地点，投标人对投标文件的修改通知应按本须知规定编制、签署、密封、标记。采购人和采购代理机构将予以接收，并视为投标文件的组成部分。递交投标文件以后，如果投标人要进行撤回的，须提出书面通知并在投标截止时间前送达开标地点，采购人和采购代理机构将予以接受。 </w:t>
      </w:r>
    </w:p>
    <w:p w14:paraId="7AA017DD">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firstLine="480" w:firstLineChars="200"/>
        <w:textAlignment w:val="auto"/>
        <w:rPr>
          <w:rFonts w:hint="eastAsia" w:ascii="宋体" w:hAnsi="宋体" w:eastAsia="宋体" w:cs="宋体"/>
          <w:bCs w:val="0"/>
          <w:spacing w:val="0"/>
          <w:kern w:val="2"/>
          <w:sz w:val="24"/>
          <w:szCs w:val="24"/>
          <w:highlight w:val="none"/>
          <w:lang w:bidi="ar"/>
        </w:rPr>
      </w:pPr>
      <w:r>
        <w:rPr>
          <w:rFonts w:hint="eastAsia" w:ascii="宋体" w:hAnsi="宋体" w:eastAsia="宋体" w:cs="宋体"/>
          <w:bCs w:val="0"/>
          <w:spacing w:val="0"/>
          <w:kern w:val="2"/>
          <w:sz w:val="24"/>
          <w:szCs w:val="24"/>
          <w:highlight w:val="none"/>
          <w:lang w:bidi="ar"/>
        </w:rPr>
        <w:t>17.4 在投标截止时间之后，投标人不得对其投标文件做任何修改。除投标人不足3家未开标外，采购人和采购代理机构对所接收投标文件概不退回。</w:t>
      </w:r>
    </w:p>
    <w:p w14:paraId="10030CE8">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firstLine="480" w:firstLineChars="200"/>
        <w:textAlignment w:val="auto"/>
        <w:rPr>
          <w:rFonts w:hint="eastAsia" w:ascii="宋体" w:hAnsi="宋体" w:eastAsia="宋体" w:cs="宋体"/>
          <w:bCs w:val="0"/>
          <w:spacing w:val="0"/>
          <w:kern w:val="2"/>
          <w:sz w:val="24"/>
          <w:szCs w:val="24"/>
          <w:highlight w:val="none"/>
          <w:lang w:bidi="ar"/>
        </w:rPr>
      </w:pPr>
      <w:r>
        <w:rPr>
          <w:rFonts w:hint="eastAsia" w:ascii="宋体" w:hAnsi="宋体" w:eastAsia="宋体" w:cs="宋体"/>
          <w:bCs w:val="0"/>
          <w:spacing w:val="0"/>
          <w:kern w:val="2"/>
          <w:sz w:val="24"/>
          <w:szCs w:val="24"/>
          <w:highlight w:val="none"/>
          <w:lang w:bidi="ar"/>
        </w:rPr>
        <w:t>17.5 从投标截止期至投标人在投标书中承诺的投标有效期之间，投标人不得撤回其投标，否则其投标保证金将按照本须知第12条规定予以没收。</w:t>
      </w:r>
    </w:p>
    <w:p w14:paraId="5A679968">
      <w:pPr>
        <w:bidi w:val="0"/>
        <w:rPr>
          <w:rFonts w:hint="eastAsia" w:ascii="宋体" w:hAnsi="宋体" w:eastAsia="宋体" w:cs="宋体"/>
          <w:highlight w:val="none"/>
        </w:rPr>
      </w:pPr>
    </w:p>
    <w:p w14:paraId="534035B8">
      <w:pPr>
        <w:pStyle w:val="3"/>
        <w:bidi w:val="0"/>
        <w:rPr>
          <w:rFonts w:hint="eastAsia" w:ascii="宋体" w:hAnsi="宋体" w:eastAsia="宋体" w:cs="宋体"/>
          <w:highlight w:val="none"/>
        </w:rPr>
      </w:pPr>
      <w:bookmarkStart w:id="45" w:name="_Toc31878"/>
      <w:bookmarkStart w:id="46" w:name="_Toc11632"/>
      <w:r>
        <w:rPr>
          <w:rFonts w:hint="eastAsia" w:ascii="宋体" w:hAnsi="宋体" w:eastAsia="宋体" w:cs="宋体"/>
          <w:highlight w:val="none"/>
        </w:rPr>
        <w:t>五</w:t>
      </w:r>
      <w:r>
        <w:rPr>
          <w:rFonts w:hint="eastAsia" w:ascii="宋体" w:hAnsi="宋体" w:eastAsia="宋体" w:cs="宋体"/>
          <w:highlight w:val="none"/>
          <w:lang w:eastAsia="zh-CN"/>
        </w:rPr>
        <w:t>、</w:t>
      </w:r>
      <w:r>
        <w:rPr>
          <w:rFonts w:hint="eastAsia" w:ascii="宋体" w:hAnsi="宋体" w:eastAsia="宋体" w:cs="宋体"/>
          <w:highlight w:val="none"/>
        </w:rPr>
        <w:t>开标及评标</w:t>
      </w:r>
      <w:bookmarkEnd w:id="45"/>
      <w:bookmarkEnd w:id="46"/>
    </w:p>
    <w:p w14:paraId="2E649737">
      <w:pPr>
        <w:adjustRightInd w:val="0"/>
        <w:snapToGrid w:val="0"/>
        <w:spacing w:line="440" w:lineRule="exact"/>
        <w:ind w:left="636" w:hanging="636" w:hangingChars="265"/>
        <w:rPr>
          <w:rFonts w:hint="eastAsia" w:ascii="宋体" w:hAnsi="宋体" w:eastAsia="宋体" w:cs="宋体"/>
          <w:sz w:val="24"/>
          <w:highlight w:val="none"/>
          <w:lang w:bidi="ar"/>
        </w:rPr>
      </w:pPr>
    </w:p>
    <w:p w14:paraId="708574B2">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firstLine="482" w:firstLineChars="200"/>
        <w:textAlignment w:val="auto"/>
        <w:rPr>
          <w:rFonts w:hint="eastAsia" w:ascii="宋体" w:hAnsi="宋体" w:eastAsia="宋体" w:cs="宋体"/>
          <w:b/>
          <w:bCs/>
          <w:spacing w:val="0"/>
          <w:kern w:val="2"/>
          <w:sz w:val="24"/>
          <w:szCs w:val="24"/>
          <w:highlight w:val="none"/>
          <w:lang w:bidi="ar"/>
        </w:rPr>
      </w:pPr>
      <w:r>
        <w:rPr>
          <w:rFonts w:hint="eastAsia" w:ascii="宋体" w:hAnsi="宋体" w:eastAsia="宋体" w:cs="宋体"/>
          <w:b/>
          <w:bCs/>
          <w:spacing w:val="0"/>
          <w:kern w:val="2"/>
          <w:sz w:val="24"/>
          <w:szCs w:val="24"/>
          <w:highlight w:val="none"/>
          <w:lang w:val="en-US" w:eastAsia="zh-CN" w:bidi="ar"/>
        </w:rPr>
        <w:t>18</w:t>
      </w:r>
      <w:r>
        <w:rPr>
          <w:rFonts w:hint="eastAsia" w:ascii="宋体" w:hAnsi="宋体" w:eastAsia="宋体" w:cs="宋体"/>
          <w:b/>
          <w:bCs/>
          <w:spacing w:val="0"/>
          <w:kern w:val="2"/>
          <w:sz w:val="24"/>
          <w:szCs w:val="24"/>
          <w:highlight w:val="none"/>
          <w:lang w:bidi="ar"/>
        </w:rPr>
        <w:t>．开标</w:t>
      </w:r>
    </w:p>
    <w:p w14:paraId="6EAE49D9">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firstLine="480" w:firstLineChars="200"/>
        <w:textAlignment w:val="auto"/>
        <w:rPr>
          <w:rFonts w:hint="eastAsia" w:ascii="宋体" w:hAnsi="宋体" w:eastAsia="宋体" w:cs="宋体"/>
          <w:b w:val="0"/>
          <w:bCs w:val="0"/>
          <w:spacing w:val="0"/>
          <w:kern w:val="2"/>
          <w:sz w:val="24"/>
          <w:szCs w:val="24"/>
          <w:highlight w:val="none"/>
          <w:lang w:bidi="ar"/>
        </w:rPr>
      </w:pPr>
      <w:r>
        <w:rPr>
          <w:rFonts w:hint="eastAsia" w:ascii="宋体" w:hAnsi="宋体" w:eastAsia="宋体" w:cs="宋体"/>
          <w:b w:val="0"/>
          <w:bCs w:val="0"/>
          <w:spacing w:val="0"/>
          <w:kern w:val="2"/>
          <w:sz w:val="24"/>
          <w:szCs w:val="24"/>
          <w:highlight w:val="none"/>
          <w:lang w:val="en-US" w:eastAsia="zh-CN" w:bidi="ar"/>
        </w:rPr>
        <w:t>18</w:t>
      </w:r>
      <w:r>
        <w:rPr>
          <w:rFonts w:hint="eastAsia" w:ascii="宋体" w:hAnsi="宋体" w:eastAsia="宋体" w:cs="宋体"/>
          <w:b w:val="0"/>
          <w:bCs w:val="0"/>
          <w:spacing w:val="0"/>
          <w:kern w:val="2"/>
          <w:sz w:val="24"/>
          <w:szCs w:val="24"/>
          <w:highlight w:val="none"/>
          <w:lang w:bidi="ar"/>
        </w:rPr>
        <w:t>.1 本次招标将按招标公告中规定的时间地点进行开标，所有投标人均应当准时参加开标。</w:t>
      </w:r>
    </w:p>
    <w:p w14:paraId="638A8AA0">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firstLine="480" w:firstLineChars="200"/>
        <w:textAlignment w:val="auto"/>
        <w:rPr>
          <w:rFonts w:hint="eastAsia" w:ascii="宋体" w:hAnsi="宋体" w:eastAsia="宋体" w:cs="宋体"/>
          <w:b w:val="0"/>
          <w:bCs w:val="0"/>
          <w:spacing w:val="0"/>
          <w:kern w:val="2"/>
          <w:sz w:val="24"/>
          <w:szCs w:val="24"/>
          <w:highlight w:val="none"/>
          <w:lang w:bidi="ar"/>
        </w:rPr>
      </w:pPr>
      <w:r>
        <w:rPr>
          <w:rFonts w:hint="eastAsia" w:ascii="宋体" w:hAnsi="宋体" w:eastAsia="宋体" w:cs="宋体"/>
          <w:b w:val="0"/>
          <w:bCs w:val="0"/>
          <w:spacing w:val="0"/>
          <w:kern w:val="2"/>
          <w:sz w:val="24"/>
          <w:szCs w:val="24"/>
          <w:highlight w:val="none"/>
          <w:lang w:val="en-US" w:eastAsia="zh-CN" w:bidi="ar"/>
        </w:rPr>
        <w:t>18</w:t>
      </w:r>
      <w:r>
        <w:rPr>
          <w:rFonts w:hint="eastAsia" w:ascii="宋体" w:hAnsi="宋体" w:eastAsia="宋体" w:cs="宋体"/>
          <w:b w:val="0"/>
          <w:bCs w:val="0"/>
          <w:spacing w:val="0"/>
          <w:kern w:val="2"/>
          <w:sz w:val="24"/>
          <w:szCs w:val="24"/>
          <w:highlight w:val="none"/>
          <w:lang w:bidi="ar"/>
        </w:rPr>
        <w:t>.2</w:t>
      </w:r>
      <w:r>
        <w:rPr>
          <w:rFonts w:hint="eastAsia" w:ascii="宋体" w:hAnsi="宋体" w:eastAsia="宋体" w:cs="宋体"/>
          <w:b w:val="0"/>
          <w:bCs w:val="0"/>
          <w:spacing w:val="0"/>
          <w:kern w:val="2"/>
          <w:sz w:val="24"/>
          <w:szCs w:val="24"/>
          <w:highlight w:val="none"/>
          <w:lang w:val="en-US" w:eastAsia="zh-CN" w:bidi="ar"/>
        </w:rPr>
        <w:t xml:space="preserve"> </w:t>
      </w:r>
      <w:r>
        <w:rPr>
          <w:rFonts w:hint="eastAsia" w:ascii="宋体" w:hAnsi="宋体" w:eastAsia="宋体" w:cs="宋体"/>
          <w:b w:val="0"/>
          <w:bCs w:val="0"/>
          <w:spacing w:val="0"/>
          <w:kern w:val="2"/>
          <w:sz w:val="24"/>
          <w:szCs w:val="24"/>
          <w:highlight w:val="none"/>
          <w:lang w:bidi="ar"/>
        </w:rPr>
        <w:t>开标由采购人或采购代理机构主持，邀请投标人参加，并做好录音、录像工作；录音录像应当清晰可辨，音像资料作为采购文件一并存档。</w:t>
      </w:r>
    </w:p>
    <w:p w14:paraId="0BE57D5C">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firstLine="480" w:firstLineChars="200"/>
        <w:textAlignment w:val="auto"/>
        <w:rPr>
          <w:rFonts w:hint="eastAsia" w:ascii="宋体" w:hAnsi="宋体" w:eastAsia="宋体" w:cs="宋体"/>
          <w:b w:val="0"/>
          <w:bCs w:val="0"/>
          <w:spacing w:val="0"/>
          <w:kern w:val="2"/>
          <w:sz w:val="24"/>
          <w:szCs w:val="24"/>
          <w:highlight w:val="none"/>
          <w:lang w:bidi="ar"/>
        </w:rPr>
      </w:pPr>
      <w:r>
        <w:rPr>
          <w:rFonts w:hint="eastAsia" w:ascii="宋体" w:hAnsi="宋体" w:eastAsia="宋体" w:cs="宋体"/>
          <w:b w:val="0"/>
          <w:bCs w:val="0"/>
          <w:spacing w:val="0"/>
          <w:kern w:val="2"/>
          <w:sz w:val="24"/>
          <w:szCs w:val="24"/>
          <w:highlight w:val="none"/>
          <w:lang w:val="en-US" w:eastAsia="zh-CN" w:bidi="ar"/>
        </w:rPr>
        <w:t>18</w:t>
      </w:r>
      <w:r>
        <w:rPr>
          <w:rFonts w:hint="eastAsia" w:ascii="宋体" w:hAnsi="宋体" w:eastAsia="宋体" w:cs="宋体"/>
          <w:b w:val="0"/>
          <w:bCs w:val="0"/>
          <w:spacing w:val="0"/>
          <w:kern w:val="2"/>
          <w:sz w:val="24"/>
          <w:szCs w:val="24"/>
          <w:highlight w:val="none"/>
          <w:lang w:bidi="ar"/>
        </w:rPr>
        <w:t>.3</w:t>
      </w:r>
      <w:r>
        <w:rPr>
          <w:rFonts w:hint="eastAsia" w:ascii="宋体" w:hAnsi="宋体" w:eastAsia="宋体" w:cs="宋体"/>
          <w:b w:val="0"/>
          <w:bCs w:val="0"/>
          <w:spacing w:val="0"/>
          <w:kern w:val="2"/>
          <w:sz w:val="24"/>
          <w:szCs w:val="24"/>
          <w:highlight w:val="none"/>
          <w:lang w:val="en-US" w:eastAsia="zh-CN" w:bidi="ar"/>
        </w:rPr>
        <w:t xml:space="preserve"> </w:t>
      </w:r>
      <w:r>
        <w:rPr>
          <w:rFonts w:hint="eastAsia" w:ascii="宋体" w:hAnsi="宋体" w:eastAsia="宋体" w:cs="宋体"/>
          <w:b w:val="0"/>
          <w:bCs w:val="0"/>
          <w:spacing w:val="0"/>
          <w:kern w:val="2"/>
          <w:sz w:val="24"/>
          <w:szCs w:val="24"/>
          <w:highlight w:val="none"/>
          <w:lang w:bidi="ar"/>
        </w:rPr>
        <w:t>开标和唱标的顺序，按照递交投标文件的先后顺序进行。</w:t>
      </w:r>
    </w:p>
    <w:p w14:paraId="72328AA7">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firstLine="480" w:firstLineChars="200"/>
        <w:textAlignment w:val="auto"/>
        <w:rPr>
          <w:rFonts w:hint="eastAsia" w:ascii="宋体" w:hAnsi="宋体" w:eastAsia="宋体" w:cs="宋体"/>
          <w:b w:val="0"/>
          <w:bCs w:val="0"/>
          <w:spacing w:val="0"/>
          <w:kern w:val="2"/>
          <w:sz w:val="24"/>
          <w:szCs w:val="24"/>
          <w:highlight w:val="none"/>
          <w:lang w:bidi="ar"/>
        </w:rPr>
      </w:pPr>
      <w:r>
        <w:rPr>
          <w:rFonts w:hint="eastAsia" w:ascii="宋体" w:hAnsi="宋体" w:eastAsia="宋体" w:cs="宋体"/>
          <w:b w:val="0"/>
          <w:bCs w:val="0"/>
          <w:spacing w:val="0"/>
          <w:kern w:val="2"/>
          <w:sz w:val="24"/>
          <w:szCs w:val="24"/>
          <w:highlight w:val="none"/>
          <w:lang w:val="en-US" w:eastAsia="zh-CN" w:bidi="ar"/>
        </w:rPr>
        <w:t>18</w:t>
      </w:r>
      <w:r>
        <w:rPr>
          <w:rFonts w:hint="eastAsia" w:ascii="宋体" w:hAnsi="宋体" w:eastAsia="宋体" w:cs="宋体"/>
          <w:b w:val="0"/>
          <w:bCs w:val="0"/>
          <w:spacing w:val="0"/>
          <w:kern w:val="2"/>
          <w:sz w:val="24"/>
          <w:szCs w:val="24"/>
          <w:highlight w:val="none"/>
          <w:lang w:bidi="ar"/>
        </w:rPr>
        <w:t>.4</w:t>
      </w:r>
      <w:r>
        <w:rPr>
          <w:rFonts w:hint="eastAsia" w:ascii="宋体" w:hAnsi="宋体" w:eastAsia="宋体" w:cs="宋体"/>
          <w:b w:val="0"/>
          <w:bCs w:val="0"/>
          <w:spacing w:val="0"/>
          <w:kern w:val="2"/>
          <w:sz w:val="24"/>
          <w:szCs w:val="24"/>
          <w:highlight w:val="none"/>
          <w:lang w:val="en-US" w:eastAsia="zh-CN" w:bidi="ar"/>
        </w:rPr>
        <w:t xml:space="preserve"> </w:t>
      </w:r>
      <w:r>
        <w:rPr>
          <w:rFonts w:hint="eastAsia" w:ascii="宋体" w:hAnsi="宋体" w:eastAsia="宋体" w:cs="宋体"/>
          <w:b w:val="0"/>
          <w:bCs w:val="0"/>
          <w:spacing w:val="0"/>
          <w:kern w:val="2"/>
          <w:sz w:val="24"/>
          <w:szCs w:val="24"/>
          <w:highlight w:val="none"/>
          <w:lang w:bidi="ar"/>
        </w:rPr>
        <w:t>投标文件解密成功后，宣读投标人的名称、投标报价和招标文件规定的需要宣布的其他内容并记录。</w:t>
      </w:r>
    </w:p>
    <w:p w14:paraId="44FFB878">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firstLine="480" w:firstLineChars="200"/>
        <w:textAlignment w:val="auto"/>
        <w:rPr>
          <w:rFonts w:hint="eastAsia" w:ascii="宋体" w:hAnsi="宋体" w:eastAsia="宋体" w:cs="宋体"/>
          <w:b w:val="0"/>
          <w:bCs w:val="0"/>
          <w:spacing w:val="0"/>
          <w:kern w:val="2"/>
          <w:sz w:val="24"/>
          <w:szCs w:val="24"/>
          <w:highlight w:val="none"/>
          <w:lang w:bidi="ar"/>
        </w:rPr>
      </w:pPr>
      <w:r>
        <w:rPr>
          <w:rFonts w:hint="eastAsia" w:ascii="宋体" w:hAnsi="宋体" w:eastAsia="宋体" w:cs="宋体"/>
          <w:b w:val="0"/>
          <w:bCs w:val="0"/>
          <w:spacing w:val="0"/>
          <w:kern w:val="2"/>
          <w:sz w:val="24"/>
          <w:szCs w:val="24"/>
          <w:highlight w:val="none"/>
          <w:lang w:val="en-US" w:eastAsia="zh-CN" w:bidi="ar"/>
        </w:rPr>
        <w:t>18</w:t>
      </w:r>
      <w:r>
        <w:rPr>
          <w:rFonts w:hint="eastAsia" w:ascii="宋体" w:hAnsi="宋体" w:eastAsia="宋体" w:cs="宋体"/>
          <w:b w:val="0"/>
          <w:bCs w:val="0"/>
          <w:spacing w:val="0"/>
          <w:kern w:val="2"/>
          <w:sz w:val="24"/>
          <w:szCs w:val="24"/>
          <w:highlight w:val="none"/>
          <w:lang w:bidi="ar"/>
        </w:rPr>
        <w:t>.</w:t>
      </w:r>
      <w:r>
        <w:rPr>
          <w:rFonts w:hint="eastAsia" w:ascii="宋体" w:hAnsi="宋体" w:eastAsia="宋体" w:cs="宋体"/>
          <w:b w:val="0"/>
          <w:bCs w:val="0"/>
          <w:spacing w:val="0"/>
          <w:kern w:val="2"/>
          <w:sz w:val="24"/>
          <w:szCs w:val="24"/>
          <w:highlight w:val="none"/>
          <w:lang w:val="en-US" w:eastAsia="zh-CN" w:bidi="ar"/>
        </w:rPr>
        <w:t xml:space="preserve">5 </w:t>
      </w:r>
      <w:r>
        <w:rPr>
          <w:rFonts w:hint="eastAsia" w:ascii="宋体" w:hAnsi="宋体" w:eastAsia="宋体" w:cs="宋体"/>
          <w:b w:val="0"/>
          <w:bCs w:val="0"/>
          <w:spacing w:val="0"/>
          <w:kern w:val="2"/>
          <w:sz w:val="24"/>
          <w:szCs w:val="24"/>
          <w:highlight w:val="none"/>
          <w:lang w:bidi="ar"/>
        </w:rPr>
        <w:t>开标过程应当由采购人或者采购代理机构负责记录，由参加开标的各投标人代表和相关工作人员签字确认后随采购文件一并存档。</w:t>
      </w:r>
    </w:p>
    <w:p w14:paraId="2516B5B2">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firstLine="480" w:firstLineChars="200"/>
        <w:textAlignment w:val="auto"/>
        <w:rPr>
          <w:rFonts w:hint="eastAsia" w:ascii="宋体" w:hAnsi="宋体" w:eastAsia="宋体" w:cs="宋体"/>
          <w:b w:val="0"/>
          <w:bCs w:val="0"/>
          <w:spacing w:val="0"/>
          <w:kern w:val="2"/>
          <w:sz w:val="24"/>
          <w:szCs w:val="24"/>
          <w:highlight w:val="none"/>
          <w:lang w:bidi="ar"/>
        </w:rPr>
      </w:pPr>
      <w:r>
        <w:rPr>
          <w:rFonts w:hint="eastAsia" w:ascii="宋体" w:hAnsi="宋体" w:eastAsia="宋体" w:cs="宋体"/>
          <w:b w:val="0"/>
          <w:bCs w:val="0"/>
          <w:spacing w:val="0"/>
          <w:kern w:val="2"/>
          <w:sz w:val="24"/>
          <w:szCs w:val="24"/>
          <w:highlight w:val="none"/>
          <w:lang w:bidi="ar"/>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007B0591">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firstLine="480" w:firstLineChars="200"/>
        <w:textAlignment w:val="auto"/>
        <w:rPr>
          <w:rFonts w:hint="eastAsia" w:ascii="宋体" w:hAnsi="宋体" w:eastAsia="宋体" w:cs="宋体"/>
          <w:b w:val="0"/>
          <w:bCs w:val="0"/>
          <w:spacing w:val="0"/>
          <w:kern w:val="2"/>
          <w:sz w:val="24"/>
          <w:szCs w:val="24"/>
          <w:highlight w:val="none"/>
          <w:lang w:bidi="ar"/>
        </w:rPr>
      </w:pPr>
      <w:r>
        <w:rPr>
          <w:rFonts w:hint="eastAsia" w:ascii="宋体" w:hAnsi="宋体" w:eastAsia="宋体" w:cs="宋体"/>
          <w:b w:val="0"/>
          <w:bCs w:val="0"/>
          <w:spacing w:val="0"/>
          <w:kern w:val="2"/>
          <w:sz w:val="24"/>
          <w:szCs w:val="24"/>
          <w:highlight w:val="none"/>
          <w:lang w:bidi="ar"/>
        </w:rPr>
        <w:t>投标人未参加开标的，视同认可开标结果。</w:t>
      </w:r>
    </w:p>
    <w:p w14:paraId="4640148B">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firstLine="482" w:firstLineChars="200"/>
        <w:textAlignment w:val="auto"/>
        <w:rPr>
          <w:rFonts w:hint="eastAsia" w:ascii="宋体" w:hAnsi="宋体" w:eastAsia="宋体" w:cs="宋体"/>
          <w:b/>
          <w:spacing w:val="0"/>
          <w:kern w:val="2"/>
          <w:sz w:val="24"/>
          <w:szCs w:val="24"/>
          <w:highlight w:val="none"/>
          <w:lang w:bidi="ar"/>
        </w:rPr>
      </w:pPr>
      <w:r>
        <w:rPr>
          <w:rFonts w:hint="eastAsia" w:ascii="宋体" w:hAnsi="宋体" w:eastAsia="宋体" w:cs="宋体"/>
          <w:b/>
          <w:spacing w:val="0"/>
          <w:kern w:val="2"/>
          <w:sz w:val="24"/>
          <w:szCs w:val="24"/>
          <w:highlight w:val="none"/>
          <w:lang w:bidi="ar"/>
        </w:rPr>
        <w:t xml:space="preserve">19. 资格审查及组建评标委员会 </w:t>
      </w:r>
    </w:p>
    <w:p w14:paraId="071B997A">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firstLine="480" w:firstLineChars="200"/>
        <w:textAlignment w:val="auto"/>
        <w:rPr>
          <w:rFonts w:hint="eastAsia" w:ascii="宋体" w:hAnsi="宋体" w:eastAsia="宋体" w:cs="宋体"/>
          <w:bCs w:val="0"/>
          <w:spacing w:val="0"/>
          <w:kern w:val="2"/>
          <w:sz w:val="24"/>
          <w:szCs w:val="24"/>
          <w:highlight w:val="none"/>
          <w:lang w:bidi="ar"/>
        </w:rPr>
      </w:pPr>
      <w:r>
        <w:rPr>
          <w:rFonts w:hint="eastAsia" w:ascii="宋体" w:hAnsi="宋体" w:eastAsia="宋体" w:cs="宋体"/>
          <w:bCs w:val="0"/>
          <w:spacing w:val="0"/>
          <w:kern w:val="2"/>
          <w:sz w:val="24"/>
          <w:szCs w:val="24"/>
          <w:highlight w:val="none"/>
          <w:lang w:bidi="ar"/>
        </w:rPr>
        <w:t>19.1 采购人或采购代理机构依据法律法规和招标文件中规定的内容，对投标人及其投标货物及服务的资格进行审查，未通过资格审查的投标人不进入评标；通过资格审查的投标人少于三家的，不进行评标。</w:t>
      </w:r>
    </w:p>
    <w:p w14:paraId="4C6FF174">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firstLine="480" w:firstLineChars="200"/>
        <w:textAlignment w:val="auto"/>
        <w:rPr>
          <w:rFonts w:hint="eastAsia" w:ascii="宋体" w:hAnsi="宋体" w:eastAsia="宋体" w:cs="宋体"/>
          <w:bCs w:val="0"/>
          <w:spacing w:val="0"/>
          <w:kern w:val="2"/>
          <w:sz w:val="24"/>
          <w:szCs w:val="24"/>
          <w:highlight w:val="none"/>
          <w:lang w:bidi="ar"/>
        </w:rPr>
      </w:pPr>
      <w:r>
        <w:rPr>
          <w:rFonts w:hint="eastAsia" w:ascii="宋体" w:hAnsi="宋体" w:eastAsia="宋体" w:cs="宋体"/>
          <w:bCs w:val="0"/>
          <w:spacing w:val="0"/>
          <w:kern w:val="2"/>
          <w:sz w:val="24"/>
          <w:szCs w:val="24"/>
          <w:highlight w:val="none"/>
          <w:lang w:bidi="ar"/>
        </w:rPr>
        <w:t>19.2 采购代理机构将按</w:t>
      </w:r>
      <w:r>
        <w:rPr>
          <w:rFonts w:hint="eastAsia" w:ascii="宋体" w:hAnsi="宋体" w:eastAsia="宋体" w:cs="宋体"/>
          <w:bCs w:val="0"/>
          <w:spacing w:val="0"/>
          <w:kern w:val="2"/>
          <w:sz w:val="24"/>
          <w:szCs w:val="24"/>
          <w:highlight w:val="none"/>
          <w:u w:val="single"/>
          <w:lang w:bidi="ar"/>
        </w:rPr>
        <w:t>投标须知前附表</w:t>
      </w:r>
      <w:r>
        <w:rPr>
          <w:rFonts w:hint="eastAsia" w:ascii="宋体" w:hAnsi="宋体" w:eastAsia="宋体" w:cs="宋体"/>
          <w:bCs w:val="0"/>
          <w:spacing w:val="0"/>
          <w:kern w:val="2"/>
          <w:sz w:val="24"/>
          <w:szCs w:val="24"/>
          <w:highlight w:val="none"/>
          <w:lang w:bidi="ar"/>
        </w:rPr>
        <w:t xml:space="preserve">中规定的时间查询投标人的信用记录。 </w:t>
      </w:r>
    </w:p>
    <w:p w14:paraId="6783044E">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firstLine="480" w:firstLineChars="200"/>
        <w:textAlignment w:val="auto"/>
        <w:rPr>
          <w:rFonts w:hint="eastAsia" w:ascii="宋体" w:hAnsi="宋体" w:eastAsia="宋体" w:cs="宋体"/>
          <w:bCs w:val="0"/>
          <w:spacing w:val="0"/>
          <w:kern w:val="2"/>
          <w:sz w:val="24"/>
          <w:szCs w:val="24"/>
          <w:highlight w:val="none"/>
          <w:lang w:bidi="ar"/>
        </w:rPr>
      </w:pPr>
      <w:r>
        <w:rPr>
          <w:rFonts w:hint="eastAsia" w:ascii="宋体" w:hAnsi="宋体" w:eastAsia="宋体" w:cs="宋体"/>
          <w:bCs w:val="0"/>
          <w:spacing w:val="0"/>
          <w:kern w:val="2"/>
          <w:sz w:val="24"/>
          <w:szCs w:val="24"/>
          <w:highlight w:val="none"/>
          <w:lang w:bidi="ar"/>
        </w:rPr>
        <w:t>19.2.1投标人在中国政府采购网（www.ccgp.gov.cn）被列入政府采购严重违法失信行为记录名单，在“信用中国”网站（www.creditchina.gov.cn）被列入失信被执行人、重大税收违法失信主体，未被国家企业信用信息公示系统（www.gsxt.gov.cn）列入严重违法失信名单</w:t>
      </w:r>
      <w:r>
        <w:rPr>
          <w:rFonts w:hint="eastAsia" w:ascii="宋体" w:hAnsi="宋体" w:cs="宋体"/>
          <w:bCs w:val="0"/>
          <w:spacing w:val="0"/>
          <w:kern w:val="2"/>
          <w:sz w:val="24"/>
          <w:szCs w:val="24"/>
          <w:highlight w:val="none"/>
          <w:lang w:eastAsia="zh-CN" w:bidi="ar"/>
        </w:rPr>
        <w:t>，</w:t>
      </w:r>
      <w:r>
        <w:rPr>
          <w:rFonts w:hint="eastAsia" w:ascii="宋体" w:hAnsi="宋体" w:eastAsia="宋体" w:cs="宋体"/>
          <w:bCs w:val="0"/>
          <w:spacing w:val="0"/>
          <w:kern w:val="2"/>
          <w:sz w:val="24"/>
          <w:szCs w:val="24"/>
          <w:highlight w:val="none"/>
          <w:lang w:bidi="ar"/>
        </w:rPr>
        <w:t>投标将被认定为</w:t>
      </w:r>
      <w:r>
        <w:rPr>
          <w:rFonts w:hint="eastAsia" w:ascii="宋体" w:hAnsi="宋体" w:eastAsia="宋体" w:cs="宋体"/>
          <w:b/>
          <w:spacing w:val="0"/>
          <w:kern w:val="2"/>
          <w:sz w:val="24"/>
          <w:szCs w:val="24"/>
          <w:highlight w:val="none"/>
          <w:lang w:bidi="ar"/>
        </w:rPr>
        <w:t>投标无效</w:t>
      </w:r>
      <w:r>
        <w:rPr>
          <w:rFonts w:hint="eastAsia" w:ascii="宋体" w:hAnsi="宋体" w:eastAsia="宋体" w:cs="宋体"/>
          <w:bCs w:val="0"/>
          <w:spacing w:val="0"/>
          <w:kern w:val="2"/>
          <w:sz w:val="24"/>
          <w:szCs w:val="24"/>
          <w:highlight w:val="none"/>
          <w:lang w:bidi="ar"/>
        </w:rPr>
        <w:t xml:space="preserve">。 </w:t>
      </w:r>
    </w:p>
    <w:p w14:paraId="1E015AA0">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firstLine="480" w:firstLineChars="200"/>
        <w:textAlignment w:val="auto"/>
        <w:rPr>
          <w:rFonts w:hint="eastAsia" w:ascii="宋体" w:hAnsi="宋体" w:eastAsia="宋体" w:cs="宋体"/>
          <w:bCs w:val="0"/>
          <w:spacing w:val="0"/>
          <w:kern w:val="2"/>
          <w:sz w:val="24"/>
          <w:szCs w:val="24"/>
          <w:highlight w:val="none"/>
          <w:lang w:bidi="ar"/>
        </w:rPr>
      </w:pPr>
      <w:r>
        <w:rPr>
          <w:rFonts w:hint="eastAsia" w:ascii="宋体" w:hAnsi="宋体" w:eastAsia="宋体" w:cs="宋体"/>
          <w:bCs w:val="0"/>
          <w:spacing w:val="0"/>
          <w:kern w:val="2"/>
          <w:sz w:val="24"/>
          <w:szCs w:val="24"/>
          <w:highlight w:val="none"/>
          <w:lang w:bidi="ar"/>
        </w:rPr>
        <w:t>以联合体形式参加投标的，联合体任何成员存在以上不良信用记录的，联合体投标将被认定为</w:t>
      </w:r>
      <w:r>
        <w:rPr>
          <w:rFonts w:hint="eastAsia" w:ascii="宋体" w:hAnsi="宋体" w:eastAsia="宋体" w:cs="宋体"/>
          <w:b/>
          <w:spacing w:val="0"/>
          <w:kern w:val="2"/>
          <w:sz w:val="24"/>
          <w:szCs w:val="24"/>
          <w:highlight w:val="none"/>
          <w:lang w:bidi="ar"/>
        </w:rPr>
        <w:t>投标无效</w:t>
      </w:r>
      <w:r>
        <w:rPr>
          <w:rFonts w:hint="eastAsia" w:ascii="宋体" w:hAnsi="宋体" w:eastAsia="宋体" w:cs="宋体"/>
          <w:bCs w:val="0"/>
          <w:spacing w:val="0"/>
          <w:kern w:val="2"/>
          <w:sz w:val="24"/>
          <w:szCs w:val="24"/>
          <w:highlight w:val="none"/>
          <w:lang w:bidi="ar"/>
        </w:rPr>
        <w:t xml:space="preserve">。（本项目不适用） </w:t>
      </w:r>
    </w:p>
    <w:p w14:paraId="00CC818F">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firstLine="480" w:firstLineChars="200"/>
        <w:textAlignment w:val="auto"/>
        <w:rPr>
          <w:rFonts w:hint="eastAsia" w:ascii="宋体" w:hAnsi="宋体" w:eastAsia="宋体" w:cs="宋体"/>
          <w:bCs w:val="0"/>
          <w:spacing w:val="0"/>
          <w:kern w:val="2"/>
          <w:sz w:val="24"/>
          <w:szCs w:val="24"/>
          <w:highlight w:val="none"/>
          <w:lang w:bidi="ar"/>
        </w:rPr>
      </w:pPr>
      <w:r>
        <w:rPr>
          <w:rFonts w:hint="eastAsia" w:ascii="宋体" w:hAnsi="宋体" w:eastAsia="宋体" w:cs="宋体"/>
          <w:bCs w:val="0"/>
          <w:spacing w:val="0"/>
          <w:kern w:val="2"/>
          <w:sz w:val="24"/>
          <w:szCs w:val="24"/>
          <w:highlight w:val="none"/>
          <w:lang w:bidi="ar"/>
        </w:rPr>
        <w:t xml:space="preserve">19.2.2 采购代理机构经办人将查询网页打印并存档备查。投标人不良信用记录以采购人或采购代理机构查询结果为准。投标人自行提供的与网站信息不一致的其他证明材料亦不作为资格审查依据。 </w:t>
      </w:r>
    </w:p>
    <w:p w14:paraId="52F63511">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firstLine="480" w:firstLineChars="200"/>
        <w:textAlignment w:val="auto"/>
        <w:rPr>
          <w:rFonts w:hint="eastAsia" w:ascii="宋体" w:hAnsi="宋体" w:eastAsia="宋体" w:cs="宋体"/>
          <w:bCs w:val="0"/>
          <w:spacing w:val="0"/>
          <w:kern w:val="2"/>
          <w:sz w:val="24"/>
          <w:szCs w:val="24"/>
          <w:highlight w:val="none"/>
          <w:lang w:bidi="ar"/>
        </w:rPr>
      </w:pPr>
      <w:r>
        <w:rPr>
          <w:rFonts w:hint="eastAsia" w:ascii="宋体" w:hAnsi="宋体" w:eastAsia="宋体" w:cs="宋体"/>
          <w:bCs w:val="0"/>
          <w:spacing w:val="0"/>
          <w:kern w:val="2"/>
          <w:sz w:val="24"/>
          <w:szCs w:val="24"/>
          <w:highlight w:val="none"/>
          <w:lang w:bidi="ar"/>
        </w:rPr>
        <w:t xml:space="preserve">在本招标文件规定的查询时间之外，网站信息发生的任何变更均不作为资格审查依据。 </w:t>
      </w:r>
    </w:p>
    <w:p w14:paraId="7667B52C">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firstLine="480" w:firstLineChars="200"/>
        <w:textAlignment w:val="auto"/>
        <w:rPr>
          <w:rFonts w:hint="eastAsia" w:ascii="宋体" w:hAnsi="宋体" w:eastAsia="宋体" w:cs="宋体"/>
          <w:bCs w:val="0"/>
          <w:spacing w:val="0"/>
          <w:kern w:val="2"/>
          <w:sz w:val="24"/>
          <w:szCs w:val="24"/>
          <w:highlight w:val="none"/>
          <w:lang w:bidi="ar"/>
        </w:rPr>
      </w:pPr>
      <w:r>
        <w:rPr>
          <w:rFonts w:hint="eastAsia" w:ascii="宋体" w:hAnsi="宋体" w:eastAsia="宋体" w:cs="宋体"/>
          <w:bCs w:val="0"/>
          <w:spacing w:val="0"/>
          <w:kern w:val="2"/>
          <w:sz w:val="24"/>
          <w:szCs w:val="24"/>
          <w:highlight w:val="none"/>
          <w:lang w:bidi="ar"/>
        </w:rPr>
        <w:t xml:space="preserve">19.3 按照《中华人民共和国政府采购法》、《中华人民共和国政府采购法实施条例》及本项目本级和上级财政部门的有关规定依法组建的评标委员会，负责评标工作。 </w:t>
      </w:r>
    </w:p>
    <w:p w14:paraId="62048EA7">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firstLine="482" w:firstLineChars="200"/>
        <w:textAlignment w:val="auto"/>
        <w:rPr>
          <w:rFonts w:hint="eastAsia" w:ascii="宋体" w:hAnsi="宋体" w:eastAsia="宋体" w:cs="宋体"/>
          <w:b/>
          <w:spacing w:val="0"/>
          <w:kern w:val="2"/>
          <w:sz w:val="24"/>
          <w:szCs w:val="24"/>
          <w:highlight w:val="none"/>
          <w:lang w:bidi="ar"/>
        </w:rPr>
      </w:pPr>
      <w:r>
        <w:rPr>
          <w:rFonts w:hint="eastAsia" w:ascii="宋体" w:hAnsi="宋体" w:eastAsia="宋体" w:cs="宋体"/>
          <w:b/>
          <w:spacing w:val="0"/>
          <w:kern w:val="2"/>
          <w:sz w:val="24"/>
          <w:szCs w:val="24"/>
          <w:highlight w:val="none"/>
          <w:lang w:bidi="ar"/>
        </w:rPr>
        <w:t xml:space="preserve">20. 投标文件的符合性审查与澄清 </w:t>
      </w:r>
    </w:p>
    <w:p w14:paraId="2F68E77A">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firstLine="480" w:firstLineChars="200"/>
        <w:textAlignment w:val="auto"/>
        <w:rPr>
          <w:rFonts w:hint="eastAsia" w:ascii="宋体" w:hAnsi="宋体" w:eastAsia="宋体" w:cs="宋体"/>
          <w:bCs w:val="0"/>
          <w:spacing w:val="0"/>
          <w:kern w:val="2"/>
          <w:sz w:val="24"/>
          <w:szCs w:val="24"/>
          <w:highlight w:val="none"/>
          <w:lang w:bidi="ar"/>
        </w:rPr>
      </w:pPr>
      <w:r>
        <w:rPr>
          <w:rFonts w:hint="eastAsia" w:ascii="宋体" w:hAnsi="宋体" w:eastAsia="宋体" w:cs="宋体"/>
          <w:bCs w:val="0"/>
          <w:spacing w:val="0"/>
          <w:kern w:val="2"/>
          <w:sz w:val="24"/>
          <w:szCs w:val="24"/>
          <w:highlight w:val="none"/>
          <w:lang w:bidi="ar"/>
        </w:rPr>
        <w:t xml:space="preserve">20.1 符合性检查是指依据招标文件的规定，从投标文件的有效性、完整性和对招标文件的响应程度进行审查，以确定是否对招标文件的实质性要求做出响应。 </w:t>
      </w:r>
    </w:p>
    <w:p w14:paraId="5E06162D">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firstLine="480" w:firstLineChars="200"/>
        <w:textAlignment w:val="auto"/>
        <w:rPr>
          <w:rFonts w:hint="eastAsia" w:ascii="宋体" w:hAnsi="宋体" w:eastAsia="宋体" w:cs="宋体"/>
          <w:bCs w:val="0"/>
          <w:spacing w:val="0"/>
          <w:kern w:val="2"/>
          <w:sz w:val="24"/>
          <w:szCs w:val="24"/>
          <w:highlight w:val="none"/>
          <w:lang w:bidi="ar"/>
        </w:rPr>
      </w:pPr>
      <w:r>
        <w:rPr>
          <w:rFonts w:hint="eastAsia" w:ascii="宋体" w:hAnsi="宋体" w:eastAsia="宋体" w:cs="宋体"/>
          <w:bCs w:val="0"/>
          <w:spacing w:val="0"/>
          <w:kern w:val="2"/>
          <w:sz w:val="24"/>
          <w:szCs w:val="24"/>
          <w:highlight w:val="none"/>
          <w:lang w:bidi="ar"/>
        </w:rPr>
        <w:t xml:space="preserve">20.2 投标文件的澄清 </w:t>
      </w:r>
    </w:p>
    <w:p w14:paraId="7FA14A02">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firstLine="480" w:firstLineChars="200"/>
        <w:textAlignment w:val="auto"/>
        <w:rPr>
          <w:rFonts w:hint="eastAsia" w:ascii="宋体" w:hAnsi="宋体" w:eastAsia="宋体" w:cs="宋体"/>
          <w:bCs w:val="0"/>
          <w:spacing w:val="0"/>
          <w:kern w:val="2"/>
          <w:sz w:val="24"/>
          <w:szCs w:val="24"/>
          <w:highlight w:val="none"/>
          <w:lang w:bidi="ar"/>
        </w:rPr>
      </w:pPr>
      <w:r>
        <w:rPr>
          <w:rFonts w:hint="eastAsia" w:ascii="宋体" w:hAnsi="宋体" w:eastAsia="宋体" w:cs="宋体"/>
          <w:bCs w:val="0"/>
          <w:spacing w:val="0"/>
          <w:kern w:val="2"/>
          <w:sz w:val="24"/>
          <w:szCs w:val="24"/>
          <w:highlight w:val="none"/>
          <w:lang w:bidi="ar"/>
        </w:rPr>
        <w:t xml:space="preserve">20.2.1 在评标期间，评标委员会将以书面方式要求投标人对其投标文件中含义不明确、对同类问题表述不一致或者有明显文字和计算错误的内容，以及评标委员会认为投标人的报价明显低于其他通过符合性审查投标人的报价，有可能影响履约的情况作必要的澄清、说明或补正。投标人的澄清、说明或补正应在评标委员会规定的时间内以书面方式进行，并不得超出投标文件范围或者改变投标文件的实质性内容。 </w:t>
      </w:r>
    </w:p>
    <w:p w14:paraId="5A6675B2">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firstLine="480" w:firstLineChars="200"/>
        <w:textAlignment w:val="auto"/>
        <w:rPr>
          <w:rFonts w:hint="eastAsia" w:ascii="宋体" w:hAnsi="宋体" w:eastAsia="宋体" w:cs="宋体"/>
          <w:bCs w:val="0"/>
          <w:spacing w:val="0"/>
          <w:kern w:val="2"/>
          <w:sz w:val="24"/>
          <w:szCs w:val="24"/>
          <w:highlight w:val="none"/>
          <w:lang w:bidi="ar"/>
        </w:rPr>
      </w:pPr>
      <w:r>
        <w:rPr>
          <w:rFonts w:hint="eastAsia" w:ascii="宋体" w:hAnsi="宋体" w:eastAsia="宋体" w:cs="宋体"/>
          <w:bCs w:val="0"/>
          <w:spacing w:val="0"/>
          <w:kern w:val="2"/>
          <w:sz w:val="24"/>
          <w:szCs w:val="24"/>
          <w:highlight w:val="none"/>
          <w:lang w:bidi="ar"/>
        </w:rPr>
        <w:t xml:space="preserve">20.2.2 投标人的澄清、说明或补正将作为投标文件的一部分。 </w:t>
      </w:r>
    </w:p>
    <w:p w14:paraId="2417C6FF">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firstLine="480" w:firstLineChars="200"/>
        <w:textAlignment w:val="auto"/>
        <w:rPr>
          <w:rFonts w:hint="eastAsia" w:ascii="宋体" w:hAnsi="宋体" w:eastAsia="宋体" w:cs="宋体"/>
          <w:bCs w:val="0"/>
          <w:spacing w:val="0"/>
          <w:kern w:val="2"/>
          <w:sz w:val="24"/>
          <w:szCs w:val="24"/>
          <w:highlight w:val="none"/>
          <w:lang w:bidi="ar"/>
        </w:rPr>
      </w:pPr>
      <w:r>
        <w:rPr>
          <w:rFonts w:hint="eastAsia" w:ascii="宋体" w:hAnsi="宋体" w:eastAsia="宋体" w:cs="宋体"/>
          <w:bCs w:val="0"/>
          <w:spacing w:val="0"/>
          <w:kern w:val="2"/>
          <w:sz w:val="24"/>
          <w:szCs w:val="24"/>
          <w:highlight w:val="none"/>
          <w:lang w:bidi="ar"/>
        </w:rPr>
        <w:t xml:space="preserve">20.2.3 投标文件报价出现前后不一致的，按照下列规定修正： </w:t>
      </w:r>
    </w:p>
    <w:p w14:paraId="66DCC56C">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firstLine="480" w:firstLineChars="200"/>
        <w:textAlignment w:val="auto"/>
        <w:rPr>
          <w:rFonts w:hint="eastAsia" w:ascii="宋体" w:hAnsi="宋体" w:eastAsia="宋体" w:cs="宋体"/>
          <w:bCs w:val="0"/>
          <w:spacing w:val="0"/>
          <w:kern w:val="2"/>
          <w:sz w:val="24"/>
          <w:szCs w:val="24"/>
          <w:highlight w:val="none"/>
          <w:lang w:bidi="ar"/>
        </w:rPr>
      </w:pPr>
      <w:r>
        <w:rPr>
          <w:rFonts w:hint="eastAsia" w:ascii="宋体" w:hAnsi="宋体" w:eastAsia="宋体" w:cs="宋体"/>
          <w:bCs w:val="0"/>
          <w:spacing w:val="0"/>
          <w:kern w:val="2"/>
          <w:sz w:val="24"/>
          <w:szCs w:val="24"/>
          <w:highlight w:val="none"/>
          <w:lang w:bidi="ar"/>
        </w:rPr>
        <w:t xml:space="preserve">（一）投标文件中开标一览表（报价表）内容与投标文件中相应内容不一致的，以开标一览表（报价表）为准； </w:t>
      </w:r>
    </w:p>
    <w:p w14:paraId="695897E2">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firstLine="480" w:firstLineChars="200"/>
        <w:textAlignment w:val="auto"/>
        <w:rPr>
          <w:rFonts w:hint="eastAsia" w:ascii="宋体" w:hAnsi="宋体" w:eastAsia="宋体" w:cs="宋体"/>
          <w:bCs w:val="0"/>
          <w:spacing w:val="0"/>
          <w:kern w:val="2"/>
          <w:sz w:val="24"/>
          <w:szCs w:val="24"/>
          <w:highlight w:val="none"/>
          <w:lang w:bidi="ar"/>
        </w:rPr>
      </w:pPr>
      <w:r>
        <w:rPr>
          <w:rFonts w:hint="eastAsia" w:ascii="宋体" w:hAnsi="宋体" w:eastAsia="宋体" w:cs="宋体"/>
          <w:bCs w:val="0"/>
          <w:spacing w:val="0"/>
          <w:kern w:val="2"/>
          <w:sz w:val="24"/>
          <w:szCs w:val="24"/>
          <w:highlight w:val="none"/>
          <w:lang w:bidi="ar"/>
        </w:rPr>
        <w:t>（二）大写金额和小写金额不一致的，以大写金额为准；</w:t>
      </w:r>
    </w:p>
    <w:p w14:paraId="70DC2EC4">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firstLine="480" w:firstLineChars="200"/>
        <w:textAlignment w:val="auto"/>
        <w:rPr>
          <w:rFonts w:hint="eastAsia" w:ascii="宋体" w:hAnsi="宋体" w:eastAsia="宋体" w:cs="宋体"/>
          <w:bCs w:val="0"/>
          <w:spacing w:val="0"/>
          <w:kern w:val="2"/>
          <w:sz w:val="24"/>
          <w:szCs w:val="24"/>
          <w:highlight w:val="none"/>
          <w:lang w:bidi="ar"/>
        </w:rPr>
      </w:pPr>
      <w:r>
        <w:rPr>
          <w:rFonts w:hint="eastAsia" w:ascii="宋体" w:hAnsi="宋体" w:eastAsia="宋体" w:cs="宋体"/>
          <w:bCs w:val="0"/>
          <w:spacing w:val="0"/>
          <w:kern w:val="2"/>
          <w:sz w:val="24"/>
          <w:szCs w:val="24"/>
          <w:highlight w:val="none"/>
          <w:lang w:bidi="ar"/>
        </w:rPr>
        <w:t xml:space="preserve">（三）单价金额小数点或者百分比有明显错位的，以开标一览表的总价为准，并修改单价； </w:t>
      </w:r>
    </w:p>
    <w:p w14:paraId="58155463">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firstLine="480" w:firstLineChars="200"/>
        <w:textAlignment w:val="auto"/>
        <w:rPr>
          <w:rFonts w:hint="eastAsia" w:ascii="宋体" w:hAnsi="宋体" w:eastAsia="宋体" w:cs="宋体"/>
          <w:bCs w:val="0"/>
          <w:spacing w:val="0"/>
          <w:kern w:val="2"/>
          <w:sz w:val="24"/>
          <w:szCs w:val="24"/>
          <w:highlight w:val="none"/>
          <w:lang w:bidi="ar"/>
        </w:rPr>
      </w:pPr>
      <w:r>
        <w:rPr>
          <w:rFonts w:hint="eastAsia" w:ascii="宋体" w:hAnsi="宋体" w:eastAsia="宋体" w:cs="宋体"/>
          <w:bCs w:val="0"/>
          <w:spacing w:val="0"/>
          <w:kern w:val="2"/>
          <w:sz w:val="24"/>
          <w:szCs w:val="24"/>
          <w:highlight w:val="none"/>
          <w:lang w:bidi="ar"/>
        </w:rPr>
        <w:t xml:space="preserve">（四）总价金额与按单价汇总金额不一致的，以单价金额计算结果为准。 </w:t>
      </w:r>
    </w:p>
    <w:p w14:paraId="7B226995">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firstLine="480" w:firstLineChars="200"/>
        <w:textAlignment w:val="auto"/>
        <w:rPr>
          <w:rFonts w:hint="eastAsia" w:ascii="宋体" w:hAnsi="宋体" w:eastAsia="宋体" w:cs="宋体"/>
          <w:bCs w:val="0"/>
          <w:spacing w:val="0"/>
          <w:kern w:val="2"/>
          <w:sz w:val="24"/>
          <w:szCs w:val="24"/>
          <w:highlight w:val="none"/>
          <w:lang w:bidi="ar"/>
        </w:rPr>
      </w:pPr>
      <w:r>
        <w:rPr>
          <w:rFonts w:hint="eastAsia" w:ascii="宋体" w:hAnsi="宋体" w:eastAsia="宋体" w:cs="宋体"/>
          <w:bCs w:val="0"/>
          <w:spacing w:val="0"/>
          <w:kern w:val="2"/>
          <w:sz w:val="24"/>
          <w:szCs w:val="24"/>
          <w:highlight w:val="none"/>
          <w:lang w:bidi="ar"/>
        </w:rPr>
        <w:t>同时出现两种以上不一致的，按照前款规定的顺序修正。修正后的报价经投标人确认后产生约束力，投标人不确认的，其投标将被认定为</w:t>
      </w:r>
      <w:r>
        <w:rPr>
          <w:rFonts w:hint="eastAsia" w:ascii="宋体" w:hAnsi="宋体" w:eastAsia="宋体" w:cs="宋体"/>
          <w:b/>
          <w:spacing w:val="0"/>
          <w:kern w:val="2"/>
          <w:sz w:val="24"/>
          <w:szCs w:val="24"/>
          <w:highlight w:val="none"/>
          <w:lang w:bidi="ar"/>
        </w:rPr>
        <w:t>投标无效</w:t>
      </w:r>
      <w:r>
        <w:rPr>
          <w:rFonts w:hint="eastAsia" w:ascii="宋体" w:hAnsi="宋体" w:eastAsia="宋体" w:cs="宋体"/>
          <w:bCs w:val="0"/>
          <w:spacing w:val="0"/>
          <w:kern w:val="2"/>
          <w:sz w:val="24"/>
          <w:szCs w:val="24"/>
          <w:highlight w:val="none"/>
          <w:lang w:bidi="ar"/>
        </w:rPr>
        <w:t xml:space="preserve">。 </w:t>
      </w:r>
    </w:p>
    <w:p w14:paraId="75CEAB87">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firstLine="480" w:firstLineChars="200"/>
        <w:textAlignment w:val="auto"/>
        <w:rPr>
          <w:rFonts w:hint="eastAsia" w:ascii="宋体" w:hAnsi="宋体" w:eastAsia="宋体" w:cs="宋体"/>
          <w:bCs w:val="0"/>
          <w:spacing w:val="0"/>
          <w:kern w:val="2"/>
          <w:sz w:val="24"/>
          <w:szCs w:val="24"/>
          <w:highlight w:val="none"/>
          <w:lang w:bidi="ar"/>
        </w:rPr>
      </w:pPr>
      <w:r>
        <w:rPr>
          <w:rFonts w:hint="eastAsia" w:ascii="宋体" w:hAnsi="宋体" w:eastAsia="宋体" w:cs="宋体"/>
          <w:bCs w:val="0"/>
          <w:spacing w:val="0"/>
          <w:kern w:val="2"/>
          <w:sz w:val="24"/>
          <w:szCs w:val="24"/>
          <w:highlight w:val="none"/>
          <w:lang w:bidi="ar"/>
        </w:rPr>
        <w:t xml:space="preserve">对不同文字文本投标文件的解释发生异议的，以汉语语言文本为准。 </w:t>
      </w:r>
    </w:p>
    <w:p w14:paraId="5C89ABDD">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firstLine="480" w:firstLineChars="200"/>
        <w:textAlignment w:val="auto"/>
        <w:rPr>
          <w:rFonts w:hint="eastAsia" w:ascii="宋体" w:hAnsi="宋体" w:eastAsia="宋体" w:cs="宋体"/>
          <w:bCs w:val="0"/>
          <w:spacing w:val="0"/>
          <w:kern w:val="2"/>
          <w:sz w:val="24"/>
          <w:szCs w:val="24"/>
          <w:highlight w:val="none"/>
          <w:lang w:bidi="ar"/>
        </w:rPr>
      </w:pPr>
      <w:r>
        <w:rPr>
          <w:rFonts w:hint="eastAsia" w:ascii="宋体" w:hAnsi="宋体" w:eastAsia="宋体" w:cs="宋体"/>
          <w:bCs w:val="0"/>
          <w:spacing w:val="0"/>
          <w:kern w:val="2"/>
          <w:sz w:val="24"/>
          <w:szCs w:val="24"/>
          <w:highlight w:val="none"/>
          <w:lang w:bidi="ar"/>
        </w:rPr>
        <w:t>20.3 投标人所投货物所伴随的服务如被列入财政部与国家主管部门颁发的节能产品或环境标志产品品目清单或无线局域网产品清单，应提供处于有效期之内认证证书等相关证明，在评标时予以优先采购，具体优先采购办法见第</w:t>
      </w:r>
      <w:r>
        <w:rPr>
          <w:rFonts w:hint="eastAsia" w:ascii="宋体" w:hAnsi="宋体" w:cs="宋体"/>
          <w:bCs w:val="0"/>
          <w:spacing w:val="0"/>
          <w:kern w:val="2"/>
          <w:sz w:val="24"/>
          <w:szCs w:val="24"/>
          <w:highlight w:val="none"/>
          <w:lang w:val="en-US" w:eastAsia="zh-CN" w:bidi="ar"/>
        </w:rPr>
        <w:t>七</w:t>
      </w:r>
      <w:r>
        <w:rPr>
          <w:rFonts w:hint="eastAsia" w:ascii="宋体" w:hAnsi="宋体" w:eastAsia="宋体" w:cs="宋体"/>
          <w:bCs w:val="0"/>
          <w:spacing w:val="0"/>
          <w:kern w:val="2"/>
          <w:sz w:val="24"/>
          <w:szCs w:val="24"/>
          <w:highlight w:val="none"/>
          <w:lang w:bidi="ar"/>
        </w:rPr>
        <w:t xml:space="preserve">章评标方法和标准。 </w:t>
      </w:r>
    </w:p>
    <w:p w14:paraId="08F02D1A">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firstLine="480" w:firstLineChars="200"/>
        <w:textAlignment w:val="auto"/>
        <w:rPr>
          <w:rFonts w:hint="eastAsia" w:ascii="宋体" w:hAnsi="宋体" w:eastAsia="宋体" w:cs="宋体"/>
          <w:bCs w:val="0"/>
          <w:spacing w:val="0"/>
          <w:kern w:val="2"/>
          <w:sz w:val="24"/>
          <w:szCs w:val="24"/>
          <w:highlight w:val="none"/>
          <w:lang w:bidi="ar"/>
        </w:rPr>
      </w:pPr>
      <w:r>
        <w:rPr>
          <w:rFonts w:hint="eastAsia" w:ascii="宋体" w:hAnsi="宋体" w:eastAsia="宋体" w:cs="宋体"/>
          <w:bCs w:val="0"/>
          <w:spacing w:val="0"/>
          <w:kern w:val="2"/>
          <w:sz w:val="24"/>
          <w:szCs w:val="24"/>
          <w:highlight w:val="none"/>
          <w:lang w:bidi="ar"/>
        </w:rPr>
        <w:t>如采购货物为政府强制采购的产品，投标人所投产品应属于品目清单的强制采购部分。投标人应提供有效期内的认证证书，否则其投标将被认定为</w:t>
      </w:r>
      <w:r>
        <w:rPr>
          <w:rFonts w:hint="eastAsia" w:ascii="宋体" w:hAnsi="宋体" w:eastAsia="宋体" w:cs="宋体"/>
          <w:b/>
          <w:spacing w:val="0"/>
          <w:kern w:val="2"/>
          <w:sz w:val="24"/>
          <w:szCs w:val="24"/>
          <w:highlight w:val="none"/>
          <w:lang w:bidi="ar"/>
        </w:rPr>
        <w:t>投标无效</w:t>
      </w:r>
      <w:r>
        <w:rPr>
          <w:rFonts w:hint="eastAsia" w:ascii="宋体" w:hAnsi="宋体" w:eastAsia="宋体" w:cs="宋体"/>
          <w:bCs w:val="0"/>
          <w:spacing w:val="0"/>
          <w:kern w:val="2"/>
          <w:sz w:val="24"/>
          <w:szCs w:val="24"/>
          <w:highlight w:val="none"/>
          <w:lang w:bidi="ar"/>
        </w:rPr>
        <w:t xml:space="preserve">。 </w:t>
      </w:r>
    </w:p>
    <w:p w14:paraId="4EE43630">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firstLine="480" w:firstLineChars="200"/>
        <w:textAlignment w:val="auto"/>
        <w:rPr>
          <w:rFonts w:hint="eastAsia" w:ascii="宋体" w:hAnsi="宋体" w:eastAsia="宋体" w:cs="宋体"/>
          <w:bCs w:val="0"/>
          <w:spacing w:val="0"/>
          <w:kern w:val="2"/>
          <w:sz w:val="24"/>
          <w:szCs w:val="24"/>
          <w:highlight w:val="none"/>
          <w:lang w:bidi="ar"/>
        </w:rPr>
      </w:pPr>
      <w:r>
        <w:rPr>
          <w:rFonts w:hint="eastAsia" w:ascii="宋体" w:hAnsi="宋体" w:eastAsia="宋体" w:cs="宋体"/>
          <w:bCs w:val="0"/>
          <w:spacing w:val="0"/>
          <w:kern w:val="2"/>
          <w:sz w:val="24"/>
          <w:szCs w:val="24"/>
          <w:highlight w:val="none"/>
          <w:lang w:bidi="ar"/>
        </w:rPr>
        <w:t>如采购货物属于信息安全产品的，投标人所投产品应为经国家认证的信息安全产品，并提供由中国信息安全认证中心按国家标准认证颁发的有效认证证书，否则其投标将被认定为</w:t>
      </w:r>
      <w:r>
        <w:rPr>
          <w:rFonts w:hint="eastAsia" w:ascii="宋体" w:hAnsi="宋体" w:eastAsia="宋体" w:cs="宋体"/>
          <w:b/>
          <w:spacing w:val="0"/>
          <w:kern w:val="2"/>
          <w:sz w:val="24"/>
          <w:szCs w:val="24"/>
          <w:highlight w:val="none"/>
          <w:lang w:bidi="ar"/>
        </w:rPr>
        <w:t>投标无效</w:t>
      </w:r>
      <w:r>
        <w:rPr>
          <w:rFonts w:hint="eastAsia" w:ascii="宋体" w:hAnsi="宋体" w:eastAsia="宋体" w:cs="宋体"/>
          <w:bCs w:val="0"/>
          <w:spacing w:val="0"/>
          <w:kern w:val="2"/>
          <w:sz w:val="24"/>
          <w:szCs w:val="24"/>
          <w:highlight w:val="none"/>
          <w:lang w:bidi="ar"/>
        </w:rPr>
        <w:t xml:space="preserve">。 </w:t>
      </w:r>
    </w:p>
    <w:p w14:paraId="43347D44">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sz w:val="24"/>
          <w:highlight w:val="none"/>
          <w:lang w:bidi="ar"/>
        </w:rPr>
      </w:pPr>
      <w:r>
        <w:rPr>
          <w:rFonts w:hint="eastAsia" w:ascii="宋体" w:hAnsi="宋体" w:eastAsia="宋体" w:cs="宋体"/>
          <w:sz w:val="24"/>
          <w:highlight w:val="none"/>
          <w:lang w:bidi="ar"/>
        </w:rPr>
        <w:t>20.4 政府采购货物或服务项目中涉及商品包装和快递包装的，投标人提供产品及相关快递服务的具体包装要求请详见《商品包装政府采购需求标准（试行）》、《快递包装政府采购需求标准（试行）》。</w:t>
      </w:r>
    </w:p>
    <w:p w14:paraId="2A82D86E">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sz w:val="24"/>
          <w:highlight w:val="none"/>
          <w:lang w:bidi="ar"/>
        </w:rPr>
      </w:pPr>
      <w:r>
        <w:rPr>
          <w:rFonts w:hint="eastAsia" w:ascii="宋体" w:hAnsi="宋体" w:eastAsia="宋体" w:cs="宋体"/>
          <w:sz w:val="24"/>
          <w:highlight w:val="none"/>
          <w:lang w:bidi="ar"/>
        </w:rPr>
        <w:t xml:space="preserve">20.5 如一个分包内只有一种产品，不同投标人所投产品为同一品牌的，按如下方式处理： </w:t>
      </w:r>
    </w:p>
    <w:p w14:paraId="109C7287">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sz w:val="24"/>
          <w:highlight w:val="none"/>
          <w:lang w:bidi="ar"/>
        </w:rPr>
      </w:pPr>
      <w:r>
        <w:rPr>
          <w:rFonts w:hint="eastAsia" w:ascii="宋体" w:hAnsi="宋体" w:eastAsia="宋体" w:cs="宋体"/>
          <w:sz w:val="24"/>
          <w:highlight w:val="none"/>
          <w:lang w:bidi="ar"/>
        </w:rPr>
        <w:t>20.5.1 如本项目使用最低评标价法，提供相同品牌产品的不同投标人以其中通过资格审查、符合性审查且报价最低的参加评标；报价相同的，由采购人或者采购人委托评标委员会按照招标文件中评标办法规定的方式确定一个参加评标的投标人；未规定的采取随机抽取方式确定，其他</w:t>
      </w:r>
      <w:r>
        <w:rPr>
          <w:rFonts w:hint="eastAsia" w:ascii="宋体" w:hAnsi="宋体" w:eastAsia="宋体" w:cs="宋体"/>
          <w:b/>
          <w:bCs/>
          <w:sz w:val="24"/>
          <w:highlight w:val="none"/>
          <w:lang w:bidi="ar"/>
        </w:rPr>
        <w:t>投标无效</w:t>
      </w:r>
      <w:r>
        <w:rPr>
          <w:rFonts w:hint="eastAsia" w:ascii="宋体" w:hAnsi="宋体" w:eastAsia="宋体" w:cs="宋体"/>
          <w:sz w:val="24"/>
          <w:highlight w:val="none"/>
          <w:lang w:bidi="ar"/>
        </w:rPr>
        <w:t xml:space="preserve">。 </w:t>
      </w:r>
    </w:p>
    <w:p w14:paraId="1211C759">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sz w:val="24"/>
          <w:highlight w:val="none"/>
          <w:lang w:bidi="ar"/>
        </w:rPr>
      </w:pPr>
      <w:r>
        <w:rPr>
          <w:rFonts w:hint="eastAsia" w:ascii="宋体" w:hAnsi="宋体" w:eastAsia="宋体" w:cs="宋体"/>
          <w:sz w:val="24"/>
          <w:highlight w:val="none"/>
          <w:lang w:bidi="ar"/>
        </w:rPr>
        <w:t xml:space="preserve">20.5.2 如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办法规定的方式确定一个投标人获得中标人推荐资格；未规定的采取随机抽取方式确定，其他同品牌投标人不作为中标候选人。 </w:t>
      </w:r>
    </w:p>
    <w:p w14:paraId="3A342CE0">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sz w:val="24"/>
          <w:highlight w:val="none"/>
          <w:lang w:bidi="ar"/>
        </w:rPr>
      </w:pPr>
      <w:r>
        <w:rPr>
          <w:rFonts w:hint="eastAsia" w:ascii="宋体" w:hAnsi="宋体" w:eastAsia="宋体" w:cs="宋体"/>
          <w:sz w:val="24"/>
          <w:highlight w:val="none"/>
          <w:lang w:bidi="ar"/>
        </w:rPr>
        <w:t>20.6 如一个分包内包含多种产品的，采购人或采购代理机构将在</w:t>
      </w:r>
      <w:r>
        <w:rPr>
          <w:rFonts w:hint="eastAsia" w:ascii="宋体" w:hAnsi="宋体" w:eastAsia="宋体" w:cs="宋体"/>
          <w:sz w:val="24"/>
          <w:highlight w:val="none"/>
          <w:u w:val="single"/>
          <w:lang w:bidi="ar"/>
        </w:rPr>
        <w:t>投标人须知前附表</w:t>
      </w:r>
      <w:r>
        <w:rPr>
          <w:rFonts w:hint="eastAsia" w:ascii="宋体" w:hAnsi="宋体" w:eastAsia="宋体" w:cs="宋体"/>
          <w:sz w:val="24"/>
          <w:highlight w:val="none"/>
          <w:lang w:bidi="ar"/>
        </w:rPr>
        <w:t>中载明核心产品，多家投标人提供的所有核心产品品牌均相同的，按第 20.</w:t>
      </w:r>
      <w:r>
        <w:rPr>
          <w:rFonts w:hint="eastAsia" w:ascii="宋体" w:hAnsi="宋体" w:eastAsia="宋体" w:cs="宋体"/>
          <w:sz w:val="24"/>
          <w:highlight w:val="none"/>
          <w:lang w:val="en-US" w:eastAsia="zh-CN" w:bidi="ar"/>
        </w:rPr>
        <w:t>5</w:t>
      </w:r>
      <w:r>
        <w:rPr>
          <w:rFonts w:hint="eastAsia" w:ascii="宋体" w:hAnsi="宋体" w:eastAsia="宋体" w:cs="宋体"/>
          <w:sz w:val="24"/>
          <w:highlight w:val="none"/>
          <w:lang w:bidi="ar"/>
        </w:rPr>
        <w:t xml:space="preserve">条规定处理。 </w:t>
      </w:r>
    </w:p>
    <w:p w14:paraId="66F687B3">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firstLine="482" w:firstLineChars="200"/>
        <w:textAlignment w:val="auto"/>
        <w:rPr>
          <w:rFonts w:hint="eastAsia" w:ascii="宋体" w:hAnsi="宋体" w:eastAsia="宋体" w:cs="宋体"/>
          <w:b/>
          <w:spacing w:val="0"/>
          <w:kern w:val="2"/>
          <w:sz w:val="24"/>
          <w:szCs w:val="24"/>
          <w:highlight w:val="none"/>
          <w:lang w:bidi="ar"/>
        </w:rPr>
      </w:pPr>
      <w:r>
        <w:rPr>
          <w:rFonts w:hint="eastAsia" w:ascii="宋体" w:hAnsi="宋体" w:eastAsia="宋体" w:cs="宋体"/>
          <w:b/>
          <w:spacing w:val="0"/>
          <w:kern w:val="2"/>
          <w:sz w:val="24"/>
          <w:szCs w:val="24"/>
          <w:highlight w:val="none"/>
          <w:lang w:bidi="ar"/>
        </w:rPr>
        <w:t xml:space="preserve">21. 投标偏离 </w:t>
      </w:r>
    </w:p>
    <w:p w14:paraId="4347A1F4">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sz w:val="24"/>
          <w:highlight w:val="none"/>
          <w:lang w:bidi="ar"/>
        </w:rPr>
      </w:pPr>
      <w:r>
        <w:rPr>
          <w:rFonts w:hint="eastAsia" w:ascii="宋体" w:hAnsi="宋体" w:eastAsia="宋体" w:cs="宋体"/>
          <w:sz w:val="24"/>
          <w:highlight w:val="none"/>
          <w:lang w:bidi="ar"/>
        </w:rPr>
        <w:t xml:space="preserve">对于投标文件中不构成实质性偏差的不正规、不一致或不规则，评标委员会可以接受，但这种接受不能损坏或影响任何投标人的相对排序。 </w:t>
      </w:r>
    </w:p>
    <w:p w14:paraId="5DDE97EB">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firstLine="482" w:firstLineChars="200"/>
        <w:textAlignment w:val="auto"/>
        <w:rPr>
          <w:rFonts w:hint="eastAsia" w:ascii="宋体" w:hAnsi="宋体" w:eastAsia="宋体" w:cs="宋体"/>
          <w:b/>
          <w:spacing w:val="0"/>
          <w:kern w:val="2"/>
          <w:sz w:val="24"/>
          <w:szCs w:val="24"/>
          <w:highlight w:val="none"/>
          <w:lang w:bidi="ar"/>
        </w:rPr>
      </w:pPr>
      <w:r>
        <w:rPr>
          <w:rFonts w:hint="eastAsia" w:ascii="宋体" w:hAnsi="宋体" w:eastAsia="宋体" w:cs="宋体"/>
          <w:b/>
          <w:spacing w:val="0"/>
          <w:kern w:val="2"/>
          <w:sz w:val="24"/>
          <w:szCs w:val="24"/>
          <w:highlight w:val="none"/>
          <w:lang w:bidi="ar"/>
        </w:rPr>
        <w:t xml:space="preserve">22. 无效投标 </w:t>
      </w:r>
    </w:p>
    <w:p w14:paraId="55CE6B27">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firstLine="480" w:firstLineChars="200"/>
        <w:textAlignment w:val="auto"/>
        <w:rPr>
          <w:rFonts w:hint="eastAsia" w:ascii="宋体" w:hAnsi="宋体" w:eastAsia="宋体" w:cs="宋体"/>
          <w:bCs w:val="0"/>
          <w:spacing w:val="0"/>
          <w:kern w:val="2"/>
          <w:sz w:val="24"/>
          <w:szCs w:val="24"/>
          <w:highlight w:val="none"/>
          <w:lang w:bidi="ar"/>
        </w:rPr>
      </w:pPr>
      <w:r>
        <w:rPr>
          <w:rFonts w:hint="eastAsia" w:ascii="宋体" w:hAnsi="宋体" w:eastAsia="宋体" w:cs="宋体"/>
          <w:bCs w:val="0"/>
          <w:spacing w:val="0"/>
          <w:kern w:val="2"/>
          <w:sz w:val="24"/>
          <w:szCs w:val="24"/>
          <w:highlight w:val="none"/>
          <w:lang w:bidi="ar"/>
        </w:rPr>
        <w:t xml:space="preserve">22.1 在比较与评价之前，根据招标文件的规定，评标委员会要审查每份投标文件是否实质上响应了招标文件的要求。实质上响应的投标应该是与招标文件要求的全部条款、条件和规格相符，没有重大偏离的投标。 </w:t>
      </w:r>
    </w:p>
    <w:p w14:paraId="755C9DAF">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firstLine="480" w:firstLineChars="200"/>
        <w:textAlignment w:val="auto"/>
        <w:rPr>
          <w:rFonts w:hint="eastAsia" w:ascii="宋体" w:hAnsi="宋体" w:eastAsia="宋体" w:cs="宋体"/>
          <w:bCs w:val="0"/>
          <w:spacing w:val="0"/>
          <w:kern w:val="2"/>
          <w:sz w:val="24"/>
          <w:szCs w:val="24"/>
          <w:highlight w:val="none"/>
          <w:lang w:bidi="ar"/>
        </w:rPr>
      </w:pPr>
      <w:r>
        <w:rPr>
          <w:rFonts w:hint="eastAsia" w:ascii="宋体" w:hAnsi="宋体" w:eastAsia="宋体" w:cs="宋体"/>
          <w:bCs w:val="0"/>
          <w:spacing w:val="0"/>
          <w:kern w:val="2"/>
          <w:sz w:val="24"/>
          <w:szCs w:val="24"/>
          <w:highlight w:val="none"/>
          <w:lang w:bidi="ar"/>
        </w:rPr>
        <w:t>对关键条款的偏离、保留和反对，将被认为是实质上的偏离，其投标将被认定为</w:t>
      </w:r>
      <w:r>
        <w:rPr>
          <w:rFonts w:hint="eastAsia" w:ascii="宋体" w:hAnsi="宋体" w:eastAsia="宋体" w:cs="宋体"/>
          <w:b/>
          <w:spacing w:val="0"/>
          <w:kern w:val="2"/>
          <w:sz w:val="24"/>
          <w:szCs w:val="24"/>
          <w:highlight w:val="none"/>
          <w:lang w:bidi="ar"/>
        </w:rPr>
        <w:t>投标无效</w:t>
      </w:r>
      <w:r>
        <w:rPr>
          <w:rFonts w:hint="eastAsia" w:ascii="宋体" w:hAnsi="宋体" w:eastAsia="宋体" w:cs="宋体"/>
          <w:bCs w:val="0"/>
          <w:spacing w:val="0"/>
          <w:kern w:val="2"/>
          <w:sz w:val="24"/>
          <w:szCs w:val="24"/>
          <w:highlight w:val="none"/>
          <w:lang w:bidi="ar"/>
        </w:rPr>
        <w:t xml:space="preserve">。评标委员会决定投标的响应性只根据招标文件要求、投标文件内容及财政主管部门指定相关信息发布媒体。 </w:t>
      </w:r>
    </w:p>
    <w:p w14:paraId="161A5969">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firstLine="480" w:firstLineChars="200"/>
        <w:textAlignment w:val="auto"/>
        <w:rPr>
          <w:rFonts w:hint="eastAsia" w:ascii="宋体" w:hAnsi="宋体" w:eastAsia="宋体" w:cs="宋体"/>
          <w:bCs w:val="0"/>
          <w:spacing w:val="0"/>
          <w:kern w:val="2"/>
          <w:sz w:val="24"/>
          <w:szCs w:val="24"/>
          <w:highlight w:val="none"/>
          <w:lang w:bidi="ar"/>
        </w:rPr>
      </w:pPr>
      <w:r>
        <w:rPr>
          <w:rFonts w:hint="eastAsia" w:ascii="宋体" w:hAnsi="宋体" w:eastAsia="宋体" w:cs="宋体"/>
          <w:bCs w:val="0"/>
          <w:spacing w:val="0"/>
          <w:kern w:val="2"/>
          <w:sz w:val="24"/>
          <w:szCs w:val="24"/>
          <w:highlight w:val="none"/>
          <w:lang w:bidi="ar"/>
        </w:rPr>
        <w:t>22.2 实质上没有响应招标文件要求的投标将被认定为</w:t>
      </w:r>
      <w:r>
        <w:rPr>
          <w:rFonts w:hint="eastAsia" w:ascii="宋体" w:hAnsi="宋体" w:eastAsia="宋体" w:cs="宋体"/>
          <w:b/>
          <w:spacing w:val="0"/>
          <w:kern w:val="2"/>
          <w:sz w:val="24"/>
          <w:szCs w:val="24"/>
          <w:highlight w:val="none"/>
          <w:lang w:bidi="ar"/>
        </w:rPr>
        <w:t>投标无效</w:t>
      </w:r>
      <w:r>
        <w:rPr>
          <w:rFonts w:hint="eastAsia" w:ascii="宋体" w:hAnsi="宋体" w:eastAsia="宋体" w:cs="宋体"/>
          <w:bCs w:val="0"/>
          <w:spacing w:val="0"/>
          <w:kern w:val="2"/>
          <w:sz w:val="24"/>
          <w:szCs w:val="24"/>
          <w:highlight w:val="none"/>
          <w:lang w:bidi="ar"/>
        </w:rPr>
        <w:t>。投标人不得通过修正或撤销不符合要求的偏离或保留从而使其投标成为实质上响应的投标。如发现下列情况之一的，其投标将被认定为</w:t>
      </w:r>
      <w:r>
        <w:rPr>
          <w:rFonts w:hint="eastAsia" w:ascii="宋体" w:hAnsi="宋体" w:eastAsia="宋体" w:cs="宋体"/>
          <w:b/>
          <w:spacing w:val="0"/>
          <w:kern w:val="2"/>
          <w:sz w:val="24"/>
          <w:szCs w:val="24"/>
          <w:highlight w:val="none"/>
          <w:lang w:bidi="ar"/>
        </w:rPr>
        <w:t>投标无效</w:t>
      </w:r>
      <w:r>
        <w:rPr>
          <w:rFonts w:hint="eastAsia" w:ascii="宋体" w:hAnsi="宋体" w:eastAsia="宋体" w:cs="宋体"/>
          <w:bCs w:val="0"/>
          <w:spacing w:val="0"/>
          <w:kern w:val="2"/>
          <w:sz w:val="24"/>
          <w:szCs w:val="24"/>
          <w:highlight w:val="none"/>
          <w:lang w:bidi="ar"/>
        </w:rPr>
        <w:t xml:space="preserve">： </w:t>
      </w:r>
    </w:p>
    <w:p w14:paraId="1E57F7A2">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firstLine="480" w:firstLineChars="200"/>
        <w:textAlignment w:val="auto"/>
        <w:rPr>
          <w:rFonts w:hint="eastAsia" w:ascii="宋体" w:hAnsi="宋体" w:eastAsia="宋体" w:cs="宋体"/>
          <w:bCs w:val="0"/>
          <w:spacing w:val="0"/>
          <w:kern w:val="2"/>
          <w:sz w:val="24"/>
          <w:szCs w:val="24"/>
          <w:highlight w:val="none"/>
          <w:lang w:bidi="ar"/>
        </w:rPr>
      </w:pPr>
      <w:r>
        <w:rPr>
          <w:rFonts w:hint="eastAsia" w:ascii="宋体" w:hAnsi="宋体" w:eastAsia="宋体" w:cs="宋体"/>
          <w:bCs w:val="0"/>
          <w:spacing w:val="0"/>
          <w:kern w:val="2"/>
          <w:sz w:val="24"/>
          <w:szCs w:val="24"/>
          <w:highlight w:val="none"/>
          <w:lang w:bidi="ar"/>
        </w:rPr>
        <w:t xml:space="preserve">（1） 未按招标文件规定的形式和金额交纳投标保证金的； </w:t>
      </w:r>
    </w:p>
    <w:p w14:paraId="4F755EFF">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firstLine="480" w:firstLineChars="200"/>
        <w:textAlignment w:val="auto"/>
        <w:rPr>
          <w:rFonts w:hint="eastAsia" w:ascii="宋体" w:hAnsi="宋体" w:eastAsia="宋体" w:cs="宋体"/>
          <w:bCs w:val="0"/>
          <w:spacing w:val="0"/>
          <w:kern w:val="2"/>
          <w:sz w:val="24"/>
          <w:szCs w:val="24"/>
          <w:highlight w:val="none"/>
          <w:lang w:bidi="ar"/>
        </w:rPr>
      </w:pPr>
      <w:r>
        <w:rPr>
          <w:rFonts w:hint="eastAsia" w:ascii="宋体" w:hAnsi="宋体" w:eastAsia="宋体" w:cs="宋体"/>
          <w:bCs w:val="0"/>
          <w:spacing w:val="0"/>
          <w:kern w:val="2"/>
          <w:sz w:val="24"/>
          <w:szCs w:val="24"/>
          <w:highlight w:val="none"/>
          <w:lang w:bidi="ar"/>
        </w:rPr>
        <w:t xml:space="preserve">（2） 未按照招标文件规定要求签字、盖章的； </w:t>
      </w:r>
    </w:p>
    <w:p w14:paraId="1F14C268">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firstLine="480" w:firstLineChars="200"/>
        <w:textAlignment w:val="auto"/>
        <w:rPr>
          <w:rFonts w:hint="eastAsia" w:ascii="宋体" w:hAnsi="宋体" w:eastAsia="宋体" w:cs="宋体"/>
          <w:bCs w:val="0"/>
          <w:spacing w:val="0"/>
          <w:kern w:val="2"/>
          <w:sz w:val="24"/>
          <w:szCs w:val="24"/>
          <w:highlight w:val="none"/>
          <w:lang w:bidi="ar"/>
        </w:rPr>
      </w:pPr>
      <w:r>
        <w:rPr>
          <w:rFonts w:hint="eastAsia" w:ascii="宋体" w:hAnsi="宋体" w:eastAsia="宋体" w:cs="宋体"/>
          <w:bCs w:val="0"/>
          <w:spacing w:val="0"/>
          <w:kern w:val="2"/>
          <w:sz w:val="24"/>
          <w:szCs w:val="24"/>
          <w:highlight w:val="none"/>
          <w:lang w:bidi="ar"/>
        </w:rPr>
        <w:t xml:space="preserve">（3） 未满足招标文件中技术条款的实质性要求； </w:t>
      </w:r>
    </w:p>
    <w:p w14:paraId="57244D16">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firstLine="480" w:firstLineChars="200"/>
        <w:textAlignment w:val="auto"/>
        <w:rPr>
          <w:rFonts w:hint="eastAsia" w:ascii="宋体" w:hAnsi="宋体" w:eastAsia="宋体" w:cs="宋体"/>
          <w:bCs w:val="0"/>
          <w:spacing w:val="0"/>
          <w:kern w:val="2"/>
          <w:sz w:val="24"/>
          <w:szCs w:val="24"/>
          <w:highlight w:val="none"/>
          <w:lang w:bidi="ar"/>
        </w:rPr>
      </w:pPr>
      <w:r>
        <w:rPr>
          <w:rFonts w:hint="eastAsia" w:ascii="宋体" w:hAnsi="宋体" w:eastAsia="宋体" w:cs="宋体"/>
          <w:bCs w:val="0"/>
          <w:spacing w:val="0"/>
          <w:kern w:val="2"/>
          <w:sz w:val="24"/>
          <w:szCs w:val="24"/>
          <w:highlight w:val="none"/>
          <w:lang w:bidi="ar"/>
        </w:rPr>
        <w:t xml:space="preserve">（4） 属于串通投标，或者依法被视为串通投标； </w:t>
      </w:r>
    </w:p>
    <w:p w14:paraId="089A84D7">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firstLine="480" w:firstLineChars="200"/>
        <w:textAlignment w:val="auto"/>
        <w:rPr>
          <w:rFonts w:hint="eastAsia" w:ascii="宋体" w:hAnsi="宋体" w:eastAsia="宋体" w:cs="宋体"/>
          <w:bCs w:val="0"/>
          <w:spacing w:val="0"/>
          <w:kern w:val="2"/>
          <w:sz w:val="24"/>
          <w:szCs w:val="24"/>
          <w:highlight w:val="none"/>
          <w:lang w:bidi="ar"/>
        </w:rPr>
      </w:pPr>
      <w:r>
        <w:rPr>
          <w:rFonts w:hint="eastAsia" w:ascii="宋体" w:hAnsi="宋体" w:eastAsia="宋体" w:cs="宋体"/>
          <w:bCs w:val="0"/>
          <w:spacing w:val="0"/>
          <w:kern w:val="2"/>
          <w:sz w:val="24"/>
          <w:szCs w:val="24"/>
          <w:highlight w:val="none"/>
          <w:lang w:bidi="ar"/>
        </w:rPr>
        <w:t xml:space="preserve">（5） 投标文件含有采购人不能接受的附加条件的； </w:t>
      </w:r>
    </w:p>
    <w:p w14:paraId="37236D60">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firstLine="480" w:firstLineChars="200"/>
        <w:textAlignment w:val="auto"/>
        <w:rPr>
          <w:rFonts w:hint="eastAsia" w:ascii="宋体" w:hAnsi="宋体" w:eastAsia="宋体" w:cs="宋体"/>
          <w:bCs w:val="0"/>
          <w:spacing w:val="0"/>
          <w:kern w:val="2"/>
          <w:sz w:val="24"/>
          <w:szCs w:val="24"/>
          <w:highlight w:val="none"/>
          <w:lang w:bidi="ar"/>
        </w:rPr>
      </w:pPr>
      <w:r>
        <w:rPr>
          <w:rFonts w:hint="eastAsia" w:ascii="宋体" w:hAnsi="宋体" w:eastAsia="宋体" w:cs="宋体"/>
          <w:bCs w:val="0"/>
          <w:spacing w:val="0"/>
          <w:kern w:val="2"/>
          <w:sz w:val="24"/>
          <w:szCs w:val="24"/>
          <w:highlight w:val="none"/>
          <w:lang w:bidi="ar"/>
        </w:rPr>
        <w:t xml:space="preserve">（6） 评标委员会认为投标人的报价明显低于其他通过符合性检查投标人的报价，有可能影响履约的，且投标人未按照规定证明其报价合理性的； </w:t>
      </w:r>
    </w:p>
    <w:p w14:paraId="75778847">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firstLine="480" w:firstLineChars="200"/>
        <w:textAlignment w:val="auto"/>
        <w:rPr>
          <w:rFonts w:hint="eastAsia" w:ascii="宋体" w:hAnsi="宋体" w:eastAsia="宋体" w:cs="宋体"/>
          <w:bCs w:val="0"/>
          <w:spacing w:val="0"/>
          <w:kern w:val="2"/>
          <w:sz w:val="24"/>
          <w:szCs w:val="24"/>
          <w:highlight w:val="none"/>
          <w:lang w:bidi="ar"/>
        </w:rPr>
      </w:pPr>
      <w:r>
        <w:rPr>
          <w:rFonts w:hint="eastAsia" w:ascii="宋体" w:hAnsi="宋体" w:eastAsia="宋体" w:cs="宋体"/>
          <w:bCs w:val="0"/>
          <w:spacing w:val="0"/>
          <w:kern w:val="2"/>
          <w:sz w:val="24"/>
          <w:szCs w:val="24"/>
          <w:highlight w:val="none"/>
          <w:lang w:bidi="ar"/>
        </w:rPr>
        <w:t xml:space="preserve">（7） 属于招标文件规定的其他无效投标情形； </w:t>
      </w:r>
    </w:p>
    <w:p w14:paraId="717DC105">
      <w:pPr>
        <w:pStyle w:val="44"/>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firstLine="480" w:firstLineChars="200"/>
        <w:textAlignment w:val="auto"/>
        <w:rPr>
          <w:rFonts w:hint="eastAsia" w:ascii="宋体" w:hAnsi="宋体" w:eastAsia="宋体" w:cs="宋体"/>
          <w:bCs w:val="0"/>
          <w:spacing w:val="0"/>
          <w:kern w:val="2"/>
          <w:sz w:val="24"/>
          <w:szCs w:val="24"/>
          <w:highlight w:val="none"/>
          <w:lang w:bidi="ar"/>
        </w:rPr>
      </w:pPr>
      <w:r>
        <w:rPr>
          <w:rFonts w:hint="eastAsia" w:ascii="宋体" w:hAnsi="宋体" w:eastAsia="宋体" w:cs="宋体"/>
          <w:bCs w:val="0"/>
          <w:spacing w:val="0"/>
          <w:kern w:val="2"/>
          <w:sz w:val="24"/>
          <w:szCs w:val="24"/>
          <w:highlight w:val="none"/>
          <w:lang w:bidi="ar"/>
        </w:rPr>
        <w:t xml:space="preserve">（8） 不符合法规和招标文件中规定的其他实质性要求的。 </w:t>
      </w:r>
    </w:p>
    <w:p w14:paraId="5C7C7B4F">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2" w:firstLineChars="200"/>
        <w:textAlignment w:val="auto"/>
        <w:rPr>
          <w:rFonts w:hint="eastAsia" w:ascii="宋体" w:hAnsi="宋体" w:eastAsia="宋体" w:cs="宋体"/>
          <w:b/>
          <w:bCs/>
          <w:sz w:val="24"/>
          <w:highlight w:val="none"/>
          <w:lang w:bidi="ar"/>
        </w:rPr>
      </w:pPr>
      <w:bookmarkStart w:id="47" w:name="_Toc507399470"/>
      <w:r>
        <w:rPr>
          <w:rFonts w:hint="eastAsia" w:ascii="宋体" w:hAnsi="宋体" w:eastAsia="宋体" w:cs="宋体"/>
          <w:b/>
          <w:bCs/>
          <w:sz w:val="24"/>
          <w:highlight w:val="none"/>
          <w:lang w:bidi="ar"/>
        </w:rPr>
        <w:t>23. 比较与评价</w:t>
      </w:r>
      <w:bookmarkEnd w:id="47"/>
    </w:p>
    <w:p w14:paraId="4CA1D972">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sz w:val="24"/>
          <w:highlight w:val="none"/>
          <w:lang w:bidi="ar"/>
        </w:rPr>
      </w:pPr>
      <w:r>
        <w:rPr>
          <w:rFonts w:hint="eastAsia" w:ascii="宋体" w:hAnsi="宋体" w:eastAsia="宋体" w:cs="宋体"/>
          <w:sz w:val="24"/>
          <w:highlight w:val="none"/>
          <w:lang w:bidi="ar"/>
        </w:rPr>
        <w:t>23.1 经符合性检查合格的投标文件，评标委员会将根据招标文件确定的评标方法和标准，对其技术部分和商务部分作进一步的比较和评价。</w:t>
      </w:r>
    </w:p>
    <w:p w14:paraId="67CB590F">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sz w:val="24"/>
          <w:highlight w:val="none"/>
          <w:lang w:bidi="ar"/>
        </w:rPr>
      </w:pPr>
      <w:r>
        <w:rPr>
          <w:rFonts w:hint="eastAsia" w:ascii="宋体" w:hAnsi="宋体" w:eastAsia="宋体" w:cs="宋体"/>
          <w:sz w:val="24"/>
          <w:highlight w:val="none"/>
          <w:lang w:bidi="ar"/>
        </w:rPr>
        <w:t>23.2 评标严格按照招标文件的要求和条件进行。根据实际情况，在</w:t>
      </w:r>
      <w:r>
        <w:rPr>
          <w:rFonts w:hint="eastAsia" w:ascii="宋体" w:hAnsi="宋体" w:eastAsia="宋体" w:cs="宋体"/>
          <w:sz w:val="24"/>
          <w:highlight w:val="none"/>
          <w:u w:val="single"/>
          <w:lang w:bidi="ar"/>
        </w:rPr>
        <w:t>投标人须知前附表</w:t>
      </w:r>
      <w:r>
        <w:rPr>
          <w:rFonts w:hint="eastAsia" w:ascii="宋体" w:hAnsi="宋体" w:eastAsia="宋体" w:cs="宋体"/>
          <w:sz w:val="24"/>
          <w:highlight w:val="none"/>
          <w:lang w:bidi="ar"/>
        </w:rPr>
        <w:t>中规定采用下列一种评标方法，详细评标标准见招标文件第</w:t>
      </w:r>
      <w:r>
        <w:rPr>
          <w:rFonts w:hint="eastAsia" w:ascii="宋体" w:hAnsi="宋体" w:eastAsia="宋体" w:cs="宋体"/>
          <w:sz w:val="24"/>
          <w:highlight w:val="none"/>
          <w:lang w:val="en-US" w:eastAsia="zh-CN" w:bidi="ar"/>
        </w:rPr>
        <w:t>七</w:t>
      </w:r>
      <w:r>
        <w:rPr>
          <w:rFonts w:hint="eastAsia" w:ascii="宋体" w:hAnsi="宋体" w:eastAsia="宋体" w:cs="宋体"/>
          <w:sz w:val="24"/>
          <w:highlight w:val="none"/>
          <w:lang w:bidi="ar"/>
        </w:rPr>
        <w:t>章：</w:t>
      </w:r>
    </w:p>
    <w:p w14:paraId="75B16577">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sz w:val="24"/>
          <w:highlight w:val="none"/>
          <w:lang w:bidi="ar"/>
        </w:rPr>
      </w:pPr>
      <w:r>
        <w:rPr>
          <w:rFonts w:hint="eastAsia" w:ascii="宋体" w:hAnsi="宋体" w:eastAsia="宋体" w:cs="宋体"/>
          <w:sz w:val="24"/>
          <w:highlight w:val="none"/>
          <w:lang w:bidi="ar"/>
        </w:rPr>
        <w:t>（1） 最低评标价法，是指投标文件满足招标文件全部实质性要求，且投标报价最低的投标人为中标候选人的评标方法。</w:t>
      </w:r>
    </w:p>
    <w:p w14:paraId="1F3FAE7B">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sz w:val="24"/>
          <w:highlight w:val="none"/>
          <w:lang w:bidi="ar"/>
        </w:rPr>
      </w:pPr>
      <w:r>
        <w:rPr>
          <w:rFonts w:hint="eastAsia" w:ascii="宋体" w:hAnsi="宋体" w:eastAsia="宋体" w:cs="宋体"/>
          <w:sz w:val="24"/>
          <w:highlight w:val="none"/>
          <w:lang w:bidi="ar"/>
        </w:rPr>
        <w:t>（2） 综合评分法，是指投标文件满足招标文件全部实质性要求，且按照评审因素的量化指标评审得分最高的投标人为中标候选人的评标方法。</w:t>
      </w:r>
    </w:p>
    <w:p w14:paraId="1989B846">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2" w:firstLineChars="200"/>
        <w:textAlignment w:val="auto"/>
        <w:rPr>
          <w:rFonts w:hint="eastAsia" w:ascii="宋体" w:hAnsi="宋体" w:eastAsia="宋体" w:cs="宋体"/>
          <w:b/>
          <w:bCs/>
          <w:sz w:val="24"/>
          <w:highlight w:val="none"/>
          <w:lang w:bidi="ar"/>
        </w:rPr>
      </w:pPr>
      <w:bookmarkStart w:id="48" w:name="_Toc520356168"/>
      <w:bookmarkStart w:id="49" w:name="_Toc507399471"/>
      <w:r>
        <w:rPr>
          <w:rFonts w:hint="eastAsia" w:ascii="宋体" w:hAnsi="宋体" w:eastAsia="宋体" w:cs="宋体"/>
          <w:b/>
          <w:bCs/>
          <w:sz w:val="24"/>
          <w:highlight w:val="none"/>
          <w:lang w:bidi="ar"/>
        </w:rPr>
        <w:t>24</w:t>
      </w:r>
      <w:bookmarkEnd w:id="48"/>
      <w:r>
        <w:rPr>
          <w:rFonts w:hint="eastAsia" w:ascii="宋体" w:hAnsi="宋体" w:eastAsia="宋体" w:cs="宋体"/>
          <w:b/>
          <w:bCs/>
          <w:sz w:val="24"/>
          <w:highlight w:val="none"/>
          <w:lang w:bidi="ar"/>
        </w:rPr>
        <w:t>. 废标</w:t>
      </w:r>
      <w:bookmarkEnd w:id="49"/>
    </w:p>
    <w:p w14:paraId="2B5AB31C">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sz w:val="24"/>
          <w:highlight w:val="none"/>
          <w:lang w:bidi="ar"/>
        </w:rPr>
      </w:pPr>
      <w:r>
        <w:rPr>
          <w:rFonts w:hint="eastAsia" w:ascii="宋体" w:hAnsi="宋体" w:eastAsia="宋体" w:cs="宋体"/>
          <w:sz w:val="24"/>
          <w:highlight w:val="none"/>
          <w:lang w:bidi="ar"/>
        </w:rPr>
        <w:t xml:space="preserve">出现下列情形之一，将导致项目废标即本项目的所有投标被拒绝： </w:t>
      </w:r>
    </w:p>
    <w:p w14:paraId="03F5B8F9">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sz w:val="24"/>
          <w:highlight w:val="none"/>
          <w:lang w:bidi="ar"/>
        </w:rPr>
      </w:pPr>
      <w:r>
        <w:rPr>
          <w:rFonts w:hint="eastAsia" w:ascii="宋体" w:hAnsi="宋体" w:eastAsia="宋体" w:cs="宋体"/>
          <w:sz w:val="24"/>
          <w:highlight w:val="none"/>
          <w:lang w:bidi="ar"/>
        </w:rPr>
        <w:t>（1）符合专业条件的投标人或者对招标文件做实质性响应的投标人不足三家；</w:t>
      </w:r>
    </w:p>
    <w:p w14:paraId="45BCC5D1">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sz w:val="24"/>
          <w:highlight w:val="none"/>
          <w:lang w:bidi="ar"/>
        </w:rPr>
      </w:pPr>
      <w:r>
        <w:rPr>
          <w:rFonts w:hint="eastAsia" w:ascii="宋体" w:hAnsi="宋体" w:eastAsia="宋体" w:cs="宋体"/>
          <w:sz w:val="24"/>
          <w:highlight w:val="none"/>
          <w:lang w:bidi="ar"/>
        </w:rPr>
        <w:t>（2）出现影响采购公正的违法、违规行为的；</w:t>
      </w:r>
    </w:p>
    <w:p w14:paraId="087153B0">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sz w:val="24"/>
          <w:highlight w:val="none"/>
          <w:lang w:bidi="ar"/>
        </w:rPr>
      </w:pPr>
      <w:r>
        <w:rPr>
          <w:rFonts w:hint="eastAsia" w:ascii="宋体" w:hAnsi="宋体" w:eastAsia="宋体" w:cs="宋体"/>
          <w:sz w:val="24"/>
          <w:highlight w:val="none"/>
          <w:lang w:bidi="ar"/>
        </w:rPr>
        <w:t>（3）投标人的报价均超过了采购预算，采购人不能支付的；</w:t>
      </w:r>
    </w:p>
    <w:p w14:paraId="26F561C2">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sz w:val="24"/>
          <w:highlight w:val="none"/>
          <w:lang w:bidi="ar"/>
        </w:rPr>
      </w:pPr>
      <w:r>
        <w:rPr>
          <w:rFonts w:hint="eastAsia" w:ascii="宋体" w:hAnsi="宋体" w:eastAsia="宋体" w:cs="宋体"/>
          <w:sz w:val="24"/>
          <w:highlight w:val="none"/>
          <w:lang w:bidi="ar"/>
        </w:rPr>
        <w:t>（4）因重大变故，采购任务取消的。</w:t>
      </w:r>
    </w:p>
    <w:p w14:paraId="4C243502">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2" w:firstLineChars="200"/>
        <w:textAlignment w:val="auto"/>
        <w:rPr>
          <w:rFonts w:hint="eastAsia" w:ascii="宋体" w:hAnsi="宋体" w:eastAsia="宋体" w:cs="宋体"/>
          <w:sz w:val="24"/>
          <w:highlight w:val="none"/>
          <w:lang w:bidi="ar"/>
        </w:rPr>
      </w:pPr>
      <w:r>
        <w:rPr>
          <w:rFonts w:hint="eastAsia" w:ascii="宋体" w:hAnsi="宋体" w:eastAsia="宋体" w:cs="宋体"/>
          <w:b/>
          <w:bCs/>
          <w:sz w:val="24"/>
          <w:highlight w:val="none"/>
          <w:lang w:bidi="ar"/>
        </w:rPr>
        <w:t>25. 保密原则</w:t>
      </w:r>
    </w:p>
    <w:p w14:paraId="0D92A544">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sz w:val="24"/>
          <w:highlight w:val="none"/>
          <w:lang w:bidi="ar"/>
        </w:rPr>
      </w:pPr>
      <w:r>
        <w:rPr>
          <w:rFonts w:hint="eastAsia" w:ascii="宋体" w:hAnsi="宋体" w:eastAsia="宋体" w:cs="宋体"/>
          <w:sz w:val="24"/>
          <w:highlight w:val="none"/>
          <w:lang w:bidi="ar"/>
        </w:rPr>
        <w:t>25.1 评标将在严格保密的情况下进行。</w:t>
      </w:r>
    </w:p>
    <w:p w14:paraId="4C7C1B82">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sz w:val="24"/>
          <w:highlight w:val="none"/>
          <w:lang w:bidi="ar"/>
        </w:rPr>
      </w:pPr>
      <w:r>
        <w:rPr>
          <w:rFonts w:hint="eastAsia" w:ascii="宋体" w:hAnsi="宋体" w:eastAsia="宋体" w:cs="宋体"/>
          <w:sz w:val="24"/>
          <w:highlight w:val="none"/>
          <w:lang w:bidi="ar"/>
        </w:rPr>
        <w:t>25.2 政府采购评审专家应当遵守评审工作纪律，不得泄露评审文件、评审情况</w:t>
      </w:r>
    </w:p>
    <w:p w14:paraId="1CF58D30">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sz w:val="24"/>
          <w:highlight w:val="none"/>
          <w:lang w:bidi="ar"/>
        </w:rPr>
      </w:pPr>
      <w:r>
        <w:rPr>
          <w:rFonts w:hint="eastAsia" w:ascii="宋体" w:hAnsi="宋体" w:eastAsia="宋体" w:cs="宋体"/>
          <w:sz w:val="24"/>
          <w:highlight w:val="none"/>
          <w:lang w:bidi="ar"/>
        </w:rPr>
        <w:t>和评审中获悉的商业秘密。</w:t>
      </w:r>
    </w:p>
    <w:p w14:paraId="1B71BD8B">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sz w:val="24"/>
          <w:highlight w:val="none"/>
          <w:lang w:bidi="ar"/>
        </w:rPr>
      </w:pPr>
      <w:r>
        <w:rPr>
          <w:rFonts w:hint="eastAsia" w:ascii="宋体" w:hAnsi="宋体" w:eastAsia="宋体" w:cs="宋体"/>
          <w:sz w:val="24"/>
          <w:highlight w:val="none"/>
          <w:lang w:bidi="ar"/>
        </w:rPr>
        <w:t>25.3 投标人试图影响采购人、采购代理机构和评标委员会的任何活动，将导致其</w:t>
      </w:r>
      <w:r>
        <w:rPr>
          <w:rFonts w:hint="eastAsia" w:ascii="宋体" w:hAnsi="宋体" w:eastAsia="宋体" w:cs="宋体"/>
          <w:b/>
          <w:bCs/>
          <w:sz w:val="24"/>
          <w:highlight w:val="none"/>
          <w:lang w:bidi="ar"/>
        </w:rPr>
        <w:t>投标被拒绝</w:t>
      </w:r>
      <w:r>
        <w:rPr>
          <w:rFonts w:hint="eastAsia" w:ascii="宋体" w:hAnsi="宋体" w:eastAsia="宋体" w:cs="宋体"/>
          <w:sz w:val="24"/>
          <w:highlight w:val="none"/>
          <w:lang w:bidi="ar"/>
        </w:rPr>
        <w:t>，并承担相应的法律责任。</w:t>
      </w:r>
    </w:p>
    <w:p w14:paraId="35A94FAE">
      <w:pPr>
        <w:adjustRightInd w:val="0"/>
        <w:snapToGrid w:val="0"/>
        <w:spacing w:line="440" w:lineRule="exact"/>
        <w:ind w:left="638" w:hanging="638" w:hangingChars="265"/>
        <w:jc w:val="center"/>
        <w:rPr>
          <w:rFonts w:hint="eastAsia" w:ascii="宋体" w:hAnsi="宋体" w:eastAsia="宋体" w:cs="宋体"/>
          <w:b/>
          <w:bCs/>
          <w:sz w:val="24"/>
          <w:highlight w:val="none"/>
          <w:lang w:bidi="ar"/>
        </w:rPr>
      </w:pPr>
      <w:bookmarkStart w:id="50" w:name="_Toc507399473"/>
      <w:bookmarkStart w:id="51" w:name="_Toc216582810"/>
    </w:p>
    <w:p w14:paraId="5D36EC84">
      <w:pPr>
        <w:pStyle w:val="3"/>
        <w:bidi w:val="0"/>
        <w:rPr>
          <w:rFonts w:hint="eastAsia" w:ascii="宋体" w:hAnsi="宋体" w:eastAsia="宋体" w:cs="宋体"/>
          <w:sz w:val="24"/>
          <w:highlight w:val="none"/>
          <w:lang w:bidi="ar"/>
        </w:rPr>
      </w:pPr>
      <w:bookmarkStart w:id="52" w:name="_Toc18114"/>
      <w:bookmarkStart w:id="53" w:name="_Toc4624"/>
      <w:r>
        <w:rPr>
          <w:rFonts w:hint="eastAsia" w:ascii="宋体" w:hAnsi="宋体" w:eastAsia="宋体" w:cs="宋体"/>
          <w:highlight w:val="none"/>
        </w:rPr>
        <w:t>六</w:t>
      </w:r>
      <w:r>
        <w:rPr>
          <w:rFonts w:hint="eastAsia" w:ascii="宋体" w:hAnsi="宋体" w:eastAsia="宋体" w:cs="宋体"/>
          <w:highlight w:val="none"/>
          <w:lang w:eastAsia="zh-CN"/>
        </w:rPr>
        <w:t>、</w:t>
      </w:r>
      <w:r>
        <w:rPr>
          <w:rFonts w:hint="eastAsia" w:ascii="宋体" w:hAnsi="宋体" w:eastAsia="宋体" w:cs="宋体"/>
          <w:highlight w:val="none"/>
        </w:rPr>
        <w:t>确定中标</w:t>
      </w:r>
      <w:bookmarkEnd w:id="50"/>
      <w:bookmarkEnd w:id="51"/>
      <w:bookmarkEnd w:id="52"/>
      <w:bookmarkEnd w:id="53"/>
    </w:p>
    <w:p w14:paraId="68017A7D">
      <w:pPr>
        <w:adjustRightInd w:val="0"/>
        <w:snapToGrid w:val="0"/>
        <w:spacing w:line="440" w:lineRule="exact"/>
        <w:ind w:left="638" w:hanging="638" w:hangingChars="265"/>
        <w:rPr>
          <w:rFonts w:hint="eastAsia" w:ascii="宋体" w:hAnsi="宋体" w:eastAsia="宋体" w:cs="宋体"/>
          <w:b/>
          <w:bCs/>
          <w:sz w:val="24"/>
          <w:highlight w:val="none"/>
          <w:lang w:bidi="ar"/>
        </w:rPr>
      </w:pPr>
      <w:bookmarkStart w:id="54" w:name="_Toc507399474"/>
      <w:bookmarkStart w:id="55" w:name="_Ref467307010"/>
      <w:bookmarkStart w:id="56" w:name="_Toc520356170"/>
      <w:r>
        <w:rPr>
          <w:rFonts w:hint="eastAsia" w:ascii="宋体" w:hAnsi="宋体" w:eastAsia="宋体" w:cs="宋体"/>
          <w:b/>
          <w:bCs/>
          <w:sz w:val="24"/>
          <w:highlight w:val="none"/>
          <w:lang w:bidi="ar"/>
        </w:rPr>
        <w:t>26. 中标候选人的确定原则及标准</w:t>
      </w:r>
      <w:bookmarkEnd w:id="54"/>
      <w:bookmarkEnd w:id="55"/>
      <w:bookmarkEnd w:id="56"/>
    </w:p>
    <w:p w14:paraId="6A05C634">
      <w:pPr>
        <w:adjustRightInd w:val="0"/>
        <w:snapToGrid w:val="0"/>
        <w:spacing w:line="440" w:lineRule="exact"/>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 xml:space="preserve">除评标委员会受采购人委托直接确定中标人的情形外，对实质上响应招标文件的投标人按下列方法进行排序，确定中标候选人： </w:t>
      </w:r>
    </w:p>
    <w:p w14:paraId="18A3037A">
      <w:pPr>
        <w:adjustRightInd w:val="0"/>
        <w:snapToGrid w:val="0"/>
        <w:spacing w:line="440" w:lineRule="exact"/>
        <w:rPr>
          <w:rFonts w:hint="eastAsia" w:ascii="宋体" w:hAnsi="宋体" w:eastAsia="宋体" w:cs="宋体"/>
          <w:sz w:val="24"/>
          <w:highlight w:val="none"/>
          <w:lang w:bidi="ar"/>
        </w:rPr>
      </w:pPr>
      <w:r>
        <w:rPr>
          <w:rFonts w:hint="eastAsia" w:ascii="宋体" w:hAnsi="宋体" w:eastAsia="宋体" w:cs="宋体"/>
          <w:sz w:val="24"/>
          <w:highlight w:val="none"/>
          <w:lang w:bidi="ar"/>
        </w:rPr>
        <w:t>（1）采用最低评标价法的，除了算数修正和落实政府采购政策需进行的价格扣除外，不对投标人的投标价格进行任何调整。评标结果按投标报价由低到高顺序排列。报价相同的由评标委员会现场采取随机抽取方式确定（详见招标文件第</w:t>
      </w:r>
      <w:r>
        <w:rPr>
          <w:rFonts w:hint="eastAsia" w:ascii="宋体" w:hAnsi="宋体" w:eastAsia="宋体" w:cs="宋体"/>
          <w:sz w:val="24"/>
          <w:highlight w:val="none"/>
          <w:lang w:val="en-US" w:eastAsia="zh-CN" w:bidi="ar"/>
        </w:rPr>
        <w:t>七</w:t>
      </w:r>
      <w:r>
        <w:rPr>
          <w:rFonts w:hint="eastAsia" w:ascii="宋体" w:hAnsi="宋体" w:eastAsia="宋体" w:cs="宋体"/>
          <w:sz w:val="24"/>
          <w:highlight w:val="none"/>
          <w:lang w:bidi="ar"/>
        </w:rPr>
        <w:t>章）。</w:t>
      </w:r>
    </w:p>
    <w:p w14:paraId="354FA5F8">
      <w:pPr>
        <w:adjustRightInd w:val="0"/>
        <w:snapToGrid w:val="0"/>
        <w:spacing w:line="440" w:lineRule="exact"/>
        <w:rPr>
          <w:rFonts w:hint="eastAsia" w:ascii="宋体" w:hAnsi="宋体" w:eastAsia="宋体" w:cs="宋体"/>
          <w:sz w:val="24"/>
          <w:highlight w:val="none"/>
          <w:lang w:bidi="ar"/>
        </w:rPr>
      </w:pPr>
      <w:r>
        <w:rPr>
          <w:rFonts w:hint="eastAsia" w:ascii="宋体" w:hAnsi="宋体" w:eastAsia="宋体" w:cs="宋体"/>
          <w:sz w:val="24"/>
          <w:highlight w:val="none"/>
          <w:lang w:bidi="ar"/>
        </w:rPr>
        <w:t>（2）采用综合评分法的，评标结果按评审后得分由高到低顺序排列。得分相同的，按投标报价由低到高顺序排列。（详见招标文件第</w:t>
      </w:r>
      <w:r>
        <w:rPr>
          <w:rFonts w:hint="eastAsia" w:ascii="宋体" w:hAnsi="宋体" w:eastAsia="宋体" w:cs="宋体"/>
          <w:sz w:val="24"/>
          <w:highlight w:val="none"/>
          <w:lang w:val="en-US" w:eastAsia="zh-CN" w:bidi="ar"/>
        </w:rPr>
        <w:t>七</w:t>
      </w:r>
      <w:r>
        <w:rPr>
          <w:rFonts w:hint="eastAsia" w:ascii="宋体" w:hAnsi="宋体" w:eastAsia="宋体" w:cs="宋体"/>
          <w:sz w:val="24"/>
          <w:highlight w:val="none"/>
          <w:lang w:bidi="ar"/>
        </w:rPr>
        <w:t>章）</w:t>
      </w:r>
    </w:p>
    <w:p w14:paraId="4FA0B983">
      <w:pPr>
        <w:adjustRightInd w:val="0"/>
        <w:snapToGrid w:val="0"/>
        <w:spacing w:line="440" w:lineRule="exact"/>
        <w:ind w:left="638" w:hanging="638" w:hangingChars="265"/>
        <w:rPr>
          <w:rFonts w:hint="eastAsia" w:ascii="宋体" w:hAnsi="宋体" w:eastAsia="宋体" w:cs="宋体"/>
          <w:b/>
          <w:bCs/>
          <w:sz w:val="24"/>
          <w:highlight w:val="none"/>
          <w:lang w:bidi="ar"/>
        </w:rPr>
      </w:pPr>
      <w:r>
        <w:rPr>
          <w:rFonts w:hint="eastAsia" w:ascii="宋体" w:hAnsi="宋体" w:eastAsia="宋体" w:cs="宋体"/>
          <w:b/>
          <w:bCs/>
          <w:sz w:val="24"/>
          <w:highlight w:val="none"/>
          <w:lang w:bidi="ar"/>
        </w:rPr>
        <w:t>27. 确定中标候选人和中标人</w:t>
      </w:r>
    </w:p>
    <w:p w14:paraId="1417B84D">
      <w:pPr>
        <w:pStyle w:val="44"/>
        <w:widowControl w:val="0"/>
        <w:adjustRightInd w:val="0"/>
        <w:snapToGrid w:val="0"/>
        <w:spacing w:before="0" w:after="0" w:line="440" w:lineRule="exact"/>
        <w:ind w:left="636" w:hanging="636" w:hangingChars="265"/>
        <w:rPr>
          <w:rFonts w:hint="eastAsia" w:ascii="宋体" w:hAnsi="宋体" w:eastAsia="宋体" w:cs="宋体"/>
          <w:bCs w:val="0"/>
          <w:spacing w:val="0"/>
          <w:kern w:val="2"/>
          <w:sz w:val="24"/>
          <w:szCs w:val="24"/>
          <w:highlight w:val="none"/>
          <w:lang w:bidi="ar"/>
        </w:rPr>
      </w:pPr>
      <w:r>
        <w:rPr>
          <w:rFonts w:hint="eastAsia" w:ascii="宋体" w:hAnsi="宋体" w:eastAsia="宋体" w:cs="宋体"/>
          <w:bCs w:val="0"/>
          <w:spacing w:val="0"/>
          <w:kern w:val="2"/>
          <w:sz w:val="24"/>
          <w:szCs w:val="24"/>
          <w:highlight w:val="none"/>
          <w:lang w:bidi="ar"/>
        </w:rPr>
        <w:t>27.1 评标委员会将根据评标标准，按</w:t>
      </w:r>
      <w:r>
        <w:rPr>
          <w:rFonts w:hint="eastAsia" w:ascii="宋体" w:hAnsi="宋体" w:eastAsia="宋体" w:cs="宋体"/>
          <w:bCs w:val="0"/>
          <w:spacing w:val="0"/>
          <w:kern w:val="2"/>
          <w:sz w:val="24"/>
          <w:szCs w:val="24"/>
          <w:highlight w:val="none"/>
          <w:u w:val="single"/>
          <w:lang w:bidi="ar"/>
        </w:rPr>
        <w:t>投标须知前附表</w:t>
      </w:r>
      <w:r>
        <w:rPr>
          <w:rFonts w:hint="eastAsia" w:ascii="宋体" w:hAnsi="宋体" w:eastAsia="宋体" w:cs="宋体"/>
          <w:bCs w:val="0"/>
          <w:spacing w:val="0"/>
          <w:kern w:val="2"/>
          <w:sz w:val="24"/>
          <w:szCs w:val="24"/>
          <w:highlight w:val="none"/>
          <w:lang w:bidi="ar"/>
        </w:rPr>
        <w:t xml:space="preserve">中规定数量推荐中标候选人。 </w:t>
      </w:r>
    </w:p>
    <w:p w14:paraId="366F8D76">
      <w:pPr>
        <w:adjustRightInd w:val="0"/>
        <w:snapToGrid w:val="0"/>
        <w:spacing w:line="440" w:lineRule="exact"/>
        <w:ind w:left="636" w:hanging="636" w:hangingChars="265"/>
        <w:rPr>
          <w:rFonts w:hint="eastAsia" w:ascii="宋体" w:hAnsi="宋体" w:eastAsia="宋体" w:cs="宋体"/>
          <w:sz w:val="24"/>
          <w:highlight w:val="none"/>
          <w:lang w:bidi="ar"/>
        </w:rPr>
      </w:pPr>
      <w:r>
        <w:rPr>
          <w:rFonts w:hint="eastAsia" w:ascii="宋体" w:hAnsi="宋体" w:eastAsia="宋体" w:cs="宋体"/>
          <w:sz w:val="24"/>
          <w:highlight w:val="none"/>
          <w:lang w:bidi="ar"/>
        </w:rPr>
        <w:t>27.2 按投标须知前附表中规定，由评标委员会直接确定中标人。</w:t>
      </w:r>
    </w:p>
    <w:p w14:paraId="289FA00E">
      <w:pPr>
        <w:adjustRightInd w:val="0"/>
        <w:snapToGrid w:val="0"/>
        <w:spacing w:line="440" w:lineRule="exact"/>
        <w:ind w:left="638" w:hanging="638" w:hangingChars="265"/>
        <w:rPr>
          <w:rFonts w:hint="eastAsia" w:ascii="宋体" w:hAnsi="宋体" w:eastAsia="宋体" w:cs="宋体"/>
          <w:b/>
          <w:bCs/>
          <w:sz w:val="24"/>
          <w:highlight w:val="none"/>
          <w:lang w:bidi="ar"/>
        </w:rPr>
      </w:pPr>
      <w:r>
        <w:rPr>
          <w:rFonts w:hint="eastAsia" w:ascii="宋体" w:hAnsi="宋体" w:eastAsia="宋体" w:cs="宋体"/>
          <w:b/>
          <w:bCs/>
          <w:sz w:val="24"/>
          <w:highlight w:val="none"/>
          <w:lang w:bidi="ar"/>
        </w:rPr>
        <w:t>28. 采购任务取消</w:t>
      </w:r>
    </w:p>
    <w:p w14:paraId="4BF2F7DD">
      <w:pPr>
        <w:adjustRightInd w:val="0"/>
        <w:snapToGrid w:val="0"/>
        <w:spacing w:line="440" w:lineRule="exact"/>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当采购任务取消时，为维护国家和社会公共利益，采购人有权拒绝任何投标人中标，且对受影响的投标人不承担任何责任。</w:t>
      </w:r>
    </w:p>
    <w:p w14:paraId="131B6129">
      <w:pPr>
        <w:adjustRightInd w:val="0"/>
        <w:snapToGrid w:val="0"/>
        <w:spacing w:line="440" w:lineRule="exact"/>
        <w:ind w:left="638" w:hanging="638" w:hangingChars="265"/>
        <w:rPr>
          <w:rFonts w:hint="eastAsia" w:ascii="宋体" w:hAnsi="宋体" w:eastAsia="宋体" w:cs="宋体"/>
          <w:b/>
          <w:bCs/>
          <w:sz w:val="24"/>
          <w:highlight w:val="none"/>
          <w:lang w:bidi="ar"/>
        </w:rPr>
      </w:pPr>
      <w:r>
        <w:rPr>
          <w:rFonts w:hint="eastAsia" w:ascii="宋体" w:hAnsi="宋体" w:eastAsia="宋体" w:cs="宋体"/>
          <w:b/>
          <w:bCs/>
          <w:sz w:val="24"/>
          <w:highlight w:val="none"/>
          <w:lang w:bidi="ar"/>
        </w:rPr>
        <w:t>29. 中标通知书</w:t>
      </w:r>
    </w:p>
    <w:p w14:paraId="1DDD1649">
      <w:pPr>
        <w:adjustRightInd w:val="0"/>
        <w:snapToGrid w:val="0"/>
        <w:spacing w:line="440" w:lineRule="exact"/>
        <w:ind w:left="636" w:hanging="636" w:hangingChars="265"/>
        <w:rPr>
          <w:rFonts w:hint="eastAsia" w:ascii="宋体" w:hAnsi="宋体" w:eastAsia="宋体" w:cs="宋体"/>
          <w:sz w:val="24"/>
          <w:highlight w:val="none"/>
          <w:lang w:bidi="ar"/>
        </w:rPr>
      </w:pPr>
      <w:r>
        <w:rPr>
          <w:rFonts w:hint="eastAsia" w:ascii="宋体" w:hAnsi="宋体" w:eastAsia="宋体" w:cs="宋体"/>
          <w:sz w:val="24"/>
          <w:highlight w:val="none"/>
          <w:lang w:bidi="ar"/>
        </w:rPr>
        <w:t>29.1 在投标有效期内，中标人确定后，采购人或者采购代理机构发布中标公告后向中标人发出中标通知书。</w:t>
      </w:r>
    </w:p>
    <w:p w14:paraId="00409AB6">
      <w:pPr>
        <w:adjustRightInd w:val="0"/>
        <w:snapToGrid w:val="0"/>
        <w:spacing w:line="440" w:lineRule="exact"/>
        <w:ind w:left="636" w:hanging="636" w:hangingChars="265"/>
        <w:rPr>
          <w:rFonts w:hint="eastAsia" w:ascii="宋体" w:hAnsi="宋体" w:eastAsia="宋体" w:cs="宋体"/>
          <w:sz w:val="24"/>
          <w:highlight w:val="none"/>
          <w:lang w:bidi="ar"/>
        </w:rPr>
      </w:pPr>
      <w:r>
        <w:rPr>
          <w:rFonts w:hint="eastAsia" w:ascii="宋体" w:hAnsi="宋体" w:eastAsia="宋体" w:cs="宋体"/>
          <w:sz w:val="24"/>
          <w:highlight w:val="none"/>
          <w:lang w:bidi="ar"/>
        </w:rPr>
        <w:t>29.2 中标通知书是合同的组成部分。</w:t>
      </w:r>
    </w:p>
    <w:p w14:paraId="6DD88521">
      <w:pPr>
        <w:adjustRightInd w:val="0"/>
        <w:snapToGrid w:val="0"/>
        <w:spacing w:line="440" w:lineRule="exact"/>
        <w:ind w:left="638" w:hanging="638" w:hangingChars="265"/>
        <w:rPr>
          <w:rFonts w:hint="eastAsia" w:ascii="宋体" w:hAnsi="宋体" w:eastAsia="宋体" w:cs="宋体"/>
          <w:b/>
          <w:bCs/>
          <w:sz w:val="24"/>
          <w:highlight w:val="none"/>
          <w:lang w:bidi="ar"/>
        </w:rPr>
      </w:pPr>
      <w:r>
        <w:rPr>
          <w:rFonts w:hint="eastAsia" w:ascii="宋体" w:hAnsi="宋体" w:eastAsia="宋体" w:cs="宋体"/>
          <w:b/>
          <w:bCs/>
          <w:sz w:val="24"/>
          <w:highlight w:val="none"/>
          <w:lang w:bidi="ar"/>
        </w:rPr>
        <w:t>30. 签订合同</w:t>
      </w:r>
    </w:p>
    <w:p w14:paraId="0DD160C1">
      <w:pPr>
        <w:adjustRightInd w:val="0"/>
        <w:snapToGrid w:val="0"/>
        <w:spacing w:line="440" w:lineRule="exact"/>
        <w:ind w:left="636" w:hanging="636" w:hangingChars="265"/>
        <w:rPr>
          <w:rFonts w:hint="eastAsia" w:ascii="宋体" w:hAnsi="宋体" w:eastAsia="宋体" w:cs="宋体"/>
          <w:sz w:val="24"/>
          <w:highlight w:val="none"/>
          <w:lang w:bidi="ar"/>
        </w:rPr>
      </w:pPr>
      <w:r>
        <w:rPr>
          <w:rFonts w:hint="eastAsia" w:ascii="宋体" w:hAnsi="宋体" w:eastAsia="宋体" w:cs="宋体"/>
          <w:sz w:val="24"/>
          <w:highlight w:val="none"/>
          <w:lang w:bidi="ar"/>
        </w:rPr>
        <w:t>30.1 中标人应当自发出中标通知书之日起30日内，与采购人签订合同。</w:t>
      </w:r>
    </w:p>
    <w:p w14:paraId="3628C6C3">
      <w:pPr>
        <w:adjustRightInd w:val="0"/>
        <w:snapToGrid w:val="0"/>
        <w:spacing w:line="440" w:lineRule="exact"/>
        <w:ind w:left="636" w:hanging="636" w:hangingChars="265"/>
        <w:rPr>
          <w:rFonts w:hint="eastAsia" w:ascii="宋体" w:hAnsi="宋体" w:eastAsia="宋体" w:cs="宋体"/>
          <w:sz w:val="24"/>
          <w:highlight w:val="none"/>
          <w:lang w:bidi="ar"/>
        </w:rPr>
      </w:pPr>
      <w:r>
        <w:rPr>
          <w:rFonts w:hint="eastAsia" w:ascii="宋体" w:hAnsi="宋体" w:eastAsia="宋体" w:cs="宋体"/>
          <w:sz w:val="24"/>
          <w:highlight w:val="none"/>
          <w:lang w:bidi="ar"/>
        </w:rPr>
        <w:t>30.2 招标文件、中标人的投标文件及其澄清文件等，均为签订合同的依据。</w:t>
      </w:r>
    </w:p>
    <w:p w14:paraId="2ECB82DB">
      <w:pPr>
        <w:adjustRightInd w:val="0"/>
        <w:snapToGrid w:val="0"/>
        <w:spacing w:line="440" w:lineRule="exact"/>
        <w:ind w:left="660" w:hanging="660" w:hangingChars="275"/>
        <w:rPr>
          <w:rFonts w:hint="eastAsia" w:ascii="宋体" w:hAnsi="宋体" w:eastAsia="宋体" w:cs="宋体"/>
          <w:sz w:val="24"/>
          <w:highlight w:val="none"/>
          <w:lang w:bidi="ar"/>
        </w:rPr>
      </w:pPr>
      <w:r>
        <w:rPr>
          <w:rFonts w:hint="eastAsia" w:ascii="宋体" w:hAnsi="宋体" w:eastAsia="宋体" w:cs="宋体"/>
          <w:sz w:val="24"/>
          <w:highlight w:val="none"/>
          <w:lang w:bidi="ar"/>
        </w:rPr>
        <w:t>30.3 中标人拒绝与采购人签订合同的，采购人可以按照评审报告推荐的中标候选人名单排序，确定下一候选人为中标人，也可以重新开展政府采购活动。</w:t>
      </w:r>
    </w:p>
    <w:p w14:paraId="6F1762F9">
      <w:pPr>
        <w:adjustRightInd w:val="0"/>
        <w:snapToGrid w:val="0"/>
        <w:spacing w:line="440" w:lineRule="exact"/>
        <w:ind w:left="660" w:hanging="660" w:hangingChars="275"/>
        <w:rPr>
          <w:rFonts w:hint="eastAsia" w:ascii="宋体" w:hAnsi="宋体" w:eastAsia="宋体" w:cs="宋体"/>
          <w:sz w:val="24"/>
          <w:highlight w:val="none"/>
          <w:lang w:bidi="ar"/>
        </w:rPr>
      </w:pPr>
      <w:r>
        <w:rPr>
          <w:rFonts w:hint="eastAsia" w:ascii="宋体" w:hAnsi="宋体" w:eastAsia="宋体" w:cs="宋体"/>
          <w:sz w:val="24"/>
          <w:highlight w:val="none"/>
          <w:lang w:bidi="ar"/>
        </w:rPr>
        <w:t>30.4 当出现法规规定的中标无效情形时，采购人可与排名下一位的中标候选人另行签订合同，或依法重新开展采购活动。</w:t>
      </w:r>
    </w:p>
    <w:p w14:paraId="7F561CB2">
      <w:pPr>
        <w:adjustRightInd w:val="0"/>
        <w:snapToGrid w:val="0"/>
        <w:spacing w:line="440" w:lineRule="exact"/>
        <w:ind w:left="638" w:hanging="638" w:hangingChars="265"/>
        <w:rPr>
          <w:rFonts w:hint="eastAsia" w:ascii="宋体" w:hAnsi="宋体" w:eastAsia="宋体" w:cs="宋体"/>
          <w:b/>
          <w:bCs/>
          <w:sz w:val="24"/>
          <w:highlight w:val="none"/>
          <w:lang w:bidi="ar"/>
        </w:rPr>
      </w:pPr>
      <w:bookmarkStart w:id="57" w:name="_Toc507399479"/>
      <w:r>
        <w:rPr>
          <w:rFonts w:hint="eastAsia" w:ascii="宋体" w:hAnsi="宋体" w:eastAsia="宋体" w:cs="宋体"/>
          <w:b/>
          <w:bCs/>
          <w:sz w:val="24"/>
          <w:highlight w:val="none"/>
          <w:lang w:bidi="ar"/>
        </w:rPr>
        <w:t>31. 履约保证金</w:t>
      </w:r>
      <w:bookmarkEnd w:id="57"/>
    </w:p>
    <w:p w14:paraId="306400A3">
      <w:pPr>
        <w:adjustRightInd w:val="0"/>
        <w:snapToGrid w:val="0"/>
        <w:spacing w:line="440" w:lineRule="exact"/>
        <w:ind w:left="660" w:hanging="660" w:hangingChars="275"/>
        <w:rPr>
          <w:rFonts w:hint="eastAsia" w:ascii="宋体" w:hAnsi="宋体" w:eastAsia="宋体" w:cs="宋体"/>
          <w:sz w:val="24"/>
          <w:highlight w:val="none"/>
          <w:lang w:bidi="ar"/>
        </w:rPr>
      </w:pPr>
      <w:r>
        <w:rPr>
          <w:rFonts w:hint="eastAsia" w:ascii="宋体" w:hAnsi="宋体" w:eastAsia="宋体" w:cs="宋体"/>
          <w:sz w:val="24"/>
          <w:highlight w:val="none"/>
          <w:lang w:bidi="ar"/>
        </w:rPr>
        <w:t>31.1 中标人应按照</w:t>
      </w:r>
      <w:r>
        <w:rPr>
          <w:rFonts w:hint="eastAsia" w:ascii="宋体" w:hAnsi="宋体" w:eastAsia="宋体" w:cs="宋体"/>
          <w:sz w:val="24"/>
          <w:highlight w:val="none"/>
          <w:u w:val="single"/>
          <w:lang w:bidi="ar"/>
        </w:rPr>
        <w:t>投标人须知前附表</w:t>
      </w:r>
      <w:r>
        <w:rPr>
          <w:rFonts w:hint="eastAsia" w:ascii="宋体" w:hAnsi="宋体" w:eastAsia="宋体" w:cs="宋体"/>
          <w:sz w:val="24"/>
          <w:highlight w:val="none"/>
          <w:lang w:bidi="ar"/>
        </w:rPr>
        <w:t>规定的金额、形式和时间向采购人缴纳履约保证金。</w:t>
      </w:r>
    </w:p>
    <w:p w14:paraId="04829224">
      <w:pPr>
        <w:adjustRightInd w:val="0"/>
        <w:snapToGrid w:val="0"/>
        <w:spacing w:line="440" w:lineRule="exact"/>
        <w:ind w:left="636" w:hanging="636" w:hangingChars="265"/>
        <w:rPr>
          <w:rFonts w:hint="eastAsia" w:ascii="宋体" w:hAnsi="宋体" w:eastAsia="宋体" w:cs="宋体"/>
          <w:sz w:val="24"/>
          <w:highlight w:val="none"/>
          <w:lang w:bidi="ar"/>
        </w:rPr>
      </w:pPr>
      <w:r>
        <w:rPr>
          <w:rFonts w:hint="eastAsia" w:ascii="宋体" w:hAnsi="宋体" w:eastAsia="宋体" w:cs="宋体"/>
          <w:sz w:val="24"/>
          <w:highlight w:val="none"/>
          <w:lang w:bidi="ar"/>
        </w:rPr>
        <w:t>31.2 经采购人同意，中标人也可以自愿采用其他履约保证金的提供方式。</w:t>
      </w:r>
    </w:p>
    <w:p w14:paraId="78AFD7F0">
      <w:pPr>
        <w:adjustRightInd w:val="0"/>
        <w:snapToGrid w:val="0"/>
        <w:spacing w:line="440" w:lineRule="exact"/>
        <w:ind w:left="-1"/>
        <w:rPr>
          <w:rFonts w:hint="eastAsia" w:ascii="宋体" w:hAnsi="宋体" w:eastAsia="宋体" w:cs="宋体"/>
          <w:sz w:val="24"/>
          <w:highlight w:val="none"/>
          <w:lang w:bidi="ar"/>
        </w:rPr>
      </w:pPr>
      <w:r>
        <w:rPr>
          <w:rFonts w:hint="eastAsia" w:ascii="宋体" w:hAnsi="宋体" w:eastAsia="宋体" w:cs="宋体"/>
          <w:sz w:val="24"/>
          <w:highlight w:val="none"/>
          <w:lang w:bidi="ar"/>
        </w:rPr>
        <w:t>31.3 如果中标人没有按照上述第30条或31.1条的规定执行，将视为放弃中标资格，中标人的投标保证金将被没收。在此情况下，采购人可确定下一候选人为中标人，也可以重新开展政府采购活动。</w:t>
      </w:r>
    </w:p>
    <w:p w14:paraId="01B136A3">
      <w:pPr>
        <w:adjustRightInd w:val="0"/>
        <w:snapToGrid w:val="0"/>
        <w:spacing w:line="440" w:lineRule="exact"/>
        <w:ind w:left="638" w:hanging="638" w:hangingChars="265"/>
        <w:rPr>
          <w:rFonts w:hint="eastAsia" w:ascii="宋体" w:hAnsi="宋体" w:eastAsia="宋体" w:cs="宋体"/>
          <w:b/>
          <w:bCs/>
          <w:sz w:val="24"/>
          <w:highlight w:val="none"/>
          <w:lang w:bidi="ar"/>
        </w:rPr>
      </w:pPr>
      <w:bookmarkStart w:id="58" w:name="_Toc507399480"/>
      <w:r>
        <w:rPr>
          <w:rFonts w:hint="eastAsia" w:ascii="宋体" w:hAnsi="宋体" w:eastAsia="宋体" w:cs="宋体"/>
          <w:b/>
          <w:bCs/>
          <w:sz w:val="24"/>
          <w:highlight w:val="none"/>
          <w:lang w:bidi="ar"/>
        </w:rPr>
        <w:t>32. 招标代理费</w:t>
      </w:r>
      <w:bookmarkEnd w:id="58"/>
    </w:p>
    <w:p w14:paraId="7DF4E665">
      <w:pPr>
        <w:adjustRightInd w:val="0"/>
        <w:snapToGrid w:val="0"/>
        <w:spacing w:line="440" w:lineRule="exact"/>
        <w:ind w:firstLine="480" w:firstLineChars="200"/>
        <w:rPr>
          <w:rFonts w:hint="eastAsia" w:ascii="宋体" w:hAnsi="宋体" w:eastAsia="宋体" w:cs="宋体"/>
          <w:sz w:val="24"/>
          <w:highlight w:val="none"/>
          <w:lang w:bidi="ar"/>
        </w:rPr>
      </w:pPr>
      <w:bookmarkStart w:id="59" w:name="_Toc507399482"/>
      <w:r>
        <w:rPr>
          <w:rFonts w:hint="eastAsia" w:ascii="宋体" w:hAnsi="宋体" w:eastAsia="宋体" w:cs="宋体"/>
          <w:sz w:val="24"/>
          <w:highlight w:val="none"/>
          <w:lang w:bidi="ar"/>
        </w:rPr>
        <w:t>中标人须按照投标须知前附表中规定的时间、形式、金额，向招标代理机构支付中标服务费。</w:t>
      </w:r>
    </w:p>
    <w:p w14:paraId="70E22FB6">
      <w:pPr>
        <w:adjustRightInd w:val="0"/>
        <w:snapToGrid w:val="0"/>
        <w:spacing w:line="440" w:lineRule="exact"/>
        <w:ind w:left="638" w:hanging="638" w:hangingChars="265"/>
        <w:rPr>
          <w:rFonts w:hint="eastAsia" w:ascii="宋体" w:hAnsi="宋体" w:eastAsia="宋体" w:cs="宋体"/>
          <w:b/>
          <w:bCs/>
          <w:sz w:val="24"/>
          <w:highlight w:val="none"/>
          <w:lang w:bidi="ar"/>
        </w:rPr>
      </w:pPr>
      <w:r>
        <w:rPr>
          <w:rFonts w:hint="eastAsia" w:ascii="宋体" w:hAnsi="宋体" w:eastAsia="宋体" w:cs="宋体"/>
          <w:b/>
          <w:bCs/>
          <w:sz w:val="24"/>
          <w:highlight w:val="none"/>
          <w:lang w:bidi="ar"/>
        </w:rPr>
        <w:t>33. 廉洁自律规定</w:t>
      </w:r>
      <w:bookmarkEnd w:id="59"/>
    </w:p>
    <w:p w14:paraId="1527F692">
      <w:pPr>
        <w:adjustRightInd w:val="0"/>
        <w:snapToGrid w:val="0"/>
        <w:spacing w:line="440" w:lineRule="exact"/>
        <w:ind w:left="636" w:hanging="636" w:hangingChars="265"/>
        <w:rPr>
          <w:rFonts w:hint="eastAsia" w:ascii="宋体" w:hAnsi="宋体" w:eastAsia="宋体" w:cs="宋体"/>
          <w:sz w:val="24"/>
          <w:highlight w:val="none"/>
          <w:lang w:bidi="ar"/>
        </w:rPr>
      </w:pPr>
      <w:r>
        <w:rPr>
          <w:rFonts w:hint="eastAsia" w:ascii="宋体" w:hAnsi="宋体" w:eastAsia="宋体" w:cs="宋体"/>
          <w:sz w:val="24"/>
          <w:highlight w:val="none"/>
          <w:lang w:bidi="ar"/>
        </w:rPr>
        <w:t>33.1 采购代理机构工作人员不得以不正当手段获取政府采购代理业务，不得与采购人、投标人恶意串通操纵政府采购活动。</w:t>
      </w:r>
    </w:p>
    <w:p w14:paraId="03946125">
      <w:pPr>
        <w:adjustRightInd w:val="0"/>
        <w:snapToGrid w:val="0"/>
        <w:spacing w:line="440" w:lineRule="exact"/>
        <w:ind w:left="636" w:hanging="636" w:hangingChars="265"/>
        <w:rPr>
          <w:rFonts w:hint="eastAsia" w:ascii="宋体" w:hAnsi="宋体" w:eastAsia="宋体" w:cs="宋体"/>
          <w:sz w:val="24"/>
          <w:highlight w:val="none"/>
          <w:lang w:bidi="ar"/>
        </w:rPr>
      </w:pPr>
      <w:r>
        <w:rPr>
          <w:rFonts w:hint="eastAsia" w:ascii="宋体" w:hAnsi="宋体" w:eastAsia="宋体" w:cs="宋体"/>
          <w:sz w:val="24"/>
          <w:highlight w:val="none"/>
          <w:lang w:bidi="ar"/>
        </w:rPr>
        <w:t>33.2 采购代理机构工作人员不得接受采购人或者投标人组织的宴请、旅游、娱乐，不得收受礼品、现金、有价证券等，不得向采购人或者投标人报销应当由个人承担的费用。</w:t>
      </w:r>
    </w:p>
    <w:p w14:paraId="38E39BEB">
      <w:pPr>
        <w:adjustRightInd w:val="0"/>
        <w:snapToGrid w:val="0"/>
        <w:spacing w:line="440" w:lineRule="exact"/>
        <w:ind w:left="638" w:hanging="638" w:hangingChars="265"/>
        <w:rPr>
          <w:rFonts w:hint="eastAsia" w:ascii="宋体" w:hAnsi="宋体" w:eastAsia="宋体" w:cs="宋体"/>
          <w:b/>
          <w:bCs/>
          <w:sz w:val="24"/>
          <w:highlight w:val="none"/>
          <w:lang w:bidi="ar"/>
        </w:rPr>
      </w:pPr>
      <w:bookmarkStart w:id="60" w:name="_Toc507399483"/>
      <w:r>
        <w:rPr>
          <w:rFonts w:hint="eastAsia" w:ascii="宋体" w:hAnsi="宋体" w:eastAsia="宋体" w:cs="宋体"/>
          <w:b/>
          <w:bCs/>
          <w:sz w:val="24"/>
          <w:highlight w:val="none"/>
          <w:lang w:bidi="ar"/>
        </w:rPr>
        <w:t>34. 人员回避</w:t>
      </w:r>
      <w:bookmarkEnd w:id="60"/>
    </w:p>
    <w:p w14:paraId="3B3B049F">
      <w:pPr>
        <w:adjustRightInd w:val="0"/>
        <w:snapToGrid w:val="0"/>
        <w:spacing w:line="440" w:lineRule="exact"/>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潜在投标人认为招标文件使自己的权益受到损害的，投标人认为采购人员及其相关人员有法律法规所列与其他投标人有利害关系的，均可以向采购人或采购代理机构书面提出回避申请，并说明理由。</w:t>
      </w:r>
    </w:p>
    <w:p w14:paraId="2F9982E9">
      <w:pPr>
        <w:adjustRightInd w:val="0"/>
        <w:snapToGrid w:val="0"/>
        <w:spacing w:line="440" w:lineRule="exact"/>
        <w:ind w:left="638" w:hanging="638" w:hangingChars="265"/>
        <w:rPr>
          <w:rFonts w:hint="eastAsia" w:ascii="宋体" w:hAnsi="宋体" w:eastAsia="宋体" w:cs="宋体"/>
          <w:b/>
          <w:bCs/>
          <w:sz w:val="24"/>
          <w:highlight w:val="none"/>
          <w:lang w:bidi="ar"/>
        </w:rPr>
      </w:pPr>
      <w:bookmarkStart w:id="61" w:name="_Toc507399484"/>
      <w:r>
        <w:rPr>
          <w:rFonts w:hint="eastAsia" w:ascii="宋体" w:hAnsi="宋体" w:eastAsia="宋体" w:cs="宋体"/>
          <w:b/>
          <w:bCs/>
          <w:sz w:val="24"/>
          <w:highlight w:val="none"/>
          <w:lang w:bidi="ar"/>
        </w:rPr>
        <w:t>35. 质疑与接收</w:t>
      </w:r>
      <w:bookmarkEnd w:id="61"/>
    </w:p>
    <w:p w14:paraId="418FDD2D">
      <w:pPr>
        <w:adjustRightInd w:val="0"/>
        <w:snapToGrid w:val="0"/>
        <w:spacing w:line="440" w:lineRule="exact"/>
        <w:ind w:left="636" w:hanging="636" w:hangingChars="265"/>
        <w:rPr>
          <w:rFonts w:hint="eastAsia" w:ascii="宋体" w:hAnsi="宋体" w:eastAsia="宋体" w:cs="宋体"/>
          <w:sz w:val="24"/>
          <w:highlight w:val="none"/>
          <w:lang w:bidi="ar"/>
        </w:rPr>
      </w:pPr>
      <w:r>
        <w:rPr>
          <w:rFonts w:hint="eastAsia" w:ascii="宋体" w:hAnsi="宋体" w:eastAsia="宋体" w:cs="宋体"/>
          <w:sz w:val="24"/>
          <w:highlight w:val="none"/>
          <w:lang w:bidi="ar"/>
        </w:rPr>
        <w:t>35.1 投标人认为采购文件、采购过程和中标结果使自己的权益受到损害的，根据《政府采购法》、《政府采购法实施条例》和《政府采购质疑和投诉办法》的有关规定，可以依法向采购人或采购代理机构提出质疑。</w:t>
      </w:r>
    </w:p>
    <w:p w14:paraId="471E706E">
      <w:pPr>
        <w:adjustRightInd w:val="0"/>
        <w:snapToGrid w:val="0"/>
        <w:spacing w:line="440" w:lineRule="exact"/>
        <w:ind w:left="636" w:hanging="636" w:hangingChars="265"/>
        <w:rPr>
          <w:rFonts w:hint="eastAsia" w:ascii="宋体" w:hAnsi="宋体" w:eastAsia="宋体" w:cs="宋体"/>
          <w:sz w:val="24"/>
          <w:highlight w:val="none"/>
          <w:lang w:bidi="ar"/>
        </w:rPr>
      </w:pPr>
      <w:r>
        <w:rPr>
          <w:rFonts w:hint="eastAsia" w:ascii="宋体" w:hAnsi="宋体" w:eastAsia="宋体" w:cs="宋体"/>
          <w:sz w:val="24"/>
          <w:highlight w:val="none"/>
          <w:lang w:bidi="ar"/>
        </w:rPr>
        <w:t>35.2 投标人应按照财政部制定的《政府采购质疑函范本》格式（可从财政部官方网站下载）和《政府采购质疑和投诉办法》的要求，在法定质疑期内以纸质形式提出质疑，针对同一采购程序环节的质疑次数见</w:t>
      </w:r>
      <w:r>
        <w:rPr>
          <w:rFonts w:hint="eastAsia" w:ascii="宋体" w:hAnsi="宋体" w:eastAsia="宋体" w:cs="宋体"/>
          <w:sz w:val="24"/>
          <w:highlight w:val="none"/>
          <w:u w:val="single"/>
          <w:lang w:bidi="ar"/>
        </w:rPr>
        <w:t>投标须知前附表</w:t>
      </w:r>
      <w:r>
        <w:rPr>
          <w:rFonts w:hint="eastAsia" w:ascii="宋体" w:hAnsi="宋体" w:eastAsia="宋体" w:cs="宋体"/>
          <w:sz w:val="24"/>
          <w:highlight w:val="none"/>
          <w:lang w:bidi="ar"/>
        </w:rPr>
        <w:t>。</w:t>
      </w:r>
    </w:p>
    <w:p w14:paraId="266D9E7E">
      <w:pPr>
        <w:adjustRightInd w:val="0"/>
        <w:snapToGrid w:val="0"/>
        <w:spacing w:line="440" w:lineRule="exact"/>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超出法定质疑期的、重复提出的、分次提出的或内容、形式不符合《政府采购质疑和投诉办法》的，投标人将依法承担不利后果。</w:t>
      </w:r>
    </w:p>
    <w:p w14:paraId="4949601F">
      <w:pPr>
        <w:adjustRightInd w:val="0"/>
        <w:snapToGrid w:val="0"/>
        <w:spacing w:line="440" w:lineRule="exact"/>
        <w:ind w:left="636" w:hanging="636" w:hangingChars="265"/>
        <w:rPr>
          <w:rFonts w:hint="eastAsia" w:ascii="宋体" w:hAnsi="宋体" w:eastAsia="宋体" w:cs="宋体"/>
          <w:sz w:val="24"/>
          <w:highlight w:val="none"/>
          <w:lang w:bidi="ar"/>
        </w:rPr>
      </w:pPr>
      <w:r>
        <w:rPr>
          <w:rFonts w:hint="eastAsia" w:ascii="宋体" w:hAnsi="宋体" w:eastAsia="宋体" w:cs="宋体"/>
          <w:sz w:val="24"/>
          <w:highlight w:val="none"/>
          <w:lang w:bidi="ar"/>
        </w:rPr>
        <w:t>35.3 采购代理机构质疑函接收部门、联系电话和通讯地址</w:t>
      </w:r>
    </w:p>
    <w:p w14:paraId="5093B8D6">
      <w:pPr>
        <w:pStyle w:val="44"/>
        <w:widowControl w:val="0"/>
        <w:adjustRightInd w:val="0"/>
        <w:snapToGrid w:val="0"/>
        <w:spacing w:before="0" w:after="0" w:line="440" w:lineRule="exact"/>
        <w:ind w:left="638" w:leftChars="304"/>
        <w:rPr>
          <w:rFonts w:hint="eastAsia" w:ascii="宋体" w:hAnsi="宋体" w:eastAsia="宋体" w:cs="宋体"/>
          <w:bCs w:val="0"/>
          <w:spacing w:val="0"/>
          <w:kern w:val="2"/>
          <w:sz w:val="24"/>
          <w:szCs w:val="24"/>
          <w:highlight w:val="none"/>
          <w:lang w:eastAsia="zh-CN" w:bidi="ar"/>
        </w:rPr>
      </w:pPr>
      <w:bookmarkStart w:id="62" w:name="_Toc507399488"/>
      <w:r>
        <w:rPr>
          <w:rFonts w:hint="eastAsia" w:ascii="宋体" w:hAnsi="宋体" w:eastAsia="宋体" w:cs="宋体"/>
          <w:bCs w:val="0"/>
          <w:spacing w:val="0"/>
          <w:kern w:val="2"/>
          <w:sz w:val="24"/>
          <w:szCs w:val="24"/>
          <w:highlight w:val="none"/>
          <w:lang w:bidi="ar"/>
        </w:rPr>
        <w:t>联系部门：</w:t>
      </w:r>
      <w:r>
        <w:rPr>
          <w:rFonts w:hint="eastAsia" w:ascii="宋体" w:hAnsi="宋体" w:eastAsia="宋体" w:cs="宋体"/>
          <w:bCs w:val="0"/>
          <w:spacing w:val="0"/>
          <w:kern w:val="2"/>
          <w:sz w:val="24"/>
          <w:szCs w:val="24"/>
          <w:highlight w:val="none"/>
          <w:lang w:eastAsia="zh-CN" w:bidi="ar"/>
        </w:rPr>
        <w:t>新疆新建联项目管理咨询有限公司</w:t>
      </w:r>
    </w:p>
    <w:p w14:paraId="7DF25A65">
      <w:pPr>
        <w:pStyle w:val="44"/>
        <w:widowControl w:val="0"/>
        <w:adjustRightInd w:val="0"/>
        <w:snapToGrid w:val="0"/>
        <w:spacing w:before="0" w:after="0" w:line="440" w:lineRule="exact"/>
        <w:ind w:left="638" w:leftChars="304"/>
        <w:rPr>
          <w:rFonts w:hint="eastAsia" w:ascii="宋体" w:hAnsi="宋体" w:eastAsia="宋体" w:cs="宋体"/>
          <w:bCs w:val="0"/>
          <w:spacing w:val="0"/>
          <w:kern w:val="2"/>
          <w:sz w:val="24"/>
          <w:szCs w:val="24"/>
          <w:highlight w:val="none"/>
          <w:lang w:eastAsia="zh-CN" w:bidi="ar"/>
        </w:rPr>
      </w:pPr>
      <w:r>
        <w:rPr>
          <w:rFonts w:hint="eastAsia" w:ascii="宋体" w:hAnsi="宋体" w:eastAsia="宋体" w:cs="宋体"/>
          <w:bCs w:val="0"/>
          <w:spacing w:val="0"/>
          <w:kern w:val="2"/>
          <w:sz w:val="24"/>
          <w:szCs w:val="24"/>
          <w:highlight w:val="none"/>
          <w:lang w:bidi="ar"/>
        </w:rPr>
        <w:t>联系电话：</w:t>
      </w:r>
      <w:r>
        <w:rPr>
          <w:rFonts w:hint="eastAsia" w:ascii="宋体" w:hAnsi="宋体" w:eastAsia="宋体" w:cs="宋体"/>
          <w:bCs w:val="0"/>
          <w:spacing w:val="0"/>
          <w:kern w:val="2"/>
          <w:sz w:val="24"/>
          <w:szCs w:val="24"/>
          <w:highlight w:val="none"/>
          <w:lang w:eastAsia="zh-CN" w:bidi="ar"/>
        </w:rPr>
        <w:t>18209212104、18599020403、0991-8875119</w:t>
      </w:r>
    </w:p>
    <w:p w14:paraId="6BC3EA86">
      <w:pPr>
        <w:pStyle w:val="44"/>
        <w:widowControl w:val="0"/>
        <w:adjustRightInd w:val="0"/>
        <w:snapToGrid w:val="0"/>
        <w:spacing w:before="0" w:after="0" w:line="440" w:lineRule="exact"/>
        <w:ind w:left="638" w:leftChars="304"/>
        <w:rPr>
          <w:rFonts w:hint="eastAsia" w:ascii="宋体" w:hAnsi="宋体" w:eastAsia="宋体" w:cs="宋体"/>
          <w:bCs w:val="0"/>
          <w:spacing w:val="0"/>
          <w:kern w:val="2"/>
          <w:sz w:val="24"/>
          <w:szCs w:val="24"/>
          <w:highlight w:val="none"/>
          <w:lang w:eastAsia="zh-CN" w:bidi="ar"/>
        </w:rPr>
      </w:pPr>
      <w:r>
        <w:rPr>
          <w:rFonts w:hint="eastAsia" w:ascii="宋体" w:hAnsi="宋体" w:eastAsia="宋体" w:cs="宋体"/>
          <w:bCs w:val="0"/>
          <w:spacing w:val="0"/>
          <w:kern w:val="2"/>
          <w:sz w:val="24"/>
          <w:szCs w:val="24"/>
          <w:highlight w:val="none"/>
          <w:lang w:bidi="ar"/>
        </w:rPr>
        <w:t>通讯地址：</w:t>
      </w:r>
      <w:r>
        <w:rPr>
          <w:rFonts w:hint="eastAsia" w:ascii="宋体" w:hAnsi="宋体" w:eastAsia="宋体" w:cs="宋体"/>
          <w:bCs w:val="0"/>
          <w:spacing w:val="0"/>
          <w:kern w:val="2"/>
          <w:sz w:val="24"/>
          <w:szCs w:val="24"/>
          <w:highlight w:val="none"/>
          <w:lang w:eastAsia="zh-CN" w:bidi="ar"/>
        </w:rPr>
        <w:t>乌鲁木齐市水磨沟区龙盛街898号中央公园商住小区S6栋14层</w:t>
      </w:r>
    </w:p>
    <w:p w14:paraId="6583BF6F">
      <w:pPr>
        <w:rPr>
          <w:rFonts w:hint="eastAsia" w:ascii="宋体" w:hAnsi="宋体" w:eastAsia="宋体" w:cs="宋体"/>
          <w:sz w:val="32"/>
          <w:szCs w:val="32"/>
          <w:highlight w:val="none"/>
        </w:rPr>
      </w:pPr>
      <w:r>
        <w:rPr>
          <w:rFonts w:hint="eastAsia" w:ascii="宋体" w:hAnsi="宋体" w:eastAsia="宋体" w:cs="宋体"/>
          <w:sz w:val="32"/>
          <w:szCs w:val="32"/>
          <w:highlight w:val="none"/>
        </w:rPr>
        <w:br w:type="page"/>
      </w:r>
    </w:p>
    <w:p w14:paraId="42B2FCDE">
      <w:pPr>
        <w:pStyle w:val="2"/>
        <w:bidi w:val="0"/>
        <w:rPr>
          <w:rFonts w:hint="eastAsia" w:ascii="宋体" w:hAnsi="宋体" w:eastAsia="宋体" w:cs="宋体"/>
          <w:highlight w:val="none"/>
        </w:rPr>
      </w:pPr>
      <w:bookmarkStart w:id="63" w:name="_Toc21891"/>
      <w:bookmarkStart w:id="64" w:name="_Toc29452"/>
      <w:bookmarkStart w:id="65" w:name="_Toc24408"/>
      <w:r>
        <w:rPr>
          <w:rFonts w:hint="eastAsia" w:ascii="宋体" w:hAnsi="宋体" w:eastAsia="宋体" w:cs="宋体"/>
          <w:highlight w:val="none"/>
        </w:rPr>
        <w:t xml:space="preserve">第四章 </w:t>
      </w:r>
      <w:bookmarkEnd w:id="62"/>
      <w:r>
        <w:rPr>
          <w:rFonts w:hint="eastAsia" w:ascii="宋体" w:hAnsi="宋体" w:eastAsia="宋体" w:cs="宋体"/>
          <w:highlight w:val="none"/>
        </w:rPr>
        <w:t>采购合同</w:t>
      </w:r>
      <w:bookmarkEnd w:id="63"/>
      <w:bookmarkEnd w:id="64"/>
      <w:bookmarkEnd w:id="65"/>
    </w:p>
    <w:p w14:paraId="02269357">
      <w:pPr>
        <w:bidi w:val="0"/>
        <w:jc w:val="center"/>
        <w:rPr>
          <w:rFonts w:hint="eastAsia" w:ascii="宋体" w:hAnsi="宋体" w:eastAsia="宋体" w:cs="宋体"/>
          <w:sz w:val="84"/>
          <w:szCs w:val="84"/>
          <w:highlight w:val="none"/>
        </w:rPr>
      </w:pPr>
      <w:r>
        <w:rPr>
          <w:rFonts w:hint="eastAsia" w:ascii="宋体" w:hAnsi="宋体" w:eastAsia="宋体" w:cs="宋体"/>
          <w:b/>
          <w:bCs/>
          <w:sz w:val="28"/>
          <w:szCs w:val="28"/>
          <w:highlight w:val="none"/>
        </w:rPr>
        <w:t>（本合同仅供参考，具体以实际签订为准）</w:t>
      </w:r>
      <w:r>
        <w:rPr>
          <w:rFonts w:hint="eastAsia" w:ascii="宋体" w:hAnsi="宋体" w:eastAsia="宋体" w:cs="宋体"/>
          <w:sz w:val="84"/>
          <w:szCs w:val="84"/>
          <w:highlight w:val="none"/>
        </w:rPr>
        <w:t xml:space="preserve"> </w:t>
      </w:r>
    </w:p>
    <w:p w14:paraId="2A5A4EA0">
      <w:pPr>
        <w:rPr>
          <w:rFonts w:hint="eastAsia" w:ascii="宋体" w:hAnsi="宋体" w:eastAsia="宋体" w:cs="宋体"/>
          <w:b/>
          <w:bCs/>
          <w:sz w:val="28"/>
          <w:szCs w:val="28"/>
          <w:highlight w:val="none"/>
        </w:rPr>
      </w:pPr>
      <w:bookmarkStart w:id="66" w:name="_Toc22960"/>
      <w:r>
        <w:rPr>
          <w:rFonts w:hint="eastAsia" w:ascii="宋体" w:hAnsi="宋体" w:eastAsia="宋体" w:cs="宋体"/>
          <w:b/>
          <w:bCs/>
          <w:sz w:val="28"/>
          <w:szCs w:val="28"/>
          <w:highlight w:val="none"/>
        </w:rPr>
        <w:br w:type="page"/>
      </w:r>
    </w:p>
    <w:p w14:paraId="4C8CF302">
      <w:pPr>
        <w:jc w:val="right"/>
        <w:rPr>
          <w:rFonts w:hint="eastAsia" w:ascii="宋体" w:hAnsi="宋体" w:eastAsia="宋体" w:cs="宋体"/>
          <w:b/>
          <w:bCs/>
          <w:sz w:val="28"/>
          <w:szCs w:val="28"/>
          <w:highlight w:val="none"/>
        </w:rPr>
      </w:pPr>
    </w:p>
    <w:p w14:paraId="4CF7125A">
      <w:pPr>
        <w:jc w:val="right"/>
        <w:rPr>
          <w:rFonts w:hint="eastAsia" w:ascii="宋体" w:hAnsi="宋体" w:eastAsia="宋体" w:cs="宋体"/>
          <w:b/>
          <w:bCs/>
          <w:sz w:val="28"/>
          <w:szCs w:val="28"/>
          <w:highlight w:val="none"/>
        </w:rPr>
      </w:pPr>
    </w:p>
    <w:p w14:paraId="6F8E6C1D">
      <w:pPr>
        <w:jc w:val="right"/>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编号:2026-7-</w:t>
      </w:r>
    </w:p>
    <w:p w14:paraId="0CB2155A">
      <w:pPr>
        <w:rPr>
          <w:rFonts w:hint="eastAsia" w:ascii="宋体" w:hAnsi="宋体" w:eastAsia="宋体" w:cs="宋体"/>
          <w:b/>
          <w:bCs/>
          <w:sz w:val="44"/>
          <w:szCs w:val="44"/>
          <w:highlight w:val="none"/>
        </w:rPr>
      </w:pPr>
    </w:p>
    <w:p w14:paraId="5241B4F9">
      <w:pPr>
        <w:rPr>
          <w:rFonts w:hint="eastAsia" w:ascii="宋体" w:hAnsi="宋体" w:eastAsia="宋体" w:cs="宋体"/>
          <w:b/>
          <w:bCs/>
          <w:sz w:val="44"/>
          <w:szCs w:val="44"/>
          <w:highlight w:val="none"/>
        </w:rPr>
      </w:pPr>
    </w:p>
    <w:p w14:paraId="36739421">
      <w:pPr>
        <w:jc w:val="center"/>
        <w:rPr>
          <w:rFonts w:hint="eastAsia" w:ascii="宋体" w:hAnsi="宋体" w:eastAsia="宋体" w:cs="宋体"/>
          <w:b/>
          <w:bCs/>
          <w:sz w:val="44"/>
          <w:szCs w:val="44"/>
          <w:highlight w:val="none"/>
        </w:rPr>
      </w:pPr>
    </w:p>
    <w:p w14:paraId="10D890D9">
      <w:pPr>
        <w:rPr>
          <w:rFonts w:hint="eastAsia" w:ascii="宋体" w:hAnsi="宋体" w:eastAsia="宋体" w:cs="宋体"/>
          <w:b/>
          <w:bCs/>
          <w:sz w:val="44"/>
          <w:szCs w:val="44"/>
          <w:highlight w:val="none"/>
        </w:rPr>
      </w:pPr>
    </w:p>
    <w:p w14:paraId="5037BD6E">
      <w:pPr>
        <w:jc w:val="center"/>
        <w:rPr>
          <w:rFonts w:hint="eastAsia" w:ascii="宋体" w:hAnsi="宋体" w:eastAsia="宋体" w:cs="宋体"/>
          <w:b/>
          <w:bCs/>
          <w:sz w:val="44"/>
          <w:szCs w:val="44"/>
          <w:highlight w:val="none"/>
        </w:rPr>
      </w:pPr>
    </w:p>
    <w:p w14:paraId="5C7FF922">
      <w:pPr>
        <w:jc w:val="center"/>
        <w:rPr>
          <w:rFonts w:hint="eastAsia" w:ascii="宋体" w:hAnsi="宋体" w:eastAsia="宋体" w:cs="宋体"/>
          <w:b/>
          <w:bCs/>
          <w:sz w:val="48"/>
          <w:szCs w:val="48"/>
          <w:highlight w:val="none"/>
        </w:rPr>
      </w:pPr>
      <w:r>
        <w:rPr>
          <w:rFonts w:hint="eastAsia" w:ascii="宋体" w:hAnsi="宋体" w:eastAsia="宋体" w:cs="宋体"/>
          <w:b/>
          <w:bCs/>
          <w:sz w:val="48"/>
          <w:szCs w:val="48"/>
          <w:highlight w:val="none"/>
        </w:rPr>
        <w:t>昌吉某某单位食堂物资采购合同</w:t>
      </w:r>
    </w:p>
    <w:p w14:paraId="64CBBCEB">
      <w:pPr>
        <w:rPr>
          <w:rFonts w:hint="eastAsia" w:ascii="宋体" w:hAnsi="宋体" w:eastAsia="宋体" w:cs="宋体"/>
          <w:b/>
          <w:bCs/>
          <w:sz w:val="44"/>
          <w:szCs w:val="44"/>
          <w:highlight w:val="none"/>
        </w:rPr>
      </w:pPr>
    </w:p>
    <w:p w14:paraId="156FD315">
      <w:pPr>
        <w:rPr>
          <w:rFonts w:hint="eastAsia" w:ascii="宋体" w:hAnsi="宋体" w:eastAsia="宋体" w:cs="宋体"/>
          <w:b/>
          <w:bCs/>
          <w:sz w:val="44"/>
          <w:szCs w:val="44"/>
          <w:highlight w:val="none"/>
        </w:rPr>
      </w:pPr>
    </w:p>
    <w:p w14:paraId="404B075C">
      <w:pPr>
        <w:rPr>
          <w:rFonts w:hint="eastAsia" w:ascii="宋体" w:hAnsi="宋体" w:eastAsia="宋体" w:cs="宋体"/>
          <w:b/>
          <w:bCs/>
          <w:sz w:val="44"/>
          <w:szCs w:val="44"/>
          <w:highlight w:val="none"/>
        </w:rPr>
      </w:pPr>
    </w:p>
    <w:p w14:paraId="16F0878E">
      <w:pPr>
        <w:rPr>
          <w:rFonts w:hint="eastAsia" w:ascii="宋体" w:hAnsi="宋体" w:eastAsia="宋体" w:cs="宋体"/>
          <w:b/>
          <w:bCs/>
          <w:sz w:val="44"/>
          <w:szCs w:val="44"/>
          <w:highlight w:val="none"/>
        </w:rPr>
      </w:pPr>
    </w:p>
    <w:p w14:paraId="32158CEF">
      <w:pPr>
        <w:rPr>
          <w:rFonts w:hint="eastAsia" w:ascii="宋体" w:hAnsi="宋体" w:eastAsia="宋体" w:cs="宋体"/>
          <w:b/>
          <w:bCs/>
          <w:sz w:val="44"/>
          <w:szCs w:val="44"/>
          <w:highlight w:val="none"/>
        </w:rPr>
      </w:pPr>
    </w:p>
    <w:p w14:paraId="07B3D07D">
      <w:pPr>
        <w:rPr>
          <w:rFonts w:hint="eastAsia" w:ascii="宋体" w:hAnsi="宋体" w:eastAsia="宋体" w:cs="宋体"/>
          <w:b/>
          <w:bCs/>
          <w:sz w:val="44"/>
          <w:szCs w:val="44"/>
          <w:highlight w:val="none"/>
        </w:rPr>
      </w:pPr>
    </w:p>
    <w:p w14:paraId="34414191">
      <w:pPr>
        <w:rPr>
          <w:rFonts w:hint="eastAsia" w:ascii="宋体" w:hAnsi="宋体" w:eastAsia="宋体" w:cs="宋体"/>
          <w:b/>
          <w:bCs/>
          <w:sz w:val="44"/>
          <w:szCs w:val="44"/>
          <w:highlight w:val="none"/>
        </w:rPr>
      </w:pPr>
    </w:p>
    <w:p w14:paraId="4AD15537">
      <w:pPr>
        <w:rPr>
          <w:rFonts w:hint="eastAsia" w:ascii="宋体" w:hAnsi="宋体" w:eastAsia="宋体" w:cs="宋体"/>
          <w:b/>
          <w:bCs/>
          <w:sz w:val="44"/>
          <w:szCs w:val="44"/>
          <w:highlight w:val="none"/>
        </w:rPr>
      </w:pPr>
    </w:p>
    <w:p w14:paraId="6B4A1837">
      <w:pPr>
        <w:ind w:firstLine="1968" w:firstLineChars="700"/>
        <w:jc w:val="both"/>
        <w:rPr>
          <w:rFonts w:hint="default" w:ascii="宋体" w:hAnsi="宋体" w:eastAsia="宋体" w:cs="宋体"/>
          <w:b/>
          <w:bCs/>
          <w:sz w:val="28"/>
          <w:szCs w:val="28"/>
          <w:highlight w:val="none"/>
          <w:u w:val="single"/>
          <w:lang w:val="en-US" w:eastAsia="zh-CN"/>
        </w:rPr>
      </w:pPr>
      <w:r>
        <w:rPr>
          <w:rFonts w:hint="eastAsia" w:ascii="宋体" w:hAnsi="宋体" w:eastAsia="宋体" w:cs="宋体"/>
          <w:b/>
          <w:bCs/>
          <w:sz w:val="28"/>
          <w:szCs w:val="28"/>
          <w:highlight w:val="none"/>
        </w:rPr>
        <w:t>甲</w:t>
      </w:r>
      <w:r>
        <w:rPr>
          <w:rFonts w:hint="eastAsia" w:ascii="宋体" w:hAnsi="宋体" w:eastAsia="宋体" w:cs="宋体"/>
          <w:b/>
          <w:bCs/>
          <w:sz w:val="28"/>
          <w:szCs w:val="28"/>
          <w:highlight w:val="none"/>
          <w:lang w:val="en-US" w:eastAsia="zh-CN"/>
        </w:rPr>
        <w:t xml:space="preserve">    </w:t>
      </w:r>
      <w:r>
        <w:rPr>
          <w:rFonts w:hint="eastAsia" w:ascii="宋体" w:hAnsi="宋体" w:eastAsia="宋体" w:cs="宋体"/>
          <w:b/>
          <w:bCs/>
          <w:sz w:val="28"/>
          <w:szCs w:val="28"/>
          <w:highlight w:val="none"/>
        </w:rPr>
        <w:t>方:</w:t>
      </w:r>
      <w:r>
        <w:rPr>
          <w:rFonts w:hint="eastAsia" w:ascii="宋体" w:hAnsi="宋体" w:eastAsia="宋体" w:cs="宋体"/>
          <w:b/>
          <w:bCs/>
          <w:sz w:val="28"/>
          <w:szCs w:val="28"/>
          <w:highlight w:val="none"/>
          <w:u w:val="single"/>
          <w:lang w:val="en-US" w:eastAsia="zh-CN"/>
        </w:rPr>
        <w:t xml:space="preserve">                   </w:t>
      </w:r>
    </w:p>
    <w:p w14:paraId="0B266FF7">
      <w:pPr>
        <w:ind w:firstLine="1968" w:firstLineChars="700"/>
        <w:jc w:val="both"/>
        <w:rPr>
          <w:rFonts w:hint="eastAsia" w:ascii="宋体" w:hAnsi="宋体" w:eastAsia="宋体" w:cs="宋体"/>
          <w:b/>
          <w:bCs/>
          <w:sz w:val="28"/>
          <w:szCs w:val="28"/>
          <w:highlight w:val="none"/>
          <w:u w:val="single"/>
          <w:lang w:val="en-US" w:eastAsia="zh-CN"/>
        </w:rPr>
      </w:pPr>
      <w:r>
        <w:rPr>
          <w:rFonts w:hint="eastAsia" w:ascii="宋体" w:hAnsi="宋体" w:eastAsia="宋体" w:cs="宋体"/>
          <w:b/>
          <w:bCs/>
          <w:sz w:val="28"/>
          <w:szCs w:val="28"/>
          <w:highlight w:val="none"/>
          <w:lang w:val="en-US" w:eastAsia="zh-CN"/>
        </w:rPr>
        <w:t xml:space="preserve">乙    </w:t>
      </w:r>
      <w:r>
        <w:rPr>
          <w:rFonts w:hint="eastAsia" w:ascii="宋体" w:hAnsi="宋体" w:eastAsia="宋体" w:cs="宋体"/>
          <w:b/>
          <w:bCs/>
          <w:sz w:val="28"/>
          <w:szCs w:val="28"/>
          <w:highlight w:val="none"/>
        </w:rPr>
        <w:t>方:</w:t>
      </w:r>
      <w:r>
        <w:rPr>
          <w:rFonts w:hint="eastAsia" w:ascii="宋体" w:hAnsi="宋体" w:eastAsia="宋体" w:cs="宋体"/>
          <w:b/>
          <w:bCs/>
          <w:sz w:val="28"/>
          <w:szCs w:val="28"/>
          <w:highlight w:val="none"/>
          <w:u w:val="single"/>
          <w:lang w:val="en-US" w:eastAsia="zh-CN"/>
        </w:rPr>
        <w:t xml:space="preserve">                   </w:t>
      </w:r>
    </w:p>
    <w:p w14:paraId="600139C6">
      <w:pPr>
        <w:ind w:firstLine="1968" w:firstLineChars="700"/>
        <w:jc w:val="both"/>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签订地点:</w:t>
      </w:r>
      <w:r>
        <w:rPr>
          <w:rFonts w:hint="eastAsia" w:ascii="宋体" w:hAnsi="宋体" w:eastAsia="宋体" w:cs="宋体"/>
          <w:b/>
          <w:bCs/>
          <w:sz w:val="28"/>
          <w:szCs w:val="28"/>
          <w:highlight w:val="none"/>
          <w:u w:val="single"/>
          <w:lang w:val="en-US" w:eastAsia="zh-CN"/>
        </w:rPr>
        <w:t xml:space="preserve">                   </w:t>
      </w:r>
    </w:p>
    <w:p w14:paraId="1B04FA1C">
      <w:pPr>
        <w:ind w:firstLine="1968" w:firstLineChars="700"/>
        <w:jc w:val="both"/>
        <w:rPr>
          <w:rFonts w:hint="eastAsia" w:ascii="宋体" w:hAnsi="宋体" w:eastAsia="宋体" w:cs="宋体"/>
          <w:b/>
          <w:bCs/>
          <w:sz w:val="28"/>
          <w:szCs w:val="28"/>
          <w:highlight w:val="none"/>
          <w:u w:val="single"/>
          <w:lang w:val="en-US" w:eastAsia="zh-CN"/>
        </w:rPr>
      </w:pPr>
      <w:r>
        <w:rPr>
          <w:rFonts w:hint="eastAsia" w:ascii="宋体" w:hAnsi="宋体" w:eastAsia="宋体" w:cs="宋体"/>
          <w:b/>
          <w:bCs/>
          <w:sz w:val="28"/>
          <w:szCs w:val="28"/>
          <w:highlight w:val="none"/>
        </w:rPr>
        <w:t>签订日期:</w:t>
      </w:r>
      <w:r>
        <w:rPr>
          <w:rFonts w:hint="eastAsia" w:ascii="宋体" w:hAnsi="宋体" w:eastAsia="宋体" w:cs="宋体"/>
          <w:b/>
          <w:bCs/>
          <w:sz w:val="28"/>
          <w:szCs w:val="28"/>
          <w:highlight w:val="none"/>
          <w:u w:val="single"/>
          <w:lang w:val="en-US" w:eastAsia="zh-CN"/>
        </w:rPr>
        <w:t xml:space="preserve">                   </w:t>
      </w:r>
      <w:r>
        <w:rPr>
          <w:rFonts w:hint="eastAsia" w:ascii="宋体" w:hAnsi="宋体" w:eastAsia="宋体" w:cs="宋体"/>
          <w:b/>
          <w:bCs/>
          <w:sz w:val="28"/>
          <w:szCs w:val="28"/>
          <w:highlight w:val="none"/>
          <w:u w:val="single"/>
          <w:lang w:val="en-US" w:eastAsia="zh-CN"/>
        </w:rPr>
        <w:br w:type="textWrapping"/>
      </w:r>
    </w:p>
    <w:p w14:paraId="0B2DE828">
      <w:pPr>
        <w:rPr>
          <w:rFonts w:hint="eastAsia" w:ascii="宋体" w:hAnsi="宋体" w:eastAsia="宋体" w:cs="宋体"/>
          <w:b/>
          <w:bCs/>
          <w:sz w:val="28"/>
          <w:szCs w:val="28"/>
          <w:highlight w:val="none"/>
          <w:u w:val="single"/>
          <w:lang w:val="en-US" w:eastAsia="zh-CN"/>
        </w:rPr>
      </w:pPr>
      <w:r>
        <w:rPr>
          <w:rFonts w:hint="eastAsia" w:ascii="宋体" w:hAnsi="宋体" w:eastAsia="宋体" w:cs="宋体"/>
          <w:b/>
          <w:bCs/>
          <w:sz w:val="28"/>
          <w:szCs w:val="28"/>
          <w:highlight w:val="none"/>
          <w:u w:val="single"/>
          <w:lang w:val="en-US" w:eastAsia="zh-CN"/>
        </w:rPr>
        <w:br w:type="page"/>
      </w:r>
    </w:p>
    <w:p w14:paraId="1BC455AB">
      <w:pPr>
        <w:jc w:val="center"/>
        <w:rPr>
          <w:rFonts w:hint="eastAsia" w:ascii="宋体" w:hAnsi="宋体" w:eastAsia="宋体" w:cs="宋体"/>
          <w:b/>
          <w:bCs/>
          <w:sz w:val="36"/>
          <w:szCs w:val="36"/>
          <w:highlight w:val="none"/>
          <w:u w:val="none"/>
          <w:lang w:val="en-US" w:eastAsia="zh-CN"/>
        </w:rPr>
      </w:pPr>
      <w:r>
        <w:rPr>
          <w:rFonts w:hint="eastAsia" w:ascii="宋体" w:hAnsi="宋体" w:eastAsia="宋体" w:cs="宋体"/>
          <w:b/>
          <w:bCs/>
          <w:sz w:val="36"/>
          <w:szCs w:val="36"/>
          <w:highlight w:val="none"/>
          <w:u w:val="none"/>
          <w:lang w:val="en-US" w:eastAsia="zh-CN"/>
        </w:rPr>
        <w:t>昌吉监狱食堂物资采购合同</w:t>
      </w:r>
    </w:p>
    <w:p w14:paraId="221ACE8F">
      <w:pPr>
        <w:jc w:val="both"/>
        <w:rPr>
          <w:rFonts w:hint="eastAsia" w:ascii="宋体" w:hAnsi="宋体" w:eastAsia="宋体" w:cs="宋体"/>
          <w:b w:val="0"/>
          <w:bCs w:val="0"/>
          <w:sz w:val="28"/>
          <w:szCs w:val="28"/>
          <w:highlight w:val="none"/>
          <w:u w:val="none"/>
          <w:lang w:val="en-US" w:eastAsia="zh-CN"/>
        </w:rPr>
      </w:pPr>
    </w:p>
    <w:p w14:paraId="335F0C75">
      <w:pPr>
        <w:jc w:val="both"/>
        <w:rPr>
          <w:rFonts w:hint="default" w:ascii="宋体" w:hAnsi="宋体" w:eastAsia="宋体" w:cs="宋体"/>
          <w:b w:val="0"/>
          <w:bCs w:val="0"/>
          <w:sz w:val="28"/>
          <w:szCs w:val="28"/>
          <w:highlight w:val="none"/>
          <w:u w:val="single"/>
          <w:lang w:val="en-US" w:eastAsia="zh-CN"/>
        </w:rPr>
      </w:pPr>
      <w:r>
        <w:rPr>
          <w:rFonts w:hint="eastAsia" w:ascii="宋体" w:hAnsi="宋体" w:eastAsia="宋体" w:cs="宋体"/>
          <w:b w:val="0"/>
          <w:bCs w:val="0"/>
          <w:sz w:val="28"/>
          <w:szCs w:val="28"/>
          <w:highlight w:val="none"/>
          <w:u w:val="none"/>
          <w:lang w:val="en-US" w:eastAsia="zh-CN"/>
        </w:rPr>
        <w:t>甲方(采购方):</w:t>
      </w:r>
      <w:r>
        <w:rPr>
          <w:rFonts w:hint="eastAsia" w:ascii="宋体" w:hAnsi="宋体" w:eastAsia="宋体" w:cs="宋体"/>
          <w:b w:val="0"/>
          <w:bCs w:val="0"/>
          <w:sz w:val="28"/>
          <w:szCs w:val="28"/>
          <w:highlight w:val="none"/>
          <w:u w:val="single"/>
          <w:lang w:val="en-US" w:eastAsia="zh-CN"/>
        </w:rPr>
        <w:t xml:space="preserve">                              </w:t>
      </w:r>
    </w:p>
    <w:p w14:paraId="0208BB22">
      <w:pPr>
        <w:jc w:val="both"/>
        <w:rPr>
          <w:rFonts w:hint="eastAsia" w:ascii="宋体" w:hAnsi="宋体" w:eastAsia="宋体" w:cs="宋体"/>
          <w:b w:val="0"/>
          <w:bCs w:val="0"/>
          <w:sz w:val="28"/>
          <w:szCs w:val="28"/>
          <w:highlight w:val="none"/>
          <w:u w:val="none"/>
          <w:lang w:val="en-US" w:eastAsia="zh-CN"/>
        </w:rPr>
      </w:pPr>
      <w:r>
        <w:rPr>
          <w:rFonts w:hint="eastAsia" w:ascii="宋体" w:hAnsi="宋体" w:eastAsia="宋体" w:cs="宋体"/>
          <w:b w:val="0"/>
          <w:bCs w:val="0"/>
          <w:sz w:val="28"/>
          <w:szCs w:val="28"/>
          <w:highlight w:val="none"/>
          <w:u w:val="none"/>
          <w:lang w:val="en-US" w:eastAsia="zh-CN"/>
        </w:rPr>
        <w:t>电话:</w:t>
      </w:r>
      <w:r>
        <w:rPr>
          <w:rFonts w:hint="eastAsia" w:ascii="宋体" w:hAnsi="宋体" w:eastAsia="宋体" w:cs="宋体"/>
          <w:b w:val="0"/>
          <w:bCs w:val="0"/>
          <w:sz w:val="28"/>
          <w:szCs w:val="28"/>
          <w:highlight w:val="none"/>
          <w:u w:val="single"/>
          <w:lang w:val="en-US" w:eastAsia="zh-CN"/>
        </w:rPr>
        <w:t xml:space="preserve">                              </w:t>
      </w:r>
    </w:p>
    <w:p w14:paraId="4F2B5968">
      <w:pPr>
        <w:jc w:val="both"/>
        <w:rPr>
          <w:rFonts w:hint="eastAsia" w:ascii="宋体" w:hAnsi="宋体" w:eastAsia="宋体" w:cs="宋体"/>
          <w:b w:val="0"/>
          <w:bCs w:val="0"/>
          <w:sz w:val="28"/>
          <w:szCs w:val="28"/>
          <w:highlight w:val="none"/>
          <w:u w:val="none"/>
          <w:lang w:val="en-US" w:eastAsia="zh-CN"/>
        </w:rPr>
      </w:pPr>
      <w:r>
        <w:rPr>
          <w:rFonts w:hint="eastAsia" w:ascii="宋体" w:hAnsi="宋体" w:eastAsia="宋体" w:cs="宋体"/>
          <w:b w:val="0"/>
          <w:bCs w:val="0"/>
          <w:sz w:val="28"/>
          <w:szCs w:val="28"/>
          <w:highlight w:val="none"/>
          <w:u w:val="none"/>
          <w:lang w:val="en-US" w:eastAsia="zh-CN"/>
        </w:rPr>
        <w:t>地址:乙方(销售方):</w:t>
      </w:r>
      <w:r>
        <w:rPr>
          <w:rFonts w:hint="eastAsia" w:ascii="宋体" w:hAnsi="宋体" w:eastAsia="宋体" w:cs="宋体"/>
          <w:b w:val="0"/>
          <w:bCs w:val="0"/>
          <w:sz w:val="28"/>
          <w:szCs w:val="28"/>
          <w:highlight w:val="none"/>
          <w:u w:val="single"/>
          <w:lang w:val="en-US" w:eastAsia="zh-CN"/>
        </w:rPr>
        <w:t xml:space="preserve">                         </w:t>
      </w:r>
    </w:p>
    <w:p w14:paraId="32A1F452">
      <w:pPr>
        <w:jc w:val="both"/>
        <w:rPr>
          <w:rFonts w:hint="eastAsia" w:ascii="宋体" w:hAnsi="宋体" w:eastAsia="宋体" w:cs="宋体"/>
          <w:b w:val="0"/>
          <w:bCs w:val="0"/>
          <w:sz w:val="28"/>
          <w:szCs w:val="28"/>
          <w:highlight w:val="none"/>
          <w:u w:val="none"/>
          <w:lang w:val="en-US" w:eastAsia="zh-CN"/>
        </w:rPr>
      </w:pPr>
      <w:r>
        <w:rPr>
          <w:rFonts w:hint="eastAsia" w:ascii="宋体" w:hAnsi="宋体" w:eastAsia="宋体" w:cs="宋体"/>
          <w:b w:val="0"/>
          <w:bCs w:val="0"/>
          <w:sz w:val="28"/>
          <w:szCs w:val="28"/>
          <w:highlight w:val="none"/>
          <w:u w:val="none"/>
          <w:lang w:val="en-US" w:eastAsia="zh-CN"/>
        </w:rPr>
        <w:t>电话:</w:t>
      </w:r>
      <w:r>
        <w:rPr>
          <w:rFonts w:hint="eastAsia" w:ascii="宋体" w:hAnsi="宋体" w:eastAsia="宋体" w:cs="宋体"/>
          <w:b w:val="0"/>
          <w:bCs w:val="0"/>
          <w:sz w:val="28"/>
          <w:szCs w:val="28"/>
          <w:highlight w:val="none"/>
          <w:u w:val="single"/>
          <w:lang w:val="en-US" w:eastAsia="zh-CN"/>
        </w:rPr>
        <w:t xml:space="preserve">                              </w:t>
      </w:r>
    </w:p>
    <w:p w14:paraId="2DDE3F79">
      <w:pPr>
        <w:jc w:val="both"/>
        <w:rPr>
          <w:rFonts w:hint="eastAsia" w:ascii="宋体" w:hAnsi="宋体" w:eastAsia="宋体" w:cs="宋体"/>
          <w:b w:val="0"/>
          <w:bCs w:val="0"/>
          <w:sz w:val="28"/>
          <w:szCs w:val="28"/>
          <w:highlight w:val="none"/>
          <w:u w:val="none"/>
          <w:lang w:val="en-US" w:eastAsia="zh-CN"/>
        </w:rPr>
      </w:pPr>
      <w:r>
        <w:rPr>
          <w:rFonts w:hint="eastAsia" w:ascii="宋体" w:hAnsi="宋体" w:eastAsia="宋体" w:cs="宋体"/>
          <w:b w:val="0"/>
          <w:bCs w:val="0"/>
          <w:sz w:val="28"/>
          <w:szCs w:val="28"/>
          <w:highlight w:val="none"/>
          <w:u w:val="none"/>
          <w:lang w:val="en-US" w:eastAsia="zh-CN"/>
        </w:rPr>
        <w:t>地址:</w:t>
      </w:r>
      <w:r>
        <w:rPr>
          <w:rFonts w:hint="eastAsia" w:ascii="宋体" w:hAnsi="宋体" w:eastAsia="宋体" w:cs="宋体"/>
          <w:b w:val="0"/>
          <w:bCs w:val="0"/>
          <w:sz w:val="28"/>
          <w:szCs w:val="28"/>
          <w:highlight w:val="none"/>
          <w:u w:val="single"/>
          <w:lang w:val="en-US" w:eastAsia="zh-CN"/>
        </w:rPr>
        <w:t xml:space="preserve">                              </w:t>
      </w:r>
    </w:p>
    <w:p w14:paraId="10BE3E44">
      <w:pPr>
        <w:jc w:val="both"/>
        <w:rPr>
          <w:rFonts w:hint="eastAsia" w:ascii="宋体" w:hAnsi="宋体" w:eastAsia="宋体" w:cs="宋体"/>
          <w:b w:val="0"/>
          <w:bCs w:val="0"/>
          <w:sz w:val="28"/>
          <w:szCs w:val="28"/>
          <w:highlight w:val="none"/>
          <w:u w:val="none"/>
          <w:lang w:val="en-US" w:eastAsia="zh-CN"/>
        </w:rPr>
      </w:pPr>
      <w:r>
        <w:rPr>
          <w:rFonts w:hint="eastAsia" w:ascii="宋体" w:hAnsi="宋体" w:eastAsia="宋体" w:cs="宋体"/>
          <w:b w:val="0"/>
          <w:bCs w:val="0"/>
          <w:sz w:val="28"/>
          <w:szCs w:val="28"/>
          <w:highlight w:val="none"/>
          <w:u w:val="none"/>
          <w:lang w:val="en-US" w:eastAsia="zh-CN"/>
        </w:rPr>
        <w:t>招标代理机构:</w:t>
      </w:r>
      <w:r>
        <w:rPr>
          <w:rFonts w:hint="eastAsia" w:ascii="宋体" w:hAnsi="宋体" w:eastAsia="宋体" w:cs="宋体"/>
          <w:b w:val="0"/>
          <w:bCs w:val="0"/>
          <w:sz w:val="28"/>
          <w:szCs w:val="28"/>
          <w:highlight w:val="none"/>
          <w:u w:val="single"/>
          <w:lang w:val="en-US" w:eastAsia="zh-CN"/>
        </w:rPr>
        <w:t xml:space="preserve">                              </w:t>
      </w:r>
      <w:r>
        <w:rPr>
          <w:rFonts w:hint="eastAsia" w:ascii="宋体" w:hAnsi="宋体" w:eastAsia="宋体" w:cs="宋体"/>
          <w:b w:val="0"/>
          <w:bCs w:val="0"/>
          <w:sz w:val="28"/>
          <w:szCs w:val="28"/>
          <w:highlight w:val="none"/>
          <w:u w:val="none"/>
          <w:lang w:val="en-US" w:eastAsia="zh-CN"/>
        </w:rPr>
        <w:t>(代理编</w:t>
      </w:r>
    </w:p>
    <w:p w14:paraId="4BE54363">
      <w:pPr>
        <w:jc w:val="both"/>
        <w:rPr>
          <w:rFonts w:hint="default" w:ascii="宋体" w:hAnsi="宋体" w:eastAsia="宋体" w:cs="宋体"/>
          <w:b w:val="0"/>
          <w:bCs w:val="0"/>
          <w:sz w:val="28"/>
          <w:szCs w:val="28"/>
          <w:highlight w:val="none"/>
          <w:u w:val="none"/>
          <w:lang w:val="en-US" w:eastAsia="zh-CN"/>
        </w:rPr>
      </w:pPr>
      <w:r>
        <w:rPr>
          <w:rFonts w:hint="eastAsia" w:ascii="宋体" w:hAnsi="宋体" w:eastAsia="宋体" w:cs="宋体"/>
          <w:b w:val="0"/>
          <w:bCs w:val="0"/>
          <w:sz w:val="28"/>
          <w:szCs w:val="28"/>
          <w:highlight w:val="none"/>
          <w:u w:val="none"/>
          <w:lang w:val="en-US" w:eastAsia="zh-CN"/>
        </w:rPr>
        <w:t>号                               ）</w:t>
      </w:r>
    </w:p>
    <w:p w14:paraId="3AA671D9">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val="0"/>
          <w:sz w:val="28"/>
          <w:szCs w:val="28"/>
          <w:highlight w:val="none"/>
          <w:u w:val="none"/>
          <w:lang w:val="en-US" w:eastAsia="zh-CN"/>
        </w:rPr>
      </w:pPr>
      <w:r>
        <w:rPr>
          <w:rFonts w:hint="eastAsia" w:ascii="宋体" w:hAnsi="宋体" w:eastAsia="宋体" w:cs="宋体"/>
          <w:b w:val="0"/>
          <w:bCs w:val="0"/>
          <w:sz w:val="28"/>
          <w:szCs w:val="28"/>
          <w:highlight w:val="none"/>
          <w:u w:val="none"/>
          <w:lang w:val="en-US" w:eastAsia="zh-CN"/>
        </w:rPr>
        <w:t>根据《中华人民共和国民法典》及相关法律法规的规定;甲、乙双方本着长期合作、互利互惠的原则，经友好协商，现就甲方向乙方购买下列商品订立本合同，双方共同遵守执行。</w:t>
      </w:r>
    </w:p>
    <w:p w14:paraId="515D1638">
      <w:pPr>
        <w:ind w:firstLine="562" w:firstLineChars="200"/>
        <w:jc w:val="both"/>
        <w:rPr>
          <w:rFonts w:hint="eastAsia" w:ascii="宋体" w:hAnsi="宋体" w:eastAsia="宋体" w:cs="宋体"/>
          <w:b/>
          <w:bCs/>
          <w:sz w:val="28"/>
          <w:szCs w:val="28"/>
          <w:highlight w:val="none"/>
          <w:u w:val="none"/>
          <w:lang w:val="en-US" w:eastAsia="zh-CN"/>
        </w:rPr>
      </w:pPr>
      <w:r>
        <w:rPr>
          <w:rFonts w:hint="eastAsia" w:ascii="宋体" w:hAnsi="宋体" w:eastAsia="宋体" w:cs="宋体"/>
          <w:b/>
          <w:bCs/>
          <w:sz w:val="28"/>
          <w:szCs w:val="28"/>
          <w:highlight w:val="none"/>
          <w:u w:val="none"/>
          <w:lang w:val="en-US" w:eastAsia="zh-CN"/>
        </w:rPr>
        <w:t>第一条 商品名称、规格、价格</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0"/>
        <w:gridCol w:w="1710"/>
        <w:gridCol w:w="1590"/>
        <w:gridCol w:w="1320"/>
        <w:gridCol w:w="1230"/>
      </w:tblGrid>
      <w:tr w14:paraId="24420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20" w:type="dxa"/>
          </w:tcPr>
          <w:p w14:paraId="180EAA35">
            <w:pPr>
              <w:jc w:val="center"/>
              <w:rPr>
                <w:rFonts w:hint="eastAsia" w:ascii="宋体" w:hAnsi="宋体" w:eastAsia="宋体" w:cs="宋体"/>
                <w:b w:val="0"/>
                <w:bCs w:val="0"/>
                <w:sz w:val="28"/>
                <w:szCs w:val="28"/>
                <w:highlight w:val="none"/>
                <w:u w:val="none"/>
                <w:vertAlign w:val="baseline"/>
                <w:lang w:val="en-US" w:eastAsia="zh-CN"/>
              </w:rPr>
            </w:pPr>
            <w:r>
              <w:rPr>
                <w:rFonts w:hint="eastAsia" w:ascii="宋体" w:hAnsi="宋体" w:eastAsia="宋体" w:cs="宋体"/>
                <w:b w:val="0"/>
                <w:bCs w:val="0"/>
                <w:sz w:val="28"/>
                <w:szCs w:val="28"/>
                <w:highlight w:val="none"/>
                <w:u w:val="none"/>
                <w:lang w:val="en-US" w:eastAsia="zh-CN"/>
              </w:rPr>
              <w:t>商品名称</w:t>
            </w:r>
          </w:p>
        </w:tc>
        <w:tc>
          <w:tcPr>
            <w:tcW w:w="1710" w:type="dxa"/>
          </w:tcPr>
          <w:p w14:paraId="583932B7">
            <w:pPr>
              <w:jc w:val="center"/>
              <w:rPr>
                <w:rFonts w:hint="eastAsia" w:ascii="宋体" w:hAnsi="宋体" w:eastAsia="宋体" w:cs="宋体"/>
                <w:b w:val="0"/>
                <w:bCs w:val="0"/>
                <w:sz w:val="28"/>
                <w:szCs w:val="28"/>
                <w:highlight w:val="none"/>
                <w:u w:val="none"/>
                <w:vertAlign w:val="baseline"/>
                <w:lang w:val="en-US" w:eastAsia="zh-CN"/>
              </w:rPr>
            </w:pPr>
            <w:r>
              <w:rPr>
                <w:rFonts w:hint="eastAsia" w:ascii="宋体" w:hAnsi="宋体" w:eastAsia="宋体" w:cs="宋体"/>
                <w:b w:val="0"/>
                <w:bCs w:val="0"/>
                <w:sz w:val="28"/>
                <w:szCs w:val="28"/>
                <w:highlight w:val="none"/>
                <w:u w:val="none"/>
                <w:lang w:val="en-US" w:eastAsia="zh-CN"/>
              </w:rPr>
              <w:t>规格</w:t>
            </w:r>
          </w:p>
        </w:tc>
        <w:tc>
          <w:tcPr>
            <w:tcW w:w="1590" w:type="dxa"/>
          </w:tcPr>
          <w:p w14:paraId="541F72AB">
            <w:pPr>
              <w:jc w:val="center"/>
              <w:rPr>
                <w:rFonts w:hint="eastAsia" w:ascii="宋体" w:hAnsi="宋体" w:eastAsia="宋体" w:cs="宋体"/>
                <w:b w:val="0"/>
                <w:bCs w:val="0"/>
                <w:sz w:val="28"/>
                <w:szCs w:val="28"/>
                <w:highlight w:val="none"/>
                <w:u w:val="none"/>
                <w:vertAlign w:val="baseline"/>
                <w:lang w:val="en-US" w:eastAsia="zh-CN"/>
              </w:rPr>
            </w:pPr>
            <w:r>
              <w:rPr>
                <w:rFonts w:hint="eastAsia" w:ascii="宋体" w:hAnsi="宋体" w:eastAsia="宋体" w:cs="宋体"/>
                <w:b w:val="0"/>
                <w:bCs w:val="0"/>
                <w:sz w:val="28"/>
                <w:szCs w:val="28"/>
                <w:highlight w:val="none"/>
                <w:u w:val="none"/>
                <w:lang w:val="en-US" w:eastAsia="zh-CN"/>
              </w:rPr>
              <w:t>品牌</w:t>
            </w:r>
          </w:p>
        </w:tc>
        <w:tc>
          <w:tcPr>
            <w:tcW w:w="1320" w:type="dxa"/>
          </w:tcPr>
          <w:p w14:paraId="29906BAA">
            <w:pPr>
              <w:jc w:val="center"/>
              <w:rPr>
                <w:rFonts w:hint="eastAsia" w:ascii="宋体" w:hAnsi="宋体" w:eastAsia="宋体" w:cs="宋体"/>
                <w:b w:val="0"/>
                <w:bCs w:val="0"/>
                <w:sz w:val="28"/>
                <w:szCs w:val="28"/>
                <w:highlight w:val="none"/>
                <w:u w:val="none"/>
                <w:vertAlign w:val="baseline"/>
                <w:lang w:val="en-US" w:eastAsia="zh-CN"/>
              </w:rPr>
            </w:pPr>
            <w:r>
              <w:rPr>
                <w:rFonts w:hint="eastAsia" w:ascii="宋体" w:hAnsi="宋体" w:eastAsia="宋体" w:cs="宋体"/>
                <w:b w:val="0"/>
                <w:bCs w:val="0"/>
                <w:sz w:val="28"/>
                <w:szCs w:val="28"/>
                <w:highlight w:val="none"/>
                <w:u w:val="none"/>
                <w:lang w:val="en-US" w:eastAsia="zh-CN"/>
              </w:rPr>
              <w:t>单价</w:t>
            </w:r>
          </w:p>
        </w:tc>
        <w:tc>
          <w:tcPr>
            <w:tcW w:w="1230" w:type="dxa"/>
          </w:tcPr>
          <w:p w14:paraId="35AF1658">
            <w:pPr>
              <w:jc w:val="center"/>
              <w:rPr>
                <w:rFonts w:hint="eastAsia" w:ascii="宋体" w:hAnsi="宋体" w:eastAsia="宋体" w:cs="宋体"/>
                <w:b w:val="0"/>
                <w:bCs w:val="0"/>
                <w:sz w:val="28"/>
                <w:szCs w:val="28"/>
                <w:highlight w:val="none"/>
                <w:u w:val="none"/>
                <w:vertAlign w:val="baseline"/>
                <w:lang w:val="en-US" w:eastAsia="zh-CN"/>
              </w:rPr>
            </w:pPr>
            <w:r>
              <w:rPr>
                <w:rFonts w:hint="eastAsia" w:ascii="宋体" w:hAnsi="宋体" w:eastAsia="宋体" w:cs="宋体"/>
                <w:b w:val="0"/>
                <w:bCs w:val="0"/>
                <w:sz w:val="28"/>
                <w:szCs w:val="28"/>
                <w:highlight w:val="none"/>
                <w:u w:val="none"/>
                <w:lang w:val="en-US" w:eastAsia="zh-CN"/>
              </w:rPr>
              <w:t>备注</w:t>
            </w:r>
          </w:p>
        </w:tc>
      </w:tr>
      <w:tr w14:paraId="76592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0" w:type="dxa"/>
          </w:tcPr>
          <w:p w14:paraId="54CB2121">
            <w:pPr>
              <w:jc w:val="center"/>
              <w:rPr>
                <w:rFonts w:hint="eastAsia" w:ascii="宋体" w:hAnsi="宋体" w:eastAsia="宋体" w:cs="宋体"/>
                <w:b w:val="0"/>
                <w:bCs w:val="0"/>
                <w:sz w:val="28"/>
                <w:szCs w:val="28"/>
                <w:highlight w:val="none"/>
                <w:u w:val="none"/>
                <w:vertAlign w:val="baseline"/>
                <w:lang w:val="en-US" w:eastAsia="zh-CN"/>
              </w:rPr>
            </w:pPr>
          </w:p>
        </w:tc>
        <w:tc>
          <w:tcPr>
            <w:tcW w:w="1710" w:type="dxa"/>
          </w:tcPr>
          <w:p w14:paraId="348B6582">
            <w:pPr>
              <w:jc w:val="center"/>
              <w:rPr>
                <w:rFonts w:hint="eastAsia" w:ascii="宋体" w:hAnsi="宋体" w:eastAsia="宋体" w:cs="宋体"/>
                <w:b w:val="0"/>
                <w:bCs w:val="0"/>
                <w:sz w:val="28"/>
                <w:szCs w:val="28"/>
                <w:highlight w:val="none"/>
                <w:u w:val="none"/>
                <w:vertAlign w:val="baseline"/>
                <w:lang w:val="en-US" w:eastAsia="zh-CN"/>
              </w:rPr>
            </w:pPr>
            <w:r>
              <w:rPr>
                <w:rFonts w:hint="eastAsia" w:ascii="宋体" w:hAnsi="宋体" w:eastAsia="宋体" w:cs="宋体"/>
                <w:b w:val="0"/>
                <w:bCs w:val="0"/>
                <w:sz w:val="28"/>
                <w:szCs w:val="28"/>
                <w:highlight w:val="none"/>
                <w:u w:val="none"/>
                <w:lang w:val="en-US" w:eastAsia="zh-CN"/>
              </w:rPr>
              <w:t>公斤</w:t>
            </w:r>
          </w:p>
        </w:tc>
        <w:tc>
          <w:tcPr>
            <w:tcW w:w="1590" w:type="dxa"/>
          </w:tcPr>
          <w:p w14:paraId="279B7A6A">
            <w:pPr>
              <w:jc w:val="center"/>
              <w:rPr>
                <w:rFonts w:hint="eastAsia" w:ascii="宋体" w:hAnsi="宋体" w:eastAsia="宋体" w:cs="宋体"/>
                <w:b w:val="0"/>
                <w:bCs w:val="0"/>
                <w:sz w:val="28"/>
                <w:szCs w:val="28"/>
                <w:highlight w:val="none"/>
                <w:u w:val="none"/>
                <w:vertAlign w:val="baseline"/>
                <w:lang w:val="en-US" w:eastAsia="zh-CN"/>
              </w:rPr>
            </w:pPr>
          </w:p>
        </w:tc>
        <w:tc>
          <w:tcPr>
            <w:tcW w:w="1320" w:type="dxa"/>
          </w:tcPr>
          <w:p w14:paraId="05DD2133">
            <w:pPr>
              <w:jc w:val="center"/>
              <w:rPr>
                <w:rFonts w:hint="eastAsia" w:ascii="宋体" w:hAnsi="宋体" w:eastAsia="宋体" w:cs="宋体"/>
                <w:b w:val="0"/>
                <w:bCs w:val="0"/>
                <w:sz w:val="28"/>
                <w:szCs w:val="28"/>
                <w:highlight w:val="none"/>
                <w:u w:val="none"/>
                <w:vertAlign w:val="baseline"/>
                <w:lang w:val="en-US" w:eastAsia="zh-CN"/>
              </w:rPr>
            </w:pPr>
          </w:p>
        </w:tc>
        <w:tc>
          <w:tcPr>
            <w:tcW w:w="1230" w:type="dxa"/>
          </w:tcPr>
          <w:p w14:paraId="4184BCB5">
            <w:pPr>
              <w:jc w:val="center"/>
              <w:rPr>
                <w:rFonts w:hint="eastAsia" w:ascii="宋体" w:hAnsi="宋体" w:eastAsia="宋体" w:cs="宋体"/>
                <w:b w:val="0"/>
                <w:bCs w:val="0"/>
                <w:sz w:val="28"/>
                <w:szCs w:val="28"/>
                <w:highlight w:val="none"/>
                <w:u w:val="none"/>
                <w:vertAlign w:val="baseline"/>
                <w:lang w:val="en-US" w:eastAsia="zh-CN"/>
              </w:rPr>
            </w:pPr>
          </w:p>
        </w:tc>
      </w:tr>
      <w:tr w14:paraId="0791D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0" w:type="dxa"/>
          </w:tcPr>
          <w:p w14:paraId="2DDD44A3">
            <w:pPr>
              <w:jc w:val="center"/>
              <w:rPr>
                <w:rFonts w:hint="eastAsia" w:ascii="宋体" w:hAnsi="宋体" w:eastAsia="宋体" w:cs="宋体"/>
                <w:b w:val="0"/>
                <w:bCs w:val="0"/>
                <w:sz w:val="28"/>
                <w:szCs w:val="28"/>
                <w:highlight w:val="none"/>
                <w:u w:val="none"/>
                <w:vertAlign w:val="baseline"/>
                <w:lang w:val="en-US" w:eastAsia="zh-CN"/>
              </w:rPr>
            </w:pPr>
          </w:p>
        </w:tc>
        <w:tc>
          <w:tcPr>
            <w:tcW w:w="1710" w:type="dxa"/>
          </w:tcPr>
          <w:p w14:paraId="7507DBDC">
            <w:pPr>
              <w:jc w:val="center"/>
              <w:rPr>
                <w:rFonts w:hint="eastAsia" w:ascii="宋体" w:hAnsi="宋体" w:eastAsia="宋体" w:cs="宋体"/>
                <w:b w:val="0"/>
                <w:bCs w:val="0"/>
                <w:sz w:val="28"/>
                <w:szCs w:val="28"/>
                <w:highlight w:val="none"/>
                <w:u w:val="none"/>
                <w:vertAlign w:val="baseline"/>
                <w:lang w:val="en-US" w:eastAsia="zh-CN"/>
              </w:rPr>
            </w:pPr>
            <w:r>
              <w:rPr>
                <w:rFonts w:hint="eastAsia" w:ascii="宋体" w:hAnsi="宋体" w:eastAsia="宋体" w:cs="宋体"/>
                <w:b w:val="0"/>
                <w:bCs w:val="0"/>
                <w:sz w:val="28"/>
                <w:szCs w:val="28"/>
                <w:highlight w:val="none"/>
                <w:u w:val="none"/>
                <w:lang w:val="en-US" w:eastAsia="zh-CN"/>
              </w:rPr>
              <w:t>公斤</w:t>
            </w:r>
          </w:p>
        </w:tc>
        <w:tc>
          <w:tcPr>
            <w:tcW w:w="1590" w:type="dxa"/>
          </w:tcPr>
          <w:p w14:paraId="789F5D8A">
            <w:pPr>
              <w:jc w:val="center"/>
              <w:rPr>
                <w:rFonts w:hint="eastAsia" w:ascii="宋体" w:hAnsi="宋体" w:eastAsia="宋体" w:cs="宋体"/>
                <w:b w:val="0"/>
                <w:bCs w:val="0"/>
                <w:sz w:val="28"/>
                <w:szCs w:val="28"/>
                <w:highlight w:val="none"/>
                <w:u w:val="none"/>
                <w:vertAlign w:val="baseline"/>
                <w:lang w:val="en-US" w:eastAsia="zh-CN"/>
              </w:rPr>
            </w:pPr>
          </w:p>
        </w:tc>
        <w:tc>
          <w:tcPr>
            <w:tcW w:w="1320" w:type="dxa"/>
          </w:tcPr>
          <w:p w14:paraId="4E883BE1">
            <w:pPr>
              <w:jc w:val="center"/>
              <w:rPr>
                <w:rFonts w:hint="eastAsia" w:ascii="宋体" w:hAnsi="宋体" w:eastAsia="宋体" w:cs="宋体"/>
                <w:b w:val="0"/>
                <w:bCs w:val="0"/>
                <w:sz w:val="28"/>
                <w:szCs w:val="28"/>
                <w:highlight w:val="none"/>
                <w:u w:val="none"/>
                <w:vertAlign w:val="baseline"/>
                <w:lang w:val="en-US" w:eastAsia="zh-CN"/>
              </w:rPr>
            </w:pPr>
          </w:p>
        </w:tc>
        <w:tc>
          <w:tcPr>
            <w:tcW w:w="1230" w:type="dxa"/>
          </w:tcPr>
          <w:p w14:paraId="76D7867C">
            <w:pPr>
              <w:jc w:val="center"/>
              <w:rPr>
                <w:rFonts w:hint="eastAsia" w:ascii="宋体" w:hAnsi="宋体" w:eastAsia="宋体" w:cs="宋体"/>
                <w:b w:val="0"/>
                <w:bCs w:val="0"/>
                <w:sz w:val="28"/>
                <w:szCs w:val="28"/>
                <w:highlight w:val="none"/>
                <w:u w:val="none"/>
                <w:vertAlign w:val="baseline"/>
                <w:lang w:val="en-US" w:eastAsia="zh-CN"/>
              </w:rPr>
            </w:pPr>
          </w:p>
        </w:tc>
      </w:tr>
      <w:tr w14:paraId="0EF08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0" w:type="dxa"/>
          </w:tcPr>
          <w:p w14:paraId="334596FF">
            <w:pPr>
              <w:jc w:val="center"/>
              <w:rPr>
                <w:rFonts w:hint="eastAsia" w:ascii="宋体" w:hAnsi="宋体" w:eastAsia="宋体" w:cs="宋体"/>
                <w:b w:val="0"/>
                <w:bCs w:val="0"/>
                <w:sz w:val="28"/>
                <w:szCs w:val="28"/>
                <w:highlight w:val="none"/>
                <w:u w:val="none"/>
                <w:vertAlign w:val="baseline"/>
                <w:lang w:val="en-US" w:eastAsia="zh-CN"/>
              </w:rPr>
            </w:pPr>
          </w:p>
        </w:tc>
        <w:tc>
          <w:tcPr>
            <w:tcW w:w="1710" w:type="dxa"/>
          </w:tcPr>
          <w:p w14:paraId="69585609">
            <w:pPr>
              <w:jc w:val="center"/>
              <w:rPr>
                <w:rFonts w:hint="eastAsia" w:ascii="宋体" w:hAnsi="宋体" w:eastAsia="宋体" w:cs="宋体"/>
                <w:b w:val="0"/>
                <w:bCs w:val="0"/>
                <w:sz w:val="28"/>
                <w:szCs w:val="28"/>
                <w:highlight w:val="none"/>
                <w:u w:val="none"/>
                <w:vertAlign w:val="baseline"/>
                <w:lang w:val="en-US" w:eastAsia="zh-CN"/>
              </w:rPr>
            </w:pPr>
            <w:r>
              <w:rPr>
                <w:rFonts w:hint="eastAsia" w:ascii="宋体" w:hAnsi="宋体" w:eastAsia="宋体" w:cs="宋体"/>
                <w:b w:val="0"/>
                <w:bCs w:val="0"/>
                <w:sz w:val="28"/>
                <w:szCs w:val="28"/>
                <w:highlight w:val="none"/>
                <w:u w:val="none"/>
                <w:lang w:val="en-US" w:eastAsia="zh-CN"/>
              </w:rPr>
              <w:t>公斤</w:t>
            </w:r>
          </w:p>
        </w:tc>
        <w:tc>
          <w:tcPr>
            <w:tcW w:w="1590" w:type="dxa"/>
          </w:tcPr>
          <w:p w14:paraId="608793E6">
            <w:pPr>
              <w:jc w:val="center"/>
              <w:rPr>
                <w:rFonts w:hint="eastAsia" w:ascii="宋体" w:hAnsi="宋体" w:eastAsia="宋体" w:cs="宋体"/>
                <w:b w:val="0"/>
                <w:bCs w:val="0"/>
                <w:sz w:val="28"/>
                <w:szCs w:val="28"/>
                <w:highlight w:val="none"/>
                <w:u w:val="none"/>
                <w:vertAlign w:val="baseline"/>
                <w:lang w:val="en-US" w:eastAsia="zh-CN"/>
              </w:rPr>
            </w:pPr>
          </w:p>
        </w:tc>
        <w:tc>
          <w:tcPr>
            <w:tcW w:w="1320" w:type="dxa"/>
          </w:tcPr>
          <w:p w14:paraId="316CADC4">
            <w:pPr>
              <w:jc w:val="center"/>
              <w:rPr>
                <w:rFonts w:hint="eastAsia" w:ascii="宋体" w:hAnsi="宋体" w:eastAsia="宋体" w:cs="宋体"/>
                <w:b w:val="0"/>
                <w:bCs w:val="0"/>
                <w:sz w:val="28"/>
                <w:szCs w:val="28"/>
                <w:highlight w:val="none"/>
                <w:u w:val="none"/>
                <w:vertAlign w:val="baseline"/>
                <w:lang w:val="en-US" w:eastAsia="zh-CN"/>
              </w:rPr>
            </w:pPr>
          </w:p>
        </w:tc>
        <w:tc>
          <w:tcPr>
            <w:tcW w:w="1230" w:type="dxa"/>
          </w:tcPr>
          <w:p w14:paraId="1FEAB81C">
            <w:pPr>
              <w:jc w:val="center"/>
              <w:rPr>
                <w:rFonts w:hint="eastAsia" w:ascii="宋体" w:hAnsi="宋体" w:eastAsia="宋体" w:cs="宋体"/>
                <w:b w:val="0"/>
                <w:bCs w:val="0"/>
                <w:sz w:val="28"/>
                <w:szCs w:val="28"/>
                <w:highlight w:val="none"/>
                <w:u w:val="none"/>
                <w:vertAlign w:val="baseline"/>
                <w:lang w:val="en-US" w:eastAsia="zh-CN"/>
              </w:rPr>
            </w:pPr>
          </w:p>
        </w:tc>
      </w:tr>
    </w:tbl>
    <w:p w14:paraId="6D67C50F">
      <w:pPr>
        <w:ind w:firstLine="562" w:firstLineChars="200"/>
        <w:jc w:val="both"/>
        <w:rPr>
          <w:rFonts w:hint="eastAsia" w:ascii="宋体" w:hAnsi="宋体" w:eastAsia="宋体" w:cs="宋体"/>
          <w:b/>
          <w:bCs/>
          <w:sz w:val="28"/>
          <w:szCs w:val="28"/>
          <w:highlight w:val="none"/>
          <w:u w:val="none"/>
          <w:lang w:val="en-US" w:eastAsia="zh-CN"/>
        </w:rPr>
      </w:pPr>
      <w:r>
        <w:rPr>
          <w:rFonts w:hint="eastAsia" w:ascii="宋体" w:hAnsi="宋体" w:eastAsia="宋体" w:cs="宋体"/>
          <w:b/>
          <w:bCs/>
          <w:sz w:val="28"/>
          <w:szCs w:val="28"/>
          <w:highlight w:val="none"/>
          <w:u w:val="none"/>
          <w:lang w:val="en-US" w:eastAsia="zh-CN"/>
        </w:rPr>
        <w:t>第二条 乙方资格保证及商品质量标准</w:t>
      </w:r>
    </w:p>
    <w:p w14:paraId="1D2F4302">
      <w:pPr>
        <w:ind w:firstLine="560" w:firstLineChars="200"/>
        <w:jc w:val="both"/>
        <w:rPr>
          <w:rFonts w:hint="eastAsia" w:ascii="宋体" w:hAnsi="宋体" w:eastAsia="宋体" w:cs="宋体"/>
          <w:b w:val="0"/>
          <w:bCs w:val="0"/>
          <w:sz w:val="28"/>
          <w:szCs w:val="28"/>
          <w:highlight w:val="none"/>
          <w:u w:val="none"/>
          <w:lang w:val="en-US" w:eastAsia="zh-CN"/>
        </w:rPr>
      </w:pPr>
      <w:r>
        <w:rPr>
          <w:rFonts w:hint="eastAsia" w:ascii="宋体" w:hAnsi="宋体" w:eastAsia="宋体" w:cs="宋体"/>
          <w:b w:val="0"/>
          <w:bCs w:val="0"/>
          <w:sz w:val="28"/>
          <w:szCs w:val="28"/>
          <w:highlight w:val="none"/>
          <w:u w:val="none"/>
          <w:lang w:val="en-US" w:eastAsia="zh-CN"/>
        </w:rPr>
        <w:t>2.1乙方承诺其资质符合</w:t>
      </w:r>
      <w:r>
        <w:rPr>
          <w:rFonts w:hint="eastAsia" w:ascii="宋体" w:hAnsi="宋体" w:eastAsia="宋体" w:cs="宋体"/>
          <w:b w:val="0"/>
          <w:bCs w:val="0"/>
          <w:sz w:val="28"/>
          <w:szCs w:val="28"/>
          <w:highlight w:val="none"/>
          <w:u w:val="single"/>
          <w:lang w:val="en-US" w:eastAsia="zh-CN"/>
        </w:rPr>
        <w:t xml:space="preserve">          </w:t>
      </w:r>
      <w:r>
        <w:rPr>
          <w:rFonts w:hint="eastAsia" w:ascii="宋体" w:hAnsi="宋体" w:eastAsia="宋体" w:cs="宋体"/>
          <w:b w:val="0"/>
          <w:bCs w:val="0"/>
          <w:sz w:val="28"/>
          <w:szCs w:val="28"/>
          <w:highlight w:val="none"/>
          <w:u w:val="none"/>
          <w:lang w:val="en-US" w:eastAsia="zh-CN"/>
        </w:rPr>
        <w:t>年生活物资采购项目代理编号                       )中对于申请人的资格的要求，保证商品质量符合《中华人民共和国食品安全法》、《中华人民共和国产品质量法》等国家法规及相关商品的国家标准、地方标准、行业标准等规范要求。各标准不相同的，以较高者为准。</w:t>
      </w:r>
    </w:p>
    <w:p w14:paraId="606C7E90">
      <w:pPr>
        <w:ind w:firstLine="560" w:firstLineChars="200"/>
        <w:jc w:val="both"/>
        <w:rPr>
          <w:rFonts w:hint="eastAsia" w:ascii="宋体" w:hAnsi="宋体" w:eastAsia="宋体" w:cs="宋体"/>
          <w:b w:val="0"/>
          <w:bCs w:val="0"/>
          <w:sz w:val="28"/>
          <w:szCs w:val="28"/>
          <w:highlight w:val="none"/>
          <w:u w:val="none"/>
          <w:lang w:val="en-US" w:eastAsia="zh-CN"/>
        </w:rPr>
      </w:pPr>
      <w:r>
        <w:rPr>
          <w:rFonts w:hint="eastAsia" w:ascii="宋体" w:hAnsi="宋体" w:eastAsia="宋体" w:cs="宋体"/>
          <w:b w:val="0"/>
          <w:bCs w:val="0"/>
          <w:sz w:val="28"/>
          <w:szCs w:val="28"/>
          <w:highlight w:val="none"/>
          <w:u w:val="none"/>
          <w:lang w:val="en-US" w:eastAsia="zh-CN"/>
        </w:rPr>
        <w:t>2.2鲜肉表面应微干或湿润，有光泽，肌肉纤维清晰，按压后凹陷迅速恢复，无异味、无黏液、无霉点。每批送货附《动物产品检疫合格证书》《肉品品质检验合格证书》。鲜肉运输时，冷藏车中心温度应保持在0-4°C。</w:t>
      </w:r>
    </w:p>
    <w:p w14:paraId="1BE4BA4F">
      <w:pPr>
        <w:ind w:firstLine="562" w:firstLineChars="200"/>
        <w:jc w:val="both"/>
        <w:rPr>
          <w:rFonts w:hint="eastAsia" w:ascii="宋体" w:hAnsi="宋体" w:eastAsia="宋体" w:cs="宋体"/>
          <w:b/>
          <w:bCs/>
          <w:sz w:val="28"/>
          <w:szCs w:val="28"/>
          <w:highlight w:val="none"/>
          <w:u w:val="none"/>
          <w:lang w:val="en-US" w:eastAsia="zh-CN"/>
        </w:rPr>
      </w:pPr>
      <w:r>
        <w:rPr>
          <w:rFonts w:hint="eastAsia" w:ascii="宋体" w:hAnsi="宋体" w:eastAsia="宋体" w:cs="宋体"/>
          <w:b/>
          <w:bCs/>
          <w:sz w:val="28"/>
          <w:szCs w:val="28"/>
          <w:highlight w:val="none"/>
          <w:u w:val="none"/>
          <w:lang w:val="en-US" w:eastAsia="zh-CN"/>
        </w:rPr>
        <w:t>第三条 包装要求</w:t>
      </w:r>
    </w:p>
    <w:p w14:paraId="4F7AD4DC">
      <w:pPr>
        <w:ind w:firstLine="560" w:firstLineChars="200"/>
        <w:jc w:val="both"/>
        <w:rPr>
          <w:rFonts w:hint="eastAsia" w:ascii="宋体" w:hAnsi="宋体" w:eastAsia="宋体" w:cs="宋体"/>
          <w:b w:val="0"/>
          <w:bCs w:val="0"/>
          <w:sz w:val="28"/>
          <w:szCs w:val="28"/>
          <w:highlight w:val="none"/>
          <w:u w:val="none"/>
          <w:lang w:val="en-US" w:eastAsia="zh-CN"/>
        </w:rPr>
      </w:pPr>
      <w:r>
        <w:rPr>
          <w:rFonts w:hint="eastAsia" w:ascii="宋体" w:hAnsi="宋体" w:eastAsia="宋体" w:cs="宋体"/>
          <w:b w:val="0"/>
          <w:bCs w:val="0"/>
          <w:sz w:val="28"/>
          <w:szCs w:val="28"/>
          <w:highlight w:val="none"/>
          <w:u w:val="none"/>
          <w:lang w:val="en-US" w:eastAsia="zh-CN"/>
        </w:rPr>
        <w:t>3.1乙方供应给甲方的产品在外包装上应注明产品名称、规格、产品批准号、生产厂名、地址和联系方式、生产日期、保质期、净含量、贮存条件、食品生产许可证编号、产品标准代号及其他国家法规规定应当标示的内容。若乙方包装标识不合法或与实际产品不符，甲方有权退回当批次全部货物，并要求乙方赔偿因此给甲方造成的一切损失。</w:t>
      </w:r>
    </w:p>
    <w:p w14:paraId="02315DE7">
      <w:pPr>
        <w:ind w:firstLine="560" w:firstLineChars="200"/>
        <w:jc w:val="both"/>
        <w:rPr>
          <w:rFonts w:hint="eastAsia" w:ascii="宋体" w:hAnsi="宋体" w:eastAsia="宋体" w:cs="宋体"/>
          <w:b w:val="0"/>
          <w:bCs w:val="0"/>
          <w:sz w:val="28"/>
          <w:szCs w:val="28"/>
          <w:highlight w:val="none"/>
          <w:u w:val="none"/>
          <w:lang w:val="en-US" w:eastAsia="zh-CN"/>
        </w:rPr>
      </w:pPr>
      <w:r>
        <w:rPr>
          <w:rFonts w:hint="eastAsia" w:ascii="宋体" w:hAnsi="宋体" w:eastAsia="宋体" w:cs="宋体"/>
          <w:b w:val="0"/>
          <w:bCs w:val="0"/>
          <w:sz w:val="28"/>
          <w:szCs w:val="28"/>
          <w:highlight w:val="none"/>
          <w:u w:val="none"/>
          <w:lang w:val="en-US" w:eastAsia="zh-CN"/>
        </w:rPr>
        <w:t>3.2商品包装须按国家有关规定或采用适宜运输与保证质量的包装，包装符合安全、环保、卫生标准。因包装不善造成的商品毁损、灭失，由乙方承担责任。</w:t>
      </w:r>
    </w:p>
    <w:p w14:paraId="1088A30F">
      <w:pPr>
        <w:ind w:firstLine="562" w:firstLineChars="200"/>
        <w:jc w:val="both"/>
        <w:rPr>
          <w:rFonts w:hint="eastAsia" w:ascii="宋体" w:hAnsi="宋体" w:eastAsia="宋体" w:cs="宋体"/>
          <w:b/>
          <w:bCs/>
          <w:sz w:val="28"/>
          <w:szCs w:val="28"/>
          <w:highlight w:val="none"/>
          <w:u w:val="none"/>
          <w:lang w:val="en-US" w:eastAsia="zh-CN"/>
        </w:rPr>
      </w:pPr>
      <w:r>
        <w:rPr>
          <w:rFonts w:hint="eastAsia" w:ascii="宋体" w:hAnsi="宋体" w:eastAsia="宋体" w:cs="宋体"/>
          <w:b/>
          <w:bCs/>
          <w:sz w:val="28"/>
          <w:szCs w:val="28"/>
          <w:highlight w:val="none"/>
          <w:u w:val="none"/>
          <w:lang w:val="en-US" w:eastAsia="zh-CN"/>
        </w:rPr>
        <w:t>第四条 商品供货方式</w:t>
      </w:r>
    </w:p>
    <w:p w14:paraId="23037816">
      <w:pPr>
        <w:ind w:firstLine="560" w:firstLineChars="200"/>
        <w:jc w:val="both"/>
        <w:rPr>
          <w:rFonts w:hint="eastAsia" w:ascii="宋体" w:hAnsi="宋体" w:eastAsia="宋体" w:cs="宋体"/>
          <w:b w:val="0"/>
          <w:bCs w:val="0"/>
          <w:sz w:val="28"/>
          <w:szCs w:val="28"/>
          <w:highlight w:val="none"/>
          <w:u w:val="none"/>
          <w:lang w:val="en-US" w:eastAsia="zh-CN"/>
        </w:rPr>
      </w:pPr>
      <w:r>
        <w:rPr>
          <w:rFonts w:hint="eastAsia" w:ascii="宋体" w:hAnsi="宋体" w:eastAsia="宋体" w:cs="宋体"/>
          <w:b w:val="0"/>
          <w:bCs w:val="0"/>
          <w:sz w:val="28"/>
          <w:szCs w:val="28"/>
          <w:highlight w:val="none"/>
          <w:u w:val="none"/>
          <w:lang w:val="en-US" w:eastAsia="zh-CN"/>
        </w:rPr>
        <w:t>4.1合同期内，甲方以传真、电话、微信等方式向乙方发出订货通知，乙方收到订货通知24小时内及时确认答复，乙方24小时内没有回复的，也视为收到订货通知且应按甲方通知时间将商品送至甲方办公地点或其他甲方指定地点，商品交付甲方验收合格前毁损、灭失的风险均由乙方承担。</w:t>
      </w:r>
    </w:p>
    <w:p w14:paraId="4DF0F5E4">
      <w:pPr>
        <w:ind w:firstLine="560" w:firstLineChars="200"/>
        <w:jc w:val="both"/>
        <w:rPr>
          <w:rFonts w:hint="eastAsia" w:ascii="宋体" w:hAnsi="宋体" w:eastAsia="宋体" w:cs="宋体"/>
          <w:b w:val="0"/>
          <w:bCs w:val="0"/>
          <w:sz w:val="28"/>
          <w:szCs w:val="28"/>
          <w:highlight w:val="none"/>
          <w:u w:val="none"/>
          <w:lang w:val="en-US" w:eastAsia="zh-CN"/>
        </w:rPr>
      </w:pPr>
      <w:r>
        <w:rPr>
          <w:rFonts w:hint="eastAsia" w:ascii="宋体" w:hAnsi="宋体" w:eastAsia="宋体" w:cs="宋体"/>
          <w:b w:val="0"/>
          <w:bCs w:val="0"/>
          <w:sz w:val="28"/>
          <w:szCs w:val="28"/>
          <w:highlight w:val="none"/>
          <w:u w:val="none"/>
          <w:lang w:val="en-US" w:eastAsia="zh-CN"/>
        </w:rPr>
        <w:t>4.2乙方指定经办人:</w:t>
      </w:r>
      <w:r>
        <w:rPr>
          <w:rFonts w:hint="eastAsia" w:ascii="宋体" w:hAnsi="宋体" w:eastAsia="宋体" w:cs="宋体"/>
          <w:b w:val="0"/>
          <w:bCs w:val="0"/>
          <w:sz w:val="28"/>
          <w:szCs w:val="28"/>
          <w:highlight w:val="none"/>
          <w:u w:val="single"/>
          <w:lang w:val="en-US" w:eastAsia="zh-CN"/>
        </w:rPr>
        <w:t xml:space="preserve">          </w:t>
      </w:r>
      <w:r>
        <w:rPr>
          <w:rFonts w:hint="eastAsia" w:ascii="宋体" w:hAnsi="宋体" w:eastAsia="宋体" w:cs="宋体"/>
          <w:b w:val="0"/>
          <w:bCs w:val="0"/>
          <w:sz w:val="28"/>
          <w:szCs w:val="28"/>
          <w:highlight w:val="none"/>
          <w:u w:val="none"/>
          <w:lang w:val="en-US" w:eastAsia="zh-CN"/>
        </w:rPr>
        <w:t>，联系电话:</w:t>
      </w:r>
      <w:r>
        <w:rPr>
          <w:rFonts w:hint="eastAsia" w:ascii="宋体" w:hAnsi="宋体" w:eastAsia="宋体" w:cs="宋体"/>
          <w:b w:val="0"/>
          <w:bCs w:val="0"/>
          <w:sz w:val="28"/>
          <w:szCs w:val="28"/>
          <w:highlight w:val="none"/>
          <w:u w:val="single"/>
          <w:lang w:val="en-US" w:eastAsia="zh-CN"/>
        </w:rPr>
        <w:t xml:space="preserve">          </w:t>
      </w:r>
      <w:r>
        <w:rPr>
          <w:rFonts w:hint="eastAsia" w:ascii="宋体" w:hAnsi="宋体" w:eastAsia="宋体" w:cs="宋体"/>
          <w:b w:val="0"/>
          <w:bCs w:val="0"/>
          <w:sz w:val="28"/>
          <w:szCs w:val="28"/>
          <w:highlight w:val="none"/>
          <w:u w:val="none"/>
          <w:lang w:val="en-US" w:eastAsia="zh-CN"/>
        </w:rPr>
        <w:t>;与甲方沟通订货事宜，如果乙方没有经过甲方通知或认可，不按订货通知的要求擅自送货的，甲方有权拒绝收货。乙方更换经办人的，需提前5天通知甲方，若乙方迟延通知或者未通知甲方由此造成的甲方损失由乙方承担。如甲方发现货物不符合本合同约定或有残次品或瑕疵货物的，有权拒收，乙方应在甲方要求的期限内将残次品、瑕疵货物及不符合合同约定的货物予以更换，更换的货物交付时甲方重新验收，如逾期交货，乙方应承担逾期交货的违约责任。</w:t>
      </w:r>
    </w:p>
    <w:p w14:paraId="2098FB31">
      <w:pPr>
        <w:ind w:firstLine="560" w:firstLineChars="200"/>
        <w:jc w:val="both"/>
        <w:rPr>
          <w:rFonts w:hint="eastAsia" w:ascii="宋体" w:hAnsi="宋体" w:eastAsia="宋体" w:cs="宋体"/>
          <w:b w:val="0"/>
          <w:bCs w:val="0"/>
          <w:sz w:val="28"/>
          <w:szCs w:val="28"/>
          <w:highlight w:val="none"/>
          <w:u w:val="none"/>
          <w:lang w:val="en-US" w:eastAsia="zh-CN"/>
        </w:rPr>
      </w:pPr>
      <w:r>
        <w:rPr>
          <w:rFonts w:hint="eastAsia" w:ascii="宋体" w:hAnsi="宋体" w:eastAsia="宋体" w:cs="宋体"/>
          <w:b w:val="0"/>
          <w:bCs w:val="0"/>
          <w:sz w:val="28"/>
          <w:szCs w:val="28"/>
          <w:highlight w:val="none"/>
          <w:u w:val="none"/>
          <w:lang w:val="en-US" w:eastAsia="zh-CN"/>
        </w:rPr>
        <w:t>4.3如甲方已发出订货通知，如需要变更交货时间、数量的，甲方提前通知乙方，乙方按照变更后的时间、数量交货。</w:t>
      </w:r>
    </w:p>
    <w:p w14:paraId="65D5B30D">
      <w:pPr>
        <w:ind w:firstLine="562" w:firstLineChars="200"/>
        <w:jc w:val="both"/>
        <w:rPr>
          <w:rFonts w:hint="eastAsia" w:ascii="宋体" w:hAnsi="宋体" w:eastAsia="宋体" w:cs="宋体"/>
          <w:b/>
          <w:bCs/>
          <w:sz w:val="28"/>
          <w:szCs w:val="28"/>
          <w:highlight w:val="none"/>
          <w:u w:val="none"/>
          <w:lang w:val="en-US" w:eastAsia="zh-CN"/>
        </w:rPr>
      </w:pPr>
      <w:r>
        <w:rPr>
          <w:rFonts w:hint="eastAsia" w:ascii="宋体" w:hAnsi="宋体" w:eastAsia="宋体" w:cs="宋体"/>
          <w:b/>
          <w:bCs/>
          <w:sz w:val="28"/>
          <w:szCs w:val="28"/>
          <w:highlight w:val="none"/>
          <w:u w:val="none"/>
          <w:lang w:val="en-US" w:eastAsia="zh-CN"/>
        </w:rPr>
        <w:t>第五条 合同有效期及供货确认要求</w:t>
      </w:r>
    </w:p>
    <w:p w14:paraId="2FFC8EFA">
      <w:pPr>
        <w:ind w:firstLine="560" w:firstLineChars="200"/>
        <w:jc w:val="both"/>
        <w:rPr>
          <w:rFonts w:hint="eastAsia" w:ascii="宋体" w:hAnsi="宋体" w:eastAsia="宋体" w:cs="宋体"/>
          <w:b w:val="0"/>
          <w:bCs w:val="0"/>
          <w:sz w:val="28"/>
          <w:szCs w:val="28"/>
          <w:highlight w:val="none"/>
          <w:u w:val="none"/>
          <w:lang w:val="en-US" w:eastAsia="zh-CN"/>
        </w:rPr>
      </w:pPr>
      <w:r>
        <w:rPr>
          <w:rFonts w:hint="eastAsia" w:ascii="宋体" w:hAnsi="宋体" w:eastAsia="宋体" w:cs="宋体"/>
          <w:b w:val="0"/>
          <w:bCs w:val="0"/>
          <w:sz w:val="28"/>
          <w:szCs w:val="28"/>
          <w:highlight w:val="none"/>
          <w:u w:val="none"/>
          <w:lang w:val="en-US" w:eastAsia="zh-CN"/>
        </w:rPr>
        <w:t>自年月日至年月日止，甲方采购商品的数量以合同有效期内甲方记录实收数量为准。合同开始试用期3个月(包含在1年期限内)，经甲方确认后，进入合同期，试用期有任何不符合合同约定的行为或货物质量问题或过期临期食品，本合同终止，因合同终止给乙方带来的损失，甲方不承担任何责任。</w:t>
      </w:r>
    </w:p>
    <w:p w14:paraId="649A7F13">
      <w:pPr>
        <w:ind w:firstLine="560" w:firstLineChars="200"/>
        <w:jc w:val="both"/>
        <w:rPr>
          <w:rFonts w:hint="eastAsia" w:ascii="宋体" w:hAnsi="宋体" w:eastAsia="宋体" w:cs="宋体"/>
          <w:b w:val="0"/>
          <w:bCs w:val="0"/>
          <w:sz w:val="28"/>
          <w:szCs w:val="28"/>
          <w:highlight w:val="none"/>
          <w:u w:val="none"/>
          <w:lang w:val="en-US" w:eastAsia="zh-CN"/>
        </w:rPr>
      </w:pPr>
      <w:r>
        <w:rPr>
          <w:rFonts w:hint="eastAsia" w:ascii="宋体" w:hAnsi="宋体" w:eastAsia="宋体" w:cs="宋体"/>
          <w:b w:val="0"/>
          <w:bCs w:val="0"/>
          <w:sz w:val="28"/>
          <w:szCs w:val="28"/>
          <w:highlight w:val="none"/>
          <w:u w:val="none"/>
          <w:lang w:val="en-US" w:eastAsia="zh-CN"/>
        </w:rPr>
        <w:t>乙方根据甲方要求要将每一批次供货单(送货单)上写明货物名称、单位、规格、单价(毛重或者净重价格标清楚)、数量、金额、产地等信息，甲方将抽查或者逐一核对的方式对本批次货物进行查验，检验合格后签字确认入库。</w:t>
      </w:r>
    </w:p>
    <w:p w14:paraId="08232F5B">
      <w:pPr>
        <w:keepNext w:val="0"/>
        <w:keepLines w:val="0"/>
        <w:pageBreakBefore w:val="0"/>
        <w:widowControl w:val="0"/>
        <w:numPr>
          <w:ilvl w:val="0"/>
          <w:numId w:val="1"/>
        </w:numPr>
        <w:kinsoku/>
        <w:wordWrap/>
        <w:overflowPunct/>
        <w:topLinePunct w:val="0"/>
        <w:autoSpaceDE/>
        <w:autoSpaceDN/>
        <w:bidi w:val="0"/>
        <w:adjustRightInd/>
        <w:snapToGrid/>
        <w:ind w:left="298" w:leftChars="142" w:firstLine="256" w:firstLineChars="91"/>
        <w:jc w:val="both"/>
        <w:textAlignment w:val="auto"/>
        <w:rPr>
          <w:rFonts w:hint="eastAsia" w:ascii="宋体" w:hAnsi="宋体" w:eastAsia="宋体" w:cs="宋体"/>
          <w:b/>
          <w:bCs/>
          <w:sz w:val="28"/>
          <w:szCs w:val="28"/>
          <w:highlight w:val="none"/>
          <w:u w:val="none"/>
          <w:lang w:val="en-US" w:eastAsia="zh-CN"/>
        </w:rPr>
      </w:pPr>
      <w:r>
        <w:rPr>
          <w:rFonts w:hint="eastAsia" w:ascii="宋体" w:hAnsi="宋体" w:eastAsia="宋体" w:cs="宋体"/>
          <w:b/>
          <w:bCs/>
          <w:sz w:val="28"/>
          <w:szCs w:val="28"/>
          <w:highlight w:val="none"/>
          <w:u w:val="none"/>
          <w:lang w:val="en-US" w:eastAsia="zh-CN"/>
        </w:rPr>
        <w:t>商品验收</w:t>
      </w:r>
    </w:p>
    <w:p w14:paraId="44AFD234">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val="0"/>
          <w:sz w:val="28"/>
          <w:szCs w:val="28"/>
          <w:highlight w:val="none"/>
          <w:u w:val="none"/>
          <w:lang w:val="en-US" w:eastAsia="zh-CN"/>
        </w:rPr>
      </w:pPr>
      <w:r>
        <w:rPr>
          <w:rFonts w:hint="eastAsia" w:ascii="宋体" w:hAnsi="宋体" w:eastAsia="宋体" w:cs="宋体"/>
          <w:b w:val="0"/>
          <w:bCs w:val="0"/>
          <w:sz w:val="28"/>
          <w:szCs w:val="28"/>
          <w:highlight w:val="none"/>
          <w:u w:val="none"/>
          <w:lang w:val="en-US" w:eastAsia="zh-CN"/>
        </w:rPr>
        <w:t>6.1乙方应严格执行供货周期，保质、保量的完成商品的供货。在每批次商品到达指定地点后，甲方进行验收。甲方在验收过程中发现商品品种、质量等级、包装、规格、数量不符合合同约定的，甲方有权拒收，要求乙方在3日内无条件更换、补足。因质量问题或未按期交货，耽误甲方使用或造成损失的，乙方应当承担违约责任(参照本合同第八条)。</w:t>
      </w:r>
    </w:p>
    <w:p w14:paraId="3E7AE4C6">
      <w:pPr>
        <w:ind w:firstLine="560" w:firstLineChars="200"/>
        <w:jc w:val="both"/>
        <w:rPr>
          <w:rFonts w:hint="eastAsia" w:ascii="宋体" w:hAnsi="宋体" w:eastAsia="宋体" w:cs="宋体"/>
          <w:b w:val="0"/>
          <w:bCs w:val="0"/>
          <w:sz w:val="28"/>
          <w:szCs w:val="28"/>
          <w:highlight w:val="none"/>
          <w:u w:val="none"/>
          <w:lang w:val="en-US" w:eastAsia="zh-CN"/>
        </w:rPr>
      </w:pPr>
      <w:r>
        <w:rPr>
          <w:rFonts w:hint="eastAsia" w:ascii="宋体" w:hAnsi="宋体" w:eastAsia="宋体" w:cs="宋体"/>
          <w:b w:val="0"/>
          <w:bCs w:val="0"/>
          <w:sz w:val="28"/>
          <w:szCs w:val="28"/>
          <w:highlight w:val="none"/>
          <w:u w:val="none"/>
          <w:lang w:val="en-US" w:eastAsia="zh-CN"/>
        </w:rPr>
        <w:t>6.2乙方随货要提供每批商品的有效质量合格证明，该质量合格证明应列明该批次商品的产地、数量、品种明细。每批次商品到货日期应在生产日期+1/3保质期内或交付时质量合格证明剩余有效期限不低于五分之四，并且包装外应贴有相应的质量合格证明标签号，如乙方货到后质量合格证明超过有效期或有效期内商品出现任何质量问题，甲方有权要求当日内换货或有权拒收该批商品、拒付货款。</w:t>
      </w:r>
    </w:p>
    <w:p w14:paraId="67C2DD46">
      <w:pPr>
        <w:ind w:firstLine="560" w:firstLineChars="200"/>
        <w:jc w:val="both"/>
        <w:rPr>
          <w:rFonts w:hint="eastAsia" w:ascii="宋体" w:hAnsi="宋体" w:eastAsia="宋体" w:cs="宋体"/>
          <w:b w:val="0"/>
          <w:bCs w:val="0"/>
          <w:sz w:val="28"/>
          <w:szCs w:val="28"/>
          <w:highlight w:val="none"/>
          <w:u w:val="none"/>
          <w:lang w:val="en-US" w:eastAsia="zh-CN"/>
        </w:rPr>
      </w:pPr>
      <w:r>
        <w:rPr>
          <w:rFonts w:hint="eastAsia" w:ascii="宋体" w:hAnsi="宋体" w:eastAsia="宋体" w:cs="宋体"/>
          <w:b w:val="0"/>
          <w:bCs w:val="0"/>
          <w:sz w:val="28"/>
          <w:szCs w:val="28"/>
          <w:highlight w:val="none"/>
          <w:u w:val="none"/>
          <w:lang w:val="en-US" w:eastAsia="zh-CN"/>
        </w:rPr>
        <w:t>6.3乙方随货要提供该批次商品与生产日期相对应的出厂检验报告，出厂检验报告必须有相关质量检测项目，如乙方不能提供该出厂检验报告，甲方有权拒收该批商品。乙方应根据甲方的需要提供有效的质量安全检测报告，如乙方未能及时提供第三方有效的质量安全检测报告，甲方可以送样检验，所产生的费用由乙方承担，质量检验不合格的，乙方应当在当日内更换符合本合同要求的合格商品，因此延误交货期的，乙方按照本合同约定承担相应的违约责任。</w:t>
      </w:r>
    </w:p>
    <w:p w14:paraId="048F800E">
      <w:pPr>
        <w:ind w:firstLine="562" w:firstLineChars="200"/>
        <w:jc w:val="both"/>
        <w:rPr>
          <w:rFonts w:hint="eastAsia" w:ascii="宋体" w:hAnsi="宋体" w:eastAsia="宋体" w:cs="宋体"/>
          <w:b/>
          <w:bCs/>
          <w:sz w:val="28"/>
          <w:szCs w:val="28"/>
          <w:highlight w:val="none"/>
          <w:u w:val="none"/>
          <w:lang w:val="en-US" w:eastAsia="zh-CN"/>
        </w:rPr>
      </w:pPr>
      <w:r>
        <w:rPr>
          <w:rFonts w:hint="eastAsia" w:ascii="宋体" w:hAnsi="宋体" w:eastAsia="宋体" w:cs="宋体"/>
          <w:b/>
          <w:bCs/>
          <w:sz w:val="28"/>
          <w:szCs w:val="28"/>
          <w:highlight w:val="none"/>
          <w:u w:val="none"/>
          <w:lang w:val="en-US" w:eastAsia="zh-CN"/>
        </w:rPr>
        <w:t>第七条货款及结算方式</w:t>
      </w:r>
    </w:p>
    <w:p w14:paraId="4FAC321E">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val="0"/>
          <w:sz w:val="28"/>
          <w:szCs w:val="28"/>
          <w:highlight w:val="none"/>
          <w:u w:val="none"/>
          <w:lang w:val="en-US" w:eastAsia="zh-CN"/>
        </w:rPr>
      </w:pPr>
      <w:r>
        <w:rPr>
          <w:rFonts w:hint="eastAsia" w:ascii="宋体" w:hAnsi="宋体" w:eastAsia="宋体" w:cs="宋体"/>
          <w:b w:val="0"/>
          <w:bCs w:val="0"/>
          <w:sz w:val="28"/>
          <w:szCs w:val="28"/>
          <w:highlight w:val="none"/>
          <w:u w:val="none"/>
          <w:lang w:val="en-US" w:eastAsia="zh-CN"/>
        </w:rPr>
        <w:t>7.1本合同商品价格已包含但不限于成本、利润、税金、验收、保险、运输、因质量问题引起的更换等乙方完成本合同义务甲方应当支付的全部费用。</w:t>
      </w:r>
    </w:p>
    <w:p w14:paraId="1756C986">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val="0"/>
          <w:sz w:val="28"/>
          <w:szCs w:val="28"/>
          <w:highlight w:val="none"/>
          <w:u w:val="none"/>
          <w:lang w:val="en-US" w:eastAsia="zh-CN"/>
        </w:rPr>
      </w:pPr>
      <w:r>
        <w:rPr>
          <w:rFonts w:hint="eastAsia" w:ascii="宋体" w:hAnsi="宋体" w:eastAsia="宋体" w:cs="宋体"/>
          <w:b w:val="0"/>
          <w:bCs w:val="0"/>
          <w:sz w:val="28"/>
          <w:szCs w:val="28"/>
          <w:highlight w:val="none"/>
          <w:u w:val="none"/>
          <w:lang w:val="en-US" w:eastAsia="zh-CN"/>
        </w:rPr>
        <w:t>7.2乙方每次随货的送货清单，经甲方指定人员验货后签字确定;甲乙双方各执一份，以此作为结算时的数量依据</w:t>
      </w:r>
    </w:p>
    <w:p w14:paraId="7761FE5D">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val="0"/>
          <w:sz w:val="28"/>
          <w:szCs w:val="28"/>
          <w:highlight w:val="none"/>
          <w:u w:val="none"/>
          <w:lang w:val="en-US" w:eastAsia="zh-CN"/>
        </w:rPr>
      </w:pPr>
      <w:r>
        <w:rPr>
          <w:rFonts w:hint="eastAsia" w:ascii="宋体" w:hAnsi="宋体" w:eastAsia="宋体" w:cs="宋体"/>
          <w:b w:val="0"/>
          <w:bCs w:val="0"/>
          <w:sz w:val="28"/>
          <w:szCs w:val="28"/>
          <w:highlight w:val="none"/>
          <w:u w:val="none"/>
          <w:lang w:val="en-US" w:eastAsia="zh-CN"/>
        </w:rPr>
        <w:t>7.3双方按照确认的送货单进行收验货物及对账，乙方需开具普通增值税发票，在乙方提供合法发票后天内支付货款。乙方如遇特殊情况未能在规定的时段对账，可与甲方协商解决。甲方根据实际情况给乙方付款。</w:t>
      </w:r>
    </w:p>
    <w:p w14:paraId="265225C3">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val="0"/>
          <w:sz w:val="28"/>
          <w:szCs w:val="28"/>
          <w:highlight w:val="none"/>
          <w:u w:val="none"/>
          <w:lang w:val="en-US" w:eastAsia="zh-CN"/>
        </w:rPr>
      </w:pPr>
      <w:r>
        <w:rPr>
          <w:rFonts w:hint="eastAsia" w:ascii="宋体" w:hAnsi="宋体" w:eastAsia="宋体" w:cs="宋体"/>
          <w:b w:val="0"/>
          <w:bCs w:val="0"/>
          <w:sz w:val="28"/>
          <w:szCs w:val="28"/>
          <w:highlight w:val="none"/>
          <w:u w:val="none"/>
          <w:lang w:val="en-US" w:eastAsia="zh-CN"/>
        </w:rPr>
        <w:t>7.4“先票后款”是本合同结算的重要方式，发票认证通过是付款的必要前提之一，甲方经验收后一次性付款前，乙方应向甲方提供税务发票，甲方接收发票后应尽快启动内部审批流程，审批流程完毕后向乙方支付价款。但如乙方不开发票或者发票不合格，甲方有权延迟启动内部审批流程直至乙方开具合格发票之日，且不承担任何违约责任，乙方的各项合同义务仍应按合同约定履行。如对费用结算有异议，应在收到甲方通知后两个工作日内提出异议，否则视为接受。</w:t>
      </w:r>
    </w:p>
    <w:p w14:paraId="2AA9B8BB">
      <w:pPr>
        <w:keepNext w:val="0"/>
        <w:keepLines w:val="0"/>
        <w:pageBreakBefore w:val="0"/>
        <w:widowControl w:val="0"/>
        <w:numPr>
          <w:ilvl w:val="0"/>
          <w:numId w:val="2"/>
        </w:numPr>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val="0"/>
          <w:sz w:val="28"/>
          <w:szCs w:val="28"/>
          <w:highlight w:val="none"/>
          <w:u w:val="none"/>
          <w:lang w:val="en-US" w:eastAsia="zh-CN"/>
        </w:rPr>
      </w:pPr>
      <w:r>
        <w:rPr>
          <w:rFonts w:hint="eastAsia" w:ascii="宋体" w:hAnsi="宋体" w:eastAsia="宋体" w:cs="宋体"/>
          <w:b w:val="0"/>
          <w:bCs w:val="0"/>
          <w:sz w:val="28"/>
          <w:szCs w:val="28"/>
          <w:highlight w:val="none"/>
          <w:u w:val="none"/>
          <w:lang w:val="en-US" w:eastAsia="zh-CN"/>
        </w:rPr>
        <w:t>商品市场价格如有下调，甲方有权提出价格调整，乙方同意的，双方签订书面的调价补充协议，乙方不同意降价的，甲方有权提前解除本合同另行与第三方合作，甲方无需承担任何违约赔偿责任。</w:t>
      </w:r>
    </w:p>
    <w:p w14:paraId="3E44887D">
      <w:pPr>
        <w:keepNext w:val="0"/>
        <w:keepLines w:val="0"/>
        <w:pageBreakBefore w:val="0"/>
        <w:widowControl w:val="0"/>
        <w:numPr>
          <w:ilvl w:val="0"/>
          <w:numId w:val="2"/>
        </w:numPr>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val="0"/>
          <w:sz w:val="28"/>
          <w:szCs w:val="28"/>
          <w:highlight w:val="none"/>
          <w:u w:val="none"/>
          <w:lang w:val="en-US" w:eastAsia="zh-CN"/>
        </w:rPr>
      </w:pPr>
      <w:r>
        <w:rPr>
          <w:rFonts w:hint="eastAsia" w:ascii="宋体" w:hAnsi="宋体" w:eastAsia="宋体" w:cs="宋体"/>
          <w:b w:val="0"/>
          <w:bCs w:val="0"/>
          <w:sz w:val="28"/>
          <w:szCs w:val="28"/>
          <w:highlight w:val="none"/>
          <w:u w:val="none"/>
          <w:lang w:val="en-US" w:eastAsia="zh-CN"/>
        </w:rPr>
        <w:t>双方同意调价的，以签订书面调价补充协议为准，调价补充协议签订前已送货物按调价前的价格计算，签订后运送的货物按补充协议约定价格结算。</w:t>
      </w:r>
    </w:p>
    <w:p w14:paraId="55AAA2E1">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val="0"/>
          <w:sz w:val="28"/>
          <w:szCs w:val="28"/>
          <w:highlight w:val="none"/>
          <w:u w:val="none"/>
          <w:lang w:val="en-US" w:eastAsia="zh-CN"/>
        </w:rPr>
      </w:pPr>
      <w:r>
        <w:rPr>
          <w:rFonts w:hint="eastAsia" w:ascii="宋体" w:hAnsi="宋体" w:eastAsia="宋体" w:cs="宋体"/>
          <w:b w:val="0"/>
          <w:bCs w:val="0"/>
          <w:sz w:val="28"/>
          <w:szCs w:val="28"/>
          <w:highlight w:val="none"/>
          <w:u w:val="none"/>
          <w:lang w:val="en-US" w:eastAsia="zh-CN"/>
        </w:rPr>
        <w:t>7.5 乙方指定账户:</w:t>
      </w:r>
    </w:p>
    <w:p w14:paraId="49F8A220">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default" w:ascii="宋体" w:hAnsi="宋体" w:eastAsia="宋体" w:cs="宋体"/>
          <w:b w:val="0"/>
          <w:bCs w:val="0"/>
          <w:sz w:val="28"/>
          <w:szCs w:val="28"/>
          <w:highlight w:val="none"/>
          <w:u w:val="single"/>
          <w:lang w:val="en-US" w:eastAsia="zh-CN"/>
        </w:rPr>
      </w:pPr>
      <w:r>
        <w:rPr>
          <w:rFonts w:hint="eastAsia" w:ascii="宋体" w:hAnsi="宋体" w:eastAsia="宋体" w:cs="宋体"/>
          <w:b w:val="0"/>
          <w:bCs w:val="0"/>
          <w:sz w:val="28"/>
          <w:szCs w:val="28"/>
          <w:highlight w:val="none"/>
          <w:u w:val="none"/>
          <w:lang w:val="en-US" w:eastAsia="zh-CN"/>
        </w:rPr>
        <w:t>开户行:</w:t>
      </w:r>
      <w:r>
        <w:rPr>
          <w:rFonts w:hint="eastAsia" w:ascii="宋体" w:hAnsi="宋体" w:eastAsia="宋体" w:cs="宋体"/>
          <w:b w:val="0"/>
          <w:bCs w:val="0"/>
          <w:sz w:val="28"/>
          <w:szCs w:val="28"/>
          <w:highlight w:val="none"/>
          <w:u w:val="single"/>
          <w:lang w:val="en-US" w:eastAsia="zh-CN"/>
        </w:rPr>
        <w:t xml:space="preserve">                             </w:t>
      </w:r>
    </w:p>
    <w:p w14:paraId="2476ED09">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val="0"/>
          <w:sz w:val="28"/>
          <w:szCs w:val="28"/>
          <w:highlight w:val="none"/>
          <w:u w:val="none"/>
          <w:lang w:val="en-US" w:eastAsia="zh-CN"/>
        </w:rPr>
      </w:pPr>
      <w:r>
        <w:rPr>
          <w:rFonts w:hint="eastAsia" w:ascii="宋体" w:hAnsi="宋体" w:eastAsia="宋体" w:cs="宋体"/>
          <w:b w:val="0"/>
          <w:bCs w:val="0"/>
          <w:sz w:val="28"/>
          <w:szCs w:val="28"/>
          <w:highlight w:val="none"/>
          <w:u w:val="none"/>
          <w:lang w:val="en-US" w:eastAsia="zh-CN"/>
        </w:rPr>
        <w:t>账户名:</w:t>
      </w:r>
      <w:r>
        <w:rPr>
          <w:rFonts w:hint="eastAsia" w:ascii="宋体" w:hAnsi="宋体" w:eastAsia="宋体" w:cs="宋体"/>
          <w:b w:val="0"/>
          <w:bCs w:val="0"/>
          <w:sz w:val="28"/>
          <w:szCs w:val="28"/>
          <w:highlight w:val="none"/>
          <w:u w:val="single"/>
          <w:lang w:val="en-US" w:eastAsia="zh-CN"/>
        </w:rPr>
        <w:t xml:space="preserve">                             </w:t>
      </w:r>
    </w:p>
    <w:p w14:paraId="29182D86">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val="0"/>
          <w:sz w:val="28"/>
          <w:szCs w:val="28"/>
          <w:highlight w:val="none"/>
          <w:u w:val="none"/>
          <w:lang w:val="en-US" w:eastAsia="zh-CN"/>
        </w:rPr>
      </w:pPr>
      <w:r>
        <w:rPr>
          <w:rFonts w:hint="eastAsia" w:ascii="宋体" w:hAnsi="宋体" w:eastAsia="宋体" w:cs="宋体"/>
          <w:b w:val="0"/>
          <w:bCs w:val="0"/>
          <w:sz w:val="28"/>
          <w:szCs w:val="28"/>
          <w:highlight w:val="none"/>
          <w:u w:val="none"/>
          <w:lang w:val="en-US" w:eastAsia="zh-CN"/>
        </w:rPr>
        <w:t>账  号:</w:t>
      </w:r>
      <w:r>
        <w:rPr>
          <w:rFonts w:hint="eastAsia" w:ascii="宋体" w:hAnsi="宋体" w:eastAsia="宋体" w:cs="宋体"/>
          <w:b w:val="0"/>
          <w:bCs w:val="0"/>
          <w:sz w:val="28"/>
          <w:szCs w:val="28"/>
          <w:highlight w:val="none"/>
          <w:u w:val="single"/>
          <w:lang w:val="en-US" w:eastAsia="zh-CN"/>
        </w:rPr>
        <w:t xml:space="preserve">                             </w:t>
      </w:r>
    </w:p>
    <w:p w14:paraId="4B96920E">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val="0"/>
          <w:sz w:val="28"/>
          <w:szCs w:val="28"/>
          <w:highlight w:val="none"/>
          <w:u w:val="none"/>
          <w:lang w:val="en-US" w:eastAsia="zh-CN"/>
        </w:rPr>
      </w:pPr>
      <w:r>
        <w:rPr>
          <w:rFonts w:hint="eastAsia" w:ascii="宋体" w:hAnsi="宋体" w:eastAsia="宋体" w:cs="宋体"/>
          <w:b w:val="0"/>
          <w:bCs w:val="0"/>
          <w:sz w:val="28"/>
          <w:szCs w:val="28"/>
          <w:highlight w:val="none"/>
          <w:u w:val="none"/>
          <w:lang w:val="en-US" w:eastAsia="zh-CN"/>
        </w:rPr>
        <w:t>乙方应对上述账户的真实性和有效性负责，如账户发生变更的，应在变更之日起3日内书面通知甲方，否则由此造成的损失由乙方自行负责。</w:t>
      </w:r>
    </w:p>
    <w:p w14:paraId="658618BA">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jc w:val="both"/>
        <w:textAlignment w:val="auto"/>
        <w:rPr>
          <w:rFonts w:hint="eastAsia" w:ascii="宋体" w:hAnsi="宋体" w:eastAsia="宋体" w:cs="宋体"/>
          <w:b w:val="0"/>
          <w:bCs w:val="0"/>
          <w:sz w:val="28"/>
          <w:szCs w:val="28"/>
          <w:highlight w:val="none"/>
          <w:u w:val="none"/>
          <w:lang w:val="en-US" w:eastAsia="zh-CN"/>
        </w:rPr>
      </w:pPr>
      <w:r>
        <w:rPr>
          <w:rFonts w:hint="eastAsia" w:ascii="宋体" w:hAnsi="宋体" w:eastAsia="宋体" w:cs="宋体"/>
          <w:b/>
          <w:bCs/>
          <w:sz w:val="28"/>
          <w:szCs w:val="28"/>
          <w:highlight w:val="none"/>
          <w:u w:val="none"/>
          <w:lang w:val="en-US" w:eastAsia="zh-CN"/>
        </w:rPr>
        <w:t>第八条违约责任</w:t>
      </w:r>
    </w:p>
    <w:p w14:paraId="5E76FF8D">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val="0"/>
          <w:sz w:val="28"/>
          <w:szCs w:val="28"/>
          <w:highlight w:val="none"/>
          <w:u w:val="none"/>
          <w:lang w:val="en-US" w:eastAsia="zh-CN"/>
        </w:rPr>
      </w:pPr>
      <w:r>
        <w:rPr>
          <w:rFonts w:hint="eastAsia" w:ascii="宋体" w:hAnsi="宋体" w:eastAsia="宋体" w:cs="宋体"/>
          <w:b w:val="0"/>
          <w:bCs w:val="0"/>
          <w:sz w:val="28"/>
          <w:szCs w:val="28"/>
          <w:highlight w:val="none"/>
          <w:u w:val="none"/>
          <w:lang w:val="en-US" w:eastAsia="zh-CN"/>
        </w:rPr>
        <w:t>8.1乙方交付的商品包括但不限于数量(包括多交或少交)、规格、质量标准等不符合合同约定的，甲方有权采取下列任意一种方式或同时采取几种方式追究乙方违约责任:</w:t>
      </w:r>
    </w:p>
    <w:p w14:paraId="778BF9B8">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val="0"/>
          <w:sz w:val="28"/>
          <w:szCs w:val="28"/>
          <w:highlight w:val="none"/>
          <w:u w:val="none"/>
          <w:lang w:val="en-US" w:eastAsia="zh-CN"/>
        </w:rPr>
      </w:pPr>
      <w:r>
        <w:rPr>
          <w:rFonts w:hint="eastAsia" w:ascii="宋体" w:hAnsi="宋体" w:eastAsia="宋体" w:cs="宋体"/>
          <w:b w:val="0"/>
          <w:bCs w:val="0"/>
          <w:sz w:val="28"/>
          <w:szCs w:val="28"/>
          <w:highlight w:val="none"/>
          <w:u w:val="none"/>
          <w:lang w:val="en-US" w:eastAsia="zh-CN"/>
        </w:rPr>
        <w:t>(1)拒收货物;</w:t>
      </w:r>
    </w:p>
    <w:p w14:paraId="3C319350">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val="0"/>
          <w:sz w:val="28"/>
          <w:szCs w:val="28"/>
          <w:highlight w:val="none"/>
          <w:u w:val="none"/>
          <w:lang w:val="en-US" w:eastAsia="zh-CN"/>
        </w:rPr>
      </w:pPr>
      <w:r>
        <w:rPr>
          <w:rFonts w:hint="eastAsia" w:ascii="宋体" w:hAnsi="宋体" w:eastAsia="宋体" w:cs="宋体"/>
          <w:b w:val="0"/>
          <w:bCs w:val="0"/>
          <w:sz w:val="28"/>
          <w:szCs w:val="28"/>
          <w:highlight w:val="none"/>
          <w:u w:val="none"/>
          <w:lang w:val="en-US" w:eastAsia="zh-CN"/>
        </w:rPr>
        <w:t>(2)要求换货或要求退货，乙方在甲方退货之日起三个工作日内退还甲方已付对应货款;</w:t>
      </w:r>
    </w:p>
    <w:p w14:paraId="2234F7A2">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val="0"/>
          <w:sz w:val="28"/>
          <w:szCs w:val="28"/>
          <w:highlight w:val="none"/>
          <w:u w:val="none"/>
          <w:lang w:val="en-US" w:eastAsia="zh-CN"/>
        </w:rPr>
      </w:pPr>
      <w:r>
        <w:rPr>
          <w:rFonts w:hint="eastAsia" w:ascii="宋体" w:hAnsi="宋体" w:eastAsia="宋体" w:cs="宋体"/>
          <w:b w:val="0"/>
          <w:bCs w:val="0"/>
          <w:sz w:val="28"/>
          <w:szCs w:val="28"/>
          <w:highlight w:val="none"/>
          <w:u w:val="none"/>
          <w:lang w:val="en-US" w:eastAsia="zh-CN"/>
        </w:rPr>
        <w:t>(3)要求乙方赔偿甲方由此而产生的全部损失。</w:t>
      </w:r>
    </w:p>
    <w:p w14:paraId="005A1894">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val="0"/>
          <w:sz w:val="28"/>
          <w:szCs w:val="28"/>
          <w:highlight w:val="none"/>
          <w:u w:val="none"/>
          <w:lang w:val="en-US" w:eastAsia="zh-CN"/>
        </w:rPr>
      </w:pPr>
      <w:r>
        <w:rPr>
          <w:rFonts w:hint="eastAsia" w:ascii="宋体" w:hAnsi="宋体" w:eastAsia="宋体" w:cs="宋体"/>
          <w:b w:val="0"/>
          <w:bCs w:val="0"/>
          <w:sz w:val="28"/>
          <w:szCs w:val="28"/>
          <w:highlight w:val="none"/>
          <w:u w:val="none"/>
          <w:lang w:val="en-US" w:eastAsia="zh-CN"/>
        </w:rPr>
        <w:t>(4)列入“黑名单”，3年内禁止乙方参与甲方的经营活动。</w:t>
      </w:r>
    </w:p>
    <w:p w14:paraId="11AE4637">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val="0"/>
          <w:sz w:val="28"/>
          <w:szCs w:val="28"/>
          <w:highlight w:val="none"/>
          <w:u w:val="none"/>
          <w:lang w:val="en-US" w:eastAsia="zh-CN"/>
        </w:rPr>
      </w:pPr>
      <w:r>
        <w:rPr>
          <w:rFonts w:hint="eastAsia" w:ascii="宋体" w:hAnsi="宋体" w:eastAsia="宋体" w:cs="宋体"/>
          <w:b w:val="0"/>
          <w:bCs w:val="0"/>
          <w:sz w:val="28"/>
          <w:szCs w:val="28"/>
          <w:highlight w:val="none"/>
          <w:u w:val="none"/>
          <w:lang w:val="en-US" w:eastAsia="zh-CN"/>
        </w:rPr>
        <w:t>8.2乙方未按本合同约定或甲方通知期限向甲方交货的，甲方有权要求乙方每延期一天按当批次商品总额的5%支付违约金。因乙方交付数量、品种、质量等级不符合约定，无合格证明或出厂报告等情形导致甲方拒收货物的延期交付，视为乙方交货迟延。</w:t>
      </w:r>
    </w:p>
    <w:p w14:paraId="466B28BB">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val="0"/>
          <w:sz w:val="28"/>
          <w:szCs w:val="28"/>
          <w:highlight w:val="none"/>
          <w:u w:val="none"/>
          <w:lang w:val="en-US" w:eastAsia="zh-CN"/>
        </w:rPr>
      </w:pPr>
      <w:r>
        <w:rPr>
          <w:rFonts w:hint="eastAsia" w:ascii="宋体" w:hAnsi="宋体" w:eastAsia="宋体" w:cs="宋体"/>
          <w:b w:val="0"/>
          <w:bCs w:val="0"/>
          <w:sz w:val="28"/>
          <w:szCs w:val="28"/>
          <w:highlight w:val="none"/>
          <w:u w:val="none"/>
          <w:lang w:val="en-US" w:eastAsia="zh-CN"/>
        </w:rPr>
        <w:t>8.3乙方对其出售的商品承担质量担保责任，即使乙方出售商品已具备相关的检验合格证明和出厂检验报告，如出现《食品安全法》禁止情形的给甲方造成损害的，乙方承担甲方的全部损失，</w:t>
      </w:r>
    </w:p>
    <w:p w14:paraId="467B7D97">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val="0"/>
          <w:sz w:val="28"/>
          <w:szCs w:val="28"/>
          <w:highlight w:val="none"/>
          <w:u w:val="none"/>
          <w:lang w:val="en-US" w:eastAsia="zh-CN"/>
        </w:rPr>
      </w:pPr>
      <w:r>
        <w:rPr>
          <w:rFonts w:hint="eastAsia" w:ascii="宋体" w:hAnsi="宋体" w:eastAsia="宋体" w:cs="宋体"/>
          <w:b w:val="0"/>
          <w:bCs w:val="0"/>
          <w:sz w:val="28"/>
          <w:szCs w:val="28"/>
          <w:highlight w:val="none"/>
          <w:u w:val="none"/>
          <w:lang w:val="en-US" w:eastAsia="zh-CN"/>
        </w:rPr>
        <w:t>8.4 当乙方出现下列情形时，甲方有权选择单方解除本合同:</w:t>
      </w:r>
    </w:p>
    <w:p w14:paraId="20D8E394">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val="0"/>
          <w:sz w:val="28"/>
          <w:szCs w:val="28"/>
          <w:highlight w:val="none"/>
          <w:u w:val="none"/>
          <w:lang w:val="en-US" w:eastAsia="zh-CN"/>
        </w:rPr>
      </w:pPr>
      <w:r>
        <w:rPr>
          <w:rFonts w:hint="eastAsia" w:ascii="宋体" w:hAnsi="宋体" w:eastAsia="宋体" w:cs="宋体"/>
          <w:b w:val="0"/>
          <w:bCs w:val="0"/>
          <w:sz w:val="28"/>
          <w:szCs w:val="28"/>
          <w:highlight w:val="none"/>
          <w:u w:val="none"/>
          <w:lang w:val="en-US" w:eastAsia="zh-CN"/>
        </w:rPr>
        <w:t>(1)逾期交货超过24小时;</w:t>
      </w:r>
    </w:p>
    <w:p w14:paraId="12BB6AD6">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val="0"/>
          <w:sz w:val="28"/>
          <w:szCs w:val="28"/>
          <w:highlight w:val="none"/>
          <w:u w:val="none"/>
          <w:lang w:val="en-US" w:eastAsia="zh-CN"/>
        </w:rPr>
      </w:pPr>
      <w:r>
        <w:rPr>
          <w:rFonts w:hint="eastAsia" w:ascii="宋体" w:hAnsi="宋体" w:eastAsia="宋体" w:cs="宋体"/>
          <w:b w:val="0"/>
          <w:bCs w:val="0"/>
          <w:sz w:val="28"/>
          <w:szCs w:val="28"/>
          <w:highlight w:val="none"/>
          <w:u w:val="none"/>
          <w:lang w:val="en-US" w:eastAsia="zh-CN"/>
        </w:rPr>
        <w:t>(2)交付的商品不符合验收标准的;</w:t>
      </w:r>
    </w:p>
    <w:p w14:paraId="6B98AAE9">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val="0"/>
          <w:sz w:val="28"/>
          <w:szCs w:val="28"/>
          <w:highlight w:val="none"/>
          <w:u w:val="none"/>
          <w:lang w:val="en-US" w:eastAsia="zh-CN"/>
        </w:rPr>
      </w:pPr>
      <w:r>
        <w:rPr>
          <w:rFonts w:hint="eastAsia" w:ascii="宋体" w:hAnsi="宋体" w:eastAsia="宋体" w:cs="宋体"/>
          <w:b w:val="0"/>
          <w:bCs w:val="0"/>
          <w:sz w:val="28"/>
          <w:szCs w:val="28"/>
          <w:highlight w:val="none"/>
          <w:u w:val="none"/>
          <w:lang w:val="en-US" w:eastAsia="zh-CN"/>
        </w:rPr>
        <w:t>(3)当商品市场价格下降时，乙方不同意降价的;</w:t>
      </w:r>
    </w:p>
    <w:p w14:paraId="73E1BA7B">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val="0"/>
          <w:sz w:val="28"/>
          <w:szCs w:val="28"/>
          <w:highlight w:val="none"/>
          <w:u w:val="none"/>
          <w:lang w:val="en-US" w:eastAsia="zh-CN"/>
        </w:rPr>
      </w:pPr>
      <w:r>
        <w:rPr>
          <w:rFonts w:hint="eastAsia" w:ascii="宋体" w:hAnsi="宋体" w:eastAsia="宋体" w:cs="宋体"/>
          <w:b w:val="0"/>
          <w:bCs w:val="0"/>
          <w:sz w:val="28"/>
          <w:szCs w:val="28"/>
          <w:highlight w:val="none"/>
          <w:u w:val="none"/>
          <w:lang w:val="en-US" w:eastAsia="zh-CN"/>
        </w:rPr>
        <w:t>(4)未经甲方书面同意，乙方将本合同的权利义务转让给第三人的;</w:t>
      </w:r>
    </w:p>
    <w:p w14:paraId="4F67A247">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val="0"/>
          <w:sz w:val="28"/>
          <w:szCs w:val="28"/>
          <w:highlight w:val="none"/>
          <w:u w:val="none"/>
          <w:lang w:val="en-US" w:eastAsia="zh-CN"/>
        </w:rPr>
      </w:pPr>
      <w:r>
        <w:rPr>
          <w:rFonts w:hint="eastAsia" w:ascii="宋体" w:hAnsi="宋体" w:eastAsia="宋体" w:cs="宋体"/>
          <w:b w:val="0"/>
          <w:bCs w:val="0"/>
          <w:sz w:val="28"/>
          <w:szCs w:val="28"/>
          <w:highlight w:val="none"/>
          <w:u w:val="none"/>
          <w:lang w:val="en-US" w:eastAsia="zh-CN"/>
        </w:rPr>
        <w:t>(5)乙方未取得或被吊销法定许可证或其他证照的;</w:t>
      </w:r>
    </w:p>
    <w:p w14:paraId="6F3F375D">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val="0"/>
          <w:sz w:val="28"/>
          <w:szCs w:val="28"/>
          <w:highlight w:val="none"/>
          <w:u w:val="none"/>
          <w:lang w:val="en-US" w:eastAsia="zh-CN"/>
        </w:rPr>
      </w:pPr>
      <w:r>
        <w:rPr>
          <w:rFonts w:hint="eastAsia" w:ascii="宋体" w:hAnsi="宋体" w:eastAsia="宋体" w:cs="宋体"/>
          <w:b w:val="0"/>
          <w:bCs w:val="0"/>
          <w:sz w:val="28"/>
          <w:szCs w:val="28"/>
          <w:highlight w:val="none"/>
          <w:u w:val="none"/>
          <w:lang w:val="en-US" w:eastAsia="zh-CN"/>
        </w:rPr>
        <w:t>(6)乙方出售商品出现法律法规规定的禁止情形的。</w:t>
      </w:r>
    </w:p>
    <w:p w14:paraId="5B11D8BD">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val="0"/>
          <w:sz w:val="28"/>
          <w:szCs w:val="28"/>
          <w:highlight w:val="none"/>
          <w:u w:val="none"/>
          <w:lang w:val="en-US" w:eastAsia="zh-CN"/>
        </w:rPr>
      </w:pPr>
      <w:r>
        <w:rPr>
          <w:rFonts w:hint="eastAsia" w:ascii="宋体" w:hAnsi="宋体" w:eastAsia="宋体" w:cs="宋体"/>
          <w:b w:val="0"/>
          <w:bCs w:val="0"/>
          <w:sz w:val="28"/>
          <w:szCs w:val="28"/>
          <w:highlight w:val="none"/>
          <w:u w:val="none"/>
          <w:lang w:val="en-US" w:eastAsia="zh-CN"/>
        </w:rPr>
        <w:t>甲方依据本合同8.4条款中的情形与乙方解除合同，书面通知送达乙方之日起，并与代理招标公司，评出的第二中标人签订供应合同。甲方不承担任何违约责任。</w:t>
      </w:r>
    </w:p>
    <w:p w14:paraId="370D5C04">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val="0"/>
          <w:sz w:val="28"/>
          <w:szCs w:val="28"/>
          <w:highlight w:val="none"/>
          <w:u w:val="none"/>
          <w:lang w:val="en-US" w:eastAsia="zh-CN"/>
        </w:rPr>
      </w:pPr>
      <w:r>
        <w:rPr>
          <w:rFonts w:hint="eastAsia" w:ascii="宋体" w:hAnsi="宋体" w:eastAsia="宋体" w:cs="宋体"/>
          <w:b w:val="0"/>
          <w:bCs w:val="0"/>
          <w:sz w:val="28"/>
          <w:szCs w:val="28"/>
          <w:highlight w:val="none"/>
          <w:u w:val="none"/>
          <w:lang w:val="en-US" w:eastAsia="zh-CN"/>
        </w:rPr>
        <w:t>8.5乙方违约时应当向甲方支付违约金、赔偿金，甲方有权从未支付的货款中扣除，违约金不足以赔偿给甲方造成损失的，甲方仍有权向乙方进行追偿;乙方应当赔偿给甲方的损失，包括但不限于直接损失、预期利益损失、甲方向第三人支付的违约金、赔偿金及甲方为索赔支出的诉讼费、律师费、保全费、保全担保费、交通费、鉴定费、评估费、拍卖费等全部费用。</w:t>
      </w:r>
    </w:p>
    <w:p w14:paraId="6318ACCE">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val="0"/>
          <w:sz w:val="28"/>
          <w:szCs w:val="28"/>
          <w:highlight w:val="none"/>
          <w:u w:val="none"/>
          <w:lang w:val="en-US" w:eastAsia="zh-CN"/>
        </w:rPr>
      </w:pPr>
      <w:r>
        <w:rPr>
          <w:rFonts w:hint="eastAsia" w:ascii="宋体" w:hAnsi="宋体" w:eastAsia="宋体" w:cs="宋体"/>
          <w:b w:val="0"/>
          <w:bCs w:val="0"/>
          <w:sz w:val="28"/>
          <w:szCs w:val="28"/>
          <w:highlight w:val="none"/>
          <w:u w:val="none"/>
          <w:lang w:val="en-US" w:eastAsia="zh-CN"/>
        </w:rPr>
        <w:t>8.6本合同签订后，未经甲方书面同意，乙方单方面解除合同的，应向甲方承担已交付商品总金额20% 的违约金，赔偿由此给甲方造成的全部损失。</w:t>
      </w:r>
    </w:p>
    <w:p w14:paraId="12297A12">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jc w:val="both"/>
        <w:textAlignment w:val="auto"/>
        <w:rPr>
          <w:rFonts w:hint="eastAsia" w:ascii="宋体" w:hAnsi="宋体" w:eastAsia="宋体" w:cs="宋体"/>
          <w:b/>
          <w:bCs/>
          <w:sz w:val="28"/>
          <w:szCs w:val="28"/>
          <w:highlight w:val="none"/>
          <w:u w:val="none"/>
          <w:lang w:val="en-US" w:eastAsia="zh-CN"/>
        </w:rPr>
      </w:pPr>
      <w:r>
        <w:rPr>
          <w:rFonts w:hint="eastAsia" w:ascii="宋体" w:hAnsi="宋体" w:eastAsia="宋体" w:cs="宋体"/>
          <w:b/>
          <w:bCs/>
          <w:sz w:val="28"/>
          <w:szCs w:val="28"/>
          <w:highlight w:val="none"/>
          <w:u w:val="none"/>
          <w:lang w:val="en-US" w:eastAsia="zh-CN"/>
        </w:rPr>
        <w:t>第九条 不可抗力</w:t>
      </w:r>
    </w:p>
    <w:p w14:paraId="70FBD7C6">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val="0"/>
          <w:sz w:val="28"/>
          <w:szCs w:val="28"/>
          <w:highlight w:val="none"/>
          <w:u w:val="none"/>
          <w:lang w:val="en-US" w:eastAsia="zh-CN"/>
        </w:rPr>
      </w:pPr>
      <w:r>
        <w:rPr>
          <w:rFonts w:hint="eastAsia" w:ascii="宋体" w:hAnsi="宋体" w:eastAsia="宋体" w:cs="宋体"/>
          <w:b w:val="0"/>
          <w:bCs w:val="0"/>
          <w:sz w:val="28"/>
          <w:szCs w:val="28"/>
          <w:highlight w:val="none"/>
          <w:u w:val="none"/>
          <w:lang w:val="en-US" w:eastAsia="zh-CN"/>
        </w:rPr>
        <w:t>不可抗力定义：指在本协议签署后发生的、本协议签署时不能预见的、其发生与后果是无法避免或克服的、妨碍任何一方全部或部分履约的所有事件。上述事件包括地震、台风、水灾、火灾、战争、国际或国内运输中断、流行病、罢工，以及根据中国法律或一般国际商业惯例认作不可抗力的其他事件。一方缺少资金不属于不可抗力事件。</w:t>
      </w:r>
    </w:p>
    <w:p w14:paraId="54AAD8EC">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val="0"/>
          <w:sz w:val="28"/>
          <w:szCs w:val="28"/>
          <w:highlight w:val="none"/>
          <w:u w:val="none"/>
          <w:lang w:val="en-US" w:eastAsia="zh-CN"/>
        </w:rPr>
      </w:pPr>
      <w:r>
        <w:rPr>
          <w:rFonts w:hint="eastAsia" w:ascii="宋体" w:hAnsi="宋体" w:eastAsia="宋体" w:cs="宋体"/>
          <w:b w:val="0"/>
          <w:bCs w:val="0"/>
          <w:sz w:val="28"/>
          <w:szCs w:val="28"/>
          <w:highlight w:val="none"/>
          <w:u w:val="none"/>
          <w:lang w:val="en-US" w:eastAsia="zh-CN"/>
        </w:rPr>
        <w:t>不可抗力的后果:</w:t>
      </w:r>
    </w:p>
    <w:p w14:paraId="2D301AD8">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val="0"/>
          <w:sz w:val="28"/>
          <w:szCs w:val="28"/>
          <w:highlight w:val="none"/>
          <w:u w:val="none"/>
          <w:lang w:val="en-US" w:eastAsia="zh-CN"/>
        </w:rPr>
      </w:pPr>
      <w:r>
        <w:rPr>
          <w:rFonts w:hint="eastAsia" w:ascii="宋体" w:hAnsi="宋体" w:eastAsia="宋体" w:cs="宋体"/>
          <w:b w:val="0"/>
          <w:bCs w:val="0"/>
          <w:sz w:val="28"/>
          <w:szCs w:val="28"/>
          <w:highlight w:val="none"/>
          <w:u w:val="none"/>
          <w:lang w:val="en-US" w:eastAsia="zh-CN"/>
        </w:rPr>
        <w:t>9.1如果发生不可抗力事件，影响一方履行其在本协议项下的义务，则在不可抗力造成的延误期内中止履行，而不视为违约。</w:t>
      </w:r>
    </w:p>
    <w:p w14:paraId="5F59F624">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val="0"/>
          <w:sz w:val="28"/>
          <w:szCs w:val="28"/>
          <w:highlight w:val="none"/>
          <w:u w:val="none"/>
          <w:lang w:val="en-US" w:eastAsia="zh-CN"/>
        </w:rPr>
      </w:pPr>
      <w:r>
        <w:rPr>
          <w:rFonts w:hint="eastAsia" w:ascii="宋体" w:hAnsi="宋体" w:eastAsia="宋体" w:cs="宋体"/>
          <w:b w:val="0"/>
          <w:bCs w:val="0"/>
          <w:sz w:val="28"/>
          <w:szCs w:val="28"/>
          <w:highlight w:val="none"/>
          <w:u w:val="none"/>
          <w:lang w:val="en-US" w:eastAsia="zh-CN"/>
        </w:rPr>
        <w:t>9.2宣称发生不可抗力的一方应迅速书面通知对方，并在其后的15天内提供证明不可抗力发生及其持续时间的足够证据。</w:t>
      </w:r>
    </w:p>
    <w:p w14:paraId="0966B8EB">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val="0"/>
          <w:sz w:val="28"/>
          <w:szCs w:val="28"/>
          <w:highlight w:val="none"/>
          <w:u w:val="none"/>
          <w:lang w:val="en-US" w:eastAsia="zh-CN"/>
        </w:rPr>
      </w:pPr>
      <w:r>
        <w:rPr>
          <w:rFonts w:hint="eastAsia" w:ascii="宋体" w:hAnsi="宋体" w:eastAsia="宋体" w:cs="宋体"/>
          <w:b w:val="0"/>
          <w:bCs w:val="0"/>
          <w:sz w:val="28"/>
          <w:szCs w:val="28"/>
          <w:highlight w:val="none"/>
          <w:u w:val="none"/>
          <w:lang w:val="en-US" w:eastAsia="zh-CN"/>
        </w:rPr>
        <w:t>9.3如果发生不可抗力事件，各方应立即互相协商，以找到公平的解决办法，并且应尽一切合理努力将不可抗力的影响减少到最低限度。</w:t>
      </w:r>
    </w:p>
    <w:p w14:paraId="5095ED6A">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val="0"/>
          <w:sz w:val="28"/>
          <w:szCs w:val="28"/>
          <w:highlight w:val="none"/>
          <w:u w:val="none"/>
          <w:lang w:val="en-US" w:eastAsia="zh-CN"/>
        </w:rPr>
      </w:pPr>
      <w:r>
        <w:rPr>
          <w:rFonts w:hint="eastAsia" w:ascii="宋体" w:hAnsi="宋体" w:eastAsia="宋体" w:cs="宋体"/>
          <w:b w:val="0"/>
          <w:bCs w:val="0"/>
          <w:sz w:val="28"/>
          <w:szCs w:val="28"/>
          <w:highlight w:val="none"/>
          <w:u w:val="none"/>
          <w:lang w:val="en-US" w:eastAsia="zh-CN"/>
        </w:rPr>
        <w:t>9.4金钱债务的迟延责任不得因不可抗力而免除。</w:t>
      </w:r>
    </w:p>
    <w:p w14:paraId="635DAF54">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val="0"/>
          <w:sz w:val="28"/>
          <w:szCs w:val="28"/>
          <w:highlight w:val="none"/>
          <w:u w:val="none"/>
          <w:lang w:val="en-US" w:eastAsia="zh-CN"/>
        </w:rPr>
      </w:pPr>
      <w:r>
        <w:rPr>
          <w:rFonts w:hint="eastAsia" w:ascii="宋体" w:hAnsi="宋体" w:eastAsia="宋体" w:cs="宋体"/>
          <w:b w:val="0"/>
          <w:bCs w:val="0"/>
          <w:sz w:val="28"/>
          <w:szCs w:val="28"/>
          <w:highlight w:val="none"/>
          <w:u w:val="none"/>
          <w:lang w:val="en-US" w:eastAsia="zh-CN"/>
        </w:rPr>
        <w:t>9.5迟延履行期间发生的不可抗力不具有免责效力。</w:t>
      </w:r>
    </w:p>
    <w:p w14:paraId="2418257D">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jc w:val="both"/>
        <w:textAlignment w:val="auto"/>
        <w:rPr>
          <w:rFonts w:hint="eastAsia" w:ascii="宋体" w:hAnsi="宋体" w:eastAsia="宋体" w:cs="宋体"/>
          <w:b/>
          <w:bCs/>
          <w:sz w:val="28"/>
          <w:szCs w:val="28"/>
          <w:highlight w:val="none"/>
          <w:u w:val="none"/>
          <w:lang w:val="en-US" w:eastAsia="zh-CN"/>
        </w:rPr>
      </w:pPr>
      <w:r>
        <w:rPr>
          <w:rFonts w:hint="eastAsia" w:ascii="宋体" w:hAnsi="宋体" w:eastAsia="宋体" w:cs="宋体"/>
          <w:b/>
          <w:bCs/>
          <w:sz w:val="28"/>
          <w:szCs w:val="28"/>
          <w:highlight w:val="none"/>
          <w:u w:val="none"/>
          <w:lang w:val="en-US" w:eastAsia="zh-CN"/>
        </w:rPr>
        <w:t>第十条 其它约定事项</w:t>
      </w:r>
    </w:p>
    <w:p w14:paraId="0AB92245">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val="0"/>
          <w:sz w:val="28"/>
          <w:szCs w:val="28"/>
          <w:highlight w:val="none"/>
          <w:u w:val="none"/>
          <w:lang w:val="en-US" w:eastAsia="zh-CN"/>
        </w:rPr>
      </w:pPr>
      <w:r>
        <w:rPr>
          <w:rFonts w:hint="eastAsia" w:ascii="宋体" w:hAnsi="宋体" w:eastAsia="宋体" w:cs="宋体"/>
          <w:b w:val="0"/>
          <w:bCs w:val="0"/>
          <w:sz w:val="28"/>
          <w:szCs w:val="28"/>
          <w:highlight w:val="none"/>
          <w:u w:val="none"/>
          <w:lang w:val="en-US" w:eastAsia="zh-CN"/>
        </w:rPr>
        <w:t>10.1乙方应提供资质证明材料:《企业法人营业执照》及有关食品质量安全的相关证明文件复印件，所有证明文件均应在有效期内。</w:t>
      </w:r>
    </w:p>
    <w:p w14:paraId="12A358FD">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val="0"/>
          <w:sz w:val="28"/>
          <w:szCs w:val="28"/>
          <w:highlight w:val="none"/>
          <w:u w:val="none"/>
          <w:lang w:val="en-US" w:eastAsia="zh-CN"/>
        </w:rPr>
      </w:pPr>
      <w:r>
        <w:rPr>
          <w:rFonts w:hint="eastAsia" w:ascii="宋体" w:hAnsi="宋体" w:eastAsia="宋体" w:cs="宋体"/>
          <w:b w:val="0"/>
          <w:bCs w:val="0"/>
          <w:sz w:val="28"/>
          <w:szCs w:val="28"/>
          <w:highlight w:val="none"/>
          <w:u w:val="none"/>
          <w:lang w:val="en-US" w:eastAsia="zh-CN"/>
        </w:rPr>
        <w:t>10.2乙方及乙方人员在签订及履行本合同的过程中已经或将要获知甲方秘密信息及本合同的内容(包括但不限于文字、图片、视频、影像等形式)的，应承担保密义务，不得向任何第三方透露。保密期限为自乙方及乙方人员获知保密信息之日起至保密信息被甲方依法在公共媒体公开为止。乙方及乙方人员不得在甲方单位内部或外部拍摄照片或视频，也不得在微信、微博、公众号订阅号等自媒体上发布与甲方有关的文字信息、图片或视频，每发生一次向甲方支付违约金壹万元，如情节严重的甲方依法移送相关部门。</w:t>
      </w:r>
    </w:p>
    <w:p w14:paraId="1C1FFB01">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val="0"/>
          <w:sz w:val="28"/>
          <w:szCs w:val="28"/>
          <w:highlight w:val="none"/>
          <w:u w:val="none"/>
          <w:lang w:val="en-US" w:eastAsia="zh-CN"/>
        </w:rPr>
      </w:pPr>
      <w:r>
        <w:rPr>
          <w:rFonts w:hint="eastAsia" w:ascii="宋体" w:hAnsi="宋体" w:eastAsia="宋体" w:cs="宋体"/>
          <w:b w:val="0"/>
          <w:bCs w:val="0"/>
          <w:sz w:val="28"/>
          <w:szCs w:val="28"/>
          <w:highlight w:val="none"/>
          <w:u w:val="none"/>
          <w:lang w:val="en-US" w:eastAsia="zh-CN"/>
        </w:rPr>
        <w:t>10.3除“不可抗力”，依据本合同第八条约定，当事人一方要求提前解除合同的，应提前30天通知对方，双方均同意的方可提前解除本合同。</w:t>
      </w:r>
    </w:p>
    <w:p w14:paraId="6F37D560">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val="0"/>
          <w:sz w:val="28"/>
          <w:szCs w:val="28"/>
          <w:highlight w:val="none"/>
          <w:u w:val="none"/>
          <w:lang w:val="en-US" w:eastAsia="zh-CN"/>
        </w:rPr>
      </w:pPr>
      <w:r>
        <w:rPr>
          <w:rFonts w:hint="eastAsia" w:ascii="宋体" w:hAnsi="宋体" w:eastAsia="宋体" w:cs="宋体"/>
          <w:b w:val="0"/>
          <w:bCs w:val="0"/>
          <w:sz w:val="28"/>
          <w:szCs w:val="28"/>
          <w:highlight w:val="none"/>
          <w:u w:val="none"/>
          <w:lang w:val="en-US" w:eastAsia="zh-CN"/>
        </w:rPr>
        <w:t>10.4双方如需变更本合同或本合同如有未尽事宜，须双方共同协商签订书面补充合同，补充合同与本合同具同等效力。</w:t>
      </w:r>
    </w:p>
    <w:p w14:paraId="7E4A7C64">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val="0"/>
          <w:sz w:val="28"/>
          <w:szCs w:val="28"/>
          <w:highlight w:val="none"/>
          <w:u w:val="none"/>
          <w:lang w:val="en-US" w:eastAsia="zh-CN"/>
        </w:rPr>
      </w:pPr>
      <w:r>
        <w:rPr>
          <w:rFonts w:hint="eastAsia" w:ascii="宋体" w:hAnsi="宋体" w:eastAsia="宋体" w:cs="宋体"/>
          <w:b w:val="0"/>
          <w:bCs w:val="0"/>
          <w:sz w:val="28"/>
          <w:szCs w:val="28"/>
          <w:highlight w:val="none"/>
          <w:u w:val="none"/>
          <w:lang w:val="en-US" w:eastAsia="zh-CN"/>
        </w:rPr>
        <w:t>10.5本合同在履行过程中如发生争议，双方应协商解决，如协商不成，各方一致同意向</w:t>
      </w:r>
      <w:r>
        <w:rPr>
          <w:rFonts w:hint="eastAsia" w:ascii="宋体" w:hAnsi="宋体" w:eastAsia="宋体" w:cs="宋体"/>
          <w:b w:val="0"/>
          <w:bCs w:val="0"/>
          <w:sz w:val="28"/>
          <w:szCs w:val="28"/>
          <w:highlight w:val="none"/>
          <w:u w:val="single"/>
          <w:lang w:val="en-US" w:eastAsia="zh-CN"/>
        </w:rPr>
        <w:t>甲方住所地</w:t>
      </w:r>
      <w:r>
        <w:rPr>
          <w:rFonts w:hint="eastAsia" w:ascii="宋体" w:hAnsi="宋体" w:eastAsia="宋体" w:cs="宋体"/>
          <w:b w:val="0"/>
          <w:bCs w:val="0"/>
          <w:sz w:val="28"/>
          <w:szCs w:val="28"/>
          <w:highlight w:val="none"/>
          <w:u w:val="none"/>
          <w:lang w:val="en-US" w:eastAsia="zh-CN"/>
        </w:rPr>
        <w:t>人民法院起诉。</w:t>
      </w:r>
    </w:p>
    <w:p w14:paraId="0E661C49">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val="0"/>
          <w:sz w:val="28"/>
          <w:szCs w:val="28"/>
          <w:highlight w:val="none"/>
          <w:u w:val="none"/>
          <w:lang w:val="en-US" w:eastAsia="zh-CN"/>
        </w:rPr>
      </w:pPr>
      <w:r>
        <w:rPr>
          <w:rFonts w:hint="eastAsia" w:ascii="宋体" w:hAnsi="宋体" w:eastAsia="宋体" w:cs="宋体"/>
          <w:b w:val="0"/>
          <w:bCs w:val="0"/>
          <w:sz w:val="28"/>
          <w:szCs w:val="28"/>
          <w:highlight w:val="none"/>
          <w:u w:val="none"/>
          <w:lang w:val="en-US" w:eastAsia="zh-CN"/>
        </w:rPr>
        <w:t>10.6本合同履行过程中，甲乙双方按照本合同末尾载明通讯地址向对方发出的书面文件，以快递形式寄出的，寄出3日后视为对方收到;以邮件、电话、传真、短信、微信等形式发出的，发出当天视为对方收到;以其他方式送达的，本合同约定的联系人收到时即视为送达。如双方变更地址的，应当在变更当日以书面形式通知对方，否则对方按本合同地址发出的文件，一经发出并达到上述约定条件即视为送达。甲乙双方就履行合同产生争议提起诉讼的，该地址也可作为法院法律文书的送达地址。</w:t>
      </w:r>
    </w:p>
    <w:p w14:paraId="4DFB5D83">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val="0"/>
          <w:sz w:val="28"/>
          <w:szCs w:val="28"/>
          <w:highlight w:val="none"/>
          <w:u w:val="none"/>
          <w:lang w:val="en-US" w:eastAsia="zh-CN"/>
        </w:rPr>
      </w:pPr>
      <w:r>
        <w:rPr>
          <w:rFonts w:hint="eastAsia" w:ascii="宋体" w:hAnsi="宋体" w:eastAsia="宋体" w:cs="宋体"/>
          <w:b w:val="0"/>
          <w:bCs w:val="0"/>
          <w:sz w:val="28"/>
          <w:szCs w:val="28"/>
          <w:highlight w:val="none"/>
          <w:u w:val="none"/>
          <w:lang w:val="en-US" w:eastAsia="zh-CN"/>
        </w:rPr>
        <w:t>10.7本合同一式四份，甲方三份、乙方持一份。合同经双方法定代表人或授权代表签字并加盖公章或合同专用章后生效，数据电文与原件具同等法律效力。</w:t>
      </w:r>
    </w:p>
    <w:p w14:paraId="269B17B5">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val="0"/>
          <w:sz w:val="28"/>
          <w:szCs w:val="28"/>
          <w:highlight w:val="none"/>
          <w:u w:val="none"/>
          <w:lang w:val="en-US" w:eastAsia="zh-CN"/>
        </w:rPr>
      </w:pPr>
      <w:r>
        <w:rPr>
          <w:rFonts w:hint="eastAsia" w:ascii="宋体" w:hAnsi="宋体" w:eastAsia="宋体" w:cs="宋体"/>
          <w:b w:val="0"/>
          <w:bCs w:val="0"/>
          <w:sz w:val="28"/>
          <w:szCs w:val="28"/>
          <w:highlight w:val="none"/>
          <w:u w:val="none"/>
          <w:lang w:val="en-US" w:eastAsia="zh-CN"/>
        </w:rPr>
        <w:t>(以下无正文)</w:t>
      </w:r>
    </w:p>
    <w:p w14:paraId="4CE77BB1">
      <w:pPr>
        <w:rPr>
          <w:rFonts w:hint="eastAsia" w:ascii="宋体" w:hAnsi="宋体" w:eastAsia="宋体" w:cs="宋体"/>
          <w:b w:val="0"/>
          <w:bCs w:val="0"/>
          <w:sz w:val="28"/>
          <w:szCs w:val="28"/>
          <w:highlight w:val="none"/>
          <w:u w:val="none"/>
          <w:lang w:val="en-US" w:eastAsia="zh-CN"/>
        </w:rPr>
      </w:pPr>
      <w:r>
        <w:rPr>
          <w:rFonts w:hint="eastAsia" w:ascii="宋体" w:hAnsi="宋体" w:eastAsia="宋体" w:cs="宋体"/>
          <w:b w:val="0"/>
          <w:bCs w:val="0"/>
          <w:sz w:val="28"/>
          <w:szCs w:val="28"/>
          <w:highlight w:val="none"/>
          <w:u w:val="none"/>
          <w:lang w:val="en-US" w:eastAsia="zh-CN"/>
        </w:rPr>
        <w:br w:type="page"/>
      </w:r>
    </w:p>
    <w:p w14:paraId="66AB90C7">
      <w:pPr>
        <w:keepNext w:val="0"/>
        <w:keepLines w:val="0"/>
        <w:pageBreakBefore w:val="0"/>
        <w:widowControl w:val="0"/>
        <w:numPr>
          <w:ilvl w:val="0"/>
          <w:numId w:val="0"/>
        </w:numPr>
        <w:kinsoku/>
        <w:wordWrap/>
        <w:overflowPunct/>
        <w:topLinePunct w:val="0"/>
        <w:autoSpaceDE/>
        <w:autoSpaceDN/>
        <w:bidi w:val="0"/>
        <w:adjustRightInd/>
        <w:snapToGrid/>
        <w:ind w:left="0" w:leftChars="0" w:firstLine="280" w:firstLineChars="100"/>
        <w:jc w:val="both"/>
        <w:textAlignment w:val="auto"/>
        <w:rPr>
          <w:rFonts w:hint="eastAsia" w:ascii="宋体" w:hAnsi="宋体" w:eastAsia="宋体" w:cs="宋体"/>
          <w:b w:val="0"/>
          <w:bCs w:val="0"/>
          <w:sz w:val="28"/>
          <w:szCs w:val="28"/>
          <w:highlight w:val="none"/>
          <w:u w:val="none"/>
          <w:lang w:val="en-US" w:eastAsia="zh-CN"/>
        </w:rPr>
      </w:pPr>
      <w:r>
        <w:rPr>
          <w:rFonts w:hint="eastAsia" w:ascii="宋体" w:hAnsi="宋体" w:eastAsia="宋体" w:cs="宋体"/>
          <w:b w:val="0"/>
          <w:bCs w:val="0"/>
          <w:sz w:val="28"/>
          <w:szCs w:val="28"/>
          <w:highlight w:val="none"/>
          <w:u w:val="none"/>
          <w:lang w:val="en-US" w:eastAsia="zh-CN"/>
        </w:rPr>
        <w:t>甲方(盖章):                    乙方(盖章):</w:t>
      </w:r>
    </w:p>
    <w:p w14:paraId="021B0161">
      <w:pPr>
        <w:keepNext w:val="0"/>
        <w:keepLines w:val="0"/>
        <w:pageBreakBefore w:val="0"/>
        <w:widowControl w:val="0"/>
        <w:numPr>
          <w:ilvl w:val="0"/>
          <w:numId w:val="0"/>
        </w:numPr>
        <w:kinsoku/>
        <w:wordWrap/>
        <w:overflowPunct/>
        <w:topLinePunct w:val="0"/>
        <w:autoSpaceDE/>
        <w:autoSpaceDN/>
        <w:bidi w:val="0"/>
        <w:adjustRightInd/>
        <w:snapToGrid/>
        <w:ind w:firstLine="280" w:firstLineChars="100"/>
        <w:jc w:val="both"/>
        <w:textAlignment w:val="auto"/>
        <w:rPr>
          <w:rFonts w:hint="eastAsia" w:ascii="宋体" w:hAnsi="宋体" w:eastAsia="宋体" w:cs="宋体"/>
          <w:b w:val="0"/>
          <w:bCs w:val="0"/>
          <w:sz w:val="28"/>
          <w:szCs w:val="28"/>
          <w:highlight w:val="none"/>
          <w:u w:val="none"/>
          <w:lang w:val="en-US" w:eastAsia="zh-CN"/>
        </w:rPr>
      </w:pPr>
      <w:r>
        <w:rPr>
          <w:rFonts w:hint="eastAsia" w:ascii="宋体" w:hAnsi="宋体" w:eastAsia="宋体" w:cs="宋体"/>
          <w:b w:val="0"/>
          <w:bCs w:val="0"/>
          <w:sz w:val="28"/>
          <w:szCs w:val="28"/>
          <w:highlight w:val="none"/>
          <w:u w:val="none"/>
          <w:lang w:val="en-US" w:eastAsia="zh-CN"/>
        </w:rPr>
        <w:t>法人代表人:                    法人代表人:</w:t>
      </w:r>
    </w:p>
    <w:p w14:paraId="007FA131">
      <w:pPr>
        <w:keepNext w:val="0"/>
        <w:keepLines w:val="0"/>
        <w:pageBreakBefore w:val="0"/>
        <w:widowControl w:val="0"/>
        <w:numPr>
          <w:ilvl w:val="0"/>
          <w:numId w:val="0"/>
        </w:numPr>
        <w:kinsoku/>
        <w:wordWrap/>
        <w:overflowPunct/>
        <w:topLinePunct w:val="0"/>
        <w:autoSpaceDE/>
        <w:autoSpaceDN/>
        <w:bidi w:val="0"/>
        <w:adjustRightInd/>
        <w:snapToGrid/>
        <w:ind w:firstLine="280" w:firstLineChars="100"/>
        <w:jc w:val="both"/>
        <w:textAlignment w:val="auto"/>
        <w:rPr>
          <w:rFonts w:hint="eastAsia" w:ascii="宋体" w:hAnsi="宋体" w:eastAsia="宋体" w:cs="宋体"/>
          <w:b w:val="0"/>
          <w:bCs w:val="0"/>
          <w:sz w:val="28"/>
          <w:szCs w:val="28"/>
          <w:highlight w:val="none"/>
          <w:u w:val="none"/>
          <w:lang w:val="en-US" w:eastAsia="zh-CN"/>
        </w:rPr>
      </w:pPr>
      <w:r>
        <w:rPr>
          <w:rFonts w:hint="eastAsia" w:ascii="宋体" w:hAnsi="宋体" w:eastAsia="宋体" w:cs="宋体"/>
          <w:b w:val="0"/>
          <w:bCs w:val="0"/>
          <w:sz w:val="28"/>
          <w:szCs w:val="28"/>
          <w:highlight w:val="none"/>
          <w:u w:val="none"/>
          <w:lang w:val="en-US" w:eastAsia="zh-CN"/>
        </w:rPr>
        <w:t>委托代理人(签字):              委托代理人(签字):</w:t>
      </w:r>
    </w:p>
    <w:p w14:paraId="56A83078">
      <w:pPr>
        <w:keepNext w:val="0"/>
        <w:keepLines w:val="0"/>
        <w:pageBreakBefore w:val="0"/>
        <w:widowControl w:val="0"/>
        <w:numPr>
          <w:ilvl w:val="0"/>
          <w:numId w:val="0"/>
        </w:numPr>
        <w:kinsoku/>
        <w:wordWrap/>
        <w:overflowPunct/>
        <w:topLinePunct w:val="0"/>
        <w:autoSpaceDE/>
        <w:autoSpaceDN/>
        <w:bidi w:val="0"/>
        <w:adjustRightInd/>
        <w:snapToGrid/>
        <w:ind w:firstLine="280" w:firstLineChars="100"/>
        <w:jc w:val="both"/>
        <w:textAlignment w:val="auto"/>
        <w:rPr>
          <w:rFonts w:hint="eastAsia" w:ascii="宋体" w:hAnsi="宋体" w:eastAsia="宋体" w:cs="宋体"/>
          <w:b w:val="0"/>
          <w:bCs w:val="0"/>
          <w:sz w:val="28"/>
          <w:szCs w:val="28"/>
          <w:highlight w:val="none"/>
          <w:u w:val="none"/>
          <w:lang w:val="en-US" w:eastAsia="zh-CN"/>
        </w:rPr>
      </w:pPr>
      <w:r>
        <w:rPr>
          <w:rFonts w:hint="eastAsia" w:ascii="宋体" w:hAnsi="宋体" w:eastAsia="宋体" w:cs="宋体"/>
          <w:b w:val="0"/>
          <w:bCs w:val="0"/>
          <w:sz w:val="28"/>
          <w:szCs w:val="28"/>
          <w:highlight w:val="none"/>
          <w:u w:val="none"/>
          <w:lang w:val="en-US" w:eastAsia="zh-CN"/>
        </w:rPr>
        <w:t>电话:                          电话:</w:t>
      </w:r>
    </w:p>
    <w:p w14:paraId="2FC97B08">
      <w:pPr>
        <w:keepNext w:val="0"/>
        <w:keepLines w:val="0"/>
        <w:pageBreakBefore w:val="0"/>
        <w:widowControl w:val="0"/>
        <w:numPr>
          <w:ilvl w:val="0"/>
          <w:numId w:val="0"/>
        </w:numPr>
        <w:kinsoku/>
        <w:wordWrap/>
        <w:overflowPunct/>
        <w:topLinePunct w:val="0"/>
        <w:autoSpaceDE/>
        <w:autoSpaceDN/>
        <w:bidi w:val="0"/>
        <w:adjustRightInd/>
        <w:snapToGrid/>
        <w:ind w:left="0" w:leftChars="0" w:firstLine="280" w:firstLineChars="100"/>
        <w:jc w:val="both"/>
        <w:textAlignment w:val="auto"/>
        <w:rPr>
          <w:rFonts w:hint="eastAsia" w:ascii="宋体" w:hAnsi="宋体" w:eastAsia="宋体" w:cs="宋体"/>
          <w:b w:val="0"/>
          <w:bCs w:val="0"/>
          <w:sz w:val="28"/>
          <w:szCs w:val="28"/>
          <w:highlight w:val="none"/>
          <w:u w:val="none"/>
          <w:lang w:val="en-US" w:eastAsia="zh-CN"/>
        </w:rPr>
      </w:pPr>
      <w:r>
        <w:rPr>
          <w:rFonts w:hint="eastAsia" w:ascii="宋体" w:hAnsi="宋体" w:eastAsia="宋体" w:cs="宋体"/>
          <w:b w:val="0"/>
          <w:bCs w:val="0"/>
          <w:sz w:val="28"/>
          <w:szCs w:val="28"/>
          <w:highlight w:val="none"/>
          <w:u w:val="none"/>
          <w:lang w:val="en-US" w:eastAsia="zh-CN"/>
        </w:rPr>
        <w:t>签订时间:  年 月  日           签订时间:  年  月  日</w:t>
      </w:r>
    </w:p>
    <w:p w14:paraId="30EA1D47">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val="0"/>
          <w:sz w:val="28"/>
          <w:szCs w:val="28"/>
          <w:highlight w:val="none"/>
          <w:u w:val="none"/>
          <w:lang w:val="en-US" w:eastAsia="zh-CN"/>
        </w:rPr>
      </w:pPr>
    </w:p>
    <w:p w14:paraId="5F756264">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val="0"/>
          <w:sz w:val="28"/>
          <w:szCs w:val="28"/>
          <w:highlight w:val="none"/>
          <w:u w:val="none"/>
          <w:lang w:val="en-US" w:eastAsia="zh-CN"/>
        </w:rPr>
      </w:pPr>
    </w:p>
    <w:p w14:paraId="7484B534">
      <w:pPr>
        <w:pStyle w:val="13"/>
        <w:spacing w:line="280" w:lineRule="auto"/>
        <w:rPr>
          <w:rFonts w:hint="eastAsia" w:ascii="宋体" w:hAnsi="宋体" w:eastAsia="宋体" w:cs="宋体"/>
          <w:highlight w:val="none"/>
        </w:rPr>
      </w:pPr>
    </w:p>
    <w:p w14:paraId="088F5162">
      <w:pPr>
        <w:rPr>
          <w:rFonts w:hint="eastAsia" w:ascii="宋体" w:hAnsi="宋体" w:eastAsia="宋体" w:cs="宋体"/>
          <w:highlight w:val="none"/>
        </w:rPr>
      </w:pPr>
      <w:bookmarkStart w:id="67" w:name="_Toc29221"/>
      <w:r>
        <w:rPr>
          <w:rFonts w:hint="eastAsia" w:ascii="宋体" w:hAnsi="宋体" w:eastAsia="宋体" w:cs="宋体"/>
          <w:highlight w:val="none"/>
        </w:rPr>
        <w:br w:type="page"/>
      </w:r>
    </w:p>
    <w:bookmarkEnd w:id="66"/>
    <w:bookmarkEnd w:id="67"/>
    <w:p w14:paraId="735A5B38">
      <w:pPr>
        <w:pStyle w:val="13"/>
        <w:pageBreakBefore/>
        <w:spacing w:before="314" w:line="360" w:lineRule="auto"/>
        <w:jc w:val="center"/>
        <w:outlineLvl w:val="0"/>
        <w:rPr>
          <w:rFonts w:ascii="宋体" w:hAnsi="宋体" w:eastAsia="宋体" w:cs="宋体"/>
          <w:b/>
          <w:bCs/>
          <w:color w:val="auto"/>
          <w:spacing w:val="4"/>
          <w:sz w:val="30"/>
          <w:szCs w:val="30"/>
          <w:lang w:eastAsia="zh-CN"/>
        </w:rPr>
      </w:pPr>
      <w:bookmarkStart w:id="68" w:name="_Toc26175"/>
      <w:bookmarkStart w:id="69" w:name="_Toc6670"/>
      <w:r>
        <w:rPr>
          <w:rFonts w:hint="eastAsia" w:ascii="宋体" w:hAnsi="宋体" w:eastAsia="宋体" w:cs="宋体"/>
          <w:highlight w:val="none"/>
        </w:rPr>
        <w:br w:type="page"/>
      </w:r>
      <w:bookmarkStart w:id="70" w:name="_Toc28055"/>
      <w:bookmarkStart w:id="71" w:name="_Toc13461"/>
      <w:r>
        <w:rPr>
          <w:rFonts w:hint="eastAsia" w:ascii="宋体" w:hAnsi="宋体" w:eastAsia="宋体" w:cs="宋体"/>
          <w:b/>
          <w:bCs/>
          <w:color w:val="auto"/>
          <w:spacing w:val="4"/>
          <w:sz w:val="30"/>
          <w:szCs w:val="30"/>
          <w:lang w:eastAsia="zh-CN"/>
        </w:rPr>
        <w:t>第</w:t>
      </w:r>
      <w:r>
        <w:rPr>
          <w:rFonts w:hint="eastAsia" w:ascii="宋体" w:hAnsi="宋体" w:eastAsia="宋体" w:cs="宋体"/>
          <w:b/>
          <w:bCs/>
          <w:color w:val="auto"/>
          <w:spacing w:val="4"/>
          <w:sz w:val="30"/>
          <w:szCs w:val="30"/>
          <w:lang w:val="en-US" w:eastAsia="zh-CN"/>
        </w:rPr>
        <w:t>五</w:t>
      </w:r>
      <w:r>
        <w:rPr>
          <w:rFonts w:hint="eastAsia" w:ascii="宋体" w:hAnsi="宋体" w:eastAsia="宋体" w:cs="宋体"/>
          <w:b/>
          <w:bCs/>
          <w:color w:val="auto"/>
          <w:spacing w:val="4"/>
          <w:sz w:val="30"/>
          <w:szCs w:val="30"/>
          <w:lang w:eastAsia="zh-CN"/>
        </w:rPr>
        <w:t>章</w:t>
      </w:r>
      <w:r>
        <w:rPr>
          <w:rFonts w:hint="eastAsia" w:ascii="宋体" w:hAnsi="宋体" w:eastAsia="宋体" w:cs="宋体"/>
          <w:b/>
          <w:bCs/>
          <w:color w:val="auto"/>
          <w:spacing w:val="4"/>
          <w:sz w:val="30"/>
          <w:szCs w:val="30"/>
          <w:lang w:val="en-US" w:eastAsia="zh-CN"/>
        </w:rPr>
        <w:t xml:space="preserve"> </w:t>
      </w:r>
      <w:r>
        <w:rPr>
          <w:rFonts w:hint="eastAsia" w:ascii="宋体" w:hAnsi="宋体" w:eastAsia="宋体" w:cs="宋体"/>
          <w:b/>
          <w:bCs/>
          <w:color w:val="auto"/>
          <w:spacing w:val="4"/>
          <w:sz w:val="30"/>
          <w:szCs w:val="30"/>
          <w:lang w:eastAsia="zh-CN"/>
        </w:rPr>
        <w:t>资格审查</w:t>
      </w:r>
      <w:bookmarkEnd w:id="70"/>
      <w:bookmarkEnd w:id="71"/>
    </w:p>
    <w:p w14:paraId="7CA46161">
      <w:pPr>
        <w:spacing w:line="360" w:lineRule="auto"/>
        <w:ind w:left="549"/>
        <w:outlineLvl w:val="1"/>
        <w:rPr>
          <w:rFonts w:ascii="宋体" w:hAnsi="宋体" w:eastAsia="宋体" w:cs="宋体"/>
          <w:color w:val="auto"/>
          <w:sz w:val="24"/>
          <w:szCs w:val="24"/>
          <w:lang w:eastAsia="zh-CN"/>
        </w:rPr>
      </w:pPr>
      <w:bookmarkStart w:id="72" w:name="bookmark161"/>
      <w:bookmarkEnd w:id="72"/>
      <w:bookmarkStart w:id="73" w:name="_Toc18738"/>
      <w:r>
        <w:rPr>
          <w:rFonts w:hint="eastAsia" w:ascii="宋体" w:hAnsi="宋体" w:eastAsia="宋体" w:cs="宋体"/>
          <w:b/>
          <w:bCs/>
          <w:color w:val="auto"/>
          <w:spacing w:val="5"/>
          <w:sz w:val="24"/>
          <w:szCs w:val="24"/>
          <w:lang w:eastAsia="zh-CN"/>
        </w:rPr>
        <w:t>一、资格审查程序</w:t>
      </w:r>
      <w:bookmarkEnd w:id="73"/>
    </w:p>
    <w:p w14:paraId="73F2AFC7">
      <w:pPr>
        <w:spacing w:line="360" w:lineRule="auto"/>
        <w:ind w:right="13" w:firstLine="501"/>
        <w:rPr>
          <w:rFonts w:ascii="宋体" w:hAnsi="宋体" w:eastAsia="宋体" w:cs="宋体"/>
          <w:color w:val="auto"/>
          <w:lang w:eastAsia="zh-CN"/>
        </w:rPr>
      </w:pPr>
      <w:r>
        <w:rPr>
          <w:rFonts w:hint="eastAsia" w:ascii="宋体" w:hAnsi="宋体" w:eastAsia="宋体" w:cs="宋体"/>
          <w:color w:val="auto"/>
          <w:spacing w:val="-3"/>
          <w:lang w:eastAsia="zh-CN"/>
        </w:rPr>
        <w:t>1 开标结束后，采购人或采购代理机构将根据《资格审查要求》中的规定，</w:t>
      </w:r>
      <w:r>
        <w:rPr>
          <w:rFonts w:hint="eastAsia" w:ascii="宋体" w:hAnsi="宋体" w:eastAsia="宋体" w:cs="宋体"/>
          <w:color w:val="auto"/>
          <w:spacing w:val="-1"/>
          <w:lang w:eastAsia="zh-CN"/>
        </w:rPr>
        <w:t>对投标人进行资格审查，并形成资格审查结果。</w:t>
      </w:r>
    </w:p>
    <w:p w14:paraId="5126B481">
      <w:pPr>
        <w:spacing w:line="360" w:lineRule="auto"/>
        <w:ind w:right="13" w:firstLine="501"/>
        <w:rPr>
          <w:rFonts w:ascii="宋体" w:hAnsi="宋体" w:eastAsia="宋体" w:cs="宋体"/>
          <w:color w:val="auto"/>
          <w:spacing w:val="-3"/>
          <w:lang w:eastAsia="zh-CN"/>
        </w:rPr>
      </w:pPr>
      <w:r>
        <w:rPr>
          <w:rFonts w:hint="eastAsia" w:ascii="宋体" w:hAnsi="宋体" w:eastAsia="宋体" w:cs="宋体"/>
          <w:color w:val="auto"/>
          <w:spacing w:val="-3"/>
          <w:lang w:eastAsia="zh-CN"/>
        </w:rPr>
        <w:t>2 投标人《资格证明文件》有任何一项不符合《资格审查要求》的，资格审查不合格，其</w:t>
      </w:r>
      <w:r>
        <w:rPr>
          <w:rFonts w:hint="eastAsia" w:ascii="宋体" w:hAnsi="宋体" w:eastAsia="宋体" w:cs="宋体"/>
          <w:b/>
          <w:color w:val="auto"/>
          <w:spacing w:val="-3"/>
          <w:lang w:eastAsia="zh-CN"/>
        </w:rPr>
        <w:t>投标无效</w:t>
      </w:r>
      <w:r>
        <w:rPr>
          <w:rFonts w:hint="eastAsia" w:ascii="宋体" w:hAnsi="宋体" w:eastAsia="宋体" w:cs="宋体"/>
          <w:color w:val="auto"/>
          <w:spacing w:val="-3"/>
          <w:lang w:eastAsia="zh-CN"/>
        </w:rPr>
        <w:t>。</w:t>
      </w:r>
    </w:p>
    <w:p w14:paraId="674BE780">
      <w:pPr>
        <w:spacing w:line="360" w:lineRule="auto"/>
        <w:ind w:right="13" w:firstLine="501"/>
        <w:rPr>
          <w:rFonts w:ascii="宋体" w:hAnsi="宋体" w:eastAsia="宋体" w:cs="宋体"/>
          <w:color w:val="auto"/>
          <w:spacing w:val="-3"/>
          <w:lang w:eastAsia="zh-CN"/>
        </w:rPr>
      </w:pPr>
      <w:r>
        <w:rPr>
          <w:rFonts w:hint="eastAsia" w:ascii="宋体" w:hAnsi="宋体" w:eastAsia="宋体" w:cs="宋体"/>
          <w:color w:val="auto"/>
          <w:spacing w:val="-3"/>
          <w:lang w:eastAsia="zh-CN"/>
        </w:rPr>
        <w:t>3 资格审查合格的投标人不足 3 家的，不进行评标。</w:t>
      </w:r>
    </w:p>
    <w:p w14:paraId="5E9D7849">
      <w:pPr>
        <w:spacing w:line="360" w:lineRule="auto"/>
        <w:ind w:left="549"/>
        <w:outlineLvl w:val="1"/>
        <w:rPr>
          <w:rFonts w:ascii="宋体" w:hAnsi="宋体" w:eastAsia="宋体" w:cs="宋体"/>
          <w:b/>
          <w:bCs/>
          <w:color w:val="auto"/>
          <w:spacing w:val="5"/>
        </w:rPr>
      </w:pPr>
      <w:bookmarkStart w:id="74" w:name="bookmark162"/>
      <w:bookmarkEnd w:id="74"/>
      <w:bookmarkStart w:id="75" w:name="_Toc13885"/>
      <w:r>
        <w:rPr>
          <w:rFonts w:hint="eastAsia" w:ascii="宋体" w:hAnsi="宋体" w:eastAsia="宋体" w:cs="宋体"/>
          <w:b/>
          <w:bCs/>
          <w:color w:val="auto"/>
          <w:spacing w:val="5"/>
        </w:rPr>
        <w:t>二、资格审查要求</w:t>
      </w:r>
      <w:bookmarkEnd w:id="75"/>
    </w:p>
    <w:tbl>
      <w:tblPr>
        <w:tblStyle w:val="30"/>
        <w:tblW w:w="87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84"/>
        <w:gridCol w:w="3123"/>
        <w:gridCol w:w="4752"/>
      </w:tblGrid>
      <w:tr w14:paraId="49ACB3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42" w:hRule="atLeast"/>
        </w:trPr>
        <w:tc>
          <w:tcPr>
            <w:tcW w:w="884" w:type="dxa"/>
            <w:shd w:val="clear" w:color="auto" w:fill="FFFFFF" w:themeFill="background1"/>
            <w:vAlign w:val="center"/>
          </w:tcPr>
          <w:p w14:paraId="08FC69F0">
            <w:pPr>
              <w:pStyle w:val="77"/>
              <w:spacing w:line="360" w:lineRule="auto"/>
              <w:ind w:left="-2"/>
              <w:jc w:val="center"/>
              <w:rPr>
                <w:color w:val="auto"/>
                <w:sz w:val="21"/>
                <w:szCs w:val="21"/>
              </w:rPr>
            </w:pPr>
            <w:r>
              <w:rPr>
                <w:rFonts w:hint="eastAsia"/>
                <w:b/>
                <w:bCs/>
                <w:color w:val="auto"/>
                <w:spacing w:val="4"/>
                <w:sz w:val="21"/>
                <w:szCs w:val="21"/>
              </w:rPr>
              <w:t>序号</w:t>
            </w:r>
          </w:p>
        </w:tc>
        <w:tc>
          <w:tcPr>
            <w:tcW w:w="3123" w:type="dxa"/>
            <w:shd w:val="clear" w:color="auto" w:fill="FFFFFF" w:themeFill="background1"/>
            <w:vAlign w:val="center"/>
          </w:tcPr>
          <w:p w14:paraId="7C42FCD0">
            <w:pPr>
              <w:pStyle w:val="77"/>
              <w:spacing w:line="360" w:lineRule="auto"/>
              <w:jc w:val="center"/>
              <w:rPr>
                <w:color w:val="auto"/>
                <w:sz w:val="21"/>
                <w:szCs w:val="21"/>
              </w:rPr>
            </w:pPr>
            <w:r>
              <w:rPr>
                <w:rFonts w:hint="eastAsia"/>
                <w:b/>
                <w:bCs/>
                <w:color w:val="auto"/>
                <w:spacing w:val="3"/>
                <w:sz w:val="21"/>
                <w:szCs w:val="21"/>
              </w:rPr>
              <w:t>审查因素</w:t>
            </w:r>
          </w:p>
        </w:tc>
        <w:tc>
          <w:tcPr>
            <w:tcW w:w="4752" w:type="dxa"/>
            <w:shd w:val="clear" w:color="auto" w:fill="FFFFFF" w:themeFill="background1"/>
            <w:vAlign w:val="center"/>
          </w:tcPr>
          <w:p w14:paraId="5A4AF79E">
            <w:pPr>
              <w:pStyle w:val="77"/>
              <w:spacing w:line="360" w:lineRule="auto"/>
              <w:jc w:val="center"/>
              <w:rPr>
                <w:color w:val="auto"/>
                <w:sz w:val="21"/>
                <w:szCs w:val="21"/>
              </w:rPr>
            </w:pPr>
            <w:r>
              <w:rPr>
                <w:rFonts w:hint="eastAsia"/>
                <w:b/>
                <w:bCs/>
                <w:color w:val="auto"/>
                <w:spacing w:val="3"/>
                <w:sz w:val="21"/>
                <w:szCs w:val="21"/>
              </w:rPr>
              <w:t>审查内容</w:t>
            </w:r>
          </w:p>
        </w:tc>
      </w:tr>
      <w:tr w14:paraId="38A1C2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989" w:hRule="atLeast"/>
        </w:trPr>
        <w:tc>
          <w:tcPr>
            <w:tcW w:w="884" w:type="dxa"/>
            <w:vAlign w:val="center"/>
          </w:tcPr>
          <w:p w14:paraId="0A22A370">
            <w:pPr>
              <w:pStyle w:val="77"/>
              <w:spacing w:line="360" w:lineRule="auto"/>
              <w:ind w:left="-4" w:leftChars="-2"/>
              <w:jc w:val="center"/>
              <w:rPr>
                <w:color w:val="auto"/>
                <w:spacing w:val="13"/>
                <w:sz w:val="21"/>
                <w:szCs w:val="21"/>
                <w:lang w:eastAsia="zh-CN"/>
              </w:rPr>
            </w:pPr>
            <w:r>
              <w:rPr>
                <w:rFonts w:hint="eastAsia"/>
                <w:color w:val="auto"/>
                <w:spacing w:val="13"/>
                <w:sz w:val="21"/>
                <w:szCs w:val="21"/>
                <w:lang w:eastAsia="zh-CN"/>
              </w:rPr>
              <w:t>1</w:t>
            </w:r>
          </w:p>
        </w:tc>
        <w:tc>
          <w:tcPr>
            <w:tcW w:w="3123" w:type="dxa"/>
            <w:vAlign w:val="center"/>
          </w:tcPr>
          <w:p w14:paraId="0CCA91AF">
            <w:pPr>
              <w:pStyle w:val="77"/>
              <w:spacing w:line="360" w:lineRule="auto"/>
              <w:ind w:left="-4" w:leftChars="-2"/>
              <w:rPr>
                <w:color w:val="auto"/>
                <w:spacing w:val="13"/>
                <w:sz w:val="21"/>
                <w:szCs w:val="21"/>
                <w:lang w:eastAsia="zh-CN"/>
              </w:rPr>
            </w:pPr>
            <w:r>
              <w:rPr>
                <w:rFonts w:hint="eastAsia"/>
                <w:color w:val="auto"/>
                <w:spacing w:val="13"/>
                <w:sz w:val="21"/>
                <w:szCs w:val="21"/>
                <w:lang w:eastAsia="zh-CN"/>
              </w:rPr>
              <w:t>具有独立承担民事责任的能力；</w:t>
            </w:r>
          </w:p>
        </w:tc>
        <w:tc>
          <w:tcPr>
            <w:tcW w:w="4752" w:type="dxa"/>
            <w:vAlign w:val="center"/>
          </w:tcPr>
          <w:p w14:paraId="71353FC5">
            <w:pPr>
              <w:pStyle w:val="77"/>
              <w:spacing w:line="360" w:lineRule="auto"/>
              <w:ind w:left="-4" w:leftChars="-2"/>
              <w:rPr>
                <w:color w:val="auto"/>
                <w:spacing w:val="13"/>
                <w:sz w:val="21"/>
                <w:szCs w:val="21"/>
                <w:lang w:eastAsia="zh-CN"/>
              </w:rPr>
            </w:pPr>
            <w:r>
              <w:rPr>
                <w:rFonts w:hint="eastAsia"/>
                <w:color w:val="auto"/>
                <w:spacing w:val="13"/>
                <w:sz w:val="21"/>
                <w:szCs w:val="21"/>
                <w:lang w:eastAsia="zh-CN"/>
              </w:rPr>
              <w:t>(1)供应商为企业（包括合伙企业）的，应提供有效的“营业执照”；供应商为事业单位的，应提供有效的“事业单位法人证书”；供应商是非企业机构的，应提供有效的“执业许可证”、“登记证书”等证明文件;供应商是个体工商户的，应提供有效的“个体工商户营业执照”；供应商是自然人的，应提供有效的自然人身份证明。</w:t>
            </w:r>
          </w:p>
          <w:p w14:paraId="4C540065">
            <w:pPr>
              <w:pStyle w:val="77"/>
              <w:spacing w:line="360" w:lineRule="auto"/>
              <w:ind w:left="-4" w:leftChars="-2"/>
              <w:rPr>
                <w:color w:val="auto"/>
                <w:spacing w:val="13"/>
                <w:sz w:val="21"/>
                <w:szCs w:val="21"/>
                <w:lang w:eastAsia="zh-CN"/>
              </w:rPr>
            </w:pPr>
            <w:r>
              <w:rPr>
                <w:rFonts w:hint="eastAsia"/>
                <w:color w:val="auto"/>
                <w:spacing w:val="13"/>
                <w:sz w:val="21"/>
                <w:szCs w:val="21"/>
                <w:lang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以联合体形式参加投标的，联合体各方均须提供上述资料。</w:t>
            </w:r>
          </w:p>
        </w:tc>
      </w:tr>
      <w:tr w14:paraId="33BB5E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466" w:hRule="atLeast"/>
        </w:trPr>
        <w:tc>
          <w:tcPr>
            <w:tcW w:w="884" w:type="dxa"/>
            <w:vAlign w:val="center"/>
          </w:tcPr>
          <w:p w14:paraId="1BCC2060">
            <w:pPr>
              <w:pStyle w:val="77"/>
              <w:spacing w:line="360" w:lineRule="auto"/>
              <w:ind w:left="-4" w:leftChars="-2"/>
              <w:jc w:val="center"/>
              <w:rPr>
                <w:color w:val="auto"/>
                <w:spacing w:val="13"/>
                <w:sz w:val="21"/>
                <w:szCs w:val="21"/>
                <w:lang w:eastAsia="zh-CN"/>
              </w:rPr>
            </w:pPr>
            <w:r>
              <w:rPr>
                <w:rFonts w:hint="eastAsia"/>
                <w:color w:val="auto"/>
                <w:spacing w:val="13"/>
                <w:sz w:val="21"/>
                <w:szCs w:val="21"/>
                <w:lang w:eastAsia="zh-CN"/>
              </w:rPr>
              <w:t>2</w:t>
            </w:r>
          </w:p>
        </w:tc>
        <w:tc>
          <w:tcPr>
            <w:tcW w:w="3123" w:type="dxa"/>
            <w:shd w:val="clear" w:color="auto" w:fill="auto"/>
            <w:vAlign w:val="center"/>
          </w:tcPr>
          <w:p w14:paraId="212CA072">
            <w:pPr>
              <w:pStyle w:val="77"/>
              <w:spacing w:line="360" w:lineRule="auto"/>
              <w:ind w:left="-4" w:leftChars="-2"/>
              <w:rPr>
                <w:color w:val="auto"/>
                <w:spacing w:val="13"/>
                <w:sz w:val="21"/>
                <w:szCs w:val="21"/>
                <w:lang w:eastAsia="zh-CN"/>
              </w:rPr>
            </w:pPr>
            <w:r>
              <w:rPr>
                <w:rFonts w:hint="eastAsia"/>
                <w:color w:val="auto"/>
                <w:spacing w:val="13"/>
                <w:sz w:val="21"/>
                <w:szCs w:val="21"/>
                <w:lang w:eastAsia="zh-CN"/>
              </w:rPr>
              <w:t>具有良好的商业信誉和健全的财务会计制度；</w:t>
            </w:r>
          </w:p>
        </w:tc>
        <w:tc>
          <w:tcPr>
            <w:tcW w:w="4752" w:type="dxa"/>
            <w:shd w:val="clear" w:color="auto" w:fill="auto"/>
            <w:vAlign w:val="center"/>
          </w:tcPr>
          <w:p w14:paraId="280B47A3">
            <w:pPr>
              <w:pStyle w:val="77"/>
              <w:spacing w:line="360" w:lineRule="auto"/>
              <w:ind w:left="-4" w:leftChars="-2"/>
              <w:rPr>
                <w:color w:val="auto"/>
                <w:spacing w:val="13"/>
                <w:sz w:val="21"/>
                <w:szCs w:val="21"/>
                <w:highlight w:val="none"/>
                <w:lang w:eastAsia="zh-CN"/>
              </w:rPr>
            </w:pPr>
            <w:r>
              <w:rPr>
                <w:rFonts w:hint="eastAsia"/>
                <w:color w:val="auto"/>
                <w:spacing w:val="13"/>
                <w:sz w:val="21"/>
                <w:szCs w:val="21"/>
                <w:highlight w:val="none"/>
                <w:lang w:eastAsia="zh-CN"/>
              </w:rPr>
              <w:t>1、良好的商业信誉：凡拟参加本次招标项目的供应商，未在“信用中国”网站（www.creditchina.gov.cn）被列入重大税收违法失信主体、政府采购严重违法失信名单的（尚在处罚期内的）、“中国政府采购网”（www.ccgp.gov.cn）被列入政府采购严重违法失信行为记录名单（尚在处罚期内的）以及未被列入“中国执行信息公开网”（http://zxgk.court.gov.cn/）失信被执行人名单。（以递交截止时间点采购代理机构查询为准，供应商无须提供）</w:t>
            </w:r>
          </w:p>
          <w:p w14:paraId="62D173F9">
            <w:pPr>
              <w:pStyle w:val="77"/>
              <w:spacing w:line="360" w:lineRule="auto"/>
              <w:rPr>
                <w:color w:val="auto"/>
                <w:spacing w:val="13"/>
                <w:sz w:val="21"/>
                <w:szCs w:val="21"/>
                <w:lang w:eastAsia="zh-CN"/>
              </w:rPr>
            </w:pPr>
            <w:r>
              <w:rPr>
                <w:rFonts w:hint="eastAsia"/>
                <w:color w:val="auto"/>
                <w:spacing w:val="13"/>
                <w:sz w:val="21"/>
                <w:szCs w:val="21"/>
                <w:lang w:val="en-US" w:eastAsia="zh-CN"/>
              </w:rPr>
              <w:t>2.</w:t>
            </w:r>
            <w:bookmarkStart w:id="239" w:name="_GoBack"/>
            <w:bookmarkEnd w:id="239"/>
            <w:r>
              <w:rPr>
                <w:rFonts w:hint="eastAsia"/>
                <w:color w:val="auto"/>
                <w:spacing w:val="13"/>
                <w:sz w:val="21"/>
                <w:szCs w:val="21"/>
                <w:lang w:eastAsia="zh-CN"/>
              </w:rPr>
              <w:t>健全的财务会计制度：须提供本单位上一年度由会计师事务所出具的财务审计报告（当上一年度审计报告未出来时，可提供前一年度审计报告），审计报告须包括资产负债表、利润表、现金流量表、所有者权益变动（如有）及其附注。如供应商无法提供上年度审计报告，则需提供开标日前三个月内银行出具的资信证明。如供应商注册成立不足三个月的则提供承诺书（格式自拟）。</w:t>
            </w:r>
          </w:p>
        </w:tc>
      </w:tr>
      <w:tr w14:paraId="58C9D9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166" w:hRule="atLeast"/>
        </w:trPr>
        <w:tc>
          <w:tcPr>
            <w:tcW w:w="884" w:type="dxa"/>
            <w:vAlign w:val="center"/>
          </w:tcPr>
          <w:p w14:paraId="6B9DA7B2">
            <w:pPr>
              <w:pStyle w:val="77"/>
              <w:spacing w:line="360" w:lineRule="auto"/>
              <w:ind w:left="-4" w:leftChars="-2"/>
              <w:jc w:val="center"/>
              <w:rPr>
                <w:color w:val="auto"/>
                <w:spacing w:val="13"/>
                <w:sz w:val="21"/>
                <w:szCs w:val="21"/>
                <w:lang w:eastAsia="zh-CN"/>
              </w:rPr>
            </w:pPr>
            <w:r>
              <w:rPr>
                <w:rFonts w:hint="eastAsia"/>
                <w:color w:val="auto"/>
                <w:spacing w:val="13"/>
                <w:sz w:val="21"/>
                <w:szCs w:val="21"/>
                <w:lang w:eastAsia="zh-CN"/>
              </w:rPr>
              <w:t>3</w:t>
            </w:r>
          </w:p>
        </w:tc>
        <w:tc>
          <w:tcPr>
            <w:tcW w:w="3123" w:type="dxa"/>
            <w:shd w:val="clear" w:color="auto" w:fill="auto"/>
            <w:vAlign w:val="center"/>
          </w:tcPr>
          <w:p w14:paraId="006B31A7">
            <w:pPr>
              <w:pStyle w:val="77"/>
              <w:spacing w:line="360" w:lineRule="auto"/>
              <w:ind w:left="-4" w:leftChars="-2"/>
              <w:rPr>
                <w:color w:val="auto"/>
                <w:spacing w:val="13"/>
                <w:sz w:val="21"/>
                <w:szCs w:val="21"/>
                <w:lang w:eastAsia="zh-CN"/>
              </w:rPr>
            </w:pPr>
            <w:r>
              <w:rPr>
                <w:rFonts w:hint="eastAsia"/>
                <w:color w:val="auto"/>
                <w:spacing w:val="13"/>
                <w:sz w:val="21"/>
                <w:szCs w:val="21"/>
                <w:lang w:eastAsia="zh-CN"/>
              </w:rPr>
              <w:t>具有履行合同所必需的设备和专业技术能力；</w:t>
            </w:r>
          </w:p>
        </w:tc>
        <w:tc>
          <w:tcPr>
            <w:tcW w:w="4752" w:type="dxa"/>
            <w:shd w:val="clear" w:color="auto" w:fill="auto"/>
            <w:vAlign w:val="center"/>
          </w:tcPr>
          <w:p w14:paraId="300C58C9">
            <w:pPr>
              <w:pStyle w:val="77"/>
              <w:spacing w:line="360" w:lineRule="auto"/>
              <w:ind w:left="-4" w:leftChars="-2"/>
              <w:rPr>
                <w:color w:val="0000FF"/>
                <w:spacing w:val="13"/>
                <w:sz w:val="21"/>
                <w:szCs w:val="21"/>
                <w:lang w:eastAsia="zh-CN"/>
              </w:rPr>
            </w:pPr>
            <w:r>
              <w:rPr>
                <w:rFonts w:hint="eastAsia"/>
                <w:color w:val="auto"/>
                <w:spacing w:val="13"/>
                <w:sz w:val="21"/>
                <w:szCs w:val="21"/>
                <w:lang w:eastAsia="zh-CN"/>
              </w:rPr>
              <w:t>须提供具备履行合同所必需的设备和专业技术能力的书面声明或证明材料。</w:t>
            </w:r>
          </w:p>
        </w:tc>
      </w:tr>
      <w:tr w14:paraId="523112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056" w:hRule="atLeast"/>
        </w:trPr>
        <w:tc>
          <w:tcPr>
            <w:tcW w:w="884" w:type="dxa"/>
            <w:vAlign w:val="center"/>
          </w:tcPr>
          <w:p w14:paraId="1C4E0B2D">
            <w:pPr>
              <w:pStyle w:val="77"/>
              <w:spacing w:line="360" w:lineRule="auto"/>
              <w:ind w:left="-4" w:leftChars="-2"/>
              <w:jc w:val="center"/>
              <w:rPr>
                <w:color w:val="auto"/>
                <w:spacing w:val="13"/>
                <w:sz w:val="21"/>
                <w:szCs w:val="21"/>
                <w:lang w:eastAsia="zh-CN"/>
              </w:rPr>
            </w:pPr>
            <w:r>
              <w:rPr>
                <w:rFonts w:hint="eastAsia"/>
                <w:color w:val="auto"/>
                <w:spacing w:val="13"/>
                <w:sz w:val="21"/>
                <w:szCs w:val="21"/>
                <w:lang w:eastAsia="zh-CN"/>
              </w:rPr>
              <w:t>4</w:t>
            </w:r>
          </w:p>
        </w:tc>
        <w:tc>
          <w:tcPr>
            <w:tcW w:w="3123" w:type="dxa"/>
            <w:shd w:val="clear" w:color="auto" w:fill="auto"/>
            <w:vAlign w:val="center"/>
          </w:tcPr>
          <w:p w14:paraId="0BF1F43F">
            <w:pPr>
              <w:pStyle w:val="77"/>
              <w:spacing w:line="360" w:lineRule="auto"/>
              <w:ind w:left="-4" w:leftChars="-2"/>
              <w:rPr>
                <w:color w:val="auto"/>
                <w:spacing w:val="13"/>
                <w:sz w:val="21"/>
                <w:szCs w:val="21"/>
                <w:lang w:eastAsia="zh-CN"/>
              </w:rPr>
            </w:pPr>
            <w:r>
              <w:rPr>
                <w:rFonts w:hint="eastAsia"/>
                <w:color w:val="auto"/>
                <w:spacing w:val="13"/>
                <w:sz w:val="21"/>
                <w:szCs w:val="21"/>
                <w:lang w:eastAsia="zh-CN"/>
              </w:rPr>
              <w:t>有依法缴纳税收和社会保障资金的良好记录；</w:t>
            </w:r>
          </w:p>
        </w:tc>
        <w:tc>
          <w:tcPr>
            <w:tcW w:w="4752" w:type="dxa"/>
            <w:shd w:val="clear" w:color="auto" w:fill="auto"/>
            <w:vAlign w:val="center"/>
          </w:tcPr>
          <w:p w14:paraId="0CA0E1C1">
            <w:pPr>
              <w:pStyle w:val="77"/>
              <w:spacing w:line="360" w:lineRule="auto"/>
              <w:ind w:left="-4" w:leftChars="-2"/>
              <w:rPr>
                <w:color w:val="auto"/>
                <w:spacing w:val="13"/>
                <w:sz w:val="21"/>
                <w:szCs w:val="21"/>
                <w:lang w:eastAsia="zh-CN"/>
              </w:rPr>
            </w:pPr>
            <w:r>
              <w:rPr>
                <w:rFonts w:hint="eastAsia"/>
                <w:color w:val="auto"/>
                <w:spacing w:val="13"/>
                <w:sz w:val="21"/>
                <w:szCs w:val="21"/>
                <w:lang w:eastAsia="zh-CN"/>
              </w:rPr>
              <w:t>1.须提供投标文件递交截止日期之前六个月内任何一期的纳税记录或证明材料（依法免税的应提供相应文件说明），如供应商注册成立不足三个月的则提供承诺书（自拟）。</w:t>
            </w:r>
          </w:p>
          <w:p w14:paraId="22D5DBE0">
            <w:pPr>
              <w:pStyle w:val="77"/>
              <w:spacing w:line="360" w:lineRule="auto"/>
              <w:ind w:left="-4" w:leftChars="-2"/>
              <w:rPr>
                <w:color w:val="auto"/>
                <w:spacing w:val="13"/>
                <w:sz w:val="21"/>
                <w:szCs w:val="21"/>
                <w:lang w:eastAsia="zh-CN"/>
              </w:rPr>
            </w:pPr>
            <w:r>
              <w:rPr>
                <w:rFonts w:hint="eastAsia"/>
                <w:color w:val="auto"/>
                <w:spacing w:val="13"/>
                <w:sz w:val="21"/>
                <w:szCs w:val="21"/>
                <w:lang w:eastAsia="zh-CN"/>
              </w:rPr>
              <w:t>2.须提供投标文件递交截止日期之前六个月内为员工缴纳社会保障资金的证明材料（任意一个月即可），证明材料是缴纳社会保险的凭据（专用收据或社会保险缴纳清单或银行回单等）（依法不需要缴纳社会保障资金的应提供相应文件说明）；如供应商注册成立不足三个月的则提供承诺书（自拟）。</w:t>
            </w:r>
          </w:p>
        </w:tc>
      </w:tr>
      <w:tr w14:paraId="073F4A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234" w:hRule="atLeast"/>
        </w:trPr>
        <w:tc>
          <w:tcPr>
            <w:tcW w:w="884" w:type="dxa"/>
            <w:vAlign w:val="center"/>
          </w:tcPr>
          <w:p w14:paraId="4747B588">
            <w:pPr>
              <w:pStyle w:val="77"/>
              <w:spacing w:line="360" w:lineRule="auto"/>
              <w:ind w:left="-4" w:leftChars="-2"/>
              <w:jc w:val="center"/>
              <w:rPr>
                <w:color w:val="auto"/>
                <w:spacing w:val="13"/>
                <w:sz w:val="21"/>
                <w:szCs w:val="21"/>
                <w:lang w:eastAsia="zh-CN"/>
              </w:rPr>
            </w:pPr>
            <w:r>
              <w:rPr>
                <w:rFonts w:hint="eastAsia"/>
                <w:color w:val="auto"/>
                <w:spacing w:val="13"/>
                <w:sz w:val="21"/>
                <w:szCs w:val="21"/>
                <w:lang w:eastAsia="zh-CN"/>
              </w:rPr>
              <w:t>5</w:t>
            </w:r>
          </w:p>
        </w:tc>
        <w:tc>
          <w:tcPr>
            <w:tcW w:w="3123" w:type="dxa"/>
            <w:shd w:val="clear" w:color="auto" w:fill="auto"/>
            <w:vAlign w:val="center"/>
          </w:tcPr>
          <w:p w14:paraId="507B1F41">
            <w:pPr>
              <w:pStyle w:val="77"/>
              <w:spacing w:line="360" w:lineRule="auto"/>
              <w:ind w:left="-4" w:leftChars="-2"/>
              <w:rPr>
                <w:color w:val="auto"/>
                <w:spacing w:val="13"/>
                <w:sz w:val="21"/>
                <w:szCs w:val="21"/>
                <w:lang w:eastAsia="zh-CN"/>
              </w:rPr>
            </w:pPr>
            <w:r>
              <w:rPr>
                <w:rFonts w:hint="eastAsia"/>
                <w:color w:val="auto"/>
                <w:spacing w:val="13"/>
                <w:sz w:val="21"/>
                <w:szCs w:val="21"/>
                <w:lang w:eastAsia="zh-CN"/>
              </w:rPr>
              <w:t>参加投标活动前三年内，在经营活动中没有重大违法记录；</w:t>
            </w:r>
          </w:p>
        </w:tc>
        <w:tc>
          <w:tcPr>
            <w:tcW w:w="4752" w:type="dxa"/>
            <w:shd w:val="clear" w:color="auto" w:fill="auto"/>
            <w:vAlign w:val="center"/>
          </w:tcPr>
          <w:p w14:paraId="4A48508D">
            <w:pPr>
              <w:pStyle w:val="77"/>
              <w:spacing w:line="360" w:lineRule="auto"/>
              <w:ind w:left="-4" w:leftChars="-2"/>
              <w:rPr>
                <w:color w:val="auto"/>
                <w:spacing w:val="13"/>
                <w:sz w:val="21"/>
                <w:szCs w:val="21"/>
                <w:lang w:eastAsia="zh-CN"/>
              </w:rPr>
            </w:pPr>
            <w:r>
              <w:rPr>
                <w:rFonts w:hint="eastAsia"/>
                <w:color w:val="auto"/>
                <w:spacing w:val="13"/>
                <w:sz w:val="21"/>
                <w:szCs w:val="21"/>
                <w:lang w:eastAsia="zh-CN"/>
              </w:rPr>
              <w:t>须提供：书面声明（供应商自行承诺并承担后果，声明不实的，按《政府采购法》及相关法律法规中提供虚假材料的有关规定处理。</w:t>
            </w:r>
          </w:p>
        </w:tc>
      </w:tr>
      <w:tr w14:paraId="677A23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50" w:hRule="atLeast"/>
        </w:trPr>
        <w:tc>
          <w:tcPr>
            <w:tcW w:w="884" w:type="dxa"/>
            <w:vAlign w:val="center"/>
          </w:tcPr>
          <w:p w14:paraId="412F98AE">
            <w:pPr>
              <w:pStyle w:val="77"/>
              <w:spacing w:line="360" w:lineRule="auto"/>
              <w:ind w:left="-4" w:leftChars="-2"/>
              <w:jc w:val="center"/>
              <w:rPr>
                <w:color w:val="auto"/>
                <w:spacing w:val="13"/>
                <w:sz w:val="21"/>
                <w:szCs w:val="21"/>
                <w:lang w:eastAsia="zh-CN"/>
              </w:rPr>
            </w:pPr>
            <w:r>
              <w:rPr>
                <w:rFonts w:hint="eastAsia"/>
                <w:color w:val="auto"/>
                <w:spacing w:val="13"/>
                <w:sz w:val="21"/>
                <w:szCs w:val="21"/>
                <w:lang w:eastAsia="zh-CN"/>
              </w:rPr>
              <w:t>6</w:t>
            </w:r>
          </w:p>
        </w:tc>
        <w:tc>
          <w:tcPr>
            <w:tcW w:w="3123" w:type="dxa"/>
            <w:vAlign w:val="center"/>
          </w:tcPr>
          <w:p w14:paraId="64C51A1E">
            <w:pPr>
              <w:pStyle w:val="77"/>
              <w:spacing w:line="360" w:lineRule="auto"/>
              <w:ind w:left="-4" w:leftChars="-2"/>
              <w:rPr>
                <w:color w:val="auto"/>
                <w:spacing w:val="13"/>
                <w:sz w:val="21"/>
                <w:szCs w:val="21"/>
                <w:lang w:eastAsia="zh-CN"/>
              </w:rPr>
            </w:pPr>
            <w:r>
              <w:rPr>
                <w:rFonts w:hint="eastAsia"/>
                <w:color w:val="auto"/>
                <w:spacing w:val="13"/>
                <w:sz w:val="21"/>
                <w:szCs w:val="21"/>
                <w:lang w:eastAsia="zh-CN"/>
              </w:rPr>
              <w:t>法律、行政法规规定的其他条件。</w:t>
            </w:r>
          </w:p>
        </w:tc>
        <w:tc>
          <w:tcPr>
            <w:tcW w:w="4752" w:type="dxa"/>
            <w:vAlign w:val="center"/>
          </w:tcPr>
          <w:p w14:paraId="5CA700AC">
            <w:pPr>
              <w:pStyle w:val="77"/>
              <w:spacing w:line="360" w:lineRule="auto"/>
              <w:ind w:left="-4" w:leftChars="-2"/>
              <w:rPr>
                <w:color w:val="auto"/>
                <w:spacing w:val="13"/>
                <w:sz w:val="21"/>
                <w:szCs w:val="21"/>
                <w:lang w:eastAsia="zh-CN"/>
              </w:rPr>
            </w:pPr>
            <w:r>
              <w:rPr>
                <w:rFonts w:hint="eastAsia"/>
                <w:color w:val="auto"/>
                <w:spacing w:val="13"/>
                <w:sz w:val="21"/>
                <w:szCs w:val="21"/>
                <w:lang w:eastAsia="zh-CN"/>
              </w:rPr>
              <w:t>须提供：承诺函（供应商自行承诺并承担后果，声明函不实的，按《政府采购法》及相关法律法规中提供虚假材料的有关规定处理）。</w:t>
            </w:r>
          </w:p>
        </w:tc>
      </w:tr>
      <w:tr w14:paraId="0F91C3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470" w:hRule="atLeast"/>
        </w:trPr>
        <w:tc>
          <w:tcPr>
            <w:tcW w:w="884" w:type="dxa"/>
            <w:vAlign w:val="center"/>
          </w:tcPr>
          <w:p w14:paraId="54E3D35E">
            <w:pPr>
              <w:pStyle w:val="77"/>
              <w:spacing w:line="360" w:lineRule="auto"/>
              <w:ind w:left="-4" w:leftChars="-2"/>
              <w:jc w:val="center"/>
              <w:rPr>
                <w:color w:val="auto"/>
                <w:spacing w:val="13"/>
                <w:sz w:val="21"/>
                <w:szCs w:val="21"/>
                <w:lang w:eastAsia="zh-CN"/>
              </w:rPr>
            </w:pPr>
            <w:r>
              <w:rPr>
                <w:rFonts w:hint="eastAsia"/>
                <w:color w:val="auto"/>
                <w:spacing w:val="13"/>
                <w:sz w:val="21"/>
                <w:szCs w:val="21"/>
                <w:lang w:eastAsia="zh-CN"/>
              </w:rPr>
              <w:t>7</w:t>
            </w:r>
          </w:p>
        </w:tc>
        <w:tc>
          <w:tcPr>
            <w:tcW w:w="3123" w:type="dxa"/>
            <w:vAlign w:val="center"/>
          </w:tcPr>
          <w:p w14:paraId="34A587E1">
            <w:pPr>
              <w:pStyle w:val="77"/>
              <w:spacing w:line="360" w:lineRule="auto"/>
              <w:ind w:left="-4" w:leftChars="-2"/>
              <w:rPr>
                <w:rFonts w:hint="eastAsia"/>
                <w:color w:val="auto"/>
                <w:spacing w:val="13"/>
                <w:sz w:val="21"/>
                <w:szCs w:val="21"/>
                <w:lang w:eastAsia="zh-CN"/>
              </w:rPr>
            </w:pPr>
            <w:r>
              <w:rPr>
                <w:rFonts w:hint="eastAsia"/>
                <w:color w:val="auto"/>
                <w:spacing w:val="13"/>
                <w:sz w:val="21"/>
                <w:szCs w:val="21"/>
                <w:lang w:eastAsia="zh-CN"/>
              </w:rPr>
              <w:t>采购项目需要落实的政府采购政策:本项目</w:t>
            </w:r>
            <w:r>
              <w:rPr>
                <w:rFonts w:hint="eastAsia"/>
                <w:color w:val="auto"/>
                <w:spacing w:val="13"/>
                <w:sz w:val="21"/>
                <w:szCs w:val="21"/>
                <w:lang w:val="en-US" w:eastAsia="zh-CN"/>
              </w:rPr>
              <w:t>专门面向中小企业采购。</w:t>
            </w:r>
          </w:p>
        </w:tc>
        <w:tc>
          <w:tcPr>
            <w:tcW w:w="4752" w:type="dxa"/>
            <w:vAlign w:val="center"/>
          </w:tcPr>
          <w:p w14:paraId="76EF4810">
            <w:pPr>
              <w:pStyle w:val="77"/>
              <w:spacing w:line="360" w:lineRule="auto"/>
              <w:ind w:left="-4" w:leftChars="-2"/>
              <w:rPr>
                <w:rFonts w:hint="eastAsia"/>
                <w:color w:val="auto"/>
                <w:spacing w:val="13"/>
                <w:sz w:val="21"/>
                <w:szCs w:val="21"/>
                <w:lang w:eastAsia="zh-CN"/>
              </w:rPr>
            </w:pPr>
            <w:r>
              <w:rPr>
                <w:rFonts w:hint="eastAsia"/>
                <w:color w:val="auto"/>
                <w:spacing w:val="13"/>
                <w:sz w:val="21"/>
                <w:szCs w:val="21"/>
                <w:lang w:eastAsia="zh-CN"/>
              </w:rPr>
              <w:t>请根据要求</w:t>
            </w:r>
            <w:r>
              <w:rPr>
                <w:rFonts w:hint="eastAsia"/>
                <w:color w:val="auto"/>
                <w:spacing w:val="13"/>
                <w:sz w:val="21"/>
                <w:szCs w:val="21"/>
                <w:lang w:val="en-US" w:eastAsia="zh-CN"/>
              </w:rPr>
              <w:t>落实政府采购政策</w:t>
            </w:r>
            <w:r>
              <w:rPr>
                <w:rFonts w:hint="eastAsia"/>
                <w:color w:val="auto"/>
                <w:spacing w:val="13"/>
                <w:sz w:val="21"/>
                <w:szCs w:val="21"/>
                <w:lang w:eastAsia="zh-CN"/>
              </w:rPr>
              <w:t>提供《中小企业声明函》。“提供的《中小企业声明函》须符合《政府采购促进中小企业发展管理办法》，否则不得享受相关中小企业扶持政策。”</w:t>
            </w:r>
          </w:p>
          <w:p w14:paraId="28E82F03">
            <w:pPr>
              <w:pStyle w:val="77"/>
              <w:spacing w:line="360" w:lineRule="auto"/>
              <w:ind w:left="-4" w:leftChars="-2"/>
              <w:rPr>
                <w:rFonts w:hint="eastAsia"/>
                <w:color w:val="auto"/>
                <w:spacing w:val="13"/>
                <w:sz w:val="21"/>
                <w:szCs w:val="21"/>
                <w:lang w:eastAsia="zh-CN"/>
              </w:rPr>
            </w:pPr>
            <w:r>
              <w:rPr>
                <w:rFonts w:hint="eastAsia"/>
                <w:color w:val="auto"/>
                <w:spacing w:val="13"/>
                <w:sz w:val="21"/>
                <w:szCs w:val="21"/>
                <w:lang w:eastAsia="zh-CN"/>
              </w:rPr>
              <w:t>本项目</w:t>
            </w:r>
            <w:r>
              <w:rPr>
                <w:rFonts w:hint="eastAsia"/>
                <w:color w:val="auto"/>
                <w:spacing w:val="13"/>
                <w:sz w:val="21"/>
                <w:szCs w:val="21"/>
                <w:lang w:val="en-US" w:eastAsia="zh-CN"/>
              </w:rPr>
              <w:t>专门面向中小企业采购；</w:t>
            </w:r>
            <w:r>
              <w:rPr>
                <w:rFonts w:hint="eastAsia"/>
                <w:color w:val="auto"/>
                <w:spacing w:val="13"/>
                <w:sz w:val="21"/>
                <w:szCs w:val="21"/>
                <w:lang w:eastAsia="zh-CN"/>
              </w:rPr>
              <w:t>不提供或未按要求提供会被否决。</w:t>
            </w:r>
          </w:p>
        </w:tc>
      </w:tr>
    </w:tbl>
    <w:p w14:paraId="3387AA39">
      <w:pPr>
        <w:rPr>
          <w:rFonts w:hint="eastAsia" w:ascii="宋体" w:hAnsi="宋体" w:eastAsia="宋体" w:cs="宋体"/>
          <w:highlight w:val="none"/>
        </w:rPr>
      </w:pPr>
    </w:p>
    <w:p w14:paraId="295445E6">
      <w:pPr>
        <w:rPr>
          <w:rFonts w:hint="eastAsia" w:ascii="宋体" w:hAnsi="宋体" w:eastAsia="宋体" w:cs="宋体"/>
          <w:highlight w:val="none"/>
        </w:rPr>
      </w:pPr>
      <w:r>
        <w:rPr>
          <w:rFonts w:hint="eastAsia" w:ascii="宋体" w:hAnsi="宋体" w:eastAsia="宋体" w:cs="宋体"/>
          <w:highlight w:val="none"/>
        </w:rPr>
        <w:br w:type="page"/>
      </w:r>
    </w:p>
    <w:p w14:paraId="60E738F7">
      <w:pPr>
        <w:pStyle w:val="2"/>
        <w:bidi w:val="0"/>
        <w:rPr>
          <w:rFonts w:hint="eastAsia" w:ascii="宋体" w:hAnsi="宋体" w:eastAsia="宋体" w:cs="宋体"/>
          <w:highlight w:val="none"/>
        </w:rPr>
      </w:pPr>
      <w:bookmarkStart w:id="76" w:name="_Toc21649"/>
      <w:r>
        <w:rPr>
          <w:rFonts w:hint="eastAsia" w:ascii="宋体" w:hAnsi="宋体" w:eastAsia="宋体" w:cs="宋体"/>
          <w:highlight w:val="none"/>
        </w:rPr>
        <w:t>第</w:t>
      </w:r>
      <w:r>
        <w:rPr>
          <w:rFonts w:hint="eastAsia" w:cs="宋体"/>
          <w:highlight w:val="none"/>
          <w:lang w:val="en-US" w:eastAsia="zh-CN"/>
        </w:rPr>
        <w:t>六</w:t>
      </w:r>
      <w:r>
        <w:rPr>
          <w:rFonts w:hint="eastAsia" w:ascii="宋体" w:hAnsi="宋体" w:eastAsia="宋体" w:cs="宋体"/>
          <w:highlight w:val="none"/>
        </w:rPr>
        <w:t>章 采购需求</w:t>
      </w:r>
      <w:bookmarkEnd w:id="76"/>
    </w:p>
    <w:p w14:paraId="637990B6">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z w:val="28"/>
          <w:szCs w:val="28"/>
          <w:highlight w:val="none"/>
          <w:lang w:val="en-US" w:eastAsia="zh-CN"/>
        </w:rPr>
      </w:pPr>
    </w:p>
    <w:p w14:paraId="4F5459AA">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一、商务要求</w:t>
      </w:r>
    </w:p>
    <w:p w14:paraId="6174828C">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lang w:eastAsia="zh-CN"/>
        </w:rPr>
        <w:t>项目名称：</w:t>
      </w:r>
      <w:r>
        <w:rPr>
          <w:rFonts w:hint="eastAsia" w:ascii="宋体" w:hAnsi="宋体" w:eastAsia="宋体" w:cs="宋体"/>
          <w:sz w:val="28"/>
          <w:szCs w:val="28"/>
          <w:highlight w:val="none"/>
          <w:lang w:val="en-US" w:eastAsia="zh-CN"/>
        </w:rPr>
        <w:t>新疆维吾尔自治区昌吉某某单位食材采购项目标包四（猪肉类）</w:t>
      </w:r>
      <w:r>
        <w:rPr>
          <w:rFonts w:hint="eastAsia" w:ascii="宋体" w:hAnsi="宋体" w:eastAsia="宋体" w:cs="宋体"/>
          <w:sz w:val="28"/>
          <w:szCs w:val="28"/>
          <w:highlight w:val="none"/>
          <w:lang w:eastAsia="zh-CN"/>
        </w:rPr>
        <w:t>。</w:t>
      </w:r>
    </w:p>
    <w:p w14:paraId="0EA1AE5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2、供货期：一年</w:t>
      </w:r>
    </w:p>
    <w:p w14:paraId="7E4A1D4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3、供货地点：甲方指定地点</w:t>
      </w:r>
    </w:p>
    <w:p w14:paraId="100CDA4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4、保质期：按招标文件要求</w:t>
      </w:r>
    </w:p>
    <w:p w14:paraId="528CA40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5、冷链运输车（自有或租赁）：供应商须具有冷链运输车，自有车辆须提供：有效的《机动车行驶证》、车辆正面图片及保险单，《机动车行驶证》的关键信息应与车辆正面图片、保险单相对应；租赁车辆须提供：有效的车辆租赁协议、《机动车行驶证》、车辆正面图片及保险单；证明材料未提供或提供不完整的投标无效。</w:t>
      </w:r>
    </w:p>
    <w:p w14:paraId="20559BE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6、冷冻冷藏库（自有或租赁）：供应商须具有适用于本项目的冷冻冷藏库，自有的须提供有效的仓库所有权证明材料及仓库具有冷冻冷藏设备的证明材料、冷冻冷藏库图片；租赁的须提供租赁合同、仓库所有权证明材料及仓库具有冷冻冷藏设备的证明材料、冷冻冷藏库图片；证明材料未提供或提供不完整的投标无效。</w:t>
      </w:r>
    </w:p>
    <w:p w14:paraId="0051A08B">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b/>
          <w:bCs/>
          <w:sz w:val="28"/>
          <w:szCs w:val="28"/>
          <w:highlight w:val="none"/>
          <w:lang w:eastAsia="zh-CN"/>
        </w:rPr>
      </w:pPr>
    </w:p>
    <w:p w14:paraId="4C3492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
          <w:bCs/>
          <w:sz w:val="28"/>
          <w:szCs w:val="28"/>
          <w:highlight w:val="none"/>
          <w:lang w:eastAsia="zh-CN"/>
        </w:rPr>
      </w:pPr>
      <w:r>
        <w:rPr>
          <w:rFonts w:hint="eastAsia" w:ascii="宋体" w:hAnsi="宋体" w:eastAsia="宋体" w:cs="宋体"/>
          <w:b/>
          <w:bCs/>
          <w:sz w:val="28"/>
          <w:szCs w:val="28"/>
          <w:highlight w:val="none"/>
          <w:lang w:eastAsia="zh-CN"/>
        </w:rPr>
        <w:t>二、技术要求</w:t>
      </w:r>
    </w:p>
    <w:p w14:paraId="2C41126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1、猪肉表面应微干或湿润，有光泽，肌肉纤维清晰，按压后凹陷迅速恢复，无异味、无黏液、无霉点。每批送货附《动物产品检疫合格证书》《肉品品质检验合格证书》。鲜肉运输时，冷藏车中心温度应保持在0-4°C。</w:t>
      </w:r>
    </w:p>
    <w:p w14:paraId="16330BF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宋体" w:cs="宋体"/>
          <w:sz w:val="28"/>
          <w:szCs w:val="28"/>
          <w:highlight w:val="none"/>
          <w:lang w:eastAsia="zh-CN"/>
        </w:rPr>
      </w:pP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lang w:eastAsia="zh-CN"/>
        </w:rPr>
        <w:t>需求清单</w:t>
      </w:r>
    </w:p>
    <w:tbl>
      <w:tblPr>
        <w:tblStyle w:val="30"/>
        <w:tblW w:w="92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0"/>
        <w:gridCol w:w="3013"/>
        <w:gridCol w:w="1538"/>
        <w:gridCol w:w="1816"/>
        <w:gridCol w:w="2091"/>
      </w:tblGrid>
      <w:tr w14:paraId="31C1C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38" w:type="dxa"/>
            <w:gridSpan w:val="5"/>
            <w:tcBorders>
              <w:top w:val="nil"/>
              <w:left w:val="nil"/>
              <w:bottom w:val="single" w:color="auto" w:sz="4" w:space="0"/>
              <w:right w:val="nil"/>
            </w:tcBorders>
            <w:shd w:val="clear" w:color="auto" w:fill="auto"/>
            <w:noWrap/>
            <w:vAlign w:val="center"/>
          </w:tcPr>
          <w:p w14:paraId="641FB00B">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猪肉类明细</w:t>
            </w:r>
          </w:p>
        </w:tc>
      </w:tr>
      <w:tr w14:paraId="613EC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5711E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序号</w:t>
            </w:r>
          </w:p>
        </w:tc>
        <w:tc>
          <w:tcPr>
            <w:tcW w:w="30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A6848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名称</w:t>
            </w:r>
          </w:p>
        </w:tc>
        <w:tc>
          <w:tcPr>
            <w:tcW w:w="15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FE3F2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规格</w:t>
            </w:r>
          </w:p>
        </w:tc>
        <w:tc>
          <w:tcPr>
            <w:tcW w:w="18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71ECD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价格</w:t>
            </w:r>
          </w:p>
        </w:tc>
        <w:tc>
          <w:tcPr>
            <w:tcW w:w="20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023D9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备注</w:t>
            </w:r>
          </w:p>
        </w:tc>
      </w:tr>
      <w:tr w14:paraId="262A7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392E95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5ACF6D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猪前腿</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DEFAD4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94F0BD1">
            <w:pPr>
              <w:jc w:val="center"/>
              <w:rPr>
                <w:rFonts w:hint="eastAsia" w:ascii="宋体" w:hAnsi="宋体" w:eastAsia="宋体" w:cs="宋体"/>
                <w:i w:val="0"/>
                <w:iCs w:val="0"/>
                <w:color w:val="000000"/>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336C081">
            <w:pPr>
              <w:jc w:val="center"/>
              <w:rPr>
                <w:rFonts w:hint="eastAsia" w:ascii="宋体" w:hAnsi="宋体" w:eastAsia="宋体" w:cs="宋体"/>
                <w:i w:val="0"/>
                <w:iCs w:val="0"/>
                <w:color w:val="000000"/>
                <w:sz w:val="24"/>
                <w:szCs w:val="24"/>
                <w:highlight w:val="none"/>
                <w:u w:val="none"/>
              </w:rPr>
            </w:pPr>
          </w:p>
        </w:tc>
      </w:tr>
      <w:tr w14:paraId="78293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14:paraId="5A12943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14:paraId="4BF6CF4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猪里脊</w:t>
            </w:r>
          </w:p>
        </w:tc>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14:paraId="47D9BE2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14:paraId="111E01C8">
            <w:pPr>
              <w:jc w:val="center"/>
              <w:rPr>
                <w:rFonts w:hint="eastAsia" w:ascii="宋体" w:hAnsi="宋体" w:eastAsia="宋体" w:cs="宋体"/>
                <w:i w:val="0"/>
                <w:iCs w:val="0"/>
                <w:color w:val="000000"/>
                <w:sz w:val="24"/>
                <w:szCs w:val="24"/>
                <w:highlight w:val="none"/>
                <w:u w:val="none"/>
              </w:rPr>
            </w:pPr>
          </w:p>
        </w:tc>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14:paraId="331D2770">
            <w:pPr>
              <w:jc w:val="center"/>
              <w:rPr>
                <w:rFonts w:hint="eastAsia" w:ascii="宋体" w:hAnsi="宋体" w:eastAsia="宋体" w:cs="宋体"/>
                <w:i w:val="0"/>
                <w:iCs w:val="0"/>
                <w:color w:val="000000"/>
                <w:sz w:val="24"/>
                <w:szCs w:val="24"/>
                <w:highlight w:val="none"/>
                <w:u w:val="none"/>
              </w:rPr>
            </w:pPr>
          </w:p>
        </w:tc>
      </w:tr>
      <w:tr w14:paraId="6BC67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8A9D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AD7F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猪带皮五花肉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CC0B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F2E0B">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D5916">
            <w:pPr>
              <w:jc w:val="center"/>
              <w:rPr>
                <w:rFonts w:hint="eastAsia" w:ascii="宋体" w:hAnsi="宋体" w:eastAsia="宋体" w:cs="宋体"/>
                <w:i w:val="0"/>
                <w:iCs w:val="0"/>
                <w:color w:val="000000"/>
                <w:sz w:val="24"/>
                <w:szCs w:val="24"/>
                <w:highlight w:val="none"/>
                <w:u w:val="none"/>
              </w:rPr>
            </w:pPr>
          </w:p>
        </w:tc>
      </w:tr>
      <w:tr w14:paraId="23250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46A0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8C74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猪去皮五花肉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BC74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7203A">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62D88">
            <w:pPr>
              <w:rPr>
                <w:rFonts w:hint="eastAsia" w:ascii="宋体" w:hAnsi="宋体" w:eastAsia="宋体" w:cs="宋体"/>
                <w:i w:val="0"/>
                <w:iCs w:val="0"/>
                <w:color w:val="000000"/>
                <w:sz w:val="24"/>
                <w:szCs w:val="24"/>
                <w:highlight w:val="none"/>
                <w:u w:val="none"/>
              </w:rPr>
            </w:pPr>
          </w:p>
        </w:tc>
      </w:tr>
      <w:tr w14:paraId="1595E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F036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1E59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猪精品五花肉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7CCE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C84D2">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F2815">
            <w:pPr>
              <w:rPr>
                <w:rFonts w:hint="eastAsia" w:ascii="宋体" w:hAnsi="宋体" w:eastAsia="宋体" w:cs="宋体"/>
                <w:i w:val="0"/>
                <w:iCs w:val="0"/>
                <w:color w:val="000000"/>
                <w:sz w:val="24"/>
                <w:szCs w:val="24"/>
                <w:highlight w:val="none"/>
                <w:u w:val="none"/>
              </w:rPr>
            </w:pPr>
          </w:p>
        </w:tc>
      </w:tr>
      <w:tr w14:paraId="0BA98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164F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0E96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猪排骨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8F18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252D8">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C8FBE">
            <w:pPr>
              <w:rPr>
                <w:rFonts w:hint="eastAsia" w:ascii="宋体" w:hAnsi="宋体" w:eastAsia="宋体" w:cs="宋体"/>
                <w:i w:val="0"/>
                <w:iCs w:val="0"/>
                <w:color w:val="000000"/>
                <w:sz w:val="24"/>
                <w:szCs w:val="24"/>
                <w:highlight w:val="none"/>
                <w:u w:val="none"/>
              </w:rPr>
            </w:pPr>
          </w:p>
        </w:tc>
      </w:tr>
      <w:tr w14:paraId="43466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9CD2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E5F3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猪肘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C535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D884C">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D4701">
            <w:pPr>
              <w:rPr>
                <w:rFonts w:hint="eastAsia" w:ascii="宋体" w:hAnsi="宋体" w:eastAsia="宋体" w:cs="宋体"/>
                <w:i w:val="0"/>
                <w:iCs w:val="0"/>
                <w:color w:val="000000"/>
                <w:sz w:val="24"/>
                <w:szCs w:val="24"/>
                <w:highlight w:val="none"/>
                <w:u w:val="none"/>
              </w:rPr>
            </w:pPr>
          </w:p>
        </w:tc>
      </w:tr>
      <w:tr w14:paraId="6222A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B24B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0757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猪蹄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AE9A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2FA24">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D25CF">
            <w:pPr>
              <w:rPr>
                <w:rFonts w:hint="eastAsia" w:ascii="宋体" w:hAnsi="宋体" w:eastAsia="宋体" w:cs="宋体"/>
                <w:i w:val="0"/>
                <w:iCs w:val="0"/>
                <w:color w:val="000000"/>
                <w:sz w:val="24"/>
                <w:szCs w:val="24"/>
                <w:highlight w:val="none"/>
                <w:u w:val="none"/>
              </w:rPr>
            </w:pPr>
          </w:p>
        </w:tc>
      </w:tr>
      <w:tr w14:paraId="524D6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3984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1353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筒子骨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FDCC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21A3E">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3326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带肉</w:t>
            </w:r>
          </w:p>
        </w:tc>
      </w:tr>
      <w:tr w14:paraId="2469F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3D30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AF7F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猪板油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4003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504A1">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38178">
            <w:pPr>
              <w:rPr>
                <w:rFonts w:hint="eastAsia" w:ascii="宋体" w:hAnsi="宋体" w:eastAsia="宋体" w:cs="宋体"/>
                <w:i w:val="0"/>
                <w:iCs w:val="0"/>
                <w:color w:val="000000"/>
                <w:sz w:val="24"/>
                <w:szCs w:val="24"/>
                <w:highlight w:val="none"/>
                <w:u w:val="none"/>
              </w:rPr>
            </w:pPr>
          </w:p>
        </w:tc>
      </w:tr>
      <w:tr w14:paraId="28531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C0D8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BC62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猪皮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C381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88240">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25F39">
            <w:pPr>
              <w:rPr>
                <w:rFonts w:hint="eastAsia" w:ascii="宋体" w:hAnsi="宋体" w:eastAsia="宋体" w:cs="宋体"/>
                <w:i w:val="0"/>
                <w:iCs w:val="0"/>
                <w:color w:val="000000"/>
                <w:sz w:val="24"/>
                <w:szCs w:val="24"/>
                <w:highlight w:val="none"/>
                <w:u w:val="none"/>
              </w:rPr>
            </w:pPr>
          </w:p>
        </w:tc>
      </w:tr>
      <w:tr w14:paraId="39425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8013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A9D2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猪血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B51E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09570">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ADCB3">
            <w:pPr>
              <w:rPr>
                <w:rFonts w:hint="eastAsia" w:ascii="宋体" w:hAnsi="宋体" w:eastAsia="宋体" w:cs="宋体"/>
                <w:i w:val="0"/>
                <w:iCs w:val="0"/>
                <w:color w:val="000000"/>
                <w:sz w:val="24"/>
                <w:szCs w:val="24"/>
                <w:highlight w:val="none"/>
                <w:u w:val="none"/>
              </w:rPr>
            </w:pPr>
          </w:p>
        </w:tc>
      </w:tr>
      <w:tr w14:paraId="49961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5200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4956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猪头肉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1AA3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7C5F6">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6F2E6">
            <w:pPr>
              <w:rPr>
                <w:rFonts w:hint="eastAsia" w:ascii="宋体" w:hAnsi="宋体" w:eastAsia="宋体" w:cs="宋体"/>
                <w:i w:val="0"/>
                <w:iCs w:val="0"/>
                <w:color w:val="000000"/>
                <w:sz w:val="24"/>
                <w:szCs w:val="24"/>
                <w:highlight w:val="none"/>
                <w:u w:val="none"/>
              </w:rPr>
            </w:pPr>
          </w:p>
        </w:tc>
      </w:tr>
      <w:tr w14:paraId="604E0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7912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BD46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猪棒骨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2605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048D9">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62D3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不带肉</w:t>
            </w:r>
          </w:p>
        </w:tc>
      </w:tr>
      <w:tr w14:paraId="12C48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E164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3804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猪肚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B469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1C3AA">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67D18">
            <w:pPr>
              <w:rPr>
                <w:rFonts w:hint="eastAsia" w:ascii="宋体" w:hAnsi="宋体" w:eastAsia="宋体" w:cs="宋体"/>
                <w:i w:val="0"/>
                <w:iCs w:val="0"/>
                <w:color w:val="000000"/>
                <w:sz w:val="24"/>
                <w:szCs w:val="24"/>
                <w:highlight w:val="none"/>
                <w:u w:val="none"/>
              </w:rPr>
            </w:pPr>
          </w:p>
        </w:tc>
      </w:tr>
      <w:tr w14:paraId="062A9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9B0A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21EB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猪熟肥肠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722B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6E51C">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7A2DA">
            <w:pPr>
              <w:rPr>
                <w:rFonts w:hint="eastAsia" w:ascii="宋体" w:hAnsi="宋体" w:eastAsia="宋体" w:cs="宋体"/>
                <w:i w:val="0"/>
                <w:iCs w:val="0"/>
                <w:color w:val="000000"/>
                <w:sz w:val="24"/>
                <w:szCs w:val="24"/>
                <w:highlight w:val="none"/>
                <w:u w:val="none"/>
              </w:rPr>
            </w:pPr>
          </w:p>
        </w:tc>
      </w:tr>
      <w:tr w14:paraId="144FE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B57E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06DA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猪腰花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69B4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C5A48">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3E7A1">
            <w:pPr>
              <w:rPr>
                <w:rFonts w:hint="eastAsia" w:ascii="宋体" w:hAnsi="宋体" w:eastAsia="宋体" w:cs="宋体"/>
                <w:i w:val="0"/>
                <w:iCs w:val="0"/>
                <w:color w:val="000000"/>
                <w:sz w:val="24"/>
                <w:szCs w:val="24"/>
                <w:highlight w:val="none"/>
                <w:u w:val="none"/>
              </w:rPr>
            </w:pPr>
          </w:p>
        </w:tc>
      </w:tr>
      <w:tr w14:paraId="3D8C2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E248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5424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猪肝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5DC0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92CB1">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661C2">
            <w:pPr>
              <w:rPr>
                <w:rFonts w:hint="eastAsia" w:ascii="宋体" w:hAnsi="宋体" w:eastAsia="宋体" w:cs="宋体"/>
                <w:i w:val="0"/>
                <w:iCs w:val="0"/>
                <w:color w:val="000000"/>
                <w:sz w:val="24"/>
                <w:szCs w:val="24"/>
                <w:highlight w:val="none"/>
                <w:u w:val="none"/>
              </w:rPr>
            </w:pPr>
          </w:p>
        </w:tc>
      </w:tr>
      <w:tr w14:paraId="0578A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9CF7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5878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猪心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CAD2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075B7">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270AB">
            <w:pPr>
              <w:rPr>
                <w:rFonts w:hint="eastAsia" w:ascii="宋体" w:hAnsi="宋体" w:eastAsia="宋体" w:cs="宋体"/>
                <w:i w:val="0"/>
                <w:iCs w:val="0"/>
                <w:color w:val="000000"/>
                <w:sz w:val="24"/>
                <w:szCs w:val="24"/>
                <w:highlight w:val="none"/>
                <w:u w:val="none"/>
              </w:rPr>
            </w:pPr>
          </w:p>
        </w:tc>
      </w:tr>
      <w:tr w14:paraId="15EA7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5171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EF3D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猪耳朵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732D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27D48">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003CF">
            <w:pPr>
              <w:rPr>
                <w:rFonts w:hint="eastAsia" w:ascii="宋体" w:hAnsi="宋体" w:eastAsia="宋体" w:cs="宋体"/>
                <w:i w:val="0"/>
                <w:iCs w:val="0"/>
                <w:color w:val="000000"/>
                <w:sz w:val="24"/>
                <w:szCs w:val="24"/>
                <w:highlight w:val="none"/>
                <w:u w:val="none"/>
              </w:rPr>
            </w:pPr>
          </w:p>
        </w:tc>
      </w:tr>
      <w:tr w14:paraId="6FDC0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8637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439F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猪鲜舌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D27F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BFA3C">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50C39">
            <w:pPr>
              <w:rPr>
                <w:rFonts w:hint="eastAsia" w:ascii="宋体" w:hAnsi="宋体" w:eastAsia="宋体" w:cs="宋体"/>
                <w:i w:val="0"/>
                <w:iCs w:val="0"/>
                <w:color w:val="000000"/>
                <w:sz w:val="24"/>
                <w:szCs w:val="24"/>
                <w:highlight w:val="none"/>
                <w:u w:val="none"/>
              </w:rPr>
            </w:pPr>
          </w:p>
        </w:tc>
      </w:tr>
      <w:tr w14:paraId="59CC1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C835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D329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猪尾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1F86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0ADAA">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7AC1A">
            <w:pPr>
              <w:rPr>
                <w:rFonts w:hint="eastAsia" w:ascii="宋体" w:hAnsi="宋体" w:eastAsia="宋体" w:cs="宋体"/>
                <w:i w:val="0"/>
                <w:iCs w:val="0"/>
                <w:color w:val="000000"/>
                <w:sz w:val="24"/>
                <w:szCs w:val="24"/>
                <w:highlight w:val="none"/>
                <w:u w:val="none"/>
              </w:rPr>
            </w:pPr>
          </w:p>
        </w:tc>
      </w:tr>
      <w:tr w14:paraId="1A5AC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55DA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19D7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整猪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1E35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CF590">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3F15C">
            <w:pPr>
              <w:rPr>
                <w:rFonts w:hint="eastAsia" w:ascii="宋体" w:hAnsi="宋体" w:eastAsia="宋体" w:cs="宋体"/>
                <w:i w:val="0"/>
                <w:iCs w:val="0"/>
                <w:color w:val="000000"/>
                <w:sz w:val="24"/>
                <w:szCs w:val="24"/>
                <w:highlight w:val="none"/>
                <w:u w:val="none"/>
              </w:rPr>
            </w:pPr>
          </w:p>
        </w:tc>
      </w:tr>
      <w:tr w14:paraId="1B915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FD45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FB0C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猪肉精瘦肉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1AFE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5BE03">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4BBF0">
            <w:pPr>
              <w:rPr>
                <w:rFonts w:hint="eastAsia" w:ascii="宋体" w:hAnsi="宋体" w:eastAsia="宋体" w:cs="宋体"/>
                <w:i w:val="0"/>
                <w:iCs w:val="0"/>
                <w:color w:val="000000"/>
                <w:sz w:val="24"/>
                <w:szCs w:val="24"/>
                <w:highlight w:val="none"/>
                <w:u w:val="none"/>
              </w:rPr>
            </w:pPr>
          </w:p>
        </w:tc>
      </w:tr>
      <w:tr w14:paraId="02CEB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C082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AAD3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猪前肘子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9299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52CF0">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8582F">
            <w:pPr>
              <w:rPr>
                <w:rFonts w:hint="eastAsia" w:ascii="宋体" w:hAnsi="宋体" w:eastAsia="宋体" w:cs="宋体"/>
                <w:i w:val="0"/>
                <w:iCs w:val="0"/>
                <w:color w:val="000000"/>
                <w:sz w:val="24"/>
                <w:szCs w:val="24"/>
                <w:highlight w:val="none"/>
                <w:u w:val="none"/>
              </w:rPr>
            </w:pPr>
          </w:p>
        </w:tc>
      </w:tr>
      <w:tr w14:paraId="06B0D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2C9C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FF75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猪后肘子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0B3E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34461">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D14FD">
            <w:pPr>
              <w:rPr>
                <w:rFonts w:hint="eastAsia" w:ascii="宋体" w:hAnsi="宋体" w:eastAsia="宋体" w:cs="宋体"/>
                <w:i w:val="0"/>
                <w:iCs w:val="0"/>
                <w:color w:val="000000"/>
                <w:sz w:val="24"/>
                <w:szCs w:val="24"/>
                <w:highlight w:val="none"/>
                <w:u w:val="none"/>
              </w:rPr>
            </w:pPr>
          </w:p>
        </w:tc>
      </w:tr>
      <w:tr w14:paraId="211FD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259F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0EC9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猪大排肌肉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1CFF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D8FBF">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89839">
            <w:pPr>
              <w:rPr>
                <w:rFonts w:hint="eastAsia" w:ascii="宋体" w:hAnsi="宋体" w:eastAsia="宋体" w:cs="宋体"/>
                <w:i w:val="0"/>
                <w:iCs w:val="0"/>
                <w:color w:val="000000"/>
                <w:sz w:val="24"/>
                <w:szCs w:val="24"/>
                <w:highlight w:val="none"/>
                <w:u w:val="none"/>
              </w:rPr>
            </w:pPr>
          </w:p>
        </w:tc>
      </w:tr>
      <w:tr w14:paraId="6E515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7EE8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0BC8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猪后腿肌肉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22FF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C4469">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DF63B">
            <w:pPr>
              <w:rPr>
                <w:rFonts w:hint="eastAsia" w:ascii="宋体" w:hAnsi="宋体" w:eastAsia="宋体" w:cs="宋体"/>
                <w:i w:val="0"/>
                <w:iCs w:val="0"/>
                <w:color w:val="000000"/>
                <w:sz w:val="24"/>
                <w:szCs w:val="24"/>
                <w:highlight w:val="none"/>
                <w:u w:val="none"/>
              </w:rPr>
            </w:pPr>
          </w:p>
        </w:tc>
      </w:tr>
      <w:tr w14:paraId="43C3D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0EAA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6E7D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猪前腿肌肉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EAC1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F2379">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D74A5">
            <w:pPr>
              <w:rPr>
                <w:rFonts w:hint="eastAsia" w:ascii="宋体" w:hAnsi="宋体" w:eastAsia="宋体" w:cs="宋体"/>
                <w:i w:val="0"/>
                <w:iCs w:val="0"/>
                <w:color w:val="000000"/>
                <w:sz w:val="24"/>
                <w:szCs w:val="24"/>
                <w:highlight w:val="none"/>
                <w:u w:val="none"/>
              </w:rPr>
            </w:pPr>
          </w:p>
        </w:tc>
      </w:tr>
      <w:tr w14:paraId="6A0A1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73A6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EAC9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猪颈背肌肉（里脊）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AB85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B2F65">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D988D">
            <w:pPr>
              <w:rPr>
                <w:rFonts w:hint="eastAsia" w:ascii="宋体" w:hAnsi="宋体" w:eastAsia="宋体" w:cs="宋体"/>
                <w:i w:val="0"/>
                <w:iCs w:val="0"/>
                <w:color w:val="000000"/>
                <w:sz w:val="24"/>
                <w:szCs w:val="24"/>
                <w:highlight w:val="none"/>
                <w:u w:val="none"/>
              </w:rPr>
            </w:pPr>
          </w:p>
        </w:tc>
      </w:tr>
      <w:tr w14:paraId="3DD0C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83A1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5A81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猪肉五花肉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8E86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4F289">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0B708">
            <w:pPr>
              <w:rPr>
                <w:rFonts w:hint="eastAsia" w:ascii="宋体" w:hAnsi="宋体" w:eastAsia="宋体" w:cs="宋体"/>
                <w:i w:val="0"/>
                <w:iCs w:val="0"/>
                <w:color w:val="000000"/>
                <w:sz w:val="24"/>
                <w:szCs w:val="24"/>
                <w:highlight w:val="none"/>
                <w:u w:val="none"/>
              </w:rPr>
            </w:pPr>
          </w:p>
        </w:tc>
      </w:tr>
      <w:tr w14:paraId="09618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A29F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9CBA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猪肉（ 白条）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400E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881B8">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A88DA">
            <w:pPr>
              <w:rPr>
                <w:rFonts w:hint="eastAsia" w:ascii="宋体" w:hAnsi="宋体" w:eastAsia="宋体" w:cs="宋体"/>
                <w:i w:val="0"/>
                <w:iCs w:val="0"/>
                <w:color w:val="000000"/>
                <w:sz w:val="24"/>
                <w:szCs w:val="24"/>
                <w:highlight w:val="none"/>
                <w:u w:val="none"/>
              </w:rPr>
            </w:pPr>
          </w:p>
        </w:tc>
      </w:tr>
      <w:tr w14:paraId="57142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02D3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6D72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精猪肉五花肉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645A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236EB">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5A842">
            <w:pPr>
              <w:rPr>
                <w:rFonts w:hint="eastAsia" w:ascii="宋体" w:hAnsi="宋体" w:eastAsia="宋体" w:cs="宋体"/>
                <w:i w:val="0"/>
                <w:iCs w:val="0"/>
                <w:color w:val="000000"/>
                <w:sz w:val="24"/>
                <w:szCs w:val="24"/>
                <w:highlight w:val="none"/>
                <w:u w:val="none"/>
              </w:rPr>
            </w:pPr>
          </w:p>
        </w:tc>
      </w:tr>
      <w:tr w14:paraId="35062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B703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C8AD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猪口条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9A72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65C45">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FA1BA">
            <w:pPr>
              <w:rPr>
                <w:rFonts w:hint="eastAsia" w:ascii="宋体" w:hAnsi="宋体" w:eastAsia="宋体" w:cs="宋体"/>
                <w:i w:val="0"/>
                <w:iCs w:val="0"/>
                <w:color w:val="000000"/>
                <w:sz w:val="24"/>
                <w:szCs w:val="24"/>
                <w:highlight w:val="none"/>
                <w:u w:val="none"/>
              </w:rPr>
            </w:pPr>
          </w:p>
        </w:tc>
      </w:tr>
      <w:tr w14:paraId="38693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CE25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C411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猪脸肉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DF38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C08BB">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D573A">
            <w:pPr>
              <w:rPr>
                <w:rFonts w:hint="eastAsia" w:ascii="宋体" w:hAnsi="宋体" w:eastAsia="宋体" w:cs="宋体"/>
                <w:i w:val="0"/>
                <w:iCs w:val="0"/>
                <w:color w:val="000000"/>
                <w:sz w:val="24"/>
                <w:szCs w:val="24"/>
                <w:highlight w:val="none"/>
                <w:u w:val="none"/>
              </w:rPr>
            </w:pPr>
          </w:p>
        </w:tc>
      </w:tr>
      <w:tr w14:paraId="0FBF8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654C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A720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猪脸肉预煮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1385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039E0">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DE910">
            <w:pPr>
              <w:rPr>
                <w:rFonts w:hint="eastAsia" w:ascii="宋体" w:hAnsi="宋体" w:eastAsia="宋体" w:cs="宋体"/>
                <w:i w:val="0"/>
                <w:iCs w:val="0"/>
                <w:color w:val="000000"/>
                <w:sz w:val="24"/>
                <w:szCs w:val="24"/>
                <w:highlight w:val="none"/>
                <w:u w:val="none"/>
              </w:rPr>
            </w:pPr>
          </w:p>
        </w:tc>
      </w:tr>
      <w:tr w14:paraId="594C2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F8EF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18D9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猪小蹄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5B78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4EFFC">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22EA8">
            <w:pPr>
              <w:rPr>
                <w:rFonts w:hint="eastAsia" w:ascii="宋体" w:hAnsi="宋体" w:eastAsia="宋体" w:cs="宋体"/>
                <w:i w:val="0"/>
                <w:iCs w:val="0"/>
                <w:color w:val="000000"/>
                <w:sz w:val="24"/>
                <w:szCs w:val="24"/>
                <w:highlight w:val="none"/>
                <w:u w:val="none"/>
              </w:rPr>
            </w:pPr>
          </w:p>
        </w:tc>
      </w:tr>
      <w:tr w14:paraId="78DA6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1CBA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2E6B9">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腊肉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B8A6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24C16">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1289D">
            <w:pPr>
              <w:rPr>
                <w:rFonts w:hint="eastAsia" w:ascii="宋体" w:hAnsi="宋体" w:eastAsia="宋体" w:cs="宋体"/>
                <w:i w:val="0"/>
                <w:iCs w:val="0"/>
                <w:color w:val="000000"/>
                <w:sz w:val="24"/>
                <w:szCs w:val="24"/>
                <w:highlight w:val="none"/>
                <w:u w:val="none"/>
              </w:rPr>
            </w:pPr>
          </w:p>
        </w:tc>
      </w:tr>
      <w:tr w14:paraId="64079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C9F5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24512">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猪大骨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BF2F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D52A2">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6C3A4">
            <w:pPr>
              <w:jc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不带肉</w:t>
            </w:r>
          </w:p>
        </w:tc>
      </w:tr>
      <w:tr w14:paraId="00050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A960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06CA3">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猪鲜板油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BA98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BAEB0">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D9C7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46A93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B258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CB52D">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猪鲜后段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DD67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5BF06">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E941E">
            <w:pPr>
              <w:rPr>
                <w:rFonts w:hint="eastAsia" w:ascii="宋体" w:hAnsi="宋体" w:eastAsia="宋体" w:cs="宋体"/>
                <w:i w:val="0"/>
                <w:iCs w:val="0"/>
                <w:color w:val="000000"/>
                <w:sz w:val="24"/>
                <w:szCs w:val="24"/>
                <w:highlight w:val="none"/>
                <w:u w:val="none"/>
              </w:rPr>
            </w:pPr>
          </w:p>
        </w:tc>
      </w:tr>
      <w:tr w14:paraId="058FE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D4AE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050D7">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猪鲜前段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FA63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509B1">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EBFF5">
            <w:pPr>
              <w:rPr>
                <w:rFonts w:hint="eastAsia" w:ascii="宋体" w:hAnsi="宋体" w:eastAsia="宋体" w:cs="宋体"/>
                <w:i w:val="0"/>
                <w:iCs w:val="0"/>
                <w:color w:val="000000"/>
                <w:sz w:val="24"/>
                <w:szCs w:val="24"/>
                <w:highlight w:val="none"/>
                <w:u w:val="none"/>
              </w:rPr>
            </w:pPr>
          </w:p>
        </w:tc>
      </w:tr>
      <w:tr w14:paraId="29EAC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B228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D4317">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猪鲜中段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C7D2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A81BB">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CBA1D">
            <w:pPr>
              <w:rPr>
                <w:rFonts w:hint="eastAsia" w:ascii="宋体" w:hAnsi="宋体" w:eastAsia="宋体" w:cs="宋体"/>
                <w:i w:val="0"/>
                <w:iCs w:val="0"/>
                <w:color w:val="000000"/>
                <w:sz w:val="24"/>
                <w:szCs w:val="24"/>
                <w:highlight w:val="none"/>
                <w:u w:val="none"/>
              </w:rPr>
            </w:pPr>
          </w:p>
        </w:tc>
      </w:tr>
      <w:tr w14:paraId="4B9FA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66A7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A0FCB">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猪腊肠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E636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55C82">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F8807">
            <w:pPr>
              <w:rPr>
                <w:rFonts w:hint="eastAsia" w:ascii="宋体" w:hAnsi="宋体" w:eastAsia="宋体" w:cs="宋体"/>
                <w:i w:val="0"/>
                <w:iCs w:val="0"/>
                <w:color w:val="000000"/>
                <w:sz w:val="24"/>
                <w:szCs w:val="24"/>
                <w:highlight w:val="none"/>
                <w:u w:val="none"/>
              </w:rPr>
            </w:pPr>
          </w:p>
        </w:tc>
      </w:tr>
      <w:tr w14:paraId="23B58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C1EE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03B5F">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猪头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FB7A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7106C">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4BEC6">
            <w:pPr>
              <w:rPr>
                <w:rFonts w:hint="eastAsia" w:ascii="宋体" w:hAnsi="宋体" w:eastAsia="宋体" w:cs="宋体"/>
                <w:i w:val="0"/>
                <w:iCs w:val="0"/>
                <w:color w:val="000000"/>
                <w:sz w:val="24"/>
                <w:szCs w:val="24"/>
                <w:highlight w:val="none"/>
                <w:u w:val="none"/>
              </w:rPr>
            </w:pPr>
          </w:p>
        </w:tc>
      </w:tr>
      <w:tr w14:paraId="4C589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715E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72E68">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猪腰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916E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0CD31">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133AD">
            <w:pPr>
              <w:rPr>
                <w:rFonts w:hint="eastAsia" w:ascii="宋体" w:hAnsi="宋体" w:eastAsia="宋体" w:cs="宋体"/>
                <w:i w:val="0"/>
                <w:iCs w:val="0"/>
                <w:color w:val="000000"/>
                <w:sz w:val="24"/>
                <w:szCs w:val="24"/>
                <w:highlight w:val="none"/>
                <w:u w:val="none"/>
              </w:rPr>
            </w:pPr>
          </w:p>
        </w:tc>
      </w:tr>
      <w:tr w14:paraId="07E26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1D66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8648C">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猪油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8301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FF6DE">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88E28">
            <w:pPr>
              <w:rPr>
                <w:rFonts w:hint="eastAsia" w:ascii="宋体" w:hAnsi="宋体" w:eastAsia="宋体" w:cs="宋体"/>
                <w:i w:val="0"/>
                <w:iCs w:val="0"/>
                <w:color w:val="000000"/>
                <w:sz w:val="24"/>
                <w:szCs w:val="24"/>
                <w:highlight w:val="none"/>
                <w:u w:val="none"/>
              </w:rPr>
            </w:pPr>
          </w:p>
        </w:tc>
      </w:tr>
      <w:tr w14:paraId="0F766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482D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2EA91">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猪扁骨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6B91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C2CFF">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04FE8">
            <w:pPr>
              <w:jc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带肉</w:t>
            </w:r>
          </w:p>
        </w:tc>
      </w:tr>
      <w:tr w14:paraId="3B4C3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D8E6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76223">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猪血块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8024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E2518">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40E9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6AAA0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385E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7868B">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猪肉沫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CC12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37BE0">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444A6">
            <w:pPr>
              <w:rPr>
                <w:rFonts w:hint="eastAsia" w:ascii="宋体" w:hAnsi="宋体" w:eastAsia="宋体" w:cs="宋体"/>
                <w:i w:val="0"/>
                <w:iCs w:val="0"/>
                <w:color w:val="000000"/>
                <w:sz w:val="24"/>
                <w:szCs w:val="24"/>
                <w:highlight w:val="none"/>
                <w:u w:val="none"/>
              </w:rPr>
            </w:pPr>
          </w:p>
        </w:tc>
      </w:tr>
      <w:tr w14:paraId="18C4E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1B57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F4680">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猪耳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51CD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BBD2F">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E79C2">
            <w:pPr>
              <w:rPr>
                <w:rFonts w:hint="eastAsia" w:ascii="宋体" w:hAnsi="宋体" w:eastAsia="宋体" w:cs="宋体"/>
                <w:i w:val="0"/>
                <w:iCs w:val="0"/>
                <w:color w:val="000000"/>
                <w:sz w:val="24"/>
                <w:szCs w:val="24"/>
                <w:highlight w:val="none"/>
                <w:u w:val="none"/>
              </w:rPr>
            </w:pPr>
          </w:p>
        </w:tc>
      </w:tr>
      <w:tr w14:paraId="44AE9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205F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AEF23">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猪颈背肌肉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9833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57CF4">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A210C">
            <w:pPr>
              <w:rPr>
                <w:rFonts w:hint="eastAsia" w:ascii="宋体" w:hAnsi="宋体" w:eastAsia="宋体" w:cs="宋体"/>
                <w:i w:val="0"/>
                <w:iCs w:val="0"/>
                <w:color w:val="000000"/>
                <w:sz w:val="24"/>
                <w:szCs w:val="24"/>
                <w:highlight w:val="none"/>
                <w:u w:val="none"/>
              </w:rPr>
            </w:pPr>
          </w:p>
        </w:tc>
      </w:tr>
      <w:tr w14:paraId="590B9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57CC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1CEA5">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鲜猪耳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9403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ACED8">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843F2">
            <w:pPr>
              <w:rPr>
                <w:rFonts w:hint="eastAsia" w:ascii="宋体" w:hAnsi="宋体" w:eastAsia="宋体" w:cs="宋体"/>
                <w:i w:val="0"/>
                <w:iCs w:val="0"/>
                <w:color w:val="000000"/>
                <w:sz w:val="24"/>
                <w:szCs w:val="24"/>
                <w:highlight w:val="none"/>
                <w:u w:val="none"/>
              </w:rPr>
            </w:pPr>
          </w:p>
        </w:tc>
      </w:tr>
      <w:tr w14:paraId="5CFB3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A260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454F7">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鲜猪肚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6CB1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47DC2">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39C53">
            <w:pPr>
              <w:rPr>
                <w:rFonts w:hint="eastAsia" w:ascii="宋体" w:hAnsi="宋体" w:eastAsia="宋体" w:cs="宋体"/>
                <w:i w:val="0"/>
                <w:iCs w:val="0"/>
                <w:color w:val="000000"/>
                <w:sz w:val="24"/>
                <w:szCs w:val="24"/>
                <w:highlight w:val="none"/>
                <w:u w:val="none"/>
              </w:rPr>
            </w:pPr>
          </w:p>
        </w:tc>
      </w:tr>
      <w:tr w14:paraId="7B24D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840A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73F83">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鲜猪肝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417A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4B6B6">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3F094">
            <w:pPr>
              <w:rPr>
                <w:rFonts w:hint="eastAsia" w:ascii="宋体" w:hAnsi="宋体" w:eastAsia="宋体" w:cs="宋体"/>
                <w:i w:val="0"/>
                <w:iCs w:val="0"/>
                <w:color w:val="000000"/>
                <w:sz w:val="24"/>
                <w:szCs w:val="24"/>
                <w:highlight w:val="none"/>
                <w:u w:val="none"/>
              </w:rPr>
            </w:pPr>
          </w:p>
        </w:tc>
      </w:tr>
      <w:tr w14:paraId="7843E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95EB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0AAB1">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鲜猪心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3A67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AF424">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E08DD">
            <w:pPr>
              <w:rPr>
                <w:rFonts w:hint="eastAsia" w:ascii="宋体" w:hAnsi="宋体" w:eastAsia="宋体" w:cs="宋体"/>
                <w:i w:val="0"/>
                <w:iCs w:val="0"/>
                <w:color w:val="000000"/>
                <w:sz w:val="24"/>
                <w:szCs w:val="24"/>
                <w:highlight w:val="none"/>
                <w:u w:val="none"/>
              </w:rPr>
            </w:pPr>
          </w:p>
        </w:tc>
      </w:tr>
      <w:tr w14:paraId="41737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13AE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A934E">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鲜猪尾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FB0F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B32AC">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A9F1D">
            <w:pPr>
              <w:rPr>
                <w:rFonts w:hint="eastAsia" w:ascii="宋体" w:hAnsi="宋体" w:eastAsia="宋体" w:cs="宋体"/>
                <w:i w:val="0"/>
                <w:iCs w:val="0"/>
                <w:color w:val="000000"/>
                <w:sz w:val="24"/>
                <w:szCs w:val="24"/>
                <w:highlight w:val="none"/>
                <w:u w:val="none"/>
              </w:rPr>
            </w:pPr>
          </w:p>
        </w:tc>
      </w:tr>
      <w:tr w14:paraId="796F1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DA9F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DCA9F">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2"/>
                <w:sz w:val="24"/>
                <w:szCs w:val="24"/>
                <w:highlight w:val="none"/>
                <w:u w:val="none"/>
                <w:lang w:val="en-US" w:eastAsia="zh-CN" w:bidi="ar-SA"/>
              </w:rPr>
              <w:t>猪鲜肥肠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ECD2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C3441">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12535">
            <w:pPr>
              <w:rPr>
                <w:rFonts w:hint="eastAsia" w:ascii="宋体" w:hAnsi="宋体" w:eastAsia="宋体" w:cs="宋体"/>
                <w:i w:val="0"/>
                <w:iCs w:val="0"/>
                <w:color w:val="000000"/>
                <w:sz w:val="24"/>
                <w:szCs w:val="24"/>
                <w:highlight w:val="none"/>
                <w:u w:val="none"/>
              </w:rPr>
            </w:pPr>
          </w:p>
        </w:tc>
      </w:tr>
    </w:tbl>
    <w:p w14:paraId="64A1D979">
      <w:pPr>
        <w:rPr>
          <w:rFonts w:hint="eastAsia" w:ascii="宋体" w:hAnsi="宋体" w:eastAsia="宋体" w:cs="宋体"/>
          <w:highlight w:val="none"/>
        </w:rPr>
      </w:pPr>
    </w:p>
    <w:p w14:paraId="6E5FC196">
      <w:pPr>
        <w:rPr>
          <w:rFonts w:hint="eastAsia" w:ascii="宋体" w:hAnsi="宋体" w:eastAsia="宋体" w:cs="宋体"/>
          <w:highlight w:val="none"/>
        </w:rPr>
      </w:pPr>
      <w:r>
        <w:rPr>
          <w:rFonts w:hint="eastAsia" w:ascii="宋体" w:hAnsi="宋体" w:eastAsia="宋体" w:cs="宋体"/>
          <w:highlight w:val="none"/>
        </w:rPr>
        <w:t>注：以上“需求清单”中的货物数量均为1，报价为整体折扣率。</w:t>
      </w:r>
    </w:p>
    <w:p w14:paraId="06F235E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2、采购内容</w:t>
      </w:r>
    </w:p>
    <w:p w14:paraId="75F48D9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供应商所供食材须符合相关食品安全国家标准。</w:t>
      </w:r>
    </w:p>
    <w:p w14:paraId="39666DB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供应商所供肉类食材须具有动物检验检疫合格证明，且符合食品卫生安全法要求。新鲜肉类（</w:t>
      </w:r>
      <w:r>
        <w:rPr>
          <w:rFonts w:hint="eastAsia" w:ascii="宋体" w:hAnsi="宋体" w:eastAsia="宋体" w:cs="宋体"/>
          <w:sz w:val="28"/>
          <w:szCs w:val="28"/>
          <w:highlight w:val="none"/>
          <w:lang w:val="en-US" w:eastAsia="zh-CN"/>
        </w:rPr>
        <w:t>猪</w:t>
      </w:r>
      <w:r>
        <w:rPr>
          <w:rFonts w:hint="eastAsia" w:ascii="宋体" w:hAnsi="宋体" w:eastAsia="宋体" w:cs="宋体"/>
          <w:sz w:val="28"/>
          <w:szCs w:val="28"/>
          <w:highlight w:val="none"/>
          <w:lang w:eastAsia="zh-CN"/>
        </w:rPr>
        <w:t>肉），肉有光泽，新鲜气味正常，肉不能是冷冻肉，必须清洗干净。</w:t>
      </w:r>
    </w:p>
    <w:p w14:paraId="152D2DB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需求单位所采购的食材品种、类别及数量以实际发生为准，按时结算。</w:t>
      </w:r>
    </w:p>
    <w:p w14:paraId="25E6FB4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eastAsia="zh-CN"/>
        </w:rPr>
        <w:t>3、报价</w:t>
      </w:r>
      <w:r>
        <w:rPr>
          <w:rFonts w:hint="eastAsia" w:ascii="宋体" w:hAnsi="宋体" w:eastAsia="宋体" w:cs="宋体"/>
          <w:sz w:val="28"/>
          <w:szCs w:val="28"/>
          <w:highlight w:val="none"/>
          <w:lang w:val="en-US" w:eastAsia="zh-CN"/>
        </w:rPr>
        <w:t>要求</w:t>
      </w:r>
      <w:r>
        <w:rPr>
          <w:rFonts w:hint="eastAsia" w:ascii="宋体" w:hAnsi="宋体" w:eastAsia="宋体" w:cs="宋体"/>
          <w:sz w:val="28"/>
          <w:szCs w:val="28"/>
          <w:highlight w:val="none"/>
          <w:lang w:val="en-US" w:eastAsia="zh-CN"/>
        </w:rPr>
        <w:br w:type="textWrapping"/>
      </w:r>
      <w:r>
        <w:rPr>
          <w:rFonts w:hint="eastAsia" w:ascii="宋体" w:hAnsi="宋体" w:eastAsia="宋体" w:cs="宋体"/>
          <w:sz w:val="28"/>
          <w:szCs w:val="28"/>
          <w:highlight w:val="none"/>
          <w:lang w:val="en-US" w:eastAsia="zh-CN"/>
        </w:rPr>
        <w:t>1、本项目进行折扣报价（折扣率不得大于100%，例如：90%或91%或92%或95%等；不得在折扣率前填写“±”，例如：不得填报+101%或-101%等，折扣率以1%为间隔）。</w:t>
      </w:r>
    </w:p>
    <w:p w14:paraId="5F5B7BE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根据实际需求猪肉类物资参照乌鲁木齐北园春市场(或者九鼎官网)公布的中间价报折扣率，如因上述网站信息发布的时效等因素导致该基准价明显高于供货当日实际市场价，需求单位有权与中标人协商对基准价进行下调。若出现上述网站没有信息价（基准价）的产品品目，则由需求单位在新联市场、九鼎农贸市场等大型专业批发市场或大中型商超市场以询价方式确定送货价格(由招标人经三家及以上询价确定送货单价)，并以所询价的平均价作为送货单价，周询月结。月底结账时按中标的折扣率统一结算。</w:t>
      </w:r>
    </w:p>
    <w:p w14:paraId="5F65EF0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（3）、结算价=基准价×中标折扣率；例如某产品信息价（基准价）为1000元，折扣率为95%，实际付款金额为950元（注：该措辞仅供解释使用，具体投标报价由供应商结合自身情况自主报价）。</w:t>
      </w:r>
    </w:p>
    <w:p w14:paraId="7BEAA72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（4）、本项目投标报价包括货物到达招标人指定地点的全部费用，包括但不限于项目实施所需的货物费、包装运输费、配送费、人工费、装卸费、管理费、利润、税费等一切费用。</w:t>
      </w:r>
    </w:p>
    <w:p w14:paraId="5E68424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highlight w:val="none"/>
        </w:rPr>
      </w:pPr>
      <w:r>
        <w:rPr>
          <w:rFonts w:hint="eastAsia" w:ascii="宋体" w:hAnsi="宋体" w:eastAsia="宋体" w:cs="宋体"/>
          <w:sz w:val="28"/>
          <w:szCs w:val="28"/>
          <w:highlight w:val="none"/>
          <w:lang w:val="en-US" w:eastAsia="zh-CN"/>
        </w:rPr>
        <w:t>（5）、严格开具税务发票，投标报价为含税价格，供应商应按含税金额开具增值税普通发票。</w:t>
      </w:r>
      <w:r>
        <w:rPr>
          <w:rFonts w:hint="eastAsia" w:ascii="宋体" w:hAnsi="宋体" w:eastAsia="宋体" w:cs="宋体"/>
          <w:sz w:val="28"/>
          <w:szCs w:val="28"/>
          <w:highlight w:val="none"/>
          <w:lang w:eastAsia="zh-CN"/>
        </w:rPr>
        <w:br w:type="textWrapping"/>
      </w:r>
      <w:r>
        <w:rPr>
          <w:rFonts w:hint="eastAsia" w:ascii="宋体" w:hAnsi="宋体" w:eastAsia="宋体" w:cs="宋体"/>
          <w:highlight w:val="none"/>
        </w:rPr>
        <w:br w:type="page"/>
      </w:r>
    </w:p>
    <w:p w14:paraId="5037AF0B">
      <w:pPr>
        <w:pStyle w:val="2"/>
        <w:bidi w:val="0"/>
        <w:rPr>
          <w:rFonts w:hint="eastAsia" w:ascii="宋体" w:hAnsi="宋体" w:eastAsia="宋体" w:cs="宋体"/>
          <w:highlight w:val="none"/>
        </w:rPr>
      </w:pPr>
      <w:bookmarkStart w:id="77" w:name="_Toc21297"/>
      <w:r>
        <w:rPr>
          <w:rFonts w:hint="eastAsia" w:ascii="宋体" w:hAnsi="宋体" w:eastAsia="宋体" w:cs="宋体"/>
          <w:highlight w:val="none"/>
        </w:rPr>
        <w:t>第</w:t>
      </w:r>
      <w:r>
        <w:rPr>
          <w:rFonts w:hint="eastAsia" w:cs="宋体"/>
          <w:highlight w:val="none"/>
          <w:lang w:val="en-US" w:eastAsia="zh-CN"/>
        </w:rPr>
        <w:t>七</w:t>
      </w:r>
      <w:r>
        <w:rPr>
          <w:rFonts w:hint="eastAsia" w:ascii="宋体" w:hAnsi="宋体" w:eastAsia="宋体" w:cs="宋体"/>
          <w:highlight w:val="none"/>
        </w:rPr>
        <w:t>章 评标方法和标准</w:t>
      </w:r>
      <w:bookmarkEnd w:id="68"/>
      <w:bookmarkEnd w:id="69"/>
      <w:bookmarkEnd w:id="77"/>
    </w:p>
    <w:p w14:paraId="3C3D8B4C">
      <w:pPr>
        <w:spacing w:line="360" w:lineRule="auto"/>
        <w:ind w:left="24" w:right="13" w:firstLine="479"/>
        <w:rPr>
          <w:rFonts w:hint="eastAsia" w:ascii="宋体" w:hAnsi="宋体" w:eastAsia="宋体" w:cs="宋体"/>
          <w:color w:val="auto"/>
          <w:sz w:val="24"/>
          <w:szCs w:val="24"/>
          <w:highlight w:val="none"/>
          <w:lang w:eastAsia="zh-CN"/>
        </w:rPr>
      </w:pPr>
      <w:bookmarkStart w:id="78" w:name="_Toc25580"/>
      <w:r>
        <w:rPr>
          <w:rFonts w:hint="eastAsia" w:ascii="宋体" w:hAnsi="宋体" w:eastAsia="宋体" w:cs="宋体"/>
          <w:color w:val="auto"/>
          <w:spacing w:val="-3"/>
          <w:sz w:val="24"/>
          <w:szCs w:val="24"/>
          <w:highlight w:val="none"/>
          <w:lang w:eastAsia="zh-CN"/>
        </w:rPr>
        <w:t>根据《中华人民共和国政府采购法》及其实施条例、《政府采购</w:t>
      </w:r>
      <w:r>
        <w:rPr>
          <w:rFonts w:hint="eastAsia" w:ascii="宋体" w:hAnsi="宋体" w:eastAsia="宋体" w:cs="宋体"/>
          <w:color w:val="auto"/>
          <w:spacing w:val="-4"/>
          <w:sz w:val="24"/>
          <w:szCs w:val="24"/>
          <w:highlight w:val="none"/>
          <w:lang w:eastAsia="zh-CN"/>
        </w:rPr>
        <w:t>货物和服务</w:t>
      </w:r>
      <w:r>
        <w:rPr>
          <w:rFonts w:hint="eastAsia" w:ascii="宋体" w:hAnsi="宋体" w:eastAsia="宋体" w:cs="宋体"/>
          <w:color w:val="auto"/>
          <w:spacing w:val="-1"/>
          <w:sz w:val="24"/>
          <w:szCs w:val="24"/>
          <w:highlight w:val="none"/>
          <w:lang w:eastAsia="zh-CN"/>
        </w:rPr>
        <w:t>招标投标管理办法》及相关法律法规确定以下评标方法及标准。</w:t>
      </w:r>
    </w:p>
    <w:p w14:paraId="76957D66">
      <w:pPr>
        <w:spacing w:line="360" w:lineRule="auto"/>
        <w:ind w:left="31"/>
        <w:outlineLvl w:val="1"/>
        <w:rPr>
          <w:rFonts w:hint="eastAsia" w:ascii="宋体" w:hAnsi="宋体" w:eastAsia="宋体" w:cs="宋体"/>
          <w:color w:val="auto"/>
          <w:sz w:val="24"/>
          <w:szCs w:val="24"/>
          <w:highlight w:val="none"/>
          <w:lang w:eastAsia="zh-CN"/>
        </w:rPr>
      </w:pPr>
      <w:bookmarkStart w:id="79" w:name="bookmark165"/>
      <w:bookmarkEnd w:id="79"/>
      <w:bookmarkStart w:id="80" w:name="_Toc18135"/>
      <w:r>
        <w:rPr>
          <w:rFonts w:hint="eastAsia" w:ascii="宋体" w:hAnsi="宋体" w:eastAsia="宋体" w:cs="宋体"/>
          <w:b/>
          <w:bCs/>
          <w:color w:val="auto"/>
          <w:spacing w:val="4"/>
          <w:sz w:val="24"/>
          <w:szCs w:val="24"/>
          <w:highlight w:val="none"/>
          <w:lang w:eastAsia="zh-CN"/>
        </w:rPr>
        <w:t>一、评标方法</w:t>
      </w:r>
      <w:bookmarkEnd w:id="80"/>
    </w:p>
    <w:p w14:paraId="0B9EABBD">
      <w:pPr>
        <w:spacing w:line="360" w:lineRule="auto"/>
        <w:ind w:left="24" w:right="13" w:firstLine="496"/>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1.</w:t>
      </w:r>
      <w:r>
        <w:rPr>
          <w:rFonts w:hint="eastAsia" w:ascii="宋体" w:hAnsi="宋体" w:eastAsia="宋体" w:cs="宋体"/>
          <w:b/>
          <w:bCs/>
          <w:color w:val="auto"/>
          <w:spacing w:val="-4"/>
          <w:sz w:val="24"/>
          <w:szCs w:val="24"/>
          <w:highlight w:val="none"/>
          <w:lang w:eastAsia="zh-CN"/>
        </w:rPr>
        <w:t>本项目采用综合评分法</w:t>
      </w:r>
      <w:r>
        <w:rPr>
          <w:rFonts w:hint="eastAsia" w:ascii="宋体" w:hAnsi="宋体" w:eastAsia="宋体" w:cs="宋体"/>
          <w:color w:val="auto"/>
          <w:spacing w:val="-4"/>
          <w:sz w:val="24"/>
          <w:szCs w:val="24"/>
          <w:highlight w:val="none"/>
          <w:lang w:eastAsia="zh-CN"/>
        </w:rPr>
        <w:t>。综合评分法，是指投标</w:t>
      </w:r>
      <w:r>
        <w:rPr>
          <w:rFonts w:hint="eastAsia" w:ascii="宋体" w:hAnsi="宋体" w:eastAsia="宋体" w:cs="宋体"/>
          <w:color w:val="auto"/>
          <w:spacing w:val="-5"/>
          <w:sz w:val="24"/>
          <w:szCs w:val="24"/>
          <w:highlight w:val="none"/>
          <w:lang w:eastAsia="zh-CN"/>
        </w:rPr>
        <w:t>文件满足招标文件全部实</w:t>
      </w:r>
      <w:r>
        <w:rPr>
          <w:rFonts w:hint="eastAsia" w:ascii="宋体" w:hAnsi="宋体" w:eastAsia="宋体" w:cs="宋体"/>
          <w:color w:val="auto"/>
          <w:spacing w:val="-3"/>
          <w:sz w:val="24"/>
          <w:szCs w:val="24"/>
          <w:highlight w:val="none"/>
          <w:lang w:eastAsia="zh-CN"/>
        </w:rPr>
        <w:t>质性要求，且按照评审因素的量化指标评审得分最高的投标人为中标候选人的评标方法。</w:t>
      </w:r>
    </w:p>
    <w:p w14:paraId="0CCCE84F">
      <w:pPr>
        <w:spacing w:line="360" w:lineRule="auto"/>
        <w:ind w:left="31"/>
        <w:outlineLvl w:val="1"/>
        <w:rPr>
          <w:rFonts w:hint="eastAsia" w:ascii="宋体" w:hAnsi="宋体" w:eastAsia="宋体" w:cs="宋体"/>
          <w:color w:val="auto"/>
          <w:sz w:val="24"/>
          <w:szCs w:val="24"/>
          <w:highlight w:val="none"/>
          <w:lang w:eastAsia="zh-CN"/>
        </w:rPr>
      </w:pPr>
      <w:bookmarkStart w:id="81" w:name="bookmark167"/>
      <w:bookmarkEnd w:id="81"/>
      <w:bookmarkStart w:id="82" w:name="_Toc25589"/>
      <w:r>
        <w:rPr>
          <w:rFonts w:hint="eastAsia" w:ascii="宋体" w:hAnsi="宋体" w:eastAsia="宋体" w:cs="宋体"/>
          <w:b/>
          <w:bCs/>
          <w:color w:val="auto"/>
          <w:spacing w:val="4"/>
          <w:sz w:val="24"/>
          <w:szCs w:val="24"/>
          <w:highlight w:val="none"/>
          <w:lang w:eastAsia="zh-CN"/>
        </w:rPr>
        <w:t>二、评标程序</w:t>
      </w:r>
      <w:bookmarkEnd w:id="82"/>
    </w:p>
    <w:p w14:paraId="668D2853">
      <w:pPr>
        <w:spacing w:line="360" w:lineRule="auto"/>
        <w:ind w:left="38"/>
        <w:outlineLvl w:val="2"/>
        <w:rPr>
          <w:rFonts w:hint="eastAsia" w:ascii="宋体" w:hAnsi="宋体" w:eastAsia="宋体" w:cs="宋体"/>
          <w:color w:val="auto"/>
          <w:sz w:val="24"/>
          <w:szCs w:val="24"/>
          <w:highlight w:val="none"/>
          <w:lang w:eastAsia="zh-CN"/>
        </w:rPr>
      </w:pPr>
      <w:bookmarkStart w:id="83" w:name="bookmark168"/>
      <w:bookmarkEnd w:id="83"/>
      <w:bookmarkStart w:id="84" w:name="_Toc186477754"/>
      <w:bookmarkStart w:id="85" w:name="_Toc23982"/>
      <w:r>
        <w:rPr>
          <w:rFonts w:hint="eastAsia" w:ascii="宋体" w:hAnsi="宋体" w:eastAsia="宋体" w:cs="宋体"/>
          <w:b/>
          <w:bCs/>
          <w:color w:val="auto"/>
          <w:spacing w:val="-6"/>
          <w:sz w:val="24"/>
          <w:szCs w:val="24"/>
          <w:highlight w:val="none"/>
          <w:lang w:eastAsia="zh-CN"/>
        </w:rPr>
        <w:t>（一）符合性审查</w:t>
      </w:r>
      <w:bookmarkEnd w:id="84"/>
      <w:bookmarkEnd w:id="85"/>
    </w:p>
    <w:p w14:paraId="16C0693D">
      <w:pPr>
        <w:spacing w:line="360" w:lineRule="auto"/>
        <w:ind w:left="23" w:right="13" w:firstLine="482"/>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2.评标委员会应当对通过资格审查的投标人的投标文件进行符合</w:t>
      </w:r>
      <w:r>
        <w:rPr>
          <w:rFonts w:hint="eastAsia" w:ascii="宋体" w:hAnsi="宋体" w:eastAsia="宋体" w:cs="宋体"/>
          <w:color w:val="auto"/>
          <w:spacing w:val="-4"/>
          <w:sz w:val="24"/>
          <w:szCs w:val="24"/>
          <w:highlight w:val="none"/>
          <w:lang w:eastAsia="zh-CN"/>
        </w:rPr>
        <w:t>性审查，以</w:t>
      </w:r>
      <w:r>
        <w:rPr>
          <w:rFonts w:hint="eastAsia" w:ascii="宋体" w:hAnsi="宋体" w:eastAsia="宋体" w:cs="宋体"/>
          <w:color w:val="auto"/>
          <w:spacing w:val="-3"/>
          <w:sz w:val="24"/>
          <w:szCs w:val="24"/>
          <w:highlight w:val="none"/>
          <w:lang w:eastAsia="zh-CN"/>
        </w:rPr>
        <w:t>确定其是否满足招标文件的实质性要求。投标人必须通过符合性审查的全部评审</w:t>
      </w:r>
      <w:r>
        <w:rPr>
          <w:rFonts w:hint="eastAsia" w:ascii="宋体" w:hAnsi="宋体" w:eastAsia="宋体" w:cs="宋体"/>
          <w:color w:val="auto"/>
          <w:spacing w:val="-4"/>
          <w:sz w:val="24"/>
          <w:szCs w:val="24"/>
          <w:highlight w:val="none"/>
          <w:lang w:eastAsia="zh-CN"/>
        </w:rPr>
        <w:t>指标，不满足招标文件的实质性要求的，其</w:t>
      </w:r>
      <w:r>
        <w:rPr>
          <w:rFonts w:hint="eastAsia" w:ascii="宋体" w:hAnsi="宋体" w:eastAsia="宋体" w:cs="宋体"/>
          <w:b/>
          <w:bCs/>
          <w:color w:val="auto"/>
          <w:spacing w:val="-4"/>
          <w:sz w:val="24"/>
          <w:szCs w:val="24"/>
          <w:highlight w:val="none"/>
          <w:lang w:eastAsia="zh-CN"/>
        </w:rPr>
        <w:t>投标无效</w:t>
      </w:r>
      <w:r>
        <w:rPr>
          <w:rFonts w:hint="eastAsia" w:ascii="宋体" w:hAnsi="宋体" w:eastAsia="宋体" w:cs="宋体"/>
          <w:color w:val="auto"/>
          <w:spacing w:val="-4"/>
          <w:sz w:val="24"/>
          <w:szCs w:val="24"/>
          <w:highlight w:val="none"/>
          <w:lang w:eastAsia="zh-CN"/>
        </w:rPr>
        <w:t>。具体内容详</w:t>
      </w:r>
      <w:r>
        <w:rPr>
          <w:rFonts w:hint="eastAsia" w:ascii="宋体" w:hAnsi="宋体" w:eastAsia="宋体" w:cs="宋体"/>
          <w:color w:val="auto"/>
          <w:spacing w:val="-5"/>
          <w:sz w:val="24"/>
          <w:szCs w:val="24"/>
          <w:highlight w:val="none"/>
          <w:lang w:eastAsia="zh-CN"/>
        </w:rPr>
        <w:t>本章“四、评</w:t>
      </w:r>
      <w:r>
        <w:rPr>
          <w:rFonts w:hint="eastAsia" w:ascii="宋体" w:hAnsi="宋体" w:eastAsia="宋体" w:cs="宋体"/>
          <w:color w:val="auto"/>
          <w:spacing w:val="-3"/>
          <w:sz w:val="24"/>
          <w:szCs w:val="24"/>
          <w:highlight w:val="none"/>
          <w:lang w:eastAsia="zh-CN"/>
        </w:rPr>
        <w:t>标标准”中的“（一）符合性审查”。</w:t>
      </w:r>
    </w:p>
    <w:p w14:paraId="39D10C9C">
      <w:pPr>
        <w:spacing w:line="360" w:lineRule="auto"/>
        <w:ind w:left="38"/>
        <w:outlineLvl w:val="2"/>
        <w:rPr>
          <w:rFonts w:hint="eastAsia" w:ascii="宋体" w:hAnsi="宋体" w:eastAsia="宋体" w:cs="宋体"/>
          <w:color w:val="auto"/>
          <w:sz w:val="24"/>
          <w:szCs w:val="24"/>
          <w:highlight w:val="none"/>
          <w:lang w:eastAsia="zh-CN"/>
        </w:rPr>
      </w:pPr>
      <w:bookmarkStart w:id="86" w:name="bookmark170"/>
      <w:bookmarkEnd w:id="86"/>
      <w:bookmarkStart w:id="87" w:name="bookmark200"/>
      <w:bookmarkEnd w:id="87"/>
      <w:bookmarkStart w:id="88" w:name="bookmark169"/>
      <w:bookmarkEnd w:id="88"/>
      <w:bookmarkStart w:id="89" w:name="bookmark199"/>
      <w:bookmarkEnd w:id="89"/>
      <w:bookmarkStart w:id="90" w:name="_Toc22454"/>
      <w:bookmarkStart w:id="91" w:name="_Toc186477755"/>
      <w:r>
        <w:rPr>
          <w:rFonts w:hint="eastAsia" w:ascii="宋体" w:hAnsi="宋体" w:eastAsia="宋体" w:cs="宋体"/>
          <w:b/>
          <w:bCs/>
          <w:color w:val="auto"/>
          <w:spacing w:val="-5"/>
          <w:sz w:val="24"/>
          <w:szCs w:val="24"/>
          <w:highlight w:val="none"/>
          <w:lang w:eastAsia="zh-CN"/>
        </w:rPr>
        <w:t>（二）投标文件澄清及修正</w:t>
      </w:r>
      <w:bookmarkEnd w:id="90"/>
      <w:bookmarkEnd w:id="91"/>
    </w:p>
    <w:p w14:paraId="06911FE1">
      <w:pPr>
        <w:spacing w:line="360" w:lineRule="auto"/>
        <w:ind w:left="22" w:right="13" w:firstLine="485"/>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3.评标期间，对于投标文件中含义不明确、同类问题表述不</w:t>
      </w:r>
      <w:r>
        <w:rPr>
          <w:rFonts w:hint="eastAsia" w:ascii="宋体" w:hAnsi="宋体" w:eastAsia="宋体" w:cs="宋体"/>
          <w:color w:val="auto"/>
          <w:spacing w:val="-4"/>
          <w:sz w:val="24"/>
          <w:szCs w:val="24"/>
          <w:highlight w:val="none"/>
          <w:lang w:eastAsia="zh-CN"/>
        </w:rPr>
        <w:t>一致或者有明显</w:t>
      </w:r>
      <w:r>
        <w:rPr>
          <w:rFonts w:hint="eastAsia" w:ascii="宋体" w:hAnsi="宋体" w:eastAsia="宋体" w:cs="宋体"/>
          <w:color w:val="auto"/>
          <w:spacing w:val="-3"/>
          <w:sz w:val="24"/>
          <w:szCs w:val="24"/>
          <w:highlight w:val="none"/>
          <w:lang w:eastAsia="zh-CN"/>
        </w:rPr>
        <w:t>文字和计算错误的内容需要投标人作出必要的澄清、说明或者补正的，评标委员会应当在政采云平台评标系统中以书面形式要求投标人作出必要的澄清、说明或者补正。</w:t>
      </w:r>
    </w:p>
    <w:p w14:paraId="4B3592ED">
      <w:pPr>
        <w:spacing w:line="360" w:lineRule="auto"/>
        <w:ind w:left="23" w:right="13" w:firstLine="479"/>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4.投标人应按照评标委员会要求在规定时间内作出澄清、说明或者补正</w:t>
      </w:r>
      <w:r>
        <w:rPr>
          <w:rFonts w:hint="eastAsia" w:ascii="宋体" w:hAnsi="宋体" w:eastAsia="宋体" w:cs="宋体"/>
          <w:color w:val="auto"/>
          <w:spacing w:val="-4"/>
          <w:sz w:val="24"/>
          <w:szCs w:val="24"/>
          <w:highlight w:val="none"/>
          <w:lang w:eastAsia="zh-CN"/>
        </w:rPr>
        <w:t>，澄</w:t>
      </w:r>
      <w:r>
        <w:rPr>
          <w:rFonts w:hint="eastAsia" w:ascii="宋体" w:hAnsi="宋体" w:eastAsia="宋体" w:cs="宋体"/>
          <w:color w:val="auto"/>
          <w:sz w:val="24"/>
          <w:szCs w:val="24"/>
          <w:highlight w:val="none"/>
          <w:lang w:eastAsia="zh-CN"/>
        </w:rPr>
        <w:t>清、说明或者补正不得超出投标文件的范围或者改变</w:t>
      </w:r>
      <w:r>
        <w:rPr>
          <w:rFonts w:hint="eastAsia" w:ascii="宋体" w:hAnsi="宋体" w:eastAsia="宋体" w:cs="宋体"/>
          <w:color w:val="auto"/>
          <w:spacing w:val="-1"/>
          <w:sz w:val="24"/>
          <w:szCs w:val="24"/>
          <w:highlight w:val="none"/>
          <w:lang w:eastAsia="zh-CN"/>
        </w:rPr>
        <w:t>投标文件的实质性内容。</w:t>
      </w:r>
    </w:p>
    <w:p w14:paraId="4EC3562D">
      <w:pPr>
        <w:spacing w:line="360" w:lineRule="auto"/>
        <w:ind w:left="26" w:right="13" w:firstLine="481"/>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5.投标人的澄清、说明或者补正是其投标文件的有效组成部</w:t>
      </w:r>
      <w:r>
        <w:rPr>
          <w:rFonts w:hint="eastAsia" w:ascii="宋体" w:hAnsi="宋体" w:eastAsia="宋体" w:cs="宋体"/>
          <w:color w:val="auto"/>
          <w:spacing w:val="-4"/>
          <w:sz w:val="24"/>
          <w:szCs w:val="24"/>
          <w:highlight w:val="none"/>
          <w:lang w:eastAsia="zh-CN"/>
        </w:rPr>
        <w:t>分，澄清、说明</w:t>
      </w:r>
      <w:r>
        <w:rPr>
          <w:rFonts w:hint="eastAsia" w:ascii="宋体" w:hAnsi="宋体" w:eastAsia="宋体" w:cs="宋体"/>
          <w:color w:val="auto"/>
          <w:spacing w:val="-1"/>
          <w:sz w:val="24"/>
          <w:szCs w:val="24"/>
          <w:highlight w:val="none"/>
          <w:lang w:eastAsia="zh-CN"/>
        </w:rPr>
        <w:t>或者补正应当在政采云平台评标系统中加盖电子印章后提交。</w:t>
      </w:r>
    </w:p>
    <w:p w14:paraId="103C8046">
      <w:pPr>
        <w:spacing w:line="360" w:lineRule="auto"/>
        <w:ind w:left="24" w:right="13"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6.报价合理性说明：评标委员会认为投标人的报价明显低于其他通</w:t>
      </w:r>
      <w:r>
        <w:rPr>
          <w:rFonts w:hint="eastAsia" w:ascii="宋体" w:hAnsi="宋体" w:eastAsia="宋体" w:cs="宋体"/>
          <w:color w:val="auto"/>
          <w:spacing w:val="-4"/>
          <w:sz w:val="24"/>
          <w:szCs w:val="24"/>
          <w:highlight w:val="none"/>
          <w:lang w:eastAsia="zh-CN"/>
        </w:rPr>
        <w:t>过符合性</w:t>
      </w:r>
      <w:r>
        <w:rPr>
          <w:rFonts w:hint="eastAsia" w:ascii="宋体" w:hAnsi="宋体" w:eastAsia="宋体" w:cs="宋体"/>
          <w:color w:val="auto"/>
          <w:spacing w:val="-3"/>
          <w:sz w:val="24"/>
          <w:szCs w:val="24"/>
          <w:highlight w:val="none"/>
          <w:lang w:eastAsia="zh-CN"/>
        </w:rPr>
        <w:t>审查投标人的报价，有可能影响货物质量或者不能诚信履约的，应当要求该投标人在合理的时间内提供说明，必要时提交相关证明材料；若投标人不能证明其报</w:t>
      </w:r>
      <w:r>
        <w:rPr>
          <w:rFonts w:hint="eastAsia" w:ascii="宋体" w:hAnsi="宋体" w:eastAsia="宋体" w:cs="宋体"/>
          <w:color w:val="auto"/>
          <w:spacing w:val="-1"/>
          <w:sz w:val="24"/>
          <w:szCs w:val="24"/>
          <w:highlight w:val="none"/>
          <w:lang w:eastAsia="zh-CN"/>
        </w:rPr>
        <w:t>价合理性的，评标委员会应当将其作为</w:t>
      </w:r>
      <w:r>
        <w:rPr>
          <w:rFonts w:hint="eastAsia" w:ascii="宋体" w:hAnsi="宋体" w:eastAsia="宋体" w:cs="宋体"/>
          <w:b/>
          <w:bCs/>
          <w:color w:val="auto"/>
          <w:spacing w:val="-1"/>
          <w:sz w:val="24"/>
          <w:szCs w:val="24"/>
          <w:highlight w:val="none"/>
          <w:lang w:eastAsia="zh-CN"/>
        </w:rPr>
        <w:t>无效投标</w:t>
      </w:r>
      <w:r>
        <w:rPr>
          <w:rFonts w:hint="eastAsia" w:ascii="宋体" w:hAnsi="宋体" w:eastAsia="宋体" w:cs="宋体"/>
          <w:color w:val="auto"/>
          <w:spacing w:val="-1"/>
          <w:sz w:val="24"/>
          <w:szCs w:val="24"/>
          <w:highlight w:val="none"/>
          <w:lang w:eastAsia="zh-CN"/>
        </w:rPr>
        <w:t>处理。</w:t>
      </w:r>
    </w:p>
    <w:p w14:paraId="6A31E7D2">
      <w:pPr>
        <w:spacing w:line="360" w:lineRule="auto"/>
        <w:ind w:left="23" w:right="208" w:firstLine="485"/>
        <w:jc w:val="both"/>
        <w:rPr>
          <w:rFonts w:hint="eastAsia" w:ascii="宋体" w:hAnsi="宋体" w:eastAsia="宋体" w:cs="宋体"/>
          <w:color w:val="auto"/>
          <w:sz w:val="24"/>
          <w:szCs w:val="24"/>
          <w:highlight w:val="none"/>
          <w:lang w:eastAsia="zh-CN"/>
        </w:rPr>
      </w:pPr>
      <w:bookmarkStart w:id="92" w:name="bookmark281"/>
      <w:bookmarkEnd w:id="92"/>
      <w:r>
        <w:rPr>
          <w:rFonts w:hint="eastAsia" w:ascii="宋体" w:hAnsi="宋体" w:eastAsia="宋体" w:cs="宋体"/>
          <w:color w:val="auto"/>
          <w:spacing w:val="-3"/>
          <w:sz w:val="24"/>
          <w:szCs w:val="24"/>
          <w:highlight w:val="none"/>
          <w:lang w:eastAsia="zh-CN"/>
        </w:rPr>
        <w:t>7.投标报价须包含招标文件全部内容，如分项报价表有缺</w:t>
      </w:r>
      <w:r>
        <w:rPr>
          <w:rFonts w:hint="eastAsia" w:ascii="宋体" w:hAnsi="宋体" w:eastAsia="宋体" w:cs="宋体"/>
          <w:color w:val="auto"/>
          <w:spacing w:val="-4"/>
          <w:sz w:val="24"/>
          <w:szCs w:val="24"/>
          <w:highlight w:val="none"/>
          <w:lang w:eastAsia="zh-CN"/>
        </w:rPr>
        <w:t>漏视为已含在其他</w:t>
      </w:r>
      <w:r>
        <w:rPr>
          <w:rFonts w:hint="eastAsia" w:ascii="宋体" w:hAnsi="宋体" w:eastAsia="宋体" w:cs="宋体"/>
          <w:color w:val="auto"/>
          <w:spacing w:val="-3"/>
          <w:sz w:val="24"/>
          <w:szCs w:val="24"/>
          <w:highlight w:val="none"/>
          <w:lang w:eastAsia="zh-CN"/>
        </w:rPr>
        <w:t>各项报价中，将不对投标总价进行调整。评标委员会有权要求投标人在评标现场合理的时间内对此进行书面确认，投标人不确认的，视为将一个采购包中的内容</w:t>
      </w:r>
      <w:r>
        <w:rPr>
          <w:rFonts w:hint="eastAsia" w:ascii="宋体" w:hAnsi="宋体" w:eastAsia="宋体" w:cs="宋体"/>
          <w:color w:val="auto"/>
          <w:spacing w:val="-2"/>
          <w:sz w:val="24"/>
          <w:szCs w:val="24"/>
          <w:highlight w:val="none"/>
          <w:lang w:eastAsia="zh-CN"/>
        </w:rPr>
        <w:t>拆分投标，其</w:t>
      </w:r>
      <w:r>
        <w:rPr>
          <w:rFonts w:hint="eastAsia" w:ascii="宋体" w:hAnsi="宋体" w:eastAsia="宋体" w:cs="宋体"/>
          <w:b/>
          <w:bCs/>
          <w:color w:val="auto"/>
          <w:spacing w:val="-2"/>
          <w:sz w:val="24"/>
          <w:szCs w:val="24"/>
          <w:highlight w:val="none"/>
          <w:lang w:eastAsia="zh-CN"/>
        </w:rPr>
        <w:t>投标无效</w:t>
      </w:r>
      <w:r>
        <w:rPr>
          <w:rFonts w:hint="eastAsia" w:ascii="宋体" w:hAnsi="宋体" w:eastAsia="宋体" w:cs="宋体"/>
          <w:color w:val="auto"/>
          <w:spacing w:val="-2"/>
          <w:sz w:val="24"/>
          <w:szCs w:val="24"/>
          <w:highlight w:val="none"/>
          <w:lang w:eastAsia="zh-CN"/>
        </w:rPr>
        <w:t>。</w:t>
      </w:r>
    </w:p>
    <w:p w14:paraId="56766BDA">
      <w:pPr>
        <w:spacing w:line="360" w:lineRule="auto"/>
        <w:ind w:left="23" w:right="208"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8.投标文件报价出现前后不一致的，除招标文件另有规定外，按照下</w:t>
      </w:r>
      <w:r>
        <w:rPr>
          <w:rFonts w:hint="eastAsia" w:ascii="宋体" w:hAnsi="宋体" w:eastAsia="宋体" w:cs="宋体"/>
          <w:color w:val="auto"/>
          <w:spacing w:val="-4"/>
          <w:sz w:val="24"/>
          <w:szCs w:val="24"/>
          <w:highlight w:val="none"/>
          <w:lang w:eastAsia="zh-CN"/>
        </w:rPr>
        <w:t>列规定修正：</w:t>
      </w:r>
    </w:p>
    <w:p w14:paraId="6BB6DF6B">
      <w:pPr>
        <w:spacing w:line="360" w:lineRule="auto"/>
        <w:ind w:left="50" w:right="147" w:firstLine="453"/>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7"/>
          <w:sz w:val="24"/>
          <w:szCs w:val="24"/>
          <w:highlight w:val="none"/>
          <w:lang w:eastAsia="zh-CN"/>
        </w:rPr>
        <w:t>8.1投标文件中开标一览表（报价表）内容与投标文件中相应内容不一致的，</w:t>
      </w:r>
      <w:r>
        <w:rPr>
          <w:rFonts w:hint="eastAsia" w:ascii="宋体" w:hAnsi="宋体" w:eastAsia="宋体" w:cs="宋体"/>
          <w:color w:val="auto"/>
          <w:spacing w:val="-3"/>
          <w:sz w:val="24"/>
          <w:szCs w:val="24"/>
          <w:highlight w:val="none"/>
          <w:lang w:eastAsia="zh-CN"/>
        </w:rPr>
        <w:t>以开标一览表（报价表）为准；</w:t>
      </w:r>
    </w:p>
    <w:p w14:paraId="1AFE63FF">
      <w:pPr>
        <w:spacing w:line="360" w:lineRule="auto"/>
        <w:ind w:left="504"/>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8.2大写金额和小写金额不一致的，以大写金额为准；</w:t>
      </w:r>
    </w:p>
    <w:p w14:paraId="132198D1">
      <w:pPr>
        <w:spacing w:line="360" w:lineRule="auto"/>
        <w:ind w:left="29" w:right="233" w:firstLine="475"/>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8.3单价金额小数点或者百分比有明显错位</w:t>
      </w:r>
      <w:r>
        <w:rPr>
          <w:rFonts w:hint="eastAsia" w:ascii="宋体" w:hAnsi="宋体" w:eastAsia="宋体" w:cs="宋体"/>
          <w:color w:val="auto"/>
          <w:spacing w:val="-3"/>
          <w:sz w:val="24"/>
          <w:szCs w:val="24"/>
          <w:highlight w:val="none"/>
          <w:lang w:eastAsia="zh-CN"/>
        </w:rPr>
        <w:t>的，以开标一览表的总价为准，并修改单价；</w:t>
      </w:r>
    </w:p>
    <w:p w14:paraId="7BDC99AF">
      <w:pPr>
        <w:spacing w:line="360" w:lineRule="auto"/>
        <w:ind w:left="504"/>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8.4总价金额与按单价汇总金额不一致的，以单价金额计算结果为准。</w:t>
      </w:r>
    </w:p>
    <w:p w14:paraId="56E20376">
      <w:pPr>
        <w:spacing w:line="360" w:lineRule="auto"/>
        <w:ind w:left="23" w:right="208" w:firstLine="503"/>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同时出现两种以上不一致的，按照8.1—8.4的顺序修正。修正后</w:t>
      </w:r>
      <w:r>
        <w:rPr>
          <w:rFonts w:hint="eastAsia" w:ascii="宋体" w:hAnsi="宋体" w:eastAsia="宋体" w:cs="宋体"/>
          <w:color w:val="auto"/>
          <w:spacing w:val="-3"/>
          <w:sz w:val="24"/>
          <w:szCs w:val="24"/>
          <w:highlight w:val="none"/>
          <w:lang w:eastAsia="zh-CN"/>
        </w:rPr>
        <w:t>的报价采用书面形式，并加盖公章，或者由法定代表人或其授权的代表签字，经投标人确</w:t>
      </w:r>
      <w:r>
        <w:rPr>
          <w:rFonts w:hint="eastAsia" w:ascii="宋体" w:hAnsi="宋体" w:eastAsia="宋体" w:cs="宋体"/>
          <w:color w:val="auto"/>
          <w:spacing w:val="-1"/>
          <w:sz w:val="24"/>
          <w:szCs w:val="24"/>
          <w:highlight w:val="none"/>
          <w:lang w:eastAsia="zh-CN"/>
        </w:rPr>
        <w:t>认后产生约束力，投标人不确认的，其</w:t>
      </w:r>
      <w:r>
        <w:rPr>
          <w:rFonts w:hint="eastAsia" w:ascii="宋体" w:hAnsi="宋体" w:eastAsia="宋体" w:cs="宋体"/>
          <w:b/>
          <w:bCs/>
          <w:color w:val="auto"/>
          <w:spacing w:val="-1"/>
          <w:sz w:val="24"/>
          <w:szCs w:val="24"/>
          <w:highlight w:val="none"/>
          <w:lang w:eastAsia="zh-CN"/>
        </w:rPr>
        <w:t>投标无效</w:t>
      </w:r>
      <w:r>
        <w:rPr>
          <w:rFonts w:hint="eastAsia" w:ascii="宋体" w:hAnsi="宋体" w:eastAsia="宋体" w:cs="宋体"/>
          <w:color w:val="auto"/>
          <w:spacing w:val="-1"/>
          <w:sz w:val="24"/>
          <w:szCs w:val="24"/>
          <w:highlight w:val="none"/>
          <w:lang w:eastAsia="zh-CN"/>
        </w:rPr>
        <w:t>。</w:t>
      </w:r>
    </w:p>
    <w:p w14:paraId="3CEB3C71">
      <w:pPr>
        <w:spacing w:line="360" w:lineRule="auto"/>
        <w:ind w:left="38"/>
        <w:outlineLvl w:val="2"/>
        <w:rPr>
          <w:rFonts w:hint="eastAsia" w:ascii="宋体" w:hAnsi="宋体" w:eastAsia="宋体" w:cs="宋体"/>
          <w:color w:val="auto"/>
          <w:sz w:val="24"/>
          <w:szCs w:val="24"/>
          <w:highlight w:val="none"/>
          <w:lang w:eastAsia="zh-CN"/>
        </w:rPr>
      </w:pPr>
      <w:bookmarkStart w:id="93" w:name="bookmark171"/>
      <w:bookmarkEnd w:id="93"/>
      <w:bookmarkStart w:id="94" w:name="_Toc186477756"/>
      <w:bookmarkStart w:id="95" w:name="_Toc25777"/>
      <w:r>
        <w:rPr>
          <w:rFonts w:hint="eastAsia" w:ascii="宋体" w:hAnsi="宋体" w:eastAsia="宋体" w:cs="宋体"/>
          <w:b/>
          <w:bCs/>
          <w:color w:val="auto"/>
          <w:spacing w:val="-6"/>
          <w:sz w:val="24"/>
          <w:szCs w:val="24"/>
          <w:highlight w:val="none"/>
          <w:lang w:eastAsia="zh-CN"/>
        </w:rPr>
        <w:t>（三）比较与评价</w:t>
      </w:r>
      <w:bookmarkEnd w:id="94"/>
      <w:bookmarkEnd w:id="95"/>
    </w:p>
    <w:p w14:paraId="35A73C80">
      <w:pPr>
        <w:spacing w:line="360" w:lineRule="auto"/>
        <w:ind w:left="22" w:right="208" w:firstLine="481"/>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9.评标委员会应当按照招标文件中规定的评标方法和标准，对符合性</w:t>
      </w:r>
      <w:r>
        <w:rPr>
          <w:rFonts w:hint="eastAsia" w:ascii="宋体" w:hAnsi="宋体" w:eastAsia="宋体" w:cs="宋体"/>
          <w:color w:val="auto"/>
          <w:spacing w:val="-4"/>
          <w:sz w:val="24"/>
          <w:szCs w:val="24"/>
          <w:highlight w:val="none"/>
          <w:lang w:eastAsia="zh-CN"/>
        </w:rPr>
        <w:t>审查合</w:t>
      </w:r>
      <w:r>
        <w:rPr>
          <w:rFonts w:hint="eastAsia" w:ascii="宋体" w:hAnsi="宋体" w:eastAsia="宋体" w:cs="宋体"/>
          <w:color w:val="auto"/>
          <w:spacing w:val="-3"/>
          <w:sz w:val="24"/>
          <w:szCs w:val="24"/>
          <w:highlight w:val="none"/>
          <w:lang w:eastAsia="zh-CN"/>
        </w:rPr>
        <w:t>格的投标文件进行商务和技术评估，综合比较与评价；未通过符合性审查的投标文件不得进入比较与评价。评审因素包括投标报价、商务技术以及落实政府采购</w:t>
      </w:r>
      <w:r>
        <w:rPr>
          <w:rFonts w:hint="eastAsia" w:ascii="宋体" w:hAnsi="宋体" w:eastAsia="宋体" w:cs="宋体"/>
          <w:color w:val="auto"/>
          <w:spacing w:val="-2"/>
          <w:sz w:val="24"/>
          <w:szCs w:val="24"/>
          <w:highlight w:val="none"/>
          <w:lang w:eastAsia="zh-CN"/>
        </w:rPr>
        <w:t>政策。评审因素及标准见本章“四、评标标准”。</w:t>
      </w:r>
    </w:p>
    <w:p w14:paraId="2295BABB">
      <w:pPr>
        <w:spacing w:line="360" w:lineRule="auto"/>
        <w:ind w:left="521"/>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10.相同品牌处理原则</w:t>
      </w:r>
    </w:p>
    <w:p w14:paraId="31E97A87">
      <w:pPr>
        <w:spacing w:line="360" w:lineRule="auto"/>
        <w:ind w:left="26" w:right="208" w:firstLine="494"/>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10.1单一产品采购（或非单一产品采购中的核心产品</w:t>
      </w:r>
      <w:r>
        <w:rPr>
          <w:rFonts w:hint="eastAsia" w:ascii="宋体" w:hAnsi="宋体" w:eastAsia="宋体" w:cs="宋体"/>
          <w:color w:val="auto"/>
          <w:spacing w:val="12"/>
          <w:sz w:val="24"/>
          <w:szCs w:val="24"/>
          <w:highlight w:val="none"/>
          <w:lang w:eastAsia="zh-CN"/>
        </w:rPr>
        <w:t>），</w:t>
      </w:r>
      <w:r>
        <w:rPr>
          <w:rFonts w:hint="eastAsia" w:ascii="宋体" w:hAnsi="宋体" w:eastAsia="宋体" w:cs="宋体"/>
          <w:color w:val="auto"/>
          <w:spacing w:val="-2"/>
          <w:sz w:val="24"/>
          <w:szCs w:val="24"/>
          <w:highlight w:val="none"/>
          <w:lang w:eastAsia="zh-CN"/>
        </w:rPr>
        <w:t>提供相同品牌产</w:t>
      </w:r>
      <w:r>
        <w:rPr>
          <w:rFonts w:hint="eastAsia" w:ascii="宋体" w:hAnsi="宋体" w:eastAsia="宋体" w:cs="宋体"/>
          <w:color w:val="auto"/>
          <w:spacing w:val="-3"/>
          <w:sz w:val="24"/>
          <w:szCs w:val="24"/>
          <w:highlight w:val="none"/>
          <w:lang w:eastAsia="zh-CN"/>
        </w:rPr>
        <w:t>品且通过资格审查、符合性审查的不同投标人参加同一合同项下投标的，按</w:t>
      </w:r>
      <w:r>
        <w:rPr>
          <w:rFonts w:hint="eastAsia" w:ascii="宋体" w:hAnsi="宋体" w:eastAsia="宋体" w:cs="宋体"/>
          <w:color w:val="auto"/>
          <w:spacing w:val="-4"/>
          <w:sz w:val="24"/>
          <w:szCs w:val="24"/>
          <w:highlight w:val="none"/>
          <w:lang w:eastAsia="zh-CN"/>
        </w:rPr>
        <w:t>一家</w:t>
      </w:r>
      <w:r>
        <w:rPr>
          <w:rFonts w:hint="eastAsia" w:ascii="宋体" w:hAnsi="宋体" w:eastAsia="宋体" w:cs="宋体"/>
          <w:color w:val="auto"/>
          <w:spacing w:val="-3"/>
          <w:sz w:val="24"/>
          <w:szCs w:val="24"/>
          <w:highlight w:val="none"/>
          <w:lang w:eastAsia="zh-CN"/>
        </w:rPr>
        <w:t>投标人计算。</w:t>
      </w:r>
    </w:p>
    <w:p w14:paraId="4B639D00">
      <w:pPr>
        <w:spacing w:line="360" w:lineRule="auto"/>
        <w:ind w:left="24" w:firstLine="496"/>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10.2非单一产品采购项目，采购人应当根据采购项目技</w:t>
      </w:r>
      <w:r>
        <w:rPr>
          <w:rFonts w:hint="eastAsia" w:ascii="宋体" w:hAnsi="宋体" w:eastAsia="宋体" w:cs="宋体"/>
          <w:color w:val="auto"/>
          <w:spacing w:val="-2"/>
          <w:sz w:val="24"/>
          <w:szCs w:val="24"/>
          <w:highlight w:val="none"/>
          <w:lang w:eastAsia="zh-CN"/>
        </w:rPr>
        <w:t>术构成、产品价格</w:t>
      </w:r>
      <w:r>
        <w:rPr>
          <w:rFonts w:hint="eastAsia" w:ascii="宋体" w:hAnsi="宋体" w:eastAsia="宋体" w:cs="宋体"/>
          <w:color w:val="auto"/>
          <w:spacing w:val="-4"/>
          <w:sz w:val="24"/>
          <w:szCs w:val="24"/>
          <w:highlight w:val="none"/>
          <w:lang w:eastAsia="zh-CN"/>
        </w:rPr>
        <w:t>比重等合理确定核心产品（采购清单中作“与核心产品相同〈或同一〉品牌”实</w:t>
      </w:r>
      <w:r>
        <w:rPr>
          <w:rFonts w:hint="eastAsia" w:ascii="宋体" w:hAnsi="宋体" w:eastAsia="宋体" w:cs="宋体"/>
          <w:color w:val="auto"/>
          <w:spacing w:val="1"/>
          <w:sz w:val="24"/>
          <w:szCs w:val="24"/>
          <w:highlight w:val="none"/>
          <w:lang w:eastAsia="zh-CN"/>
        </w:rPr>
        <w:t>质性要求的产品，视为核心产品</w:t>
      </w:r>
      <w:r>
        <w:rPr>
          <w:rFonts w:hint="eastAsia" w:ascii="宋体" w:hAnsi="宋体" w:eastAsia="宋体" w:cs="宋体"/>
          <w:color w:val="auto"/>
          <w:spacing w:val="7"/>
          <w:sz w:val="24"/>
          <w:szCs w:val="24"/>
          <w:highlight w:val="none"/>
          <w:lang w:eastAsia="zh-CN"/>
        </w:rPr>
        <w:t>），</w:t>
      </w:r>
      <w:r>
        <w:rPr>
          <w:rFonts w:hint="eastAsia" w:ascii="宋体" w:hAnsi="宋体" w:eastAsia="宋体" w:cs="宋体"/>
          <w:color w:val="auto"/>
          <w:spacing w:val="1"/>
          <w:sz w:val="24"/>
          <w:szCs w:val="24"/>
          <w:highlight w:val="none"/>
          <w:lang w:eastAsia="zh-CN"/>
        </w:rPr>
        <w:t>并以“核心产品”在“</w:t>
      </w:r>
      <w:r>
        <w:rPr>
          <w:rFonts w:hint="eastAsia" w:ascii="宋体" w:hAnsi="宋体" w:eastAsia="宋体" w:cs="宋体"/>
          <w:color w:val="auto"/>
          <w:sz w:val="24"/>
          <w:szCs w:val="24"/>
          <w:highlight w:val="none"/>
          <w:lang w:eastAsia="zh-CN"/>
        </w:rPr>
        <w:t>投标人须知前附表”</w:t>
      </w:r>
      <w:r>
        <w:rPr>
          <w:rFonts w:hint="eastAsia" w:ascii="宋体" w:hAnsi="宋体" w:eastAsia="宋体" w:cs="宋体"/>
          <w:color w:val="auto"/>
          <w:spacing w:val="-1"/>
          <w:sz w:val="24"/>
          <w:szCs w:val="24"/>
          <w:highlight w:val="none"/>
          <w:lang w:eastAsia="zh-CN"/>
        </w:rPr>
        <w:t>中载明，评审时按前款规定处理。</w:t>
      </w:r>
    </w:p>
    <w:p w14:paraId="1CDCC5BD">
      <w:pPr>
        <w:spacing w:line="360" w:lineRule="auto"/>
        <w:ind w:left="521"/>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10.3有效投标品牌不足3家的应按</w:t>
      </w:r>
      <w:r>
        <w:rPr>
          <w:rFonts w:hint="eastAsia" w:ascii="宋体" w:hAnsi="宋体" w:eastAsia="宋体" w:cs="宋体"/>
          <w:b/>
          <w:bCs/>
          <w:color w:val="auto"/>
          <w:spacing w:val="-3"/>
          <w:sz w:val="24"/>
          <w:szCs w:val="24"/>
          <w:highlight w:val="none"/>
          <w:lang w:eastAsia="zh-CN"/>
        </w:rPr>
        <w:t>废标</w:t>
      </w:r>
      <w:r>
        <w:rPr>
          <w:rFonts w:hint="eastAsia" w:ascii="宋体" w:hAnsi="宋体" w:eastAsia="宋体" w:cs="宋体"/>
          <w:color w:val="auto"/>
          <w:spacing w:val="-4"/>
          <w:sz w:val="24"/>
          <w:szCs w:val="24"/>
          <w:highlight w:val="none"/>
          <w:lang w:eastAsia="zh-CN"/>
        </w:rPr>
        <w:t>处理。</w:t>
      </w:r>
    </w:p>
    <w:p w14:paraId="6A9AFFB3">
      <w:pPr>
        <w:spacing w:line="360" w:lineRule="auto"/>
        <w:ind w:left="38"/>
        <w:outlineLvl w:val="2"/>
        <w:rPr>
          <w:rFonts w:hint="eastAsia" w:ascii="宋体" w:hAnsi="宋体" w:eastAsia="宋体" w:cs="宋体"/>
          <w:color w:val="auto"/>
          <w:sz w:val="24"/>
          <w:szCs w:val="24"/>
          <w:highlight w:val="none"/>
          <w:lang w:eastAsia="zh-CN"/>
        </w:rPr>
      </w:pPr>
      <w:bookmarkStart w:id="96" w:name="bookmark172"/>
      <w:bookmarkEnd w:id="96"/>
      <w:bookmarkStart w:id="97" w:name="bookmark282"/>
      <w:bookmarkEnd w:id="97"/>
      <w:bookmarkStart w:id="98" w:name="_Toc186477757"/>
      <w:bookmarkStart w:id="99" w:name="_Toc31351"/>
      <w:r>
        <w:rPr>
          <w:rFonts w:hint="eastAsia" w:ascii="宋体" w:hAnsi="宋体" w:eastAsia="宋体" w:cs="宋体"/>
          <w:b/>
          <w:bCs/>
          <w:color w:val="auto"/>
          <w:spacing w:val="-6"/>
          <w:sz w:val="24"/>
          <w:szCs w:val="24"/>
          <w:highlight w:val="none"/>
          <w:lang w:eastAsia="zh-CN"/>
        </w:rPr>
        <w:t>（四）报价评审</w:t>
      </w:r>
      <w:bookmarkEnd w:id="98"/>
      <w:bookmarkEnd w:id="99"/>
    </w:p>
    <w:p w14:paraId="68FC9D63">
      <w:pPr>
        <w:spacing w:line="360" w:lineRule="auto"/>
        <w:ind w:left="521"/>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11.投标报价评审</w:t>
      </w:r>
    </w:p>
    <w:p w14:paraId="43062D22">
      <w:pPr>
        <w:spacing w:line="360" w:lineRule="auto"/>
        <w:ind w:left="22" w:right="53" w:firstLine="498"/>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11.1货物项目的价格分值占总分值的比重不得低于30%。</w:t>
      </w:r>
      <w:r>
        <w:rPr>
          <w:rFonts w:hint="eastAsia" w:ascii="宋体" w:hAnsi="宋体" w:eastAsia="宋体" w:cs="宋体"/>
          <w:color w:val="auto"/>
          <w:spacing w:val="-5"/>
          <w:sz w:val="24"/>
          <w:szCs w:val="24"/>
          <w:highlight w:val="none"/>
          <w:lang w:eastAsia="zh-CN"/>
        </w:rPr>
        <w:t>执行国家统一定价</w:t>
      </w:r>
      <w:r>
        <w:rPr>
          <w:rFonts w:hint="eastAsia" w:ascii="宋体" w:hAnsi="宋体" w:eastAsia="宋体" w:cs="宋体"/>
          <w:color w:val="auto"/>
          <w:spacing w:val="-3"/>
          <w:sz w:val="24"/>
          <w:szCs w:val="24"/>
          <w:highlight w:val="none"/>
          <w:lang w:eastAsia="zh-CN"/>
        </w:rPr>
        <w:t>标准和采用固定价格采购的项目，其价格不列为评审因素。价格分应当采用低价优先法计算，即满足招标文件要求且投标价格最低的投标报价为评标基准价，其</w:t>
      </w:r>
      <w:r>
        <w:rPr>
          <w:rFonts w:hint="eastAsia" w:ascii="宋体" w:hAnsi="宋体" w:eastAsia="宋体" w:cs="宋体"/>
          <w:color w:val="auto"/>
          <w:spacing w:val="-1"/>
          <w:sz w:val="24"/>
          <w:szCs w:val="24"/>
          <w:highlight w:val="none"/>
          <w:lang w:eastAsia="zh-CN"/>
        </w:rPr>
        <w:t>价格分为满分。其他投标人的价格分统一按照下列公式计算：</w:t>
      </w:r>
    </w:p>
    <w:p w14:paraId="5476F00D">
      <w:pPr>
        <w:spacing w:line="360" w:lineRule="auto"/>
        <w:ind w:left="502" w:right="2160" w:firstLine="3"/>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投标报价得分=(评标基准价／投标报价)×价格分值</w:t>
      </w:r>
    </w:p>
    <w:p w14:paraId="3AF3FB41">
      <w:pPr>
        <w:spacing w:line="360" w:lineRule="auto"/>
        <w:ind w:left="502" w:right="2160" w:firstLine="3"/>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评标过程中，不得去掉报价中的最高报价和最低报</w:t>
      </w:r>
      <w:r>
        <w:rPr>
          <w:rFonts w:hint="eastAsia" w:ascii="宋体" w:hAnsi="宋体" w:eastAsia="宋体" w:cs="宋体"/>
          <w:color w:val="auto"/>
          <w:spacing w:val="-3"/>
          <w:sz w:val="24"/>
          <w:szCs w:val="24"/>
          <w:highlight w:val="none"/>
          <w:lang w:eastAsia="zh-CN"/>
        </w:rPr>
        <w:t>价。</w:t>
      </w:r>
    </w:p>
    <w:p w14:paraId="5465E5D8">
      <w:pPr>
        <w:spacing w:line="360" w:lineRule="auto"/>
        <w:ind w:left="22" w:right="53" w:firstLine="498"/>
        <w:rPr>
          <w:rFonts w:hint="eastAsia" w:ascii="宋体" w:hAnsi="宋体" w:eastAsia="宋体" w:cs="宋体"/>
          <w:b w:val="0"/>
          <w:bCs w:val="0"/>
          <w:color w:val="auto"/>
          <w:spacing w:val="-4"/>
          <w:sz w:val="24"/>
          <w:szCs w:val="24"/>
          <w:highlight w:val="none"/>
          <w:lang w:eastAsia="zh-CN"/>
        </w:rPr>
      </w:pPr>
      <w:r>
        <w:rPr>
          <w:rFonts w:hint="eastAsia" w:ascii="宋体" w:hAnsi="宋体" w:eastAsia="宋体" w:cs="宋体"/>
          <w:b w:val="0"/>
          <w:bCs w:val="0"/>
          <w:color w:val="auto"/>
          <w:spacing w:val="-4"/>
          <w:sz w:val="24"/>
          <w:szCs w:val="24"/>
          <w:highlight w:val="none"/>
          <w:lang w:eastAsia="zh-CN"/>
        </w:rPr>
        <w:t>11.2除算术修正和落实政府采购政策的价格扣除外，不对投标报价进行调整；</w:t>
      </w:r>
    </w:p>
    <w:p w14:paraId="754315B7">
      <w:pPr>
        <w:spacing w:line="360" w:lineRule="auto"/>
        <w:ind w:left="22" w:right="53" w:firstLine="498"/>
        <w:rPr>
          <w:rFonts w:hint="eastAsia" w:ascii="宋体" w:hAnsi="宋体" w:eastAsia="宋体" w:cs="宋体"/>
          <w:b w:val="0"/>
          <w:bCs w:val="0"/>
          <w:color w:val="auto"/>
          <w:spacing w:val="-4"/>
          <w:sz w:val="24"/>
          <w:szCs w:val="24"/>
          <w:highlight w:val="none"/>
          <w:lang w:eastAsia="zh-CN"/>
        </w:rPr>
      </w:pPr>
      <w:r>
        <w:rPr>
          <w:rFonts w:hint="eastAsia" w:ascii="宋体" w:hAnsi="宋体" w:eastAsia="宋体" w:cs="宋体"/>
          <w:b w:val="0"/>
          <w:bCs w:val="0"/>
          <w:color w:val="auto"/>
          <w:spacing w:val="-4"/>
          <w:sz w:val="24"/>
          <w:szCs w:val="24"/>
          <w:highlight w:val="none"/>
          <w:lang w:eastAsia="zh-CN"/>
        </w:rPr>
        <w:t>11.3价格分值见本章“四、评标标准”。</w:t>
      </w:r>
    </w:p>
    <w:p w14:paraId="6E71E1C1">
      <w:pPr>
        <w:spacing w:line="360" w:lineRule="auto"/>
        <w:ind w:left="22" w:right="53" w:firstLine="498"/>
        <w:rPr>
          <w:rFonts w:hint="eastAsia" w:ascii="宋体" w:hAnsi="宋体" w:eastAsia="宋体" w:cs="宋体"/>
          <w:b w:val="0"/>
          <w:bCs w:val="0"/>
          <w:color w:val="auto"/>
          <w:spacing w:val="-4"/>
          <w:sz w:val="24"/>
          <w:szCs w:val="24"/>
          <w:highlight w:val="none"/>
          <w:lang w:eastAsia="zh-CN"/>
        </w:rPr>
      </w:pPr>
      <w:r>
        <w:rPr>
          <w:rFonts w:hint="eastAsia" w:ascii="宋体" w:hAnsi="宋体" w:eastAsia="宋体" w:cs="宋体"/>
          <w:b w:val="0"/>
          <w:bCs w:val="0"/>
          <w:color w:val="auto"/>
          <w:spacing w:val="-4"/>
          <w:sz w:val="24"/>
          <w:szCs w:val="24"/>
          <w:highlight w:val="none"/>
          <w:lang w:eastAsia="zh-CN"/>
        </w:rPr>
        <w:t>11.4 报价合理性说明：</w:t>
      </w:r>
    </w:p>
    <w:p w14:paraId="577221DA">
      <w:pPr>
        <w:spacing w:line="360" w:lineRule="auto"/>
        <w:ind w:left="22" w:right="53" w:firstLine="498"/>
        <w:rPr>
          <w:rFonts w:hint="eastAsia" w:ascii="宋体" w:hAnsi="宋体" w:eastAsia="宋体" w:cs="宋体"/>
          <w:b w:val="0"/>
          <w:bCs w:val="0"/>
          <w:color w:val="auto"/>
          <w:spacing w:val="-4"/>
          <w:sz w:val="24"/>
          <w:szCs w:val="24"/>
          <w:highlight w:val="none"/>
          <w:lang w:eastAsia="zh-CN"/>
        </w:rPr>
      </w:pPr>
      <w:r>
        <w:rPr>
          <w:rFonts w:hint="eastAsia" w:ascii="宋体" w:hAnsi="宋体" w:eastAsia="宋体" w:cs="宋体"/>
          <w:b w:val="0"/>
          <w:bCs w:val="0"/>
          <w:color w:val="auto"/>
          <w:spacing w:val="-4"/>
          <w:sz w:val="24"/>
          <w:szCs w:val="24"/>
          <w:highlight w:val="none"/>
          <w:lang w:eastAsia="zh-CN"/>
        </w:rPr>
        <w:t>评审中出现下列情形之一的，评审委员会应当启动异常低价投标（响应）审查程序：</w:t>
      </w:r>
    </w:p>
    <w:p w14:paraId="2B844DA0">
      <w:pPr>
        <w:spacing w:line="360" w:lineRule="auto"/>
        <w:ind w:left="22" w:right="53" w:firstLine="498"/>
        <w:rPr>
          <w:rFonts w:hint="eastAsia" w:ascii="宋体" w:hAnsi="宋体" w:eastAsia="宋体" w:cs="宋体"/>
          <w:b w:val="0"/>
          <w:bCs w:val="0"/>
          <w:color w:val="auto"/>
          <w:spacing w:val="-4"/>
          <w:sz w:val="24"/>
          <w:szCs w:val="24"/>
          <w:highlight w:val="none"/>
          <w:lang w:eastAsia="zh-CN"/>
        </w:rPr>
      </w:pPr>
      <w:r>
        <w:rPr>
          <w:rFonts w:hint="eastAsia" w:ascii="宋体" w:hAnsi="宋体" w:eastAsia="宋体" w:cs="宋体"/>
          <w:b w:val="0"/>
          <w:bCs w:val="0"/>
          <w:color w:val="auto"/>
          <w:spacing w:val="-4"/>
          <w:sz w:val="24"/>
          <w:szCs w:val="24"/>
          <w:highlight w:val="none"/>
          <w:lang w:eastAsia="zh-CN"/>
        </w:rPr>
        <w:t>6.1.1投标（响应）报价低于全部通过符合性审查供应商投标（响应）报价平均值50%的，即投标（响应）报价＜全部通过符合性审查供应商投标（响应）报价平均值×50%；</w:t>
      </w:r>
    </w:p>
    <w:p w14:paraId="28F5AF58">
      <w:pPr>
        <w:spacing w:line="360" w:lineRule="auto"/>
        <w:ind w:left="22" w:right="53" w:firstLine="498"/>
        <w:rPr>
          <w:rFonts w:hint="eastAsia" w:ascii="宋体" w:hAnsi="宋体" w:eastAsia="宋体" w:cs="宋体"/>
          <w:b w:val="0"/>
          <w:bCs w:val="0"/>
          <w:color w:val="auto"/>
          <w:spacing w:val="-4"/>
          <w:sz w:val="24"/>
          <w:szCs w:val="24"/>
          <w:highlight w:val="none"/>
          <w:lang w:eastAsia="zh-CN"/>
        </w:rPr>
      </w:pPr>
      <w:r>
        <w:rPr>
          <w:rFonts w:hint="eastAsia" w:ascii="宋体" w:hAnsi="宋体" w:eastAsia="宋体" w:cs="宋体"/>
          <w:b w:val="0"/>
          <w:bCs w:val="0"/>
          <w:color w:val="auto"/>
          <w:spacing w:val="-4"/>
          <w:sz w:val="24"/>
          <w:szCs w:val="24"/>
          <w:highlight w:val="none"/>
          <w:lang w:eastAsia="zh-CN"/>
        </w:rPr>
        <w:t>6.1.2投标（响应）报价低于通过符合性审查的次低报价供应商投标（响应）报价50%的，即投标（响应）报价＜通过符合性审查的次低报价供应商投标（响应）报价×50%；</w:t>
      </w:r>
    </w:p>
    <w:p w14:paraId="52191C23">
      <w:pPr>
        <w:spacing w:line="360" w:lineRule="auto"/>
        <w:ind w:left="22" w:right="53" w:firstLine="498"/>
        <w:rPr>
          <w:rFonts w:hint="eastAsia" w:ascii="宋体" w:hAnsi="宋体" w:eastAsia="宋体" w:cs="宋体"/>
          <w:b w:val="0"/>
          <w:bCs w:val="0"/>
          <w:color w:val="auto"/>
          <w:spacing w:val="-4"/>
          <w:sz w:val="24"/>
          <w:szCs w:val="24"/>
          <w:highlight w:val="none"/>
          <w:lang w:eastAsia="zh-CN"/>
        </w:rPr>
      </w:pPr>
      <w:r>
        <w:rPr>
          <w:rFonts w:hint="eastAsia" w:ascii="宋体" w:hAnsi="宋体" w:eastAsia="宋体" w:cs="宋体"/>
          <w:b w:val="0"/>
          <w:bCs w:val="0"/>
          <w:color w:val="auto"/>
          <w:spacing w:val="-4"/>
          <w:sz w:val="24"/>
          <w:szCs w:val="24"/>
          <w:highlight w:val="none"/>
          <w:lang w:eastAsia="zh-CN"/>
        </w:rPr>
        <w:t>6.1.3投标（响应）报价低于采购项目最高限价45%的，即投标（响应）报价＜采购项目最高限价×45%；</w:t>
      </w:r>
    </w:p>
    <w:p w14:paraId="5CB3459D">
      <w:pPr>
        <w:spacing w:line="360" w:lineRule="auto"/>
        <w:ind w:left="22" w:right="53" w:firstLine="498"/>
        <w:rPr>
          <w:rFonts w:hint="eastAsia" w:ascii="宋体" w:hAnsi="宋体" w:eastAsia="宋体" w:cs="宋体"/>
          <w:b w:val="0"/>
          <w:bCs w:val="0"/>
          <w:color w:val="auto"/>
          <w:spacing w:val="-4"/>
          <w:sz w:val="24"/>
          <w:szCs w:val="24"/>
          <w:highlight w:val="none"/>
          <w:lang w:eastAsia="zh-CN"/>
        </w:rPr>
      </w:pPr>
      <w:r>
        <w:rPr>
          <w:rFonts w:hint="eastAsia" w:ascii="宋体" w:hAnsi="宋体" w:eastAsia="宋体" w:cs="宋体"/>
          <w:b w:val="0"/>
          <w:bCs w:val="0"/>
          <w:color w:val="auto"/>
          <w:spacing w:val="-4"/>
          <w:sz w:val="24"/>
          <w:szCs w:val="24"/>
          <w:highlight w:val="none"/>
          <w:lang w:eastAsia="zh-CN"/>
        </w:rPr>
        <w:t>6.1.4评审委员会基于专业判断，认为供应商报价过低，有可能影响产品质量或者不能诚信履约的其他情形。</w:t>
      </w:r>
    </w:p>
    <w:p w14:paraId="44877D4C">
      <w:pPr>
        <w:spacing w:line="360" w:lineRule="auto"/>
        <w:ind w:left="22" w:right="53" w:firstLine="498"/>
        <w:rPr>
          <w:rFonts w:hint="eastAsia" w:ascii="宋体" w:hAnsi="宋体" w:eastAsia="宋体" w:cs="宋体"/>
          <w:b w:val="0"/>
          <w:bCs w:val="0"/>
          <w:color w:val="auto"/>
          <w:spacing w:val="-4"/>
          <w:sz w:val="24"/>
          <w:szCs w:val="24"/>
          <w:highlight w:val="none"/>
          <w:lang w:eastAsia="zh-CN"/>
        </w:rPr>
      </w:pPr>
      <w:r>
        <w:rPr>
          <w:rFonts w:hint="eastAsia" w:ascii="宋体" w:hAnsi="宋体" w:eastAsia="宋体" w:cs="宋体"/>
          <w:b w:val="0"/>
          <w:bCs w:val="0"/>
          <w:color w:val="auto"/>
          <w:spacing w:val="-4"/>
          <w:sz w:val="24"/>
          <w:szCs w:val="24"/>
          <w:highlight w:val="none"/>
          <w:lang w:eastAsia="zh-CN"/>
        </w:rPr>
        <w:t>采购人可以结合具体项目实际情况，提高上述第6.1.1项至第6.1.3项中启动异常低价投标（响应）审查的数值标准，但是最高不得超过65%。</w:t>
      </w:r>
      <w:r>
        <w:rPr>
          <w:rFonts w:hint="eastAsia" w:ascii="宋体" w:hAnsi="宋体" w:eastAsia="宋体" w:cs="宋体"/>
          <w:b/>
          <w:bCs/>
          <w:color w:val="auto"/>
          <w:spacing w:val="-4"/>
          <w:sz w:val="24"/>
          <w:szCs w:val="24"/>
          <w:highlight w:val="none"/>
          <w:lang w:eastAsia="zh-CN"/>
        </w:rPr>
        <w:t>本项目6.1.1至6.1.3项的数值标准修改为6</w:t>
      </w:r>
      <w:r>
        <w:rPr>
          <w:rFonts w:hint="eastAsia" w:ascii="宋体" w:hAnsi="宋体" w:eastAsia="宋体" w:cs="宋体"/>
          <w:b/>
          <w:bCs/>
          <w:color w:val="auto"/>
          <w:spacing w:val="-4"/>
          <w:sz w:val="24"/>
          <w:szCs w:val="24"/>
          <w:highlight w:val="none"/>
          <w:lang w:val="en-US" w:eastAsia="zh-CN"/>
        </w:rPr>
        <w:t>5</w:t>
      </w:r>
      <w:r>
        <w:rPr>
          <w:rFonts w:hint="eastAsia" w:ascii="宋体" w:hAnsi="宋体" w:eastAsia="宋体" w:cs="宋体"/>
          <w:b/>
          <w:bCs/>
          <w:color w:val="auto"/>
          <w:spacing w:val="-4"/>
          <w:sz w:val="24"/>
          <w:szCs w:val="24"/>
          <w:highlight w:val="none"/>
          <w:lang w:eastAsia="zh-CN"/>
        </w:rPr>
        <w:t>%。</w:t>
      </w:r>
    </w:p>
    <w:p w14:paraId="5A570A75">
      <w:pPr>
        <w:spacing w:line="360" w:lineRule="auto"/>
        <w:ind w:left="22" w:right="53" w:firstLine="498"/>
        <w:rPr>
          <w:rFonts w:hint="eastAsia" w:ascii="宋体" w:hAnsi="宋体" w:eastAsia="宋体" w:cs="宋体"/>
          <w:b w:val="0"/>
          <w:bCs w:val="0"/>
          <w:color w:val="auto"/>
          <w:spacing w:val="-4"/>
          <w:sz w:val="24"/>
          <w:szCs w:val="24"/>
          <w:highlight w:val="none"/>
          <w:lang w:eastAsia="zh-CN"/>
        </w:rPr>
      </w:pPr>
      <w:r>
        <w:rPr>
          <w:rFonts w:hint="eastAsia" w:ascii="宋体" w:hAnsi="宋体" w:eastAsia="宋体" w:cs="宋体"/>
          <w:b w:val="0"/>
          <w:bCs w:val="0"/>
          <w:color w:val="auto"/>
          <w:spacing w:val="-4"/>
          <w:sz w:val="24"/>
          <w:szCs w:val="24"/>
          <w:highlight w:val="none"/>
          <w:lang w:eastAsia="zh-CN"/>
        </w:rPr>
        <w:t>相关法律法规对供应商报价有规定的，从其规定。</w:t>
      </w:r>
    </w:p>
    <w:p w14:paraId="1C3AB8FB">
      <w:pPr>
        <w:spacing w:line="360" w:lineRule="auto"/>
        <w:ind w:left="22" w:right="53" w:firstLine="498"/>
        <w:rPr>
          <w:rFonts w:hint="eastAsia" w:ascii="宋体" w:hAnsi="宋体" w:eastAsia="宋体" w:cs="宋体"/>
          <w:b w:val="0"/>
          <w:bCs w:val="0"/>
          <w:color w:val="auto"/>
          <w:spacing w:val="-4"/>
          <w:sz w:val="24"/>
          <w:szCs w:val="24"/>
          <w:highlight w:val="none"/>
          <w:lang w:eastAsia="zh-CN"/>
        </w:rPr>
      </w:pPr>
      <w:r>
        <w:rPr>
          <w:rFonts w:hint="eastAsia" w:ascii="宋体" w:hAnsi="宋体" w:eastAsia="宋体" w:cs="宋体"/>
          <w:b w:val="0"/>
          <w:bCs w:val="0"/>
          <w:color w:val="auto"/>
          <w:spacing w:val="-4"/>
          <w:sz w:val="24"/>
          <w:szCs w:val="24"/>
          <w:highlight w:val="none"/>
          <w:lang w:eastAsia="zh-CN"/>
        </w:rPr>
        <w:t>6.2 评审委员会启动异常低价投标（响应）审查后，属于前述第6.1.1项至第6.1.4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6.1.3项情形，供应商已随投标（响应）文件一并提交相关书面说明及必要的证明材料的，在评审现场可不再重复提交。</w:t>
      </w:r>
    </w:p>
    <w:p w14:paraId="1DDFDB07">
      <w:pPr>
        <w:spacing w:line="360" w:lineRule="auto"/>
        <w:ind w:left="22" w:right="53" w:firstLine="498"/>
        <w:rPr>
          <w:rFonts w:hint="eastAsia" w:ascii="宋体" w:hAnsi="宋体" w:eastAsia="宋体" w:cs="宋体"/>
          <w:b w:val="0"/>
          <w:bCs w:val="0"/>
          <w:color w:val="auto"/>
          <w:spacing w:val="-4"/>
          <w:sz w:val="24"/>
          <w:szCs w:val="24"/>
          <w:highlight w:val="none"/>
          <w:lang w:eastAsia="zh-CN"/>
        </w:rPr>
      </w:pPr>
      <w:r>
        <w:rPr>
          <w:rFonts w:hint="eastAsia" w:ascii="宋体" w:hAnsi="宋体" w:eastAsia="宋体" w:cs="宋体"/>
          <w:b w:val="0"/>
          <w:bCs w:val="0"/>
          <w:color w:val="auto"/>
          <w:spacing w:val="-4"/>
          <w:sz w:val="24"/>
          <w:szCs w:val="24"/>
          <w:highlight w:val="none"/>
          <w:lang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1FDC1FC">
      <w:pPr>
        <w:spacing w:line="360" w:lineRule="auto"/>
        <w:ind w:left="22" w:right="53" w:firstLine="498"/>
        <w:rPr>
          <w:rFonts w:hint="eastAsia" w:ascii="宋体" w:hAnsi="宋体" w:eastAsia="宋体" w:cs="宋体"/>
          <w:b w:val="0"/>
          <w:bCs w:val="0"/>
          <w:color w:val="auto"/>
          <w:spacing w:val="-4"/>
          <w:sz w:val="24"/>
          <w:szCs w:val="24"/>
          <w:highlight w:val="none"/>
          <w:lang w:eastAsia="zh-CN"/>
        </w:rPr>
      </w:pPr>
      <w:r>
        <w:rPr>
          <w:rFonts w:hint="eastAsia" w:ascii="宋体" w:hAnsi="宋体" w:eastAsia="宋体" w:cs="宋体"/>
          <w:b w:val="0"/>
          <w:bCs w:val="0"/>
          <w:color w:val="auto"/>
          <w:spacing w:val="-4"/>
          <w:sz w:val="24"/>
          <w:szCs w:val="24"/>
          <w:highlight w:val="none"/>
          <w:lang w:eastAsia="zh-CN"/>
        </w:rPr>
        <w:t>供应商也可以有预见性地准备好上述要求的书面说明和相关证明材料并加盖公章。</w:t>
      </w:r>
    </w:p>
    <w:p w14:paraId="23EC9904">
      <w:pPr>
        <w:spacing w:line="360" w:lineRule="auto"/>
        <w:ind w:left="22" w:right="53" w:firstLine="498"/>
        <w:rPr>
          <w:rFonts w:hint="eastAsia" w:ascii="宋体" w:hAnsi="宋体" w:eastAsia="宋体" w:cs="宋体"/>
          <w:b w:val="0"/>
          <w:bCs w:val="0"/>
          <w:color w:val="auto"/>
          <w:spacing w:val="-4"/>
          <w:sz w:val="24"/>
          <w:szCs w:val="24"/>
          <w:highlight w:val="none"/>
          <w:lang w:eastAsia="zh-CN"/>
        </w:rPr>
      </w:pPr>
      <w:r>
        <w:rPr>
          <w:rFonts w:hint="eastAsia" w:ascii="宋体" w:hAnsi="宋体" w:eastAsia="宋体" w:cs="宋体"/>
          <w:b w:val="0"/>
          <w:bCs w:val="0"/>
          <w:color w:val="auto"/>
          <w:spacing w:val="-5"/>
          <w:sz w:val="24"/>
          <w:szCs w:val="24"/>
          <w:highlight w:val="none"/>
          <w:lang w:eastAsia="zh-CN"/>
        </w:rPr>
        <w:t>注：本项目计算报价合理性时根据投标人填报的折扣率计算，例如：本项目投标折扣率设置的最高限价为100%，根据上述1.3项的规定，采购项目最低折扣率限价为6</w:t>
      </w:r>
      <w:r>
        <w:rPr>
          <w:rFonts w:hint="eastAsia" w:ascii="宋体" w:hAnsi="宋体" w:eastAsia="宋体" w:cs="宋体"/>
          <w:b w:val="0"/>
          <w:bCs w:val="0"/>
          <w:color w:val="auto"/>
          <w:spacing w:val="-5"/>
          <w:sz w:val="24"/>
          <w:szCs w:val="24"/>
          <w:highlight w:val="none"/>
          <w:lang w:val="en-US" w:eastAsia="zh-CN"/>
        </w:rPr>
        <w:t>5</w:t>
      </w:r>
      <w:r>
        <w:rPr>
          <w:rFonts w:hint="eastAsia" w:ascii="宋体" w:hAnsi="宋体" w:eastAsia="宋体" w:cs="宋体"/>
          <w:b w:val="0"/>
          <w:bCs w:val="0"/>
          <w:color w:val="auto"/>
          <w:spacing w:val="-5"/>
          <w:sz w:val="24"/>
          <w:szCs w:val="24"/>
          <w:highlight w:val="none"/>
          <w:lang w:eastAsia="zh-CN"/>
        </w:rPr>
        <w:t>%，如果投标人填报的折扣率数值低于6</w:t>
      </w:r>
      <w:r>
        <w:rPr>
          <w:rFonts w:hint="eastAsia" w:ascii="宋体" w:hAnsi="宋体" w:eastAsia="宋体" w:cs="宋体"/>
          <w:b w:val="0"/>
          <w:bCs w:val="0"/>
          <w:color w:val="auto"/>
          <w:spacing w:val="-5"/>
          <w:sz w:val="24"/>
          <w:szCs w:val="24"/>
          <w:highlight w:val="none"/>
          <w:lang w:val="en-US" w:eastAsia="zh-CN"/>
        </w:rPr>
        <w:t>5</w:t>
      </w:r>
      <w:r>
        <w:rPr>
          <w:rFonts w:hint="eastAsia" w:ascii="宋体" w:hAnsi="宋体" w:eastAsia="宋体" w:cs="宋体"/>
          <w:b w:val="0"/>
          <w:bCs w:val="0"/>
          <w:color w:val="auto"/>
          <w:spacing w:val="-5"/>
          <w:sz w:val="24"/>
          <w:szCs w:val="24"/>
          <w:highlight w:val="none"/>
          <w:lang w:eastAsia="zh-CN"/>
        </w:rPr>
        <w:t>%（例如：折扣率</w:t>
      </w:r>
      <w:r>
        <w:rPr>
          <w:rFonts w:hint="eastAsia" w:ascii="宋体" w:hAnsi="宋体" w:eastAsia="宋体" w:cs="宋体"/>
          <w:b w:val="0"/>
          <w:bCs w:val="0"/>
          <w:color w:val="auto"/>
          <w:spacing w:val="-5"/>
          <w:sz w:val="24"/>
          <w:szCs w:val="24"/>
          <w:highlight w:val="none"/>
          <w:lang w:val="en-US" w:eastAsia="zh-CN"/>
        </w:rPr>
        <w:t>59</w:t>
      </w:r>
      <w:r>
        <w:rPr>
          <w:rFonts w:hint="eastAsia" w:ascii="宋体" w:hAnsi="宋体" w:eastAsia="宋体" w:cs="宋体"/>
          <w:b w:val="0"/>
          <w:bCs w:val="0"/>
          <w:color w:val="auto"/>
          <w:spacing w:val="-5"/>
          <w:sz w:val="24"/>
          <w:szCs w:val="24"/>
          <w:highlight w:val="none"/>
          <w:lang w:eastAsia="zh-CN"/>
        </w:rPr>
        <w:t>%是低于6</w:t>
      </w:r>
      <w:r>
        <w:rPr>
          <w:rFonts w:hint="eastAsia" w:ascii="宋体" w:hAnsi="宋体" w:eastAsia="宋体" w:cs="宋体"/>
          <w:b w:val="0"/>
          <w:bCs w:val="0"/>
          <w:color w:val="auto"/>
          <w:spacing w:val="-5"/>
          <w:sz w:val="24"/>
          <w:szCs w:val="24"/>
          <w:highlight w:val="none"/>
          <w:lang w:val="en-US" w:eastAsia="zh-CN"/>
        </w:rPr>
        <w:t>5</w:t>
      </w:r>
      <w:r>
        <w:rPr>
          <w:rFonts w:hint="eastAsia" w:ascii="宋体" w:hAnsi="宋体" w:eastAsia="宋体" w:cs="宋体"/>
          <w:b w:val="0"/>
          <w:bCs w:val="0"/>
          <w:color w:val="auto"/>
          <w:spacing w:val="-5"/>
          <w:sz w:val="24"/>
          <w:szCs w:val="24"/>
          <w:highlight w:val="none"/>
          <w:lang w:eastAsia="zh-CN"/>
        </w:rPr>
        <w:t>%），将会对该投标人启动异常低价投标（响应）审查程序。</w:t>
      </w:r>
    </w:p>
    <w:p w14:paraId="4FCB9791">
      <w:pPr>
        <w:spacing w:line="360" w:lineRule="auto"/>
        <w:ind w:left="521" w:right="354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12.政府采购政策评审</w:t>
      </w:r>
    </w:p>
    <w:p w14:paraId="61DF0A7F">
      <w:pPr>
        <w:spacing w:line="360" w:lineRule="auto"/>
        <w:ind w:left="22" w:right="53" w:firstLine="498"/>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6"/>
          <w:sz w:val="24"/>
          <w:szCs w:val="24"/>
          <w:highlight w:val="none"/>
          <w:lang w:eastAsia="zh-CN"/>
        </w:rPr>
        <w:t>12.1非专门面向中小企业的采购项目或采购包，对符合规定的小微企业（含</w:t>
      </w:r>
      <w:r>
        <w:rPr>
          <w:rFonts w:hint="eastAsia" w:ascii="宋体" w:hAnsi="宋体" w:eastAsia="宋体" w:cs="宋体"/>
          <w:color w:val="auto"/>
          <w:spacing w:val="-3"/>
          <w:sz w:val="24"/>
          <w:szCs w:val="24"/>
          <w:highlight w:val="none"/>
          <w:lang w:eastAsia="zh-CN"/>
        </w:rPr>
        <w:t>监狱企业、残疾人福利性单位、联合体各方均为小微企业的联合体、符合小微企业划分标准的个体工商户视同小微企业）报价按照本招标文件“投标人须知前附</w:t>
      </w:r>
      <w:r>
        <w:rPr>
          <w:rFonts w:hint="eastAsia" w:ascii="宋体" w:hAnsi="宋体" w:eastAsia="宋体" w:cs="宋体"/>
          <w:color w:val="auto"/>
          <w:spacing w:val="-4"/>
          <w:sz w:val="24"/>
          <w:szCs w:val="24"/>
          <w:highlight w:val="none"/>
          <w:lang w:eastAsia="zh-CN"/>
        </w:rPr>
        <w:t>表”中的规定扣除，对小微企业中的监狱企业、残疾人福利性单位、采购产品纳</w:t>
      </w:r>
      <w:r>
        <w:rPr>
          <w:rFonts w:hint="eastAsia" w:ascii="宋体" w:hAnsi="宋体" w:eastAsia="宋体" w:cs="宋体"/>
          <w:color w:val="auto"/>
          <w:spacing w:val="-3"/>
          <w:sz w:val="24"/>
          <w:szCs w:val="24"/>
          <w:highlight w:val="none"/>
          <w:lang w:eastAsia="zh-CN"/>
        </w:rPr>
        <w:t>入创新产品应用示范推荐目录内企业、采购产品获得节能产品或环境标志产品认</w:t>
      </w:r>
      <w:r>
        <w:rPr>
          <w:rFonts w:hint="eastAsia" w:ascii="宋体" w:hAnsi="宋体" w:eastAsia="宋体" w:cs="宋体"/>
          <w:color w:val="auto"/>
          <w:spacing w:val="-4"/>
          <w:sz w:val="24"/>
          <w:szCs w:val="24"/>
          <w:highlight w:val="none"/>
          <w:lang w:eastAsia="zh-CN"/>
        </w:rPr>
        <w:t>证证书的企业报价按照本招标文件“投标人须知前附表”中的规定扣除，用扣除</w:t>
      </w:r>
      <w:r>
        <w:rPr>
          <w:rFonts w:hint="eastAsia" w:ascii="宋体" w:hAnsi="宋体" w:eastAsia="宋体" w:cs="宋体"/>
          <w:color w:val="auto"/>
          <w:spacing w:val="-1"/>
          <w:sz w:val="24"/>
          <w:szCs w:val="24"/>
          <w:highlight w:val="none"/>
          <w:lang w:eastAsia="zh-CN"/>
        </w:rPr>
        <w:t>后的价格计算评审基准价。</w:t>
      </w:r>
    </w:p>
    <w:p w14:paraId="47C63C06">
      <w:pPr>
        <w:spacing w:line="360" w:lineRule="auto"/>
        <w:ind w:left="22" w:right="53" w:firstLine="498"/>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pacing w:val="-6"/>
          <w:sz w:val="24"/>
          <w:szCs w:val="24"/>
          <w:highlight w:val="none"/>
          <w:lang w:eastAsia="zh-CN"/>
        </w:rPr>
        <w:t>12.2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若供应商同时属于小型或微型企业、监狱企业、残疾人福利性单位中的两种及以上，将不重复享受小微企业价格扣减的优惠政策。</w:t>
      </w:r>
    </w:p>
    <w:p w14:paraId="49FCAF05">
      <w:pPr>
        <w:spacing w:line="360" w:lineRule="auto"/>
        <w:ind w:left="22" w:right="53" w:firstLine="498"/>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pacing w:val="-6"/>
          <w:sz w:val="24"/>
          <w:szCs w:val="24"/>
          <w:highlight w:val="none"/>
          <w:lang w:eastAsia="zh-CN"/>
        </w:rPr>
        <w:t>组成联合体或者接受分包的小微企业与联合体内其他企业、分包企业之间存在直接控股、管理关系的，不享受价格扣除优惠政策。</w:t>
      </w:r>
    </w:p>
    <w:p w14:paraId="04D3A3EF">
      <w:pPr>
        <w:spacing w:line="360" w:lineRule="auto"/>
        <w:ind w:left="22" w:right="53" w:firstLine="498"/>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pacing w:val="-6"/>
          <w:sz w:val="24"/>
          <w:szCs w:val="24"/>
          <w:highlight w:val="none"/>
          <w:lang w:eastAsia="zh-CN"/>
        </w:rPr>
        <w:t>价格扣除比例对小型企业和微型企业同等对待，不作区分。</w:t>
      </w:r>
    </w:p>
    <w:p w14:paraId="17B9FC17">
      <w:pPr>
        <w:spacing w:line="360" w:lineRule="auto"/>
        <w:ind w:left="22" w:right="53" w:firstLine="498"/>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pacing w:val="-6"/>
          <w:sz w:val="24"/>
          <w:szCs w:val="24"/>
          <w:highlight w:val="none"/>
          <w:lang w:eastAsia="zh-CN"/>
        </w:rPr>
        <w:t>12.3专门面向中小企业、预留部分采购份额面向中小企业采购的项目或采购包，评审时不再进行价格扣除。</w:t>
      </w:r>
    </w:p>
    <w:p w14:paraId="0C5BFA61">
      <w:pPr>
        <w:spacing w:line="360" w:lineRule="auto"/>
        <w:ind w:left="22" w:right="13" w:firstLine="498"/>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12.4对于未预留份额专门面向中小企业的政府采购项目，以及预留</w:t>
      </w:r>
      <w:r>
        <w:rPr>
          <w:rFonts w:hint="eastAsia" w:ascii="宋体" w:hAnsi="宋体" w:eastAsia="宋体" w:cs="宋体"/>
          <w:color w:val="auto"/>
          <w:spacing w:val="-2"/>
          <w:sz w:val="24"/>
          <w:szCs w:val="24"/>
          <w:highlight w:val="none"/>
          <w:lang w:eastAsia="zh-CN"/>
        </w:rPr>
        <w:t>份额政府采购项目中的非预留部分标项，对小型和微型企业的投标报价给予10%-20%的</w:t>
      </w:r>
      <w:r>
        <w:rPr>
          <w:rFonts w:hint="eastAsia" w:ascii="宋体" w:hAnsi="宋体" w:eastAsia="宋体" w:cs="宋体"/>
          <w:color w:val="auto"/>
          <w:spacing w:val="-3"/>
          <w:sz w:val="24"/>
          <w:szCs w:val="24"/>
          <w:highlight w:val="none"/>
          <w:lang w:eastAsia="zh-CN"/>
        </w:rPr>
        <w:t>扣除，用扣除后的价格参与评审。接受大中型企业与小微企业组成联合体或者允许大中型企业向一家或者多家小微企业分包的政府采购项目，对于联合体协议书</w:t>
      </w:r>
      <w:r>
        <w:rPr>
          <w:rFonts w:hint="eastAsia" w:ascii="宋体" w:hAnsi="宋体" w:eastAsia="宋体" w:cs="宋体"/>
          <w:color w:val="auto"/>
          <w:spacing w:val="-2"/>
          <w:sz w:val="24"/>
          <w:szCs w:val="24"/>
          <w:highlight w:val="none"/>
          <w:lang w:eastAsia="zh-CN"/>
        </w:rPr>
        <w:t>或者分包意向协议书约定小微企业的合同份额占到合同总金额30%以上的，对联</w:t>
      </w:r>
      <w:r>
        <w:rPr>
          <w:rFonts w:hint="eastAsia" w:ascii="宋体" w:hAnsi="宋体" w:eastAsia="宋体" w:cs="宋体"/>
          <w:color w:val="auto"/>
          <w:spacing w:val="-1"/>
          <w:sz w:val="24"/>
          <w:szCs w:val="24"/>
          <w:highlight w:val="none"/>
          <w:lang w:eastAsia="zh-CN"/>
        </w:rPr>
        <w:t>合体或者大中型企业的报价给予4%-6%的扣除</w:t>
      </w:r>
      <w:r>
        <w:rPr>
          <w:rFonts w:hint="eastAsia" w:ascii="宋体" w:hAnsi="宋体" w:eastAsia="宋体" w:cs="宋体"/>
          <w:color w:val="auto"/>
          <w:spacing w:val="-2"/>
          <w:sz w:val="24"/>
          <w:szCs w:val="24"/>
          <w:highlight w:val="none"/>
          <w:lang w:eastAsia="zh-CN"/>
        </w:rPr>
        <w:t>，用扣除后的价格参加评审。组成</w:t>
      </w:r>
      <w:r>
        <w:rPr>
          <w:rFonts w:hint="eastAsia" w:ascii="宋体" w:hAnsi="宋体" w:eastAsia="宋体" w:cs="宋体"/>
          <w:color w:val="auto"/>
          <w:spacing w:val="-3"/>
          <w:sz w:val="24"/>
          <w:szCs w:val="24"/>
          <w:highlight w:val="none"/>
          <w:lang w:eastAsia="zh-CN"/>
        </w:rPr>
        <w:t>联合体或者接受分包的小微企业与联合体内其他企业、分包企业之间存在直接控</w:t>
      </w:r>
      <w:r>
        <w:rPr>
          <w:rFonts w:hint="eastAsia" w:ascii="宋体" w:hAnsi="宋体" w:eastAsia="宋体" w:cs="宋体"/>
          <w:color w:val="auto"/>
          <w:spacing w:val="-1"/>
          <w:sz w:val="24"/>
          <w:szCs w:val="24"/>
          <w:highlight w:val="none"/>
          <w:lang w:eastAsia="zh-CN"/>
        </w:rPr>
        <w:t>股、管理关系的，不享受价格扣除优惠政策。</w:t>
      </w:r>
    </w:p>
    <w:p w14:paraId="1BBEBF5A">
      <w:pPr>
        <w:spacing w:line="360" w:lineRule="auto"/>
        <w:ind w:left="38"/>
        <w:outlineLvl w:val="2"/>
        <w:rPr>
          <w:rFonts w:hint="eastAsia" w:ascii="宋体" w:hAnsi="宋体" w:eastAsia="宋体" w:cs="宋体"/>
          <w:color w:val="auto"/>
          <w:sz w:val="24"/>
          <w:szCs w:val="24"/>
          <w:highlight w:val="none"/>
          <w:lang w:eastAsia="zh-CN"/>
        </w:rPr>
      </w:pPr>
      <w:bookmarkStart w:id="100" w:name="_Toc14638"/>
      <w:bookmarkStart w:id="101" w:name="_Toc186477758"/>
      <w:r>
        <w:rPr>
          <w:rFonts w:hint="eastAsia" w:ascii="宋体" w:hAnsi="宋体" w:eastAsia="宋体" w:cs="宋体"/>
          <w:b/>
          <w:bCs/>
          <w:color w:val="auto"/>
          <w:spacing w:val="-5"/>
          <w:sz w:val="24"/>
          <w:szCs w:val="24"/>
          <w:highlight w:val="none"/>
          <w:lang w:eastAsia="zh-CN"/>
        </w:rPr>
        <w:t>（五）评标得分及复核</w:t>
      </w:r>
      <w:bookmarkEnd w:id="100"/>
      <w:bookmarkEnd w:id="101"/>
    </w:p>
    <w:p w14:paraId="484893B7">
      <w:pPr>
        <w:spacing w:line="360" w:lineRule="auto"/>
        <w:ind w:left="26" w:right="40" w:firstLine="494"/>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13.评标过程中，各项分值一般精确到小数点后两位，评标得分应为商务评</w:t>
      </w:r>
      <w:r>
        <w:rPr>
          <w:rFonts w:hint="eastAsia" w:ascii="宋体" w:hAnsi="宋体" w:eastAsia="宋体" w:cs="宋体"/>
          <w:color w:val="auto"/>
          <w:sz w:val="24"/>
          <w:szCs w:val="24"/>
          <w:highlight w:val="none"/>
          <w:lang w:eastAsia="zh-CN"/>
        </w:rPr>
        <w:t>分、技术评分、报价评分之和。评标委员会各</w:t>
      </w:r>
      <w:r>
        <w:rPr>
          <w:rFonts w:hint="eastAsia" w:ascii="宋体" w:hAnsi="宋体" w:eastAsia="宋体" w:cs="宋体"/>
          <w:color w:val="auto"/>
          <w:spacing w:val="-1"/>
          <w:sz w:val="24"/>
          <w:szCs w:val="24"/>
          <w:highlight w:val="none"/>
          <w:lang w:eastAsia="zh-CN"/>
        </w:rPr>
        <w:t>成员应汇总每个投标人的得分。</w:t>
      </w:r>
    </w:p>
    <w:p w14:paraId="3C49EC86">
      <w:pPr>
        <w:widowControl w:val="0"/>
        <w:spacing w:line="360" w:lineRule="auto"/>
        <w:ind w:left="23" w:firstLine="499"/>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4"/>
          <w:sz w:val="24"/>
          <w:szCs w:val="24"/>
          <w:highlight w:val="none"/>
          <w:lang w:eastAsia="zh-CN"/>
        </w:rPr>
        <w:t>1</w:t>
      </w:r>
      <w:r>
        <w:rPr>
          <w:rFonts w:hint="eastAsia" w:ascii="宋体" w:hAnsi="宋体" w:eastAsia="宋体" w:cs="宋体"/>
          <w:color w:val="auto"/>
          <w:spacing w:val="-13"/>
          <w:sz w:val="24"/>
          <w:szCs w:val="24"/>
          <w:highlight w:val="none"/>
          <w:lang w:eastAsia="zh-CN"/>
        </w:rPr>
        <w:t>4.评标结果汇总完成后，采购代理机构应对评标结果进行复核。经复核发</w:t>
      </w:r>
      <w:r>
        <w:rPr>
          <w:rFonts w:hint="eastAsia" w:ascii="宋体" w:hAnsi="宋体" w:eastAsia="宋体" w:cs="宋体"/>
          <w:color w:val="auto"/>
          <w:spacing w:val="-14"/>
          <w:sz w:val="24"/>
          <w:szCs w:val="24"/>
          <w:highlight w:val="none"/>
          <w:lang w:eastAsia="zh-CN"/>
        </w:rPr>
        <w:t>现</w:t>
      </w:r>
      <w:r>
        <w:rPr>
          <w:rFonts w:hint="eastAsia" w:ascii="宋体" w:hAnsi="宋体" w:eastAsia="宋体" w:cs="宋体"/>
          <w:color w:val="auto"/>
          <w:spacing w:val="-13"/>
          <w:sz w:val="24"/>
          <w:szCs w:val="24"/>
          <w:highlight w:val="none"/>
          <w:lang w:eastAsia="zh-CN"/>
        </w:rPr>
        <w:t>存</w:t>
      </w:r>
      <w:r>
        <w:rPr>
          <w:rFonts w:hint="eastAsia" w:ascii="宋体" w:hAnsi="宋体" w:eastAsia="宋体" w:cs="宋体"/>
          <w:color w:val="auto"/>
          <w:spacing w:val="-12"/>
          <w:sz w:val="24"/>
          <w:szCs w:val="24"/>
          <w:highlight w:val="none"/>
          <w:lang w:eastAsia="zh-CN"/>
        </w:rPr>
        <w:t>在以下情形之一的，评标委员会应当当场修改评标结果，并在评标报告中记载：</w:t>
      </w:r>
    </w:p>
    <w:p w14:paraId="7195AF5F">
      <w:pPr>
        <w:spacing w:line="360" w:lineRule="auto"/>
        <w:ind w:left="521"/>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14.1分值汇总计算错误的；</w:t>
      </w:r>
    </w:p>
    <w:p w14:paraId="1D26B495">
      <w:pPr>
        <w:spacing w:line="360" w:lineRule="auto"/>
        <w:ind w:left="521"/>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14.2分项评分超出评分标准范围的；</w:t>
      </w:r>
    </w:p>
    <w:p w14:paraId="70FAF0CC">
      <w:pPr>
        <w:spacing w:line="360" w:lineRule="auto"/>
        <w:ind w:left="521"/>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14.3评标委员会成员对客观评审因素评分不一致的；</w:t>
      </w:r>
    </w:p>
    <w:p w14:paraId="5020EE8F">
      <w:pPr>
        <w:spacing w:line="360" w:lineRule="auto"/>
        <w:ind w:left="521"/>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14.4经评标委员会认定评分畸高、畸低的。</w:t>
      </w:r>
    </w:p>
    <w:p w14:paraId="04CAE2BF">
      <w:pPr>
        <w:spacing w:line="360" w:lineRule="auto"/>
        <w:ind w:left="43" w:right="40" w:firstLine="478"/>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15.各投标人的最终得分为评标委员会所有成员对各投标人评标得分汇总后</w:t>
      </w:r>
      <w:r>
        <w:rPr>
          <w:rFonts w:hint="eastAsia" w:ascii="宋体" w:hAnsi="宋体" w:eastAsia="宋体" w:cs="宋体"/>
          <w:color w:val="auto"/>
          <w:spacing w:val="-5"/>
          <w:sz w:val="24"/>
          <w:szCs w:val="24"/>
          <w:highlight w:val="none"/>
          <w:lang w:eastAsia="zh-CN"/>
        </w:rPr>
        <w:t>的算术平均值。</w:t>
      </w:r>
    </w:p>
    <w:p w14:paraId="70FE5574">
      <w:pPr>
        <w:spacing w:line="360" w:lineRule="auto"/>
        <w:ind w:left="21" w:right="13" w:firstLine="499"/>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15.1除资格性检查认定错误、分值汇总计算错误、分项评分超出评分标准</w:t>
      </w:r>
      <w:r>
        <w:rPr>
          <w:rFonts w:hint="eastAsia" w:ascii="宋体" w:hAnsi="宋体" w:eastAsia="宋体" w:cs="宋体"/>
          <w:color w:val="auto"/>
          <w:spacing w:val="-3"/>
          <w:sz w:val="24"/>
          <w:szCs w:val="24"/>
          <w:highlight w:val="none"/>
          <w:lang w:eastAsia="zh-CN"/>
        </w:rPr>
        <w:t>范围、客观分评分不一致、经评标委员会一致认定评分畸高、畸低的情形外，采购人或者采购代理机构不得以任何理由组织重新评审。采购人、采购代理机构发现评标委员会未按照招标文件规定的评审标准进行评审的，应当重新开展采购活</w:t>
      </w:r>
      <w:r>
        <w:rPr>
          <w:rFonts w:hint="eastAsia" w:ascii="宋体" w:hAnsi="宋体" w:eastAsia="宋体" w:cs="宋体"/>
          <w:color w:val="auto"/>
          <w:spacing w:val="-1"/>
          <w:sz w:val="24"/>
          <w:szCs w:val="24"/>
          <w:highlight w:val="none"/>
          <w:lang w:eastAsia="zh-CN"/>
        </w:rPr>
        <w:t>动，并同时书面报告本级财政部门。</w:t>
      </w:r>
    </w:p>
    <w:p w14:paraId="663C6991">
      <w:pPr>
        <w:spacing w:line="360" w:lineRule="auto"/>
        <w:ind w:left="26" w:right="100" w:firstLine="494"/>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15.2采购人或者采购代理机构不得通过对样品进行检测、对投标人</w:t>
      </w:r>
      <w:r>
        <w:rPr>
          <w:rFonts w:hint="eastAsia" w:ascii="宋体" w:hAnsi="宋体" w:eastAsia="宋体" w:cs="宋体"/>
          <w:color w:val="auto"/>
          <w:spacing w:val="-2"/>
          <w:sz w:val="24"/>
          <w:szCs w:val="24"/>
          <w:highlight w:val="none"/>
          <w:lang w:eastAsia="zh-CN"/>
        </w:rPr>
        <w:t>进行考察等方式改变评审结果。</w:t>
      </w:r>
    </w:p>
    <w:p w14:paraId="2F1DE244">
      <w:pPr>
        <w:spacing w:line="360" w:lineRule="auto"/>
        <w:ind w:left="38"/>
        <w:outlineLvl w:val="2"/>
        <w:rPr>
          <w:rFonts w:hint="eastAsia" w:ascii="宋体" w:hAnsi="宋体" w:eastAsia="宋体" w:cs="宋体"/>
          <w:color w:val="auto"/>
          <w:sz w:val="24"/>
          <w:szCs w:val="24"/>
          <w:highlight w:val="none"/>
          <w:lang w:eastAsia="zh-CN"/>
        </w:rPr>
      </w:pPr>
      <w:bookmarkStart w:id="102" w:name="_Toc6751"/>
      <w:bookmarkStart w:id="103" w:name="_Toc186477759"/>
      <w:r>
        <w:rPr>
          <w:rFonts w:hint="eastAsia" w:ascii="宋体" w:hAnsi="宋体" w:eastAsia="宋体" w:cs="宋体"/>
          <w:b/>
          <w:bCs/>
          <w:color w:val="auto"/>
          <w:spacing w:val="-6"/>
          <w:sz w:val="24"/>
          <w:szCs w:val="24"/>
          <w:highlight w:val="none"/>
          <w:lang w:eastAsia="zh-CN"/>
        </w:rPr>
        <w:t>（六）排序与推荐</w:t>
      </w:r>
      <w:bookmarkEnd w:id="102"/>
      <w:bookmarkEnd w:id="103"/>
    </w:p>
    <w:p w14:paraId="22773765">
      <w:pPr>
        <w:spacing w:line="360" w:lineRule="auto"/>
        <w:ind w:left="24" w:firstLine="496"/>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16.评标结果按评审后得分由高到低顺序排列。投标文件满足招标文件全部</w:t>
      </w:r>
      <w:r>
        <w:rPr>
          <w:rFonts w:hint="eastAsia" w:ascii="宋体" w:hAnsi="宋体" w:eastAsia="宋体" w:cs="宋体"/>
          <w:color w:val="auto"/>
          <w:spacing w:val="-3"/>
          <w:sz w:val="24"/>
          <w:szCs w:val="24"/>
          <w:highlight w:val="none"/>
          <w:lang w:eastAsia="zh-CN"/>
        </w:rPr>
        <w:t>实质性要求，且按照评审因素的量化指标评审得分最高的投标人为排名第一的中</w:t>
      </w:r>
      <w:r>
        <w:rPr>
          <w:rFonts w:hint="eastAsia" w:ascii="宋体" w:hAnsi="宋体" w:eastAsia="宋体" w:cs="宋体"/>
          <w:color w:val="auto"/>
          <w:spacing w:val="-8"/>
          <w:sz w:val="24"/>
          <w:szCs w:val="24"/>
          <w:highlight w:val="none"/>
          <w:lang w:eastAsia="zh-CN"/>
        </w:rPr>
        <w:t>标候选人。得分相同的，按投标报价由低到高顺序排列。得分且投标报价相同的，</w:t>
      </w:r>
      <w:r>
        <w:rPr>
          <w:rFonts w:hint="eastAsia" w:ascii="宋体" w:hAnsi="宋体" w:eastAsia="宋体" w:cs="宋体"/>
          <w:color w:val="auto"/>
          <w:spacing w:val="-1"/>
          <w:sz w:val="24"/>
          <w:szCs w:val="24"/>
          <w:highlight w:val="none"/>
          <w:lang w:eastAsia="zh-CN"/>
        </w:rPr>
        <w:t>按技术指标优劣顺序排列。</w:t>
      </w:r>
    </w:p>
    <w:p w14:paraId="1D1EECE2">
      <w:pPr>
        <w:spacing w:line="360" w:lineRule="auto"/>
        <w:ind w:left="23" w:right="61" w:firstLine="497"/>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17.提供相同品牌产品（单一产品采购项目中的该产品或者非单一产品采购</w:t>
      </w:r>
      <w:r>
        <w:rPr>
          <w:rFonts w:hint="eastAsia" w:ascii="宋体" w:hAnsi="宋体" w:eastAsia="宋体" w:cs="宋体"/>
          <w:color w:val="auto"/>
          <w:spacing w:val="-3"/>
          <w:sz w:val="24"/>
          <w:szCs w:val="24"/>
          <w:highlight w:val="none"/>
          <w:lang w:eastAsia="zh-CN"/>
        </w:rPr>
        <w:t>项目的核心产品）且通过资格审查、符合性审查的不同投标人参加同一合同项下投标的，按一家投标人计算，评审后得分最高的同品牌投标人获得中标人推荐资格；评审得分相同的，由采购人或者采购人委托评标委员会按照“投标人须知前</w:t>
      </w:r>
      <w:r>
        <w:rPr>
          <w:rFonts w:hint="eastAsia" w:ascii="宋体" w:hAnsi="宋体" w:eastAsia="宋体" w:cs="宋体"/>
          <w:color w:val="auto"/>
          <w:spacing w:val="-4"/>
          <w:sz w:val="24"/>
          <w:szCs w:val="24"/>
          <w:highlight w:val="none"/>
          <w:lang w:eastAsia="zh-CN"/>
        </w:rPr>
        <w:t>附表”规定的方式确定一个投标人获得中标人推荐资格，招标文件未规定的采取</w:t>
      </w:r>
      <w:r>
        <w:rPr>
          <w:rFonts w:hint="eastAsia" w:ascii="宋体" w:hAnsi="宋体" w:eastAsia="宋体" w:cs="宋体"/>
          <w:color w:val="auto"/>
          <w:spacing w:val="-1"/>
          <w:sz w:val="24"/>
          <w:szCs w:val="24"/>
          <w:highlight w:val="none"/>
          <w:lang w:eastAsia="zh-CN"/>
        </w:rPr>
        <w:t>随机抽取方式确定，其他同品牌投标人不作为中标候选人。</w:t>
      </w:r>
    </w:p>
    <w:p w14:paraId="1EDE820C">
      <w:pPr>
        <w:spacing w:line="360" w:lineRule="auto"/>
        <w:ind w:left="521"/>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18.中标候选人推荐家数详见“投标人须知前附</w:t>
      </w:r>
      <w:r>
        <w:rPr>
          <w:rFonts w:hint="eastAsia" w:ascii="宋体" w:hAnsi="宋体" w:eastAsia="宋体" w:cs="宋体"/>
          <w:color w:val="auto"/>
          <w:spacing w:val="-2"/>
          <w:sz w:val="24"/>
          <w:szCs w:val="24"/>
          <w:highlight w:val="none"/>
          <w:lang w:eastAsia="zh-CN"/>
        </w:rPr>
        <w:t>表”。</w:t>
      </w:r>
    </w:p>
    <w:p w14:paraId="2ED142F7">
      <w:pPr>
        <w:spacing w:line="360" w:lineRule="auto"/>
        <w:ind w:left="38"/>
        <w:outlineLvl w:val="2"/>
        <w:rPr>
          <w:rFonts w:hint="eastAsia" w:ascii="宋体" w:hAnsi="宋体" w:eastAsia="宋体" w:cs="宋体"/>
          <w:color w:val="auto"/>
          <w:sz w:val="24"/>
          <w:szCs w:val="24"/>
          <w:highlight w:val="none"/>
          <w:lang w:eastAsia="zh-CN"/>
        </w:rPr>
      </w:pPr>
      <w:bookmarkStart w:id="104" w:name="bookmark177"/>
      <w:bookmarkEnd w:id="104"/>
      <w:bookmarkStart w:id="105" w:name="_Toc1659"/>
      <w:bookmarkStart w:id="106" w:name="_Toc186477760"/>
      <w:r>
        <w:rPr>
          <w:rFonts w:hint="eastAsia" w:ascii="宋体" w:hAnsi="宋体" w:eastAsia="宋体" w:cs="宋体"/>
          <w:b/>
          <w:bCs/>
          <w:color w:val="auto"/>
          <w:spacing w:val="-5"/>
          <w:sz w:val="24"/>
          <w:szCs w:val="24"/>
          <w:highlight w:val="none"/>
          <w:lang w:eastAsia="zh-CN"/>
        </w:rPr>
        <w:t>（七）编写评标报告</w:t>
      </w:r>
      <w:bookmarkEnd w:id="105"/>
      <w:bookmarkEnd w:id="106"/>
    </w:p>
    <w:p w14:paraId="5DD50A8B">
      <w:pPr>
        <w:spacing w:line="360" w:lineRule="auto"/>
        <w:ind w:left="21" w:right="61" w:firstLine="499"/>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19.评标委员会根据全体评标成员签字的原始评标记录和评标结果编写评标</w:t>
      </w:r>
      <w:r>
        <w:rPr>
          <w:rFonts w:hint="eastAsia" w:ascii="宋体" w:hAnsi="宋体" w:eastAsia="宋体" w:cs="宋体"/>
          <w:color w:val="auto"/>
          <w:spacing w:val="-3"/>
          <w:sz w:val="24"/>
          <w:szCs w:val="24"/>
          <w:highlight w:val="none"/>
          <w:lang w:eastAsia="zh-CN"/>
        </w:rPr>
        <w:t>报告。评标委员会应当在评标报告上签名，对自己的评审意见承担法律责任。评标委员会成员对需要共同认定的事项存在争议的，应当按照少数服从多数的原则作出结论。持不同意见的评标委员会成员应当在评标报告上签署不同意见，并说</w:t>
      </w:r>
      <w:r>
        <w:rPr>
          <w:rFonts w:hint="eastAsia" w:ascii="宋体" w:hAnsi="宋体" w:eastAsia="宋体" w:cs="宋体"/>
          <w:color w:val="auto"/>
          <w:spacing w:val="-1"/>
          <w:sz w:val="24"/>
          <w:szCs w:val="24"/>
          <w:highlight w:val="none"/>
          <w:lang w:eastAsia="zh-CN"/>
        </w:rPr>
        <w:t>明理由，否则视为同意评标报告。</w:t>
      </w:r>
    </w:p>
    <w:p w14:paraId="777C3839">
      <w:pPr>
        <w:spacing w:line="360" w:lineRule="auto"/>
        <w:ind w:left="38"/>
        <w:outlineLvl w:val="2"/>
        <w:rPr>
          <w:rFonts w:hint="eastAsia" w:ascii="宋体" w:hAnsi="宋体" w:eastAsia="宋体" w:cs="宋体"/>
          <w:color w:val="auto"/>
          <w:sz w:val="24"/>
          <w:szCs w:val="24"/>
          <w:highlight w:val="none"/>
          <w:lang w:eastAsia="zh-CN"/>
        </w:rPr>
      </w:pPr>
      <w:bookmarkStart w:id="107" w:name="bookmark174"/>
      <w:bookmarkEnd w:id="107"/>
      <w:bookmarkStart w:id="108" w:name="bookmark180"/>
      <w:bookmarkEnd w:id="108"/>
      <w:bookmarkStart w:id="109" w:name="bookmark179"/>
      <w:bookmarkEnd w:id="109"/>
      <w:bookmarkStart w:id="110" w:name="bookmark178"/>
      <w:bookmarkEnd w:id="110"/>
      <w:bookmarkStart w:id="111" w:name="bookmark208"/>
      <w:bookmarkEnd w:id="111"/>
      <w:bookmarkStart w:id="112" w:name="bookmark204"/>
      <w:bookmarkEnd w:id="112"/>
      <w:bookmarkStart w:id="113" w:name="bookmark176"/>
      <w:bookmarkEnd w:id="113"/>
      <w:bookmarkStart w:id="114" w:name="bookmark206"/>
      <w:bookmarkEnd w:id="114"/>
      <w:bookmarkStart w:id="115" w:name="_Toc186477761"/>
      <w:bookmarkStart w:id="116" w:name="_Toc7184"/>
      <w:r>
        <w:rPr>
          <w:rFonts w:hint="eastAsia" w:ascii="宋体" w:hAnsi="宋体" w:eastAsia="宋体" w:cs="宋体"/>
          <w:b/>
          <w:bCs/>
          <w:color w:val="auto"/>
          <w:spacing w:val="-4"/>
          <w:sz w:val="24"/>
          <w:szCs w:val="24"/>
          <w:highlight w:val="none"/>
          <w:lang w:eastAsia="zh-CN"/>
        </w:rPr>
        <w:t>（八）投标无效及应予废标的情形</w:t>
      </w:r>
      <w:bookmarkEnd w:id="115"/>
      <w:bookmarkEnd w:id="116"/>
    </w:p>
    <w:p w14:paraId="36B40DF5">
      <w:pPr>
        <w:spacing w:line="360" w:lineRule="auto"/>
        <w:ind w:left="506"/>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20.投标人存在下列情形之一的，</w:t>
      </w:r>
      <w:r>
        <w:rPr>
          <w:rFonts w:hint="eastAsia" w:ascii="宋体" w:hAnsi="宋体" w:eastAsia="宋体" w:cs="宋体"/>
          <w:b/>
          <w:bCs/>
          <w:color w:val="auto"/>
          <w:spacing w:val="-1"/>
          <w:sz w:val="24"/>
          <w:szCs w:val="24"/>
          <w:highlight w:val="none"/>
          <w:lang w:eastAsia="zh-CN"/>
        </w:rPr>
        <w:t>投标无效</w:t>
      </w:r>
      <w:r>
        <w:rPr>
          <w:rFonts w:hint="eastAsia" w:ascii="宋体" w:hAnsi="宋体" w:eastAsia="宋体" w:cs="宋体"/>
          <w:color w:val="auto"/>
          <w:spacing w:val="-1"/>
          <w:sz w:val="24"/>
          <w:szCs w:val="24"/>
          <w:highlight w:val="none"/>
          <w:lang w:eastAsia="zh-CN"/>
        </w:rPr>
        <w:t>：</w:t>
      </w:r>
    </w:p>
    <w:p w14:paraId="343A2C66">
      <w:pPr>
        <w:spacing w:line="360" w:lineRule="auto"/>
        <w:ind w:left="506"/>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20.1投标人不具备《中华人民共和国政府采购法》第二十二条规定条件；</w:t>
      </w:r>
    </w:p>
    <w:p w14:paraId="5EE0BEDF">
      <w:pPr>
        <w:spacing w:line="360" w:lineRule="auto"/>
        <w:ind w:left="506"/>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20.2投标文件未按招标文件要求签署、盖</w:t>
      </w:r>
      <w:r>
        <w:rPr>
          <w:rFonts w:hint="eastAsia" w:ascii="宋体" w:hAnsi="宋体" w:eastAsia="宋体" w:cs="宋体"/>
          <w:color w:val="auto"/>
          <w:spacing w:val="-2"/>
          <w:sz w:val="24"/>
          <w:szCs w:val="24"/>
          <w:highlight w:val="none"/>
          <w:lang w:eastAsia="zh-CN"/>
        </w:rPr>
        <w:t>章的；</w:t>
      </w:r>
    </w:p>
    <w:p w14:paraId="394C9339">
      <w:pPr>
        <w:spacing w:line="360" w:lineRule="auto"/>
        <w:ind w:left="22" w:firstLine="483"/>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20.3不具备招标文件中规定的资格要求的（</w:t>
      </w:r>
      <w:r>
        <w:rPr>
          <w:rFonts w:hint="eastAsia" w:ascii="宋体" w:hAnsi="宋体" w:eastAsia="宋体" w:cs="宋体"/>
          <w:color w:val="auto"/>
          <w:spacing w:val="-4"/>
          <w:sz w:val="24"/>
          <w:szCs w:val="24"/>
          <w:highlight w:val="none"/>
          <w:lang w:eastAsia="zh-CN"/>
        </w:rPr>
        <w:t>投标人未提供有效资格文件的，</w:t>
      </w:r>
      <w:r>
        <w:rPr>
          <w:rFonts w:hint="eastAsia" w:ascii="宋体" w:hAnsi="宋体" w:eastAsia="宋体" w:cs="宋体"/>
          <w:color w:val="auto"/>
          <w:spacing w:val="-1"/>
          <w:sz w:val="24"/>
          <w:szCs w:val="24"/>
          <w:highlight w:val="none"/>
          <w:lang w:eastAsia="zh-CN"/>
        </w:rPr>
        <w:t>视为投标人不具备招标文件中规定的资格要求</w:t>
      </w:r>
      <w:r>
        <w:rPr>
          <w:rFonts w:hint="eastAsia" w:ascii="宋体" w:hAnsi="宋体" w:eastAsia="宋体" w:cs="宋体"/>
          <w:color w:val="auto"/>
          <w:spacing w:val="5"/>
          <w:sz w:val="24"/>
          <w:szCs w:val="24"/>
          <w:highlight w:val="none"/>
          <w:lang w:eastAsia="zh-CN"/>
        </w:rPr>
        <w:t>）；</w:t>
      </w:r>
    </w:p>
    <w:p w14:paraId="2AE33ADF">
      <w:pPr>
        <w:spacing w:line="360" w:lineRule="auto"/>
        <w:ind w:left="506"/>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20.4投标文件提供虚假材料的；</w:t>
      </w:r>
    </w:p>
    <w:p w14:paraId="6172BC58">
      <w:pPr>
        <w:spacing w:line="360" w:lineRule="auto"/>
        <w:ind w:left="25" w:right="147"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20.5投标文件不满足招标文件中标注“★”号的实质性条款（或指标）要</w:t>
      </w:r>
      <w:r>
        <w:rPr>
          <w:rFonts w:hint="eastAsia" w:ascii="宋体" w:hAnsi="宋体" w:eastAsia="宋体" w:cs="宋体"/>
          <w:color w:val="auto"/>
          <w:spacing w:val="-4"/>
          <w:sz w:val="24"/>
          <w:szCs w:val="24"/>
          <w:highlight w:val="none"/>
          <w:lang w:eastAsia="zh-CN"/>
        </w:rPr>
        <w:t>求的；</w:t>
      </w:r>
    </w:p>
    <w:p w14:paraId="0AAAEF36">
      <w:pPr>
        <w:spacing w:line="360" w:lineRule="auto"/>
        <w:ind w:left="506"/>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20.6投标人报价超过招标文件中规定的最高限价或者委托合计金额的；</w:t>
      </w:r>
    </w:p>
    <w:p w14:paraId="72D28F42">
      <w:pPr>
        <w:spacing w:line="360" w:lineRule="auto"/>
        <w:ind w:left="506"/>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20.7联合体的供应商未提交各方共同签署的联合体协议的；</w:t>
      </w:r>
    </w:p>
    <w:p w14:paraId="6AD98112">
      <w:pPr>
        <w:spacing w:line="360" w:lineRule="auto"/>
        <w:ind w:left="506"/>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20.8投标人未按招标文件的规定交纳投标保证金的；</w:t>
      </w:r>
    </w:p>
    <w:p w14:paraId="791DF23C">
      <w:pPr>
        <w:spacing w:line="360" w:lineRule="auto"/>
        <w:ind w:left="23" w:right="220" w:firstLine="48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20.9评审期间,投标人没有按评标委员会的要求提交经授权代表签字的澄清、说明、补正或改变了投标文件的实质性内容的；</w:t>
      </w:r>
    </w:p>
    <w:p w14:paraId="58BB2FE1">
      <w:pPr>
        <w:spacing w:line="360" w:lineRule="auto"/>
        <w:ind w:left="24" w:right="13" w:firstLine="481"/>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eastAsia="zh-CN"/>
        </w:rPr>
        <w:t>20.10投标人对采购人、采购代理机构、评标委员会及其工作人员施加影响,</w:t>
      </w:r>
      <w:r>
        <w:rPr>
          <w:rFonts w:hint="eastAsia" w:ascii="宋体" w:hAnsi="宋体" w:eastAsia="宋体" w:cs="宋体"/>
          <w:color w:val="auto"/>
          <w:spacing w:val="-2"/>
          <w:sz w:val="24"/>
          <w:szCs w:val="24"/>
          <w:highlight w:val="none"/>
          <w:lang w:eastAsia="zh-CN"/>
        </w:rPr>
        <w:t>有碍公平、公正的；</w:t>
      </w:r>
    </w:p>
    <w:p w14:paraId="649F72CE">
      <w:pPr>
        <w:spacing w:line="360" w:lineRule="auto"/>
        <w:ind w:left="506"/>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20.11投标文件含有采购人不能接受的附加条件的；</w:t>
      </w:r>
    </w:p>
    <w:p w14:paraId="7419E7F5">
      <w:pPr>
        <w:spacing w:line="360" w:lineRule="auto"/>
        <w:ind w:left="506"/>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20.12法律、法规、规章规定属于投标无效的其他情形。</w:t>
      </w:r>
    </w:p>
    <w:p w14:paraId="10CA3D46">
      <w:pPr>
        <w:spacing w:line="360" w:lineRule="auto"/>
        <w:ind w:left="506"/>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21.有下列情形之一的，视为投标人串通投标，其</w:t>
      </w:r>
      <w:r>
        <w:rPr>
          <w:rFonts w:hint="eastAsia" w:ascii="宋体" w:hAnsi="宋体" w:eastAsia="宋体" w:cs="宋体"/>
          <w:b/>
          <w:bCs/>
          <w:color w:val="auto"/>
          <w:spacing w:val="-1"/>
          <w:sz w:val="24"/>
          <w:szCs w:val="24"/>
          <w:highlight w:val="none"/>
          <w:lang w:eastAsia="zh-CN"/>
        </w:rPr>
        <w:t>投标无效</w:t>
      </w:r>
      <w:r>
        <w:rPr>
          <w:rFonts w:hint="eastAsia" w:ascii="宋体" w:hAnsi="宋体" w:eastAsia="宋体" w:cs="宋体"/>
          <w:color w:val="auto"/>
          <w:spacing w:val="-1"/>
          <w:sz w:val="24"/>
          <w:szCs w:val="24"/>
          <w:highlight w:val="none"/>
          <w:lang w:eastAsia="zh-CN"/>
        </w:rPr>
        <w:t>：</w:t>
      </w:r>
    </w:p>
    <w:p w14:paraId="6E247DC8">
      <w:pPr>
        <w:spacing w:line="360" w:lineRule="auto"/>
        <w:ind w:left="506"/>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21.1不同投标人的投标文件由同一单位或者个人编制；</w:t>
      </w:r>
    </w:p>
    <w:p w14:paraId="56E0283C">
      <w:pPr>
        <w:spacing w:line="360" w:lineRule="auto"/>
        <w:ind w:left="506"/>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21.2不同投标人委托同一单位或者个人办理投标事宜；</w:t>
      </w:r>
    </w:p>
    <w:p w14:paraId="084B193A">
      <w:pPr>
        <w:spacing w:line="360" w:lineRule="auto"/>
        <w:ind w:left="506"/>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21.3不同投标人的投标文件载明的项目管理成员或者联系人员为同一人；</w:t>
      </w:r>
    </w:p>
    <w:p w14:paraId="77DAF429">
      <w:pPr>
        <w:spacing w:line="360" w:lineRule="auto"/>
        <w:ind w:left="506"/>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21.4不同投标人的投标文件异常一致或者投标报价呈规律性差异；</w:t>
      </w:r>
    </w:p>
    <w:p w14:paraId="72FFEE38">
      <w:pPr>
        <w:spacing w:line="360" w:lineRule="auto"/>
        <w:ind w:left="506"/>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21.5不同投标人的投标文件相互混装；</w:t>
      </w:r>
    </w:p>
    <w:p w14:paraId="468DB0BA">
      <w:pPr>
        <w:spacing w:line="360" w:lineRule="auto"/>
        <w:ind w:left="506"/>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21.6不同投标人的投标保证金从同一单位或者个人的账户转出；</w:t>
      </w:r>
    </w:p>
    <w:p w14:paraId="5427DFE9">
      <w:pPr>
        <w:spacing w:line="360" w:lineRule="auto"/>
        <w:ind w:left="46" w:right="100" w:firstLine="459"/>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21.7不同投标人使用同一电脑（机器特征值一致：如MAC地址等）</w:t>
      </w:r>
      <w:r>
        <w:rPr>
          <w:rFonts w:hint="eastAsia" w:ascii="宋体" w:hAnsi="宋体" w:eastAsia="宋体" w:cs="宋体"/>
          <w:color w:val="auto"/>
          <w:spacing w:val="-2"/>
          <w:sz w:val="24"/>
          <w:szCs w:val="24"/>
          <w:highlight w:val="none"/>
          <w:lang w:eastAsia="zh-CN"/>
        </w:rPr>
        <w:t>或使用同一电子密钥，编制或上传电子投标文件；</w:t>
      </w:r>
    </w:p>
    <w:p w14:paraId="3825F464">
      <w:pPr>
        <w:spacing w:line="360" w:lineRule="auto"/>
        <w:ind w:left="506"/>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21.8法律、法规、规章规定属于投标人串通投标的其他情形。</w:t>
      </w:r>
    </w:p>
    <w:p w14:paraId="00494C17">
      <w:pPr>
        <w:widowControl w:val="0"/>
        <w:spacing w:line="360" w:lineRule="auto"/>
        <w:ind w:left="23" w:right="40" w:firstLine="48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22.根据《中华人民共和国政府采购法》第</w:t>
      </w:r>
      <w:r>
        <w:rPr>
          <w:rFonts w:hint="eastAsia" w:ascii="宋体" w:hAnsi="宋体" w:eastAsia="宋体" w:cs="宋体"/>
          <w:color w:val="auto"/>
          <w:spacing w:val="-1"/>
          <w:sz w:val="24"/>
          <w:szCs w:val="24"/>
          <w:highlight w:val="none"/>
          <w:lang w:eastAsia="zh-CN"/>
        </w:rPr>
        <w:t>三十六条之规定，在招标采购过程中，出现下列情形之一的，应予</w:t>
      </w:r>
      <w:r>
        <w:rPr>
          <w:rFonts w:hint="eastAsia" w:ascii="宋体" w:hAnsi="宋体" w:eastAsia="宋体" w:cs="宋体"/>
          <w:b/>
          <w:bCs/>
          <w:color w:val="auto"/>
          <w:spacing w:val="-1"/>
          <w:sz w:val="24"/>
          <w:szCs w:val="24"/>
          <w:highlight w:val="none"/>
          <w:lang w:eastAsia="zh-CN"/>
        </w:rPr>
        <w:t>废标</w:t>
      </w:r>
      <w:r>
        <w:rPr>
          <w:rFonts w:hint="eastAsia" w:ascii="宋体" w:hAnsi="宋体" w:eastAsia="宋体" w:cs="宋体"/>
          <w:color w:val="auto"/>
          <w:spacing w:val="-1"/>
          <w:sz w:val="24"/>
          <w:szCs w:val="24"/>
          <w:highlight w:val="none"/>
          <w:lang w:eastAsia="zh-CN"/>
        </w:rPr>
        <w:t>：</w:t>
      </w:r>
    </w:p>
    <w:p w14:paraId="7CA58855">
      <w:pPr>
        <w:spacing w:line="360" w:lineRule="auto"/>
        <w:ind w:left="43" w:right="100" w:firstLine="463"/>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22.1符合专业条件的供应商或者对招标文件作实质响应的供应商不足3家</w:t>
      </w:r>
      <w:r>
        <w:rPr>
          <w:rFonts w:hint="eastAsia" w:ascii="宋体" w:hAnsi="宋体" w:eastAsia="宋体" w:cs="宋体"/>
          <w:color w:val="auto"/>
          <w:spacing w:val="-15"/>
          <w:sz w:val="24"/>
          <w:szCs w:val="24"/>
          <w:highlight w:val="none"/>
          <w:lang w:eastAsia="zh-CN"/>
        </w:rPr>
        <w:t>的；</w:t>
      </w:r>
    </w:p>
    <w:p w14:paraId="400CBA18">
      <w:pPr>
        <w:spacing w:line="360" w:lineRule="auto"/>
        <w:ind w:left="506"/>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22.2出现影响采购公正的违法、违规行为的；</w:t>
      </w:r>
    </w:p>
    <w:p w14:paraId="208E52BE">
      <w:pPr>
        <w:spacing w:line="360" w:lineRule="auto"/>
        <w:ind w:left="506"/>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22.3投标人的报价均超过了采购预算，采购人不能支付的；</w:t>
      </w:r>
    </w:p>
    <w:p w14:paraId="48B57D8F">
      <w:pPr>
        <w:spacing w:line="360" w:lineRule="auto"/>
        <w:ind w:left="506"/>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22.4因重大变故，采购任务取消的；</w:t>
      </w:r>
    </w:p>
    <w:p w14:paraId="36D8C278">
      <w:pPr>
        <w:spacing w:line="360" w:lineRule="auto"/>
        <w:ind w:left="506"/>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22.5 法律、法规、规章规定属于废标的其他情形。</w:t>
      </w:r>
    </w:p>
    <w:p w14:paraId="4259FFFF">
      <w:pPr>
        <w:spacing w:line="360" w:lineRule="auto"/>
        <w:ind w:left="506"/>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23.废标后，采购人应当将废标理由通知所有投标人。</w:t>
      </w:r>
    </w:p>
    <w:p w14:paraId="14787055">
      <w:pPr>
        <w:spacing w:line="360" w:lineRule="auto"/>
        <w:ind w:left="38"/>
        <w:outlineLvl w:val="2"/>
        <w:rPr>
          <w:rFonts w:hint="eastAsia" w:ascii="宋体" w:hAnsi="宋体" w:eastAsia="宋体" w:cs="宋体"/>
          <w:color w:val="auto"/>
          <w:sz w:val="24"/>
          <w:szCs w:val="24"/>
          <w:highlight w:val="none"/>
          <w:lang w:eastAsia="zh-CN"/>
        </w:rPr>
      </w:pPr>
      <w:bookmarkStart w:id="117" w:name="bookmark212"/>
      <w:bookmarkEnd w:id="117"/>
      <w:bookmarkStart w:id="118" w:name="bookmark181"/>
      <w:bookmarkEnd w:id="118"/>
      <w:bookmarkStart w:id="119" w:name="bookmark182"/>
      <w:bookmarkEnd w:id="119"/>
      <w:bookmarkStart w:id="120" w:name="bookmark184"/>
      <w:bookmarkEnd w:id="120"/>
      <w:bookmarkStart w:id="121" w:name="bookmark210"/>
      <w:bookmarkEnd w:id="121"/>
      <w:bookmarkStart w:id="122" w:name="_Toc29385"/>
      <w:bookmarkStart w:id="123" w:name="_Toc186477762"/>
      <w:r>
        <w:rPr>
          <w:rFonts w:hint="eastAsia" w:ascii="宋体" w:hAnsi="宋体" w:eastAsia="宋体" w:cs="宋体"/>
          <w:b/>
          <w:bCs/>
          <w:color w:val="auto"/>
          <w:spacing w:val="-5"/>
          <w:sz w:val="24"/>
          <w:szCs w:val="24"/>
          <w:highlight w:val="none"/>
          <w:lang w:eastAsia="zh-CN"/>
        </w:rPr>
        <w:t>（九）停止评标的情形</w:t>
      </w:r>
      <w:bookmarkEnd w:id="122"/>
      <w:bookmarkEnd w:id="123"/>
    </w:p>
    <w:p w14:paraId="4F0A5721">
      <w:pPr>
        <w:spacing w:line="360" w:lineRule="auto"/>
        <w:ind w:left="26" w:right="13"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24.评标委员会发现招标文件存在歧义、重大缺陷导致评标工作无法进行，</w:t>
      </w:r>
      <w:r>
        <w:rPr>
          <w:rFonts w:hint="eastAsia" w:ascii="宋体" w:hAnsi="宋体" w:eastAsia="宋体" w:cs="宋体"/>
          <w:color w:val="auto"/>
          <w:spacing w:val="-3"/>
          <w:sz w:val="24"/>
          <w:szCs w:val="24"/>
          <w:highlight w:val="none"/>
          <w:lang w:eastAsia="zh-CN"/>
        </w:rPr>
        <w:t>或者招标文件内容违反国家有关强制性规定的，应当停止评标工作，与采购</w:t>
      </w:r>
      <w:r>
        <w:rPr>
          <w:rFonts w:hint="eastAsia" w:ascii="宋体" w:hAnsi="宋体" w:eastAsia="宋体" w:cs="宋体"/>
          <w:color w:val="auto"/>
          <w:spacing w:val="-4"/>
          <w:sz w:val="24"/>
          <w:szCs w:val="24"/>
          <w:highlight w:val="none"/>
          <w:lang w:eastAsia="zh-CN"/>
        </w:rPr>
        <w:t>人或</w:t>
      </w:r>
      <w:r>
        <w:rPr>
          <w:rFonts w:hint="eastAsia" w:ascii="宋体" w:hAnsi="宋体" w:eastAsia="宋体" w:cs="宋体"/>
          <w:color w:val="auto"/>
          <w:spacing w:val="-3"/>
          <w:sz w:val="24"/>
          <w:szCs w:val="24"/>
          <w:highlight w:val="none"/>
          <w:lang w:eastAsia="zh-CN"/>
        </w:rPr>
        <w:t>者采购代理机构沟通并作书面记录。采购人或者采购代理机构确认后，应当修改</w:t>
      </w:r>
      <w:r>
        <w:rPr>
          <w:rFonts w:hint="eastAsia" w:ascii="宋体" w:hAnsi="宋体" w:eastAsia="宋体" w:cs="宋体"/>
          <w:color w:val="auto"/>
          <w:spacing w:val="-1"/>
          <w:sz w:val="24"/>
          <w:szCs w:val="24"/>
          <w:highlight w:val="none"/>
          <w:lang w:eastAsia="zh-CN"/>
        </w:rPr>
        <w:t>招标文件，重新组织采购活动。</w:t>
      </w:r>
    </w:p>
    <w:p w14:paraId="5091A62B">
      <w:pPr>
        <w:spacing w:line="360" w:lineRule="auto"/>
        <w:ind w:left="38"/>
        <w:outlineLvl w:val="2"/>
        <w:rPr>
          <w:rFonts w:hint="eastAsia" w:ascii="宋体" w:hAnsi="宋体" w:eastAsia="宋体" w:cs="宋体"/>
          <w:color w:val="auto"/>
          <w:sz w:val="24"/>
          <w:szCs w:val="24"/>
          <w:highlight w:val="none"/>
          <w:lang w:eastAsia="zh-CN"/>
        </w:rPr>
      </w:pPr>
      <w:bookmarkStart w:id="124" w:name="_Toc186477763"/>
      <w:bookmarkStart w:id="125" w:name="_Toc30882"/>
      <w:r>
        <w:rPr>
          <w:rFonts w:hint="eastAsia" w:ascii="宋体" w:hAnsi="宋体" w:eastAsia="宋体" w:cs="宋体"/>
          <w:b/>
          <w:bCs/>
          <w:color w:val="auto"/>
          <w:spacing w:val="-5"/>
          <w:sz w:val="24"/>
          <w:szCs w:val="24"/>
          <w:highlight w:val="none"/>
          <w:lang w:eastAsia="zh-CN"/>
        </w:rPr>
        <w:t>（十）重新开展采购</w:t>
      </w:r>
      <w:bookmarkEnd w:id="124"/>
      <w:bookmarkEnd w:id="125"/>
    </w:p>
    <w:p w14:paraId="1AF9FAB1">
      <w:pPr>
        <w:spacing w:line="360" w:lineRule="auto"/>
        <w:ind w:left="27" w:right="40" w:firstLine="47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25.有《中华人民共和国政府采购法》第七</w:t>
      </w:r>
      <w:r>
        <w:rPr>
          <w:rFonts w:hint="eastAsia" w:ascii="宋体" w:hAnsi="宋体" w:eastAsia="宋体" w:cs="宋体"/>
          <w:color w:val="auto"/>
          <w:spacing w:val="-1"/>
          <w:sz w:val="24"/>
          <w:szCs w:val="24"/>
          <w:highlight w:val="none"/>
          <w:lang w:eastAsia="zh-CN"/>
        </w:rPr>
        <w:t>十一条、第七十二条规定的违法行为之一，影响或者可能影响中标结果的，依照下列规定处理：</w:t>
      </w:r>
    </w:p>
    <w:p w14:paraId="4C009B40">
      <w:pPr>
        <w:spacing w:line="360" w:lineRule="auto"/>
        <w:ind w:left="24" w:right="100" w:firstLine="481"/>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25.1未确定中标供应商的，终止本次政府采购活动，重新开展政府采购活</w:t>
      </w:r>
      <w:r>
        <w:rPr>
          <w:rFonts w:hint="eastAsia" w:ascii="宋体" w:hAnsi="宋体" w:eastAsia="宋体" w:cs="宋体"/>
          <w:color w:val="auto"/>
          <w:spacing w:val="-6"/>
          <w:sz w:val="24"/>
          <w:szCs w:val="24"/>
          <w:highlight w:val="none"/>
          <w:lang w:eastAsia="zh-CN"/>
        </w:rPr>
        <w:t>动。</w:t>
      </w:r>
    </w:p>
    <w:p w14:paraId="2A27514E">
      <w:pPr>
        <w:spacing w:line="360" w:lineRule="auto"/>
        <w:ind w:left="22" w:right="13" w:firstLine="483"/>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25.2已确定中标供应商但尚未签订政府</w:t>
      </w:r>
      <w:r>
        <w:rPr>
          <w:rFonts w:hint="eastAsia" w:ascii="宋体" w:hAnsi="宋体" w:eastAsia="宋体" w:cs="宋体"/>
          <w:color w:val="auto"/>
          <w:spacing w:val="-2"/>
          <w:sz w:val="24"/>
          <w:szCs w:val="24"/>
          <w:highlight w:val="none"/>
          <w:lang w:eastAsia="zh-CN"/>
        </w:rPr>
        <w:t>采购合同的，中标结果无效，从合</w:t>
      </w:r>
      <w:r>
        <w:rPr>
          <w:rFonts w:hint="eastAsia" w:ascii="宋体" w:hAnsi="宋体" w:eastAsia="宋体" w:cs="宋体"/>
          <w:color w:val="auto"/>
          <w:spacing w:val="-3"/>
          <w:sz w:val="24"/>
          <w:szCs w:val="24"/>
          <w:highlight w:val="none"/>
          <w:lang w:eastAsia="zh-CN"/>
        </w:rPr>
        <w:t>格的中标候选人中另行确定中标供应商；没有合格的中标候选人的，重新开展政</w:t>
      </w:r>
      <w:r>
        <w:rPr>
          <w:rFonts w:hint="eastAsia" w:ascii="宋体" w:hAnsi="宋体" w:eastAsia="宋体" w:cs="宋体"/>
          <w:color w:val="auto"/>
          <w:spacing w:val="-2"/>
          <w:sz w:val="24"/>
          <w:szCs w:val="24"/>
          <w:highlight w:val="none"/>
          <w:lang w:eastAsia="zh-CN"/>
        </w:rPr>
        <w:t>府采购活动。</w:t>
      </w:r>
    </w:p>
    <w:p w14:paraId="5C84AA34">
      <w:pPr>
        <w:spacing w:line="360" w:lineRule="auto"/>
        <w:ind w:left="46" w:right="100" w:firstLine="46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25.3政府采购合同已签订但尚未履行的，撤销合同，从合格的中标候选人中另行确定中标供应商；没有合格的中标候选人的，重新开展政府采购活动。</w:t>
      </w:r>
    </w:p>
    <w:p w14:paraId="7FDB4CED">
      <w:pPr>
        <w:spacing w:line="360" w:lineRule="auto"/>
        <w:ind w:left="24" w:right="100" w:firstLine="481"/>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25.4政府采购合同已经履行，给采购人、供应商造成损失的，由责任人承</w:t>
      </w:r>
      <w:r>
        <w:rPr>
          <w:rFonts w:hint="eastAsia" w:ascii="宋体" w:hAnsi="宋体" w:eastAsia="宋体" w:cs="宋体"/>
          <w:color w:val="auto"/>
          <w:spacing w:val="-2"/>
          <w:sz w:val="24"/>
          <w:szCs w:val="24"/>
          <w:highlight w:val="none"/>
          <w:lang w:eastAsia="zh-CN"/>
        </w:rPr>
        <w:t>担赔偿责任。</w:t>
      </w:r>
    </w:p>
    <w:p w14:paraId="40E380A0">
      <w:pPr>
        <w:spacing w:line="360" w:lineRule="auto"/>
        <w:ind w:left="24" w:right="13" w:firstLine="481"/>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25.5政府采购当事人有其他违反《中华人民共和国政府采购法》或者《中</w:t>
      </w:r>
      <w:r>
        <w:rPr>
          <w:rFonts w:hint="eastAsia" w:ascii="宋体" w:hAnsi="宋体" w:eastAsia="宋体" w:cs="宋体"/>
          <w:color w:val="auto"/>
          <w:spacing w:val="-3"/>
          <w:sz w:val="24"/>
          <w:szCs w:val="24"/>
          <w:highlight w:val="none"/>
          <w:lang w:eastAsia="zh-CN"/>
        </w:rPr>
        <w:t>华人民共和国政府采购法实施条例》等法律法规规定的行为，经改正后仍然影响</w:t>
      </w:r>
      <w:r>
        <w:rPr>
          <w:rFonts w:hint="eastAsia" w:ascii="宋体" w:hAnsi="宋体" w:eastAsia="宋体" w:cs="宋体"/>
          <w:color w:val="auto"/>
          <w:spacing w:val="-1"/>
          <w:sz w:val="24"/>
          <w:szCs w:val="24"/>
          <w:highlight w:val="none"/>
          <w:lang w:eastAsia="zh-CN"/>
        </w:rPr>
        <w:t>或者可能影响中标结果或者依法被认定为中标无效的，依照2</w:t>
      </w:r>
      <w:r>
        <w:rPr>
          <w:rFonts w:hint="eastAsia" w:ascii="宋体" w:hAnsi="宋体" w:eastAsia="宋体" w:cs="宋体"/>
          <w:color w:val="auto"/>
          <w:spacing w:val="-1"/>
          <w:sz w:val="24"/>
          <w:szCs w:val="24"/>
          <w:highlight w:val="none"/>
          <w:lang w:val="en-US" w:eastAsia="zh-CN"/>
        </w:rPr>
        <w:t>5</w:t>
      </w:r>
      <w:r>
        <w:rPr>
          <w:rFonts w:hint="eastAsia" w:ascii="宋体" w:hAnsi="宋体" w:eastAsia="宋体" w:cs="宋体"/>
          <w:color w:val="auto"/>
          <w:spacing w:val="-1"/>
          <w:sz w:val="24"/>
          <w:szCs w:val="24"/>
          <w:highlight w:val="none"/>
          <w:lang w:eastAsia="zh-CN"/>
        </w:rPr>
        <w:t>.1—2</w:t>
      </w:r>
      <w:r>
        <w:rPr>
          <w:rFonts w:hint="eastAsia" w:ascii="宋体" w:hAnsi="宋体" w:eastAsia="宋体" w:cs="宋体"/>
          <w:color w:val="auto"/>
          <w:spacing w:val="-1"/>
          <w:sz w:val="24"/>
          <w:szCs w:val="24"/>
          <w:highlight w:val="none"/>
          <w:lang w:val="en-US" w:eastAsia="zh-CN"/>
        </w:rPr>
        <w:t>5</w:t>
      </w:r>
      <w:r>
        <w:rPr>
          <w:rFonts w:hint="eastAsia" w:ascii="宋体" w:hAnsi="宋体" w:eastAsia="宋体" w:cs="宋体"/>
          <w:color w:val="auto"/>
          <w:spacing w:val="-1"/>
          <w:sz w:val="24"/>
          <w:szCs w:val="24"/>
          <w:highlight w:val="none"/>
          <w:lang w:eastAsia="zh-CN"/>
        </w:rPr>
        <w:t>.4规定处</w:t>
      </w:r>
      <w:r>
        <w:rPr>
          <w:rFonts w:hint="eastAsia" w:ascii="宋体" w:hAnsi="宋体" w:eastAsia="宋体" w:cs="宋体"/>
          <w:color w:val="auto"/>
          <w:spacing w:val="-6"/>
          <w:sz w:val="24"/>
          <w:szCs w:val="24"/>
          <w:highlight w:val="none"/>
          <w:lang w:eastAsia="zh-CN"/>
        </w:rPr>
        <w:t>理。</w:t>
      </w:r>
    </w:p>
    <w:p w14:paraId="5FA83602">
      <w:pPr>
        <w:spacing w:line="360" w:lineRule="auto"/>
        <w:ind w:left="26"/>
        <w:outlineLvl w:val="1"/>
        <w:rPr>
          <w:rFonts w:hint="eastAsia" w:ascii="宋体" w:hAnsi="宋体" w:eastAsia="宋体" w:cs="宋体"/>
          <w:color w:val="auto"/>
          <w:sz w:val="24"/>
          <w:szCs w:val="24"/>
          <w:highlight w:val="none"/>
          <w:lang w:eastAsia="zh-CN"/>
        </w:rPr>
      </w:pPr>
      <w:bookmarkStart w:id="126" w:name="bookmark213"/>
      <w:bookmarkEnd w:id="126"/>
      <w:bookmarkStart w:id="127" w:name="bookmark185"/>
      <w:bookmarkEnd w:id="127"/>
      <w:bookmarkStart w:id="128" w:name="_Toc6075"/>
      <w:r>
        <w:rPr>
          <w:rFonts w:hint="eastAsia" w:ascii="宋体" w:hAnsi="宋体" w:eastAsia="宋体" w:cs="宋体"/>
          <w:b/>
          <w:bCs/>
          <w:color w:val="auto"/>
          <w:spacing w:val="6"/>
          <w:sz w:val="24"/>
          <w:szCs w:val="24"/>
          <w:highlight w:val="none"/>
          <w:lang w:eastAsia="zh-CN"/>
        </w:rPr>
        <w:t>三、评标其他要求：/</w:t>
      </w:r>
      <w:bookmarkEnd w:id="128"/>
    </w:p>
    <w:p w14:paraId="3C0AB066">
      <w:pPr>
        <w:widowControl w:val="0"/>
        <w:spacing w:line="360" w:lineRule="auto"/>
        <w:ind w:left="57"/>
        <w:outlineLvl w:val="1"/>
        <w:rPr>
          <w:rFonts w:hint="eastAsia" w:ascii="宋体" w:hAnsi="宋体" w:eastAsia="宋体" w:cs="宋体"/>
          <w:b/>
          <w:bCs/>
          <w:color w:val="auto"/>
          <w:sz w:val="24"/>
          <w:szCs w:val="24"/>
          <w:highlight w:val="none"/>
          <w:lang w:eastAsia="zh-CN"/>
        </w:rPr>
      </w:pPr>
      <w:bookmarkStart w:id="129" w:name="bookmark188"/>
      <w:bookmarkEnd w:id="129"/>
      <w:bookmarkStart w:id="130" w:name="bookmark215"/>
      <w:bookmarkEnd w:id="130"/>
      <w:bookmarkStart w:id="131" w:name="bookmark214"/>
      <w:bookmarkEnd w:id="131"/>
      <w:bookmarkStart w:id="132" w:name="bookmark186"/>
      <w:bookmarkEnd w:id="132"/>
      <w:bookmarkStart w:id="133" w:name="bookmark216"/>
      <w:bookmarkEnd w:id="133"/>
      <w:bookmarkStart w:id="134" w:name="bookmark187"/>
      <w:bookmarkEnd w:id="134"/>
      <w:bookmarkStart w:id="135" w:name="bookmark190"/>
      <w:bookmarkEnd w:id="135"/>
      <w:bookmarkStart w:id="136" w:name="bookmark218"/>
      <w:bookmarkEnd w:id="136"/>
      <w:bookmarkStart w:id="137" w:name="_Toc31859"/>
      <w:r>
        <w:rPr>
          <w:rFonts w:hint="eastAsia" w:ascii="宋体" w:hAnsi="宋体" w:eastAsia="宋体" w:cs="宋体"/>
          <w:b/>
          <w:bCs/>
          <w:color w:val="auto"/>
          <w:sz w:val="24"/>
          <w:szCs w:val="24"/>
          <w:highlight w:val="none"/>
          <w:lang w:eastAsia="zh-CN"/>
        </w:rPr>
        <w:t>四、评标标准</w:t>
      </w:r>
      <w:bookmarkEnd w:id="137"/>
      <w:bookmarkStart w:id="138" w:name="bookmark217"/>
      <w:bookmarkEnd w:id="138"/>
      <w:bookmarkStart w:id="139" w:name="bookmark189"/>
      <w:bookmarkEnd w:id="139"/>
    </w:p>
    <w:p w14:paraId="5FC14A1F">
      <w:pPr>
        <w:widowControl w:val="0"/>
        <w:spacing w:line="360" w:lineRule="auto"/>
        <w:ind w:left="57"/>
        <w:outlineLvl w:val="1"/>
        <w:rPr>
          <w:rFonts w:hint="eastAsia" w:ascii="宋体" w:hAnsi="宋体" w:eastAsia="宋体" w:cs="宋体"/>
          <w:b/>
          <w:bCs/>
          <w:color w:val="auto"/>
          <w:spacing w:val="-5"/>
          <w:sz w:val="24"/>
          <w:szCs w:val="24"/>
          <w:highlight w:val="none"/>
          <w:lang w:eastAsia="zh-CN"/>
        </w:rPr>
      </w:pPr>
      <w:r>
        <w:rPr>
          <w:rFonts w:hint="eastAsia" w:ascii="宋体" w:hAnsi="宋体" w:eastAsia="宋体" w:cs="宋体"/>
          <w:b/>
          <w:bCs/>
          <w:color w:val="auto"/>
          <w:spacing w:val="-5"/>
          <w:sz w:val="24"/>
          <w:szCs w:val="24"/>
          <w:highlight w:val="none"/>
          <w:lang w:eastAsia="zh-CN"/>
        </w:rPr>
        <w:t>（一）符合性审查表</w:t>
      </w:r>
    </w:p>
    <w:tbl>
      <w:tblPr>
        <w:tblStyle w:val="30"/>
        <w:tblW w:w="9516" w:type="dxa"/>
        <w:tblInd w:w="-14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2"/>
        <w:gridCol w:w="1643"/>
        <w:gridCol w:w="5717"/>
        <w:gridCol w:w="669"/>
        <w:gridCol w:w="825"/>
      </w:tblGrid>
      <w:tr w14:paraId="69D454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6" w:hRule="atLeast"/>
        </w:trPr>
        <w:tc>
          <w:tcPr>
            <w:tcW w:w="662" w:type="dxa"/>
            <w:vMerge w:val="restart"/>
            <w:tcBorders>
              <w:bottom w:val="nil"/>
            </w:tcBorders>
            <w:shd w:val="clear" w:color="auto" w:fill="FFFFFF" w:themeFill="background1"/>
          </w:tcPr>
          <w:p w14:paraId="21825B4A">
            <w:pPr>
              <w:pStyle w:val="77"/>
              <w:spacing w:line="360" w:lineRule="auto"/>
              <w:jc w:val="both"/>
              <w:rPr>
                <w:rFonts w:hint="eastAsia" w:ascii="宋体" w:hAnsi="宋体" w:eastAsia="宋体" w:cs="宋体"/>
                <w:b/>
                <w:bCs/>
                <w:color w:val="auto"/>
                <w:spacing w:val="5"/>
                <w:sz w:val="24"/>
                <w:szCs w:val="24"/>
                <w:highlight w:val="none"/>
              </w:rPr>
            </w:pPr>
          </w:p>
          <w:p w14:paraId="1AF56E66">
            <w:pPr>
              <w:pStyle w:val="77"/>
              <w:spacing w:line="360" w:lineRule="auto"/>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序号</w:t>
            </w:r>
          </w:p>
        </w:tc>
        <w:tc>
          <w:tcPr>
            <w:tcW w:w="1643" w:type="dxa"/>
            <w:vMerge w:val="restart"/>
            <w:tcBorders>
              <w:bottom w:val="nil"/>
            </w:tcBorders>
            <w:shd w:val="clear" w:color="auto" w:fill="FFFFFF" w:themeFill="background1"/>
            <w:vAlign w:val="center"/>
          </w:tcPr>
          <w:p w14:paraId="45700CB1">
            <w:pPr>
              <w:pStyle w:val="77"/>
              <w:spacing w:before="65" w:line="360" w:lineRule="auto"/>
              <w:jc w:val="center"/>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审查项名称</w:t>
            </w:r>
          </w:p>
        </w:tc>
        <w:tc>
          <w:tcPr>
            <w:tcW w:w="5717" w:type="dxa"/>
            <w:vMerge w:val="restart"/>
            <w:tcBorders>
              <w:bottom w:val="nil"/>
            </w:tcBorders>
            <w:shd w:val="clear" w:color="auto" w:fill="FFFFFF" w:themeFill="background1"/>
            <w:vAlign w:val="center"/>
          </w:tcPr>
          <w:p w14:paraId="3DBA7ACD">
            <w:pPr>
              <w:pStyle w:val="77"/>
              <w:spacing w:before="65" w:line="360" w:lineRule="auto"/>
              <w:jc w:val="center"/>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审查内容</w:t>
            </w:r>
          </w:p>
        </w:tc>
        <w:tc>
          <w:tcPr>
            <w:tcW w:w="1494" w:type="dxa"/>
            <w:gridSpan w:val="2"/>
            <w:shd w:val="clear" w:color="auto" w:fill="FFFFFF" w:themeFill="background1"/>
            <w:vAlign w:val="center"/>
          </w:tcPr>
          <w:p w14:paraId="40D6FB24">
            <w:pPr>
              <w:pStyle w:val="77"/>
              <w:spacing w:before="142" w:line="360" w:lineRule="auto"/>
              <w:ind w:left="-63"/>
              <w:jc w:val="center"/>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审查结果</w:t>
            </w:r>
          </w:p>
        </w:tc>
      </w:tr>
      <w:tr w14:paraId="36086A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0" w:hRule="atLeast"/>
        </w:trPr>
        <w:tc>
          <w:tcPr>
            <w:tcW w:w="662" w:type="dxa"/>
            <w:vMerge w:val="continue"/>
            <w:tcBorders>
              <w:top w:val="nil"/>
            </w:tcBorders>
            <w:shd w:val="clear" w:color="auto" w:fill="FFFFFF" w:themeFill="background1"/>
            <w:textDirection w:val="tbRlV"/>
          </w:tcPr>
          <w:p w14:paraId="3404C319">
            <w:pPr>
              <w:spacing w:line="360" w:lineRule="auto"/>
              <w:rPr>
                <w:rFonts w:hint="eastAsia" w:ascii="宋体" w:hAnsi="宋体" w:eastAsia="宋体" w:cs="宋体"/>
                <w:color w:val="auto"/>
                <w:sz w:val="24"/>
                <w:szCs w:val="24"/>
                <w:highlight w:val="none"/>
              </w:rPr>
            </w:pPr>
          </w:p>
        </w:tc>
        <w:tc>
          <w:tcPr>
            <w:tcW w:w="1643" w:type="dxa"/>
            <w:vMerge w:val="continue"/>
            <w:tcBorders>
              <w:top w:val="nil"/>
            </w:tcBorders>
            <w:shd w:val="clear" w:color="auto" w:fill="FFFFFF" w:themeFill="background1"/>
            <w:vAlign w:val="center"/>
          </w:tcPr>
          <w:p w14:paraId="71899321">
            <w:pPr>
              <w:spacing w:line="360" w:lineRule="auto"/>
              <w:jc w:val="center"/>
              <w:rPr>
                <w:rFonts w:hint="eastAsia" w:ascii="宋体" w:hAnsi="宋体" w:eastAsia="宋体" w:cs="宋体"/>
                <w:color w:val="auto"/>
                <w:sz w:val="24"/>
                <w:szCs w:val="24"/>
                <w:highlight w:val="none"/>
              </w:rPr>
            </w:pPr>
          </w:p>
        </w:tc>
        <w:tc>
          <w:tcPr>
            <w:tcW w:w="5717" w:type="dxa"/>
            <w:vMerge w:val="continue"/>
            <w:tcBorders>
              <w:top w:val="nil"/>
            </w:tcBorders>
            <w:shd w:val="clear" w:color="auto" w:fill="FFFFFF" w:themeFill="background1"/>
            <w:vAlign w:val="center"/>
          </w:tcPr>
          <w:p w14:paraId="5083ADED">
            <w:pPr>
              <w:spacing w:line="360" w:lineRule="auto"/>
              <w:jc w:val="center"/>
              <w:rPr>
                <w:rFonts w:hint="eastAsia" w:ascii="宋体" w:hAnsi="宋体" w:eastAsia="宋体" w:cs="宋体"/>
                <w:color w:val="auto"/>
                <w:sz w:val="24"/>
                <w:szCs w:val="24"/>
                <w:highlight w:val="none"/>
              </w:rPr>
            </w:pPr>
          </w:p>
        </w:tc>
        <w:tc>
          <w:tcPr>
            <w:tcW w:w="669" w:type="dxa"/>
            <w:shd w:val="clear" w:color="auto" w:fill="FFFFFF" w:themeFill="background1"/>
            <w:vAlign w:val="center"/>
          </w:tcPr>
          <w:p w14:paraId="248B9000">
            <w:pPr>
              <w:pStyle w:val="77"/>
              <w:spacing w:before="136" w:line="360" w:lineRule="auto"/>
              <w:ind w:left="-63"/>
              <w:jc w:val="center"/>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符合</w:t>
            </w:r>
          </w:p>
        </w:tc>
        <w:tc>
          <w:tcPr>
            <w:tcW w:w="825" w:type="dxa"/>
            <w:shd w:val="clear" w:color="auto" w:fill="FFFFFF" w:themeFill="background1"/>
            <w:vAlign w:val="center"/>
          </w:tcPr>
          <w:p w14:paraId="2D93578F">
            <w:pPr>
              <w:pStyle w:val="77"/>
              <w:spacing w:before="136" w:line="360" w:lineRule="auto"/>
              <w:ind w:left="-108" w:right="-36" w:rightChars="-17"/>
              <w:jc w:val="center"/>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不符合</w:t>
            </w:r>
          </w:p>
        </w:tc>
      </w:tr>
      <w:tr w14:paraId="3A4C5C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04" w:hRule="atLeast"/>
        </w:trPr>
        <w:tc>
          <w:tcPr>
            <w:tcW w:w="662" w:type="dxa"/>
            <w:vAlign w:val="center"/>
          </w:tcPr>
          <w:p w14:paraId="4603773D">
            <w:pPr>
              <w:pStyle w:val="77"/>
              <w:spacing w:line="360" w:lineRule="auto"/>
              <w:ind w:right="-124" w:rightChars="-59"/>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p>
        </w:tc>
        <w:tc>
          <w:tcPr>
            <w:tcW w:w="1643" w:type="dxa"/>
            <w:vAlign w:val="center"/>
          </w:tcPr>
          <w:p w14:paraId="22258E8E">
            <w:pPr>
              <w:pStyle w:val="77"/>
              <w:spacing w:line="360" w:lineRule="auto"/>
              <w:ind w:left="-92" w:right="-98" w:firstLine="2"/>
              <w:jc w:val="center"/>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投标文件签</w:t>
            </w:r>
            <w:r>
              <w:rPr>
                <w:rFonts w:hint="eastAsia" w:ascii="宋体" w:hAnsi="宋体" w:eastAsia="宋体" w:cs="宋体"/>
                <w:color w:val="auto"/>
                <w:sz w:val="24"/>
                <w:szCs w:val="24"/>
                <w:highlight w:val="none"/>
              </w:rPr>
              <w:t>署</w:t>
            </w:r>
          </w:p>
        </w:tc>
        <w:tc>
          <w:tcPr>
            <w:tcW w:w="5717" w:type="dxa"/>
            <w:vAlign w:val="center"/>
          </w:tcPr>
          <w:p w14:paraId="11F8E5E3">
            <w:pPr>
              <w:pStyle w:val="77"/>
              <w:spacing w:line="360" w:lineRule="auto"/>
              <w:ind w:left="24" w:right="-10" w:rightChars="-5"/>
              <w:jc w:val="both"/>
              <w:rPr>
                <w:rFonts w:hint="eastAsia" w:ascii="宋体" w:hAnsi="宋体" w:eastAsia="宋体" w:cs="宋体"/>
                <w:color w:val="auto"/>
                <w:spacing w:val="9"/>
                <w:sz w:val="24"/>
                <w:szCs w:val="24"/>
                <w:highlight w:val="none"/>
                <w:lang w:eastAsia="zh-CN"/>
              </w:rPr>
            </w:pPr>
            <w:r>
              <w:rPr>
                <w:rFonts w:hint="eastAsia" w:ascii="宋体" w:hAnsi="宋体" w:eastAsia="宋体" w:cs="宋体"/>
                <w:color w:val="auto"/>
                <w:spacing w:val="9"/>
                <w:sz w:val="24"/>
                <w:szCs w:val="24"/>
                <w:highlight w:val="none"/>
                <w:lang w:eastAsia="zh-CN"/>
              </w:rPr>
              <w:t>投标文件按招标文件要求签署、盖章。</w:t>
            </w:r>
          </w:p>
        </w:tc>
        <w:tc>
          <w:tcPr>
            <w:tcW w:w="669" w:type="dxa"/>
            <w:vAlign w:val="center"/>
          </w:tcPr>
          <w:p w14:paraId="6BF4FDBF">
            <w:pPr>
              <w:spacing w:line="360" w:lineRule="auto"/>
              <w:jc w:val="center"/>
              <w:rPr>
                <w:rFonts w:hint="eastAsia" w:ascii="宋体" w:hAnsi="宋体" w:eastAsia="宋体" w:cs="宋体"/>
                <w:color w:val="auto"/>
                <w:sz w:val="24"/>
                <w:szCs w:val="24"/>
                <w:highlight w:val="none"/>
                <w:lang w:eastAsia="zh-CN"/>
              </w:rPr>
            </w:pPr>
          </w:p>
        </w:tc>
        <w:tc>
          <w:tcPr>
            <w:tcW w:w="825" w:type="dxa"/>
            <w:vAlign w:val="center"/>
          </w:tcPr>
          <w:p w14:paraId="436B1FFD">
            <w:pPr>
              <w:spacing w:line="360" w:lineRule="auto"/>
              <w:jc w:val="center"/>
              <w:rPr>
                <w:rFonts w:hint="eastAsia" w:ascii="宋体" w:hAnsi="宋体" w:eastAsia="宋体" w:cs="宋体"/>
                <w:color w:val="auto"/>
                <w:sz w:val="24"/>
                <w:szCs w:val="24"/>
                <w:highlight w:val="none"/>
                <w:lang w:eastAsia="zh-CN"/>
              </w:rPr>
            </w:pPr>
          </w:p>
        </w:tc>
      </w:tr>
      <w:tr w14:paraId="006D1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04" w:hRule="atLeast"/>
        </w:trPr>
        <w:tc>
          <w:tcPr>
            <w:tcW w:w="662" w:type="dxa"/>
            <w:vAlign w:val="center"/>
          </w:tcPr>
          <w:p w14:paraId="489759FD">
            <w:pPr>
              <w:pStyle w:val="77"/>
              <w:spacing w:line="360" w:lineRule="auto"/>
              <w:ind w:right="-124" w:rightChars="-59"/>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w:t>
            </w:r>
          </w:p>
        </w:tc>
        <w:tc>
          <w:tcPr>
            <w:tcW w:w="1643" w:type="dxa"/>
            <w:vAlign w:val="center"/>
          </w:tcPr>
          <w:p w14:paraId="160F3ACC">
            <w:pPr>
              <w:pStyle w:val="77"/>
              <w:spacing w:line="360" w:lineRule="auto"/>
              <w:ind w:left="-92" w:right="-98" w:firstLine="2"/>
              <w:jc w:val="center"/>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投标文件格式</w:t>
            </w:r>
          </w:p>
        </w:tc>
        <w:tc>
          <w:tcPr>
            <w:tcW w:w="5717" w:type="dxa"/>
            <w:vAlign w:val="center"/>
          </w:tcPr>
          <w:p w14:paraId="68C0CD95">
            <w:pPr>
              <w:pStyle w:val="77"/>
              <w:spacing w:line="360" w:lineRule="auto"/>
              <w:ind w:left="24" w:right="-10" w:rightChars="-5"/>
              <w:jc w:val="both"/>
              <w:rPr>
                <w:rFonts w:hint="eastAsia" w:ascii="宋体" w:hAnsi="宋体" w:eastAsia="宋体" w:cs="宋体"/>
                <w:color w:val="auto"/>
                <w:spacing w:val="9"/>
                <w:sz w:val="24"/>
                <w:szCs w:val="24"/>
                <w:highlight w:val="none"/>
                <w:lang w:eastAsia="zh-CN"/>
              </w:rPr>
            </w:pPr>
            <w:r>
              <w:rPr>
                <w:rFonts w:hint="eastAsia" w:ascii="宋体" w:hAnsi="宋体" w:eastAsia="宋体" w:cs="宋体"/>
                <w:color w:val="auto"/>
                <w:spacing w:val="9"/>
                <w:sz w:val="24"/>
                <w:szCs w:val="24"/>
                <w:highlight w:val="none"/>
                <w:lang w:eastAsia="zh-CN"/>
              </w:rPr>
              <w:t>投标文件按照招标文件要求完整提供。</w:t>
            </w:r>
          </w:p>
        </w:tc>
        <w:tc>
          <w:tcPr>
            <w:tcW w:w="669" w:type="dxa"/>
            <w:vAlign w:val="center"/>
          </w:tcPr>
          <w:p w14:paraId="5EEE2FAD">
            <w:pPr>
              <w:spacing w:line="360" w:lineRule="auto"/>
              <w:jc w:val="center"/>
              <w:rPr>
                <w:rFonts w:hint="eastAsia" w:ascii="宋体" w:hAnsi="宋体" w:eastAsia="宋体" w:cs="宋体"/>
                <w:color w:val="auto"/>
                <w:sz w:val="24"/>
                <w:szCs w:val="24"/>
                <w:highlight w:val="none"/>
                <w:lang w:eastAsia="zh-CN"/>
              </w:rPr>
            </w:pPr>
          </w:p>
        </w:tc>
        <w:tc>
          <w:tcPr>
            <w:tcW w:w="825" w:type="dxa"/>
            <w:vAlign w:val="center"/>
          </w:tcPr>
          <w:p w14:paraId="5296F62D">
            <w:pPr>
              <w:spacing w:line="360" w:lineRule="auto"/>
              <w:jc w:val="center"/>
              <w:rPr>
                <w:rFonts w:hint="eastAsia" w:ascii="宋体" w:hAnsi="宋体" w:eastAsia="宋体" w:cs="宋体"/>
                <w:color w:val="auto"/>
                <w:sz w:val="24"/>
                <w:szCs w:val="24"/>
                <w:highlight w:val="none"/>
                <w:lang w:eastAsia="zh-CN"/>
              </w:rPr>
            </w:pPr>
          </w:p>
        </w:tc>
      </w:tr>
      <w:tr w14:paraId="46A747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57" w:hRule="atLeast"/>
        </w:trPr>
        <w:tc>
          <w:tcPr>
            <w:tcW w:w="662" w:type="dxa"/>
            <w:vAlign w:val="center"/>
          </w:tcPr>
          <w:p w14:paraId="7D5171E9">
            <w:pPr>
              <w:pStyle w:val="77"/>
              <w:spacing w:line="360" w:lineRule="auto"/>
              <w:ind w:right="-124" w:rightChars="-59"/>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w:t>
            </w:r>
          </w:p>
        </w:tc>
        <w:tc>
          <w:tcPr>
            <w:tcW w:w="1643" w:type="dxa"/>
            <w:vAlign w:val="center"/>
          </w:tcPr>
          <w:p w14:paraId="42DBC0FC">
            <w:pPr>
              <w:pStyle w:val="77"/>
              <w:spacing w:before="51" w:line="360" w:lineRule="auto"/>
              <w:ind w:left="-92" w:right="-98" w:firstLine="2"/>
              <w:jc w:val="center"/>
              <w:rPr>
                <w:rFonts w:hint="eastAsia" w:ascii="宋体" w:hAnsi="宋体" w:eastAsia="宋体" w:cs="宋体"/>
                <w:color w:val="auto"/>
                <w:spacing w:val="7"/>
                <w:sz w:val="24"/>
                <w:szCs w:val="24"/>
                <w:highlight w:val="none"/>
              </w:rPr>
            </w:pPr>
            <w:r>
              <w:rPr>
                <w:rFonts w:hint="eastAsia" w:ascii="宋体" w:hAnsi="宋体" w:eastAsia="宋体" w:cs="宋体"/>
                <w:color w:val="auto"/>
                <w:spacing w:val="7"/>
                <w:sz w:val="24"/>
                <w:szCs w:val="24"/>
                <w:highlight w:val="none"/>
              </w:rPr>
              <w:t>实质性要求</w:t>
            </w:r>
          </w:p>
        </w:tc>
        <w:tc>
          <w:tcPr>
            <w:tcW w:w="5717" w:type="dxa"/>
            <w:vAlign w:val="center"/>
          </w:tcPr>
          <w:p w14:paraId="7FB62166">
            <w:pPr>
              <w:pStyle w:val="77"/>
              <w:spacing w:line="360" w:lineRule="auto"/>
              <w:ind w:left="24" w:right="-10" w:rightChars="-5"/>
              <w:jc w:val="both"/>
              <w:rPr>
                <w:rFonts w:hint="eastAsia" w:ascii="宋体" w:hAnsi="宋体" w:eastAsia="宋体" w:cs="宋体"/>
                <w:color w:val="auto"/>
                <w:spacing w:val="9"/>
                <w:sz w:val="24"/>
                <w:szCs w:val="24"/>
                <w:highlight w:val="none"/>
                <w:lang w:eastAsia="zh-CN"/>
              </w:rPr>
            </w:pPr>
            <w:r>
              <w:rPr>
                <w:rFonts w:hint="eastAsia" w:ascii="宋体" w:hAnsi="宋体" w:eastAsia="宋体" w:cs="宋体"/>
                <w:color w:val="auto"/>
                <w:spacing w:val="9"/>
                <w:sz w:val="24"/>
                <w:szCs w:val="24"/>
                <w:highlight w:val="none"/>
                <w:lang w:eastAsia="zh-CN"/>
              </w:rPr>
              <w:t>投标文件满足招标文件规定的合同履约期限、供货地点、投标有效期。</w:t>
            </w:r>
          </w:p>
        </w:tc>
        <w:tc>
          <w:tcPr>
            <w:tcW w:w="669" w:type="dxa"/>
            <w:vAlign w:val="center"/>
          </w:tcPr>
          <w:p w14:paraId="0ED3C3EE">
            <w:pPr>
              <w:spacing w:line="360" w:lineRule="auto"/>
              <w:jc w:val="center"/>
              <w:rPr>
                <w:rFonts w:hint="eastAsia" w:ascii="宋体" w:hAnsi="宋体" w:eastAsia="宋体" w:cs="宋体"/>
                <w:color w:val="auto"/>
                <w:sz w:val="24"/>
                <w:szCs w:val="24"/>
                <w:highlight w:val="none"/>
                <w:lang w:eastAsia="zh-CN"/>
              </w:rPr>
            </w:pPr>
          </w:p>
        </w:tc>
        <w:tc>
          <w:tcPr>
            <w:tcW w:w="825" w:type="dxa"/>
            <w:vAlign w:val="center"/>
          </w:tcPr>
          <w:p w14:paraId="33EECE94">
            <w:pPr>
              <w:spacing w:line="360" w:lineRule="auto"/>
              <w:jc w:val="center"/>
              <w:rPr>
                <w:rFonts w:hint="eastAsia" w:ascii="宋体" w:hAnsi="宋体" w:eastAsia="宋体" w:cs="宋体"/>
                <w:color w:val="auto"/>
                <w:sz w:val="24"/>
                <w:szCs w:val="24"/>
                <w:highlight w:val="none"/>
                <w:lang w:eastAsia="zh-CN"/>
              </w:rPr>
            </w:pPr>
          </w:p>
        </w:tc>
      </w:tr>
      <w:tr w14:paraId="2513F2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57" w:hRule="atLeast"/>
        </w:trPr>
        <w:tc>
          <w:tcPr>
            <w:tcW w:w="662" w:type="dxa"/>
            <w:vAlign w:val="center"/>
          </w:tcPr>
          <w:p w14:paraId="16D7C90A">
            <w:pPr>
              <w:pStyle w:val="77"/>
              <w:spacing w:line="360" w:lineRule="auto"/>
              <w:ind w:right="-124" w:rightChars="-59"/>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1643" w:type="dxa"/>
            <w:vAlign w:val="center"/>
          </w:tcPr>
          <w:p w14:paraId="5797476D">
            <w:pPr>
              <w:pStyle w:val="77"/>
              <w:spacing w:before="51" w:line="360" w:lineRule="auto"/>
              <w:ind w:left="-92" w:right="-98" w:firstLine="2"/>
              <w:jc w:val="center"/>
              <w:rPr>
                <w:rFonts w:hint="eastAsia" w:ascii="宋体" w:hAnsi="宋体" w:eastAsia="宋体" w:cs="宋体"/>
                <w:color w:val="auto"/>
                <w:spacing w:val="7"/>
                <w:sz w:val="24"/>
                <w:szCs w:val="24"/>
                <w:highlight w:val="none"/>
                <w:lang w:val="en-US" w:eastAsia="zh-CN"/>
              </w:rPr>
            </w:pPr>
            <w:r>
              <w:rPr>
                <w:rFonts w:hint="eastAsia" w:ascii="宋体" w:hAnsi="宋体" w:eastAsia="宋体" w:cs="宋体"/>
                <w:color w:val="auto"/>
                <w:spacing w:val="7"/>
                <w:sz w:val="24"/>
                <w:szCs w:val="24"/>
                <w:highlight w:val="none"/>
                <w:lang w:val="en-US" w:eastAsia="zh-CN"/>
              </w:rPr>
              <w:t>商务技术要求</w:t>
            </w:r>
          </w:p>
        </w:tc>
        <w:tc>
          <w:tcPr>
            <w:tcW w:w="5717" w:type="dxa"/>
            <w:vAlign w:val="center"/>
          </w:tcPr>
          <w:p w14:paraId="210C9DD5">
            <w:pPr>
              <w:pStyle w:val="77"/>
              <w:spacing w:line="360" w:lineRule="auto"/>
              <w:ind w:left="24" w:right="-10" w:rightChars="-5"/>
              <w:jc w:val="both"/>
              <w:rPr>
                <w:rFonts w:hint="eastAsia" w:ascii="宋体" w:hAnsi="宋体" w:eastAsia="宋体" w:cs="宋体"/>
                <w:color w:val="auto"/>
                <w:spacing w:val="9"/>
                <w:sz w:val="24"/>
                <w:szCs w:val="24"/>
                <w:highlight w:val="none"/>
                <w:lang w:eastAsia="zh-CN"/>
              </w:rPr>
            </w:pPr>
            <w:r>
              <w:rPr>
                <w:rFonts w:hint="eastAsia" w:ascii="宋体" w:hAnsi="宋体" w:eastAsia="宋体" w:cs="宋体"/>
                <w:color w:val="auto"/>
                <w:spacing w:val="9"/>
                <w:sz w:val="24"/>
                <w:szCs w:val="24"/>
                <w:highlight w:val="none"/>
                <w:lang w:val="en-US" w:eastAsia="zh-CN"/>
              </w:rPr>
              <w:t>“商务条款偏离表”有一项</w:t>
            </w: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9"/>
                <w:sz w:val="24"/>
                <w:szCs w:val="24"/>
                <w:highlight w:val="none"/>
                <w:lang w:val="en-US" w:eastAsia="zh-CN"/>
              </w:rPr>
              <w:t>未响应或者负偏离，均视为未实质性响应投标文件。</w:t>
            </w:r>
          </w:p>
        </w:tc>
        <w:tc>
          <w:tcPr>
            <w:tcW w:w="669" w:type="dxa"/>
            <w:vAlign w:val="center"/>
          </w:tcPr>
          <w:p w14:paraId="61A02656">
            <w:pPr>
              <w:spacing w:line="360" w:lineRule="auto"/>
              <w:jc w:val="center"/>
              <w:rPr>
                <w:rFonts w:hint="eastAsia" w:ascii="宋体" w:hAnsi="宋体" w:eastAsia="宋体" w:cs="宋体"/>
                <w:color w:val="auto"/>
                <w:sz w:val="24"/>
                <w:szCs w:val="24"/>
                <w:highlight w:val="none"/>
                <w:lang w:eastAsia="zh-CN"/>
              </w:rPr>
            </w:pPr>
          </w:p>
        </w:tc>
        <w:tc>
          <w:tcPr>
            <w:tcW w:w="825" w:type="dxa"/>
            <w:vAlign w:val="center"/>
          </w:tcPr>
          <w:p w14:paraId="0E06F485">
            <w:pPr>
              <w:spacing w:line="360" w:lineRule="auto"/>
              <w:jc w:val="center"/>
              <w:rPr>
                <w:rFonts w:hint="eastAsia" w:ascii="宋体" w:hAnsi="宋体" w:eastAsia="宋体" w:cs="宋体"/>
                <w:color w:val="auto"/>
                <w:sz w:val="24"/>
                <w:szCs w:val="24"/>
                <w:highlight w:val="none"/>
                <w:lang w:eastAsia="zh-CN"/>
              </w:rPr>
            </w:pPr>
          </w:p>
        </w:tc>
      </w:tr>
      <w:tr w14:paraId="7A8E57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65" w:hRule="atLeast"/>
        </w:trPr>
        <w:tc>
          <w:tcPr>
            <w:tcW w:w="662" w:type="dxa"/>
            <w:vAlign w:val="center"/>
          </w:tcPr>
          <w:p w14:paraId="0F16A9E0">
            <w:pPr>
              <w:pStyle w:val="77"/>
              <w:spacing w:line="360" w:lineRule="auto"/>
              <w:ind w:right="-124" w:rightChars="-59"/>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p>
        </w:tc>
        <w:tc>
          <w:tcPr>
            <w:tcW w:w="1643" w:type="dxa"/>
            <w:vAlign w:val="center"/>
          </w:tcPr>
          <w:p w14:paraId="1344D0F2">
            <w:pPr>
              <w:pStyle w:val="77"/>
              <w:spacing w:before="51" w:line="360" w:lineRule="auto"/>
              <w:ind w:left="-92" w:right="-98" w:firstLine="2"/>
              <w:jc w:val="center"/>
              <w:rPr>
                <w:rFonts w:hint="eastAsia" w:ascii="宋体" w:hAnsi="宋体" w:eastAsia="宋体" w:cs="宋体"/>
                <w:color w:val="auto"/>
                <w:spacing w:val="7"/>
                <w:sz w:val="24"/>
                <w:szCs w:val="24"/>
                <w:highlight w:val="none"/>
              </w:rPr>
            </w:pPr>
            <w:r>
              <w:rPr>
                <w:rFonts w:hint="eastAsia" w:ascii="宋体" w:hAnsi="宋体" w:eastAsia="宋体" w:cs="宋体"/>
                <w:color w:val="auto"/>
                <w:spacing w:val="7"/>
                <w:sz w:val="24"/>
                <w:szCs w:val="24"/>
                <w:highlight w:val="none"/>
              </w:rPr>
              <w:t>投标报价</w:t>
            </w:r>
          </w:p>
        </w:tc>
        <w:tc>
          <w:tcPr>
            <w:tcW w:w="5717" w:type="dxa"/>
            <w:vAlign w:val="center"/>
          </w:tcPr>
          <w:p w14:paraId="035AE128">
            <w:pPr>
              <w:pStyle w:val="77"/>
              <w:spacing w:line="360" w:lineRule="auto"/>
              <w:ind w:left="24" w:right="-10" w:rightChars="-5"/>
              <w:jc w:val="both"/>
              <w:rPr>
                <w:rFonts w:hint="eastAsia" w:ascii="宋体" w:hAnsi="宋体" w:eastAsia="宋体" w:cs="宋体"/>
                <w:color w:val="auto"/>
                <w:spacing w:val="9"/>
                <w:sz w:val="24"/>
                <w:szCs w:val="24"/>
                <w:highlight w:val="none"/>
                <w:lang w:eastAsia="zh-CN"/>
              </w:rPr>
            </w:pPr>
            <w:r>
              <w:rPr>
                <w:rFonts w:hint="eastAsia" w:ascii="宋体" w:hAnsi="宋体" w:eastAsia="宋体" w:cs="宋体"/>
                <w:color w:val="auto"/>
                <w:spacing w:val="9"/>
                <w:sz w:val="24"/>
                <w:szCs w:val="24"/>
                <w:highlight w:val="none"/>
                <w:lang w:eastAsia="zh-CN"/>
              </w:rPr>
              <w:t>投标人报价符合招标文件规定。</w:t>
            </w:r>
          </w:p>
        </w:tc>
        <w:tc>
          <w:tcPr>
            <w:tcW w:w="669" w:type="dxa"/>
            <w:vAlign w:val="center"/>
          </w:tcPr>
          <w:p w14:paraId="139F1B05">
            <w:pPr>
              <w:spacing w:line="360" w:lineRule="auto"/>
              <w:jc w:val="center"/>
              <w:rPr>
                <w:rFonts w:hint="eastAsia" w:ascii="宋体" w:hAnsi="宋体" w:eastAsia="宋体" w:cs="宋体"/>
                <w:color w:val="auto"/>
                <w:sz w:val="24"/>
                <w:szCs w:val="24"/>
                <w:highlight w:val="none"/>
                <w:lang w:eastAsia="zh-CN"/>
              </w:rPr>
            </w:pPr>
          </w:p>
        </w:tc>
        <w:tc>
          <w:tcPr>
            <w:tcW w:w="825" w:type="dxa"/>
            <w:vAlign w:val="center"/>
          </w:tcPr>
          <w:p w14:paraId="36F10182">
            <w:pPr>
              <w:spacing w:line="360" w:lineRule="auto"/>
              <w:jc w:val="center"/>
              <w:rPr>
                <w:rFonts w:hint="eastAsia" w:ascii="宋体" w:hAnsi="宋体" w:eastAsia="宋体" w:cs="宋体"/>
                <w:color w:val="auto"/>
                <w:sz w:val="24"/>
                <w:szCs w:val="24"/>
                <w:highlight w:val="none"/>
                <w:lang w:eastAsia="zh-CN"/>
              </w:rPr>
            </w:pPr>
          </w:p>
        </w:tc>
      </w:tr>
      <w:tr w14:paraId="5FBC74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61" w:hRule="atLeast"/>
        </w:trPr>
        <w:tc>
          <w:tcPr>
            <w:tcW w:w="662" w:type="dxa"/>
            <w:vAlign w:val="center"/>
          </w:tcPr>
          <w:p w14:paraId="153C042C">
            <w:pPr>
              <w:pStyle w:val="77"/>
              <w:spacing w:line="360" w:lineRule="auto"/>
              <w:ind w:right="-124" w:rightChars="-59"/>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p>
        </w:tc>
        <w:tc>
          <w:tcPr>
            <w:tcW w:w="1643" w:type="dxa"/>
            <w:vAlign w:val="center"/>
          </w:tcPr>
          <w:p w14:paraId="5841FA5A">
            <w:pPr>
              <w:pStyle w:val="77"/>
              <w:spacing w:before="51" w:line="360" w:lineRule="auto"/>
              <w:ind w:left="-92" w:right="-98" w:firstLine="2"/>
              <w:jc w:val="center"/>
              <w:rPr>
                <w:rFonts w:hint="eastAsia" w:ascii="宋体" w:hAnsi="宋体" w:eastAsia="宋体" w:cs="宋体"/>
                <w:color w:val="auto"/>
                <w:spacing w:val="7"/>
                <w:sz w:val="24"/>
                <w:szCs w:val="24"/>
                <w:highlight w:val="none"/>
              </w:rPr>
            </w:pPr>
            <w:r>
              <w:rPr>
                <w:rFonts w:hint="eastAsia" w:ascii="宋体" w:hAnsi="宋体" w:eastAsia="宋体" w:cs="宋体"/>
                <w:color w:val="auto"/>
                <w:spacing w:val="7"/>
                <w:sz w:val="24"/>
                <w:szCs w:val="24"/>
                <w:highlight w:val="none"/>
              </w:rPr>
              <w:t>投标保证金</w:t>
            </w:r>
          </w:p>
        </w:tc>
        <w:tc>
          <w:tcPr>
            <w:tcW w:w="5717" w:type="dxa"/>
            <w:vAlign w:val="center"/>
          </w:tcPr>
          <w:p w14:paraId="4CBAE193">
            <w:pPr>
              <w:pStyle w:val="77"/>
              <w:spacing w:line="360" w:lineRule="auto"/>
              <w:ind w:left="24" w:right="-10" w:rightChars="-5"/>
              <w:jc w:val="both"/>
              <w:rPr>
                <w:rFonts w:hint="eastAsia" w:ascii="宋体" w:hAnsi="宋体" w:eastAsia="宋体" w:cs="宋体"/>
                <w:color w:val="auto"/>
                <w:spacing w:val="9"/>
                <w:sz w:val="24"/>
                <w:szCs w:val="24"/>
                <w:highlight w:val="none"/>
                <w:lang w:eastAsia="zh-CN"/>
              </w:rPr>
            </w:pPr>
            <w:r>
              <w:rPr>
                <w:rFonts w:hint="eastAsia" w:ascii="宋体" w:hAnsi="宋体" w:eastAsia="宋体" w:cs="宋体"/>
                <w:color w:val="auto"/>
                <w:spacing w:val="9"/>
                <w:sz w:val="24"/>
                <w:szCs w:val="24"/>
                <w:highlight w:val="none"/>
                <w:lang w:eastAsia="zh-CN"/>
              </w:rPr>
              <w:t>投标人按招标文件的规定交纳投标保证金的。</w:t>
            </w:r>
          </w:p>
        </w:tc>
        <w:tc>
          <w:tcPr>
            <w:tcW w:w="669" w:type="dxa"/>
            <w:vAlign w:val="center"/>
          </w:tcPr>
          <w:p w14:paraId="5707B1EA">
            <w:pPr>
              <w:spacing w:line="360" w:lineRule="auto"/>
              <w:jc w:val="center"/>
              <w:rPr>
                <w:rFonts w:hint="eastAsia" w:ascii="宋体" w:hAnsi="宋体" w:eastAsia="宋体" w:cs="宋体"/>
                <w:color w:val="auto"/>
                <w:sz w:val="24"/>
                <w:szCs w:val="24"/>
                <w:highlight w:val="none"/>
                <w:lang w:eastAsia="zh-CN"/>
              </w:rPr>
            </w:pPr>
          </w:p>
        </w:tc>
        <w:tc>
          <w:tcPr>
            <w:tcW w:w="825" w:type="dxa"/>
            <w:vAlign w:val="center"/>
          </w:tcPr>
          <w:p w14:paraId="7F73175F">
            <w:pPr>
              <w:spacing w:line="360" w:lineRule="auto"/>
              <w:jc w:val="center"/>
              <w:rPr>
                <w:rFonts w:hint="eastAsia" w:ascii="宋体" w:hAnsi="宋体" w:eastAsia="宋体" w:cs="宋体"/>
                <w:color w:val="auto"/>
                <w:sz w:val="24"/>
                <w:szCs w:val="24"/>
                <w:highlight w:val="none"/>
                <w:lang w:eastAsia="zh-CN"/>
              </w:rPr>
            </w:pPr>
          </w:p>
        </w:tc>
      </w:tr>
      <w:tr w14:paraId="1487C1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78" w:hRule="atLeast"/>
        </w:trPr>
        <w:tc>
          <w:tcPr>
            <w:tcW w:w="662" w:type="dxa"/>
            <w:vAlign w:val="center"/>
          </w:tcPr>
          <w:p w14:paraId="0B11F94A">
            <w:pPr>
              <w:pStyle w:val="77"/>
              <w:spacing w:line="360" w:lineRule="auto"/>
              <w:ind w:right="-124" w:rightChars="-59"/>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p>
        </w:tc>
        <w:tc>
          <w:tcPr>
            <w:tcW w:w="1643" w:type="dxa"/>
            <w:vAlign w:val="center"/>
          </w:tcPr>
          <w:p w14:paraId="7D2711FB">
            <w:pPr>
              <w:pStyle w:val="77"/>
              <w:spacing w:before="51" w:line="360" w:lineRule="auto"/>
              <w:ind w:left="-92" w:right="-98" w:firstLine="2"/>
              <w:jc w:val="center"/>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投标文件的澄清、说明、补正</w:t>
            </w:r>
          </w:p>
        </w:tc>
        <w:tc>
          <w:tcPr>
            <w:tcW w:w="5717" w:type="dxa"/>
            <w:vAlign w:val="center"/>
          </w:tcPr>
          <w:p w14:paraId="728CDAC3">
            <w:pPr>
              <w:pStyle w:val="77"/>
              <w:spacing w:line="360" w:lineRule="auto"/>
              <w:ind w:left="24" w:right="-10" w:rightChars="-5"/>
              <w:jc w:val="both"/>
              <w:rPr>
                <w:rFonts w:hint="eastAsia" w:ascii="宋体" w:hAnsi="宋体" w:eastAsia="宋体" w:cs="宋体"/>
                <w:color w:val="auto"/>
                <w:spacing w:val="9"/>
                <w:sz w:val="24"/>
                <w:szCs w:val="24"/>
                <w:highlight w:val="none"/>
                <w:lang w:eastAsia="zh-CN"/>
              </w:rPr>
            </w:pPr>
            <w:r>
              <w:rPr>
                <w:rFonts w:hint="eastAsia" w:ascii="宋体" w:hAnsi="宋体" w:eastAsia="宋体" w:cs="宋体"/>
                <w:color w:val="auto"/>
                <w:spacing w:val="9"/>
                <w:sz w:val="24"/>
                <w:szCs w:val="24"/>
                <w:highlight w:val="none"/>
                <w:lang w:eastAsia="zh-CN"/>
              </w:rPr>
              <w:t>评审期间,投标人按评标委员会的要求提交经授权代表签字的澄清、说明、补正或未改变投标文件的实质性内容。</w:t>
            </w:r>
          </w:p>
        </w:tc>
        <w:tc>
          <w:tcPr>
            <w:tcW w:w="669" w:type="dxa"/>
            <w:vAlign w:val="center"/>
          </w:tcPr>
          <w:p w14:paraId="60FE0D29">
            <w:pPr>
              <w:spacing w:line="360" w:lineRule="auto"/>
              <w:jc w:val="center"/>
              <w:rPr>
                <w:rFonts w:hint="eastAsia" w:ascii="宋体" w:hAnsi="宋体" w:eastAsia="宋体" w:cs="宋体"/>
                <w:color w:val="auto"/>
                <w:sz w:val="24"/>
                <w:szCs w:val="24"/>
                <w:highlight w:val="none"/>
                <w:lang w:eastAsia="zh-CN"/>
              </w:rPr>
            </w:pPr>
          </w:p>
        </w:tc>
        <w:tc>
          <w:tcPr>
            <w:tcW w:w="825" w:type="dxa"/>
            <w:vAlign w:val="center"/>
          </w:tcPr>
          <w:p w14:paraId="560CCA55">
            <w:pPr>
              <w:spacing w:line="360" w:lineRule="auto"/>
              <w:jc w:val="center"/>
              <w:rPr>
                <w:rFonts w:hint="eastAsia" w:ascii="宋体" w:hAnsi="宋体" w:eastAsia="宋体" w:cs="宋体"/>
                <w:color w:val="auto"/>
                <w:sz w:val="24"/>
                <w:szCs w:val="24"/>
                <w:highlight w:val="none"/>
                <w:lang w:eastAsia="zh-CN"/>
              </w:rPr>
            </w:pPr>
          </w:p>
        </w:tc>
      </w:tr>
      <w:tr w14:paraId="30617C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0" w:hRule="atLeast"/>
        </w:trPr>
        <w:tc>
          <w:tcPr>
            <w:tcW w:w="662" w:type="dxa"/>
            <w:vAlign w:val="center"/>
          </w:tcPr>
          <w:p w14:paraId="3D4C67F3">
            <w:pPr>
              <w:pStyle w:val="77"/>
              <w:spacing w:line="360" w:lineRule="auto"/>
              <w:ind w:right="-124" w:rightChars="-59"/>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w:t>
            </w:r>
          </w:p>
        </w:tc>
        <w:tc>
          <w:tcPr>
            <w:tcW w:w="1643" w:type="dxa"/>
            <w:vAlign w:val="center"/>
          </w:tcPr>
          <w:p w14:paraId="7F62A794">
            <w:pPr>
              <w:pStyle w:val="77"/>
              <w:spacing w:before="51" w:line="360" w:lineRule="auto"/>
              <w:ind w:left="-92" w:right="-98" w:firstLine="2"/>
              <w:jc w:val="center"/>
              <w:rPr>
                <w:rFonts w:hint="eastAsia" w:ascii="宋体" w:hAnsi="宋体" w:eastAsia="宋体" w:cs="宋体"/>
                <w:color w:val="auto"/>
                <w:spacing w:val="7"/>
                <w:sz w:val="24"/>
                <w:szCs w:val="24"/>
                <w:highlight w:val="none"/>
              </w:rPr>
            </w:pPr>
            <w:r>
              <w:rPr>
                <w:rFonts w:hint="eastAsia" w:ascii="宋体" w:hAnsi="宋体" w:eastAsia="宋体" w:cs="宋体"/>
                <w:color w:val="auto"/>
                <w:spacing w:val="7"/>
                <w:sz w:val="24"/>
                <w:szCs w:val="24"/>
                <w:highlight w:val="none"/>
              </w:rPr>
              <w:t>围标串标情形</w:t>
            </w:r>
          </w:p>
        </w:tc>
        <w:tc>
          <w:tcPr>
            <w:tcW w:w="5717" w:type="dxa"/>
            <w:vAlign w:val="center"/>
          </w:tcPr>
          <w:p w14:paraId="0C5122AE">
            <w:pPr>
              <w:pStyle w:val="77"/>
              <w:spacing w:line="360" w:lineRule="auto"/>
              <w:ind w:left="24" w:right="-10" w:rightChars="-5"/>
              <w:jc w:val="both"/>
              <w:rPr>
                <w:rFonts w:hint="eastAsia" w:ascii="宋体" w:hAnsi="宋体" w:eastAsia="宋体" w:cs="宋体"/>
                <w:color w:val="auto"/>
                <w:spacing w:val="9"/>
                <w:sz w:val="24"/>
                <w:szCs w:val="24"/>
                <w:highlight w:val="none"/>
                <w:lang w:eastAsia="zh-CN"/>
              </w:rPr>
            </w:pPr>
            <w:r>
              <w:rPr>
                <w:rFonts w:hint="eastAsia" w:ascii="宋体" w:hAnsi="宋体" w:eastAsia="宋体" w:cs="宋体"/>
                <w:color w:val="auto"/>
                <w:spacing w:val="9"/>
                <w:sz w:val="24"/>
                <w:szCs w:val="24"/>
                <w:highlight w:val="none"/>
                <w:lang w:eastAsia="zh-CN"/>
              </w:rPr>
              <w:t>没有“第</w:t>
            </w:r>
            <w:r>
              <w:rPr>
                <w:rFonts w:hint="eastAsia" w:cs="宋体"/>
                <w:color w:val="auto"/>
                <w:spacing w:val="9"/>
                <w:sz w:val="24"/>
                <w:szCs w:val="24"/>
                <w:highlight w:val="none"/>
                <w:lang w:val="en-US" w:eastAsia="zh-CN"/>
              </w:rPr>
              <w:t>七</w:t>
            </w:r>
            <w:r>
              <w:rPr>
                <w:rFonts w:hint="eastAsia" w:ascii="宋体" w:hAnsi="宋体" w:eastAsia="宋体" w:cs="宋体"/>
                <w:color w:val="auto"/>
                <w:spacing w:val="9"/>
                <w:sz w:val="24"/>
                <w:szCs w:val="24"/>
                <w:highlight w:val="none"/>
                <w:lang w:eastAsia="zh-CN"/>
              </w:rPr>
              <w:t>章 评标方法及标准”第21条情形之一的。</w:t>
            </w:r>
          </w:p>
        </w:tc>
        <w:tc>
          <w:tcPr>
            <w:tcW w:w="669" w:type="dxa"/>
            <w:vAlign w:val="center"/>
          </w:tcPr>
          <w:p w14:paraId="425E21DA">
            <w:pPr>
              <w:spacing w:line="360" w:lineRule="auto"/>
              <w:jc w:val="center"/>
              <w:rPr>
                <w:rFonts w:hint="eastAsia" w:ascii="宋体" w:hAnsi="宋体" w:eastAsia="宋体" w:cs="宋体"/>
                <w:color w:val="auto"/>
                <w:sz w:val="24"/>
                <w:szCs w:val="24"/>
                <w:highlight w:val="none"/>
                <w:lang w:eastAsia="zh-CN"/>
              </w:rPr>
            </w:pPr>
          </w:p>
        </w:tc>
        <w:tc>
          <w:tcPr>
            <w:tcW w:w="825" w:type="dxa"/>
            <w:vAlign w:val="center"/>
          </w:tcPr>
          <w:p w14:paraId="2A5CB42A">
            <w:pPr>
              <w:spacing w:line="360" w:lineRule="auto"/>
              <w:jc w:val="center"/>
              <w:rPr>
                <w:rFonts w:hint="eastAsia" w:ascii="宋体" w:hAnsi="宋体" w:eastAsia="宋体" w:cs="宋体"/>
                <w:color w:val="auto"/>
                <w:sz w:val="24"/>
                <w:szCs w:val="24"/>
                <w:highlight w:val="none"/>
                <w:lang w:eastAsia="zh-CN"/>
              </w:rPr>
            </w:pPr>
          </w:p>
        </w:tc>
      </w:tr>
      <w:tr w14:paraId="5E00CB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18" w:hRule="atLeast"/>
        </w:trPr>
        <w:tc>
          <w:tcPr>
            <w:tcW w:w="662" w:type="dxa"/>
            <w:vAlign w:val="center"/>
          </w:tcPr>
          <w:p w14:paraId="10426FB3">
            <w:pPr>
              <w:pStyle w:val="77"/>
              <w:spacing w:line="360" w:lineRule="auto"/>
              <w:ind w:right="-124" w:rightChars="-59"/>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9</w:t>
            </w:r>
          </w:p>
        </w:tc>
        <w:tc>
          <w:tcPr>
            <w:tcW w:w="1643" w:type="dxa"/>
            <w:vAlign w:val="center"/>
          </w:tcPr>
          <w:p w14:paraId="5505CACE">
            <w:pPr>
              <w:pStyle w:val="77"/>
              <w:spacing w:before="51" w:line="360" w:lineRule="auto"/>
              <w:ind w:left="-92" w:right="-98" w:firstLine="2"/>
              <w:jc w:val="center"/>
              <w:rPr>
                <w:rFonts w:hint="eastAsia" w:ascii="宋体" w:hAnsi="宋体" w:eastAsia="宋体" w:cs="宋体"/>
                <w:color w:val="auto"/>
                <w:spacing w:val="7"/>
                <w:sz w:val="24"/>
                <w:szCs w:val="24"/>
                <w:highlight w:val="none"/>
              </w:rPr>
            </w:pPr>
            <w:r>
              <w:rPr>
                <w:rFonts w:hint="eastAsia" w:ascii="宋体" w:hAnsi="宋体" w:eastAsia="宋体" w:cs="宋体"/>
                <w:color w:val="auto"/>
                <w:spacing w:val="7"/>
                <w:sz w:val="24"/>
                <w:szCs w:val="24"/>
                <w:highlight w:val="none"/>
              </w:rPr>
              <w:t>附加条件</w:t>
            </w:r>
          </w:p>
        </w:tc>
        <w:tc>
          <w:tcPr>
            <w:tcW w:w="5717" w:type="dxa"/>
            <w:vAlign w:val="center"/>
          </w:tcPr>
          <w:p w14:paraId="7A7EB0DF">
            <w:pPr>
              <w:pStyle w:val="77"/>
              <w:spacing w:line="360" w:lineRule="auto"/>
              <w:ind w:left="24" w:right="-10" w:rightChars="-5"/>
              <w:jc w:val="both"/>
              <w:rPr>
                <w:rFonts w:hint="eastAsia" w:ascii="宋体" w:hAnsi="宋体" w:eastAsia="宋体" w:cs="宋体"/>
                <w:color w:val="auto"/>
                <w:spacing w:val="9"/>
                <w:sz w:val="24"/>
                <w:szCs w:val="24"/>
                <w:highlight w:val="none"/>
                <w:lang w:eastAsia="zh-CN"/>
              </w:rPr>
            </w:pPr>
            <w:r>
              <w:rPr>
                <w:rFonts w:hint="eastAsia" w:ascii="宋体" w:hAnsi="宋体" w:eastAsia="宋体" w:cs="宋体"/>
                <w:color w:val="auto"/>
                <w:spacing w:val="9"/>
                <w:sz w:val="24"/>
                <w:szCs w:val="24"/>
                <w:highlight w:val="none"/>
                <w:lang w:eastAsia="zh-CN"/>
              </w:rPr>
              <w:t>投标文件没有采购人不能接受的条件。</w:t>
            </w:r>
          </w:p>
        </w:tc>
        <w:tc>
          <w:tcPr>
            <w:tcW w:w="669" w:type="dxa"/>
            <w:vAlign w:val="center"/>
          </w:tcPr>
          <w:p w14:paraId="1021AAA5">
            <w:pPr>
              <w:spacing w:line="360" w:lineRule="auto"/>
              <w:jc w:val="center"/>
              <w:rPr>
                <w:rFonts w:hint="eastAsia" w:ascii="宋体" w:hAnsi="宋体" w:eastAsia="宋体" w:cs="宋体"/>
                <w:color w:val="auto"/>
                <w:sz w:val="24"/>
                <w:szCs w:val="24"/>
                <w:highlight w:val="none"/>
                <w:lang w:eastAsia="zh-CN"/>
              </w:rPr>
            </w:pPr>
          </w:p>
        </w:tc>
        <w:tc>
          <w:tcPr>
            <w:tcW w:w="825" w:type="dxa"/>
            <w:vAlign w:val="center"/>
          </w:tcPr>
          <w:p w14:paraId="76D8D393">
            <w:pPr>
              <w:spacing w:line="360" w:lineRule="auto"/>
              <w:jc w:val="center"/>
              <w:rPr>
                <w:rFonts w:hint="eastAsia" w:ascii="宋体" w:hAnsi="宋体" w:eastAsia="宋体" w:cs="宋体"/>
                <w:color w:val="auto"/>
                <w:sz w:val="24"/>
                <w:szCs w:val="24"/>
                <w:highlight w:val="none"/>
                <w:lang w:eastAsia="zh-CN"/>
              </w:rPr>
            </w:pPr>
          </w:p>
        </w:tc>
      </w:tr>
      <w:tr w14:paraId="792ACC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19" w:hRule="atLeast"/>
        </w:trPr>
        <w:tc>
          <w:tcPr>
            <w:tcW w:w="662" w:type="dxa"/>
            <w:vAlign w:val="center"/>
          </w:tcPr>
          <w:p w14:paraId="50A1B0B3">
            <w:pPr>
              <w:pStyle w:val="77"/>
              <w:spacing w:line="360" w:lineRule="auto"/>
              <w:ind w:right="-124" w:rightChars="-59"/>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1643" w:type="dxa"/>
            <w:vAlign w:val="center"/>
          </w:tcPr>
          <w:p w14:paraId="63101EC9">
            <w:pPr>
              <w:pStyle w:val="77"/>
              <w:spacing w:before="51" w:line="360" w:lineRule="auto"/>
              <w:ind w:left="-92" w:right="-98" w:firstLine="2"/>
              <w:jc w:val="center"/>
              <w:rPr>
                <w:rFonts w:hint="eastAsia" w:ascii="宋体" w:hAnsi="宋体" w:eastAsia="宋体" w:cs="宋体"/>
                <w:color w:val="auto"/>
                <w:spacing w:val="7"/>
                <w:sz w:val="24"/>
                <w:szCs w:val="24"/>
                <w:highlight w:val="none"/>
              </w:rPr>
            </w:pPr>
            <w:r>
              <w:rPr>
                <w:rFonts w:hint="eastAsia" w:ascii="宋体" w:hAnsi="宋体" w:eastAsia="宋体" w:cs="宋体"/>
                <w:color w:val="auto"/>
                <w:spacing w:val="7"/>
                <w:sz w:val="24"/>
                <w:szCs w:val="24"/>
                <w:highlight w:val="none"/>
              </w:rPr>
              <w:t>其他无效情形</w:t>
            </w:r>
          </w:p>
        </w:tc>
        <w:tc>
          <w:tcPr>
            <w:tcW w:w="5717" w:type="dxa"/>
            <w:vAlign w:val="center"/>
          </w:tcPr>
          <w:p w14:paraId="18A4B618">
            <w:pPr>
              <w:pStyle w:val="77"/>
              <w:spacing w:line="360" w:lineRule="auto"/>
              <w:ind w:left="24" w:right="-10" w:rightChars="-5"/>
              <w:jc w:val="both"/>
              <w:rPr>
                <w:rFonts w:hint="eastAsia" w:ascii="宋体" w:hAnsi="宋体" w:eastAsia="宋体" w:cs="宋体"/>
                <w:color w:val="auto"/>
                <w:spacing w:val="9"/>
                <w:sz w:val="24"/>
                <w:szCs w:val="24"/>
                <w:highlight w:val="none"/>
                <w:lang w:eastAsia="zh-CN"/>
              </w:rPr>
            </w:pPr>
            <w:r>
              <w:rPr>
                <w:rFonts w:hint="eastAsia" w:ascii="宋体" w:hAnsi="宋体" w:eastAsia="宋体" w:cs="宋体"/>
                <w:color w:val="auto"/>
                <w:spacing w:val="9"/>
                <w:sz w:val="24"/>
                <w:szCs w:val="24"/>
                <w:highlight w:val="none"/>
                <w:lang w:eastAsia="zh-CN"/>
              </w:rPr>
              <w:t>没有法律、法规、规章规定属于投标无效的其他情形。</w:t>
            </w:r>
          </w:p>
        </w:tc>
        <w:tc>
          <w:tcPr>
            <w:tcW w:w="669" w:type="dxa"/>
            <w:vAlign w:val="center"/>
          </w:tcPr>
          <w:p w14:paraId="6260B9DF">
            <w:pPr>
              <w:spacing w:line="360" w:lineRule="auto"/>
              <w:jc w:val="center"/>
              <w:rPr>
                <w:rFonts w:hint="eastAsia" w:ascii="宋体" w:hAnsi="宋体" w:eastAsia="宋体" w:cs="宋体"/>
                <w:color w:val="auto"/>
                <w:sz w:val="24"/>
                <w:szCs w:val="24"/>
                <w:highlight w:val="none"/>
                <w:lang w:eastAsia="zh-CN"/>
              </w:rPr>
            </w:pPr>
          </w:p>
        </w:tc>
        <w:tc>
          <w:tcPr>
            <w:tcW w:w="825" w:type="dxa"/>
            <w:vAlign w:val="center"/>
          </w:tcPr>
          <w:p w14:paraId="42712FBA">
            <w:pPr>
              <w:spacing w:line="360" w:lineRule="auto"/>
              <w:jc w:val="center"/>
              <w:rPr>
                <w:rFonts w:hint="eastAsia" w:ascii="宋体" w:hAnsi="宋体" w:eastAsia="宋体" w:cs="宋体"/>
                <w:color w:val="auto"/>
                <w:sz w:val="24"/>
                <w:szCs w:val="24"/>
                <w:highlight w:val="none"/>
                <w:lang w:eastAsia="zh-CN"/>
              </w:rPr>
            </w:pPr>
          </w:p>
        </w:tc>
      </w:tr>
    </w:tbl>
    <w:p w14:paraId="3431F4CB">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bookmarkEnd w:id="78"/>
    <w:p w14:paraId="53C927AF">
      <w:pPr>
        <w:pageBreakBefore/>
        <w:widowControl w:val="0"/>
        <w:numPr>
          <w:ilvl w:val="0"/>
          <w:numId w:val="3"/>
        </w:numPr>
        <w:spacing w:line="360" w:lineRule="auto"/>
        <w:outlineLvl w:val="1"/>
        <w:rPr>
          <w:rFonts w:hint="eastAsia" w:ascii="宋体" w:hAnsi="宋体" w:eastAsia="宋体" w:cs="宋体"/>
          <w:b/>
          <w:bCs/>
          <w:color w:val="auto"/>
          <w:spacing w:val="-6"/>
          <w:sz w:val="24"/>
          <w:szCs w:val="24"/>
          <w:highlight w:val="none"/>
          <w:lang w:eastAsia="zh-CN"/>
        </w:rPr>
      </w:pPr>
      <w:bookmarkStart w:id="140" w:name="_Toc186477768"/>
      <w:bookmarkStart w:id="141" w:name="_Toc21875"/>
      <w:bookmarkStart w:id="142" w:name="_Toc18500"/>
      <w:bookmarkStart w:id="143" w:name="_Toc32159"/>
      <w:bookmarkStart w:id="144" w:name="_Toc9223"/>
      <w:r>
        <w:rPr>
          <w:rFonts w:hint="eastAsia" w:ascii="宋体" w:hAnsi="宋体" w:eastAsia="宋体" w:cs="宋体"/>
          <w:b/>
          <w:bCs/>
          <w:color w:val="auto"/>
          <w:spacing w:val="-6"/>
          <w:sz w:val="24"/>
          <w:szCs w:val="24"/>
          <w:highlight w:val="none"/>
          <w:lang w:eastAsia="zh-CN"/>
        </w:rPr>
        <w:t>评分标准</w:t>
      </w:r>
      <w:bookmarkEnd w:id="140"/>
      <w:bookmarkEnd w:id="141"/>
    </w:p>
    <w:tbl>
      <w:tblPr>
        <w:tblStyle w:val="30"/>
        <w:tblW w:w="88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225"/>
        <w:gridCol w:w="581"/>
        <w:gridCol w:w="6358"/>
      </w:tblGrid>
      <w:tr w14:paraId="6275B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882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06D69AA">
            <w:pPr>
              <w:widowControl w:val="0"/>
              <w:overflowPunct w:val="0"/>
              <w:autoSpaceDN/>
              <w:spacing w:line="360" w:lineRule="auto"/>
              <w:jc w:val="center"/>
              <w:rPr>
                <w:rFonts w:hint="eastAsia" w:ascii="宋体" w:hAnsi="宋体" w:eastAsia="宋体" w:cs="宋体"/>
                <w:kern w:val="2"/>
                <w:sz w:val="24"/>
                <w:szCs w:val="24"/>
                <w:highlight w:val="none"/>
                <w:lang w:eastAsia="zh-CN" w:bidi="ar"/>
              </w:rPr>
            </w:pPr>
            <w:r>
              <w:rPr>
                <w:rFonts w:hint="eastAsia" w:ascii="宋体" w:hAnsi="宋体" w:eastAsia="宋体" w:cs="宋体"/>
                <w:b/>
                <w:color w:val="auto"/>
                <w:sz w:val="24"/>
                <w:szCs w:val="24"/>
                <w:highlight w:val="none"/>
                <w:lang w:eastAsia="zh-CN"/>
              </w:rPr>
              <w:t>一</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eastAsia="zh-CN"/>
              </w:rPr>
              <w:t>价格</w:t>
            </w:r>
            <w:r>
              <w:rPr>
                <w:rFonts w:hint="eastAsia" w:ascii="宋体" w:hAnsi="宋体" w:eastAsia="宋体" w:cs="宋体"/>
                <w:b/>
                <w:color w:val="auto"/>
                <w:sz w:val="24"/>
                <w:szCs w:val="24"/>
                <w:highlight w:val="none"/>
              </w:rPr>
              <w:t>部分（</w:t>
            </w:r>
            <w:r>
              <w:rPr>
                <w:rFonts w:hint="eastAsia" w:ascii="宋体" w:hAnsi="宋体" w:eastAsia="宋体" w:cs="宋体"/>
                <w:b/>
                <w:color w:val="auto"/>
                <w:sz w:val="24"/>
                <w:szCs w:val="24"/>
                <w:highlight w:val="none"/>
                <w:lang w:eastAsia="zh-CN"/>
              </w:rPr>
              <w:t>30</w:t>
            </w:r>
            <w:r>
              <w:rPr>
                <w:rFonts w:hint="eastAsia" w:ascii="宋体" w:hAnsi="宋体" w:eastAsia="宋体" w:cs="宋体"/>
                <w:b/>
                <w:color w:val="auto"/>
                <w:sz w:val="24"/>
                <w:szCs w:val="24"/>
                <w:highlight w:val="none"/>
              </w:rPr>
              <w:t>分）</w:t>
            </w:r>
          </w:p>
        </w:tc>
      </w:tr>
      <w:tr w14:paraId="50EE3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658" w:type="dxa"/>
            <w:tcBorders>
              <w:top w:val="single" w:color="auto" w:sz="4" w:space="0"/>
              <w:left w:val="single" w:color="auto" w:sz="4" w:space="0"/>
              <w:bottom w:val="single" w:color="auto" w:sz="4" w:space="0"/>
              <w:right w:val="single" w:color="auto" w:sz="4" w:space="0"/>
            </w:tcBorders>
            <w:shd w:val="clear" w:color="auto" w:fill="auto"/>
            <w:vAlign w:val="center"/>
          </w:tcPr>
          <w:p w14:paraId="7EC89398">
            <w:pPr>
              <w:spacing w:line="360" w:lineRule="auto"/>
              <w:jc w:val="center"/>
              <w:textAlignment w:val="center"/>
              <w:rPr>
                <w:rFonts w:hint="eastAsia" w:ascii="宋体" w:hAnsi="宋体" w:eastAsia="宋体" w:cs="宋体"/>
                <w:sz w:val="24"/>
                <w:szCs w:val="24"/>
                <w:highlight w:val="none"/>
                <w:lang w:eastAsia="zh-CN" w:bidi="ar"/>
              </w:rPr>
            </w:pPr>
            <w:r>
              <w:rPr>
                <w:rFonts w:hint="eastAsia" w:ascii="宋体" w:hAnsi="宋体" w:eastAsia="宋体" w:cs="宋体"/>
                <w:sz w:val="24"/>
                <w:szCs w:val="24"/>
                <w:highlight w:val="none"/>
                <w:lang w:eastAsia="zh-CN" w:bidi="ar"/>
              </w:rPr>
              <w:t>序号</w:t>
            </w:r>
          </w:p>
        </w:tc>
        <w:tc>
          <w:tcPr>
            <w:tcW w:w="1225" w:type="dxa"/>
            <w:tcBorders>
              <w:top w:val="single" w:color="auto" w:sz="4" w:space="0"/>
              <w:left w:val="single" w:color="auto" w:sz="4" w:space="0"/>
              <w:bottom w:val="single" w:color="auto" w:sz="4" w:space="0"/>
              <w:right w:val="single" w:color="auto" w:sz="4" w:space="0"/>
            </w:tcBorders>
            <w:shd w:val="clear" w:color="auto" w:fill="auto"/>
            <w:vAlign w:val="center"/>
          </w:tcPr>
          <w:p w14:paraId="0F1F146F">
            <w:pPr>
              <w:widowControl w:val="0"/>
              <w:overflowPunct w:val="0"/>
              <w:spacing w:line="360" w:lineRule="auto"/>
              <w:ind w:left="-105" w:leftChars="-50" w:right="-105" w:rightChars="-50"/>
              <w:jc w:val="center"/>
              <w:rPr>
                <w:rFonts w:hint="eastAsia" w:ascii="宋体" w:hAnsi="宋体" w:eastAsia="宋体" w:cs="宋体"/>
                <w:sz w:val="24"/>
                <w:szCs w:val="24"/>
                <w:highlight w:val="none"/>
                <w:lang w:eastAsia="zh-CN" w:bidi="ar"/>
              </w:rPr>
            </w:pPr>
            <w:r>
              <w:rPr>
                <w:rFonts w:hint="eastAsia" w:ascii="宋体" w:hAnsi="宋体" w:eastAsia="宋体" w:cs="宋体"/>
                <w:sz w:val="24"/>
                <w:szCs w:val="24"/>
                <w:highlight w:val="none"/>
                <w:lang w:eastAsia="zh-CN" w:bidi="ar"/>
              </w:rPr>
              <w:t>评审项目</w:t>
            </w:r>
          </w:p>
        </w:tc>
        <w:tc>
          <w:tcPr>
            <w:tcW w:w="581" w:type="dxa"/>
            <w:tcBorders>
              <w:top w:val="single" w:color="auto" w:sz="4" w:space="0"/>
              <w:left w:val="single" w:color="auto" w:sz="4" w:space="0"/>
              <w:bottom w:val="single" w:color="auto" w:sz="4" w:space="0"/>
              <w:right w:val="single" w:color="auto" w:sz="4" w:space="0"/>
            </w:tcBorders>
            <w:shd w:val="clear" w:color="auto" w:fill="auto"/>
            <w:vAlign w:val="center"/>
          </w:tcPr>
          <w:p w14:paraId="1BE9D3B2">
            <w:pPr>
              <w:widowControl w:val="0"/>
              <w:overflowPunct w:val="0"/>
              <w:spacing w:line="360" w:lineRule="auto"/>
              <w:ind w:left="-105" w:leftChars="-50" w:right="-105" w:rightChars="-50"/>
              <w:jc w:val="center"/>
              <w:rPr>
                <w:rFonts w:hint="eastAsia" w:ascii="宋体" w:hAnsi="宋体" w:eastAsia="宋体" w:cs="宋体"/>
                <w:sz w:val="24"/>
                <w:szCs w:val="24"/>
                <w:highlight w:val="none"/>
                <w:lang w:eastAsia="zh-CN" w:bidi="ar"/>
              </w:rPr>
            </w:pPr>
            <w:r>
              <w:rPr>
                <w:rFonts w:hint="eastAsia" w:ascii="宋体" w:hAnsi="宋体" w:eastAsia="宋体" w:cs="宋体"/>
                <w:sz w:val="24"/>
                <w:szCs w:val="24"/>
                <w:highlight w:val="none"/>
                <w:lang w:eastAsia="zh-CN" w:bidi="ar"/>
              </w:rPr>
              <w:t>分值</w:t>
            </w:r>
          </w:p>
        </w:tc>
        <w:tc>
          <w:tcPr>
            <w:tcW w:w="6358" w:type="dxa"/>
            <w:tcBorders>
              <w:top w:val="single" w:color="auto" w:sz="4" w:space="0"/>
              <w:left w:val="single" w:color="auto" w:sz="4" w:space="0"/>
              <w:bottom w:val="single" w:color="auto" w:sz="4" w:space="0"/>
              <w:right w:val="single" w:color="auto" w:sz="4" w:space="0"/>
            </w:tcBorders>
            <w:shd w:val="clear" w:color="auto" w:fill="auto"/>
            <w:vAlign w:val="center"/>
          </w:tcPr>
          <w:p w14:paraId="7D375492">
            <w:pPr>
              <w:widowControl w:val="0"/>
              <w:overflowPunct w:val="0"/>
              <w:autoSpaceDN/>
              <w:spacing w:line="360" w:lineRule="auto"/>
              <w:jc w:val="center"/>
              <w:rPr>
                <w:rFonts w:hint="eastAsia" w:ascii="宋体" w:hAnsi="宋体" w:eastAsia="宋体" w:cs="宋体"/>
                <w:kern w:val="2"/>
                <w:sz w:val="24"/>
                <w:szCs w:val="24"/>
                <w:highlight w:val="none"/>
                <w:lang w:eastAsia="zh-CN" w:bidi="ar"/>
              </w:rPr>
            </w:pPr>
            <w:r>
              <w:rPr>
                <w:rFonts w:hint="eastAsia" w:ascii="宋体" w:hAnsi="宋体" w:eastAsia="宋体" w:cs="宋体"/>
                <w:kern w:val="2"/>
                <w:sz w:val="24"/>
                <w:szCs w:val="24"/>
                <w:highlight w:val="none"/>
                <w:lang w:eastAsia="zh-CN" w:bidi="ar"/>
              </w:rPr>
              <w:t>评审标准</w:t>
            </w:r>
          </w:p>
        </w:tc>
      </w:tr>
      <w:tr w14:paraId="78E28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658" w:type="dxa"/>
            <w:tcBorders>
              <w:top w:val="single" w:color="auto" w:sz="4" w:space="0"/>
              <w:left w:val="single" w:color="auto" w:sz="4" w:space="0"/>
              <w:bottom w:val="single" w:color="auto" w:sz="4" w:space="0"/>
              <w:right w:val="single" w:color="auto" w:sz="4" w:space="0"/>
            </w:tcBorders>
            <w:shd w:val="clear" w:color="auto" w:fill="auto"/>
            <w:vAlign w:val="center"/>
          </w:tcPr>
          <w:p w14:paraId="67CF3E65">
            <w:pPr>
              <w:spacing w:line="360" w:lineRule="auto"/>
              <w:jc w:val="center"/>
              <w:textAlignment w:val="center"/>
              <w:rPr>
                <w:rFonts w:hint="eastAsia" w:ascii="宋体" w:hAnsi="宋体" w:eastAsia="宋体" w:cs="宋体"/>
                <w:kern w:val="2"/>
                <w:sz w:val="24"/>
                <w:szCs w:val="24"/>
                <w:highlight w:val="none"/>
              </w:rPr>
            </w:pPr>
            <w:r>
              <w:rPr>
                <w:rFonts w:hint="eastAsia" w:ascii="宋体" w:hAnsi="宋体" w:eastAsia="宋体" w:cs="宋体"/>
                <w:sz w:val="24"/>
                <w:szCs w:val="24"/>
                <w:highlight w:val="none"/>
                <w:lang w:eastAsia="zh-CN" w:bidi="ar"/>
              </w:rPr>
              <w:t>6</w:t>
            </w:r>
          </w:p>
        </w:tc>
        <w:tc>
          <w:tcPr>
            <w:tcW w:w="1225" w:type="dxa"/>
            <w:tcBorders>
              <w:top w:val="single" w:color="auto" w:sz="4" w:space="0"/>
              <w:left w:val="single" w:color="auto" w:sz="4" w:space="0"/>
              <w:bottom w:val="single" w:color="auto" w:sz="4" w:space="0"/>
              <w:right w:val="single" w:color="auto" w:sz="4" w:space="0"/>
            </w:tcBorders>
            <w:shd w:val="clear" w:color="auto" w:fill="auto"/>
            <w:vAlign w:val="center"/>
          </w:tcPr>
          <w:p w14:paraId="3432AB5E">
            <w:pPr>
              <w:widowControl w:val="0"/>
              <w:overflowPunct w:val="0"/>
              <w:spacing w:line="360" w:lineRule="auto"/>
              <w:ind w:left="-105" w:leftChars="-50" w:right="-105" w:rightChars="-5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bidi="ar"/>
              </w:rPr>
              <w:t>投标报价</w:t>
            </w:r>
          </w:p>
          <w:p w14:paraId="6F6D3E0E">
            <w:pPr>
              <w:widowControl w:val="0"/>
              <w:overflowPunct w:val="0"/>
              <w:spacing w:line="360" w:lineRule="auto"/>
              <w:ind w:left="-105" w:leftChars="-50" w:right="-105" w:rightChars="-5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bidi="ar"/>
              </w:rPr>
              <w:t>（</w:t>
            </w:r>
            <w:r>
              <w:rPr>
                <w:rFonts w:hint="eastAsia" w:ascii="宋体" w:hAnsi="宋体" w:eastAsia="宋体" w:cs="宋体"/>
                <w:sz w:val="24"/>
                <w:szCs w:val="24"/>
                <w:highlight w:val="none"/>
                <w:lang w:val="en-US" w:eastAsia="zh-CN" w:bidi="ar"/>
              </w:rPr>
              <w:t>猪肉</w:t>
            </w:r>
            <w:r>
              <w:rPr>
                <w:rFonts w:hint="eastAsia" w:ascii="宋体" w:hAnsi="宋体" w:eastAsia="宋体" w:cs="宋体"/>
                <w:sz w:val="24"/>
                <w:szCs w:val="24"/>
                <w:highlight w:val="none"/>
                <w:lang w:eastAsia="zh-CN" w:bidi="ar"/>
              </w:rPr>
              <w:t>类食材）</w:t>
            </w:r>
          </w:p>
        </w:tc>
        <w:tc>
          <w:tcPr>
            <w:tcW w:w="581" w:type="dxa"/>
            <w:tcBorders>
              <w:top w:val="single" w:color="auto" w:sz="4" w:space="0"/>
              <w:left w:val="single" w:color="auto" w:sz="4" w:space="0"/>
              <w:bottom w:val="single" w:color="auto" w:sz="4" w:space="0"/>
              <w:right w:val="single" w:color="auto" w:sz="4" w:space="0"/>
            </w:tcBorders>
            <w:shd w:val="clear" w:color="auto" w:fill="auto"/>
            <w:vAlign w:val="center"/>
          </w:tcPr>
          <w:p w14:paraId="77FEF695">
            <w:pPr>
              <w:widowControl w:val="0"/>
              <w:overflowPunct w:val="0"/>
              <w:spacing w:line="360" w:lineRule="auto"/>
              <w:ind w:left="-105" w:leftChars="-50" w:right="-105" w:rightChars="-5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bidi="ar"/>
              </w:rPr>
              <w:t>30</w:t>
            </w:r>
            <w:r>
              <w:rPr>
                <w:rFonts w:hint="eastAsia" w:ascii="宋体" w:hAnsi="宋体" w:eastAsia="宋体" w:cs="宋体"/>
                <w:sz w:val="24"/>
                <w:szCs w:val="24"/>
                <w:highlight w:val="none"/>
                <w:lang w:eastAsia="zh-CN" w:bidi="ar"/>
              </w:rPr>
              <w:t>分</w:t>
            </w:r>
          </w:p>
        </w:tc>
        <w:tc>
          <w:tcPr>
            <w:tcW w:w="6358" w:type="dxa"/>
            <w:tcBorders>
              <w:top w:val="single" w:color="auto" w:sz="4" w:space="0"/>
              <w:left w:val="single" w:color="auto" w:sz="4" w:space="0"/>
              <w:bottom w:val="single" w:color="auto" w:sz="4" w:space="0"/>
              <w:right w:val="single" w:color="auto" w:sz="4" w:space="0"/>
            </w:tcBorders>
            <w:shd w:val="clear" w:color="auto" w:fill="auto"/>
            <w:vAlign w:val="center"/>
          </w:tcPr>
          <w:p w14:paraId="5A7D1D53">
            <w:pPr>
              <w:widowControl w:val="0"/>
              <w:overflowPunct w:val="0"/>
              <w:autoSpaceDN/>
              <w:spacing w:line="360" w:lineRule="auto"/>
              <w:jc w:val="both"/>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bidi="ar"/>
              </w:rPr>
              <w:t>投标报价得分计算方法：</w:t>
            </w:r>
          </w:p>
          <w:p w14:paraId="3D5CB2CA">
            <w:pPr>
              <w:widowControl w:val="0"/>
              <w:overflowPunct w:val="0"/>
              <w:autoSpaceDN/>
              <w:spacing w:line="360" w:lineRule="auto"/>
              <w:jc w:val="both"/>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bidi="ar"/>
              </w:rPr>
              <w:t>1.投标报价的确定</w:t>
            </w:r>
          </w:p>
          <w:p w14:paraId="5F66889B">
            <w:pPr>
              <w:widowControl w:val="0"/>
              <w:overflowPunct w:val="0"/>
              <w:autoSpaceDN/>
              <w:spacing w:line="360" w:lineRule="auto"/>
              <w:jc w:val="both"/>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bidi="ar"/>
              </w:rPr>
              <w:t>投标报价是指满足招标文件要求的折扣率。</w:t>
            </w:r>
          </w:p>
          <w:p w14:paraId="3202BAC1">
            <w:pPr>
              <w:widowControl w:val="0"/>
              <w:overflowPunct w:val="0"/>
              <w:autoSpaceDN/>
              <w:spacing w:line="360" w:lineRule="auto"/>
              <w:jc w:val="both"/>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bidi="ar"/>
              </w:rPr>
              <w:t>2.评标基准价的确定</w:t>
            </w:r>
          </w:p>
          <w:p w14:paraId="0185BCF4">
            <w:pPr>
              <w:widowControl w:val="0"/>
              <w:overflowPunct w:val="0"/>
              <w:autoSpaceDN/>
              <w:spacing w:line="360" w:lineRule="auto"/>
              <w:jc w:val="both"/>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bidi="ar"/>
              </w:rPr>
              <w:t>满足招标文件要求且投标报价（折扣率）最低的为评标基准价</w:t>
            </w:r>
          </w:p>
          <w:p w14:paraId="47C4118E">
            <w:pPr>
              <w:widowControl w:val="0"/>
              <w:overflowPunct w:val="0"/>
              <w:autoSpaceDN/>
              <w:spacing w:line="360" w:lineRule="auto"/>
              <w:jc w:val="both"/>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eastAsia="zh-CN" w:bidi="ar"/>
              </w:rPr>
              <w:t>3.投标报价得分=(评标基准价／投标报价)×</w:t>
            </w:r>
            <w:r>
              <w:rPr>
                <w:rFonts w:hint="eastAsia" w:ascii="宋体" w:hAnsi="宋体" w:eastAsia="宋体" w:cs="宋体"/>
                <w:kern w:val="2"/>
                <w:sz w:val="24"/>
                <w:szCs w:val="24"/>
                <w:highlight w:val="none"/>
                <w:lang w:val="en-US" w:eastAsia="zh-CN" w:bidi="ar"/>
              </w:rPr>
              <w:t>30</w:t>
            </w:r>
          </w:p>
          <w:p w14:paraId="50E5922E">
            <w:pPr>
              <w:widowControl w:val="0"/>
              <w:overflowPunct w:val="0"/>
              <w:autoSpaceDN/>
              <w:spacing w:line="360" w:lineRule="auto"/>
              <w:jc w:val="both"/>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bidi="ar"/>
              </w:rPr>
              <w:t>4.评分分值计算保留小数点后两位，小数点后三位“四舍五入”。</w:t>
            </w:r>
          </w:p>
        </w:tc>
      </w:tr>
    </w:tbl>
    <w:tbl>
      <w:tblPr>
        <w:tblStyle w:val="30"/>
        <w:tblpPr w:leftFromText="180" w:rightFromText="180" w:vertAnchor="text" w:horzAnchor="page" w:tblpX="1352" w:tblpY="479"/>
        <w:tblOverlap w:val="never"/>
        <w:tblW w:w="91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744"/>
        <w:gridCol w:w="709"/>
        <w:gridCol w:w="6899"/>
      </w:tblGrid>
      <w:tr w14:paraId="08CFD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1" w:type="dxa"/>
            <w:gridSpan w:val="4"/>
            <w:noWrap/>
            <w:vAlign w:val="center"/>
          </w:tcPr>
          <w:p w14:paraId="565A6D58">
            <w:pPr>
              <w:spacing w:line="360" w:lineRule="auto"/>
              <w:jc w:val="both"/>
              <w:rPr>
                <w:rFonts w:hint="eastAsia" w:ascii="宋体" w:hAnsi="宋体" w:eastAsia="宋体" w:cs="宋体"/>
                <w:b/>
                <w:color w:val="auto"/>
                <w:sz w:val="24"/>
                <w:szCs w:val="24"/>
                <w:highlight w:val="none"/>
                <w:lang w:eastAsia="zh-CN"/>
              </w:rPr>
            </w:pPr>
          </w:p>
          <w:p w14:paraId="5FD5D01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二、商务部分（</w:t>
            </w:r>
            <w:r>
              <w:rPr>
                <w:rFonts w:hint="eastAsia" w:ascii="宋体" w:hAnsi="宋体" w:eastAsia="宋体" w:cs="宋体"/>
                <w:b/>
                <w:color w:val="auto"/>
                <w:sz w:val="24"/>
                <w:szCs w:val="24"/>
                <w:highlight w:val="none"/>
                <w:lang w:eastAsia="zh-CN"/>
              </w:rPr>
              <w:t>15</w:t>
            </w:r>
            <w:r>
              <w:rPr>
                <w:rFonts w:hint="eastAsia" w:ascii="宋体" w:hAnsi="宋体" w:eastAsia="宋体" w:cs="宋体"/>
                <w:b/>
                <w:color w:val="auto"/>
                <w:sz w:val="24"/>
                <w:szCs w:val="24"/>
                <w:highlight w:val="none"/>
              </w:rPr>
              <w:t>分）</w:t>
            </w:r>
          </w:p>
        </w:tc>
      </w:tr>
      <w:tr w14:paraId="50220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759" w:type="dxa"/>
            <w:noWrap/>
            <w:vAlign w:val="center"/>
          </w:tcPr>
          <w:p w14:paraId="2E363984">
            <w:pPr>
              <w:spacing w:line="360" w:lineRule="auto"/>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bidi="ar"/>
              </w:rPr>
              <w:t>序号</w:t>
            </w:r>
          </w:p>
        </w:tc>
        <w:tc>
          <w:tcPr>
            <w:tcW w:w="744" w:type="dxa"/>
            <w:noWrap/>
            <w:vAlign w:val="center"/>
          </w:tcPr>
          <w:p w14:paraId="4F2673A4">
            <w:pPr>
              <w:widowControl w:val="0"/>
              <w:overflowPunct w:val="0"/>
              <w:spacing w:line="360" w:lineRule="auto"/>
              <w:ind w:left="-105" w:leftChars="-50" w:right="-105" w:rightChars="-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bidi="ar"/>
              </w:rPr>
              <w:t>评审项目</w:t>
            </w:r>
          </w:p>
        </w:tc>
        <w:tc>
          <w:tcPr>
            <w:tcW w:w="709" w:type="dxa"/>
            <w:noWrap/>
            <w:vAlign w:val="center"/>
          </w:tcPr>
          <w:p w14:paraId="4941ABAF">
            <w:pPr>
              <w:widowControl w:val="0"/>
              <w:overflowPunct w:val="0"/>
              <w:spacing w:line="360" w:lineRule="auto"/>
              <w:ind w:left="-105" w:leftChars="-50" w:right="-105" w:rightChars="-5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bidi="ar"/>
              </w:rPr>
              <w:t>分值</w:t>
            </w:r>
          </w:p>
        </w:tc>
        <w:tc>
          <w:tcPr>
            <w:tcW w:w="6899" w:type="dxa"/>
            <w:noWrap/>
            <w:vAlign w:val="center"/>
          </w:tcPr>
          <w:p w14:paraId="1A36E5EE">
            <w:pPr>
              <w:widowControl w:val="0"/>
              <w:overflowPunct w:val="0"/>
              <w:autoSpaceDN/>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highlight w:val="none"/>
                <w:lang w:eastAsia="zh-CN" w:bidi="ar"/>
              </w:rPr>
              <w:t>评审标准</w:t>
            </w:r>
          </w:p>
        </w:tc>
      </w:tr>
      <w:tr w14:paraId="76BAC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759" w:type="dxa"/>
            <w:noWrap/>
            <w:vAlign w:val="center"/>
          </w:tcPr>
          <w:p w14:paraId="1A5A66CD">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p>
        </w:tc>
        <w:tc>
          <w:tcPr>
            <w:tcW w:w="744" w:type="dxa"/>
            <w:noWrap/>
            <w:vAlign w:val="center"/>
          </w:tcPr>
          <w:p w14:paraId="41B7543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同类</w:t>
            </w:r>
            <w:r>
              <w:rPr>
                <w:rFonts w:hint="eastAsia" w:ascii="宋体" w:hAnsi="宋体" w:eastAsia="宋体" w:cs="宋体"/>
                <w:color w:val="auto"/>
                <w:sz w:val="24"/>
                <w:szCs w:val="24"/>
                <w:highlight w:val="none"/>
              </w:rPr>
              <w:t>业绩</w:t>
            </w:r>
          </w:p>
        </w:tc>
        <w:tc>
          <w:tcPr>
            <w:tcW w:w="709" w:type="dxa"/>
            <w:noWrap/>
            <w:vAlign w:val="center"/>
          </w:tcPr>
          <w:p w14:paraId="437018A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分</w:t>
            </w:r>
          </w:p>
        </w:tc>
        <w:tc>
          <w:tcPr>
            <w:tcW w:w="6899" w:type="dxa"/>
            <w:noWrap/>
            <w:vAlign w:val="center"/>
          </w:tcPr>
          <w:p w14:paraId="19EBD407">
            <w:pPr>
              <w:spacing w:line="360" w:lineRule="auto"/>
              <w:ind w:right="-107" w:rightChars="-5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投标人近三年完成同类项目业绩，每提供一项得4分，最多得8分。</w:t>
            </w:r>
          </w:p>
          <w:p w14:paraId="1CAB63F3">
            <w:pPr>
              <w:spacing w:line="360" w:lineRule="auto"/>
              <w:ind w:right="-107" w:rightChars="-5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注：①如：提交投标文件截止时间为202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年0</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月03日，则“近三年”是指202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年0</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月03日至202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年0</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月0</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日。②同类项目业绩附合同，合同须附合同首页、体现标的物页、双方签字盖章页等关键页，不提供或提供不清晰导致专家无法判断的不得分。</w:t>
            </w:r>
          </w:p>
        </w:tc>
      </w:tr>
      <w:tr w14:paraId="19189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759" w:type="dxa"/>
            <w:noWrap/>
            <w:vAlign w:val="center"/>
          </w:tcPr>
          <w:p w14:paraId="32885CE1">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w:t>
            </w:r>
          </w:p>
        </w:tc>
        <w:tc>
          <w:tcPr>
            <w:tcW w:w="744" w:type="dxa"/>
            <w:noWrap/>
            <w:vAlign w:val="center"/>
          </w:tcPr>
          <w:p w14:paraId="7150C734">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项目负责人</w:t>
            </w:r>
          </w:p>
        </w:tc>
        <w:tc>
          <w:tcPr>
            <w:tcW w:w="709" w:type="dxa"/>
            <w:noWrap/>
            <w:vAlign w:val="center"/>
          </w:tcPr>
          <w:p w14:paraId="50E21848">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分</w:t>
            </w:r>
          </w:p>
        </w:tc>
        <w:tc>
          <w:tcPr>
            <w:tcW w:w="6899" w:type="dxa"/>
            <w:noWrap/>
            <w:vAlign w:val="center"/>
          </w:tcPr>
          <w:p w14:paraId="6BB32443">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根据投标人项目负责人具有相关工作经验得2分。</w:t>
            </w:r>
          </w:p>
          <w:p w14:paraId="7ACC0E75">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【须同时提供简历表、身份证、健康证（有效期内）、工资发放证明（非本单位人员不予认可），证明材料未提供的不得分】</w:t>
            </w:r>
          </w:p>
        </w:tc>
      </w:tr>
      <w:tr w14:paraId="7BFB2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759" w:type="dxa"/>
            <w:noWrap/>
            <w:vAlign w:val="center"/>
          </w:tcPr>
          <w:p w14:paraId="098AEEE0">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w:t>
            </w:r>
          </w:p>
        </w:tc>
        <w:tc>
          <w:tcPr>
            <w:tcW w:w="744" w:type="dxa"/>
            <w:noWrap/>
            <w:vAlign w:val="center"/>
          </w:tcPr>
          <w:p w14:paraId="31B031E0">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其他拟配备人员</w:t>
            </w:r>
          </w:p>
        </w:tc>
        <w:tc>
          <w:tcPr>
            <w:tcW w:w="709" w:type="dxa"/>
            <w:noWrap/>
            <w:vAlign w:val="center"/>
          </w:tcPr>
          <w:p w14:paraId="4B686552">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5分</w:t>
            </w:r>
          </w:p>
        </w:tc>
        <w:tc>
          <w:tcPr>
            <w:tcW w:w="6899" w:type="dxa"/>
            <w:noWrap/>
            <w:vAlign w:val="center"/>
          </w:tcPr>
          <w:p w14:paraId="4E1280B8">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根据投标人其他拟配备人员（须明确24小时联络人员1人、固定的送货专员2人），每提供1人得1分，满分5分。</w:t>
            </w:r>
          </w:p>
          <w:p w14:paraId="2CFB232A">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【须同时提供身份证、健康证（有效期内）、工资发放证明（非本单位人员不予认可）等证明材料，未提供的不得分】</w:t>
            </w:r>
          </w:p>
        </w:tc>
      </w:tr>
      <w:tr w14:paraId="2F73B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9111" w:type="dxa"/>
            <w:gridSpan w:val="4"/>
            <w:noWrap/>
            <w:vAlign w:val="center"/>
          </w:tcPr>
          <w:p w14:paraId="7B51E1C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三、技术部分（</w:t>
            </w:r>
            <w:r>
              <w:rPr>
                <w:rFonts w:hint="eastAsia" w:ascii="宋体" w:hAnsi="宋体" w:eastAsia="宋体" w:cs="宋体"/>
                <w:b/>
                <w:color w:val="auto"/>
                <w:sz w:val="24"/>
                <w:szCs w:val="24"/>
                <w:highlight w:val="none"/>
                <w:lang w:eastAsia="zh-CN"/>
              </w:rPr>
              <w:t>55</w:t>
            </w:r>
            <w:r>
              <w:rPr>
                <w:rFonts w:hint="eastAsia" w:ascii="宋体" w:hAnsi="宋体" w:eastAsia="宋体" w:cs="宋体"/>
                <w:b/>
                <w:color w:val="auto"/>
                <w:sz w:val="24"/>
                <w:szCs w:val="24"/>
                <w:highlight w:val="none"/>
              </w:rPr>
              <w:t>分）</w:t>
            </w:r>
          </w:p>
        </w:tc>
      </w:tr>
      <w:tr w14:paraId="4A7C5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759" w:type="dxa"/>
            <w:noWrap/>
            <w:vAlign w:val="center"/>
          </w:tcPr>
          <w:p w14:paraId="75FB7A70">
            <w:pPr>
              <w:spacing w:line="360" w:lineRule="auto"/>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bidi="ar"/>
              </w:rPr>
              <w:t>序号</w:t>
            </w:r>
          </w:p>
        </w:tc>
        <w:tc>
          <w:tcPr>
            <w:tcW w:w="744" w:type="dxa"/>
            <w:shd w:val="clear" w:color="auto" w:fill="auto"/>
            <w:noWrap/>
            <w:vAlign w:val="center"/>
          </w:tcPr>
          <w:p w14:paraId="17BA6476">
            <w:pPr>
              <w:widowControl w:val="0"/>
              <w:overflowPunct w:val="0"/>
              <w:spacing w:line="360" w:lineRule="auto"/>
              <w:ind w:left="-105" w:leftChars="-50" w:right="-105" w:rightChars="-5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bidi="ar"/>
              </w:rPr>
              <w:t>评审项目</w:t>
            </w:r>
          </w:p>
        </w:tc>
        <w:tc>
          <w:tcPr>
            <w:tcW w:w="709" w:type="dxa"/>
            <w:shd w:val="clear" w:color="auto" w:fill="auto"/>
            <w:noWrap/>
            <w:vAlign w:val="center"/>
          </w:tcPr>
          <w:p w14:paraId="126AA84C">
            <w:pPr>
              <w:widowControl w:val="0"/>
              <w:overflowPunct w:val="0"/>
              <w:spacing w:line="360" w:lineRule="auto"/>
              <w:ind w:left="-105" w:leftChars="-50" w:right="-105" w:rightChars="-5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bidi="ar"/>
              </w:rPr>
              <w:t>分值</w:t>
            </w:r>
          </w:p>
        </w:tc>
        <w:tc>
          <w:tcPr>
            <w:tcW w:w="6899" w:type="dxa"/>
            <w:shd w:val="clear" w:color="auto" w:fill="auto"/>
            <w:noWrap/>
            <w:vAlign w:val="center"/>
          </w:tcPr>
          <w:p w14:paraId="25C0DFC2">
            <w:pPr>
              <w:widowControl w:val="0"/>
              <w:overflowPunct w:val="0"/>
              <w:autoSpaceDN/>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highlight w:val="none"/>
                <w:lang w:eastAsia="zh-CN" w:bidi="ar"/>
              </w:rPr>
              <w:t>评审标准</w:t>
            </w:r>
          </w:p>
        </w:tc>
      </w:tr>
      <w:tr w14:paraId="441FE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759" w:type="dxa"/>
            <w:noWrap/>
            <w:vAlign w:val="center"/>
          </w:tcPr>
          <w:p w14:paraId="6775051F">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w:t>
            </w:r>
          </w:p>
        </w:tc>
        <w:tc>
          <w:tcPr>
            <w:tcW w:w="744" w:type="dxa"/>
            <w:shd w:val="clear" w:color="auto" w:fill="auto"/>
            <w:noWrap/>
            <w:vAlign w:val="center"/>
          </w:tcPr>
          <w:p w14:paraId="01B79C52">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质量保障及技术参数的符合程度</w:t>
            </w:r>
          </w:p>
        </w:tc>
        <w:tc>
          <w:tcPr>
            <w:tcW w:w="709" w:type="dxa"/>
            <w:shd w:val="clear" w:color="auto" w:fill="auto"/>
            <w:noWrap/>
            <w:vAlign w:val="center"/>
          </w:tcPr>
          <w:p w14:paraId="340594F5">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分</w:t>
            </w:r>
          </w:p>
        </w:tc>
        <w:tc>
          <w:tcPr>
            <w:tcW w:w="6899" w:type="dxa"/>
            <w:shd w:val="clear" w:color="auto" w:fill="auto"/>
            <w:noWrap/>
            <w:vAlign w:val="center"/>
          </w:tcPr>
          <w:p w14:paraId="0A1266F3">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根据投标人“技术要求偏离表”进行评分，基础分</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分，“负偏离”一项扣</w:t>
            </w:r>
            <w:r>
              <w:rPr>
                <w:rFonts w:hint="eastAsia" w:ascii="宋体" w:hAnsi="宋体" w:eastAsia="宋体" w:cs="宋体"/>
                <w:color w:val="auto"/>
                <w:sz w:val="24"/>
                <w:szCs w:val="24"/>
                <w:highlight w:val="none"/>
                <w:lang w:val="en-US" w:eastAsia="zh-CN"/>
              </w:rPr>
              <w:t>0.17</w:t>
            </w:r>
            <w:r>
              <w:rPr>
                <w:rFonts w:hint="eastAsia" w:ascii="宋体" w:hAnsi="宋体" w:eastAsia="宋体" w:cs="宋体"/>
                <w:color w:val="auto"/>
                <w:sz w:val="24"/>
                <w:szCs w:val="24"/>
                <w:highlight w:val="none"/>
                <w:lang w:eastAsia="zh-CN"/>
              </w:rPr>
              <w:t>分，扣完为止。</w:t>
            </w:r>
          </w:p>
          <w:p w14:paraId="7DE45905">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【投标人需提供与所投产品或产品技术参数相关的证明材料（如所投产品的产品规格表或产品检测报告或鉴定证书或制造商产品彩页或制造商官网截图或制造商产品说明书或彩色实物图片</w:t>
            </w:r>
            <w:r>
              <w:rPr>
                <w:rFonts w:hint="eastAsia" w:ascii="宋体" w:hAnsi="宋体" w:eastAsia="宋体" w:cs="宋体"/>
                <w:color w:val="auto"/>
                <w:sz w:val="24"/>
                <w:szCs w:val="24"/>
                <w:highlight w:val="none"/>
                <w:lang w:val="en-US" w:eastAsia="zh-CN"/>
              </w:rPr>
              <w:t>、及承诺书等证明材料</w:t>
            </w:r>
            <w:r>
              <w:rPr>
                <w:rFonts w:hint="eastAsia" w:ascii="宋体" w:hAnsi="宋体" w:eastAsia="宋体" w:cs="宋体"/>
                <w:color w:val="auto"/>
                <w:sz w:val="24"/>
                <w:szCs w:val="24"/>
                <w:highlight w:val="none"/>
                <w:lang w:eastAsia="zh-CN"/>
              </w:rPr>
              <w:t>，不提供或不清楚或不准确，不予认可）】</w:t>
            </w:r>
          </w:p>
        </w:tc>
      </w:tr>
      <w:tr w14:paraId="66985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759" w:type="dxa"/>
            <w:noWrap/>
            <w:vAlign w:val="center"/>
          </w:tcPr>
          <w:p w14:paraId="20CBE5A4">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w:t>
            </w:r>
          </w:p>
        </w:tc>
        <w:tc>
          <w:tcPr>
            <w:tcW w:w="744" w:type="dxa"/>
            <w:noWrap/>
            <w:vAlign w:val="center"/>
          </w:tcPr>
          <w:p w14:paraId="792B4894">
            <w:pPr>
              <w:widowControl w:val="0"/>
              <w:kinsoku/>
              <w:autoSpaceDE/>
              <w:autoSpaceDN/>
              <w:adjustRightInd/>
              <w:snapToGrid/>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配送能力</w:t>
            </w:r>
          </w:p>
        </w:tc>
        <w:tc>
          <w:tcPr>
            <w:tcW w:w="709" w:type="dxa"/>
            <w:noWrap/>
            <w:vAlign w:val="center"/>
          </w:tcPr>
          <w:p w14:paraId="12265008">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分</w:t>
            </w:r>
          </w:p>
        </w:tc>
        <w:tc>
          <w:tcPr>
            <w:tcW w:w="6899" w:type="dxa"/>
            <w:noWrap/>
            <w:vAlign w:val="center"/>
          </w:tcPr>
          <w:p w14:paraId="3AF49399">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根据投标人拟投入的箱式运输车数量评比：</w:t>
            </w:r>
          </w:p>
          <w:p w14:paraId="35E6B90B">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箱式运输车不少于</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辆，得基础分</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分，每增加1辆，加</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分，最多加</w:t>
            </w:r>
            <w:r>
              <w:rPr>
                <w:rFonts w:hint="eastAsia" w:ascii="宋体" w:hAnsi="宋体" w:eastAsia="宋体" w:cs="宋体"/>
                <w:color w:val="auto"/>
                <w:sz w:val="24"/>
                <w:szCs w:val="24"/>
                <w:highlight w:val="none"/>
                <w:lang w:val="en-US" w:eastAsia="zh-CN"/>
              </w:rPr>
              <w:t>2分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满分5分</w:t>
            </w:r>
            <w:r>
              <w:rPr>
                <w:rFonts w:hint="eastAsia" w:ascii="宋体" w:hAnsi="宋体" w:eastAsia="宋体" w:cs="宋体"/>
                <w:color w:val="auto"/>
                <w:sz w:val="24"/>
                <w:szCs w:val="24"/>
                <w:highlight w:val="none"/>
                <w:lang w:eastAsia="zh-CN"/>
              </w:rPr>
              <w:t>。</w:t>
            </w:r>
          </w:p>
          <w:p w14:paraId="38D575A7">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【1.自有车辆须提供：有效的《机动车行驶证》、车辆正面图片及保险单，未提供或不完整的不得分。</w:t>
            </w:r>
          </w:p>
          <w:p w14:paraId="5DE06E63">
            <w:pPr>
              <w:numPr>
                <w:ilvl w:val="0"/>
                <w:numId w:val="4"/>
              </w:numPr>
              <w:spacing w:line="360" w:lineRule="auto"/>
              <w:ind w:right="-107" w:rightChars="-5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租赁车辆须提供：有效的车辆租赁协议、《机动车行驶证》、车辆正面图片及保险单，未提供或不完整的不得分。</w:t>
            </w:r>
          </w:p>
          <w:p w14:paraId="7EB80ACB">
            <w:pPr>
              <w:numPr>
                <w:ilvl w:val="0"/>
                <w:numId w:val="4"/>
              </w:numPr>
              <w:spacing w:line="360" w:lineRule="auto"/>
              <w:ind w:right="-107" w:rightChars="-5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《机动车行驶证》的关键信息应与车辆正面图片、保险单相对应】</w:t>
            </w:r>
          </w:p>
        </w:tc>
      </w:tr>
      <w:tr w14:paraId="51132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759" w:type="dxa"/>
            <w:noWrap/>
            <w:vAlign w:val="center"/>
          </w:tcPr>
          <w:p w14:paraId="3B0C0710">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w:t>
            </w:r>
          </w:p>
        </w:tc>
        <w:tc>
          <w:tcPr>
            <w:tcW w:w="744" w:type="dxa"/>
            <w:noWrap/>
            <w:vAlign w:val="center"/>
          </w:tcPr>
          <w:p w14:paraId="724FAADA">
            <w:pPr>
              <w:widowControl w:val="0"/>
              <w:kinsoku/>
              <w:autoSpaceDE/>
              <w:autoSpaceDN/>
              <w:adjustRightInd/>
              <w:snapToGrid/>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仓储能力</w:t>
            </w:r>
          </w:p>
        </w:tc>
        <w:tc>
          <w:tcPr>
            <w:tcW w:w="709" w:type="dxa"/>
            <w:noWrap/>
            <w:vAlign w:val="center"/>
          </w:tcPr>
          <w:p w14:paraId="6A99704B">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分</w:t>
            </w:r>
          </w:p>
        </w:tc>
        <w:tc>
          <w:tcPr>
            <w:tcW w:w="6899" w:type="dxa"/>
            <w:noWrap/>
            <w:vAlign w:val="center"/>
          </w:tcPr>
          <w:p w14:paraId="07799C8A">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根据供应商自有或租赁的仓库面积评比：</w:t>
            </w:r>
          </w:p>
          <w:p w14:paraId="13F2062E">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1.面积500平方米及以上的得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分；</w:t>
            </w:r>
          </w:p>
          <w:p w14:paraId="64AA292C">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.面积</w:t>
            </w:r>
            <w:r>
              <w:rPr>
                <w:rFonts w:hint="eastAsia" w:ascii="宋体" w:hAnsi="宋体" w:eastAsia="宋体" w:cs="宋体"/>
                <w:color w:val="auto"/>
                <w:sz w:val="24"/>
                <w:szCs w:val="24"/>
                <w:highlight w:val="none"/>
                <w:lang w:val="en-US" w:eastAsia="zh-CN"/>
              </w:rPr>
              <w:t>300</w:t>
            </w:r>
            <w:r>
              <w:rPr>
                <w:rFonts w:hint="eastAsia" w:ascii="宋体" w:hAnsi="宋体" w:eastAsia="宋体" w:cs="宋体"/>
                <w:color w:val="auto"/>
                <w:sz w:val="24"/>
                <w:szCs w:val="24"/>
                <w:highlight w:val="none"/>
                <w:lang w:eastAsia="zh-CN"/>
              </w:rPr>
              <w:t>平方米（</w:t>
            </w:r>
            <w:r>
              <w:rPr>
                <w:rFonts w:hint="eastAsia" w:ascii="宋体" w:hAnsi="宋体" w:eastAsia="宋体" w:cs="宋体"/>
                <w:color w:val="auto"/>
                <w:sz w:val="24"/>
                <w:szCs w:val="24"/>
                <w:highlight w:val="none"/>
                <w:lang w:val="en-US" w:eastAsia="zh-CN"/>
              </w:rPr>
              <w:t>含</w:t>
            </w:r>
            <w:r>
              <w:rPr>
                <w:rFonts w:hint="eastAsia" w:ascii="宋体" w:hAnsi="宋体" w:eastAsia="宋体" w:cs="宋体"/>
                <w:color w:val="auto"/>
                <w:sz w:val="24"/>
                <w:szCs w:val="24"/>
                <w:highlight w:val="none"/>
                <w:lang w:eastAsia="zh-CN"/>
              </w:rPr>
              <w:t>）至</w:t>
            </w:r>
            <w:r>
              <w:rPr>
                <w:rFonts w:hint="eastAsia" w:ascii="宋体" w:hAnsi="宋体" w:eastAsia="宋体" w:cs="宋体"/>
                <w:color w:val="auto"/>
                <w:sz w:val="24"/>
                <w:szCs w:val="24"/>
                <w:highlight w:val="none"/>
                <w:lang w:val="en-US" w:eastAsia="zh-CN"/>
              </w:rPr>
              <w:t>500</w:t>
            </w:r>
            <w:r>
              <w:rPr>
                <w:rFonts w:hint="eastAsia" w:ascii="宋体" w:hAnsi="宋体" w:eastAsia="宋体" w:cs="宋体"/>
                <w:color w:val="auto"/>
                <w:sz w:val="24"/>
                <w:szCs w:val="24"/>
                <w:highlight w:val="none"/>
                <w:lang w:eastAsia="zh-CN"/>
              </w:rPr>
              <w:t>平方米（</w:t>
            </w:r>
            <w:r>
              <w:rPr>
                <w:rFonts w:hint="eastAsia" w:ascii="宋体" w:hAnsi="宋体" w:eastAsia="宋体" w:cs="宋体"/>
                <w:color w:val="auto"/>
                <w:sz w:val="24"/>
                <w:szCs w:val="24"/>
                <w:highlight w:val="none"/>
                <w:lang w:val="en-US" w:eastAsia="zh-CN"/>
              </w:rPr>
              <w:t>不含</w:t>
            </w:r>
            <w:r>
              <w:rPr>
                <w:rFonts w:hint="eastAsia" w:ascii="宋体" w:hAnsi="宋体" w:eastAsia="宋体" w:cs="宋体"/>
                <w:color w:val="auto"/>
                <w:sz w:val="24"/>
                <w:szCs w:val="24"/>
                <w:highlight w:val="none"/>
                <w:lang w:eastAsia="zh-CN"/>
              </w:rPr>
              <w:t>）的得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分；</w:t>
            </w:r>
          </w:p>
          <w:p w14:paraId="27420DBC">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.面积</w:t>
            </w:r>
            <w:r>
              <w:rPr>
                <w:rFonts w:hint="eastAsia" w:ascii="宋体" w:hAnsi="宋体" w:eastAsia="宋体" w:cs="宋体"/>
                <w:color w:val="auto"/>
                <w:sz w:val="24"/>
                <w:szCs w:val="24"/>
                <w:highlight w:val="none"/>
                <w:lang w:val="en-US" w:eastAsia="zh-CN"/>
              </w:rPr>
              <w:t>100</w:t>
            </w:r>
            <w:r>
              <w:rPr>
                <w:rFonts w:hint="eastAsia" w:ascii="宋体" w:hAnsi="宋体" w:eastAsia="宋体" w:cs="宋体"/>
                <w:color w:val="auto"/>
                <w:sz w:val="24"/>
                <w:szCs w:val="24"/>
                <w:highlight w:val="none"/>
                <w:lang w:eastAsia="zh-CN"/>
              </w:rPr>
              <w:t>平方米（</w:t>
            </w:r>
            <w:r>
              <w:rPr>
                <w:rFonts w:hint="eastAsia" w:ascii="宋体" w:hAnsi="宋体" w:eastAsia="宋体" w:cs="宋体"/>
                <w:color w:val="auto"/>
                <w:sz w:val="24"/>
                <w:szCs w:val="24"/>
                <w:highlight w:val="none"/>
                <w:lang w:val="en-US" w:eastAsia="zh-CN"/>
              </w:rPr>
              <w:t>含</w:t>
            </w:r>
            <w:r>
              <w:rPr>
                <w:rFonts w:hint="eastAsia" w:ascii="宋体" w:hAnsi="宋体" w:eastAsia="宋体" w:cs="宋体"/>
                <w:color w:val="auto"/>
                <w:sz w:val="24"/>
                <w:szCs w:val="24"/>
                <w:highlight w:val="none"/>
                <w:lang w:eastAsia="zh-CN"/>
              </w:rPr>
              <w:t>）至</w:t>
            </w:r>
            <w:r>
              <w:rPr>
                <w:rFonts w:hint="eastAsia" w:ascii="宋体" w:hAnsi="宋体" w:eastAsia="宋体" w:cs="宋体"/>
                <w:color w:val="auto"/>
                <w:sz w:val="24"/>
                <w:szCs w:val="24"/>
                <w:highlight w:val="none"/>
                <w:lang w:val="en-US" w:eastAsia="zh-CN"/>
              </w:rPr>
              <w:t>300</w:t>
            </w:r>
            <w:r>
              <w:rPr>
                <w:rFonts w:hint="eastAsia" w:ascii="宋体" w:hAnsi="宋体" w:eastAsia="宋体" w:cs="宋体"/>
                <w:color w:val="auto"/>
                <w:sz w:val="24"/>
                <w:szCs w:val="24"/>
                <w:highlight w:val="none"/>
                <w:lang w:eastAsia="zh-CN"/>
              </w:rPr>
              <w:t>平方米（</w:t>
            </w:r>
            <w:r>
              <w:rPr>
                <w:rFonts w:hint="eastAsia" w:ascii="宋体" w:hAnsi="宋体" w:eastAsia="宋体" w:cs="宋体"/>
                <w:color w:val="auto"/>
                <w:sz w:val="24"/>
                <w:szCs w:val="24"/>
                <w:highlight w:val="none"/>
                <w:lang w:val="en-US" w:eastAsia="zh-CN"/>
              </w:rPr>
              <w:t>不含</w:t>
            </w:r>
            <w:r>
              <w:rPr>
                <w:rFonts w:hint="eastAsia" w:ascii="宋体" w:hAnsi="宋体" w:eastAsia="宋体" w:cs="宋体"/>
                <w:color w:val="auto"/>
                <w:sz w:val="24"/>
                <w:szCs w:val="24"/>
                <w:highlight w:val="none"/>
                <w:lang w:eastAsia="zh-CN"/>
              </w:rPr>
              <w:t>）得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分；</w:t>
            </w:r>
          </w:p>
          <w:p w14:paraId="20F90127">
            <w:pPr>
              <w:spacing w:line="360" w:lineRule="auto"/>
              <w:ind w:right="-107" w:rightChars="-5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【1、自有的须提供有效的仓库所有权证明材料、仓库图片；</w:t>
            </w:r>
          </w:p>
          <w:p w14:paraId="287C8DC1">
            <w:pPr>
              <w:spacing w:line="360" w:lineRule="auto"/>
              <w:ind w:right="-107" w:rightChars="-5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2、租赁的须提供租赁合同、仓库所有权证明材料、仓库图片。</w:t>
            </w:r>
          </w:p>
          <w:p w14:paraId="49C41DE9">
            <w:pPr>
              <w:spacing w:line="360" w:lineRule="auto"/>
              <w:ind w:right="-107" w:rightChars="-5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3、同一仓库的多份合同视为1份合同计算。】</w:t>
            </w:r>
          </w:p>
        </w:tc>
      </w:tr>
      <w:tr w14:paraId="6E4FE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759" w:type="dxa"/>
            <w:noWrap/>
            <w:vAlign w:val="center"/>
          </w:tcPr>
          <w:p w14:paraId="5967CA8C">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w:t>
            </w:r>
          </w:p>
        </w:tc>
        <w:tc>
          <w:tcPr>
            <w:tcW w:w="744" w:type="dxa"/>
            <w:noWrap/>
            <w:vAlign w:val="center"/>
          </w:tcPr>
          <w:p w14:paraId="4874E667">
            <w:pPr>
              <w:widowControl w:val="0"/>
              <w:kinsoku/>
              <w:autoSpaceDE/>
              <w:autoSpaceDN/>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配送服务方案</w:t>
            </w:r>
          </w:p>
        </w:tc>
        <w:tc>
          <w:tcPr>
            <w:tcW w:w="709" w:type="dxa"/>
            <w:noWrap/>
            <w:vAlign w:val="center"/>
          </w:tcPr>
          <w:p w14:paraId="50F94FC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12分</w:t>
            </w:r>
          </w:p>
        </w:tc>
        <w:tc>
          <w:tcPr>
            <w:tcW w:w="6899" w:type="dxa"/>
            <w:noWrap/>
            <w:vAlign w:val="center"/>
          </w:tcPr>
          <w:p w14:paraId="4EF972D9">
            <w:pPr>
              <w:spacing w:line="360" w:lineRule="auto"/>
              <w:ind w:right="-107" w:rightChars="-5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配送服务方案包含：</w:t>
            </w:r>
          </w:p>
          <w:p w14:paraId="556F22CD">
            <w:pPr>
              <w:spacing w:line="360" w:lineRule="auto"/>
              <w:ind w:right="-107" w:rightChars="-5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配送服务组织结构及配送人员管理制度（</w:t>
            </w:r>
            <w:r>
              <w:rPr>
                <w:rFonts w:hint="eastAsia" w:ascii="宋体" w:hAnsi="宋体" w:eastAsia="宋体" w:cs="宋体"/>
                <w:color w:val="auto"/>
                <w:sz w:val="24"/>
                <w:szCs w:val="24"/>
                <w:highlight w:val="none"/>
                <w:lang w:val="en-US" w:eastAsia="zh-CN"/>
              </w:rPr>
              <w:t>2分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）配送服务组织结构（</w:t>
            </w:r>
            <w:r>
              <w:rPr>
                <w:rFonts w:hint="eastAsia" w:ascii="宋体" w:hAnsi="宋体" w:eastAsia="宋体" w:cs="宋体"/>
                <w:color w:val="auto"/>
                <w:sz w:val="24"/>
                <w:szCs w:val="24"/>
                <w:highlight w:val="none"/>
                <w:lang w:val="en-US" w:eastAsia="zh-CN"/>
              </w:rPr>
              <w:t>0.4分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培训与考勤（0.4分）、（3）服务标准（0.4分）、（4）绩效考核与奖惩（0.3分）、（5）安全管理（0.3分）、（6）配送人员及货品记录（0.2分）每缺少一项扣相应分值，内容存在明显错误则该小项不得分。</w:t>
            </w:r>
          </w:p>
          <w:p w14:paraId="53E30B26">
            <w:pPr>
              <w:spacing w:line="360" w:lineRule="auto"/>
              <w:ind w:right="-107" w:rightChars="-5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货源保障方案（</w:t>
            </w:r>
            <w:r>
              <w:rPr>
                <w:rFonts w:hint="eastAsia" w:ascii="宋体" w:hAnsi="宋体" w:eastAsia="宋体" w:cs="宋体"/>
                <w:color w:val="auto"/>
                <w:sz w:val="24"/>
                <w:szCs w:val="24"/>
                <w:highlight w:val="none"/>
                <w:lang w:val="en-US" w:eastAsia="zh-CN"/>
              </w:rPr>
              <w:t>2分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）方案概述（</w:t>
            </w:r>
            <w:r>
              <w:rPr>
                <w:rFonts w:hint="eastAsia" w:ascii="宋体" w:hAnsi="宋体" w:eastAsia="宋体" w:cs="宋体"/>
                <w:color w:val="auto"/>
                <w:sz w:val="24"/>
                <w:szCs w:val="24"/>
                <w:highlight w:val="none"/>
                <w:lang w:val="en-US" w:eastAsia="zh-CN"/>
              </w:rPr>
              <w:t>0.4分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）货源渠道现状分析（</w:t>
            </w:r>
            <w:r>
              <w:rPr>
                <w:rFonts w:hint="eastAsia" w:ascii="宋体" w:hAnsi="宋体" w:eastAsia="宋体" w:cs="宋体"/>
                <w:color w:val="auto"/>
                <w:sz w:val="24"/>
                <w:szCs w:val="24"/>
                <w:highlight w:val="none"/>
                <w:lang w:val="en-US" w:eastAsia="zh-CN"/>
              </w:rPr>
              <w:t>0.4分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）货源渠道优化策略（</w:t>
            </w:r>
            <w:r>
              <w:rPr>
                <w:rFonts w:hint="eastAsia" w:ascii="宋体" w:hAnsi="宋体" w:eastAsia="宋体" w:cs="宋体"/>
                <w:color w:val="auto"/>
                <w:sz w:val="24"/>
                <w:szCs w:val="24"/>
                <w:highlight w:val="none"/>
                <w:lang w:val="en-US" w:eastAsia="zh-CN"/>
              </w:rPr>
              <w:t>0.4分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）实施方案（</w:t>
            </w:r>
            <w:r>
              <w:rPr>
                <w:rFonts w:hint="eastAsia" w:ascii="宋体" w:hAnsi="宋体" w:eastAsia="宋体" w:cs="宋体"/>
                <w:color w:val="auto"/>
                <w:sz w:val="24"/>
                <w:szCs w:val="24"/>
                <w:highlight w:val="none"/>
                <w:lang w:val="en-US" w:eastAsia="zh-CN"/>
              </w:rPr>
              <w:t>0.4分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）预期效果（</w:t>
            </w:r>
            <w:r>
              <w:rPr>
                <w:rFonts w:hint="eastAsia" w:ascii="宋体" w:hAnsi="宋体" w:eastAsia="宋体" w:cs="宋体"/>
                <w:color w:val="auto"/>
                <w:sz w:val="24"/>
                <w:szCs w:val="24"/>
                <w:highlight w:val="none"/>
                <w:lang w:val="en-US" w:eastAsia="zh-CN"/>
              </w:rPr>
              <w:t>0.4分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每缺少一项扣相应分值，内容存在明显错误则该小项不得分。</w:t>
            </w:r>
          </w:p>
          <w:p w14:paraId="5A5A298A">
            <w:pPr>
              <w:spacing w:line="360" w:lineRule="auto"/>
              <w:ind w:right="-107" w:rightChars="-5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食材出入库管理制度（</w:t>
            </w:r>
            <w:r>
              <w:rPr>
                <w:rFonts w:hint="eastAsia" w:ascii="宋体" w:hAnsi="宋体" w:eastAsia="宋体" w:cs="宋体"/>
                <w:color w:val="auto"/>
                <w:sz w:val="24"/>
                <w:szCs w:val="24"/>
                <w:highlight w:val="none"/>
                <w:lang w:val="en-US" w:eastAsia="zh-CN"/>
              </w:rPr>
              <w:t>2分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）验收管理（</w:t>
            </w:r>
            <w:r>
              <w:rPr>
                <w:rFonts w:hint="eastAsia" w:ascii="宋体" w:hAnsi="宋体" w:eastAsia="宋体" w:cs="宋体"/>
                <w:color w:val="auto"/>
                <w:sz w:val="24"/>
                <w:szCs w:val="24"/>
                <w:highlight w:val="none"/>
                <w:lang w:val="en-US" w:eastAsia="zh-CN"/>
              </w:rPr>
              <w:t>0.3分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）入库管理（</w:t>
            </w:r>
            <w:r>
              <w:rPr>
                <w:rFonts w:hint="eastAsia" w:ascii="宋体" w:hAnsi="宋体" w:eastAsia="宋体" w:cs="宋体"/>
                <w:color w:val="auto"/>
                <w:sz w:val="24"/>
                <w:szCs w:val="24"/>
                <w:highlight w:val="none"/>
                <w:lang w:val="en-US" w:eastAsia="zh-CN"/>
              </w:rPr>
              <w:t>0.3分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）贮存管理（</w:t>
            </w:r>
            <w:r>
              <w:rPr>
                <w:rFonts w:hint="eastAsia" w:ascii="宋体" w:hAnsi="宋体" w:eastAsia="宋体" w:cs="宋体"/>
                <w:color w:val="auto"/>
                <w:sz w:val="24"/>
                <w:szCs w:val="24"/>
                <w:highlight w:val="none"/>
                <w:lang w:val="en-US" w:eastAsia="zh-CN"/>
              </w:rPr>
              <w:t>0.4分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）出库管理（</w:t>
            </w:r>
            <w:r>
              <w:rPr>
                <w:rFonts w:hint="eastAsia" w:ascii="宋体" w:hAnsi="宋体" w:eastAsia="宋体" w:cs="宋体"/>
                <w:color w:val="auto"/>
                <w:sz w:val="24"/>
                <w:szCs w:val="24"/>
                <w:highlight w:val="none"/>
                <w:lang w:val="en-US" w:eastAsia="zh-CN"/>
              </w:rPr>
              <w:t>0.3分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）库存与盘点管理（</w:t>
            </w:r>
            <w:r>
              <w:rPr>
                <w:rFonts w:hint="eastAsia" w:ascii="宋体" w:hAnsi="宋体" w:eastAsia="宋体" w:cs="宋体"/>
                <w:color w:val="auto"/>
                <w:sz w:val="24"/>
                <w:szCs w:val="24"/>
                <w:highlight w:val="none"/>
                <w:lang w:val="en-US" w:eastAsia="zh-CN"/>
              </w:rPr>
              <w:t>0.3分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）制度与监督（</w:t>
            </w:r>
            <w:r>
              <w:rPr>
                <w:rFonts w:hint="eastAsia" w:ascii="宋体" w:hAnsi="宋体" w:eastAsia="宋体" w:cs="宋体"/>
                <w:color w:val="auto"/>
                <w:sz w:val="24"/>
                <w:szCs w:val="24"/>
                <w:highlight w:val="none"/>
                <w:lang w:val="en-US" w:eastAsia="zh-CN"/>
              </w:rPr>
              <w:t>0.4分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每缺少一项扣相应分值，内容存在明显错误则该小项不得分。</w:t>
            </w:r>
          </w:p>
          <w:p w14:paraId="21E9E6B3">
            <w:pPr>
              <w:spacing w:line="360" w:lineRule="auto"/>
              <w:ind w:right="-107" w:rightChars="-5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食材溯源保障措施（</w:t>
            </w:r>
            <w:r>
              <w:rPr>
                <w:rFonts w:hint="eastAsia" w:ascii="宋体" w:hAnsi="宋体" w:eastAsia="宋体" w:cs="宋体"/>
                <w:color w:val="auto"/>
                <w:sz w:val="24"/>
                <w:szCs w:val="24"/>
                <w:highlight w:val="none"/>
                <w:lang w:val="en-US" w:eastAsia="zh-CN"/>
              </w:rPr>
              <w:t>2分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建立全程追溯体系</w:t>
            </w:r>
            <w:r>
              <w:rPr>
                <w:rFonts w:hint="eastAsia" w:ascii="宋体" w:hAnsi="宋体" w:eastAsia="宋体" w:cs="宋体"/>
                <w:color w:val="auto"/>
                <w:sz w:val="24"/>
                <w:szCs w:val="24"/>
                <w:highlight w:val="none"/>
                <w:lang w:val="en-US" w:eastAsia="zh-CN"/>
              </w:rPr>
              <w:t>（0.4分）、（2）‌落实进货查验与索证索票制度（0.4分）、（3）‌推进信息化追溯手段应用（0.4分）、（4）完善食品留样与应急响应机制（0.4分）、（5）构建多方协同监管机制（0.4分）每缺少一项扣相应分值，内容存在明显错误则该小项不得分。</w:t>
            </w:r>
          </w:p>
          <w:p w14:paraId="2ADA29E7">
            <w:pPr>
              <w:spacing w:line="360" w:lineRule="auto"/>
              <w:ind w:right="-107" w:rightChars="-5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配送车辆管理制度（2分）：（1）总则（0.2分）、（2）管理职责分工（0.2分）、（3）车辆购置与租赁（0.2分）、（4）车辆调度管理（0.3分）、（5）车辆使用管理（0.3分）、（6）车辆维护与保养（0.3分）、（7）车辆安全管理（0.3分）、（8）奖励与处罚（0.2分）每缺少一项扣相应分值，内容存在明显错误则该小项不得分。</w:t>
            </w:r>
          </w:p>
          <w:p w14:paraId="5B127924">
            <w:pPr>
              <w:spacing w:line="360" w:lineRule="auto"/>
              <w:ind w:right="-107" w:rightChars="-5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不合格食品退换货及销毁制度（</w:t>
            </w:r>
            <w:r>
              <w:rPr>
                <w:rFonts w:hint="eastAsia" w:ascii="宋体" w:hAnsi="宋体" w:eastAsia="宋体" w:cs="宋体"/>
                <w:color w:val="auto"/>
                <w:sz w:val="24"/>
                <w:szCs w:val="24"/>
                <w:highlight w:val="none"/>
                <w:lang w:val="en-US" w:eastAsia="zh-CN"/>
              </w:rPr>
              <w:t>2分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）不合格食品的识别与报告</w:t>
            </w:r>
          </w:p>
          <w:p w14:paraId="3B07E237">
            <w:pPr>
              <w:spacing w:line="360" w:lineRule="auto"/>
              <w:ind w:right="-107" w:rightChars="-5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0.4分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）不合格食品的退换货管理（</w:t>
            </w:r>
            <w:r>
              <w:rPr>
                <w:rFonts w:hint="eastAsia" w:ascii="宋体" w:hAnsi="宋体" w:eastAsia="宋体" w:cs="宋体"/>
                <w:color w:val="auto"/>
                <w:sz w:val="24"/>
                <w:szCs w:val="24"/>
                <w:highlight w:val="none"/>
                <w:lang w:val="en-US" w:eastAsia="zh-CN"/>
              </w:rPr>
              <w:t>0.4分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）不合格食品的召回管理（</w:t>
            </w:r>
            <w:r>
              <w:rPr>
                <w:rFonts w:hint="eastAsia" w:ascii="宋体" w:hAnsi="宋体" w:eastAsia="宋体" w:cs="宋体"/>
                <w:color w:val="auto"/>
                <w:sz w:val="24"/>
                <w:szCs w:val="24"/>
                <w:highlight w:val="none"/>
                <w:lang w:val="en-US" w:eastAsia="zh-CN"/>
              </w:rPr>
              <w:t>0.4分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）不合格食品的销毁管理（</w:t>
            </w:r>
            <w:r>
              <w:rPr>
                <w:rFonts w:hint="eastAsia" w:ascii="宋体" w:hAnsi="宋体" w:eastAsia="宋体" w:cs="宋体"/>
                <w:color w:val="auto"/>
                <w:sz w:val="24"/>
                <w:szCs w:val="24"/>
                <w:highlight w:val="none"/>
                <w:lang w:val="en-US" w:eastAsia="zh-CN"/>
              </w:rPr>
              <w:t>0.4分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）监督与责任追究（</w:t>
            </w:r>
            <w:r>
              <w:rPr>
                <w:rFonts w:hint="eastAsia" w:ascii="宋体" w:hAnsi="宋体" w:eastAsia="宋体" w:cs="宋体"/>
                <w:color w:val="auto"/>
                <w:sz w:val="24"/>
                <w:szCs w:val="24"/>
                <w:highlight w:val="none"/>
                <w:lang w:val="en-US" w:eastAsia="zh-CN"/>
              </w:rPr>
              <w:t>0.4分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每缺少一项扣相应分值，内容存在明显错误则该小项不得分。</w:t>
            </w:r>
          </w:p>
          <w:p w14:paraId="6BEF554C">
            <w:pPr>
              <w:spacing w:line="360" w:lineRule="auto"/>
              <w:ind w:right="-107" w:rightChars="-5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注：本评审内容中“明显错误”是指：方案中引用的标准、规范错误或已废止；方案内容与招标文件明确要求的服务范围、地点、规模等实际情况明显不符；方案中存在逻辑矛盾、数据错误或无法实现的承诺；关键措施缺失导致方案无法指导实际工作等任意一种情形。每项扣分不超过该小项总分，扣完为止，未提供不得分。</w:t>
            </w:r>
          </w:p>
        </w:tc>
      </w:tr>
      <w:tr w14:paraId="2FED8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759" w:type="dxa"/>
            <w:noWrap/>
            <w:vAlign w:val="center"/>
          </w:tcPr>
          <w:p w14:paraId="6D762AAE">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w:t>
            </w:r>
          </w:p>
        </w:tc>
        <w:tc>
          <w:tcPr>
            <w:tcW w:w="744" w:type="dxa"/>
            <w:noWrap/>
            <w:vAlign w:val="center"/>
          </w:tcPr>
          <w:p w14:paraId="393DF8A4">
            <w:pPr>
              <w:spacing w:line="360" w:lineRule="auto"/>
              <w:ind w:right="-107" w:rightChars="-51"/>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食材安全及管理方案</w:t>
            </w:r>
          </w:p>
        </w:tc>
        <w:tc>
          <w:tcPr>
            <w:tcW w:w="709" w:type="dxa"/>
            <w:noWrap/>
            <w:vAlign w:val="center"/>
          </w:tcPr>
          <w:p w14:paraId="70EDA37C">
            <w:pPr>
              <w:spacing w:line="360" w:lineRule="auto"/>
              <w:ind w:right="-107" w:rightChars="-51"/>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分</w:t>
            </w:r>
          </w:p>
        </w:tc>
        <w:tc>
          <w:tcPr>
            <w:tcW w:w="6899" w:type="dxa"/>
            <w:noWrap/>
            <w:vAlign w:val="center"/>
          </w:tcPr>
          <w:p w14:paraId="47A0F1DB">
            <w:pPr>
              <w:spacing w:line="360" w:lineRule="auto"/>
              <w:ind w:right="-107" w:rightChars="-5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食材安全及管理方案，包含：</w:t>
            </w:r>
          </w:p>
          <w:p w14:paraId="36333B68">
            <w:pPr>
              <w:spacing w:line="360" w:lineRule="auto"/>
              <w:ind w:right="-107" w:rightChars="-5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食材采购管理制度（</w:t>
            </w:r>
            <w:r>
              <w:rPr>
                <w:rFonts w:hint="eastAsia" w:ascii="宋体" w:hAnsi="宋体" w:eastAsia="宋体" w:cs="宋体"/>
                <w:color w:val="auto"/>
                <w:sz w:val="24"/>
                <w:szCs w:val="24"/>
                <w:highlight w:val="none"/>
                <w:lang w:val="en-US" w:eastAsia="zh-CN"/>
              </w:rPr>
              <w:t>2分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）供应商准入管理（</w:t>
            </w:r>
            <w:r>
              <w:rPr>
                <w:rFonts w:hint="eastAsia" w:ascii="宋体" w:hAnsi="宋体" w:eastAsia="宋体" w:cs="宋体"/>
                <w:color w:val="auto"/>
                <w:sz w:val="24"/>
                <w:szCs w:val="24"/>
                <w:highlight w:val="none"/>
                <w:lang w:val="en-US" w:eastAsia="zh-CN"/>
              </w:rPr>
              <w:t>0.4分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）采购方式与流程（</w:t>
            </w:r>
            <w:r>
              <w:rPr>
                <w:rFonts w:hint="eastAsia" w:ascii="宋体" w:hAnsi="宋体" w:eastAsia="宋体" w:cs="宋体"/>
                <w:color w:val="auto"/>
                <w:sz w:val="24"/>
                <w:szCs w:val="24"/>
                <w:highlight w:val="none"/>
                <w:lang w:val="en-US" w:eastAsia="zh-CN"/>
              </w:rPr>
              <w:t>0.4分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）采购品质控制（</w:t>
            </w:r>
            <w:r>
              <w:rPr>
                <w:rFonts w:hint="eastAsia" w:ascii="宋体" w:hAnsi="宋体" w:eastAsia="宋体" w:cs="宋体"/>
                <w:color w:val="auto"/>
                <w:sz w:val="24"/>
                <w:szCs w:val="24"/>
                <w:highlight w:val="none"/>
                <w:lang w:val="en-US" w:eastAsia="zh-CN"/>
              </w:rPr>
              <w:t>0.4分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）索证索票与溯源管理（</w:t>
            </w:r>
            <w:r>
              <w:rPr>
                <w:rFonts w:hint="eastAsia" w:ascii="宋体" w:hAnsi="宋体" w:eastAsia="宋体" w:cs="宋体"/>
                <w:color w:val="auto"/>
                <w:sz w:val="24"/>
                <w:szCs w:val="24"/>
                <w:highlight w:val="none"/>
                <w:lang w:val="en-US" w:eastAsia="zh-CN"/>
              </w:rPr>
              <w:t>0.4分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）验收与监督机制（</w:t>
            </w:r>
            <w:r>
              <w:rPr>
                <w:rFonts w:hint="eastAsia" w:ascii="宋体" w:hAnsi="宋体" w:eastAsia="宋体" w:cs="宋体"/>
                <w:color w:val="auto"/>
                <w:sz w:val="24"/>
                <w:szCs w:val="24"/>
                <w:highlight w:val="none"/>
                <w:lang w:val="en-US" w:eastAsia="zh-CN"/>
              </w:rPr>
              <w:t>0.4分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每缺少一项扣相应分值，内容存在明显错误则该小项不得分。</w:t>
            </w:r>
          </w:p>
          <w:p w14:paraId="3058C4A0">
            <w:pPr>
              <w:spacing w:line="360" w:lineRule="auto"/>
              <w:ind w:right="-107" w:rightChars="-5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食材贮存管理制度（</w:t>
            </w:r>
            <w:r>
              <w:rPr>
                <w:rFonts w:hint="eastAsia" w:ascii="宋体" w:hAnsi="宋体" w:eastAsia="宋体" w:cs="宋体"/>
                <w:color w:val="auto"/>
                <w:sz w:val="24"/>
                <w:szCs w:val="24"/>
                <w:highlight w:val="none"/>
                <w:lang w:val="en-US" w:eastAsia="zh-CN"/>
              </w:rPr>
              <w:t>2分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）分区分类存放（</w:t>
            </w:r>
            <w:r>
              <w:rPr>
                <w:rFonts w:hint="eastAsia" w:ascii="宋体" w:hAnsi="宋体" w:eastAsia="宋体" w:cs="宋体"/>
                <w:color w:val="auto"/>
                <w:sz w:val="24"/>
                <w:szCs w:val="24"/>
                <w:highlight w:val="none"/>
                <w:lang w:val="en-US" w:eastAsia="zh-CN"/>
              </w:rPr>
              <w:t>0.3分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）‌离墙离地存放（</w:t>
            </w:r>
            <w:r>
              <w:rPr>
                <w:rFonts w:hint="eastAsia" w:ascii="宋体" w:hAnsi="宋体" w:eastAsia="宋体" w:cs="宋体"/>
                <w:color w:val="auto"/>
                <w:sz w:val="24"/>
                <w:szCs w:val="24"/>
                <w:highlight w:val="none"/>
                <w:lang w:val="en-US" w:eastAsia="zh-CN"/>
              </w:rPr>
              <w:t>0.3分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）温湿度精准控制（</w:t>
            </w:r>
            <w:r>
              <w:rPr>
                <w:rFonts w:hint="eastAsia" w:ascii="宋体" w:hAnsi="宋体" w:eastAsia="宋体" w:cs="宋体"/>
                <w:color w:val="auto"/>
                <w:sz w:val="24"/>
                <w:szCs w:val="24"/>
                <w:highlight w:val="none"/>
                <w:lang w:val="en-US" w:eastAsia="zh-CN"/>
              </w:rPr>
              <w:t>0.3分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）规范标识与密闭储存（</w:t>
            </w:r>
            <w:r>
              <w:rPr>
                <w:rFonts w:hint="eastAsia" w:ascii="宋体" w:hAnsi="宋体" w:eastAsia="宋体" w:cs="宋体"/>
                <w:color w:val="auto"/>
                <w:sz w:val="24"/>
                <w:szCs w:val="24"/>
                <w:highlight w:val="none"/>
                <w:lang w:val="en-US" w:eastAsia="zh-CN"/>
              </w:rPr>
              <w:t>0.3分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）先进先出与定期盘点（</w:t>
            </w:r>
            <w:r>
              <w:rPr>
                <w:rFonts w:hint="eastAsia" w:ascii="宋体" w:hAnsi="宋体" w:eastAsia="宋体" w:cs="宋体"/>
                <w:color w:val="auto"/>
                <w:sz w:val="24"/>
                <w:szCs w:val="24"/>
                <w:highlight w:val="none"/>
                <w:lang w:val="en-US" w:eastAsia="zh-CN"/>
              </w:rPr>
              <w:t>0.3分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）设施维护与卫生管理</w:t>
            </w:r>
            <w:r>
              <w:rPr>
                <w:rFonts w:hint="eastAsia" w:ascii="宋体" w:hAnsi="宋体" w:eastAsia="宋体" w:cs="宋体"/>
                <w:color w:val="auto"/>
                <w:sz w:val="24"/>
                <w:szCs w:val="24"/>
                <w:highlight w:val="none"/>
                <w:lang w:val="en-US" w:eastAsia="zh-CN"/>
              </w:rPr>
              <w:t>(0.3分）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）特殊食材储存建议（</w:t>
            </w:r>
            <w:r>
              <w:rPr>
                <w:rFonts w:hint="eastAsia" w:ascii="宋体" w:hAnsi="宋体" w:eastAsia="宋体" w:cs="宋体"/>
                <w:color w:val="auto"/>
                <w:sz w:val="24"/>
                <w:szCs w:val="24"/>
                <w:highlight w:val="none"/>
                <w:lang w:val="en-US" w:eastAsia="zh-CN"/>
              </w:rPr>
              <w:t>0.2分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每缺少一项扣相应分值，内容存在明显错误则该小项不得分。</w:t>
            </w:r>
          </w:p>
          <w:p w14:paraId="728C628A">
            <w:pPr>
              <w:spacing w:line="360" w:lineRule="auto"/>
              <w:ind w:right="-107" w:rightChars="-5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食材安全（质量）查验制度（</w:t>
            </w:r>
            <w:r>
              <w:rPr>
                <w:rFonts w:hint="eastAsia" w:ascii="宋体" w:hAnsi="宋体" w:eastAsia="宋体" w:cs="宋体"/>
                <w:color w:val="auto"/>
                <w:sz w:val="24"/>
                <w:szCs w:val="24"/>
                <w:highlight w:val="none"/>
                <w:lang w:val="en-US" w:eastAsia="zh-CN"/>
              </w:rPr>
              <w:t>2分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资质审查（0.3分）、（2）票据与证明留存（0.3分）、（3）‌包装与标识核查（0.3分）、（4）质量检查（0.3分）、（5）快速检测把关（0.3分）、（6）‌记录与可追溯管理（0.3分）、（7）不合格品处置机制（0.2分）每缺少一项扣相应分值，内容存在明显错误则该小项不得分。</w:t>
            </w:r>
          </w:p>
          <w:p w14:paraId="19EB40EF">
            <w:pPr>
              <w:spacing w:line="360" w:lineRule="auto"/>
              <w:ind w:right="-107" w:rightChars="-5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食材留样措施（</w:t>
            </w:r>
            <w:r>
              <w:rPr>
                <w:rFonts w:hint="eastAsia" w:ascii="宋体" w:hAnsi="宋体" w:eastAsia="宋体" w:cs="宋体"/>
                <w:color w:val="auto"/>
                <w:sz w:val="24"/>
                <w:szCs w:val="24"/>
                <w:highlight w:val="none"/>
                <w:lang w:val="en-US" w:eastAsia="zh-CN"/>
              </w:rPr>
              <w:t>2分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）‌留样量（</w:t>
            </w:r>
            <w:r>
              <w:rPr>
                <w:rFonts w:hint="eastAsia" w:ascii="宋体" w:hAnsi="宋体" w:eastAsia="宋体" w:cs="宋体"/>
                <w:color w:val="auto"/>
                <w:sz w:val="24"/>
                <w:szCs w:val="24"/>
                <w:highlight w:val="none"/>
                <w:lang w:val="en-US" w:eastAsia="zh-CN"/>
              </w:rPr>
              <w:t>0.3分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）容器与设备（</w:t>
            </w:r>
            <w:r>
              <w:rPr>
                <w:rFonts w:hint="eastAsia" w:ascii="宋体" w:hAnsi="宋体" w:eastAsia="宋体" w:cs="宋体"/>
                <w:color w:val="auto"/>
                <w:sz w:val="24"/>
                <w:szCs w:val="24"/>
                <w:highlight w:val="none"/>
                <w:lang w:val="en-US" w:eastAsia="zh-CN"/>
              </w:rPr>
              <w:t>0.3分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）留样时间（</w:t>
            </w:r>
            <w:r>
              <w:rPr>
                <w:rFonts w:hint="eastAsia" w:ascii="宋体" w:hAnsi="宋体" w:eastAsia="宋体" w:cs="宋体"/>
                <w:color w:val="auto"/>
                <w:sz w:val="24"/>
                <w:szCs w:val="24"/>
                <w:highlight w:val="none"/>
                <w:lang w:val="en-US" w:eastAsia="zh-CN"/>
              </w:rPr>
              <w:t>0.3分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）标识与记录（</w:t>
            </w:r>
            <w:r>
              <w:rPr>
                <w:rFonts w:hint="eastAsia" w:ascii="宋体" w:hAnsi="宋体" w:eastAsia="宋体" w:cs="宋体"/>
                <w:color w:val="auto"/>
                <w:sz w:val="24"/>
                <w:szCs w:val="24"/>
                <w:highlight w:val="none"/>
                <w:lang w:val="en-US" w:eastAsia="zh-CN"/>
              </w:rPr>
              <w:t>0.3分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）取样规范（</w:t>
            </w:r>
            <w:r>
              <w:rPr>
                <w:rFonts w:hint="eastAsia" w:ascii="宋体" w:hAnsi="宋体" w:eastAsia="宋体" w:cs="宋体"/>
                <w:color w:val="auto"/>
                <w:sz w:val="24"/>
                <w:szCs w:val="24"/>
                <w:highlight w:val="none"/>
                <w:lang w:val="en-US" w:eastAsia="zh-CN"/>
              </w:rPr>
              <w:t>0.4分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留样人</w:t>
            </w:r>
            <w:r>
              <w:rPr>
                <w:rFonts w:hint="eastAsia" w:ascii="宋体" w:hAnsi="宋体" w:eastAsia="宋体" w:cs="宋体"/>
                <w:color w:val="auto"/>
                <w:sz w:val="24"/>
                <w:szCs w:val="24"/>
                <w:highlight w:val="none"/>
                <w:lang w:eastAsia="zh-CN"/>
              </w:rPr>
              <w:t>员与管理（</w:t>
            </w:r>
            <w:r>
              <w:rPr>
                <w:rFonts w:hint="eastAsia" w:ascii="宋体" w:hAnsi="宋体" w:eastAsia="宋体" w:cs="宋体"/>
                <w:color w:val="auto"/>
                <w:sz w:val="24"/>
                <w:szCs w:val="24"/>
                <w:highlight w:val="none"/>
                <w:lang w:val="en-US" w:eastAsia="zh-CN"/>
              </w:rPr>
              <w:t>0.4分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每缺少一项扣相应分值，内容存在明显错误则该小项不得分。</w:t>
            </w:r>
          </w:p>
          <w:p w14:paraId="301C799E">
            <w:pPr>
              <w:spacing w:line="360" w:lineRule="auto"/>
              <w:ind w:right="-107" w:rightChars="-5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食材安全配送制度等（</w:t>
            </w:r>
            <w:r>
              <w:rPr>
                <w:rFonts w:hint="eastAsia" w:ascii="宋体" w:hAnsi="宋体" w:eastAsia="宋体" w:cs="宋体"/>
                <w:color w:val="auto"/>
                <w:sz w:val="24"/>
                <w:szCs w:val="24"/>
                <w:highlight w:val="none"/>
                <w:lang w:val="en-US" w:eastAsia="zh-CN"/>
              </w:rPr>
              <w:t>2分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）配送过程规范（</w:t>
            </w:r>
            <w:r>
              <w:rPr>
                <w:rFonts w:hint="eastAsia" w:ascii="宋体" w:hAnsi="宋体" w:eastAsia="宋体" w:cs="宋体"/>
                <w:color w:val="auto"/>
                <w:sz w:val="24"/>
                <w:szCs w:val="24"/>
                <w:highlight w:val="none"/>
                <w:lang w:val="en-US" w:eastAsia="zh-CN"/>
              </w:rPr>
              <w:t>1分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）全程可追溯与应急机制（</w:t>
            </w:r>
            <w:r>
              <w:rPr>
                <w:rFonts w:hint="eastAsia" w:ascii="宋体" w:hAnsi="宋体" w:eastAsia="宋体" w:cs="宋体"/>
                <w:color w:val="auto"/>
                <w:sz w:val="24"/>
                <w:szCs w:val="24"/>
                <w:highlight w:val="none"/>
                <w:lang w:val="en-US" w:eastAsia="zh-CN"/>
              </w:rPr>
              <w:t>1分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每缺少一项扣相应分值，内容存在明显错误则该小项不得分。</w:t>
            </w:r>
          </w:p>
          <w:p w14:paraId="1D2171F8">
            <w:pPr>
              <w:spacing w:line="360" w:lineRule="auto"/>
              <w:ind w:right="-107" w:rightChars="-5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注：本评审内容中“明显错误”是指：方案中引用的标准、规范错误或已废止；方案内容与招标文件明确要求的服务范围、地点、规模等实际情况明显不符；方案中存在逻辑矛盾、数据错误或无法实现的承诺；关键措施缺失导致方案无法指导实际工作等任意一种情形。每项扣分不超过该小项总分，扣完为止，未提供不得分。</w:t>
            </w:r>
          </w:p>
        </w:tc>
      </w:tr>
      <w:tr w14:paraId="52B6A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759" w:type="dxa"/>
            <w:noWrap/>
            <w:vAlign w:val="center"/>
          </w:tcPr>
          <w:p w14:paraId="58AFCF20">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9</w:t>
            </w:r>
          </w:p>
        </w:tc>
        <w:tc>
          <w:tcPr>
            <w:tcW w:w="744" w:type="dxa"/>
            <w:noWrap/>
            <w:vAlign w:val="center"/>
          </w:tcPr>
          <w:p w14:paraId="6E405868">
            <w:pPr>
              <w:spacing w:line="360" w:lineRule="auto"/>
              <w:ind w:right="-107" w:rightChars="-51"/>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应急措施</w:t>
            </w:r>
          </w:p>
        </w:tc>
        <w:tc>
          <w:tcPr>
            <w:tcW w:w="709" w:type="dxa"/>
            <w:noWrap/>
            <w:vAlign w:val="center"/>
          </w:tcPr>
          <w:p w14:paraId="1E1EEEFD">
            <w:pPr>
              <w:spacing w:line="360" w:lineRule="auto"/>
              <w:ind w:right="-107" w:rightChars="-51"/>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5分</w:t>
            </w:r>
          </w:p>
        </w:tc>
        <w:tc>
          <w:tcPr>
            <w:tcW w:w="6899" w:type="dxa"/>
            <w:noWrap/>
            <w:vAlign w:val="center"/>
          </w:tcPr>
          <w:p w14:paraId="3B01E720">
            <w:pPr>
              <w:spacing w:line="360" w:lineRule="auto"/>
              <w:ind w:right="-107" w:rightChars="-5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应急措施包含：</w:t>
            </w:r>
          </w:p>
          <w:p w14:paraId="4224ECD4">
            <w:pPr>
              <w:spacing w:line="360" w:lineRule="auto"/>
              <w:ind w:right="-107" w:rightChars="-5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食品安全事故应急预案</w:t>
            </w:r>
          </w:p>
          <w:p w14:paraId="4601B071">
            <w:pPr>
              <w:spacing w:line="360" w:lineRule="auto"/>
              <w:ind w:right="-107" w:rightChars="-5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自然灾害应急预案</w:t>
            </w:r>
          </w:p>
          <w:p w14:paraId="170A12AE">
            <w:pPr>
              <w:spacing w:line="360" w:lineRule="auto"/>
              <w:ind w:right="-107" w:rightChars="-5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运输安全应急预案</w:t>
            </w:r>
          </w:p>
          <w:p w14:paraId="60BAFF88">
            <w:pPr>
              <w:spacing w:line="360" w:lineRule="auto"/>
              <w:ind w:right="-107" w:rightChars="-5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不合格食材退换处置方案</w:t>
            </w:r>
          </w:p>
          <w:p w14:paraId="1DD4546B">
            <w:pPr>
              <w:spacing w:line="360" w:lineRule="auto"/>
              <w:ind w:right="-107" w:rightChars="-5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疾病防控应急预案</w:t>
            </w:r>
          </w:p>
          <w:p w14:paraId="09460EB4">
            <w:pPr>
              <w:spacing w:line="360" w:lineRule="auto"/>
              <w:ind w:right="-107" w:rightChars="-5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全部提供得5分，每缺一项扣1分，</w:t>
            </w:r>
            <w:r>
              <w:rPr>
                <w:rFonts w:hint="eastAsia" w:ascii="宋体" w:hAnsi="宋体" w:eastAsia="宋体" w:cs="宋体"/>
                <w:color w:val="auto"/>
                <w:sz w:val="24"/>
                <w:szCs w:val="24"/>
                <w:highlight w:val="none"/>
                <w:lang w:val="en-US" w:eastAsia="zh-CN"/>
              </w:rPr>
              <w:t>内容存在明显错误则该小项不得分。</w:t>
            </w:r>
          </w:p>
          <w:p w14:paraId="309AECF4">
            <w:pPr>
              <w:spacing w:line="360" w:lineRule="auto"/>
              <w:ind w:right="-107" w:rightChars="-5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注：本评审内容中“明显错误”是指：方案中引用的标准、规范错误或已废止；方案内容与招标文件明确要求的服务范围、地点、规模等实际情况明显不符；方案中存在逻辑矛盾、数据错误或无法实现的承诺；关键措施缺失导致方案无法指导实际工作等任意一种情形。每项扣分不超过该小项总分，扣完为止，未提供不得分。</w:t>
            </w:r>
          </w:p>
        </w:tc>
      </w:tr>
      <w:tr w14:paraId="02FE9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759" w:type="dxa"/>
            <w:noWrap/>
            <w:vAlign w:val="center"/>
          </w:tcPr>
          <w:p w14:paraId="19FAEB06">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10</w:t>
            </w:r>
          </w:p>
        </w:tc>
        <w:tc>
          <w:tcPr>
            <w:tcW w:w="744" w:type="dxa"/>
            <w:noWrap/>
            <w:vAlign w:val="center"/>
          </w:tcPr>
          <w:p w14:paraId="70F2B3D1">
            <w:pPr>
              <w:spacing w:line="360" w:lineRule="auto"/>
              <w:ind w:right="-107" w:rightChars="-51"/>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后续服务方案</w:t>
            </w:r>
          </w:p>
        </w:tc>
        <w:tc>
          <w:tcPr>
            <w:tcW w:w="709" w:type="dxa"/>
            <w:noWrap/>
            <w:vAlign w:val="center"/>
          </w:tcPr>
          <w:p w14:paraId="6AFF18C6">
            <w:pPr>
              <w:spacing w:line="360" w:lineRule="auto"/>
              <w:ind w:right="-107" w:rightChars="-51"/>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3分</w:t>
            </w:r>
          </w:p>
        </w:tc>
        <w:tc>
          <w:tcPr>
            <w:tcW w:w="6899" w:type="dxa"/>
            <w:noWrap/>
            <w:vAlign w:val="center"/>
          </w:tcPr>
          <w:p w14:paraId="028A061E">
            <w:pPr>
              <w:spacing w:line="360" w:lineRule="auto"/>
              <w:ind w:right="-107" w:rightChars="-5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后续服务方案包含但不限于：</w:t>
            </w:r>
          </w:p>
          <w:p w14:paraId="0B580C39">
            <w:pPr>
              <w:spacing w:line="360" w:lineRule="auto"/>
              <w:ind w:right="-107" w:rightChars="-5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①后续服务体系</w:t>
            </w:r>
          </w:p>
          <w:p w14:paraId="166F8CA0">
            <w:pPr>
              <w:spacing w:line="360" w:lineRule="auto"/>
              <w:ind w:right="-107" w:rightChars="-5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②客户回访措施</w:t>
            </w:r>
          </w:p>
          <w:p w14:paraId="5157D6F5">
            <w:pPr>
              <w:spacing w:line="360" w:lineRule="auto"/>
              <w:ind w:right="-107" w:rightChars="-5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③不合格食材召回处理措施。</w:t>
            </w:r>
          </w:p>
          <w:p w14:paraId="3C8E4DEF">
            <w:pPr>
              <w:spacing w:line="360" w:lineRule="auto"/>
              <w:ind w:right="-107" w:rightChars="-5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全部提供得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分，每缺一项扣1分，</w:t>
            </w:r>
            <w:r>
              <w:rPr>
                <w:rFonts w:hint="eastAsia" w:ascii="宋体" w:hAnsi="宋体" w:eastAsia="宋体" w:cs="宋体"/>
                <w:color w:val="auto"/>
                <w:sz w:val="24"/>
                <w:szCs w:val="24"/>
                <w:highlight w:val="none"/>
                <w:lang w:val="en-US" w:eastAsia="zh-CN"/>
              </w:rPr>
              <w:t>内容存在明显错误则该小项不得分。</w:t>
            </w:r>
          </w:p>
          <w:p w14:paraId="01F3FF63">
            <w:pPr>
              <w:spacing w:line="360" w:lineRule="auto"/>
              <w:ind w:right="-107" w:rightChars="-5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注：本评审内容中“明显错误”是指：方案中引用的标准、规范错误或已废止；方案内容与招标文件明确要求的服务范围、地点、规模等实际情况明显不符；方案中存在逻辑矛盾、数据错误或无法实现的承诺；关键措施缺失导致方案无法指导实际工作等任意一种情形。每项扣分不超过该小项总分，扣完为止，未提供不得分。</w:t>
            </w:r>
          </w:p>
        </w:tc>
      </w:tr>
      <w:tr w14:paraId="2AC6F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759" w:type="dxa"/>
            <w:noWrap/>
            <w:vAlign w:val="center"/>
          </w:tcPr>
          <w:p w14:paraId="0CB10CD1">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c>
          <w:tcPr>
            <w:tcW w:w="744" w:type="dxa"/>
            <w:noWrap/>
            <w:vAlign w:val="center"/>
          </w:tcPr>
          <w:p w14:paraId="2775C11F">
            <w:pPr>
              <w:spacing w:line="360" w:lineRule="auto"/>
              <w:ind w:right="-107" w:rightChars="-51"/>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服务承诺</w:t>
            </w:r>
          </w:p>
        </w:tc>
        <w:tc>
          <w:tcPr>
            <w:tcW w:w="709" w:type="dxa"/>
            <w:noWrap/>
            <w:vAlign w:val="center"/>
          </w:tcPr>
          <w:p w14:paraId="514F0075">
            <w:pPr>
              <w:spacing w:line="360" w:lineRule="auto"/>
              <w:ind w:right="-107" w:rightChars="-51"/>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分</w:t>
            </w:r>
          </w:p>
        </w:tc>
        <w:tc>
          <w:tcPr>
            <w:tcW w:w="6899" w:type="dxa"/>
            <w:noWrap/>
            <w:vAlign w:val="center"/>
          </w:tcPr>
          <w:p w14:paraId="4105CB46">
            <w:pPr>
              <w:numPr>
                <w:ilvl w:val="0"/>
                <w:numId w:val="5"/>
              </w:numPr>
              <w:spacing w:line="360" w:lineRule="auto"/>
              <w:ind w:right="-107" w:rightChars="-5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提供服务期内不发生任何食品安全事故的承诺书，得1分，不提供，不得分；</w:t>
            </w:r>
          </w:p>
          <w:p w14:paraId="4577FD15">
            <w:pPr>
              <w:numPr>
                <w:ilvl w:val="0"/>
                <w:numId w:val="5"/>
              </w:numPr>
              <w:spacing w:line="360" w:lineRule="auto"/>
              <w:ind w:right="-107" w:rightChars="-5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提供服务期内不发生任何食品安全事故的保证措施，得1分，内容存在明显错误则该小项不得分。</w:t>
            </w:r>
          </w:p>
          <w:p w14:paraId="3DD85A51">
            <w:pPr>
              <w:spacing w:line="360" w:lineRule="auto"/>
              <w:ind w:right="-107" w:rightChars="-5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（3）提供中标后投保“食品安全责任保险”或其他等效风险控制措施（例如：第三方质量担保等）的承诺书，且投保或担保金额不低于本项目预算金额，得3分，不提供，不得分。</w:t>
            </w:r>
          </w:p>
        </w:tc>
      </w:tr>
      <w:tr w14:paraId="7C8C4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503" w:type="dxa"/>
            <w:gridSpan w:val="2"/>
            <w:noWrap/>
            <w:vAlign w:val="center"/>
          </w:tcPr>
          <w:p w14:paraId="2A614278">
            <w:pPr>
              <w:spacing w:line="360" w:lineRule="auto"/>
              <w:ind w:left="36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w:t>
            </w:r>
          </w:p>
        </w:tc>
        <w:tc>
          <w:tcPr>
            <w:tcW w:w="709" w:type="dxa"/>
            <w:noWrap/>
            <w:vAlign w:val="center"/>
          </w:tcPr>
          <w:p w14:paraId="3E44CE4C">
            <w:pPr>
              <w:spacing w:line="360" w:lineRule="auto"/>
              <w:ind w:left="-124" w:leftChars="-59" w:right="-90" w:rightChars="-4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100分</w:t>
            </w:r>
          </w:p>
        </w:tc>
        <w:tc>
          <w:tcPr>
            <w:tcW w:w="6899" w:type="dxa"/>
            <w:noWrap/>
            <w:vAlign w:val="center"/>
          </w:tcPr>
          <w:p w14:paraId="2F319F3B">
            <w:pPr>
              <w:spacing w:line="360" w:lineRule="auto"/>
              <w:ind w:left="360"/>
              <w:jc w:val="center"/>
              <w:rPr>
                <w:rFonts w:hint="eastAsia" w:ascii="宋体" w:hAnsi="宋体" w:eastAsia="宋体" w:cs="宋体"/>
                <w:color w:val="auto"/>
                <w:sz w:val="24"/>
                <w:szCs w:val="24"/>
                <w:highlight w:val="none"/>
              </w:rPr>
            </w:pPr>
          </w:p>
        </w:tc>
      </w:tr>
    </w:tbl>
    <w:p w14:paraId="5CAD6CA5">
      <w:pPr>
        <w:numPr>
          <w:ilvl w:val="1"/>
          <w:numId w:val="0"/>
        </w:numPr>
        <w:bidi w:val="0"/>
        <w:ind w:left="-402" w:leftChars="0" w:firstLine="402" w:firstLineChars="0"/>
        <w:outlineLvl w:val="9"/>
        <w:rPr>
          <w:rFonts w:hint="eastAsia" w:ascii="宋体" w:hAnsi="宋体" w:eastAsia="宋体" w:cs="宋体"/>
          <w:b/>
          <w:bCs/>
          <w:kern w:val="2"/>
          <w:sz w:val="30"/>
          <w:szCs w:val="30"/>
          <w:highlight w:val="none"/>
          <w:lang w:val="en-US" w:eastAsia="zh-CN" w:bidi="ar-SA"/>
        </w:rPr>
      </w:pPr>
    </w:p>
    <w:bookmarkEnd w:id="142"/>
    <w:p w14:paraId="161FA273">
      <w:pPr>
        <w:rPr>
          <w:rFonts w:hint="eastAsia" w:ascii="宋体" w:hAnsi="宋体" w:eastAsia="宋体" w:cs="宋体"/>
          <w:highlight w:val="none"/>
        </w:rPr>
      </w:pPr>
      <w:r>
        <w:rPr>
          <w:rFonts w:hint="eastAsia" w:ascii="宋体" w:hAnsi="宋体" w:eastAsia="宋体" w:cs="宋体"/>
          <w:highlight w:val="none"/>
        </w:rPr>
        <w:br w:type="page"/>
      </w:r>
    </w:p>
    <w:bookmarkEnd w:id="143"/>
    <w:bookmarkEnd w:id="144"/>
    <w:p w14:paraId="1FB5D9F1">
      <w:pPr>
        <w:pStyle w:val="13"/>
        <w:pageBreakBefore/>
        <w:spacing w:before="140" w:line="360" w:lineRule="auto"/>
        <w:jc w:val="center"/>
        <w:outlineLvl w:val="0"/>
        <w:rPr>
          <w:rFonts w:ascii="宋体" w:hAnsi="宋体" w:eastAsia="宋体" w:cs="宋体"/>
          <w:b/>
          <w:bCs/>
          <w:color w:val="auto"/>
          <w:spacing w:val="4"/>
          <w:sz w:val="30"/>
          <w:szCs w:val="30"/>
          <w:highlight w:val="none"/>
          <w:lang w:eastAsia="zh-CN"/>
        </w:rPr>
      </w:pPr>
      <w:bookmarkStart w:id="145" w:name="_Toc22784"/>
      <w:bookmarkStart w:id="146" w:name="_Toc17026"/>
      <w:r>
        <w:rPr>
          <w:rFonts w:hint="eastAsia" w:ascii="宋体" w:hAnsi="宋体" w:eastAsia="宋体" w:cs="宋体"/>
          <w:b/>
          <w:bCs/>
          <w:color w:val="auto"/>
          <w:spacing w:val="4"/>
          <w:sz w:val="30"/>
          <w:szCs w:val="30"/>
          <w:highlight w:val="none"/>
          <w:lang w:eastAsia="zh-CN"/>
        </w:rPr>
        <w:t>第</w:t>
      </w:r>
      <w:r>
        <w:rPr>
          <w:rFonts w:hint="eastAsia" w:ascii="宋体" w:hAnsi="宋体" w:eastAsia="宋体" w:cs="宋体"/>
          <w:b/>
          <w:bCs/>
          <w:color w:val="auto"/>
          <w:spacing w:val="4"/>
          <w:sz w:val="30"/>
          <w:szCs w:val="30"/>
          <w:highlight w:val="none"/>
          <w:lang w:val="en-US" w:eastAsia="zh-CN"/>
        </w:rPr>
        <w:t>八</w:t>
      </w:r>
      <w:r>
        <w:rPr>
          <w:rFonts w:hint="eastAsia" w:ascii="宋体" w:hAnsi="宋体" w:eastAsia="宋体" w:cs="宋体"/>
          <w:b/>
          <w:bCs/>
          <w:color w:val="auto"/>
          <w:spacing w:val="4"/>
          <w:sz w:val="30"/>
          <w:szCs w:val="30"/>
          <w:highlight w:val="none"/>
          <w:lang w:eastAsia="zh-CN"/>
        </w:rPr>
        <w:t>章</w:t>
      </w:r>
      <w:r>
        <w:rPr>
          <w:rFonts w:hint="eastAsia" w:ascii="宋体" w:hAnsi="宋体" w:eastAsia="宋体" w:cs="宋体"/>
          <w:b/>
          <w:bCs/>
          <w:color w:val="auto"/>
          <w:spacing w:val="4"/>
          <w:sz w:val="30"/>
          <w:szCs w:val="30"/>
          <w:highlight w:val="none"/>
          <w:lang w:val="en-US" w:eastAsia="zh-CN"/>
        </w:rPr>
        <w:t xml:space="preserve"> </w:t>
      </w:r>
      <w:r>
        <w:rPr>
          <w:rFonts w:hint="eastAsia" w:ascii="宋体" w:hAnsi="宋体" w:eastAsia="宋体" w:cs="宋体"/>
          <w:b/>
          <w:bCs/>
          <w:color w:val="auto"/>
          <w:spacing w:val="4"/>
          <w:sz w:val="30"/>
          <w:szCs w:val="30"/>
          <w:highlight w:val="none"/>
          <w:lang w:eastAsia="zh-CN"/>
        </w:rPr>
        <w:t>投标文件格式</w:t>
      </w:r>
      <w:bookmarkEnd w:id="145"/>
      <w:bookmarkEnd w:id="146"/>
    </w:p>
    <w:p w14:paraId="61870790">
      <w:pPr>
        <w:spacing w:line="360" w:lineRule="auto"/>
        <w:rPr>
          <w:rFonts w:ascii="宋体" w:hAnsi="宋体" w:eastAsia="宋体" w:cs="宋体"/>
          <w:color w:val="auto"/>
          <w:highlight w:val="none"/>
          <w:lang w:eastAsia="zh-CN"/>
        </w:rPr>
      </w:pPr>
    </w:p>
    <w:p w14:paraId="050E14E4">
      <w:pPr>
        <w:spacing w:before="78" w:line="360" w:lineRule="auto"/>
        <w:ind w:left="502"/>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封面：</w:t>
      </w:r>
    </w:p>
    <w:p w14:paraId="557E28AD">
      <w:pPr>
        <w:spacing w:line="360" w:lineRule="auto"/>
        <w:rPr>
          <w:rFonts w:ascii="宋体" w:hAnsi="宋体" w:eastAsia="宋体" w:cs="宋体"/>
          <w:color w:val="auto"/>
          <w:highlight w:val="none"/>
          <w:lang w:eastAsia="zh-CN"/>
        </w:rPr>
      </w:pPr>
    </w:p>
    <w:p w14:paraId="29774B94">
      <w:pPr>
        <w:spacing w:before="270" w:line="360" w:lineRule="auto"/>
        <w:ind w:right="-1"/>
        <w:jc w:val="center"/>
        <w:rPr>
          <w:rFonts w:ascii="宋体" w:hAnsi="宋体" w:eastAsia="宋体" w:cs="宋体"/>
          <w:b/>
          <w:bCs/>
          <w:color w:val="auto"/>
          <w:spacing w:val="-36"/>
          <w:sz w:val="83"/>
          <w:szCs w:val="83"/>
          <w:highlight w:val="none"/>
          <w:lang w:eastAsia="zh-CN"/>
        </w:rPr>
      </w:pPr>
      <w:r>
        <w:rPr>
          <w:rFonts w:hint="eastAsia" w:ascii="宋体" w:hAnsi="宋体" w:eastAsia="宋体" w:cs="宋体"/>
          <w:b/>
          <w:bCs/>
          <w:color w:val="auto"/>
          <w:spacing w:val="-36"/>
          <w:sz w:val="83"/>
          <w:szCs w:val="83"/>
          <w:highlight w:val="none"/>
          <w:lang w:eastAsia="zh-CN"/>
        </w:rPr>
        <w:t>投标文件</w:t>
      </w:r>
    </w:p>
    <w:p w14:paraId="2D37101A">
      <w:pPr>
        <w:spacing w:before="270" w:line="360" w:lineRule="auto"/>
        <w:ind w:right="-1"/>
        <w:jc w:val="center"/>
        <w:rPr>
          <w:rFonts w:ascii="宋体" w:hAnsi="宋体" w:eastAsia="宋体" w:cs="宋体"/>
          <w:b/>
          <w:bCs/>
          <w:color w:val="auto"/>
          <w:spacing w:val="-36"/>
          <w:sz w:val="56"/>
          <w:szCs w:val="56"/>
          <w:highlight w:val="none"/>
          <w:lang w:eastAsia="zh-CN"/>
        </w:rPr>
      </w:pPr>
      <w:r>
        <w:rPr>
          <w:rFonts w:hint="eastAsia" w:ascii="宋体" w:hAnsi="宋体" w:eastAsia="宋体" w:cs="宋体"/>
          <w:b/>
          <w:bCs/>
          <w:color w:val="auto"/>
          <w:spacing w:val="-36"/>
          <w:sz w:val="56"/>
          <w:szCs w:val="56"/>
          <w:highlight w:val="none"/>
          <w:lang w:eastAsia="zh-CN"/>
        </w:rPr>
        <w:t>资格证明文件</w:t>
      </w:r>
    </w:p>
    <w:p w14:paraId="4CA112D4">
      <w:pPr>
        <w:spacing w:line="360" w:lineRule="auto"/>
        <w:rPr>
          <w:rFonts w:ascii="宋体" w:hAnsi="宋体" w:eastAsia="宋体" w:cs="宋体"/>
          <w:color w:val="auto"/>
          <w:highlight w:val="none"/>
          <w:lang w:eastAsia="zh-CN"/>
        </w:rPr>
      </w:pPr>
    </w:p>
    <w:p w14:paraId="1AB2FA98">
      <w:pPr>
        <w:spacing w:before="114" w:line="360" w:lineRule="auto"/>
        <w:ind w:left="1134"/>
        <w:rPr>
          <w:rFonts w:ascii="宋体" w:hAnsi="宋体" w:eastAsia="宋体" w:cs="宋体"/>
          <w:color w:val="auto"/>
          <w:sz w:val="35"/>
          <w:szCs w:val="35"/>
          <w:highlight w:val="none"/>
          <w:lang w:eastAsia="zh-CN"/>
        </w:rPr>
      </w:pPr>
      <w:r>
        <w:rPr>
          <w:rFonts w:hint="eastAsia" w:ascii="宋体" w:hAnsi="宋体" w:eastAsia="宋体" w:cs="宋体"/>
          <w:color w:val="auto"/>
          <w:spacing w:val="8"/>
          <w:sz w:val="35"/>
          <w:szCs w:val="35"/>
          <w:highlight w:val="none"/>
          <w:lang w:eastAsia="zh-CN"/>
        </w:rPr>
        <w:t>（第</w:t>
      </w:r>
      <w:r>
        <w:rPr>
          <w:rFonts w:hint="eastAsia" w:ascii="宋体" w:hAnsi="宋体" w:eastAsia="宋体" w:cs="宋体"/>
          <w:color w:val="auto"/>
          <w:sz w:val="35"/>
          <w:szCs w:val="35"/>
          <w:highlight w:val="none"/>
          <w:lang w:eastAsia="zh-CN"/>
        </w:rPr>
        <w:t>XX</w:t>
      </w:r>
      <w:r>
        <w:rPr>
          <w:rFonts w:hint="eastAsia" w:ascii="宋体" w:hAnsi="宋体" w:eastAsia="宋体" w:cs="宋体"/>
          <w:color w:val="auto"/>
          <w:spacing w:val="8"/>
          <w:sz w:val="35"/>
          <w:szCs w:val="35"/>
          <w:highlight w:val="none"/>
          <w:lang w:eastAsia="zh-CN"/>
        </w:rPr>
        <w:t>包）【如不分包，请删去本行】</w:t>
      </w:r>
    </w:p>
    <w:p w14:paraId="455CAE4B">
      <w:pPr>
        <w:spacing w:line="360" w:lineRule="auto"/>
        <w:rPr>
          <w:rFonts w:ascii="宋体" w:hAnsi="宋体" w:eastAsia="宋体" w:cs="宋体"/>
          <w:color w:val="auto"/>
          <w:highlight w:val="none"/>
          <w:lang w:eastAsia="zh-CN"/>
        </w:rPr>
      </w:pPr>
    </w:p>
    <w:p w14:paraId="255BCF28">
      <w:pPr>
        <w:spacing w:line="360" w:lineRule="auto"/>
        <w:rPr>
          <w:rFonts w:ascii="宋体" w:hAnsi="宋体" w:eastAsia="宋体" w:cs="宋体"/>
          <w:color w:val="auto"/>
          <w:highlight w:val="none"/>
          <w:lang w:eastAsia="zh-CN"/>
        </w:rPr>
      </w:pPr>
    </w:p>
    <w:p w14:paraId="1C5CBD13">
      <w:pPr>
        <w:spacing w:line="360" w:lineRule="auto"/>
        <w:rPr>
          <w:rFonts w:ascii="宋体" w:hAnsi="宋体" w:eastAsia="宋体" w:cs="宋体"/>
          <w:color w:val="auto"/>
          <w:highlight w:val="none"/>
          <w:lang w:eastAsia="zh-CN"/>
        </w:rPr>
      </w:pPr>
    </w:p>
    <w:p w14:paraId="0EED3911">
      <w:pPr>
        <w:spacing w:line="360" w:lineRule="auto"/>
        <w:rPr>
          <w:rFonts w:ascii="宋体" w:hAnsi="宋体" w:eastAsia="宋体" w:cs="宋体"/>
          <w:color w:val="auto"/>
          <w:highlight w:val="none"/>
          <w:lang w:eastAsia="zh-CN"/>
        </w:rPr>
      </w:pPr>
    </w:p>
    <w:p w14:paraId="265CFE55">
      <w:pPr>
        <w:spacing w:line="360" w:lineRule="auto"/>
        <w:rPr>
          <w:rFonts w:ascii="宋体" w:hAnsi="宋体" w:eastAsia="宋体" w:cs="宋体"/>
          <w:color w:val="auto"/>
          <w:highlight w:val="none"/>
          <w:lang w:eastAsia="zh-CN"/>
        </w:rPr>
      </w:pPr>
    </w:p>
    <w:p w14:paraId="5CD3C953">
      <w:pPr>
        <w:spacing w:line="360" w:lineRule="auto"/>
        <w:rPr>
          <w:rFonts w:ascii="宋体" w:hAnsi="宋体" w:eastAsia="宋体" w:cs="宋体"/>
          <w:color w:val="auto"/>
          <w:highlight w:val="none"/>
          <w:lang w:eastAsia="zh-CN"/>
        </w:rPr>
      </w:pPr>
    </w:p>
    <w:p w14:paraId="26FF6AA1">
      <w:pPr>
        <w:spacing w:line="360" w:lineRule="auto"/>
        <w:rPr>
          <w:rFonts w:ascii="宋体" w:hAnsi="宋体" w:eastAsia="宋体" w:cs="宋体"/>
          <w:color w:val="auto"/>
          <w:highlight w:val="none"/>
          <w:lang w:eastAsia="zh-CN"/>
        </w:rPr>
      </w:pPr>
    </w:p>
    <w:p w14:paraId="0883DAD6">
      <w:pPr>
        <w:spacing w:line="360" w:lineRule="auto"/>
        <w:rPr>
          <w:rFonts w:ascii="宋体" w:hAnsi="宋体" w:eastAsia="宋体" w:cs="宋体"/>
          <w:color w:val="auto"/>
          <w:highlight w:val="none"/>
          <w:lang w:eastAsia="zh-CN"/>
        </w:rPr>
      </w:pPr>
    </w:p>
    <w:p w14:paraId="1ECB91F7">
      <w:pPr>
        <w:pStyle w:val="13"/>
        <w:tabs>
          <w:tab w:val="left" w:pos="8364"/>
        </w:tabs>
        <w:spacing w:before="101" w:line="360" w:lineRule="auto"/>
        <w:ind w:left="443" w:right="14" w:firstLine="2"/>
        <w:jc w:val="both"/>
        <w:rPr>
          <w:rFonts w:ascii="宋体" w:hAnsi="宋体" w:eastAsia="宋体" w:cs="宋体"/>
          <w:color w:val="auto"/>
          <w:highlight w:val="none"/>
          <w:u w:val="single"/>
          <w:lang w:eastAsia="zh-CN"/>
        </w:rPr>
      </w:pPr>
      <w:r>
        <w:rPr>
          <w:rFonts w:hint="eastAsia" w:ascii="宋体" w:hAnsi="宋体" w:eastAsia="宋体" w:cs="宋体"/>
          <w:color w:val="auto"/>
          <w:spacing w:val="5"/>
          <w:highlight w:val="none"/>
          <w:lang w:eastAsia="zh-CN"/>
        </w:rPr>
        <w:t>项目编号：</w:t>
      </w:r>
      <w:r>
        <w:rPr>
          <w:rFonts w:hint="eastAsia" w:ascii="宋体" w:hAnsi="宋体" w:eastAsia="宋体" w:cs="宋体"/>
          <w:color w:val="auto"/>
          <w:highlight w:val="none"/>
          <w:u w:val="single"/>
          <w:lang w:eastAsia="zh-CN"/>
        </w:rPr>
        <w:tab/>
      </w:r>
    </w:p>
    <w:p w14:paraId="7FF0D963">
      <w:pPr>
        <w:pStyle w:val="13"/>
        <w:tabs>
          <w:tab w:val="left" w:pos="8364"/>
        </w:tabs>
        <w:spacing w:before="101" w:line="360" w:lineRule="auto"/>
        <w:ind w:left="443" w:right="14" w:firstLine="2"/>
        <w:jc w:val="both"/>
        <w:rPr>
          <w:rFonts w:ascii="宋体" w:hAnsi="宋体" w:eastAsia="宋体" w:cs="宋体"/>
          <w:color w:val="auto"/>
          <w:highlight w:val="none"/>
          <w:u w:val="single"/>
          <w:lang w:eastAsia="zh-CN"/>
        </w:rPr>
      </w:pPr>
      <w:r>
        <w:rPr>
          <w:rFonts w:hint="eastAsia" w:ascii="宋体" w:hAnsi="宋体" w:eastAsia="宋体" w:cs="宋体"/>
          <w:color w:val="auto"/>
          <w:spacing w:val="5"/>
          <w:highlight w:val="none"/>
          <w:lang w:eastAsia="zh-CN"/>
        </w:rPr>
        <w:t>项目名称：</w:t>
      </w:r>
      <w:r>
        <w:rPr>
          <w:rFonts w:hint="eastAsia" w:ascii="宋体" w:hAnsi="宋体" w:eastAsia="宋体" w:cs="宋体"/>
          <w:color w:val="auto"/>
          <w:highlight w:val="none"/>
          <w:u w:val="single"/>
          <w:lang w:eastAsia="zh-CN"/>
        </w:rPr>
        <w:tab/>
      </w:r>
    </w:p>
    <w:p w14:paraId="037EDD11">
      <w:pPr>
        <w:pStyle w:val="13"/>
        <w:tabs>
          <w:tab w:val="left" w:pos="8364"/>
        </w:tabs>
        <w:spacing w:before="101" w:line="360" w:lineRule="auto"/>
        <w:ind w:left="443" w:right="14" w:firstLine="2"/>
        <w:jc w:val="both"/>
        <w:rPr>
          <w:rFonts w:ascii="宋体" w:hAnsi="宋体" w:eastAsia="宋体" w:cs="宋体"/>
          <w:color w:val="auto"/>
          <w:highlight w:val="none"/>
          <w:lang w:eastAsia="zh-CN"/>
        </w:rPr>
      </w:pPr>
      <w:r>
        <w:rPr>
          <w:rFonts w:hint="eastAsia" w:ascii="宋体" w:hAnsi="宋体" w:eastAsia="宋体" w:cs="宋体"/>
          <w:color w:val="auto"/>
          <w:spacing w:val="3"/>
          <w:highlight w:val="none"/>
          <w:lang w:eastAsia="zh-CN"/>
        </w:rPr>
        <w:t>投标人：</w:t>
      </w:r>
      <w:r>
        <w:rPr>
          <w:rFonts w:hint="eastAsia" w:ascii="宋体" w:hAnsi="宋体" w:eastAsia="宋体" w:cs="宋体"/>
          <w:color w:val="auto"/>
          <w:highlight w:val="none"/>
          <w:u w:val="single"/>
          <w:lang w:eastAsia="zh-CN"/>
        </w:rPr>
        <w:tab/>
      </w:r>
    </w:p>
    <w:p w14:paraId="1F2DC533">
      <w:pPr>
        <w:spacing w:line="360" w:lineRule="auto"/>
        <w:rPr>
          <w:rFonts w:ascii="宋体" w:hAnsi="宋体" w:eastAsia="宋体" w:cs="宋体"/>
          <w:color w:val="auto"/>
          <w:highlight w:val="none"/>
          <w:lang w:eastAsia="zh-CN"/>
        </w:rPr>
      </w:pPr>
    </w:p>
    <w:p w14:paraId="6CEB0FD4">
      <w:pPr>
        <w:pStyle w:val="13"/>
        <w:spacing w:before="100" w:line="360" w:lineRule="auto"/>
        <w:ind w:left="3140" w:firstLine="228" w:firstLineChars="100"/>
        <w:rPr>
          <w:rFonts w:ascii="宋体" w:hAnsi="宋体" w:eastAsia="宋体" w:cs="宋体"/>
          <w:color w:val="auto"/>
          <w:highlight w:val="none"/>
          <w:lang w:eastAsia="zh-CN"/>
        </w:rPr>
      </w:pPr>
      <w:r>
        <w:rPr>
          <w:rFonts w:hint="eastAsia" w:ascii="宋体" w:hAnsi="宋体" w:eastAsia="宋体" w:cs="宋体"/>
          <w:color w:val="auto"/>
          <w:spacing w:val="-6"/>
          <w:highlight w:val="none"/>
          <w:lang w:eastAsia="zh-CN"/>
        </w:rPr>
        <w:t>年  月  日</w:t>
      </w:r>
    </w:p>
    <w:p w14:paraId="60DF0CE7">
      <w:pPr>
        <w:spacing w:line="360" w:lineRule="auto"/>
        <w:rPr>
          <w:rFonts w:ascii="宋体" w:hAnsi="宋体" w:eastAsia="宋体" w:cs="宋体"/>
          <w:color w:val="auto"/>
          <w:highlight w:val="none"/>
          <w:lang w:eastAsia="zh-CN"/>
        </w:rPr>
      </w:pPr>
    </w:p>
    <w:p w14:paraId="782D57F9">
      <w:pPr>
        <w:pageBreakBefore/>
        <w:spacing w:line="360" w:lineRule="auto"/>
        <w:ind w:left="28"/>
        <w:outlineLvl w:val="1"/>
        <w:rPr>
          <w:rFonts w:ascii="宋体" w:hAnsi="宋体" w:eastAsia="宋体" w:cs="宋体"/>
          <w:color w:val="auto"/>
          <w:sz w:val="31"/>
          <w:szCs w:val="31"/>
          <w:highlight w:val="none"/>
          <w:lang w:eastAsia="zh-CN"/>
        </w:rPr>
      </w:pPr>
      <w:bookmarkStart w:id="147" w:name="bookmark228"/>
      <w:bookmarkEnd w:id="147"/>
      <w:bookmarkStart w:id="148" w:name="bookmark237"/>
      <w:bookmarkEnd w:id="148"/>
      <w:bookmarkStart w:id="149" w:name="bookmark229"/>
      <w:bookmarkEnd w:id="149"/>
      <w:bookmarkStart w:id="150" w:name="bookmark231"/>
      <w:bookmarkEnd w:id="150"/>
      <w:bookmarkStart w:id="151" w:name="_Toc22475"/>
      <w:bookmarkStart w:id="152" w:name="_Toc186477791"/>
      <w:r>
        <w:rPr>
          <w:rFonts w:hint="eastAsia" w:ascii="宋体" w:hAnsi="宋体" w:eastAsia="宋体" w:cs="宋体"/>
          <w:b/>
          <w:bCs/>
          <w:color w:val="auto"/>
          <w:spacing w:val="7"/>
          <w:sz w:val="31"/>
          <w:szCs w:val="31"/>
          <w:highlight w:val="none"/>
          <w:lang w:eastAsia="zh-CN"/>
        </w:rPr>
        <w:t>一、满足《中华人民共和国政府采购法》第二十二条规定</w:t>
      </w:r>
      <w:bookmarkEnd w:id="151"/>
      <w:bookmarkEnd w:id="152"/>
    </w:p>
    <w:p w14:paraId="557E9C4F">
      <w:pPr>
        <w:spacing w:line="360" w:lineRule="auto"/>
        <w:rPr>
          <w:rFonts w:ascii="宋体" w:hAnsi="宋体" w:eastAsia="宋体" w:cs="宋体"/>
          <w:color w:val="auto"/>
          <w:highlight w:val="none"/>
          <w:lang w:eastAsia="zh-CN"/>
        </w:rPr>
      </w:pPr>
    </w:p>
    <w:p w14:paraId="2CF953C2">
      <w:pPr>
        <w:spacing w:line="360" w:lineRule="auto"/>
        <w:ind w:left="39"/>
        <w:outlineLvl w:val="2"/>
        <w:rPr>
          <w:rFonts w:ascii="宋体" w:hAnsi="宋体" w:eastAsia="宋体" w:cs="宋体"/>
          <w:color w:val="auto"/>
          <w:sz w:val="31"/>
          <w:szCs w:val="31"/>
          <w:highlight w:val="none"/>
          <w:lang w:eastAsia="zh-CN"/>
        </w:rPr>
      </w:pPr>
      <w:bookmarkStart w:id="153" w:name="bookmark232"/>
      <w:bookmarkEnd w:id="153"/>
      <w:bookmarkStart w:id="154" w:name="bookmark230"/>
      <w:bookmarkEnd w:id="154"/>
      <w:bookmarkStart w:id="155" w:name="_Toc1178"/>
      <w:bookmarkStart w:id="156" w:name="_Toc186477792"/>
      <w:r>
        <w:rPr>
          <w:rFonts w:hint="eastAsia" w:ascii="宋体" w:hAnsi="宋体" w:eastAsia="宋体" w:cs="宋体"/>
          <w:b/>
          <w:bCs/>
          <w:color w:val="auto"/>
          <w:spacing w:val="6"/>
          <w:sz w:val="31"/>
          <w:szCs w:val="31"/>
          <w:highlight w:val="none"/>
          <w:lang w:eastAsia="zh-CN"/>
        </w:rPr>
        <w:t>（一）法人、其他组织或者自然人的证明文件</w:t>
      </w:r>
      <w:bookmarkEnd w:id="155"/>
      <w:bookmarkEnd w:id="156"/>
    </w:p>
    <w:p w14:paraId="5191AB63">
      <w:pPr>
        <w:spacing w:line="360" w:lineRule="auto"/>
        <w:ind w:left="521"/>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1、投标人为企业（包括合伙企业）的，应提供有效的“营业执照”；</w:t>
      </w:r>
    </w:p>
    <w:p w14:paraId="19BACBAC">
      <w:pPr>
        <w:spacing w:line="360" w:lineRule="auto"/>
        <w:ind w:left="506"/>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2、投标人为事业单位的，应提供有效的“事业单位法人证书”；</w:t>
      </w:r>
    </w:p>
    <w:p w14:paraId="6628B990">
      <w:pPr>
        <w:spacing w:line="360" w:lineRule="auto"/>
        <w:ind w:left="25" w:firstLine="482"/>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3、投标人为非企业机构的，应提供有效的“执业许可证”、“登记证书”</w:t>
      </w:r>
      <w:r>
        <w:rPr>
          <w:rFonts w:hint="eastAsia" w:ascii="宋体" w:hAnsi="宋体" w:eastAsia="宋体" w:cs="宋体"/>
          <w:color w:val="auto"/>
          <w:spacing w:val="-2"/>
          <w:sz w:val="24"/>
          <w:szCs w:val="24"/>
          <w:highlight w:val="none"/>
          <w:lang w:eastAsia="zh-CN"/>
        </w:rPr>
        <w:t>等证明文件；</w:t>
      </w:r>
    </w:p>
    <w:p w14:paraId="0298D998">
      <w:pPr>
        <w:spacing w:line="360" w:lineRule="auto"/>
        <w:ind w:left="502"/>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4、投标人是个体工商户的，应提供有效的</w:t>
      </w:r>
      <w:r>
        <w:rPr>
          <w:rFonts w:hint="eastAsia" w:ascii="宋体" w:hAnsi="宋体" w:eastAsia="宋体" w:cs="宋体"/>
          <w:color w:val="auto"/>
          <w:spacing w:val="-1"/>
          <w:sz w:val="24"/>
          <w:szCs w:val="24"/>
          <w:highlight w:val="none"/>
          <w:lang w:eastAsia="zh-CN"/>
        </w:rPr>
        <w:t>“个体工商户营业执照”；</w:t>
      </w:r>
    </w:p>
    <w:p w14:paraId="14ABCF63">
      <w:pPr>
        <w:spacing w:line="360" w:lineRule="auto"/>
        <w:ind w:left="508"/>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5、投标人是自然人的，应提供有效的自然人身份证明。</w:t>
      </w:r>
    </w:p>
    <w:p w14:paraId="0950D329">
      <w:pPr>
        <w:pageBreakBefore/>
        <w:widowControl w:val="0"/>
        <w:spacing w:line="360" w:lineRule="auto"/>
        <w:rPr>
          <w:rFonts w:ascii="宋体" w:hAnsi="宋体" w:eastAsia="宋体" w:cs="宋体"/>
          <w:color w:val="auto"/>
          <w:highlight w:val="none"/>
          <w:lang w:eastAsia="zh-CN"/>
        </w:rPr>
      </w:pPr>
    </w:p>
    <w:p w14:paraId="3571F048">
      <w:pPr>
        <w:spacing w:line="360" w:lineRule="auto"/>
        <w:outlineLvl w:val="2"/>
        <w:rPr>
          <w:rFonts w:ascii="宋体" w:hAnsi="宋体" w:eastAsia="宋体" w:cs="宋体"/>
          <w:b/>
          <w:bCs/>
          <w:color w:val="auto"/>
          <w:spacing w:val="6"/>
          <w:sz w:val="31"/>
          <w:szCs w:val="31"/>
          <w:highlight w:val="none"/>
          <w:lang w:eastAsia="zh-CN"/>
        </w:rPr>
      </w:pPr>
      <w:bookmarkStart w:id="157" w:name="_Toc186477793"/>
      <w:bookmarkStart w:id="158" w:name="_Toc22412"/>
      <w:r>
        <w:rPr>
          <w:rFonts w:hint="eastAsia" w:ascii="宋体" w:hAnsi="宋体" w:eastAsia="宋体" w:cs="宋体"/>
          <w:b/>
          <w:bCs/>
          <w:color w:val="auto"/>
          <w:spacing w:val="6"/>
          <w:sz w:val="31"/>
          <w:szCs w:val="31"/>
          <w:highlight w:val="none"/>
          <w:lang w:eastAsia="zh-CN"/>
        </w:rPr>
        <w:t>（二）政府采购供应商信用承诺函</w:t>
      </w:r>
      <w:bookmarkEnd w:id="157"/>
      <w:bookmarkEnd w:id="158"/>
    </w:p>
    <w:p w14:paraId="36F734E3">
      <w:pPr>
        <w:spacing w:line="360" w:lineRule="auto"/>
        <w:ind w:left="39"/>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单位名称（自然人姓名</w:t>
      </w:r>
      <w:r>
        <w:rPr>
          <w:rFonts w:hint="eastAsia" w:ascii="宋体" w:hAnsi="宋体" w:eastAsia="宋体" w:cs="宋体"/>
          <w:color w:val="auto"/>
          <w:spacing w:val="3"/>
          <w:sz w:val="24"/>
          <w:szCs w:val="24"/>
          <w:highlight w:val="none"/>
          <w:lang w:eastAsia="zh-CN"/>
        </w:rPr>
        <w:t>）：</w:t>
      </w:r>
    </w:p>
    <w:p w14:paraId="1319A83B">
      <w:pPr>
        <w:spacing w:line="360" w:lineRule="auto"/>
        <w:ind w:left="39" w:right="4708"/>
        <w:rPr>
          <w:rFonts w:ascii="宋体" w:hAnsi="宋体" w:eastAsia="宋体" w:cs="宋体"/>
          <w:color w:val="auto"/>
          <w:spacing w:val="-25"/>
          <w:sz w:val="24"/>
          <w:szCs w:val="24"/>
          <w:highlight w:val="none"/>
          <w:lang w:eastAsia="zh-CN"/>
        </w:rPr>
      </w:pPr>
      <w:r>
        <w:rPr>
          <w:rFonts w:hint="eastAsia" w:ascii="宋体" w:hAnsi="宋体" w:eastAsia="宋体" w:cs="宋体"/>
          <w:color w:val="auto"/>
          <w:spacing w:val="-2"/>
          <w:sz w:val="24"/>
          <w:szCs w:val="24"/>
          <w:highlight w:val="none"/>
          <w:lang w:eastAsia="zh-CN"/>
        </w:rPr>
        <w:t>统一社会信用代码（身份证号码</w:t>
      </w:r>
      <w:r>
        <w:rPr>
          <w:rFonts w:hint="eastAsia" w:ascii="宋体" w:hAnsi="宋体" w:eastAsia="宋体" w:cs="宋体"/>
          <w:color w:val="auto"/>
          <w:spacing w:val="-25"/>
          <w:sz w:val="24"/>
          <w:szCs w:val="24"/>
          <w:highlight w:val="none"/>
          <w:lang w:eastAsia="zh-CN"/>
        </w:rPr>
        <w:t>）：</w:t>
      </w:r>
    </w:p>
    <w:p w14:paraId="6852FFAA">
      <w:pPr>
        <w:spacing w:line="360" w:lineRule="auto"/>
        <w:ind w:left="39" w:right="4708"/>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法定代表人（负责人</w:t>
      </w:r>
      <w:r>
        <w:rPr>
          <w:rFonts w:hint="eastAsia" w:ascii="宋体" w:hAnsi="宋体" w:eastAsia="宋体" w:cs="宋体"/>
          <w:color w:val="auto"/>
          <w:spacing w:val="3"/>
          <w:sz w:val="24"/>
          <w:szCs w:val="24"/>
          <w:highlight w:val="none"/>
          <w:lang w:eastAsia="zh-CN"/>
        </w:rPr>
        <w:t>）：</w:t>
      </w:r>
    </w:p>
    <w:p w14:paraId="54AEF59C">
      <w:pPr>
        <w:spacing w:before="78" w:line="360" w:lineRule="auto"/>
        <w:ind w:left="40" w:leftChars="19" w:right="181" w:firstLine="458" w:firstLineChars="196"/>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我单位（本人）自愿参加本次政府采购活动，严格遵守《中</w:t>
      </w:r>
      <w:r>
        <w:rPr>
          <w:rFonts w:hint="eastAsia" w:ascii="宋体" w:hAnsi="宋体" w:eastAsia="宋体" w:cs="宋体"/>
          <w:color w:val="auto"/>
          <w:spacing w:val="-4"/>
          <w:sz w:val="24"/>
          <w:szCs w:val="24"/>
          <w:highlight w:val="none"/>
          <w:lang w:eastAsia="zh-CN"/>
        </w:rPr>
        <w:t>华人民共和国政</w:t>
      </w:r>
      <w:r>
        <w:rPr>
          <w:rFonts w:hint="eastAsia" w:ascii="宋体" w:hAnsi="宋体" w:eastAsia="宋体" w:cs="宋体"/>
          <w:color w:val="auto"/>
          <w:spacing w:val="-3"/>
          <w:sz w:val="24"/>
          <w:szCs w:val="24"/>
          <w:highlight w:val="none"/>
          <w:lang w:eastAsia="zh-CN"/>
        </w:rPr>
        <w:t>府采购法》及相关法律法规，坚守公开、公平、公正和诚实信用等原则，依法诚</w:t>
      </w:r>
      <w:r>
        <w:rPr>
          <w:rFonts w:hint="eastAsia" w:ascii="宋体" w:hAnsi="宋体" w:eastAsia="宋体" w:cs="宋体"/>
          <w:color w:val="auto"/>
          <w:spacing w:val="-1"/>
          <w:sz w:val="24"/>
          <w:szCs w:val="24"/>
          <w:highlight w:val="none"/>
          <w:lang w:eastAsia="zh-CN"/>
        </w:rPr>
        <w:t>信经营，并郑重承诺：</w:t>
      </w:r>
    </w:p>
    <w:p w14:paraId="731554D4">
      <w:pPr>
        <w:spacing w:line="360" w:lineRule="auto"/>
        <w:ind w:left="39"/>
        <w:rPr>
          <w:rFonts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一、我单位（本人）符合《中华人民共和国政府采购法》第二十二条规定：</w:t>
      </w:r>
    </w:p>
    <w:p w14:paraId="68BEB01C">
      <w:pPr>
        <w:spacing w:line="360" w:lineRule="auto"/>
        <w:ind w:left="39"/>
        <w:rPr>
          <w:rFonts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（一）具有独立承担民事责任的能力;</w:t>
      </w:r>
    </w:p>
    <w:p w14:paraId="1A8390C6">
      <w:pPr>
        <w:spacing w:line="360" w:lineRule="auto"/>
        <w:ind w:left="39"/>
        <w:rPr>
          <w:rFonts w:ascii="宋体" w:hAnsi="宋体" w:eastAsia="宋体" w:cs="宋体"/>
          <w:color w:val="auto"/>
          <w:spacing w:val="-2"/>
          <w:sz w:val="24"/>
          <w:szCs w:val="24"/>
          <w:highlight w:val="none"/>
          <w:lang w:eastAsia="zh-CN"/>
        </w:rPr>
      </w:pPr>
      <w:bookmarkStart w:id="159" w:name="bookmark235"/>
      <w:bookmarkEnd w:id="159"/>
      <w:bookmarkStart w:id="160" w:name="bookmark240"/>
      <w:bookmarkEnd w:id="160"/>
      <w:bookmarkStart w:id="161" w:name="_Toc24591"/>
      <w:bookmarkStart w:id="162" w:name="_Toc186477799"/>
      <w:r>
        <w:rPr>
          <w:rFonts w:hint="eastAsia" w:ascii="宋体" w:hAnsi="宋体" w:eastAsia="宋体" w:cs="宋体"/>
          <w:color w:val="auto"/>
          <w:spacing w:val="-2"/>
          <w:sz w:val="24"/>
          <w:szCs w:val="24"/>
          <w:highlight w:val="none"/>
          <w:lang w:eastAsia="zh-CN"/>
        </w:rPr>
        <w:t>（二）具有良好的商业信誉和健全的财务会计制度;</w:t>
      </w:r>
    </w:p>
    <w:p w14:paraId="79204C39">
      <w:pPr>
        <w:spacing w:line="360" w:lineRule="auto"/>
        <w:ind w:left="39"/>
        <w:rPr>
          <w:rFonts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（三）具有履行合同所必需的设备和专业技术能力;</w:t>
      </w:r>
    </w:p>
    <w:p w14:paraId="1544D669">
      <w:pPr>
        <w:spacing w:line="360" w:lineRule="auto"/>
        <w:ind w:left="39"/>
        <w:rPr>
          <w:rFonts w:ascii="宋体" w:hAnsi="宋体" w:eastAsia="宋体" w:cs="宋体"/>
          <w:b/>
          <w:bCs/>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（四）有依法缴纳税收和社会保障资金的良好记录;</w:t>
      </w:r>
    </w:p>
    <w:p w14:paraId="08EE8CB2">
      <w:pPr>
        <w:spacing w:line="360" w:lineRule="auto"/>
        <w:ind w:left="39"/>
        <w:rPr>
          <w:rFonts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（五）参加政府采购活动前三年内，在经营活动中没有重大违法记录;</w:t>
      </w:r>
    </w:p>
    <w:p w14:paraId="7935BB8B">
      <w:pPr>
        <w:spacing w:line="360" w:lineRule="auto"/>
        <w:ind w:left="39"/>
        <w:rPr>
          <w:rFonts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（六）符合法律、行政法规规定的其他条件。</w:t>
      </w:r>
    </w:p>
    <w:p w14:paraId="4EBAF409">
      <w:pPr>
        <w:spacing w:line="360" w:lineRule="auto"/>
        <w:ind w:left="39"/>
        <w:rPr>
          <w:rFonts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二、我单位（本人）未被列入严重违法失信名单、失信被执行人名单、重大税收违法失信主体、政府采购严重违法失信行为记录名单。</w:t>
      </w:r>
    </w:p>
    <w:p w14:paraId="352B35C4">
      <w:pPr>
        <w:spacing w:line="360" w:lineRule="auto"/>
        <w:ind w:left="39"/>
        <w:rPr>
          <w:rFonts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三、如果本公司（本人）有幸中标（成交），在合同签订之前，采购单位有权要求本公司（本人）提供资格证明材料原件进行核验。</w:t>
      </w:r>
    </w:p>
    <w:p w14:paraId="360F241F">
      <w:pPr>
        <w:spacing w:line="360" w:lineRule="auto"/>
        <w:ind w:left="39"/>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四、我单位（本人）保证上述承诺事项的真实性。如有弄虚作假或其他违法违规行为，自愿按照规定将违背承诺行为作为失信行为记录到社会信用信息平台，并视同为“提供虚假材料谋取中标、成交”按照《中华人民共和国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528DA3B8">
      <w:pPr>
        <w:spacing w:before="78" w:line="360" w:lineRule="auto"/>
        <w:ind w:left="39"/>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供应商名称（公章</w:t>
      </w:r>
      <w:r>
        <w:rPr>
          <w:rFonts w:hint="eastAsia" w:ascii="宋体" w:hAnsi="宋体" w:eastAsia="宋体" w:cs="宋体"/>
          <w:color w:val="auto"/>
          <w:spacing w:val="2"/>
          <w:sz w:val="24"/>
          <w:szCs w:val="24"/>
          <w:highlight w:val="none"/>
          <w:lang w:eastAsia="zh-CN"/>
        </w:rPr>
        <w:t>）：</w:t>
      </w:r>
    </w:p>
    <w:p w14:paraId="2F82704D">
      <w:pPr>
        <w:spacing w:line="360" w:lineRule="auto"/>
        <w:ind w:left="39" w:right="2206"/>
        <w:rPr>
          <w:rFonts w:ascii="宋体" w:hAnsi="宋体" w:eastAsia="宋体" w:cs="宋体"/>
          <w:color w:val="auto"/>
          <w:spacing w:val="-24"/>
          <w:sz w:val="24"/>
          <w:szCs w:val="24"/>
          <w:highlight w:val="none"/>
          <w:lang w:eastAsia="zh-CN"/>
        </w:rPr>
      </w:pPr>
      <w:r>
        <w:rPr>
          <w:rFonts w:hint="eastAsia" w:ascii="宋体" w:hAnsi="宋体" w:eastAsia="宋体" w:cs="宋体"/>
          <w:color w:val="auto"/>
          <w:spacing w:val="-1"/>
          <w:sz w:val="24"/>
          <w:szCs w:val="24"/>
          <w:highlight w:val="none"/>
          <w:lang w:eastAsia="zh-CN"/>
        </w:rPr>
        <w:t>法定代表人、负责人、本人、或授权代表（签字或盖章</w:t>
      </w:r>
      <w:r>
        <w:rPr>
          <w:rFonts w:hint="eastAsia" w:ascii="宋体" w:hAnsi="宋体" w:eastAsia="宋体" w:cs="宋体"/>
          <w:color w:val="auto"/>
          <w:spacing w:val="-24"/>
          <w:sz w:val="24"/>
          <w:szCs w:val="24"/>
          <w:highlight w:val="none"/>
          <w:lang w:eastAsia="zh-CN"/>
        </w:rPr>
        <w:t>）：</w:t>
      </w:r>
    </w:p>
    <w:p w14:paraId="6395BD7D">
      <w:pPr>
        <w:spacing w:line="360" w:lineRule="auto"/>
        <w:ind w:left="39" w:right="2206"/>
        <w:rPr>
          <w:rFonts w:ascii="宋体" w:hAnsi="宋体" w:eastAsia="宋体" w:cs="宋体"/>
          <w:color w:val="auto"/>
          <w:sz w:val="24"/>
          <w:szCs w:val="24"/>
          <w:highlight w:val="none"/>
          <w:lang w:eastAsia="zh-CN"/>
        </w:rPr>
      </w:pPr>
      <w:r>
        <w:rPr>
          <w:rFonts w:hint="eastAsia" w:ascii="宋体" w:hAnsi="宋体" w:eastAsia="宋体" w:cs="宋体"/>
          <w:color w:val="auto"/>
          <w:spacing w:val="-13"/>
          <w:sz w:val="24"/>
          <w:szCs w:val="24"/>
          <w:highlight w:val="none"/>
          <w:lang w:eastAsia="zh-CN"/>
        </w:rPr>
        <w:t>日期：年月日</w:t>
      </w:r>
    </w:p>
    <w:p w14:paraId="15CEF5BA">
      <w:pPr>
        <w:spacing w:line="360" w:lineRule="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br w:type="page"/>
      </w:r>
    </w:p>
    <w:p w14:paraId="44FE1912">
      <w:pPr>
        <w:pageBreakBefore/>
        <w:spacing w:line="360" w:lineRule="auto"/>
        <w:ind w:left="28"/>
        <w:jc w:val="both"/>
        <w:outlineLvl w:val="1"/>
        <w:rPr>
          <w:rFonts w:ascii="宋体" w:hAnsi="宋体" w:eastAsia="宋体" w:cs="宋体"/>
          <w:b/>
          <w:bCs/>
          <w:color w:val="auto"/>
          <w:spacing w:val="-3"/>
          <w:sz w:val="24"/>
          <w:szCs w:val="24"/>
          <w:highlight w:val="none"/>
          <w:lang w:eastAsia="zh-CN"/>
        </w:rPr>
      </w:pPr>
      <w:r>
        <w:rPr>
          <w:rFonts w:hint="eastAsia" w:ascii="宋体" w:hAnsi="宋体" w:eastAsia="宋体" w:cs="宋体"/>
          <w:b/>
          <w:bCs/>
          <w:color w:val="auto"/>
          <w:spacing w:val="7"/>
          <w:sz w:val="31"/>
          <w:szCs w:val="31"/>
          <w:highlight w:val="none"/>
          <w:lang w:eastAsia="zh-CN"/>
        </w:rPr>
        <w:t>二、落实政府采购政策相关证明文件</w:t>
      </w:r>
      <w:bookmarkEnd w:id="161"/>
      <w:bookmarkEnd w:id="162"/>
      <w:bookmarkStart w:id="163" w:name="bookmark239"/>
      <w:bookmarkEnd w:id="163"/>
      <w:bookmarkStart w:id="164" w:name="_Toc186477801"/>
    </w:p>
    <w:bookmarkEnd w:id="164"/>
    <w:p w14:paraId="04C71C2E">
      <w:pPr>
        <w:spacing w:before="190" w:line="219" w:lineRule="auto"/>
        <w:ind w:left="237" w:leftChars="113" w:firstLine="459" w:firstLineChars="193"/>
        <w:rPr>
          <w:rFonts w:hint="eastAsia" w:ascii="宋体" w:hAnsi="宋体" w:eastAsia="宋体" w:cs="宋体"/>
          <w:spacing w:val="-1"/>
          <w:sz w:val="24"/>
          <w:szCs w:val="24"/>
          <w:highlight w:val="none"/>
        </w:rPr>
      </w:pPr>
      <w:bookmarkStart w:id="165" w:name="bookmark241"/>
      <w:bookmarkEnd w:id="165"/>
      <w:bookmarkStart w:id="166" w:name="bookmark242"/>
      <w:bookmarkEnd w:id="166"/>
    </w:p>
    <w:p w14:paraId="5564D6E9">
      <w:pPr>
        <w:spacing w:before="65" w:line="227" w:lineRule="auto"/>
        <w:jc w:val="center"/>
        <w:rPr>
          <w:rFonts w:ascii="宋体" w:hAnsi="宋体" w:eastAsia="宋体" w:cs="宋体"/>
          <w:sz w:val="20"/>
          <w:szCs w:val="20"/>
          <w:highlight w:val="none"/>
        </w:rPr>
      </w:pPr>
      <w:r>
        <w:rPr>
          <w:rFonts w:ascii="宋体" w:hAnsi="宋体" w:eastAsia="宋体" w:cs="宋体"/>
          <w:b/>
          <w:bCs/>
          <w:spacing w:val="5"/>
          <w:sz w:val="20"/>
          <w:szCs w:val="20"/>
          <w:highlight w:val="none"/>
        </w:rPr>
        <w:t>中小企业声明函（货物）</w:t>
      </w:r>
    </w:p>
    <w:p w14:paraId="6B79F600">
      <w:pPr>
        <w:spacing w:before="190" w:line="219" w:lineRule="auto"/>
        <w:ind w:left="237" w:leftChars="113" w:firstLine="463" w:firstLineChars="193"/>
        <w:rPr>
          <w:rFonts w:ascii="宋体" w:hAnsi="宋体" w:eastAsia="宋体" w:cs="宋体"/>
          <w:sz w:val="24"/>
          <w:szCs w:val="24"/>
          <w:highlight w:val="none"/>
        </w:rPr>
      </w:pPr>
      <w:r>
        <w:rPr>
          <w:rFonts w:ascii="宋体" w:hAnsi="宋体" w:eastAsia="宋体" w:cs="宋体"/>
          <w:sz w:val="24"/>
          <w:szCs w:val="24"/>
          <w:highlight w:val="none"/>
        </w:rPr>
        <w:t>本公司（联合体）郑重声明，根据《政府采购促进中小</w:t>
      </w:r>
      <w:r>
        <w:rPr>
          <w:rFonts w:ascii="宋体" w:hAnsi="宋体" w:eastAsia="宋体" w:cs="宋体"/>
          <w:spacing w:val="-1"/>
          <w:sz w:val="24"/>
          <w:szCs w:val="24"/>
          <w:highlight w:val="none"/>
        </w:rPr>
        <w:t>企业发展管理办法》（财库[2020]46号）的规定，本公司（联合体）参加（单位名称）的（项目名称）采购活</w:t>
      </w:r>
      <w:r>
        <w:rPr>
          <w:rFonts w:ascii="宋体" w:hAnsi="宋体" w:eastAsia="宋体" w:cs="宋体"/>
          <w:spacing w:val="-2"/>
          <w:sz w:val="24"/>
          <w:szCs w:val="24"/>
          <w:highlight w:val="none"/>
        </w:rPr>
        <w:t>动，提供</w:t>
      </w:r>
      <w:r>
        <w:rPr>
          <w:rFonts w:ascii="宋体" w:hAnsi="宋体" w:eastAsia="宋体" w:cs="宋体"/>
          <w:sz w:val="24"/>
          <w:szCs w:val="24"/>
          <w:highlight w:val="none"/>
        </w:rPr>
        <w:t>的货物全部由符合政策要求的中小企业制造。相关企业（含联合</w:t>
      </w:r>
      <w:r>
        <w:rPr>
          <w:rFonts w:ascii="宋体" w:hAnsi="宋体" w:eastAsia="宋体" w:cs="宋体"/>
          <w:spacing w:val="-1"/>
          <w:sz w:val="24"/>
          <w:szCs w:val="24"/>
          <w:highlight w:val="none"/>
        </w:rPr>
        <w:t>体中的中小企业、签订分包意向协议的中小企业） 的具体情况如下：</w:t>
      </w:r>
    </w:p>
    <w:p w14:paraId="088F4BC6">
      <w:pPr>
        <w:spacing w:line="218" w:lineRule="auto"/>
        <w:ind w:left="498"/>
        <w:rPr>
          <w:rFonts w:ascii="宋体" w:hAnsi="宋体" w:eastAsia="宋体" w:cs="宋体"/>
          <w:sz w:val="24"/>
          <w:szCs w:val="24"/>
          <w:highlight w:val="none"/>
        </w:rPr>
      </w:pPr>
      <w:r>
        <w:rPr>
          <w:rFonts w:ascii="宋体" w:hAnsi="宋体" w:eastAsia="宋体" w:cs="宋体"/>
          <w:spacing w:val="-1"/>
          <w:sz w:val="24"/>
          <w:szCs w:val="24"/>
          <w:highlight w:val="none"/>
        </w:rPr>
        <w:t xml:space="preserve">1. </w:t>
      </w:r>
      <w:r>
        <w:rPr>
          <w:rFonts w:ascii="宋体" w:hAnsi="宋体" w:eastAsia="宋体" w:cs="宋体"/>
          <w:spacing w:val="-1"/>
          <w:sz w:val="24"/>
          <w:szCs w:val="24"/>
          <w:highlight w:val="none"/>
          <w:u w:val="single" w:color="auto"/>
        </w:rPr>
        <w:t>（标的名称</w:t>
      </w:r>
      <w:r>
        <w:rPr>
          <w:rFonts w:ascii="宋体" w:hAnsi="宋体" w:eastAsia="宋体" w:cs="宋体"/>
          <w:spacing w:val="-9"/>
          <w:sz w:val="24"/>
          <w:szCs w:val="24"/>
          <w:highlight w:val="none"/>
          <w:u w:val="single" w:color="auto"/>
        </w:rPr>
        <w:t>）</w:t>
      </w:r>
      <w:r>
        <w:rPr>
          <w:rFonts w:ascii="宋体" w:hAnsi="宋体" w:eastAsia="宋体" w:cs="宋体"/>
          <w:spacing w:val="29"/>
          <w:sz w:val="24"/>
          <w:szCs w:val="24"/>
          <w:highlight w:val="none"/>
        </w:rPr>
        <w:t xml:space="preserve"> </w:t>
      </w:r>
      <w:r>
        <w:rPr>
          <w:rFonts w:ascii="宋体" w:hAnsi="宋体" w:eastAsia="宋体" w:cs="宋体"/>
          <w:spacing w:val="-9"/>
          <w:sz w:val="24"/>
          <w:szCs w:val="24"/>
          <w:highlight w:val="none"/>
        </w:rPr>
        <w:t>，</w:t>
      </w:r>
      <w:r>
        <w:rPr>
          <w:rFonts w:ascii="宋体" w:hAnsi="宋体" w:eastAsia="宋体" w:cs="宋体"/>
          <w:spacing w:val="-1"/>
          <w:sz w:val="24"/>
          <w:szCs w:val="24"/>
          <w:highlight w:val="none"/>
        </w:rPr>
        <w:t>属于</w:t>
      </w:r>
      <w:r>
        <w:rPr>
          <w:rFonts w:ascii="宋体" w:hAnsi="宋体" w:eastAsia="宋体" w:cs="宋体"/>
          <w:spacing w:val="-1"/>
          <w:sz w:val="24"/>
          <w:szCs w:val="24"/>
          <w:highlight w:val="none"/>
          <w:u w:val="single" w:color="auto"/>
        </w:rPr>
        <w:t>（采购文件中明确的所属行业）</w:t>
      </w:r>
      <w:r>
        <w:rPr>
          <w:rFonts w:ascii="宋体" w:hAnsi="宋体" w:eastAsia="宋体" w:cs="宋体"/>
          <w:spacing w:val="-1"/>
          <w:sz w:val="24"/>
          <w:szCs w:val="24"/>
          <w:highlight w:val="none"/>
        </w:rPr>
        <w:t xml:space="preserve"> 行业；制造商为</w:t>
      </w:r>
      <w:r>
        <w:rPr>
          <w:rFonts w:ascii="宋体" w:hAnsi="宋体" w:eastAsia="宋体" w:cs="宋体"/>
          <w:spacing w:val="-2"/>
          <w:sz w:val="24"/>
          <w:szCs w:val="24"/>
          <w:highlight w:val="none"/>
          <w:u w:val="single" w:color="auto"/>
        </w:rPr>
        <w:t>（企业名称</w:t>
      </w:r>
      <w:r>
        <w:rPr>
          <w:rFonts w:ascii="宋体" w:hAnsi="宋体" w:eastAsia="宋体" w:cs="宋体"/>
          <w:spacing w:val="10"/>
          <w:sz w:val="24"/>
          <w:szCs w:val="24"/>
          <w:highlight w:val="none"/>
          <w:u w:val="single" w:color="auto"/>
        </w:rPr>
        <w:t>）</w:t>
      </w:r>
      <w:r>
        <w:rPr>
          <w:rFonts w:ascii="宋体" w:hAnsi="宋体" w:eastAsia="宋体" w:cs="宋体"/>
          <w:spacing w:val="10"/>
          <w:sz w:val="24"/>
          <w:szCs w:val="24"/>
          <w:highlight w:val="none"/>
        </w:rPr>
        <w:t>，</w:t>
      </w:r>
      <w:r>
        <w:rPr>
          <w:rFonts w:ascii="宋体" w:hAnsi="宋体" w:eastAsia="宋体" w:cs="宋体"/>
          <w:spacing w:val="-2"/>
          <w:sz w:val="24"/>
          <w:szCs w:val="24"/>
          <w:highlight w:val="none"/>
        </w:rPr>
        <w:t>从业人员</w:t>
      </w:r>
      <w:r>
        <w:rPr>
          <w:rFonts w:ascii="宋体" w:hAnsi="宋体" w:eastAsia="宋体" w:cs="宋体"/>
          <w:spacing w:val="-2"/>
          <w:sz w:val="24"/>
          <w:szCs w:val="24"/>
          <w:highlight w:val="none"/>
          <w:u w:val="single" w:color="auto"/>
        </w:rPr>
        <w:t xml:space="preserve">     </w:t>
      </w:r>
      <w:r>
        <w:rPr>
          <w:rFonts w:ascii="宋体" w:hAnsi="宋体" w:eastAsia="宋体" w:cs="宋体"/>
          <w:spacing w:val="-107"/>
          <w:sz w:val="24"/>
          <w:szCs w:val="24"/>
          <w:highlight w:val="none"/>
        </w:rPr>
        <w:t xml:space="preserve"> </w:t>
      </w:r>
      <w:r>
        <w:rPr>
          <w:rFonts w:ascii="宋体" w:hAnsi="宋体" w:eastAsia="宋体" w:cs="宋体"/>
          <w:spacing w:val="-2"/>
          <w:sz w:val="24"/>
          <w:szCs w:val="24"/>
          <w:highlight w:val="none"/>
        </w:rPr>
        <w:t>人，营业收入为</w:t>
      </w:r>
      <w:r>
        <w:rPr>
          <w:rFonts w:ascii="宋体" w:hAnsi="宋体" w:eastAsia="宋体" w:cs="宋体"/>
          <w:spacing w:val="-2"/>
          <w:sz w:val="24"/>
          <w:szCs w:val="24"/>
          <w:highlight w:val="none"/>
          <w:u w:val="single" w:color="auto"/>
        </w:rPr>
        <w:t xml:space="preserve">  </w:t>
      </w:r>
      <w:r>
        <w:rPr>
          <w:rFonts w:ascii="宋体" w:hAnsi="宋体" w:eastAsia="宋体" w:cs="宋体"/>
          <w:spacing w:val="-2"/>
          <w:sz w:val="24"/>
          <w:szCs w:val="24"/>
          <w:highlight w:val="none"/>
        </w:rPr>
        <w:t xml:space="preserve"> 万元，资产总额为</w:t>
      </w:r>
      <w:r>
        <w:rPr>
          <w:rFonts w:ascii="宋体" w:hAnsi="宋体" w:eastAsia="宋体" w:cs="宋体"/>
          <w:spacing w:val="-2"/>
          <w:sz w:val="24"/>
          <w:szCs w:val="24"/>
          <w:highlight w:val="none"/>
          <w:u w:val="single" w:color="auto"/>
        </w:rPr>
        <w:t xml:space="preserve">   </w:t>
      </w:r>
      <w:r>
        <w:rPr>
          <w:rFonts w:ascii="宋体" w:hAnsi="宋体" w:eastAsia="宋体" w:cs="宋体"/>
          <w:spacing w:val="-104"/>
          <w:sz w:val="24"/>
          <w:szCs w:val="24"/>
          <w:highlight w:val="none"/>
        </w:rPr>
        <w:t xml:space="preserve"> </w:t>
      </w:r>
      <w:r>
        <w:rPr>
          <w:rFonts w:ascii="宋体" w:hAnsi="宋体" w:eastAsia="宋体" w:cs="宋体"/>
          <w:spacing w:val="-2"/>
          <w:sz w:val="24"/>
          <w:szCs w:val="24"/>
          <w:highlight w:val="none"/>
        </w:rPr>
        <w:t>万元</w:t>
      </w:r>
      <w:r>
        <w:rPr>
          <w:rFonts w:ascii="宋体" w:hAnsi="宋体" w:eastAsia="宋体" w:cs="宋体"/>
          <w:spacing w:val="-2"/>
          <w:position w:val="11"/>
          <w:sz w:val="12"/>
          <w:szCs w:val="12"/>
          <w:highlight w:val="none"/>
        </w:rPr>
        <w:t>1</w:t>
      </w:r>
      <w:r>
        <w:rPr>
          <w:rFonts w:ascii="宋体" w:hAnsi="宋体" w:eastAsia="宋体" w:cs="宋体"/>
          <w:spacing w:val="-31"/>
          <w:position w:val="11"/>
          <w:sz w:val="12"/>
          <w:szCs w:val="12"/>
          <w:highlight w:val="none"/>
        </w:rPr>
        <w:t xml:space="preserve"> </w:t>
      </w:r>
      <w:r>
        <w:rPr>
          <w:rFonts w:ascii="宋体" w:hAnsi="宋体" w:eastAsia="宋体" w:cs="宋体"/>
          <w:spacing w:val="-2"/>
          <w:sz w:val="24"/>
          <w:szCs w:val="24"/>
          <w:highlight w:val="none"/>
        </w:rPr>
        <w:t>，属于</w:t>
      </w:r>
      <w:r>
        <w:rPr>
          <w:rFonts w:ascii="宋体" w:hAnsi="宋体" w:eastAsia="宋体" w:cs="宋体"/>
          <w:spacing w:val="-2"/>
          <w:sz w:val="24"/>
          <w:szCs w:val="24"/>
          <w:highlight w:val="none"/>
          <w:u w:val="single" w:color="auto"/>
        </w:rPr>
        <w:t>（中型企业、小</w:t>
      </w:r>
      <w:r>
        <w:rPr>
          <w:rFonts w:ascii="宋体" w:hAnsi="宋体" w:eastAsia="宋体" w:cs="宋体"/>
          <w:spacing w:val="-3"/>
          <w:sz w:val="24"/>
          <w:szCs w:val="24"/>
          <w:highlight w:val="none"/>
          <w:u w:val="single" w:color="auto"/>
        </w:rPr>
        <w:t>型企业、微型企业</w:t>
      </w:r>
      <w:r>
        <w:rPr>
          <w:rFonts w:ascii="宋体" w:hAnsi="宋体" w:eastAsia="宋体" w:cs="宋体"/>
          <w:spacing w:val="3"/>
          <w:sz w:val="24"/>
          <w:szCs w:val="24"/>
          <w:highlight w:val="none"/>
          <w:u w:val="single" w:color="auto"/>
        </w:rPr>
        <w:t>）；</w:t>
      </w:r>
      <w:r>
        <w:rPr>
          <w:rFonts w:ascii="宋体" w:hAnsi="宋体" w:eastAsia="宋体" w:cs="宋体"/>
          <w:sz w:val="24"/>
          <w:szCs w:val="24"/>
          <w:highlight w:val="none"/>
          <w:u w:val="single" w:color="auto"/>
        </w:rPr>
        <w:t xml:space="preserve">  </w:t>
      </w:r>
    </w:p>
    <w:p w14:paraId="412D0E83">
      <w:pPr>
        <w:spacing w:before="213" w:line="219" w:lineRule="auto"/>
        <w:ind w:left="483"/>
        <w:rPr>
          <w:rFonts w:ascii="宋体" w:hAnsi="宋体" w:eastAsia="宋体" w:cs="宋体"/>
          <w:sz w:val="24"/>
          <w:szCs w:val="24"/>
          <w:highlight w:val="none"/>
        </w:rPr>
      </w:pPr>
      <w:r>
        <w:rPr>
          <w:rFonts w:ascii="宋体" w:hAnsi="宋体" w:eastAsia="宋体" w:cs="宋体"/>
          <w:spacing w:val="-1"/>
          <w:sz w:val="24"/>
          <w:szCs w:val="24"/>
          <w:highlight w:val="none"/>
        </w:rPr>
        <w:t xml:space="preserve">2. </w:t>
      </w:r>
      <w:r>
        <w:rPr>
          <w:rFonts w:ascii="宋体" w:hAnsi="宋体" w:eastAsia="宋体" w:cs="宋体"/>
          <w:spacing w:val="-1"/>
          <w:sz w:val="24"/>
          <w:szCs w:val="24"/>
          <w:highlight w:val="none"/>
          <w:u w:val="single" w:color="auto"/>
        </w:rPr>
        <w:t>（标的名称</w:t>
      </w:r>
      <w:r>
        <w:rPr>
          <w:rFonts w:ascii="宋体" w:hAnsi="宋体" w:eastAsia="宋体" w:cs="宋体"/>
          <w:spacing w:val="-5"/>
          <w:sz w:val="24"/>
          <w:szCs w:val="24"/>
          <w:highlight w:val="none"/>
          <w:u w:val="single" w:color="auto"/>
        </w:rPr>
        <w:t>）</w:t>
      </w:r>
      <w:r>
        <w:rPr>
          <w:rFonts w:ascii="宋体" w:hAnsi="宋体" w:eastAsia="宋体" w:cs="宋体"/>
          <w:spacing w:val="31"/>
          <w:sz w:val="24"/>
          <w:szCs w:val="24"/>
          <w:highlight w:val="none"/>
        </w:rPr>
        <w:t xml:space="preserve"> </w:t>
      </w:r>
      <w:r>
        <w:rPr>
          <w:rFonts w:ascii="宋体" w:hAnsi="宋体" w:eastAsia="宋体" w:cs="宋体"/>
          <w:spacing w:val="-5"/>
          <w:sz w:val="24"/>
          <w:szCs w:val="24"/>
          <w:highlight w:val="none"/>
        </w:rPr>
        <w:t>，</w:t>
      </w:r>
      <w:r>
        <w:rPr>
          <w:rFonts w:ascii="宋体" w:hAnsi="宋体" w:eastAsia="宋体" w:cs="宋体"/>
          <w:spacing w:val="-1"/>
          <w:sz w:val="24"/>
          <w:szCs w:val="24"/>
          <w:highlight w:val="none"/>
        </w:rPr>
        <w:t>属于</w:t>
      </w:r>
      <w:r>
        <w:rPr>
          <w:rFonts w:ascii="宋体" w:hAnsi="宋体" w:eastAsia="宋体" w:cs="宋体"/>
          <w:spacing w:val="-1"/>
          <w:sz w:val="24"/>
          <w:szCs w:val="24"/>
          <w:highlight w:val="none"/>
          <w:u w:val="single" w:color="auto"/>
        </w:rPr>
        <w:t>（采购文件中明确的所属行业）</w:t>
      </w:r>
      <w:r>
        <w:rPr>
          <w:rFonts w:ascii="宋体" w:hAnsi="宋体" w:eastAsia="宋体" w:cs="宋体"/>
          <w:spacing w:val="-1"/>
          <w:sz w:val="24"/>
          <w:szCs w:val="24"/>
          <w:highlight w:val="none"/>
        </w:rPr>
        <w:t>行业；制造商为</w:t>
      </w:r>
      <w:r>
        <w:rPr>
          <w:rFonts w:ascii="宋体" w:hAnsi="宋体" w:eastAsia="宋体" w:cs="宋体"/>
          <w:spacing w:val="-1"/>
          <w:sz w:val="24"/>
          <w:szCs w:val="24"/>
          <w:highlight w:val="none"/>
          <w:u w:val="single" w:color="auto"/>
        </w:rPr>
        <w:t>（企业名称</w:t>
      </w:r>
      <w:r>
        <w:rPr>
          <w:rFonts w:ascii="宋体" w:hAnsi="宋体" w:eastAsia="宋体" w:cs="宋体"/>
          <w:spacing w:val="6"/>
          <w:sz w:val="24"/>
          <w:szCs w:val="24"/>
          <w:highlight w:val="none"/>
          <w:u w:val="single" w:color="auto"/>
        </w:rPr>
        <w:t>）</w:t>
      </w:r>
      <w:r>
        <w:rPr>
          <w:rFonts w:ascii="宋体" w:hAnsi="宋体" w:eastAsia="宋体" w:cs="宋体"/>
          <w:spacing w:val="6"/>
          <w:sz w:val="24"/>
          <w:szCs w:val="24"/>
          <w:highlight w:val="none"/>
        </w:rPr>
        <w:t>，</w:t>
      </w:r>
      <w:r>
        <w:rPr>
          <w:rFonts w:ascii="宋体" w:hAnsi="宋体" w:eastAsia="宋体" w:cs="宋体"/>
          <w:spacing w:val="-1"/>
          <w:sz w:val="24"/>
          <w:szCs w:val="24"/>
          <w:highlight w:val="none"/>
        </w:rPr>
        <w:t xml:space="preserve">从业人员 </w:t>
      </w:r>
      <w:r>
        <w:rPr>
          <w:rFonts w:ascii="宋体" w:hAnsi="宋体" w:eastAsia="宋体" w:cs="宋体"/>
          <w:spacing w:val="-1"/>
          <w:sz w:val="24"/>
          <w:szCs w:val="24"/>
          <w:highlight w:val="none"/>
          <w:u w:val="single" w:color="auto"/>
        </w:rPr>
        <w:t xml:space="preserve">    </w:t>
      </w:r>
      <w:r>
        <w:rPr>
          <w:rFonts w:ascii="宋体" w:hAnsi="宋体" w:eastAsia="宋体" w:cs="宋体"/>
          <w:spacing w:val="-108"/>
          <w:sz w:val="24"/>
          <w:szCs w:val="24"/>
          <w:highlight w:val="none"/>
        </w:rPr>
        <w:t xml:space="preserve"> </w:t>
      </w:r>
      <w:r>
        <w:rPr>
          <w:rFonts w:ascii="宋体" w:hAnsi="宋体" w:eastAsia="宋体" w:cs="宋体"/>
          <w:spacing w:val="-1"/>
          <w:sz w:val="24"/>
          <w:szCs w:val="24"/>
          <w:highlight w:val="none"/>
        </w:rPr>
        <w:t>人，营业收入为</w:t>
      </w:r>
      <w:r>
        <w:rPr>
          <w:rFonts w:ascii="宋体" w:hAnsi="宋体" w:eastAsia="宋体" w:cs="宋体"/>
          <w:spacing w:val="-1"/>
          <w:sz w:val="24"/>
          <w:szCs w:val="24"/>
          <w:highlight w:val="none"/>
          <w:u w:val="single" w:color="auto"/>
        </w:rPr>
        <w:t xml:space="preserve">    </w:t>
      </w:r>
      <w:r>
        <w:rPr>
          <w:rFonts w:ascii="宋体" w:hAnsi="宋体" w:eastAsia="宋体" w:cs="宋体"/>
          <w:spacing w:val="-104"/>
          <w:sz w:val="24"/>
          <w:szCs w:val="24"/>
          <w:highlight w:val="none"/>
        </w:rPr>
        <w:t xml:space="preserve"> </w:t>
      </w:r>
      <w:r>
        <w:rPr>
          <w:rFonts w:ascii="宋体" w:hAnsi="宋体" w:eastAsia="宋体" w:cs="宋体"/>
          <w:spacing w:val="-1"/>
          <w:sz w:val="24"/>
          <w:szCs w:val="24"/>
          <w:highlight w:val="none"/>
        </w:rPr>
        <w:t>万元</w:t>
      </w:r>
      <w:r>
        <w:rPr>
          <w:rFonts w:ascii="宋体" w:hAnsi="宋体" w:eastAsia="宋体" w:cs="宋体"/>
          <w:spacing w:val="-2"/>
          <w:sz w:val="24"/>
          <w:szCs w:val="24"/>
          <w:highlight w:val="none"/>
        </w:rPr>
        <w:t>，资产总额为</w:t>
      </w:r>
      <w:r>
        <w:rPr>
          <w:rFonts w:ascii="宋体" w:hAnsi="宋体" w:eastAsia="宋体" w:cs="宋体"/>
          <w:spacing w:val="-2"/>
          <w:sz w:val="24"/>
          <w:szCs w:val="24"/>
          <w:highlight w:val="none"/>
          <w:u w:val="single" w:color="auto"/>
        </w:rPr>
        <w:t xml:space="preserve">     </w:t>
      </w:r>
      <w:r>
        <w:rPr>
          <w:rFonts w:ascii="宋体" w:hAnsi="宋体" w:eastAsia="宋体" w:cs="宋体"/>
          <w:spacing w:val="-104"/>
          <w:sz w:val="24"/>
          <w:szCs w:val="24"/>
          <w:highlight w:val="none"/>
        </w:rPr>
        <w:t xml:space="preserve"> </w:t>
      </w:r>
      <w:r>
        <w:rPr>
          <w:rFonts w:ascii="宋体" w:hAnsi="宋体" w:eastAsia="宋体" w:cs="宋体"/>
          <w:spacing w:val="-2"/>
          <w:sz w:val="24"/>
          <w:szCs w:val="24"/>
          <w:highlight w:val="none"/>
        </w:rPr>
        <w:t>万元，属于</w:t>
      </w:r>
      <w:r>
        <w:rPr>
          <w:rFonts w:ascii="宋体" w:hAnsi="宋体" w:eastAsia="宋体" w:cs="宋体"/>
          <w:spacing w:val="-2"/>
          <w:sz w:val="24"/>
          <w:szCs w:val="24"/>
          <w:highlight w:val="none"/>
          <w:u w:val="single" w:color="auto"/>
        </w:rPr>
        <w:t>（中型企业、小型企业、微型企业</w:t>
      </w:r>
      <w:r>
        <w:rPr>
          <w:rFonts w:ascii="宋体" w:hAnsi="宋体" w:eastAsia="宋体" w:cs="宋体"/>
          <w:spacing w:val="1"/>
          <w:sz w:val="24"/>
          <w:szCs w:val="24"/>
          <w:highlight w:val="none"/>
          <w:u w:val="single" w:color="auto"/>
        </w:rPr>
        <w:t>）；</w:t>
      </w:r>
      <w:r>
        <w:rPr>
          <w:rFonts w:ascii="宋体" w:hAnsi="宋体" w:eastAsia="宋体" w:cs="宋体"/>
          <w:sz w:val="24"/>
          <w:szCs w:val="24"/>
          <w:highlight w:val="none"/>
          <w:u w:val="single" w:color="auto"/>
        </w:rPr>
        <w:t xml:space="preserve">  </w:t>
      </w:r>
    </w:p>
    <w:p w14:paraId="46B9EC19">
      <w:pPr>
        <w:spacing w:before="214" w:line="378" w:lineRule="exact"/>
        <w:ind w:left="496"/>
        <w:rPr>
          <w:rFonts w:ascii="宋体" w:hAnsi="宋体" w:eastAsia="宋体" w:cs="宋体"/>
          <w:sz w:val="24"/>
          <w:szCs w:val="24"/>
          <w:highlight w:val="none"/>
        </w:rPr>
      </w:pPr>
      <w:r>
        <w:rPr>
          <w:rFonts w:ascii="宋体" w:hAnsi="宋体" w:eastAsia="宋体" w:cs="宋体"/>
          <w:spacing w:val="-13"/>
          <w:position w:val="3"/>
          <w:sz w:val="24"/>
          <w:szCs w:val="24"/>
          <w:highlight w:val="none"/>
        </w:rPr>
        <w:t>……</w:t>
      </w:r>
    </w:p>
    <w:p w14:paraId="6666FF4C">
      <w:pPr>
        <w:spacing w:before="121" w:line="385" w:lineRule="auto"/>
        <w:ind w:left="4" w:firstLine="503"/>
        <w:rPr>
          <w:rFonts w:ascii="宋体" w:hAnsi="宋体" w:eastAsia="宋体" w:cs="宋体"/>
          <w:sz w:val="24"/>
          <w:szCs w:val="24"/>
          <w:highlight w:val="none"/>
        </w:rPr>
      </w:pPr>
      <w:r>
        <w:rPr>
          <w:rFonts w:ascii="宋体" w:hAnsi="宋体" w:eastAsia="宋体" w:cs="宋体"/>
          <w:spacing w:val="-1"/>
          <w:sz w:val="24"/>
          <w:szCs w:val="24"/>
          <w:highlight w:val="none"/>
        </w:rPr>
        <w:t>以上企业，不属于大企业的分支机构，不存在控股股东为大企业的情形，也不存在与大企业的负责人为同一人的情形。</w:t>
      </w:r>
    </w:p>
    <w:p w14:paraId="05F42C3C">
      <w:pPr>
        <w:spacing w:before="1" w:line="218" w:lineRule="auto"/>
        <w:ind w:left="481"/>
        <w:rPr>
          <w:rFonts w:ascii="宋体" w:hAnsi="宋体" w:eastAsia="宋体" w:cs="宋体"/>
          <w:sz w:val="24"/>
          <w:szCs w:val="24"/>
          <w:highlight w:val="none"/>
        </w:rPr>
      </w:pPr>
      <w:r>
        <w:rPr>
          <w:rFonts w:ascii="宋体" w:hAnsi="宋体" w:eastAsia="宋体" w:cs="宋体"/>
          <w:sz w:val="24"/>
          <w:szCs w:val="24"/>
          <w:highlight w:val="none"/>
        </w:rPr>
        <w:t>本企业对上述声明内容的真实性负责。如有虚</w:t>
      </w:r>
      <w:r>
        <w:rPr>
          <w:rFonts w:ascii="宋体" w:hAnsi="宋体" w:eastAsia="宋体" w:cs="宋体"/>
          <w:spacing w:val="-1"/>
          <w:sz w:val="24"/>
          <w:szCs w:val="24"/>
          <w:highlight w:val="none"/>
        </w:rPr>
        <w:t>假，将依法承担相应责任。</w:t>
      </w:r>
    </w:p>
    <w:p w14:paraId="51271969">
      <w:pPr>
        <w:pStyle w:val="13"/>
        <w:spacing w:line="282" w:lineRule="auto"/>
        <w:rPr>
          <w:highlight w:val="none"/>
        </w:rPr>
      </w:pPr>
    </w:p>
    <w:p w14:paraId="750BD2A4">
      <w:pPr>
        <w:pStyle w:val="13"/>
        <w:spacing w:line="283" w:lineRule="auto"/>
        <w:rPr>
          <w:highlight w:val="none"/>
        </w:rPr>
      </w:pPr>
    </w:p>
    <w:p w14:paraId="690215B0">
      <w:pPr>
        <w:spacing w:before="78" w:line="219" w:lineRule="auto"/>
        <w:ind w:left="5044"/>
        <w:rPr>
          <w:rFonts w:ascii="宋体" w:hAnsi="宋体" w:eastAsia="宋体" w:cs="宋体"/>
          <w:sz w:val="24"/>
          <w:szCs w:val="24"/>
          <w:highlight w:val="none"/>
        </w:rPr>
      </w:pPr>
      <w:r>
        <w:rPr>
          <w:rFonts w:ascii="宋体" w:hAnsi="宋体" w:eastAsia="宋体" w:cs="宋体"/>
          <w:spacing w:val="-2"/>
          <w:sz w:val="24"/>
          <w:szCs w:val="24"/>
          <w:highlight w:val="none"/>
        </w:rPr>
        <w:t>企业名称（盖章</w:t>
      </w:r>
      <w:r>
        <w:rPr>
          <w:rFonts w:ascii="宋体" w:hAnsi="宋体" w:eastAsia="宋体" w:cs="宋体"/>
          <w:sz w:val="24"/>
          <w:szCs w:val="24"/>
          <w:highlight w:val="none"/>
        </w:rPr>
        <w:t>）：</w:t>
      </w:r>
    </w:p>
    <w:p w14:paraId="0576F600">
      <w:pPr>
        <w:spacing w:before="57" w:line="220" w:lineRule="auto"/>
        <w:ind w:left="5202"/>
        <w:rPr>
          <w:rFonts w:ascii="宋体" w:hAnsi="宋体" w:eastAsia="宋体" w:cs="宋体"/>
          <w:sz w:val="24"/>
          <w:szCs w:val="24"/>
          <w:highlight w:val="none"/>
        </w:rPr>
      </w:pPr>
      <w:r>
        <w:rPr>
          <w:rFonts w:ascii="宋体" w:hAnsi="宋体" w:eastAsia="宋体" w:cs="宋体"/>
          <w:spacing w:val="-21"/>
          <w:sz w:val="24"/>
          <w:szCs w:val="24"/>
          <w:highlight w:val="none"/>
        </w:rPr>
        <w:t>日</w:t>
      </w:r>
      <w:r>
        <w:rPr>
          <w:rFonts w:ascii="宋体" w:hAnsi="宋体" w:eastAsia="宋体" w:cs="宋体"/>
          <w:spacing w:val="12"/>
          <w:sz w:val="24"/>
          <w:szCs w:val="24"/>
          <w:highlight w:val="none"/>
        </w:rPr>
        <w:t xml:space="preserve"> </w:t>
      </w:r>
      <w:r>
        <w:rPr>
          <w:rFonts w:ascii="宋体" w:hAnsi="宋体" w:eastAsia="宋体" w:cs="宋体"/>
          <w:spacing w:val="-21"/>
          <w:sz w:val="24"/>
          <w:szCs w:val="24"/>
          <w:highlight w:val="none"/>
        </w:rPr>
        <w:t>期：</w:t>
      </w:r>
    </w:p>
    <w:p w14:paraId="798EA767">
      <w:pPr>
        <w:spacing w:line="360" w:lineRule="auto"/>
        <w:rPr>
          <w:color w:val="auto"/>
          <w:sz w:val="24"/>
          <w:szCs w:val="24"/>
          <w:highlight w:val="none"/>
          <w:lang w:eastAsia="zh-CN"/>
        </w:rPr>
      </w:pPr>
    </w:p>
    <w:p w14:paraId="036C7399">
      <w:pPr>
        <w:spacing w:line="360" w:lineRule="auto"/>
        <w:rPr>
          <w:color w:val="auto"/>
          <w:sz w:val="24"/>
          <w:szCs w:val="24"/>
          <w:highlight w:val="none"/>
          <w:lang w:eastAsia="zh-CN"/>
        </w:rPr>
      </w:pPr>
      <w:r>
        <w:rPr>
          <w:rFonts w:hint="eastAsia"/>
          <w:color w:val="auto"/>
          <w:sz w:val="24"/>
          <w:szCs w:val="24"/>
          <w:highlight w:val="none"/>
          <w:lang w:eastAsia="zh-CN"/>
        </w:rPr>
        <w:t>注：1、填写前请认真阅读《政府采购促进中小企业发展管理办法》（财库﹝</w:t>
      </w:r>
      <w:r>
        <w:rPr>
          <w:color w:val="auto"/>
          <w:sz w:val="24"/>
          <w:szCs w:val="24"/>
          <w:highlight w:val="none"/>
          <w:lang w:eastAsia="zh-CN"/>
        </w:rPr>
        <w:t>2020</w:t>
      </w:r>
      <w:r>
        <w:rPr>
          <w:rFonts w:hint="eastAsia"/>
          <w:color w:val="auto"/>
          <w:sz w:val="24"/>
          <w:szCs w:val="24"/>
          <w:highlight w:val="none"/>
          <w:lang w:eastAsia="zh-CN"/>
        </w:rPr>
        <w:t>﹞</w:t>
      </w:r>
      <w:r>
        <w:rPr>
          <w:color w:val="auto"/>
          <w:sz w:val="24"/>
          <w:szCs w:val="24"/>
          <w:highlight w:val="none"/>
          <w:lang w:eastAsia="zh-CN"/>
        </w:rPr>
        <w:t xml:space="preserve">46 </w:t>
      </w:r>
      <w:r>
        <w:rPr>
          <w:rFonts w:hint="eastAsia"/>
          <w:color w:val="auto"/>
          <w:sz w:val="24"/>
          <w:szCs w:val="24"/>
          <w:highlight w:val="none"/>
          <w:lang w:eastAsia="zh-CN"/>
        </w:rPr>
        <w:t xml:space="preserve">号）的相关规定。 </w:t>
      </w:r>
    </w:p>
    <w:p w14:paraId="228E1202">
      <w:pPr>
        <w:spacing w:line="360" w:lineRule="auto"/>
        <w:rPr>
          <w:rFonts w:hint="eastAsia"/>
          <w:color w:val="auto"/>
          <w:sz w:val="24"/>
          <w:szCs w:val="24"/>
          <w:highlight w:val="none"/>
          <w:lang w:eastAsia="zh-CN"/>
        </w:rPr>
      </w:pPr>
      <w:r>
        <w:rPr>
          <w:rFonts w:hint="eastAsia"/>
          <w:color w:val="auto"/>
          <w:sz w:val="24"/>
          <w:szCs w:val="24"/>
          <w:highlight w:val="none"/>
          <w:lang w:val="en-US" w:eastAsia="zh-CN"/>
        </w:rPr>
        <w:t>2、</w:t>
      </w:r>
      <w:r>
        <w:rPr>
          <w:rFonts w:hint="eastAsia"/>
          <w:color w:val="auto"/>
          <w:sz w:val="24"/>
          <w:szCs w:val="24"/>
          <w:highlight w:val="none"/>
          <w:lang w:eastAsia="zh-CN"/>
        </w:rPr>
        <w:t>从业人员、营业收入、资产总额填报上一年度数据，无上一年度数据的新成立企业可不填报。</w:t>
      </w:r>
    </w:p>
    <w:p w14:paraId="0CCBA28E">
      <w:pPr>
        <w:rPr>
          <w:rFonts w:hint="eastAsia"/>
          <w:color w:val="auto"/>
          <w:sz w:val="24"/>
          <w:szCs w:val="24"/>
          <w:highlight w:val="none"/>
          <w:lang w:eastAsia="zh-CN"/>
        </w:rPr>
      </w:pPr>
      <w:r>
        <w:rPr>
          <w:rFonts w:hint="eastAsia"/>
          <w:color w:val="auto"/>
          <w:sz w:val="24"/>
          <w:szCs w:val="24"/>
          <w:highlight w:val="none"/>
          <w:lang w:eastAsia="zh-CN"/>
        </w:rPr>
        <w:br w:type="page"/>
      </w:r>
    </w:p>
    <w:p w14:paraId="359DBF25">
      <w:pPr>
        <w:pageBreakBefore/>
        <w:spacing w:line="360" w:lineRule="auto"/>
        <w:ind w:left="40"/>
        <w:rPr>
          <w:rFonts w:ascii="宋体" w:hAnsi="宋体" w:eastAsia="宋体" w:cs="宋体"/>
          <w:color w:val="auto"/>
          <w:sz w:val="24"/>
          <w:szCs w:val="24"/>
          <w:highlight w:val="none"/>
          <w:lang w:eastAsia="zh-CN"/>
        </w:rPr>
      </w:pPr>
      <w:r>
        <w:rPr>
          <w:rFonts w:hint="eastAsia" w:ascii="宋体" w:hAnsi="宋体" w:eastAsia="宋体" w:cs="宋体"/>
          <w:b/>
          <w:bCs/>
          <w:color w:val="auto"/>
          <w:spacing w:val="-12"/>
          <w:sz w:val="24"/>
          <w:szCs w:val="24"/>
          <w:highlight w:val="none"/>
          <w:lang w:eastAsia="zh-CN"/>
        </w:rPr>
        <w:t>附件1</w:t>
      </w:r>
    </w:p>
    <w:p w14:paraId="0A4E0FE1">
      <w:pPr>
        <w:spacing w:line="360" w:lineRule="auto"/>
        <w:ind w:firstLine="467" w:firstLineChars="206"/>
        <w:rPr>
          <w:rFonts w:ascii="宋体" w:hAnsi="宋体" w:eastAsia="宋体" w:cs="宋体"/>
          <w:color w:val="auto"/>
          <w:sz w:val="24"/>
          <w:szCs w:val="24"/>
          <w:highlight w:val="none"/>
          <w:lang w:eastAsia="zh-CN"/>
        </w:rPr>
      </w:pPr>
      <w:bookmarkStart w:id="167" w:name="bookmark285"/>
      <w:bookmarkEnd w:id="167"/>
      <w:r>
        <w:rPr>
          <w:rFonts w:hint="eastAsia" w:ascii="宋体" w:hAnsi="宋体" w:eastAsia="宋体" w:cs="宋体"/>
          <w:b/>
          <w:bCs/>
          <w:color w:val="auto"/>
          <w:spacing w:val="-7"/>
          <w:sz w:val="24"/>
          <w:szCs w:val="24"/>
          <w:highlight w:val="none"/>
          <w:lang w:eastAsia="zh-CN"/>
        </w:rPr>
        <w:t>（一）关于“中小企业声明函”的填写要求</w:t>
      </w:r>
    </w:p>
    <w:p w14:paraId="643509F6">
      <w:pPr>
        <w:spacing w:line="360" w:lineRule="auto"/>
        <w:ind w:right="38" w:firstLine="350" w:firstLineChars="155"/>
        <w:rPr>
          <w:rFonts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“中小企业声明函”具体填写要求如下：</w:t>
      </w:r>
    </w:p>
    <w:p w14:paraId="21863790">
      <w:pPr>
        <w:spacing w:line="360" w:lineRule="auto"/>
        <w:ind w:right="38" w:firstLine="359" w:firstLineChars="155"/>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1.“单位名称”应填写采购人名称。</w:t>
      </w:r>
    </w:p>
    <w:p w14:paraId="6A203B47">
      <w:pPr>
        <w:spacing w:line="360" w:lineRule="auto"/>
        <w:ind w:right="234" w:firstLine="359" w:firstLineChars="155"/>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2.“项目名称”应按照采购文件中确定的项目名称填写。对于分包方</w:t>
      </w:r>
      <w:r>
        <w:rPr>
          <w:rFonts w:hint="eastAsia" w:ascii="宋体" w:hAnsi="宋体" w:eastAsia="宋体" w:cs="宋体"/>
          <w:color w:val="auto"/>
          <w:spacing w:val="-5"/>
          <w:sz w:val="24"/>
          <w:szCs w:val="24"/>
          <w:highlight w:val="none"/>
          <w:lang w:eastAsia="zh-CN"/>
        </w:rPr>
        <w:t>式面向</w:t>
      </w:r>
      <w:r>
        <w:rPr>
          <w:rFonts w:hint="eastAsia" w:ascii="宋体" w:hAnsi="宋体" w:eastAsia="宋体" w:cs="宋体"/>
          <w:color w:val="auto"/>
          <w:spacing w:val="-4"/>
          <w:sz w:val="24"/>
          <w:szCs w:val="24"/>
          <w:highlight w:val="none"/>
          <w:lang w:eastAsia="zh-CN"/>
        </w:rPr>
        <w:t>中小企业采购的项目，应标明中小企业的具体分包内容；对于以联合体方式面向</w:t>
      </w:r>
      <w:r>
        <w:rPr>
          <w:rFonts w:hint="eastAsia" w:ascii="宋体" w:hAnsi="宋体" w:eastAsia="宋体" w:cs="宋体"/>
          <w:color w:val="auto"/>
          <w:spacing w:val="-1"/>
          <w:sz w:val="24"/>
          <w:szCs w:val="24"/>
          <w:highlight w:val="none"/>
          <w:lang w:eastAsia="zh-CN"/>
        </w:rPr>
        <w:t>中小企业采购的项目，应标明联合体中中小企业所承担的具体</w:t>
      </w:r>
      <w:r>
        <w:rPr>
          <w:rFonts w:hint="eastAsia" w:ascii="宋体" w:hAnsi="宋体" w:eastAsia="宋体" w:cs="宋体"/>
          <w:color w:val="auto"/>
          <w:spacing w:val="-2"/>
          <w:sz w:val="24"/>
          <w:szCs w:val="24"/>
          <w:highlight w:val="none"/>
          <w:lang w:eastAsia="zh-CN"/>
        </w:rPr>
        <w:t>内容。</w:t>
      </w:r>
    </w:p>
    <w:p w14:paraId="177F8921">
      <w:pPr>
        <w:spacing w:line="360" w:lineRule="auto"/>
        <w:ind w:right="26" w:firstLine="359" w:firstLineChars="155"/>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3.“标的名称”应填写采购文件中细化载明的采购标的名称。对</w:t>
      </w:r>
      <w:r>
        <w:rPr>
          <w:rFonts w:hint="eastAsia" w:ascii="宋体" w:hAnsi="宋体" w:eastAsia="宋体" w:cs="宋体"/>
          <w:color w:val="auto"/>
          <w:spacing w:val="-5"/>
          <w:sz w:val="24"/>
          <w:szCs w:val="24"/>
          <w:highlight w:val="none"/>
          <w:lang w:eastAsia="zh-CN"/>
        </w:rPr>
        <w:t>于分包方式</w:t>
      </w:r>
      <w:r>
        <w:rPr>
          <w:rFonts w:hint="eastAsia" w:ascii="宋体" w:hAnsi="宋体" w:eastAsia="宋体" w:cs="宋体"/>
          <w:color w:val="auto"/>
          <w:spacing w:val="-4"/>
          <w:sz w:val="24"/>
          <w:szCs w:val="24"/>
          <w:highlight w:val="none"/>
          <w:lang w:eastAsia="zh-CN"/>
        </w:rPr>
        <w:t>面向中小企业采购的项目，“标的名称”应填写采购文件中注明的分包给中小企</w:t>
      </w:r>
      <w:r>
        <w:rPr>
          <w:rFonts w:hint="eastAsia" w:ascii="宋体" w:hAnsi="宋体" w:eastAsia="宋体" w:cs="宋体"/>
          <w:color w:val="auto"/>
          <w:spacing w:val="2"/>
          <w:sz w:val="24"/>
          <w:szCs w:val="24"/>
          <w:highlight w:val="none"/>
          <w:lang w:eastAsia="zh-CN"/>
        </w:rPr>
        <w:t>业的采购标的名称；对于以联合体方式面向中小企业采购的项目，“标的名称”</w:t>
      </w:r>
      <w:r>
        <w:rPr>
          <w:rFonts w:hint="eastAsia" w:ascii="宋体" w:hAnsi="宋体" w:eastAsia="宋体" w:cs="宋体"/>
          <w:color w:val="auto"/>
          <w:sz w:val="24"/>
          <w:szCs w:val="24"/>
          <w:highlight w:val="none"/>
          <w:lang w:eastAsia="zh-CN"/>
        </w:rPr>
        <w:t>应填写采购文件中注明的联合体中中小企业</w:t>
      </w:r>
      <w:r>
        <w:rPr>
          <w:rFonts w:hint="eastAsia" w:ascii="宋体" w:hAnsi="宋体" w:eastAsia="宋体" w:cs="宋体"/>
          <w:color w:val="auto"/>
          <w:spacing w:val="-1"/>
          <w:sz w:val="24"/>
          <w:szCs w:val="24"/>
          <w:highlight w:val="none"/>
          <w:lang w:eastAsia="zh-CN"/>
        </w:rPr>
        <w:t>承担的采购标的名称。</w:t>
      </w:r>
    </w:p>
    <w:p w14:paraId="29890CE5">
      <w:pPr>
        <w:spacing w:line="360" w:lineRule="auto"/>
        <w:ind w:right="234" w:firstLine="359" w:firstLineChars="155"/>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4.</w:t>
      </w:r>
      <w:r>
        <w:rPr>
          <w:rFonts w:hint="eastAsia" w:ascii="宋体" w:hAnsi="宋体" w:eastAsia="宋体" w:cs="宋体"/>
          <w:b/>
          <w:bCs/>
          <w:color w:val="auto"/>
          <w:spacing w:val="-4"/>
          <w:sz w:val="24"/>
          <w:szCs w:val="24"/>
          <w:highlight w:val="none"/>
          <w:lang w:eastAsia="zh-CN"/>
        </w:rPr>
        <w:t>“采购文件中明确的所属行业”应填写采购文件中明确的采购标的所属行</w:t>
      </w:r>
      <w:r>
        <w:rPr>
          <w:rFonts w:hint="eastAsia" w:ascii="宋体" w:hAnsi="宋体" w:eastAsia="宋体" w:cs="宋体"/>
          <w:b/>
          <w:bCs/>
          <w:color w:val="auto"/>
          <w:spacing w:val="-3"/>
          <w:sz w:val="24"/>
          <w:szCs w:val="24"/>
          <w:highlight w:val="none"/>
          <w:lang w:eastAsia="zh-CN"/>
        </w:rPr>
        <w:t>业，</w:t>
      </w:r>
      <w:r>
        <w:rPr>
          <w:rFonts w:hint="eastAsia" w:ascii="宋体" w:hAnsi="宋体" w:eastAsia="宋体" w:cs="宋体"/>
          <w:color w:val="auto"/>
          <w:spacing w:val="-3"/>
          <w:sz w:val="24"/>
          <w:szCs w:val="24"/>
          <w:highlight w:val="none"/>
          <w:lang w:eastAsia="zh-CN"/>
        </w:rPr>
        <w:t>并应确保与采购标的涉及的货物制造商/服务承接商/工程承建商（根据项目</w:t>
      </w:r>
      <w:r>
        <w:rPr>
          <w:rFonts w:hint="eastAsia" w:ascii="宋体" w:hAnsi="宋体" w:eastAsia="宋体" w:cs="宋体"/>
          <w:color w:val="auto"/>
          <w:spacing w:val="-1"/>
          <w:sz w:val="24"/>
          <w:szCs w:val="24"/>
          <w:highlight w:val="none"/>
          <w:lang w:eastAsia="zh-CN"/>
        </w:rPr>
        <w:t>属性确定）本身的所属行业保持一致。</w:t>
      </w:r>
    </w:p>
    <w:p w14:paraId="21D6F043">
      <w:pPr>
        <w:spacing w:line="360" w:lineRule="auto"/>
        <w:ind w:right="234" w:firstLine="359" w:firstLineChars="155"/>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对于分包方式面向中小企业采购的项目，“采购文件中明确的所属行</w:t>
      </w:r>
      <w:r>
        <w:rPr>
          <w:rFonts w:hint="eastAsia" w:ascii="宋体" w:hAnsi="宋体" w:eastAsia="宋体" w:cs="宋体"/>
          <w:color w:val="auto"/>
          <w:spacing w:val="-5"/>
          <w:sz w:val="24"/>
          <w:szCs w:val="24"/>
          <w:highlight w:val="none"/>
          <w:lang w:eastAsia="zh-CN"/>
        </w:rPr>
        <w:t>业”应</w:t>
      </w:r>
      <w:r>
        <w:rPr>
          <w:rFonts w:hint="eastAsia" w:ascii="宋体" w:hAnsi="宋体" w:eastAsia="宋体" w:cs="宋体"/>
          <w:color w:val="auto"/>
          <w:spacing w:val="-3"/>
          <w:sz w:val="24"/>
          <w:szCs w:val="24"/>
          <w:highlight w:val="none"/>
          <w:lang w:eastAsia="zh-CN"/>
        </w:rPr>
        <w:t>按照采购文件中注明的分包给中小企业的采购标的所属行业填写，并应确保与该分包部分采购标的涉及的货物制造商/服务承接商/工程承建商（根据项目属性确</w:t>
      </w:r>
      <w:r>
        <w:rPr>
          <w:rFonts w:hint="eastAsia" w:ascii="宋体" w:hAnsi="宋体" w:eastAsia="宋体" w:cs="宋体"/>
          <w:color w:val="auto"/>
          <w:spacing w:val="-1"/>
          <w:sz w:val="24"/>
          <w:szCs w:val="24"/>
          <w:highlight w:val="none"/>
          <w:lang w:eastAsia="zh-CN"/>
        </w:rPr>
        <w:t>定）本身的所属行业保持一致。</w:t>
      </w:r>
    </w:p>
    <w:p w14:paraId="5C85A17E">
      <w:pPr>
        <w:spacing w:line="360" w:lineRule="auto"/>
        <w:ind w:firstLine="359" w:firstLineChars="155"/>
        <w:rPr>
          <w:rFonts w:ascii="宋体" w:hAnsi="宋体" w:eastAsia="宋体" w:cs="宋体"/>
          <w:color w:val="auto"/>
          <w:spacing w:val="-1"/>
          <w:sz w:val="24"/>
          <w:szCs w:val="24"/>
          <w:highlight w:val="none"/>
          <w:lang w:eastAsia="zh-CN"/>
        </w:rPr>
      </w:pPr>
      <w:r>
        <w:rPr>
          <w:rFonts w:hint="eastAsia" w:ascii="宋体" w:hAnsi="宋体" w:eastAsia="宋体" w:cs="宋体"/>
          <w:color w:val="auto"/>
          <w:spacing w:val="-4"/>
          <w:sz w:val="24"/>
          <w:szCs w:val="24"/>
          <w:highlight w:val="none"/>
          <w:lang w:eastAsia="zh-CN"/>
        </w:rPr>
        <w:t>对于以联合体方式面向中小企业采购的项目，“采购文件中明确的所</w:t>
      </w:r>
      <w:r>
        <w:rPr>
          <w:rFonts w:hint="eastAsia" w:ascii="宋体" w:hAnsi="宋体" w:eastAsia="宋体" w:cs="宋体"/>
          <w:color w:val="auto"/>
          <w:spacing w:val="-5"/>
          <w:sz w:val="24"/>
          <w:szCs w:val="24"/>
          <w:highlight w:val="none"/>
          <w:lang w:eastAsia="zh-CN"/>
        </w:rPr>
        <w:t>属行业”</w:t>
      </w:r>
      <w:r>
        <w:rPr>
          <w:rFonts w:hint="eastAsia" w:ascii="宋体" w:hAnsi="宋体" w:eastAsia="宋体" w:cs="宋体"/>
          <w:color w:val="auto"/>
          <w:spacing w:val="-3"/>
          <w:sz w:val="24"/>
          <w:szCs w:val="24"/>
          <w:highlight w:val="none"/>
          <w:lang w:eastAsia="zh-CN"/>
        </w:rPr>
        <w:t>应按照采购文件中注明的联合体中中小企业承担的采购标的所属行业填写，并应确保与该承担部分采购标的涉及的货物制造商/服务承接商/工程承建商（根据项</w:t>
      </w:r>
      <w:r>
        <w:rPr>
          <w:rFonts w:hint="eastAsia" w:ascii="宋体" w:hAnsi="宋体" w:eastAsia="宋体" w:cs="宋体"/>
          <w:color w:val="auto"/>
          <w:spacing w:val="-1"/>
          <w:sz w:val="24"/>
          <w:szCs w:val="24"/>
          <w:highlight w:val="none"/>
          <w:lang w:eastAsia="zh-CN"/>
        </w:rPr>
        <w:t>目属性确定）本身的所属行业保持一致。</w:t>
      </w:r>
    </w:p>
    <w:p w14:paraId="1A86EFEC">
      <w:pPr>
        <w:spacing w:line="360" w:lineRule="auto"/>
        <w:ind w:right="234" w:firstLine="359" w:firstLineChars="155"/>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5.“企业名称”应填写投标（响应）的供应商/服务承接商/工程承建商</w:t>
      </w:r>
      <w:r>
        <w:rPr>
          <w:rFonts w:hint="eastAsia" w:ascii="宋体" w:hAnsi="宋体" w:eastAsia="宋体" w:cs="宋体"/>
          <w:color w:val="auto"/>
          <w:spacing w:val="-2"/>
          <w:sz w:val="24"/>
          <w:szCs w:val="24"/>
          <w:highlight w:val="none"/>
          <w:lang w:eastAsia="zh-CN"/>
        </w:rPr>
        <w:t>（根据项目属性确定）。</w:t>
      </w:r>
    </w:p>
    <w:p w14:paraId="0DD43B0F">
      <w:pPr>
        <w:spacing w:line="360" w:lineRule="auto"/>
        <w:ind w:right="237" w:firstLine="359" w:firstLineChars="155"/>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对于分包方式面向中小企业采购的项目，“企业名称”应填写</w:t>
      </w:r>
      <w:r>
        <w:rPr>
          <w:rFonts w:hint="eastAsia" w:ascii="宋体" w:hAnsi="宋体" w:eastAsia="宋体" w:cs="宋体"/>
          <w:color w:val="auto"/>
          <w:spacing w:val="-5"/>
          <w:sz w:val="24"/>
          <w:szCs w:val="24"/>
          <w:highlight w:val="none"/>
          <w:lang w:eastAsia="zh-CN"/>
        </w:rPr>
        <w:t>分包部分采购</w:t>
      </w:r>
      <w:r>
        <w:rPr>
          <w:rFonts w:hint="eastAsia" w:ascii="宋体" w:hAnsi="宋体" w:eastAsia="宋体" w:cs="宋体"/>
          <w:color w:val="auto"/>
          <w:sz w:val="24"/>
          <w:szCs w:val="24"/>
          <w:highlight w:val="none"/>
          <w:lang w:eastAsia="zh-CN"/>
        </w:rPr>
        <w:t>标的对应的供应商/服务承接商/工程承建</w:t>
      </w:r>
      <w:r>
        <w:rPr>
          <w:rFonts w:hint="eastAsia" w:ascii="宋体" w:hAnsi="宋体" w:eastAsia="宋体" w:cs="宋体"/>
          <w:color w:val="auto"/>
          <w:spacing w:val="-1"/>
          <w:sz w:val="24"/>
          <w:szCs w:val="24"/>
          <w:highlight w:val="none"/>
          <w:lang w:eastAsia="zh-CN"/>
        </w:rPr>
        <w:t>商（根据项目属性确定）。</w:t>
      </w:r>
    </w:p>
    <w:p w14:paraId="34CFEA76">
      <w:pPr>
        <w:spacing w:line="360" w:lineRule="auto"/>
        <w:ind w:firstLine="359" w:firstLineChars="155"/>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对于以联合体方式面向中小企业采购的项目，“企业名称”应填写联</w:t>
      </w:r>
      <w:r>
        <w:rPr>
          <w:rFonts w:hint="eastAsia" w:ascii="宋体" w:hAnsi="宋体" w:eastAsia="宋体" w:cs="宋体"/>
          <w:color w:val="auto"/>
          <w:spacing w:val="-5"/>
          <w:sz w:val="24"/>
          <w:szCs w:val="24"/>
          <w:highlight w:val="none"/>
          <w:lang w:eastAsia="zh-CN"/>
        </w:rPr>
        <w:t>合体中</w:t>
      </w:r>
      <w:r>
        <w:rPr>
          <w:rFonts w:hint="eastAsia" w:ascii="宋体" w:hAnsi="宋体" w:eastAsia="宋体" w:cs="宋体"/>
          <w:color w:val="auto"/>
          <w:spacing w:val="-3"/>
          <w:sz w:val="24"/>
          <w:szCs w:val="24"/>
          <w:highlight w:val="none"/>
          <w:lang w:eastAsia="zh-CN"/>
        </w:rPr>
        <w:t>中小企业承担采购标的对应的供应商/服务承接商/工程承建商（根据项目属性确定）。</w:t>
      </w:r>
    </w:p>
    <w:p w14:paraId="6731595F">
      <w:pPr>
        <w:widowControl w:val="0"/>
        <w:spacing w:line="360" w:lineRule="auto"/>
        <w:ind w:right="79" w:firstLine="362" w:firstLineChars="155"/>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6.从业人员、资产总额指标以上年度末数据为依据，营业收入指标</w:t>
      </w:r>
      <w:r>
        <w:rPr>
          <w:rFonts w:hint="eastAsia" w:ascii="宋体" w:hAnsi="宋体" w:eastAsia="宋体" w:cs="宋体"/>
          <w:color w:val="auto"/>
          <w:spacing w:val="-4"/>
          <w:sz w:val="24"/>
          <w:szCs w:val="24"/>
          <w:highlight w:val="none"/>
          <w:lang w:eastAsia="zh-CN"/>
        </w:rPr>
        <w:t>以上年度</w:t>
      </w:r>
      <w:r>
        <w:rPr>
          <w:rFonts w:hint="eastAsia" w:ascii="宋体" w:hAnsi="宋体" w:eastAsia="宋体" w:cs="宋体"/>
          <w:color w:val="auto"/>
          <w:spacing w:val="-1"/>
          <w:sz w:val="24"/>
          <w:szCs w:val="24"/>
          <w:highlight w:val="none"/>
          <w:lang w:eastAsia="zh-CN"/>
        </w:rPr>
        <w:t>累计数据为依据。无上年度数据的新成立企业可不填报。</w:t>
      </w:r>
    </w:p>
    <w:p w14:paraId="6ED616E9">
      <w:pPr>
        <w:spacing w:line="360" w:lineRule="auto"/>
        <w:ind w:right="80" w:firstLine="356" w:firstLineChars="155"/>
        <w:rPr>
          <w:rFonts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eastAsia="zh-CN"/>
        </w:rPr>
        <w:t>7.“中型企业/小型企业/微型企业”部分，供应商应依据企业上年度从业人</w:t>
      </w:r>
      <w:r>
        <w:rPr>
          <w:rFonts w:hint="eastAsia" w:ascii="宋体" w:hAnsi="宋体" w:eastAsia="宋体" w:cs="宋体"/>
          <w:color w:val="auto"/>
          <w:spacing w:val="-3"/>
          <w:sz w:val="24"/>
          <w:szCs w:val="24"/>
          <w:highlight w:val="none"/>
          <w:lang w:eastAsia="zh-CN"/>
        </w:rPr>
        <w:t>员、营业收入、资产总额等指标，按照《中小企业划型标准规定》（工信部联企</w:t>
      </w:r>
      <w:r>
        <w:rPr>
          <w:rFonts w:hint="eastAsia" w:ascii="宋体" w:hAnsi="宋体" w:eastAsia="宋体" w:cs="宋体"/>
          <w:color w:val="auto"/>
          <w:spacing w:val="-1"/>
          <w:sz w:val="24"/>
          <w:szCs w:val="24"/>
          <w:highlight w:val="none"/>
          <w:lang w:eastAsia="zh-CN"/>
        </w:rPr>
        <w:t>业〔2011〕300号）、《金融业企业划型标准规定》（银发〔2015〕309号</w:t>
      </w:r>
      <w:r>
        <w:rPr>
          <w:rFonts w:hint="eastAsia" w:ascii="宋体" w:hAnsi="宋体" w:eastAsia="宋体" w:cs="宋体"/>
          <w:color w:val="auto"/>
          <w:spacing w:val="13"/>
          <w:sz w:val="24"/>
          <w:szCs w:val="24"/>
          <w:highlight w:val="none"/>
          <w:lang w:eastAsia="zh-CN"/>
        </w:rPr>
        <w:t>），</w:t>
      </w:r>
      <w:r>
        <w:rPr>
          <w:rFonts w:hint="eastAsia" w:ascii="宋体" w:hAnsi="宋体" w:eastAsia="宋体" w:cs="宋体"/>
          <w:color w:val="auto"/>
          <w:spacing w:val="-5"/>
          <w:sz w:val="24"/>
          <w:szCs w:val="24"/>
          <w:highlight w:val="none"/>
          <w:lang w:eastAsia="zh-CN"/>
        </w:rPr>
        <w:t>判断“中小企业声明函”载明的货物制造商/服务承接商/工程承建商（根据项目</w:t>
      </w:r>
      <w:r>
        <w:rPr>
          <w:rFonts w:hint="eastAsia" w:ascii="宋体" w:hAnsi="宋体" w:eastAsia="宋体" w:cs="宋体"/>
          <w:color w:val="auto"/>
          <w:sz w:val="24"/>
          <w:szCs w:val="24"/>
          <w:highlight w:val="none"/>
          <w:lang w:eastAsia="zh-CN"/>
        </w:rPr>
        <w:t>属性确定）是否属于采购文件所属行业的中型企业/</w:t>
      </w:r>
      <w:r>
        <w:rPr>
          <w:rFonts w:hint="eastAsia" w:ascii="宋体" w:hAnsi="宋体" w:eastAsia="宋体" w:cs="宋体"/>
          <w:color w:val="auto"/>
          <w:spacing w:val="-1"/>
          <w:sz w:val="24"/>
          <w:szCs w:val="24"/>
          <w:highlight w:val="none"/>
          <w:lang w:eastAsia="zh-CN"/>
        </w:rPr>
        <w:t>小型企业/微型企业。</w:t>
      </w:r>
    </w:p>
    <w:p w14:paraId="63E58EFD">
      <w:pPr>
        <w:spacing w:line="360" w:lineRule="auto"/>
        <w:ind w:right="26" w:firstLine="365" w:firstLineChars="155"/>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8.对于已纳入统计部门统计范围的企业，所属行业、从业人员、营业收入、</w:t>
      </w:r>
      <w:r>
        <w:rPr>
          <w:rFonts w:hint="eastAsia" w:ascii="宋体" w:hAnsi="宋体" w:eastAsia="宋体" w:cs="宋体"/>
          <w:color w:val="auto"/>
          <w:spacing w:val="-3"/>
          <w:sz w:val="24"/>
          <w:szCs w:val="24"/>
          <w:highlight w:val="none"/>
          <w:lang w:eastAsia="zh-CN"/>
        </w:rPr>
        <w:t>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w:t>
      </w:r>
      <w:r>
        <w:rPr>
          <w:rFonts w:hint="eastAsia" w:ascii="宋体" w:hAnsi="宋体" w:eastAsia="宋体" w:cs="宋体"/>
          <w:color w:val="auto"/>
          <w:spacing w:val="-2"/>
          <w:sz w:val="24"/>
          <w:szCs w:val="24"/>
          <w:highlight w:val="none"/>
          <w:lang w:eastAsia="zh-CN"/>
        </w:rPr>
        <w:t>据的来源依据。</w:t>
      </w:r>
    </w:p>
    <w:p w14:paraId="7F398D23">
      <w:pPr>
        <w:spacing w:line="360" w:lineRule="auto"/>
        <w:ind w:left="592"/>
        <w:rPr>
          <w:rFonts w:ascii="宋体" w:hAnsi="宋体" w:eastAsia="宋体" w:cs="宋体"/>
          <w:color w:val="auto"/>
          <w:sz w:val="24"/>
          <w:szCs w:val="24"/>
          <w:highlight w:val="none"/>
          <w:lang w:eastAsia="zh-CN"/>
        </w:rPr>
      </w:pPr>
      <w:r>
        <w:rPr>
          <w:rFonts w:hint="eastAsia" w:ascii="宋体" w:hAnsi="宋体" w:eastAsia="宋体" w:cs="宋体"/>
          <w:b/>
          <w:bCs/>
          <w:color w:val="auto"/>
          <w:spacing w:val="-7"/>
          <w:sz w:val="24"/>
          <w:szCs w:val="24"/>
          <w:highlight w:val="none"/>
          <w:lang w:eastAsia="zh-CN"/>
        </w:rPr>
        <w:t>（二）关于“中小企业声明函”的提交要求</w:t>
      </w:r>
    </w:p>
    <w:p w14:paraId="556386AB">
      <w:pPr>
        <w:spacing w:line="360" w:lineRule="auto"/>
        <w:ind w:left="23" w:firstLine="497"/>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1.投标（响应）供应商对“中小企业声明函”的真实性负责。</w:t>
      </w:r>
      <w:r>
        <w:rPr>
          <w:rFonts w:hint="eastAsia" w:ascii="宋体" w:hAnsi="宋体" w:eastAsia="宋体" w:cs="宋体"/>
          <w:color w:val="auto"/>
          <w:spacing w:val="-4"/>
          <w:sz w:val="24"/>
          <w:szCs w:val="24"/>
          <w:highlight w:val="none"/>
          <w:lang w:eastAsia="zh-CN"/>
        </w:rPr>
        <w:t>投标（响应）</w:t>
      </w:r>
      <w:r>
        <w:rPr>
          <w:rFonts w:hint="eastAsia" w:ascii="宋体" w:hAnsi="宋体" w:eastAsia="宋体" w:cs="宋体"/>
          <w:color w:val="auto"/>
          <w:spacing w:val="-3"/>
          <w:sz w:val="24"/>
          <w:szCs w:val="24"/>
          <w:highlight w:val="none"/>
          <w:lang w:eastAsia="zh-CN"/>
        </w:rPr>
        <w:t>供应商应当核实投标（响应）的货物制造商/服务承接商/工程承建商（根据项目</w:t>
      </w:r>
      <w:r>
        <w:rPr>
          <w:rFonts w:hint="eastAsia" w:ascii="宋体" w:hAnsi="宋体" w:eastAsia="宋体" w:cs="宋体"/>
          <w:color w:val="auto"/>
          <w:spacing w:val="-7"/>
          <w:sz w:val="24"/>
          <w:szCs w:val="24"/>
          <w:highlight w:val="none"/>
          <w:lang w:eastAsia="zh-CN"/>
        </w:rPr>
        <w:t>属性确定）的相关信息，如对相关信息了解不充分，或</w:t>
      </w:r>
      <w:r>
        <w:rPr>
          <w:rFonts w:hint="eastAsia" w:ascii="宋体" w:hAnsi="宋体" w:eastAsia="宋体" w:cs="宋体"/>
          <w:color w:val="auto"/>
          <w:spacing w:val="-8"/>
          <w:sz w:val="24"/>
          <w:szCs w:val="24"/>
          <w:highlight w:val="none"/>
          <w:lang w:eastAsia="zh-CN"/>
        </w:rPr>
        <w:t>者不能确定相关信息真实、</w:t>
      </w:r>
      <w:r>
        <w:rPr>
          <w:rFonts w:hint="eastAsia" w:ascii="宋体" w:hAnsi="宋体" w:eastAsia="宋体" w:cs="宋体"/>
          <w:color w:val="auto"/>
          <w:spacing w:val="-3"/>
          <w:sz w:val="24"/>
          <w:szCs w:val="24"/>
          <w:highlight w:val="none"/>
          <w:lang w:eastAsia="zh-CN"/>
        </w:rPr>
        <w:t>准确的，不建议出具“中小企业声明函”。</w:t>
      </w:r>
    </w:p>
    <w:p w14:paraId="7B961B22">
      <w:pPr>
        <w:spacing w:line="360" w:lineRule="auto"/>
        <w:ind w:left="23" w:right="80" w:firstLine="482"/>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2.鼓励供应商在投标（响应）时一并提供对货物制造商、服务承</w:t>
      </w:r>
      <w:r>
        <w:rPr>
          <w:rFonts w:hint="eastAsia" w:ascii="宋体" w:hAnsi="宋体" w:eastAsia="宋体" w:cs="宋体"/>
          <w:color w:val="auto"/>
          <w:spacing w:val="-4"/>
          <w:sz w:val="24"/>
          <w:szCs w:val="24"/>
          <w:highlight w:val="none"/>
          <w:lang w:eastAsia="zh-CN"/>
        </w:rPr>
        <w:t>接商、工程</w:t>
      </w:r>
      <w:r>
        <w:rPr>
          <w:rFonts w:hint="eastAsia" w:ascii="宋体" w:hAnsi="宋体" w:eastAsia="宋体" w:cs="宋体"/>
          <w:color w:val="auto"/>
          <w:spacing w:val="-1"/>
          <w:sz w:val="24"/>
          <w:szCs w:val="24"/>
          <w:highlight w:val="none"/>
          <w:lang w:eastAsia="zh-CN"/>
        </w:rPr>
        <w:t>承建商相关信息的核实核验情况以及其他佐证材料。</w:t>
      </w:r>
    </w:p>
    <w:p w14:paraId="775891EE">
      <w:pPr>
        <w:spacing w:line="360" w:lineRule="auto"/>
        <w:ind w:left="22" w:right="18" w:firstLine="485"/>
        <w:rPr>
          <w:rFonts w:ascii="宋体" w:hAnsi="宋体" w:eastAsia="宋体" w:cs="宋体"/>
          <w:color w:val="auto"/>
          <w:sz w:val="24"/>
          <w:szCs w:val="24"/>
          <w:highlight w:val="none"/>
          <w:lang w:eastAsia="zh-CN"/>
        </w:rPr>
      </w:pPr>
      <w:r>
        <w:rPr>
          <w:rFonts w:hint="eastAsia" w:ascii="宋体" w:hAnsi="宋体" w:eastAsia="宋体" w:cs="宋体"/>
          <w:color w:val="auto"/>
          <w:spacing w:val="-9"/>
          <w:sz w:val="24"/>
          <w:szCs w:val="24"/>
          <w:highlight w:val="none"/>
          <w:lang w:eastAsia="zh-CN"/>
        </w:rPr>
        <w:t>3.如供应商提供的“中小企业声明函”存在按采购文件所属行业划</w:t>
      </w:r>
      <w:r>
        <w:rPr>
          <w:rFonts w:hint="eastAsia" w:ascii="宋体" w:hAnsi="宋体" w:eastAsia="宋体" w:cs="宋体"/>
          <w:color w:val="auto"/>
          <w:spacing w:val="-10"/>
          <w:sz w:val="24"/>
          <w:szCs w:val="24"/>
          <w:highlight w:val="none"/>
          <w:lang w:eastAsia="zh-CN"/>
        </w:rPr>
        <w:t>型不实的，</w:t>
      </w:r>
      <w:r>
        <w:rPr>
          <w:rFonts w:hint="eastAsia" w:ascii="宋体" w:hAnsi="宋体" w:eastAsia="宋体" w:cs="宋体"/>
          <w:color w:val="auto"/>
          <w:spacing w:val="-3"/>
          <w:sz w:val="24"/>
          <w:szCs w:val="24"/>
          <w:highlight w:val="none"/>
          <w:lang w:eastAsia="zh-CN"/>
        </w:rPr>
        <w:t>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w:t>
      </w:r>
      <w:r>
        <w:rPr>
          <w:rFonts w:hint="eastAsia" w:ascii="宋体" w:hAnsi="宋体" w:eastAsia="宋体" w:cs="宋体"/>
          <w:color w:val="auto"/>
          <w:spacing w:val="-2"/>
          <w:sz w:val="24"/>
          <w:szCs w:val="24"/>
          <w:highlight w:val="none"/>
          <w:lang w:eastAsia="zh-CN"/>
        </w:rPr>
        <w:t>刑事责任。</w:t>
      </w:r>
    </w:p>
    <w:p w14:paraId="525A4268">
      <w:pPr>
        <w:spacing w:line="360" w:lineRule="auto"/>
        <w:rPr>
          <w:rFonts w:ascii="宋体" w:hAnsi="宋体" w:eastAsia="宋体" w:cs="宋体"/>
          <w:color w:val="auto"/>
          <w:sz w:val="24"/>
          <w:szCs w:val="24"/>
          <w:highlight w:val="none"/>
          <w:lang w:eastAsia="zh-CN"/>
        </w:rPr>
      </w:pPr>
    </w:p>
    <w:p w14:paraId="6C32FFF3">
      <w:pPr>
        <w:pageBreakBefore/>
        <w:spacing w:before="97" w:line="360" w:lineRule="auto"/>
        <w:ind w:left="40"/>
        <w:outlineLvl w:val="2"/>
        <w:rPr>
          <w:rFonts w:ascii="宋体" w:hAnsi="宋体" w:eastAsia="宋体" w:cs="宋体"/>
          <w:b/>
          <w:bCs/>
          <w:color w:val="auto"/>
          <w:spacing w:val="-3"/>
          <w:sz w:val="24"/>
          <w:szCs w:val="24"/>
          <w:highlight w:val="none"/>
          <w:lang w:eastAsia="zh-CN"/>
        </w:rPr>
      </w:pPr>
      <w:bookmarkStart w:id="168" w:name="_Toc17381"/>
      <w:bookmarkStart w:id="169" w:name="_Toc186477803"/>
      <w:r>
        <w:rPr>
          <w:rFonts w:hint="eastAsia" w:ascii="宋体" w:hAnsi="宋体" w:eastAsia="宋体" w:cs="宋体"/>
          <w:b/>
          <w:bCs/>
          <w:color w:val="auto"/>
          <w:spacing w:val="-3"/>
          <w:sz w:val="24"/>
          <w:szCs w:val="24"/>
          <w:highlight w:val="none"/>
          <w:lang w:eastAsia="zh-CN"/>
        </w:rPr>
        <w:t>（二）监狱企业证明文件【如适用】</w:t>
      </w:r>
      <w:bookmarkEnd w:id="168"/>
      <w:bookmarkEnd w:id="169"/>
    </w:p>
    <w:p w14:paraId="326EC70E">
      <w:pPr>
        <w:spacing w:line="360" w:lineRule="auto"/>
        <w:rPr>
          <w:rFonts w:ascii="宋体" w:hAnsi="宋体" w:eastAsia="宋体" w:cs="宋体"/>
          <w:color w:val="auto"/>
          <w:highlight w:val="none"/>
          <w:lang w:eastAsia="zh-CN"/>
        </w:rPr>
      </w:pPr>
    </w:p>
    <w:p w14:paraId="5760ECE6">
      <w:pPr>
        <w:spacing w:line="360" w:lineRule="auto"/>
        <w:rPr>
          <w:rFonts w:ascii="宋体" w:hAnsi="宋体" w:eastAsia="宋体" w:cs="宋体"/>
          <w:color w:val="auto"/>
          <w:highlight w:val="none"/>
          <w:lang w:eastAsia="zh-CN"/>
        </w:rPr>
      </w:pPr>
    </w:p>
    <w:p w14:paraId="0C256DFA">
      <w:pPr>
        <w:spacing w:line="360" w:lineRule="auto"/>
        <w:rPr>
          <w:rFonts w:ascii="宋体" w:hAnsi="宋体" w:eastAsia="宋体" w:cs="宋体"/>
          <w:color w:val="auto"/>
          <w:highlight w:val="none"/>
          <w:lang w:eastAsia="zh-CN"/>
        </w:rPr>
      </w:pPr>
    </w:p>
    <w:p w14:paraId="714D3027">
      <w:pPr>
        <w:spacing w:before="78" w:line="360" w:lineRule="auto"/>
        <w:ind w:left="27" w:right="13" w:firstLine="469"/>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【监狱企业应当提供由省级及以上监狱管理局、戒毒管理局（含新疆生产建</w:t>
      </w:r>
      <w:r>
        <w:rPr>
          <w:rFonts w:hint="eastAsia" w:ascii="宋体" w:hAnsi="宋体" w:eastAsia="宋体" w:cs="宋体"/>
          <w:color w:val="auto"/>
          <w:spacing w:val="-1"/>
          <w:sz w:val="24"/>
          <w:szCs w:val="24"/>
          <w:highlight w:val="none"/>
          <w:lang w:eastAsia="zh-CN"/>
        </w:rPr>
        <w:t>设兵团）出具的监狱企业的证明文件，格式如下】。</w:t>
      </w:r>
    </w:p>
    <w:p w14:paraId="32722DAB">
      <w:pPr>
        <w:spacing w:line="360" w:lineRule="auto"/>
        <w:rPr>
          <w:rFonts w:ascii="宋体" w:hAnsi="宋体" w:eastAsia="宋体" w:cs="宋体"/>
          <w:color w:val="auto"/>
          <w:highlight w:val="none"/>
          <w:lang w:eastAsia="zh-CN"/>
        </w:rPr>
      </w:pPr>
    </w:p>
    <w:p w14:paraId="349CE58E">
      <w:pPr>
        <w:spacing w:line="360" w:lineRule="auto"/>
        <w:rPr>
          <w:rFonts w:ascii="宋体" w:hAnsi="宋体" w:eastAsia="宋体" w:cs="宋体"/>
          <w:color w:val="auto"/>
          <w:highlight w:val="none"/>
          <w:lang w:eastAsia="zh-CN"/>
        </w:rPr>
      </w:pPr>
    </w:p>
    <w:p w14:paraId="2F220CC4">
      <w:pPr>
        <w:spacing w:before="100" w:line="360" w:lineRule="auto"/>
        <w:ind w:left="3056"/>
        <w:rPr>
          <w:rFonts w:ascii="宋体" w:hAnsi="宋体" w:eastAsia="宋体" w:cs="宋体"/>
          <w:color w:val="auto"/>
          <w:sz w:val="31"/>
          <w:szCs w:val="31"/>
          <w:highlight w:val="none"/>
          <w:lang w:eastAsia="zh-CN"/>
        </w:rPr>
      </w:pPr>
      <w:bookmarkStart w:id="170" w:name="bookmark244"/>
      <w:bookmarkEnd w:id="170"/>
      <w:r>
        <w:rPr>
          <w:rFonts w:hint="eastAsia" w:ascii="宋体" w:hAnsi="宋体" w:eastAsia="宋体" w:cs="宋体"/>
          <w:b/>
          <w:bCs/>
          <w:color w:val="auto"/>
          <w:spacing w:val="5"/>
          <w:sz w:val="31"/>
          <w:szCs w:val="31"/>
          <w:highlight w:val="none"/>
          <w:lang w:eastAsia="zh-CN"/>
        </w:rPr>
        <w:t>监狱企业证明函</w:t>
      </w:r>
    </w:p>
    <w:p w14:paraId="1FF954DD">
      <w:pPr>
        <w:spacing w:line="360" w:lineRule="auto"/>
        <w:rPr>
          <w:rFonts w:ascii="宋体" w:hAnsi="宋体" w:eastAsia="宋体" w:cs="宋体"/>
          <w:color w:val="auto"/>
          <w:highlight w:val="none"/>
          <w:lang w:eastAsia="zh-CN"/>
        </w:rPr>
      </w:pPr>
    </w:p>
    <w:p w14:paraId="5F6CE3AC">
      <w:pPr>
        <w:spacing w:line="360" w:lineRule="auto"/>
        <w:rPr>
          <w:rFonts w:ascii="宋体" w:hAnsi="宋体" w:eastAsia="宋体" w:cs="宋体"/>
          <w:color w:val="auto"/>
          <w:highlight w:val="none"/>
          <w:lang w:eastAsia="zh-CN"/>
        </w:rPr>
      </w:pPr>
    </w:p>
    <w:p w14:paraId="39539AC5">
      <w:pPr>
        <w:spacing w:line="360" w:lineRule="auto"/>
        <w:rPr>
          <w:rFonts w:ascii="宋体" w:hAnsi="宋体" w:eastAsia="宋体" w:cs="宋体"/>
          <w:color w:val="auto"/>
          <w:highlight w:val="none"/>
          <w:lang w:eastAsia="zh-CN"/>
        </w:rPr>
      </w:pPr>
    </w:p>
    <w:p w14:paraId="5D1AD1DF">
      <w:pPr>
        <w:spacing w:before="78" w:line="360" w:lineRule="auto"/>
        <w:ind w:left="25" w:right="28" w:firstLine="503"/>
        <w:rPr>
          <w:rFonts w:ascii="宋体" w:hAnsi="宋体" w:eastAsia="宋体" w:cs="宋体"/>
          <w:color w:val="auto"/>
          <w:sz w:val="24"/>
          <w:szCs w:val="24"/>
          <w:highlight w:val="none"/>
          <w:lang w:eastAsia="zh-CN"/>
        </w:rPr>
      </w:pPr>
      <w:r>
        <w:rPr>
          <w:rFonts w:hint="eastAsia" w:ascii="宋体" w:hAnsi="宋体" w:eastAsia="宋体" w:cs="宋体"/>
          <w:color w:val="auto"/>
          <w:spacing w:val="11"/>
          <w:sz w:val="24"/>
          <w:szCs w:val="24"/>
          <w:highlight w:val="none"/>
          <w:lang w:eastAsia="zh-CN"/>
        </w:rPr>
        <w:t>本公司郑重声明，根据财政部、司法部《关于政府采购支持</w:t>
      </w:r>
      <w:r>
        <w:rPr>
          <w:rFonts w:hint="eastAsia" w:ascii="宋体" w:hAnsi="宋体" w:eastAsia="宋体" w:cs="宋体"/>
          <w:color w:val="auto"/>
          <w:spacing w:val="10"/>
          <w:sz w:val="24"/>
          <w:szCs w:val="24"/>
          <w:highlight w:val="none"/>
          <w:lang w:eastAsia="zh-CN"/>
        </w:rPr>
        <w:t>监狱企业发</w:t>
      </w:r>
      <w:r>
        <w:rPr>
          <w:rFonts w:hint="eastAsia" w:ascii="宋体" w:hAnsi="宋体" w:eastAsia="宋体" w:cs="宋体"/>
          <w:color w:val="auto"/>
          <w:spacing w:val="5"/>
          <w:sz w:val="24"/>
          <w:szCs w:val="24"/>
          <w:highlight w:val="none"/>
          <w:lang w:eastAsia="zh-CN"/>
        </w:rPr>
        <w:t>展有关问题的通知》（财库〔2014〕68号）的规定</w:t>
      </w:r>
      <w:r>
        <w:rPr>
          <w:rFonts w:hint="eastAsia" w:ascii="宋体" w:hAnsi="宋体" w:eastAsia="宋体" w:cs="宋体"/>
          <w:color w:val="auto"/>
          <w:spacing w:val="4"/>
          <w:sz w:val="24"/>
          <w:szCs w:val="24"/>
          <w:highlight w:val="none"/>
          <w:lang w:eastAsia="zh-CN"/>
        </w:rPr>
        <w:t>，本公司为监狱企业。</w:t>
      </w:r>
    </w:p>
    <w:p w14:paraId="6DC54689">
      <w:pPr>
        <w:spacing w:line="360" w:lineRule="auto"/>
        <w:rPr>
          <w:rFonts w:ascii="宋体" w:hAnsi="宋体" w:eastAsia="宋体" w:cs="宋体"/>
          <w:color w:val="auto"/>
          <w:highlight w:val="none"/>
          <w:lang w:eastAsia="zh-CN"/>
        </w:rPr>
      </w:pPr>
    </w:p>
    <w:p w14:paraId="170F6D9E">
      <w:pPr>
        <w:spacing w:line="360" w:lineRule="auto"/>
        <w:rPr>
          <w:rFonts w:ascii="宋体" w:hAnsi="宋体" w:eastAsia="宋体" w:cs="宋体"/>
          <w:color w:val="auto"/>
          <w:highlight w:val="none"/>
          <w:lang w:eastAsia="zh-CN"/>
        </w:rPr>
      </w:pPr>
    </w:p>
    <w:p w14:paraId="1BE7E01C">
      <w:pPr>
        <w:spacing w:line="360" w:lineRule="auto"/>
        <w:rPr>
          <w:rFonts w:ascii="宋体" w:hAnsi="宋体" w:eastAsia="宋体" w:cs="宋体"/>
          <w:color w:val="auto"/>
          <w:highlight w:val="none"/>
          <w:lang w:eastAsia="zh-CN"/>
        </w:rPr>
      </w:pPr>
    </w:p>
    <w:p w14:paraId="1283C7AA">
      <w:pPr>
        <w:spacing w:line="360" w:lineRule="auto"/>
        <w:rPr>
          <w:rFonts w:ascii="宋体" w:hAnsi="宋体" w:eastAsia="宋体" w:cs="宋体"/>
          <w:color w:val="auto"/>
          <w:highlight w:val="none"/>
          <w:lang w:eastAsia="zh-CN"/>
        </w:rPr>
      </w:pPr>
    </w:p>
    <w:p w14:paraId="35348CB6">
      <w:pPr>
        <w:spacing w:line="360" w:lineRule="auto"/>
        <w:rPr>
          <w:rFonts w:ascii="宋体" w:hAnsi="宋体" w:eastAsia="宋体" w:cs="宋体"/>
          <w:color w:val="auto"/>
          <w:highlight w:val="none"/>
          <w:lang w:eastAsia="zh-CN"/>
        </w:rPr>
      </w:pPr>
    </w:p>
    <w:p w14:paraId="72B3476A">
      <w:pPr>
        <w:spacing w:before="78" w:line="360" w:lineRule="auto"/>
        <w:ind w:left="4310"/>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供应商名称（公章)：</w:t>
      </w:r>
    </w:p>
    <w:p w14:paraId="1D57CADB">
      <w:pPr>
        <w:spacing w:before="184" w:line="360" w:lineRule="auto"/>
        <w:ind w:left="4348"/>
        <w:rPr>
          <w:rFonts w:ascii="宋体" w:hAnsi="宋体" w:eastAsia="宋体" w:cs="宋体"/>
          <w:color w:val="auto"/>
          <w:sz w:val="24"/>
          <w:szCs w:val="24"/>
          <w:highlight w:val="none"/>
          <w:lang w:eastAsia="zh-CN"/>
        </w:rPr>
      </w:pPr>
      <w:r>
        <w:rPr>
          <w:rFonts w:hint="eastAsia" w:ascii="宋体" w:hAnsi="宋体" w:eastAsia="宋体" w:cs="宋体"/>
          <w:color w:val="auto"/>
          <w:spacing w:val="-11"/>
          <w:sz w:val="24"/>
          <w:szCs w:val="24"/>
          <w:highlight w:val="none"/>
          <w:lang w:eastAsia="zh-CN"/>
        </w:rPr>
        <w:t>日期：</w:t>
      </w:r>
      <w:r>
        <w:rPr>
          <w:rFonts w:hint="eastAsia" w:ascii="宋体" w:hAnsi="宋体" w:eastAsia="宋体" w:cs="宋体"/>
          <w:color w:val="auto"/>
          <w:spacing w:val="-11"/>
          <w:sz w:val="24"/>
          <w:szCs w:val="24"/>
          <w:highlight w:val="none"/>
          <w:lang w:val="en-US" w:eastAsia="zh-CN"/>
        </w:rPr>
        <w:t xml:space="preserve">    </w:t>
      </w:r>
      <w:r>
        <w:rPr>
          <w:rFonts w:hint="eastAsia" w:ascii="宋体" w:hAnsi="宋体" w:eastAsia="宋体" w:cs="宋体"/>
          <w:color w:val="auto"/>
          <w:spacing w:val="-11"/>
          <w:sz w:val="24"/>
          <w:szCs w:val="24"/>
          <w:highlight w:val="none"/>
          <w:lang w:eastAsia="zh-CN"/>
        </w:rPr>
        <w:t>年</w:t>
      </w:r>
      <w:r>
        <w:rPr>
          <w:rFonts w:hint="eastAsia" w:ascii="宋体" w:hAnsi="宋体" w:eastAsia="宋体" w:cs="宋体"/>
          <w:color w:val="auto"/>
          <w:spacing w:val="-11"/>
          <w:sz w:val="24"/>
          <w:szCs w:val="24"/>
          <w:highlight w:val="none"/>
          <w:lang w:val="en-US" w:eastAsia="zh-CN"/>
        </w:rPr>
        <w:t xml:space="preserve">  </w:t>
      </w:r>
      <w:r>
        <w:rPr>
          <w:rFonts w:hint="eastAsia" w:ascii="宋体" w:hAnsi="宋体" w:eastAsia="宋体" w:cs="宋体"/>
          <w:color w:val="auto"/>
          <w:spacing w:val="-11"/>
          <w:sz w:val="24"/>
          <w:szCs w:val="24"/>
          <w:highlight w:val="none"/>
          <w:lang w:eastAsia="zh-CN"/>
        </w:rPr>
        <w:t>月</w:t>
      </w:r>
      <w:r>
        <w:rPr>
          <w:rFonts w:hint="eastAsia" w:ascii="宋体" w:hAnsi="宋体" w:eastAsia="宋体" w:cs="宋体"/>
          <w:color w:val="auto"/>
          <w:spacing w:val="-11"/>
          <w:sz w:val="24"/>
          <w:szCs w:val="24"/>
          <w:highlight w:val="none"/>
          <w:lang w:val="en-US" w:eastAsia="zh-CN"/>
        </w:rPr>
        <w:t xml:space="preserve">  </w:t>
      </w:r>
      <w:r>
        <w:rPr>
          <w:rFonts w:hint="eastAsia" w:ascii="宋体" w:hAnsi="宋体" w:eastAsia="宋体" w:cs="宋体"/>
          <w:color w:val="auto"/>
          <w:spacing w:val="-11"/>
          <w:sz w:val="24"/>
          <w:szCs w:val="24"/>
          <w:highlight w:val="none"/>
          <w:lang w:eastAsia="zh-CN"/>
        </w:rPr>
        <w:t>日</w:t>
      </w:r>
    </w:p>
    <w:p w14:paraId="54C7F992">
      <w:pPr>
        <w:spacing w:line="360" w:lineRule="auto"/>
        <w:rPr>
          <w:rFonts w:ascii="宋体" w:hAnsi="宋体" w:eastAsia="宋体" w:cs="宋体"/>
          <w:color w:val="auto"/>
          <w:highlight w:val="none"/>
          <w:lang w:eastAsia="zh-CN"/>
        </w:rPr>
      </w:pPr>
    </w:p>
    <w:p w14:paraId="5FFF5F78">
      <w:pPr>
        <w:spacing w:line="360" w:lineRule="auto"/>
        <w:rPr>
          <w:rFonts w:ascii="宋体" w:hAnsi="宋体" w:eastAsia="宋体" w:cs="宋体"/>
          <w:color w:val="auto"/>
          <w:highlight w:val="none"/>
          <w:lang w:eastAsia="zh-CN"/>
        </w:rPr>
      </w:pPr>
    </w:p>
    <w:p w14:paraId="330AFC91">
      <w:pPr>
        <w:spacing w:line="360" w:lineRule="auto"/>
        <w:rPr>
          <w:rFonts w:ascii="宋体" w:hAnsi="宋体" w:eastAsia="宋体" w:cs="宋体"/>
          <w:color w:val="auto"/>
          <w:highlight w:val="none"/>
          <w:lang w:eastAsia="zh-CN"/>
        </w:rPr>
      </w:pPr>
    </w:p>
    <w:p w14:paraId="03799341">
      <w:pPr>
        <w:spacing w:line="360" w:lineRule="auto"/>
        <w:rPr>
          <w:rFonts w:ascii="宋体" w:hAnsi="宋体" w:eastAsia="宋体" w:cs="宋体"/>
          <w:color w:val="auto"/>
          <w:highlight w:val="none"/>
          <w:lang w:eastAsia="zh-CN"/>
        </w:rPr>
      </w:pPr>
    </w:p>
    <w:p w14:paraId="0F7709B4">
      <w:pPr>
        <w:spacing w:before="79" w:line="360" w:lineRule="auto"/>
        <w:ind w:left="3394" w:right="1360" w:hanging="7"/>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省级以上监狱管理局、戒毒管理局</w:t>
      </w:r>
      <w:r>
        <w:rPr>
          <w:rFonts w:hint="eastAsia" w:ascii="宋体" w:hAnsi="宋体" w:eastAsia="宋体" w:cs="宋体"/>
          <w:color w:val="auto"/>
          <w:spacing w:val="-5"/>
          <w:sz w:val="24"/>
          <w:szCs w:val="24"/>
          <w:highlight w:val="none"/>
          <w:lang w:eastAsia="zh-CN"/>
        </w:rPr>
        <w:t>（含新疆生产建设兵团）(盖章)：</w:t>
      </w:r>
    </w:p>
    <w:p w14:paraId="1D8CB5E0">
      <w:pPr>
        <w:spacing w:before="36" w:line="360" w:lineRule="auto"/>
        <w:ind w:left="4384"/>
        <w:rPr>
          <w:rFonts w:ascii="宋体" w:hAnsi="宋体" w:eastAsia="宋体" w:cs="宋体"/>
          <w:color w:val="auto"/>
          <w:sz w:val="24"/>
          <w:szCs w:val="24"/>
          <w:highlight w:val="none"/>
          <w:lang w:eastAsia="zh-CN"/>
        </w:rPr>
      </w:pPr>
      <w:r>
        <w:rPr>
          <w:rFonts w:hint="eastAsia" w:ascii="宋体" w:hAnsi="宋体" w:eastAsia="宋体" w:cs="宋体"/>
          <w:color w:val="auto"/>
          <w:spacing w:val="-13"/>
          <w:sz w:val="24"/>
          <w:szCs w:val="24"/>
          <w:highlight w:val="none"/>
          <w:lang w:eastAsia="zh-CN"/>
        </w:rPr>
        <w:t>日期：年月日</w:t>
      </w:r>
    </w:p>
    <w:p w14:paraId="0FA285DB">
      <w:pPr>
        <w:spacing w:line="360" w:lineRule="auto"/>
        <w:rPr>
          <w:rFonts w:ascii="宋体" w:hAnsi="宋体" w:eastAsia="宋体" w:cs="宋体"/>
          <w:color w:val="auto"/>
          <w:highlight w:val="none"/>
          <w:lang w:eastAsia="zh-CN"/>
        </w:rPr>
      </w:pPr>
    </w:p>
    <w:p w14:paraId="04E8AC24">
      <w:pPr>
        <w:pageBreakBefore/>
        <w:spacing w:before="97" w:line="360" w:lineRule="auto"/>
        <w:ind w:left="40"/>
        <w:outlineLvl w:val="2"/>
        <w:rPr>
          <w:rFonts w:ascii="宋体" w:hAnsi="宋体" w:eastAsia="宋体" w:cs="宋体"/>
          <w:b/>
          <w:bCs/>
          <w:color w:val="auto"/>
          <w:spacing w:val="-3"/>
          <w:sz w:val="24"/>
          <w:szCs w:val="24"/>
          <w:highlight w:val="none"/>
          <w:lang w:eastAsia="zh-CN"/>
        </w:rPr>
      </w:pPr>
      <w:bookmarkStart w:id="171" w:name="bookmark245"/>
      <w:bookmarkEnd w:id="171"/>
      <w:bookmarkStart w:id="172" w:name="_Toc186477804"/>
      <w:bookmarkStart w:id="173" w:name="_Toc25340"/>
      <w:r>
        <w:rPr>
          <w:rFonts w:hint="eastAsia" w:ascii="宋体" w:hAnsi="宋体" w:eastAsia="宋体" w:cs="宋体"/>
          <w:b/>
          <w:bCs/>
          <w:color w:val="auto"/>
          <w:spacing w:val="-3"/>
          <w:sz w:val="24"/>
          <w:szCs w:val="24"/>
          <w:highlight w:val="none"/>
          <w:lang w:eastAsia="zh-CN"/>
        </w:rPr>
        <w:t>（三）残疾人福利性单位声明函【如适用】</w:t>
      </w:r>
      <w:bookmarkEnd w:id="172"/>
      <w:bookmarkEnd w:id="173"/>
    </w:p>
    <w:p w14:paraId="1C394C87">
      <w:pPr>
        <w:spacing w:line="360" w:lineRule="auto"/>
        <w:rPr>
          <w:rFonts w:ascii="宋体" w:hAnsi="宋体" w:eastAsia="宋体" w:cs="宋体"/>
          <w:color w:val="auto"/>
          <w:highlight w:val="none"/>
          <w:lang w:eastAsia="zh-CN"/>
        </w:rPr>
      </w:pPr>
    </w:p>
    <w:p w14:paraId="41289808">
      <w:pPr>
        <w:spacing w:before="101" w:line="360" w:lineRule="auto"/>
        <w:ind w:left="2412"/>
        <w:rPr>
          <w:rFonts w:ascii="宋体" w:hAnsi="宋体" w:eastAsia="宋体" w:cs="宋体"/>
          <w:color w:val="auto"/>
          <w:sz w:val="31"/>
          <w:szCs w:val="31"/>
          <w:highlight w:val="none"/>
          <w:lang w:eastAsia="zh-CN"/>
        </w:rPr>
      </w:pPr>
      <w:bookmarkStart w:id="174" w:name="bookmark246"/>
      <w:bookmarkEnd w:id="174"/>
      <w:r>
        <w:rPr>
          <w:rFonts w:hint="eastAsia" w:ascii="宋体" w:hAnsi="宋体" w:eastAsia="宋体" w:cs="宋体"/>
          <w:b/>
          <w:bCs/>
          <w:color w:val="auto"/>
          <w:spacing w:val="6"/>
          <w:sz w:val="31"/>
          <w:szCs w:val="31"/>
          <w:highlight w:val="none"/>
          <w:lang w:eastAsia="zh-CN"/>
        </w:rPr>
        <w:t>残疾人福利性单位声明函</w:t>
      </w:r>
    </w:p>
    <w:p w14:paraId="316BDC82">
      <w:pPr>
        <w:spacing w:line="360" w:lineRule="auto"/>
        <w:rPr>
          <w:rFonts w:ascii="宋体" w:hAnsi="宋体" w:eastAsia="宋体" w:cs="宋体"/>
          <w:color w:val="auto"/>
          <w:highlight w:val="none"/>
          <w:lang w:eastAsia="zh-CN"/>
        </w:rPr>
      </w:pPr>
    </w:p>
    <w:p w14:paraId="5A650982">
      <w:pPr>
        <w:spacing w:line="360" w:lineRule="auto"/>
        <w:rPr>
          <w:rFonts w:ascii="宋体" w:hAnsi="宋体" w:eastAsia="宋体" w:cs="宋体"/>
          <w:color w:val="auto"/>
          <w:highlight w:val="none"/>
          <w:lang w:eastAsia="zh-CN"/>
        </w:rPr>
      </w:pPr>
    </w:p>
    <w:p w14:paraId="47C34B4B">
      <w:pPr>
        <w:spacing w:before="78" w:line="360" w:lineRule="auto"/>
        <w:ind w:left="24" w:right="32" w:firstLine="480"/>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eastAsia="zh-CN"/>
        </w:rPr>
        <w:t>本公司（联合体）郑重声明，根据《财政部民政部</w:t>
      </w:r>
      <w:r>
        <w:rPr>
          <w:rFonts w:hint="eastAsia" w:ascii="宋体" w:hAnsi="宋体" w:eastAsia="宋体" w:cs="宋体"/>
          <w:color w:val="auto"/>
          <w:spacing w:val="-6"/>
          <w:sz w:val="24"/>
          <w:szCs w:val="24"/>
          <w:highlight w:val="none"/>
          <w:lang w:eastAsia="zh-CN"/>
        </w:rPr>
        <w:t>中国残疾人联合会关于</w:t>
      </w:r>
      <w:r>
        <w:rPr>
          <w:rFonts w:hint="eastAsia" w:ascii="宋体" w:hAnsi="宋体" w:eastAsia="宋体" w:cs="宋体"/>
          <w:color w:val="auto"/>
          <w:spacing w:val="-2"/>
          <w:sz w:val="24"/>
          <w:szCs w:val="24"/>
          <w:highlight w:val="none"/>
          <w:lang w:eastAsia="zh-CN"/>
        </w:rPr>
        <w:t>促进残疾人就业政府采购政策的通知》（财库〔2017〕141号）的规定，本公司（联合体）参加</w:t>
      </w:r>
      <w:r>
        <w:rPr>
          <w:rFonts w:hint="eastAsia" w:ascii="宋体" w:hAnsi="宋体" w:eastAsia="宋体" w:cs="宋体"/>
          <w:i/>
          <w:iCs/>
          <w:color w:val="auto"/>
          <w:spacing w:val="-2"/>
          <w:sz w:val="25"/>
          <w:szCs w:val="25"/>
          <w:highlight w:val="none"/>
          <w:u w:val="single"/>
          <w:lang w:eastAsia="zh-CN"/>
        </w:rPr>
        <w:t>（单位名称）</w:t>
      </w:r>
      <w:r>
        <w:rPr>
          <w:rFonts w:hint="eastAsia" w:ascii="宋体" w:hAnsi="宋体" w:eastAsia="宋体" w:cs="宋体"/>
          <w:color w:val="auto"/>
          <w:spacing w:val="-2"/>
          <w:sz w:val="24"/>
          <w:szCs w:val="24"/>
          <w:highlight w:val="none"/>
          <w:lang w:eastAsia="zh-CN"/>
        </w:rPr>
        <w:t>的</w:t>
      </w:r>
      <w:r>
        <w:rPr>
          <w:rFonts w:hint="eastAsia" w:ascii="宋体" w:hAnsi="宋体" w:eastAsia="宋体" w:cs="宋体"/>
          <w:i/>
          <w:iCs/>
          <w:color w:val="auto"/>
          <w:spacing w:val="-2"/>
          <w:sz w:val="25"/>
          <w:szCs w:val="25"/>
          <w:highlight w:val="none"/>
          <w:u w:val="single"/>
          <w:lang w:eastAsia="zh-CN"/>
        </w:rPr>
        <w:t>（项目名称）</w:t>
      </w:r>
      <w:r>
        <w:rPr>
          <w:rFonts w:hint="eastAsia" w:ascii="宋体" w:hAnsi="宋体" w:eastAsia="宋体" w:cs="宋体"/>
          <w:color w:val="auto"/>
          <w:spacing w:val="-2"/>
          <w:sz w:val="24"/>
          <w:szCs w:val="24"/>
          <w:highlight w:val="none"/>
          <w:lang w:eastAsia="zh-CN"/>
        </w:rPr>
        <w:t>采购活动，提供的货物</w:t>
      </w:r>
      <w:r>
        <w:rPr>
          <w:rFonts w:hint="eastAsia" w:ascii="宋体" w:hAnsi="宋体" w:eastAsia="宋体" w:cs="宋体"/>
          <w:b/>
          <w:bCs/>
          <w:color w:val="auto"/>
          <w:spacing w:val="-2"/>
          <w:sz w:val="24"/>
          <w:szCs w:val="24"/>
          <w:highlight w:val="none"/>
          <w:lang w:eastAsia="zh-CN"/>
        </w:rPr>
        <w:t>全部由</w:t>
      </w:r>
      <w:r>
        <w:rPr>
          <w:rFonts w:hint="eastAsia" w:ascii="宋体" w:hAnsi="宋体" w:eastAsia="宋体" w:cs="宋体"/>
          <w:color w:val="auto"/>
          <w:spacing w:val="-4"/>
          <w:sz w:val="24"/>
          <w:szCs w:val="24"/>
          <w:highlight w:val="none"/>
          <w:lang w:eastAsia="zh-CN"/>
        </w:rPr>
        <w:t>符合政策要求的</w:t>
      </w:r>
      <w:r>
        <w:rPr>
          <w:rFonts w:hint="eastAsia" w:ascii="宋体" w:hAnsi="宋体" w:eastAsia="宋体" w:cs="宋体"/>
          <w:b/>
          <w:bCs/>
          <w:color w:val="auto"/>
          <w:spacing w:val="-4"/>
          <w:sz w:val="24"/>
          <w:szCs w:val="24"/>
          <w:highlight w:val="none"/>
          <w:lang w:eastAsia="zh-CN"/>
        </w:rPr>
        <w:t>残疾人福利性单位制造</w:t>
      </w:r>
      <w:r>
        <w:rPr>
          <w:rFonts w:hint="eastAsia" w:ascii="宋体" w:hAnsi="宋体" w:eastAsia="宋体" w:cs="宋体"/>
          <w:color w:val="auto"/>
          <w:spacing w:val="-4"/>
          <w:sz w:val="24"/>
          <w:szCs w:val="24"/>
          <w:highlight w:val="none"/>
          <w:lang w:eastAsia="zh-CN"/>
        </w:rPr>
        <w:t>。相关企业（含联合体中的残疾人福利性</w:t>
      </w:r>
      <w:r>
        <w:rPr>
          <w:rFonts w:hint="eastAsia" w:ascii="宋体" w:hAnsi="宋体" w:eastAsia="宋体" w:cs="宋体"/>
          <w:color w:val="auto"/>
          <w:spacing w:val="-1"/>
          <w:sz w:val="24"/>
          <w:szCs w:val="24"/>
          <w:highlight w:val="none"/>
          <w:lang w:eastAsia="zh-CN"/>
        </w:rPr>
        <w:t>单位、签订分包意向协议书的残疾人福利性单位）的具体情况如下：</w:t>
      </w:r>
    </w:p>
    <w:p w14:paraId="7026824D">
      <w:pPr>
        <w:spacing w:before="36" w:line="360" w:lineRule="auto"/>
        <w:ind w:left="506" w:firstLine="14"/>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1.</w:t>
      </w:r>
      <w:r>
        <w:rPr>
          <w:rFonts w:hint="eastAsia" w:ascii="宋体" w:hAnsi="宋体" w:eastAsia="宋体" w:cs="宋体"/>
          <w:i/>
          <w:iCs/>
          <w:color w:val="auto"/>
          <w:spacing w:val="-3"/>
          <w:sz w:val="25"/>
          <w:szCs w:val="25"/>
          <w:highlight w:val="none"/>
          <w:u w:val="single"/>
          <w:lang w:eastAsia="zh-CN"/>
        </w:rPr>
        <w:t>（标的名称</w:t>
      </w:r>
      <w:r>
        <w:rPr>
          <w:rFonts w:hint="eastAsia" w:ascii="宋体" w:hAnsi="宋体" w:eastAsia="宋体" w:cs="宋体"/>
          <w:i/>
          <w:iCs/>
          <w:color w:val="auto"/>
          <w:spacing w:val="-12"/>
          <w:sz w:val="25"/>
          <w:szCs w:val="25"/>
          <w:highlight w:val="none"/>
          <w:u w:val="single"/>
          <w:lang w:eastAsia="zh-CN"/>
        </w:rPr>
        <w:t>）</w:t>
      </w:r>
      <w:r>
        <w:rPr>
          <w:rFonts w:hint="eastAsia" w:ascii="宋体" w:hAnsi="宋体" w:eastAsia="宋体" w:cs="宋体"/>
          <w:color w:val="auto"/>
          <w:spacing w:val="-12"/>
          <w:sz w:val="24"/>
          <w:szCs w:val="24"/>
          <w:highlight w:val="none"/>
          <w:lang w:eastAsia="zh-CN"/>
        </w:rPr>
        <w:t>，</w:t>
      </w:r>
      <w:r>
        <w:rPr>
          <w:rFonts w:hint="eastAsia" w:ascii="宋体" w:hAnsi="宋体" w:eastAsia="宋体" w:cs="宋体"/>
          <w:color w:val="auto"/>
          <w:spacing w:val="-3"/>
          <w:sz w:val="24"/>
          <w:szCs w:val="24"/>
          <w:highlight w:val="none"/>
          <w:lang w:eastAsia="zh-CN"/>
        </w:rPr>
        <w:t xml:space="preserve">制造商为 </w:t>
      </w:r>
      <w:r>
        <w:rPr>
          <w:rFonts w:hint="eastAsia" w:ascii="宋体" w:hAnsi="宋体" w:eastAsia="宋体" w:cs="宋体"/>
          <w:i/>
          <w:iCs/>
          <w:color w:val="auto"/>
          <w:spacing w:val="-3"/>
          <w:sz w:val="25"/>
          <w:szCs w:val="25"/>
          <w:highlight w:val="none"/>
          <w:u w:val="single"/>
          <w:lang w:eastAsia="zh-CN"/>
        </w:rPr>
        <w:t>（企业名称</w:t>
      </w:r>
      <w:r>
        <w:rPr>
          <w:rFonts w:hint="eastAsia" w:ascii="宋体" w:hAnsi="宋体" w:eastAsia="宋体" w:cs="宋体"/>
          <w:i/>
          <w:iCs/>
          <w:color w:val="auto"/>
          <w:spacing w:val="-12"/>
          <w:sz w:val="25"/>
          <w:szCs w:val="25"/>
          <w:highlight w:val="none"/>
          <w:u w:val="single"/>
          <w:lang w:eastAsia="zh-CN"/>
        </w:rPr>
        <w:t>）</w:t>
      </w:r>
      <w:r>
        <w:rPr>
          <w:rFonts w:hint="eastAsia" w:ascii="宋体" w:hAnsi="宋体" w:eastAsia="宋体" w:cs="宋体"/>
          <w:color w:val="auto"/>
          <w:spacing w:val="-12"/>
          <w:sz w:val="24"/>
          <w:szCs w:val="24"/>
          <w:highlight w:val="none"/>
          <w:lang w:eastAsia="zh-CN"/>
        </w:rPr>
        <w:t>，</w:t>
      </w:r>
      <w:r>
        <w:rPr>
          <w:rFonts w:hint="eastAsia" w:ascii="宋体" w:hAnsi="宋体" w:eastAsia="宋体" w:cs="宋体"/>
          <w:color w:val="auto"/>
          <w:spacing w:val="-3"/>
          <w:sz w:val="24"/>
          <w:szCs w:val="24"/>
          <w:highlight w:val="none"/>
          <w:lang w:eastAsia="zh-CN"/>
        </w:rPr>
        <w:t xml:space="preserve">属于残疾人福利性单位；2. </w:t>
      </w:r>
      <w:r>
        <w:rPr>
          <w:rFonts w:hint="eastAsia" w:ascii="宋体" w:hAnsi="宋体" w:eastAsia="宋体" w:cs="宋体"/>
          <w:i/>
          <w:iCs/>
          <w:color w:val="auto"/>
          <w:spacing w:val="-3"/>
          <w:sz w:val="25"/>
          <w:szCs w:val="25"/>
          <w:highlight w:val="none"/>
          <w:u w:val="single"/>
          <w:lang w:eastAsia="zh-CN"/>
        </w:rPr>
        <w:t>（标的名称</w:t>
      </w:r>
      <w:r>
        <w:rPr>
          <w:rFonts w:hint="eastAsia" w:ascii="宋体" w:hAnsi="宋体" w:eastAsia="宋体" w:cs="宋体"/>
          <w:i/>
          <w:iCs/>
          <w:color w:val="auto"/>
          <w:spacing w:val="-12"/>
          <w:sz w:val="25"/>
          <w:szCs w:val="25"/>
          <w:highlight w:val="none"/>
          <w:u w:val="single"/>
          <w:lang w:eastAsia="zh-CN"/>
        </w:rPr>
        <w:t>）</w:t>
      </w:r>
      <w:r>
        <w:rPr>
          <w:rFonts w:hint="eastAsia" w:ascii="宋体" w:hAnsi="宋体" w:eastAsia="宋体" w:cs="宋体"/>
          <w:color w:val="auto"/>
          <w:spacing w:val="-12"/>
          <w:sz w:val="24"/>
          <w:szCs w:val="24"/>
          <w:highlight w:val="none"/>
          <w:lang w:eastAsia="zh-CN"/>
        </w:rPr>
        <w:t>，</w:t>
      </w:r>
      <w:r>
        <w:rPr>
          <w:rFonts w:hint="eastAsia" w:ascii="宋体" w:hAnsi="宋体" w:eastAsia="宋体" w:cs="宋体"/>
          <w:color w:val="auto"/>
          <w:spacing w:val="-3"/>
          <w:sz w:val="24"/>
          <w:szCs w:val="24"/>
          <w:highlight w:val="none"/>
          <w:lang w:eastAsia="zh-CN"/>
        </w:rPr>
        <w:t xml:space="preserve">制造商为 </w:t>
      </w:r>
      <w:r>
        <w:rPr>
          <w:rFonts w:hint="eastAsia" w:ascii="宋体" w:hAnsi="宋体" w:eastAsia="宋体" w:cs="宋体"/>
          <w:i/>
          <w:iCs/>
          <w:color w:val="auto"/>
          <w:spacing w:val="-3"/>
          <w:sz w:val="25"/>
          <w:szCs w:val="25"/>
          <w:highlight w:val="none"/>
          <w:u w:val="single"/>
          <w:lang w:eastAsia="zh-CN"/>
        </w:rPr>
        <w:t>（企业名称</w:t>
      </w:r>
      <w:r>
        <w:rPr>
          <w:rFonts w:hint="eastAsia" w:ascii="宋体" w:hAnsi="宋体" w:eastAsia="宋体" w:cs="宋体"/>
          <w:i/>
          <w:iCs/>
          <w:color w:val="auto"/>
          <w:spacing w:val="-12"/>
          <w:sz w:val="25"/>
          <w:szCs w:val="25"/>
          <w:highlight w:val="none"/>
          <w:u w:val="single"/>
          <w:lang w:eastAsia="zh-CN"/>
        </w:rPr>
        <w:t>）</w:t>
      </w:r>
      <w:r>
        <w:rPr>
          <w:rFonts w:hint="eastAsia" w:ascii="宋体" w:hAnsi="宋体" w:eastAsia="宋体" w:cs="宋体"/>
          <w:color w:val="auto"/>
          <w:spacing w:val="-12"/>
          <w:sz w:val="24"/>
          <w:szCs w:val="24"/>
          <w:highlight w:val="none"/>
          <w:lang w:eastAsia="zh-CN"/>
        </w:rPr>
        <w:t>，</w:t>
      </w:r>
      <w:r>
        <w:rPr>
          <w:rFonts w:hint="eastAsia" w:ascii="宋体" w:hAnsi="宋体" w:eastAsia="宋体" w:cs="宋体"/>
          <w:color w:val="auto"/>
          <w:spacing w:val="-3"/>
          <w:sz w:val="24"/>
          <w:szCs w:val="24"/>
          <w:highlight w:val="none"/>
          <w:lang w:eastAsia="zh-CN"/>
        </w:rPr>
        <w:t>属于残疾人福利性</w:t>
      </w:r>
      <w:r>
        <w:rPr>
          <w:rFonts w:hint="eastAsia" w:ascii="宋体" w:hAnsi="宋体" w:eastAsia="宋体" w:cs="宋体"/>
          <w:color w:val="auto"/>
          <w:spacing w:val="-4"/>
          <w:sz w:val="24"/>
          <w:szCs w:val="24"/>
          <w:highlight w:val="none"/>
          <w:lang w:eastAsia="zh-CN"/>
        </w:rPr>
        <w:t>单位；</w:t>
      </w:r>
      <w:r>
        <w:rPr>
          <w:rFonts w:hint="eastAsia" w:ascii="宋体" w:hAnsi="宋体" w:eastAsia="宋体" w:cs="宋体"/>
          <w:color w:val="auto"/>
          <w:spacing w:val="-7"/>
          <w:sz w:val="24"/>
          <w:szCs w:val="24"/>
          <w:highlight w:val="none"/>
          <w:lang w:eastAsia="zh-CN"/>
        </w:rPr>
        <w:t>……</w:t>
      </w:r>
    </w:p>
    <w:p w14:paraId="01FD13F9">
      <w:pPr>
        <w:spacing w:before="1" w:line="360" w:lineRule="auto"/>
        <w:ind w:left="27" w:right="32" w:firstLine="503"/>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以上企业，不属于大企业的分支机构，不存在控股股东为大企业的情形，也</w:t>
      </w:r>
      <w:r>
        <w:rPr>
          <w:rFonts w:hint="eastAsia" w:ascii="宋体" w:hAnsi="宋体" w:eastAsia="宋体" w:cs="宋体"/>
          <w:color w:val="auto"/>
          <w:spacing w:val="-1"/>
          <w:sz w:val="24"/>
          <w:szCs w:val="24"/>
          <w:highlight w:val="none"/>
          <w:lang w:eastAsia="zh-CN"/>
        </w:rPr>
        <w:t>不存在与大企业的负责人为同一人的情形。</w:t>
      </w:r>
    </w:p>
    <w:p w14:paraId="4A1F8406">
      <w:pPr>
        <w:spacing w:before="34" w:line="360" w:lineRule="auto"/>
        <w:ind w:left="504"/>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本企业对上述声明内容的真实性负责。如有虚</w:t>
      </w:r>
      <w:r>
        <w:rPr>
          <w:rFonts w:hint="eastAsia" w:ascii="宋体" w:hAnsi="宋体" w:eastAsia="宋体" w:cs="宋体"/>
          <w:color w:val="auto"/>
          <w:spacing w:val="-1"/>
          <w:sz w:val="24"/>
          <w:szCs w:val="24"/>
          <w:highlight w:val="none"/>
          <w:lang w:eastAsia="zh-CN"/>
        </w:rPr>
        <w:t>假，将依法承担相应责任。</w:t>
      </w:r>
    </w:p>
    <w:p w14:paraId="2A3453E3">
      <w:pPr>
        <w:spacing w:line="360" w:lineRule="auto"/>
        <w:rPr>
          <w:rFonts w:ascii="宋体" w:hAnsi="宋体" w:eastAsia="宋体" w:cs="宋体"/>
          <w:color w:val="auto"/>
          <w:highlight w:val="none"/>
          <w:lang w:eastAsia="zh-CN"/>
        </w:rPr>
      </w:pPr>
    </w:p>
    <w:p w14:paraId="0E33C291">
      <w:pPr>
        <w:spacing w:line="360" w:lineRule="auto"/>
        <w:rPr>
          <w:rFonts w:ascii="宋体" w:hAnsi="宋体" w:eastAsia="宋体" w:cs="宋体"/>
          <w:color w:val="auto"/>
          <w:highlight w:val="none"/>
          <w:lang w:eastAsia="zh-CN"/>
        </w:rPr>
      </w:pPr>
    </w:p>
    <w:p w14:paraId="4227CB8C">
      <w:pPr>
        <w:spacing w:before="78" w:line="360" w:lineRule="auto"/>
        <w:ind w:left="1112" w:right="51" w:hanging="1086"/>
        <w:rPr>
          <w:rFonts w:ascii="宋体" w:hAnsi="宋体" w:eastAsia="宋体" w:cs="宋体"/>
          <w:color w:val="auto"/>
          <w:sz w:val="24"/>
          <w:szCs w:val="24"/>
          <w:highlight w:val="none"/>
          <w:lang w:eastAsia="zh-CN"/>
        </w:rPr>
      </w:pPr>
      <w:r>
        <w:rPr>
          <w:rFonts w:hint="eastAsia" w:ascii="宋体" w:hAnsi="宋体" w:eastAsia="宋体" w:cs="宋体"/>
          <w:b/>
          <w:bCs/>
          <w:color w:val="auto"/>
          <w:spacing w:val="-1"/>
          <w:sz w:val="24"/>
          <w:szCs w:val="24"/>
          <w:highlight w:val="none"/>
          <w:lang w:eastAsia="zh-CN"/>
        </w:rPr>
        <w:t>说明：</w:t>
      </w:r>
      <w:r>
        <w:rPr>
          <w:rFonts w:hint="eastAsia" w:ascii="宋体" w:hAnsi="宋体" w:eastAsia="宋体" w:cs="宋体"/>
          <w:color w:val="auto"/>
          <w:spacing w:val="-1"/>
          <w:sz w:val="24"/>
          <w:szCs w:val="24"/>
          <w:highlight w:val="none"/>
          <w:lang w:eastAsia="zh-CN"/>
        </w:rPr>
        <w:t>1、货物应当全部由符合政策要求的残疾人福利性单位生产且使用该残疾人福利性单位商号或注册商标（与代理商或投标人无关</w:t>
      </w:r>
      <w:r>
        <w:rPr>
          <w:rFonts w:hint="eastAsia" w:ascii="宋体" w:hAnsi="宋体" w:eastAsia="宋体" w:cs="宋体"/>
          <w:color w:val="auto"/>
          <w:spacing w:val="7"/>
          <w:sz w:val="24"/>
          <w:szCs w:val="24"/>
          <w:highlight w:val="none"/>
          <w:lang w:eastAsia="zh-CN"/>
        </w:rPr>
        <w:t>）；</w:t>
      </w:r>
      <w:r>
        <w:rPr>
          <w:rFonts w:hint="eastAsia" w:ascii="宋体" w:hAnsi="宋体" w:eastAsia="宋体" w:cs="宋体"/>
          <w:color w:val="auto"/>
          <w:spacing w:val="-1"/>
          <w:sz w:val="24"/>
          <w:szCs w:val="24"/>
          <w:highlight w:val="none"/>
          <w:lang w:eastAsia="zh-CN"/>
        </w:rPr>
        <w:t>应当严格按上述格式及内容进行填写（应当明确每个标的的生产企业类型及相</w:t>
      </w:r>
      <w:r>
        <w:rPr>
          <w:rFonts w:hint="eastAsia" w:ascii="宋体" w:hAnsi="宋体" w:eastAsia="宋体" w:cs="宋体"/>
          <w:color w:val="auto"/>
          <w:spacing w:val="-2"/>
          <w:sz w:val="24"/>
          <w:szCs w:val="24"/>
          <w:highlight w:val="none"/>
          <w:lang w:eastAsia="zh-CN"/>
        </w:rPr>
        <w:t>关数据</w:t>
      </w:r>
      <w:r>
        <w:rPr>
          <w:rFonts w:hint="eastAsia" w:ascii="宋体" w:hAnsi="宋体" w:eastAsia="宋体" w:cs="宋体"/>
          <w:color w:val="auto"/>
          <w:spacing w:val="12"/>
          <w:sz w:val="24"/>
          <w:szCs w:val="24"/>
          <w:highlight w:val="none"/>
          <w:lang w:eastAsia="zh-CN"/>
        </w:rPr>
        <w:t>），</w:t>
      </w:r>
      <w:r>
        <w:rPr>
          <w:rFonts w:hint="eastAsia" w:ascii="宋体" w:hAnsi="宋体" w:eastAsia="宋体" w:cs="宋体"/>
          <w:color w:val="auto"/>
          <w:spacing w:val="-2"/>
          <w:sz w:val="24"/>
          <w:szCs w:val="24"/>
          <w:highlight w:val="none"/>
          <w:lang w:eastAsia="zh-CN"/>
        </w:rPr>
        <w:t>否则导致的后果由投标人自行承担；</w:t>
      </w:r>
    </w:p>
    <w:p w14:paraId="4EED0C7B">
      <w:pPr>
        <w:spacing w:before="35" w:line="360" w:lineRule="auto"/>
        <w:ind w:left="746"/>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2、以联合体形式参加的，应当由联合体各方盖章。</w:t>
      </w:r>
    </w:p>
    <w:p w14:paraId="1F301056">
      <w:pPr>
        <w:spacing w:line="360" w:lineRule="auto"/>
        <w:rPr>
          <w:rFonts w:ascii="宋体" w:hAnsi="宋体" w:eastAsia="宋体" w:cs="宋体"/>
          <w:color w:val="auto"/>
          <w:highlight w:val="none"/>
          <w:lang w:eastAsia="zh-CN"/>
        </w:rPr>
      </w:pPr>
    </w:p>
    <w:p w14:paraId="01A21B25">
      <w:pPr>
        <w:spacing w:before="78" w:line="360" w:lineRule="auto"/>
        <w:ind w:left="3381" w:right="1062" w:hanging="38"/>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供应商名称（公章)：</w:t>
      </w:r>
    </w:p>
    <w:p w14:paraId="5EBF40C5">
      <w:pPr>
        <w:spacing w:before="78" w:line="360" w:lineRule="auto"/>
        <w:ind w:left="3381" w:right="1062" w:hanging="38"/>
        <w:rPr>
          <w:rFonts w:ascii="宋体" w:hAnsi="宋体" w:eastAsia="宋体" w:cs="宋体"/>
          <w:color w:val="auto"/>
          <w:sz w:val="24"/>
          <w:szCs w:val="24"/>
          <w:highlight w:val="none"/>
          <w:lang w:eastAsia="zh-CN"/>
        </w:rPr>
      </w:pPr>
      <w:r>
        <w:rPr>
          <w:rFonts w:hint="eastAsia" w:ascii="宋体" w:hAnsi="宋体" w:eastAsia="宋体" w:cs="宋体"/>
          <w:color w:val="auto"/>
          <w:spacing w:val="-32"/>
          <w:sz w:val="24"/>
          <w:szCs w:val="24"/>
          <w:highlight w:val="none"/>
          <w:lang w:eastAsia="zh-CN"/>
        </w:rPr>
        <w:t>日期：</w:t>
      </w:r>
    </w:p>
    <w:p w14:paraId="6B3444B3">
      <w:pPr>
        <w:spacing w:line="360" w:lineRule="auto"/>
        <w:rPr>
          <w:rFonts w:ascii="宋体" w:hAnsi="宋体" w:eastAsia="宋体" w:cs="宋体"/>
          <w:color w:val="auto"/>
          <w:highlight w:val="none"/>
          <w:lang w:eastAsia="zh-CN"/>
        </w:rPr>
      </w:pPr>
    </w:p>
    <w:p w14:paraId="5527A42A">
      <w:pPr>
        <w:pageBreakBefore/>
        <w:spacing w:before="101" w:line="360" w:lineRule="auto"/>
        <w:ind w:left="28"/>
        <w:outlineLvl w:val="1"/>
        <w:rPr>
          <w:rFonts w:ascii="宋体" w:hAnsi="宋体" w:eastAsia="宋体" w:cs="宋体"/>
          <w:color w:val="auto"/>
          <w:sz w:val="31"/>
          <w:szCs w:val="31"/>
          <w:highlight w:val="none"/>
          <w:lang w:eastAsia="zh-CN"/>
        </w:rPr>
      </w:pPr>
      <w:bookmarkStart w:id="175" w:name="bookmark247"/>
      <w:bookmarkEnd w:id="175"/>
      <w:bookmarkStart w:id="176" w:name="bookmark250"/>
      <w:bookmarkEnd w:id="176"/>
      <w:bookmarkStart w:id="177" w:name="bookmark252"/>
      <w:bookmarkEnd w:id="177"/>
      <w:bookmarkStart w:id="178" w:name="bookmark248"/>
      <w:bookmarkEnd w:id="178"/>
      <w:bookmarkStart w:id="179" w:name="_Toc186477805"/>
      <w:bookmarkStart w:id="180" w:name="_Toc27981"/>
      <w:r>
        <w:rPr>
          <w:rFonts w:hint="eastAsia" w:ascii="宋体" w:hAnsi="宋体" w:eastAsia="宋体" w:cs="宋体"/>
          <w:b/>
          <w:bCs/>
          <w:color w:val="auto"/>
          <w:spacing w:val="6"/>
          <w:sz w:val="31"/>
          <w:szCs w:val="31"/>
          <w:highlight w:val="none"/>
          <w:lang w:eastAsia="zh-CN"/>
        </w:rPr>
        <w:t>三、不参与围标串标承诺书</w:t>
      </w:r>
      <w:bookmarkEnd w:id="179"/>
      <w:bookmarkEnd w:id="180"/>
    </w:p>
    <w:p w14:paraId="002FA79A">
      <w:pPr>
        <w:spacing w:line="360" w:lineRule="auto"/>
        <w:rPr>
          <w:rFonts w:ascii="宋体" w:hAnsi="宋体" w:eastAsia="宋体" w:cs="宋体"/>
          <w:color w:val="auto"/>
          <w:highlight w:val="none"/>
          <w:lang w:eastAsia="zh-CN"/>
        </w:rPr>
      </w:pPr>
    </w:p>
    <w:p w14:paraId="6F77335E">
      <w:pPr>
        <w:spacing w:line="360" w:lineRule="auto"/>
        <w:rPr>
          <w:rFonts w:ascii="宋体" w:hAnsi="宋体" w:eastAsia="宋体" w:cs="宋体"/>
          <w:color w:val="auto"/>
          <w:highlight w:val="none"/>
          <w:lang w:eastAsia="zh-CN"/>
        </w:rPr>
      </w:pPr>
    </w:p>
    <w:p w14:paraId="6E508ECC">
      <w:pPr>
        <w:spacing w:before="101" w:line="360" w:lineRule="auto"/>
        <w:ind w:left="2578"/>
        <w:rPr>
          <w:rFonts w:ascii="宋体" w:hAnsi="宋体" w:eastAsia="宋体" w:cs="宋体"/>
          <w:color w:val="auto"/>
          <w:sz w:val="31"/>
          <w:szCs w:val="31"/>
          <w:highlight w:val="none"/>
          <w:lang w:eastAsia="zh-CN"/>
        </w:rPr>
      </w:pPr>
      <w:bookmarkStart w:id="181" w:name="bookmark249"/>
      <w:bookmarkEnd w:id="181"/>
      <w:bookmarkStart w:id="182" w:name="_Toc186477806"/>
      <w:bookmarkStart w:id="183" w:name="_Toc29898"/>
      <w:r>
        <w:rPr>
          <w:rFonts w:hint="eastAsia" w:ascii="宋体" w:hAnsi="宋体" w:eastAsia="宋体" w:cs="宋体"/>
          <w:b/>
          <w:bCs/>
          <w:color w:val="auto"/>
          <w:spacing w:val="6"/>
          <w:sz w:val="31"/>
          <w:szCs w:val="31"/>
          <w:highlight w:val="none"/>
          <w:lang w:eastAsia="zh-CN"/>
        </w:rPr>
        <w:t>不参与围标串标承诺书</w:t>
      </w:r>
      <w:bookmarkEnd w:id="182"/>
      <w:bookmarkEnd w:id="183"/>
    </w:p>
    <w:p w14:paraId="5596B486">
      <w:pPr>
        <w:spacing w:line="360" w:lineRule="auto"/>
        <w:rPr>
          <w:rFonts w:ascii="宋体" w:hAnsi="宋体" w:eastAsia="宋体" w:cs="宋体"/>
          <w:color w:val="auto"/>
          <w:highlight w:val="none"/>
          <w:lang w:eastAsia="zh-CN"/>
        </w:rPr>
      </w:pPr>
    </w:p>
    <w:p w14:paraId="2587DEB0">
      <w:pPr>
        <w:spacing w:before="78" w:line="360" w:lineRule="auto"/>
        <w:ind w:left="27" w:right="160" w:firstLine="477"/>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本人作为经授权的投标人代表,清楚知晓我单位</w:t>
      </w:r>
      <w:r>
        <w:rPr>
          <w:rFonts w:hint="eastAsia" w:ascii="宋体" w:hAnsi="宋体" w:eastAsia="宋体" w:cs="宋体"/>
          <w:color w:val="auto"/>
          <w:spacing w:val="-1"/>
          <w:sz w:val="24"/>
          <w:szCs w:val="24"/>
          <w:highlight w:val="none"/>
          <w:lang w:eastAsia="zh-CN"/>
        </w:rPr>
        <w:t>本项目投标活动,对以下事</w:t>
      </w:r>
      <w:r>
        <w:rPr>
          <w:rFonts w:hint="eastAsia" w:ascii="宋体" w:hAnsi="宋体" w:eastAsia="宋体" w:cs="宋体"/>
          <w:color w:val="auto"/>
          <w:spacing w:val="-3"/>
          <w:sz w:val="24"/>
          <w:szCs w:val="24"/>
          <w:highlight w:val="none"/>
          <w:lang w:eastAsia="zh-CN"/>
        </w:rPr>
        <w:t>项作出承诺：</w:t>
      </w:r>
    </w:p>
    <w:p w14:paraId="26126D79">
      <w:pPr>
        <w:spacing w:before="78" w:line="360" w:lineRule="auto"/>
        <w:ind w:left="24" w:right="40" w:firstLine="482"/>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一、我单位和我本人遵循公开透明、公平竞争、公正和诚实信用的原则,依法依规参与本项目竞标。</w:t>
      </w:r>
    </w:p>
    <w:p w14:paraId="0AA8FFAA">
      <w:pPr>
        <w:spacing w:before="184" w:line="360" w:lineRule="auto"/>
        <w:ind w:left="507"/>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二、我单位和我本人在本项目政府采购投标活动中,未参与围标串标。</w:t>
      </w:r>
    </w:p>
    <w:p w14:paraId="2C28EBCC">
      <w:pPr>
        <w:spacing w:before="187" w:line="360" w:lineRule="auto"/>
        <w:ind w:left="24" w:right="13" w:firstLine="479"/>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三、我单位如被查实在本项目政府采购投标活动中存在围标串标</w:t>
      </w:r>
      <w:r>
        <w:rPr>
          <w:rFonts w:hint="eastAsia" w:ascii="宋体" w:hAnsi="宋体" w:eastAsia="宋体" w:cs="宋体"/>
          <w:color w:val="auto"/>
          <w:spacing w:val="-4"/>
          <w:sz w:val="24"/>
          <w:szCs w:val="24"/>
          <w:highlight w:val="none"/>
          <w:lang w:eastAsia="zh-CN"/>
        </w:rPr>
        <w:t>的，递交投</w:t>
      </w:r>
      <w:r>
        <w:rPr>
          <w:rFonts w:hint="eastAsia" w:ascii="宋体" w:hAnsi="宋体" w:eastAsia="宋体" w:cs="宋体"/>
          <w:color w:val="auto"/>
          <w:sz w:val="24"/>
          <w:szCs w:val="24"/>
          <w:highlight w:val="none"/>
          <w:lang w:eastAsia="zh-CN"/>
        </w:rPr>
        <w:t>标文件行为作为实施串通投标违法行为的关键环节,</w:t>
      </w:r>
      <w:r>
        <w:rPr>
          <w:rFonts w:hint="eastAsia" w:ascii="宋体" w:hAnsi="宋体" w:eastAsia="宋体" w:cs="宋体"/>
          <w:color w:val="auto"/>
          <w:spacing w:val="-1"/>
          <w:sz w:val="24"/>
          <w:szCs w:val="24"/>
          <w:highlight w:val="none"/>
          <w:lang w:eastAsia="zh-CN"/>
        </w:rPr>
        <w:t>由我单位及法定代表人承担</w:t>
      </w:r>
    </w:p>
    <w:p w14:paraId="5F7A9660">
      <w:pPr>
        <w:spacing w:before="187" w:line="360" w:lineRule="auto"/>
        <w:ind w:left="2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相应的法律责任，接受相应行政处罚和失信惩戒。</w:t>
      </w:r>
    </w:p>
    <w:p w14:paraId="600F1008">
      <w:pPr>
        <w:spacing w:line="360" w:lineRule="auto"/>
        <w:rPr>
          <w:rFonts w:ascii="宋体" w:hAnsi="宋体" w:eastAsia="宋体" w:cs="宋体"/>
          <w:color w:val="auto"/>
          <w:highlight w:val="none"/>
          <w:lang w:eastAsia="zh-CN"/>
        </w:rPr>
      </w:pPr>
    </w:p>
    <w:p w14:paraId="461EE71A">
      <w:pPr>
        <w:spacing w:line="360" w:lineRule="auto"/>
        <w:rPr>
          <w:rFonts w:ascii="宋体" w:hAnsi="宋体" w:eastAsia="宋体" w:cs="宋体"/>
          <w:color w:val="auto"/>
          <w:highlight w:val="none"/>
          <w:lang w:eastAsia="zh-CN"/>
        </w:rPr>
      </w:pPr>
    </w:p>
    <w:p w14:paraId="7F505BFE">
      <w:pPr>
        <w:spacing w:line="360" w:lineRule="auto"/>
        <w:rPr>
          <w:rFonts w:ascii="宋体" w:hAnsi="宋体" w:eastAsia="宋体" w:cs="宋体"/>
          <w:color w:val="auto"/>
          <w:highlight w:val="none"/>
          <w:lang w:eastAsia="zh-CN"/>
        </w:rPr>
      </w:pPr>
    </w:p>
    <w:p w14:paraId="74868275">
      <w:pPr>
        <w:spacing w:line="360" w:lineRule="auto"/>
        <w:rPr>
          <w:rFonts w:ascii="宋体" w:hAnsi="宋体" w:eastAsia="宋体" w:cs="宋体"/>
          <w:color w:val="auto"/>
          <w:highlight w:val="none"/>
          <w:lang w:eastAsia="zh-CN"/>
        </w:rPr>
      </w:pPr>
    </w:p>
    <w:p w14:paraId="7C73CFC1">
      <w:pPr>
        <w:spacing w:line="360" w:lineRule="auto"/>
        <w:rPr>
          <w:rFonts w:ascii="宋体" w:hAnsi="宋体" w:eastAsia="宋体" w:cs="宋体"/>
          <w:color w:val="auto"/>
          <w:highlight w:val="none"/>
          <w:lang w:eastAsia="zh-CN"/>
        </w:rPr>
      </w:pPr>
    </w:p>
    <w:p w14:paraId="62D77024">
      <w:pPr>
        <w:spacing w:before="79" w:line="360" w:lineRule="auto"/>
        <w:ind w:left="26"/>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供应商名称（公章)：</w:t>
      </w:r>
    </w:p>
    <w:p w14:paraId="3DC9BF5F">
      <w:pPr>
        <w:spacing w:before="79" w:line="360" w:lineRule="auto"/>
        <w:ind w:left="26"/>
        <w:rPr>
          <w:rFonts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法定代表人、负责人、本人、或授权代表（签字或盖章）：</w:t>
      </w:r>
    </w:p>
    <w:p w14:paraId="6DE793EF">
      <w:pPr>
        <w:spacing w:before="79" w:line="360" w:lineRule="auto"/>
        <w:ind w:left="26"/>
        <w:rPr>
          <w:rFonts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日期：年月日</w:t>
      </w:r>
    </w:p>
    <w:p w14:paraId="1476B817">
      <w:pPr>
        <w:spacing w:line="360" w:lineRule="auto"/>
        <w:rPr>
          <w:rFonts w:ascii="宋体" w:hAnsi="宋体" w:eastAsia="宋体" w:cs="宋体"/>
          <w:color w:val="auto"/>
          <w:highlight w:val="none"/>
          <w:lang w:eastAsia="zh-CN"/>
        </w:rPr>
      </w:pPr>
    </w:p>
    <w:p w14:paraId="7DA79DDC">
      <w:pPr>
        <w:spacing w:line="360" w:lineRule="auto"/>
        <w:rPr>
          <w:rFonts w:ascii="宋体" w:hAnsi="宋体" w:eastAsia="宋体" w:cs="宋体"/>
          <w:color w:val="auto"/>
          <w:highlight w:val="none"/>
          <w:lang w:eastAsia="zh-CN"/>
        </w:rPr>
      </w:pPr>
    </w:p>
    <w:p w14:paraId="275BAD8B">
      <w:pPr>
        <w:pageBreakBefore/>
        <w:spacing w:before="100" w:line="360" w:lineRule="auto"/>
        <w:ind w:left="28"/>
        <w:outlineLvl w:val="1"/>
        <w:rPr>
          <w:rFonts w:ascii="宋体" w:hAnsi="宋体" w:eastAsia="宋体" w:cs="宋体"/>
          <w:color w:val="auto"/>
          <w:sz w:val="31"/>
          <w:szCs w:val="31"/>
          <w:highlight w:val="none"/>
          <w:lang w:eastAsia="zh-CN"/>
        </w:rPr>
      </w:pPr>
      <w:bookmarkStart w:id="184" w:name="bookmark287"/>
      <w:bookmarkEnd w:id="184"/>
      <w:bookmarkStart w:id="185" w:name="bookmark253"/>
      <w:bookmarkEnd w:id="185"/>
      <w:bookmarkStart w:id="186" w:name="_Toc4981"/>
      <w:bookmarkStart w:id="187" w:name="_Toc186477807"/>
      <w:r>
        <w:rPr>
          <w:rFonts w:hint="eastAsia" w:ascii="宋体" w:hAnsi="宋体" w:eastAsia="宋体" w:cs="宋体"/>
          <w:b/>
          <w:bCs/>
          <w:color w:val="auto"/>
          <w:spacing w:val="6"/>
          <w:sz w:val="31"/>
          <w:szCs w:val="31"/>
          <w:highlight w:val="none"/>
          <w:lang w:eastAsia="zh-CN"/>
        </w:rPr>
        <w:t>四、其他资格证明文件</w:t>
      </w:r>
      <w:bookmarkEnd w:id="186"/>
      <w:bookmarkEnd w:id="187"/>
    </w:p>
    <w:p w14:paraId="3062C5C9">
      <w:pPr>
        <w:spacing w:before="306" w:line="360" w:lineRule="auto"/>
        <w:ind w:left="506"/>
        <w:rPr>
          <w:rFonts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投标人认为需提供的其它相关资格证明材料</w:t>
      </w:r>
    </w:p>
    <w:p w14:paraId="78427739">
      <w:pPr>
        <w:pStyle w:val="10"/>
        <w:spacing w:line="360" w:lineRule="auto"/>
        <w:rPr>
          <w:rFonts w:ascii="宋体" w:hAnsi="宋体" w:eastAsia="宋体" w:cs="宋体"/>
          <w:color w:val="auto"/>
          <w:spacing w:val="-1"/>
          <w:sz w:val="24"/>
          <w:szCs w:val="24"/>
          <w:highlight w:val="none"/>
          <w:lang w:eastAsia="zh-CN"/>
        </w:rPr>
      </w:pPr>
    </w:p>
    <w:p w14:paraId="5B422737">
      <w:pPr>
        <w:spacing w:line="360" w:lineRule="auto"/>
        <w:rPr>
          <w:rFonts w:ascii="宋体" w:hAnsi="宋体" w:eastAsia="宋体" w:cs="宋体"/>
          <w:color w:val="auto"/>
          <w:highlight w:val="none"/>
          <w:lang w:eastAsia="zh-CN"/>
        </w:rPr>
      </w:pPr>
    </w:p>
    <w:p w14:paraId="72638F2D">
      <w:pPr>
        <w:spacing w:line="360" w:lineRule="auto"/>
        <w:rPr>
          <w:rFonts w:ascii="宋体" w:hAnsi="宋体" w:eastAsia="宋体" w:cs="宋体"/>
          <w:color w:val="auto"/>
          <w:highlight w:val="none"/>
          <w:lang w:eastAsia="zh-CN"/>
        </w:rPr>
      </w:pPr>
    </w:p>
    <w:p w14:paraId="424218A5">
      <w:pPr>
        <w:spacing w:line="360" w:lineRule="auto"/>
        <w:rPr>
          <w:rFonts w:ascii="宋体" w:hAnsi="宋体" w:eastAsia="宋体" w:cs="宋体"/>
          <w:color w:val="auto"/>
          <w:highlight w:val="none"/>
          <w:lang w:eastAsia="zh-CN"/>
        </w:rPr>
      </w:pPr>
    </w:p>
    <w:p w14:paraId="7D9D6119">
      <w:pPr>
        <w:spacing w:line="360" w:lineRule="auto"/>
        <w:rPr>
          <w:rFonts w:ascii="宋体" w:hAnsi="宋体" w:eastAsia="宋体" w:cs="宋体"/>
          <w:color w:val="auto"/>
          <w:highlight w:val="none"/>
          <w:lang w:eastAsia="zh-CN"/>
        </w:rPr>
      </w:pPr>
    </w:p>
    <w:p w14:paraId="1CC343FA">
      <w:pPr>
        <w:spacing w:line="360" w:lineRule="auto"/>
        <w:rPr>
          <w:rFonts w:ascii="宋体" w:hAnsi="宋体" w:eastAsia="宋体" w:cs="宋体"/>
          <w:color w:val="auto"/>
          <w:highlight w:val="none"/>
          <w:lang w:eastAsia="zh-CN"/>
        </w:rPr>
      </w:pPr>
    </w:p>
    <w:p w14:paraId="7FF3DA5D">
      <w:pPr>
        <w:pageBreakBefore/>
        <w:spacing w:line="360" w:lineRule="auto"/>
        <w:rPr>
          <w:rFonts w:ascii="宋体" w:hAnsi="宋体" w:eastAsia="宋体" w:cs="宋体"/>
          <w:color w:val="auto"/>
          <w:highlight w:val="none"/>
          <w:lang w:eastAsia="zh-CN"/>
        </w:rPr>
      </w:pPr>
    </w:p>
    <w:p w14:paraId="6D7F3CD8">
      <w:pPr>
        <w:spacing w:before="78" w:line="360" w:lineRule="auto"/>
        <w:ind w:left="502"/>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封面：</w:t>
      </w:r>
    </w:p>
    <w:p w14:paraId="4B69E030">
      <w:pPr>
        <w:spacing w:line="360" w:lineRule="auto"/>
        <w:rPr>
          <w:rFonts w:ascii="宋体" w:hAnsi="宋体" w:eastAsia="宋体" w:cs="宋体"/>
          <w:color w:val="auto"/>
          <w:highlight w:val="none"/>
          <w:lang w:eastAsia="zh-CN"/>
        </w:rPr>
      </w:pPr>
    </w:p>
    <w:p w14:paraId="6B238134">
      <w:pPr>
        <w:spacing w:line="360" w:lineRule="auto"/>
        <w:rPr>
          <w:rFonts w:ascii="宋体" w:hAnsi="宋体" w:eastAsia="宋体" w:cs="宋体"/>
          <w:color w:val="auto"/>
          <w:highlight w:val="none"/>
          <w:lang w:eastAsia="zh-CN"/>
        </w:rPr>
      </w:pPr>
    </w:p>
    <w:p w14:paraId="7EF6A896">
      <w:pPr>
        <w:spacing w:before="269" w:line="360" w:lineRule="auto"/>
        <w:jc w:val="center"/>
        <w:outlineLvl w:val="1"/>
        <w:rPr>
          <w:rFonts w:ascii="宋体" w:hAnsi="宋体" w:eastAsia="宋体" w:cs="宋体"/>
          <w:color w:val="auto"/>
          <w:sz w:val="83"/>
          <w:szCs w:val="83"/>
          <w:highlight w:val="none"/>
          <w:lang w:eastAsia="zh-CN"/>
        </w:rPr>
      </w:pPr>
      <w:bookmarkStart w:id="188" w:name="bookmark254"/>
      <w:bookmarkEnd w:id="188"/>
      <w:bookmarkStart w:id="189" w:name="_Toc186477808"/>
      <w:bookmarkStart w:id="190" w:name="_Toc24256"/>
      <w:r>
        <w:rPr>
          <w:rFonts w:hint="eastAsia" w:ascii="宋体" w:hAnsi="宋体" w:eastAsia="宋体" w:cs="宋体"/>
          <w:b/>
          <w:bCs/>
          <w:color w:val="auto"/>
          <w:spacing w:val="-31"/>
          <w:sz w:val="83"/>
          <w:szCs w:val="83"/>
          <w:highlight w:val="none"/>
          <w:lang w:eastAsia="zh-CN"/>
        </w:rPr>
        <w:t>投标文件</w:t>
      </w:r>
      <w:bookmarkEnd w:id="189"/>
      <w:bookmarkEnd w:id="190"/>
    </w:p>
    <w:p w14:paraId="14D52358">
      <w:pPr>
        <w:spacing w:before="236" w:line="360" w:lineRule="auto"/>
        <w:jc w:val="center"/>
        <w:rPr>
          <w:rFonts w:ascii="宋体" w:hAnsi="宋体" w:eastAsia="宋体" w:cs="宋体"/>
          <w:color w:val="auto"/>
          <w:sz w:val="55"/>
          <w:szCs w:val="55"/>
          <w:highlight w:val="none"/>
          <w:lang w:eastAsia="zh-CN"/>
        </w:rPr>
      </w:pPr>
      <w:r>
        <w:rPr>
          <w:rFonts w:hint="eastAsia" w:ascii="宋体" w:hAnsi="宋体" w:eastAsia="宋体" w:cs="宋体"/>
          <w:b/>
          <w:bCs/>
          <w:color w:val="auto"/>
          <w:spacing w:val="1"/>
          <w:sz w:val="55"/>
          <w:szCs w:val="55"/>
          <w:highlight w:val="none"/>
          <w:lang w:eastAsia="zh-CN"/>
        </w:rPr>
        <w:t>报价文件</w:t>
      </w:r>
    </w:p>
    <w:p w14:paraId="6D44E0AD">
      <w:pPr>
        <w:spacing w:before="220" w:line="360" w:lineRule="auto"/>
        <w:ind w:left="1134"/>
        <w:rPr>
          <w:rFonts w:ascii="宋体" w:hAnsi="宋体" w:eastAsia="宋体" w:cs="宋体"/>
          <w:color w:val="auto"/>
          <w:sz w:val="35"/>
          <w:szCs w:val="35"/>
          <w:highlight w:val="none"/>
          <w:lang w:eastAsia="zh-CN"/>
        </w:rPr>
      </w:pPr>
      <w:r>
        <w:rPr>
          <w:rFonts w:hint="eastAsia" w:ascii="宋体" w:hAnsi="宋体" w:eastAsia="宋体" w:cs="宋体"/>
          <w:color w:val="auto"/>
          <w:spacing w:val="8"/>
          <w:sz w:val="35"/>
          <w:szCs w:val="35"/>
          <w:highlight w:val="none"/>
          <w:lang w:eastAsia="zh-CN"/>
        </w:rPr>
        <w:t>（第</w:t>
      </w:r>
      <w:r>
        <w:rPr>
          <w:rFonts w:hint="eastAsia" w:ascii="宋体" w:hAnsi="宋体" w:eastAsia="宋体" w:cs="宋体"/>
          <w:color w:val="auto"/>
          <w:sz w:val="35"/>
          <w:szCs w:val="35"/>
          <w:highlight w:val="none"/>
          <w:lang w:eastAsia="zh-CN"/>
        </w:rPr>
        <w:t>XX</w:t>
      </w:r>
      <w:r>
        <w:rPr>
          <w:rFonts w:hint="eastAsia" w:ascii="宋体" w:hAnsi="宋体" w:eastAsia="宋体" w:cs="宋体"/>
          <w:color w:val="auto"/>
          <w:spacing w:val="8"/>
          <w:sz w:val="35"/>
          <w:szCs w:val="35"/>
          <w:highlight w:val="none"/>
          <w:lang w:eastAsia="zh-CN"/>
        </w:rPr>
        <w:t>包）【如不分包，请删去本行】</w:t>
      </w:r>
    </w:p>
    <w:p w14:paraId="6E5E6F4B">
      <w:pPr>
        <w:spacing w:line="360" w:lineRule="auto"/>
        <w:rPr>
          <w:rFonts w:ascii="宋体" w:hAnsi="宋体" w:eastAsia="宋体" w:cs="宋体"/>
          <w:color w:val="auto"/>
          <w:highlight w:val="none"/>
          <w:lang w:eastAsia="zh-CN"/>
        </w:rPr>
      </w:pPr>
    </w:p>
    <w:p w14:paraId="3CA571AE">
      <w:pPr>
        <w:spacing w:line="360" w:lineRule="auto"/>
        <w:rPr>
          <w:rFonts w:ascii="宋体" w:hAnsi="宋体" w:eastAsia="宋体" w:cs="宋体"/>
          <w:color w:val="auto"/>
          <w:highlight w:val="none"/>
          <w:lang w:eastAsia="zh-CN"/>
        </w:rPr>
      </w:pPr>
    </w:p>
    <w:p w14:paraId="71BF6034">
      <w:pPr>
        <w:spacing w:line="360" w:lineRule="auto"/>
        <w:rPr>
          <w:rFonts w:ascii="宋体" w:hAnsi="宋体" w:eastAsia="宋体" w:cs="宋体"/>
          <w:color w:val="auto"/>
          <w:highlight w:val="none"/>
          <w:lang w:eastAsia="zh-CN"/>
        </w:rPr>
      </w:pPr>
    </w:p>
    <w:p w14:paraId="2097AC09">
      <w:pPr>
        <w:spacing w:line="360" w:lineRule="auto"/>
        <w:rPr>
          <w:rFonts w:ascii="宋体" w:hAnsi="宋体" w:eastAsia="宋体" w:cs="宋体"/>
          <w:color w:val="auto"/>
          <w:highlight w:val="none"/>
          <w:lang w:eastAsia="zh-CN"/>
        </w:rPr>
      </w:pPr>
    </w:p>
    <w:p w14:paraId="5CFEC2EE">
      <w:pPr>
        <w:spacing w:line="360" w:lineRule="auto"/>
        <w:rPr>
          <w:rFonts w:ascii="宋体" w:hAnsi="宋体" w:eastAsia="宋体" w:cs="宋体"/>
          <w:color w:val="auto"/>
          <w:highlight w:val="none"/>
          <w:lang w:eastAsia="zh-CN"/>
        </w:rPr>
      </w:pPr>
    </w:p>
    <w:p w14:paraId="624CA07D">
      <w:pPr>
        <w:spacing w:line="360" w:lineRule="auto"/>
        <w:rPr>
          <w:rFonts w:ascii="宋体" w:hAnsi="宋体" w:eastAsia="宋体" w:cs="宋体"/>
          <w:color w:val="auto"/>
          <w:highlight w:val="none"/>
          <w:lang w:eastAsia="zh-CN"/>
        </w:rPr>
      </w:pPr>
    </w:p>
    <w:p w14:paraId="673B1993">
      <w:pPr>
        <w:spacing w:line="360" w:lineRule="auto"/>
        <w:rPr>
          <w:rFonts w:ascii="宋体" w:hAnsi="宋体" w:eastAsia="宋体" w:cs="宋体"/>
          <w:color w:val="auto"/>
          <w:highlight w:val="none"/>
          <w:lang w:eastAsia="zh-CN"/>
        </w:rPr>
      </w:pPr>
    </w:p>
    <w:p w14:paraId="03D4178D">
      <w:pPr>
        <w:pStyle w:val="13"/>
        <w:tabs>
          <w:tab w:val="left" w:pos="8364"/>
        </w:tabs>
        <w:spacing w:before="100" w:line="360" w:lineRule="auto"/>
        <w:ind w:left="443" w:right="14" w:firstLine="2"/>
        <w:jc w:val="both"/>
        <w:rPr>
          <w:rFonts w:ascii="宋体" w:hAnsi="宋体" w:eastAsia="宋体" w:cs="宋体"/>
          <w:color w:val="auto"/>
          <w:highlight w:val="none"/>
          <w:u w:val="single"/>
          <w:lang w:eastAsia="zh-CN"/>
        </w:rPr>
      </w:pPr>
      <w:r>
        <w:rPr>
          <w:rFonts w:hint="eastAsia" w:ascii="宋体" w:hAnsi="宋体" w:eastAsia="宋体" w:cs="宋体"/>
          <w:color w:val="auto"/>
          <w:spacing w:val="5"/>
          <w:highlight w:val="none"/>
          <w:lang w:eastAsia="zh-CN"/>
        </w:rPr>
        <w:t>项目编号：</w:t>
      </w:r>
      <w:r>
        <w:rPr>
          <w:rFonts w:hint="eastAsia" w:ascii="宋体" w:hAnsi="宋体" w:eastAsia="宋体" w:cs="宋体"/>
          <w:color w:val="auto"/>
          <w:highlight w:val="none"/>
          <w:u w:val="single"/>
          <w:lang w:eastAsia="zh-CN"/>
        </w:rPr>
        <w:tab/>
      </w:r>
    </w:p>
    <w:p w14:paraId="25129EE0">
      <w:pPr>
        <w:pStyle w:val="13"/>
        <w:tabs>
          <w:tab w:val="left" w:pos="8364"/>
        </w:tabs>
        <w:spacing w:before="100" w:line="360" w:lineRule="auto"/>
        <w:ind w:left="443" w:right="14" w:firstLine="2"/>
        <w:jc w:val="both"/>
        <w:rPr>
          <w:rFonts w:ascii="宋体" w:hAnsi="宋体" w:eastAsia="宋体" w:cs="宋体"/>
          <w:color w:val="auto"/>
          <w:highlight w:val="none"/>
          <w:u w:val="single"/>
          <w:lang w:eastAsia="zh-CN"/>
        </w:rPr>
      </w:pPr>
      <w:r>
        <w:rPr>
          <w:rFonts w:hint="eastAsia" w:ascii="宋体" w:hAnsi="宋体" w:eastAsia="宋体" w:cs="宋体"/>
          <w:color w:val="auto"/>
          <w:spacing w:val="5"/>
          <w:highlight w:val="none"/>
          <w:lang w:eastAsia="zh-CN"/>
        </w:rPr>
        <w:t>项目名称：</w:t>
      </w:r>
      <w:r>
        <w:rPr>
          <w:rFonts w:hint="eastAsia" w:ascii="宋体" w:hAnsi="宋体" w:eastAsia="宋体" w:cs="宋体"/>
          <w:color w:val="auto"/>
          <w:highlight w:val="none"/>
          <w:u w:val="single"/>
          <w:lang w:eastAsia="zh-CN"/>
        </w:rPr>
        <w:tab/>
      </w:r>
    </w:p>
    <w:p w14:paraId="327ADEAE">
      <w:pPr>
        <w:pStyle w:val="13"/>
        <w:tabs>
          <w:tab w:val="left" w:pos="8364"/>
        </w:tabs>
        <w:spacing w:before="100" w:line="360" w:lineRule="auto"/>
        <w:ind w:left="443" w:right="14" w:firstLine="2"/>
        <w:jc w:val="both"/>
        <w:rPr>
          <w:rFonts w:ascii="宋体" w:hAnsi="宋体" w:eastAsia="宋体" w:cs="宋体"/>
          <w:color w:val="auto"/>
          <w:highlight w:val="none"/>
          <w:lang w:eastAsia="zh-CN"/>
        </w:rPr>
      </w:pPr>
      <w:r>
        <w:rPr>
          <w:rFonts w:hint="eastAsia" w:ascii="宋体" w:hAnsi="宋体" w:eastAsia="宋体" w:cs="宋体"/>
          <w:color w:val="auto"/>
          <w:spacing w:val="3"/>
          <w:highlight w:val="none"/>
          <w:lang w:eastAsia="zh-CN"/>
        </w:rPr>
        <w:t>投标人：</w:t>
      </w:r>
      <w:r>
        <w:rPr>
          <w:rFonts w:hint="eastAsia" w:ascii="宋体" w:hAnsi="宋体" w:eastAsia="宋体" w:cs="宋体"/>
          <w:color w:val="auto"/>
          <w:highlight w:val="none"/>
          <w:u w:val="single"/>
          <w:lang w:eastAsia="zh-CN"/>
        </w:rPr>
        <w:tab/>
      </w:r>
    </w:p>
    <w:p w14:paraId="49E6F5CA">
      <w:pPr>
        <w:spacing w:line="360" w:lineRule="auto"/>
        <w:rPr>
          <w:rFonts w:ascii="宋体" w:hAnsi="宋体" w:eastAsia="宋体" w:cs="宋体"/>
          <w:color w:val="auto"/>
          <w:highlight w:val="none"/>
          <w:lang w:eastAsia="zh-CN"/>
        </w:rPr>
      </w:pPr>
    </w:p>
    <w:p w14:paraId="09EAD4DF">
      <w:pPr>
        <w:spacing w:line="360" w:lineRule="auto"/>
        <w:rPr>
          <w:rFonts w:ascii="宋体" w:hAnsi="宋体" w:eastAsia="宋体" w:cs="宋体"/>
          <w:color w:val="auto"/>
          <w:highlight w:val="none"/>
          <w:lang w:eastAsia="zh-CN"/>
        </w:rPr>
      </w:pPr>
    </w:p>
    <w:p w14:paraId="37FE1613">
      <w:pPr>
        <w:spacing w:line="360" w:lineRule="auto"/>
        <w:rPr>
          <w:rFonts w:ascii="宋体" w:hAnsi="宋体" w:eastAsia="宋体" w:cs="宋体"/>
          <w:color w:val="auto"/>
          <w:highlight w:val="none"/>
          <w:lang w:eastAsia="zh-CN"/>
        </w:rPr>
      </w:pPr>
    </w:p>
    <w:p w14:paraId="3C968D80">
      <w:pPr>
        <w:spacing w:line="360" w:lineRule="auto"/>
        <w:rPr>
          <w:rFonts w:ascii="宋体" w:hAnsi="宋体" w:eastAsia="宋体" w:cs="宋体"/>
          <w:color w:val="auto"/>
          <w:highlight w:val="none"/>
          <w:lang w:eastAsia="zh-CN"/>
        </w:rPr>
      </w:pPr>
    </w:p>
    <w:p w14:paraId="70F4BCA9">
      <w:pPr>
        <w:pStyle w:val="13"/>
        <w:spacing w:before="102" w:line="360" w:lineRule="auto"/>
        <w:ind w:left="3140"/>
        <w:rPr>
          <w:rFonts w:ascii="宋体" w:hAnsi="宋体" w:eastAsia="宋体" w:cs="宋体"/>
          <w:color w:val="auto"/>
          <w:highlight w:val="none"/>
          <w:lang w:eastAsia="zh-CN"/>
        </w:rPr>
      </w:pPr>
      <w:r>
        <w:rPr>
          <w:rFonts w:hint="eastAsia" w:ascii="宋体" w:hAnsi="宋体" w:eastAsia="宋体" w:cs="宋体"/>
          <w:color w:val="auto"/>
          <w:spacing w:val="-6"/>
          <w:highlight w:val="none"/>
          <w:lang w:eastAsia="zh-CN"/>
        </w:rPr>
        <w:t>年  月  日</w:t>
      </w:r>
    </w:p>
    <w:p w14:paraId="0147CFA1">
      <w:pPr>
        <w:spacing w:line="360" w:lineRule="auto"/>
        <w:rPr>
          <w:rFonts w:ascii="宋体" w:hAnsi="宋体" w:eastAsia="宋体" w:cs="宋体"/>
          <w:color w:val="auto"/>
          <w:highlight w:val="none"/>
          <w:lang w:eastAsia="zh-CN"/>
        </w:rPr>
      </w:pPr>
    </w:p>
    <w:p w14:paraId="2DB197B0">
      <w:pPr>
        <w:spacing w:line="360" w:lineRule="auto"/>
        <w:rPr>
          <w:rFonts w:ascii="宋体" w:hAnsi="宋体" w:eastAsia="宋体" w:cs="宋体"/>
          <w:color w:val="auto"/>
          <w:highlight w:val="none"/>
          <w:lang w:eastAsia="zh-CN"/>
        </w:rPr>
      </w:pPr>
    </w:p>
    <w:p w14:paraId="691F2B5A">
      <w:pPr>
        <w:pageBreakBefore/>
        <w:spacing w:before="101" w:line="360" w:lineRule="auto"/>
        <w:jc w:val="center"/>
        <w:outlineLvl w:val="1"/>
        <w:rPr>
          <w:rFonts w:ascii="宋体" w:hAnsi="宋体" w:eastAsia="宋体" w:cs="宋体"/>
          <w:color w:val="auto"/>
          <w:sz w:val="31"/>
          <w:szCs w:val="31"/>
          <w:highlight w:val="none"/>
          <w:lang w:eastAsia="zh-CN"/>
        </w:rPr>
      </w:pPr>
      <w:bookmarkStart w:id="191" w:name="_Toc29424"/>
      <w:bookmarkStart w:id="192" w:name="_Toc186477809"/>
      <w:r>
        <w:rPr>
          <w:rFonts w:hint="eastAsia" w:ascii="宋体" w:hAnsi="宋体" w:eastAsia="宋体" w:cs="宋体"/>
          <w:b/>
          <w:bCs/>
          <w:color w:val="auto"/>
          <w:spacing w:val="5"/>
          <w:sz w:val="31"/>
          <w:szCs w:val="31"/>
          <w:highlight w:val="none"/>
          <w:lang w:eastAsia="zh-CN"/>
        </w:rPr>
        <w:t>一、开标一览表</w:t>
      </w:r>
      <w:bookmarkEnd w:id="191"/>
      <w:bookmarkEnd w:id="192"/>
    </w:p>
    <w:tbl>
      <w:tblPr>
        <w:tblStyle w:val="30"/>
        <w:tblW w:w="8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88"/>
        <w:gridCol w:w="5190"/>
      </w:tblGrid>
      <w:tr w14:paraId="16C95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3188" w:type="dxa"/>
            <w:tcBorders>
              <w:top w:val="single" w:color="auto" w:sz="4" w:space="0"/>
              <w:left w:val="single" w:color="auto" w:sz="4" w:space="0"/>
              <w:bottom w:val="single" w:color="auto" w:sz="4" w:space="0"/>
              <w:right w:val="single" w:color="auto" w:sz="4" w:space="0"/>
            </w:tcBorders>
            <w:shd w:val="clear" w:color="auto" w:fill="auto"/>
            <w:vAlign w:val="center"/>
          </w:tcPr>
          <w:p w14:paraId="15A6D521">
            <w:pPr>
              <w:widowControl w:val="0"/>
              <w:spacing w:line="360" w:lineRule="auto"/>
              <w:jc w:val="center"/>
              <w:rPr>
                <w:rFonts w:ascii="宋体" w:hAnsi="宋体" w:eastAsia="宋体" w:cs="宋体"/>
                <w:bCs/>
                <w:kern w:val="2"/>
                <w:highlight w:val="none"/>
              </w:rPr>
            </w:pPr>
            <w:r>
              <w:rPr>
                <w:rFonts w:hint="eastAsia" w:ascii="宋体" w:hAnsi="宋体" w:eastAsia="宋体" w:cs="宋体"/>
                <w:bCs/>
                <w:kern w:val="2"/>
                <w:highlight w:val="none"/>
                <w:lang w:eastAsia="zh-CN" w:bidi="ar"/>
              </w:rPr>
              <w:t>项目名称</w:t>
            </w:r>
          </w:p>
        </w:tc>
        <w:tc>
          <w:tcPr>
            <w:tcW w:w="5190" w:type="dxa"/>
            <w:tcBorders>
              <w:top w:val="single" w:color="auto" w:sz="4" w:space="0"/>
              <w:left w:val="nil"/>
              <w:bottom w:val="single" w:color="auto" w:sz="4" w:space="0"/>
              <w:right w:val="single" w:color="auto" w:sz="4" w:space="0"/>
            </w:tcBorders>
            <w:shd w:val="clear" w:color="auto" w:fill="auto"/>
            <w:vAlign w:val="center"/>
          </w:tcPr>
          <w:p w14:paraId="4B091BDC">
            <w:pPr>
              <w:widowControl w:val="0"/>
              <w:spacing w:line="360" w:lineRule="auto"/>
              <w:ind w:right="-670"/>
              <w:jc w:val="both"/>
              <w:rPr>
                <w:rFonts w:ascii="宋体" w:hAnsi="宋体" w:eastAsia="宋体" w:cs="宋体"/>
                <w:bCs/>
                <w:kern w:val="2"/>
                <w:highlight w:val="none"/>
              </w:rPr>
            </w:pPr>
          </w:p>
        </w:tc>
      </w:tr>
      <w:tr w14:paraId="237F0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3188" w:type="dxa"/>
            <w:tcBorders>
              <w:top w:val="single" w:color="auto" w:sz="4" w:space="0"/>
              <w:left w:val="single" w:color="auto" w:sz="4" w:space="0"/>
              <w:bottom w:val="single" w:color="auto" w:sz="4" w:space="0"/>
              <w:right w:val="single" w:color="auto" w:sz="4" w:space="0"/>
            </w:tcBorders>
            <w:shd w:val="clear" w:color="auto" w:fill="auto"/>
            <w:vAlign w:val="center"/>
          </w:tcPr>
          <w:p w14:paraId="209878B0">
            <w:pPr>
              <w:widowControl w:val="0"/>
              <w:spacing w:line="360" w:lineRule="auto"/>
              <w:jc w:val="center"/>
              <w:rPr>
                <w:rFonts w:ascii="宋体" w:hAnsi="宋体" w:eastAsia="宋体" w:cs="宋体"/>
                <w:bCs/>
                <w:kern w:val="2"/>
                <w:highlight w:val="none"/>
              </w:rPr>
            </w:pPr>
            <w:r>
              <w:rPr>
                <w:rFonts w:hint="eastAsia" w:ascii="宋体" w:hAnsi="宋体" w:eastAsia="宋体" w:cs="宋体"/>
                <w:bCs/>
                <w:kern w:val="2"/>
                <w:highlight w:val="none"/>
                <w:lang w:eastAsia="zh-CN" w:bidi="ar"/>
              </w:rPr>
              <w:t>项目编号</w:t>
            </w:r>
          </w:p>
        </w:tc>
        <w:tc>
          <w:tcPr>
            <w:tcW w:w="5190" w:type="dxa"/>
            <w:tcBorders>
              <w:top w:val="single" w:color="auto" w:sz="4" w:space="0"/>
              <w:left w:val="nil"/>
              <w:bottom w:val="single" w:color="auto" w:sz="4" w:space="0"/>
              <w:right w:val="single" w:color="auto" w:sz="4" w:space="0"/>
            </w:tcBorders>
            <w:shd w:val="clear" w:color="auto" w:fill="auto"/>
            <w:vAlign w:val="center"/>
          </w:tcPr>
          <w:p w14:paraId="7BB2A44B">
            <w:pPr>
              <w:widowControl w:val="0"/>
              <w:spacing w:line="360" w:lineRule="auto"/>
              <w:ind w:right="-670"/>
              <w:jc w:val="both"/>
              <w:rPr>
                <w:rFonts w:ascii="宋体" w:hAnsi="宋体" w:eastAsia="宋体" w:cs="宋体"/>
                <w:bCs/>
                <w:kern w:val="2"/>
                <w:highlight w:val="none"/>
              </w:rPr>
            </w:pPr>
          </w:p>
        </w:tc>
      </w:tr>
      <w:tr w14:paraId="4FF83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3188" w:type="dxa"/>
            <w:tcBorders>
              <w:top w:val="single" w:color="auto" w:sz="4" w:space="0"/>
              <w:left w:val="single" w:color="auto" w:sz="4" w:space="0"/>
              <w:bottom w:val="single" w:color="auto" w:sz="4" w:space="0"/>
              <w:right w:val="single" w:color="auto" w:sz="4" w:space="0"/>
            </w:tcBorders>
            <w:shd w:val="clear" w:color="auto" w:fill="auto"/>
            <w:vAlign w:val="center"/>
          </w:tcPr>
          <w:p w14:paraId="43AF8BF7">
            <w:pPr>
              <w:widowControl w:val="0"/>
              <w:spacing w:line="360" w:lineRule="auto"/>
              <w:jc w:val="center"/>
              <w:rPr>
                <w:rFonts w:ascii="宋体" w:hAnsi="宋体" w:eastAsia="宋体" w:cs="宋体"/>
                <w:bCs/>
                <w:kern w:val="2"/>
                <w:highlight w:val="none"/>
                <w:lang w:eastAsia="zh-CN"/>
              </w:rPr>
            </w:pPr>
            <w:r>
              <w:rPr>
                <w:rFonts w:hint="eastAsia" w:ascii="宋体" w:hAnsi="宋体" w:eastAsia="宋体" w:cs="宋体"/>
                <w:highlight w:val="none"/>
                <w:lang w:val="en-US" w:eastAsia="zh-CN" w:bidi="ar"/>
              </w:rPr>
              <w:t>猪肉</w:t>
            </w:r>
            <w:r>
              <w:rPr>
                <w:rFonts w:hint="eastAsia" w:ascii="宋体" w:hAnsi="宋体" w:eastAsia="宋体" w:cs="宋体"/>
                <w:highlight w:val="none"/>
                <w:lang w:eastAsia="zh-CN" w:bidi="ar"/>
              </w:rPr>
              <w:t>类</w:t>
            </w:r>
            <w:r>
              <w:rPr>
                <w:rFonts w:hint="eastAsia" w:ascii="宋体" w:hAnsi="宋体" w:eastAsia="宋体" w:cs="宋体"/>
                <w:kern w:val="2"/>
                <w:highlight w:val="none"/>
                <w:lang w:eastAsia="zh-CN" w:bidi="ar"/>
              </w:rPr>
              <w:t>（折扣率）</w:t>
            </w:r>
          </w:p>
        </w:tc>
        <w:tc>
          <w:tcPr>
            <w:tcW w:w="5190" w:type="dxa"/>
            <w:tcBorders>
              <w:top w:val="single" w:color="auto" w:sz="4" w:space="0"/>
              <w:left w:val="nil"/>
              <w:bottom w:val="single" w:color="auto" w:sz="4" w:space="0"/>
              <w:right w:val="single" w:color="auto" w:sz="4" w:space="0"/>
            </w:tcBorders>
            <w:shd w:val="clear" w:color="auto" w:fill="auto"/>
            <w:vAlign w:val="center"/>
          </w:tcPr>
          <w:p w14:paraId="78360D79">
            <w:pPr>
              <w:pStyle w:val="29"/>
              <w:widowControl/>
              <w:spacing w:line="360" w:lineRule="auto"/>
              <w:ind w:firstLine="0"/>
              <w:rPr>
                <w:rFonts w:ascii="宋体" w:hAnsi="宋体" w:cs="宋体"/>
                <w:sz w:val="21"/>
                <w:szCs w:val="21"/>
                <w:highlight w:val="none"/>
              </w:rPr>
            </w:pPr>
          </w:p>
        </w:tc>
      </w:tr>
      <w:tr w14:paraId="3FD61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3188" w:type="dxa"/>
            <w:tcBorders>
              <w:top w:val="single" w:color="auto" w:sz="4" w:space="0"/>
              <w:left w:val="single" w:color="auto" w:sz="4" w:space="0"/>
              <w:bottom w:val="single" w:color="auto" w:sz="4" w:space="0"/>
              <w:right w:val="single" w:color="auto" w:sz="4" w:space="0"/>
            </w:tcBorders>
            <w:shd w:val="clear" w:color="auto" w:fill="auto"/>
            <w:vAlign w:val="center"/>
          </w:tcPr>
          <w:p w14:paraId="2C1FA2A8">
            <w:pPr>
              <w:widowControl w:val="0"/>
              <w:spacing w:line="360" w:lineRule="auto"/>
              <w:jc w:val="center"/>
              <w:rPr>
                <w:rFonts w:ascii="宋体" w:hAnsi="宋体" w:eastAsia="宋体" w:cs="宋体"/>
                <w:bCs/>
                <w:kern w:val="2"/>
                <w:highlight w:val="none"/>
              </w:rPr>
            </w:pPr>
            <w:r>
              <w:rPr>
                <w:rFonts w:hint="eastAsia" w:ascii="宋体" w:hAnsi="宋体" w:eastAsia="宋体" w:cs="宋体"/>
                <w:bCs/>
                <w:kern w:val="2"/>
                <w:highlight w:val="none"/>
                <w:lang w:eastAsia="zh-CN" w:bidi="ar"/>
              </w:rPr>
              <w:t>合同履约期限</w:t>
            </w:r>
          </w:p>
        </w:tc>
        <w:tc>
          <w:tcPr>
            <w:tcW w:w="5190" w:type="dxa"/>
            <w:tcBorders>
              <w:top w:val="single" w:color="auto" w:sz="4" w:space="0"/>
              <w:left w:val="nil"/>
              <w:bottom w:val="single" w:color="auto" w:sz="4" w:space="0"/>
              <w:right w:val="single" w:color="auto" w:sz="4" w:space="0"/>
            </w:tcBorders>
            <w:shd w:val="clear" w:color="auto" w:fill="auto"/>
            <w:vAlign w:val="center"/>
          </w:tcPr>
          <w:p w14:paraId="362CF791">
            <w:pPr>
              <w:widowControl w:val="0"/>
              <w:spacing w:line="360" w:lineRule="auto"/>
              <w:jc w:val="both"/>
              <w:rPr>
                <w:rFonts w:ascii="宋体" w:hAnsi="宋体" w:eastAsia="宋体" w:cs="宋体"/>
                <w:bCs/>
                <w:kern w:val="2"/>
                <w:highlight w:val="none"/>
              </w:rPr>
            </w:pPr>
            <w:r>
              <w:rPr>
                <w:rFonts w:hint="eastAsia" w:ascii="宋体" w:hAnsi="宋体" w:eastAsia="宋体" w:cs="宋体"/>
                <w:highlight w:val="none"/>
                <w:lang w:eastAsia="zh-CN"/>
              </w:rPr>
              <w:t>一年</w:t>
            </w:r>
          </w:p>
        </w:tc>
      </w:tr>
      <w:tr w14:paraId="1798A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3188" w:type="dxa"/>
            <w:tcBorders>
              <w:top w:val="single" w:color="auto" w:sz="4" w:space="0"/>
              <w:left w:val="single" w:color="auto" w:sz="4" w:space="0"/>
              <w:bottom w:val="single" w:color="auto" w:sz="4" w:space="0"/>
              <w:right w:val="single" w:color="auto" w:sz="4" w:space="0"/>
            </w:tcBorders>
            <w:shd w:val="clear" w:color="auto" w:fill="auto"/>
            <w:vAlign w:val="center"/>
          </w:tcPr>
          <w:p w14:paraId="7A2EF3D3">
            <w:pPr>
              <w:widowControl w:val="0"/>
              <w:spacing w:line="360" w:lineRule="auto"/>
              <w:jc w:val="center"/>
              <w:rPr>
                <w:rFonts w:ascii="宋体" w:hAnsi="宋体" w:eastAsia="宋体" w:cs="宋体"/>
                <w:bCs/>
                <w:kern w:val="2"/>
                <w:highlight w:val="none"/>
              </w:rPr>
            </w:pPr>
            <w:r>
              <w:rPr>
                <w:rFonts w:hint="eastAsia" w:ascii="宋体" w:hAnsi="宋体" w:eastAsia="宋体" w:cs="宋体"/>
                <w:bCs/>
                <w:kern w:val="2"/>
                <w:highlight w:val="none"/>
                <w:lang w:eastAsia="zh-CN" w:bidi="ar"/>
              </w:rPr>
              <w:t>保质期（有效期）</w:t>
            </w:r>
          </w:p>
        </w:tc>
        <w:tc>
          <w:tcPr>
            <w:tcW w:w="5190" w:type="dxa"/>
            <w:tcBorders>
              <w:top w:val="single" w:color="auto" w:sz="4" w:space="0"/>
              <w:left w:val="nil"/>
              <w:bottom w:val="single" w:color="auto" w:sz="4" w:space="0"/>
              <w:right w:val="single" w:color="auto" w:sz="4" w:space="0"/>
            </w:tcBorders>
            <w:shd w:val="clear" w:color="auto" w:fill="auto"/>
            <w:vAlign w:val="center"/>
          </w:tcPr>
          <w:p w14:paraId="3BD8EB47">
            <w:pPr>
              <w:widowControl w:val="0"/>
              <w:spacing w:line="360" w:lineRule="auto"/>
              <w:jc w:val="both"/>
              <w:rPr>
                <w:rFonts w:hint="default" w:ascii="宋体" w:hAnsi="宋体" w:eastAsia="宋体" w:cs="宋体"/>
                <w:bCs/>
                <w:kern w:val="2"/>
                <w:highlight w:val="none"/>
                <w:lang w:val="en-US" w:eastAsia="zh-CN"/>
              </w:rPr>
            </w:pPr>
            <w:r>
              <w:rPr>
                <w:rFonts w:hint="eastAsia" w:ascii="宋体" w:hAnsi="宋体" w:eastAsia="宋体" w:cs="宋体"/>
                <w:bCs/>
                <w:kern w:val="2"/>
                <w:highlight w:val="none"/>
                <w:lang w:val="en-US" w:eastAsia="zh-CN"/>
              </w:rPr>
              <w:t>按招标文件要求</w:t>
            </w:r>
          </w:p>
        </w:tc>
      </w:tr>
      <w:tr w14:paraId="2FF79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3188" w:type="dxa"/>
            <w:tcBorders>
              <w:top w:val="single" w:color="auto" w:sz="4" w:space="0"/>
              <w:left w:val="single" w:color="auto" w:sz="4" w:space="0"/>
              <w:bottom w:val="single" w:color="auto" w:sz="4" w:space="0"/>
              <w:right w:val="single" w:color="auto" w:sz="4" w:space="0"/>
            </w:tcBorders>
            <w:shd w:val="clear" w:color="auto" w:fill="auto"/>
            <w:vAlign w:val="center"/>
          </w:tcPr>
          <w:p w14:paraId="4C746982">
            <w:pPr>
              <w:widowControl w:val="0"/>
              <w:spacing w:line="360" w:lineRule="auto"/>
              <w:jc w:val="center"/>
              <w:rPr>
                <w:rFonts w:ascii="宋体" w:hAnsi="宋体" w:eastAsia="宋体" w:cs="宋体"/>
                <w:bCs/>
                <w:kern w:val="2"/>
                <w:highlight w:val="none"/>
              </w:rPr>
            </w:pPr>
            <w:r>
              <w:rPr>
                <w:rFonts w:hint="eastAsia" w:ascii="宋体" w:hAnsi="宋体" w:eastAsia="宋体" w:cs="宋体"/>
                <w:bCs/>
                <w:kern w:val="2"/>
                <w:highlight w:val="none"/>
                <w:lang w:eastAsia="zh-CN" w:bidi="ar"/>
              </w:rPr>
              <w:t>投标有效期</w:t>
            </w:r>
          </w:p>
        </w:tc>
        <w:tc>
          <w:tcPr>
            <w:tcW w:w="5190" w:type="dxa"/>
            <w:tcBorders>
              <w:top w:val="single" w:color="auto" w:sz="4" w:space="0"/>
              <w:left w:val="nil"/>
              <w:bottom w:val="single" w:color="auto" w:sz="4" w:space="0"/>
              <w:right w:val="single" w:color="auto" w:sz="4" w:space="0"/>
            </w:tcBorders>
            <w:shd w:val="clear" w:color="auto" w:fill="auto"/>
            <w:vAlign w:val="center"/>
          </w:tcPr>
          <w:p w14:paraId="6BDC6ED8">
            <w:pPr>
              <w:widowControl w:val="0"/>
              <w:spacing w:line="360" w:lineRule="auto"/>
              <w:jc w:val="both"/>
              <w:rPr>
                <w:rFonts w:ascii="宋体" w:hAnsi="宋体" w:eastAsia="宋体" w:cs="宋体"/>
                <w:bCs/>
                <w:kern w:val="2"/>
                <w:highlight w:val="none"/>
                <w:lang w:eastAsia="zh-CN"/>
              </w:rPr>
            </w:pPr>
            <w:r>
              <w:rPr>
                <w:rFonts w:hint="eastAsia" w:ascii="宋体" w:hAnsi="宋体" w:eastAsia="宋体" w:cs="宋体"/>
                <w:bCs/>
                <w:kern w:val="2"/>
                <w:highlight w:val="none"/>
                <w:lang w:eastAsia="zh-CN"/>
              </w:rPr>
              <w:t>投标截止时间后</w:t>
            </w:r>
            <w:r>
              <w:rPr>
                <w:rFonts w:hint="eastAsia" w:ascii="宋体" w:hAnsi="宋体" w:eastAsia="宋体" w:cs="宋体"/>
                <w:bCs/>
                <w:kern w:val="2"/>
                <w:highlight w:val="none"/>
                <w:u w:val="single"/>
                <w:lang w:eastAsia="zh-CN"/>
              </w:rPr>
              <w:t xml:space="preserve"> 90 </w:t>
            </w:r>
            <w:r>
              <w:rPr>
                <w:rFonts w:hint="eastAsia" w:ascii="宋体" w:hAnsi="宋体" w:eastAsia="宋体" w:cs="宋体"/>
                <w:bCs/>
                <w:kern w:val="2"/>
                <w:highlight w:val="none"/>
                <w:lang w:eastAsia="zh-CN"/>
              </w:rPr>
              <w:t>日历日。</w:t>
            </w:r>
          </w:p>
        </w:tc>
      </w:tr>
      <w:tr w14:paraId="28CD6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3188" w:type="dxa"/>
            <w:tcBorders>
              <w:top w:val="single" w:color="auto" w:sz="4" w:space="0"/>
              <w:left w:val="single" w:color="auto" w:sz="4" w:space="0"/>
              <w:bottom w:val="single" w:color="auto" w:sz="4" w:space="0"/>
              <w:right w:val="single" w:color="auto" w:sz="4" w:space="0"/>
            </w:tcBorders>
            <w:shd w:val="clear" w:color="auto" w:fill="auto"/>
            <w:vAlign w:val="center"/>
          </w:tcPr>
          <w:p w14:paraId="470FB3AC">
            <w:pPr>
              <w:widowControl w:val="0"/>
              <w:spacing w:line="360" w:lineRule="auto"/>
              <w:jc w:val="center"/>
              <w:rPr>
                <w:rFonts w:ascii="宋体" w:hAnsi="宋体" w:eastAsia="宋体" w:cs="宋体"/>
                <w:bCs/>
                <w:kern w:val="2"/>
                <w:highlight w:val="none"/>
              </w:rPr>
            </w:pPr>
            <w:r>
              <w:rPr>
                <w:rFonts w:hint="eastAsia" w:ascii="宋体" w:hAnsi="宋体" w:eastAsia="宋体" w:cs="宋体"/>
                <w:bCs/>
                <w:kern w:val="2"/>
                <w:highlight w:val="none"/>
                <w:lang w:eastAsia="zh-CN" w:bidi="ar"/>
              </w:rPr>
              <w:t>备注</w:t>
            </w:r>
          </w:p>
        </w:tc>
        <w:tc>
          <w:tcPr>
            <w:tcW w:w="5190" w:type="dxa"/>
            <w:tcBorders>
              <w:top w:val="single" w:color="auto" w:sz="4" w:space="0"/>
              <w:left w:val="nil"/>
              <w:bottom w:val="single" w:color="auto" w:sz="4" w:space="0"/>
              <w:right w:val="single" w:color="auto" w:sz="4" w:space="0"/>
            </w:tcBorders>
            <w:shd w:val="clear" w:color="auto" w:fill="auto"/>
            <w:vAlign w:val="center"/>
          </w:tcPr>
          <w:p w14:paraId="698614C8">
            <w:pPr>
              <w:widowControl w:val="0"/>
              <w:spacing w:line="360" w:lineRule="auto"/>
              <w:jc w:val="both"/>
              <w:rPr>
                <w:rFonts w:ascii="宋体" w:hAnsi="宋体" w:eastAsia="宋体" w:cs="宋体"/>
                <w:bCs/>
                <w:kern w:val="2"/>
                <w:highlight w:val="none"/>
              </w:rPr>
            </w:pPr>
          </w:p>
        </w:tc>
      </w:tr>
    </w:tbl>
    <w:p w14:paraId="15C43CD6">
      <w:pPr>
        <w:pStyle w:val="17"/>
        <w:tabs>
          <w:tab w:val="left" w:pos="5580"/>
        </w:tabs>
        <w:spacing w:line="360" w:lineRule="auto"/>
        <w:ind w:left="1080" w:leftChars="257" w:hanging="540"/>
        <w:rPr>
          <w:rFonts w:hAnsi="宋体" w:eastAsia="宋体" w:cs="宋体"/>
          <w:color w:val="auto"/>
          <w:sz w:val="22"/>
          <w:szCs w:val="18"/>
          <w:highlight w:val="none"/>
          <w:lang w:eastAsia="zh-CN"/>
        </w:rPr>
      </w:pPr>
    </w:p>
    <w:p w14:paraId="22153793">
      <w:pPr>
        <w:pStyle w:val="17"/>
        <w:tabs>
          <w:tab w:val="left" w:pos="5580"/>
        </w:tabs>
        <w:spacing w:line="360" w:lineRule="auto"/>
        <w:ind w:left="1080" w:leftChars="257" w:hanging="540"/>
        <w:rPr>
          <w:rFonts w:hAnsi="宋体" w:eastAsia="宋体" w:cs="宋体"/>
          <w:color w:val="auto"/>
          <w:sz w:val="22"/>
          <w:szCs w:val="18"/>
          <w:highlight w:val="none"/>
          <w:lang w:eastAsia="zh-CN"/>
        </w:rPr>
      </w:pPr>
      <w:r>
        <w:rPr>
          <w:rFonts w:hint="eastAsia" w:hAnsi="宋体" w:eastAsia="宋体" w:cs="宋体"/>
          <w:sz w:val="22"/>
          <w:highlight w:val="none"/>
          <w:lang w:eastAsia="zh-CN"/>
        </w:rPr>
        <w:t>供应商名称</w:t>
      </w:r>
      <w:r>
        <w:rPr>
          <w:rFonts w:hint="eastAsia" w:hAnsi="宋体" w:eastAsia="宋体" w:cs="宋体"/>
          <w:sz w:val="22"/>
          <w:highlight w:val="none"/>
        </w:rPr>
        <w:t>(公章)：____________</w:t>
      </w:r>
    </w:p>
    <w:p w14:paraId="2217EFD1">
      <w:pPr>
        <w:pStyle w:val="17"/>
        <w:tabs>
          <w:tab w:val="left" w:pos="5580"/>
        </w:tabs>
        <w:spacing w:line="360" w:lineRule="auto"/>
        <w:ind w:left="1080" w:leftChars="257" w:hanging="540"/>
        <w:rPr>
          <w:rFonts w:hAnsi="宋体" w:eastAsia="宋体" w:cs="宋体"/>
          <w:color w:val="auto"/>
          <w:sz w:val="22"/>
          <w:szCs w:val="18"/>
          <w:highlight w:val="none"/>
          <w:u w:val="single"/>
          <w:lang w:eastAsia="zh-CN"/>
        </w:rPr>
      </w:pPr>
      <w:r>
        <w:rPr>
          <w:rFonts w:hint="eastAsia" w:hAnsi="宋体" w:eastAsia="宋体" w:cs="宋体"/>
          <w:color w:val="auto"/>
          <w:sz w:val="22"/>
          <w:szCs w:val="18"/>
          <w:highlight w:val="none"/>
          <w:lang w:eastAsia="zh-CN"/>
        </w:rPr>
        <w:t>法定代表人或委托代理人(签字或签章):</w:t>
      </w:r>
      <w:r>
        <w:rPr>
          <w:rFonts w:hint="eastAsia" w:hAnsi="宋体" w:eastAsia="宋体" w:cs="宋体"/>
          <w:color w:val="auto"/>
          <w:sz w:val="22"/>
          <w:szCs w:val="18"/>
          <w:highlight w:val="none"/>
          <w:u w:val="single"/>
          <w:lang w:eastAsia="zh-CN"/>
        </w:rPr>
        <w:tab/>
      </w:r>
    </w:p>
    <w:p w14:paraId="3B872A14">
      <w:pPr>
        <w:spacing w:line="360" w:lineRule="auto"/>
        <w:rPr>
          <w:rFonts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 xml:space="preserve">      日期：年  月  日</w:t>
      </w:r>
    </w:p>
    <w:p w14:paraId="463919B2">
      <w:pPr>
        <w:spacing w:line="360" w:lineRule="auto"/>
        <w:rPr>
          <w:rFonts w:ascii="宋体" w:hAnsi="宋体" w:eastAsia="宋体" w:cs="宋体"/>
          <w:color w:val="auto"/>
          <w:highlight w:val="none"/>
          <w:lang w:eastAsia="zh-CN"/>
        </w:rPr>
      </w:pPr>
    </w:p>
    <w:p w14:paraId="1F722615">
      <w:pPr>
        <w:spacing w:line="360" w:lineRule="auto"/>
        <w:rPr>
          <w:rFonts w:ascii="宋体" w:hAnsi="宋体" w:eastAsia="宋体" w:cs="宋体"/>
          <w:color w:val="auto"/>
          <w:highlight w:val="none"/>
          <w:lang w:eastAsia="zh-CN"/>
        </w:rPr>
      </w:pPr>
    </w:p>
    <w:p w14:paraId="2D8802A5">
      <w:pPr>
        <w:rPr>
          <w:rFonts w:hint="eastAsia" w:ascii="宋体" w:hAnsi="宋体" w:eastAsia="宋体" w:cs="宋体"/>
          <w:color w:val="auto"/>
          <w:spacing w:val="-3"/>
          <w:highlight w:val="none"/>
          <w:lang w:eastAsia="zh-CN"/>
        </w:rPr>
      </w:pPr>
      <w:r>
        <w:rPr>
          <w:rFonts w:hint="eastAsia" w:ascii="宋体" w:hAnsi="宋体" w:eastAsia="宋体" w:cs="宋体"/>
          <w:color w:val="auto"/>
          <w:spacing w:val="-3"/>
          <w:highlight w:val="none"/>
          <w:lang w:eastAsia="zh-CN"/>
        </w:rPr>
        <w:t>报价要求：</w:t>
      </w:r>
    </w:p>
    <w:p w14:paraId="530574AF">
      <w:pPr>
        <w:rPr>
          <w:rFonts w:hint="eastAsia" w:ascii="宋体" w:hAnsi="宋体" w:eastAsia="宋体" w:cs="宋体"/>
          <w:color w:val="auto"/>
          <w:spacing w:val="-3"/>
          <w:highlight w:val="none"/>
          <w:lang w:eastAsia="zh-CN"/>
        </w:rPr>
      </w:pPr>
      <w:r>
        <w:rPr>
          <w:rFonts w:hint="eastAsia" w:ascii="宋体" w:hAnsi="宋体" w:eastAsia="宋体" w:cs="宋体"/>
          <w:color w:val="auto"/>
          <w:spacing w:val="-3"/>
          <w:highlight w:val="none"/>
          <w:lang w:eastAsia="zh-CN"/>
        </w:rPr>
        <w:t>1、本项目进行折扣报价（折扣率不得大于100%，例如：90%或91%或92%或95%等；不得在折扣率前填写“±”，例如：不得填报+101%或-101%等，折扣率以1%为间隔）。</w:t>
      </w:r>
    </w:p>
    <w:p w14:paraId="5A1E358C">
      <w:pPr>
        <w:rPr>
          <w:rFonts w:hint="eastAsia" w:ascii="宋体" w:hAnsi="宋体" w:eastAsia="宋体" w:cs="宋体"/>
          <w:color w:val="auto"/>
          <w:spacing w:val="-3"/>
          <w:highlight w:val="none"/>
          <w:lang w:eastAsia="zh-CN"/>
        </w:rPr>
      </w:pPr>
      <w:r>
        <w:rPr>
          <w:rFonts w:hint="eastAsia" w:ascii="宋体" w:hAnsi="宋体" w:eastAsia="宋体" w:cs="宋体"/>
          <w:color w:val="auto"/>
          <w:spacing w:val="-3"/>
          <w:highlight w:val="none"/>
          <w:lang w:eastAsia="zh-CN"/>
        </w:rPr>
        <w:t>2、根据实际需求猪肉类物资参照乌鲁木齐北园春市场(或者九鼎官网)公布的中间价报折扣率，如因上述网站信息发布的时效等因素导致该基准价明显高于供货当日实际市场价，需求单位有权与中标人协商对基准价进行下调。若出现上述网站没有信息价（基准价）的产品品目，则由需求单位在新联市场、九鼎农贸市场等大型专业批发市场或大中型商超市场以询价方式确定送货价格(由招标人经三家及以上询价确定送货单价)，并以所询价的平均价作为送货单价，周询月结。月底结账时按中标的折扣率统一结算。</w:t>
      </w:r>
    </w:p>
    <w:p w14:paraId="74A63DF2">
      <w:pPr>
        <w:rPr>
          <w:rFonts w:hint="eastAsia" w:ascii="宋体" w:hAnsi="宋体" w:eastAsia="宋体" w:cs="宋体"/>
          <w:color w:val="auto"/>
          <w:spacing w:val="-3"/>
          <w:highlight w:val="none"/>
          <w:lang w:eastAsia="zh-CN"/>
        </w:rPr>
      </w:pPr>
      <w:r>
        <w:rPr>
          <w:rFonts w:hint="eastAsia" w:ascii="宋体" w:hAnsi="宋体" w:eastAsia="宋体" w:cs="宋体"/>
          <w:color w:val="auto"/>
          <w:spacing w:val="-3"/>
          <w:highlight w:val="none"/>
          <w:lang w:eastAsia="zh-CN"/>
        </w:rPr>
        <w:t>3、结算价=基准价×中标折扣率；例如某产品信息价（基准价）为1000元，折扣率为95%，实际付款金额为950元（注：该措辞仅供解释使用，具体投标报价由供应商结合自身情况自主报价）。</w:t>
      </w:r>
    </w:p>
    <w:p w14:paraId="7F006B35">
      <w:pPr>
        <w:rPr>
          <w:rFonts w:hint="eastAsia" w:ascii="宋体" w:hAnsi="宋体" w:eastAsia="宋体" w:cs="宋体"/>
          <w:color w:val="auto"/>
          <w:spacing w:val="-3"/>
          <w:highlight w:val="none"/>
          <w:lang w:eastAsia="zh-CN"/>
        </w:rPr>
      </w:pPr>
      <w:r>
        <w:rPr>
          <w:rFonts w:hint="eastAsia" w:ascii="宋体" w:hAnsi="宋体" w:eastAsia="宋体" w:cs="宋体"/>
          <w:color w:val="auto"/>
          <w:spacing w:val="-3"/>
          <w:highlight w:val="none"/>
          <w:lang w:eastAsia="zh-CN"/>
        </w:rPr>
        <w:t>4、本项目投标报价包括货物到达招标人指定地点的全部费用，包括但不限于项目实施所需的货物费、包装运输费、配送费、人工费、装卸费、管理费、利润、税费等一切费用。</w:t>
      </w:r>
    </w:p>
    <w:p w14:paraId="4CD12BFF">
      <w:pPr>
        <w:rPr>
          <w:rFonts w:hint="eastAsia" w:ascii="宋体" w:hAnsi="宋体" w:eastAsia="宋体" w:cs="宋体"/>
          <w:color w:val="auto"/>
          <w:spacing w:val="-3"/>
          <w:highlight w:val="none"/>
          <w:lang w:eastAsia="zh-CN"/>
        </w:rPr>
      </w:pPr>
      <w:r>
        <w:rPr>
          <w:rFonts w:hint="eastAsia" w:ascii="宋体" w:hAnsi="宋体" w:eastAsia="宋体" w:cs="宋体"/>
          <w:color w:val="auto"/>
          <w:spacing w:val="-3"/>
          <w:highlight w:val="none"/>
          <w:lang w:eastAsia="zh-CN"/>
        </w:rPr>
        <w:t>5、严格开具税务发票，投标报价为含税价格，供应商应按含税金额开具增值税普通发票。</w:t>
      </w:r>
      <w:r>
        <w:rPr>
          <w:rFonts w:hint="eastAsia" w:ascii="宋体" w:hAnsi="宋体" w:eastAsia="宋体" w:cs="宋体"/>
          <w:color w:val="auto"/>
          <w:spacing w:val="-3"/>
          <w:highlight w:val="none"/>
          <w:lang w:eastAsia="zh-CN"/>
        </w:rPr>
        <w:br w:type="page"/>
      </w:r>
    </w:p>
    <w:p w14:paraId="7B5C6FDB">
      <w:pPr>
        <w:spacing w:before="177" w:line="360" w:lineRule="auto"/>
        <w:ind w:firstLine="408" w:firstLineChars="200"/>
        <w:rPr>
          <w:rFonts w:hint="eastAsia" w:ascii="宋体" w:hAnsi="宋体" w:eastAsia="宋体" w:cs="宋体"/>
          <w:color w:val="auto"/>
          <w:spacing w:val="-3"/>
          <w:highlight w:val="none"/>
          <w:lang w:eastAsia="zh-CN"/>
        </w:rPr>
        <w:sectPr>
          <w:headerReference r:id="rId5" w:type="default"/>
          <w:footerReference r:id="rId6" w:type="default"/>
          <w:pgSz w:w="11906" w:h="16839"/>
          <w:pgMar w:top="1218" w:right="1416" w:bottom="1391" w:left="1560" w:header="865" w:footer="964" w:gutter="0"/>
          <w:cols w:space="720" w:num="1"/>
          <w:docGrid w:linePitch="286" w:charSpace="0"/>
        </w:sectPr>
      </w:pPr>
    </w:p>
    <w:p w14:paraId="221CBB83">
      <w:pPr>
        <w:pageBreakBefore/>
        <w:spacing w:before="101" w:line="360" w:lineRule="auto"/>
        <w:jc w:val="center"/>
        <w:outlineLvl w:val="1"/>
        <w:rPr>
          <w:rFonts w:hint="eastAsia" w:ascii="宋体" w:hAnsi="宋体" w:eastAsia="宋体" w:cs="宋体"/>
          <w:b/>
          <w:bCs/>
          <w:color w:val="auto"/>
          <w:spacing w:val="5"/>
          <w:sz w:val="31"/>
          <w:szCs w:val="31"/>
          <w:highlight w:val="none"/>
          <w:lang w:eastAsia="zh-CN"/>
        </w:rPr>
      </w:pPr>
      <w:r>
        <w:rPr>
          <w:rFonts w:hint="eastAsia" w:ascii="宋体" w:hAnsi="宋体" w:eastAsia="宋体" w:cs="宋体"/>
          <w:b/>
          <w:bCs/>
          <w:color w:val="auto"/>
          <w:spacing w:val="5"/>
          <w:sz w:val="31"/>
          <w:szCs w:val="31"/>
          <w:highlight w:val="none"/>
          <w:lang w:val="en-US" w:eastAsia="zh-CN"/>
        </w:rPr>
        <w:t>二、</w:t>
      </w:r>
      <w:r>
        <w:rPr>
          <w:rFonts w:hint="eastAsia" w:ascii="宋体" w:hAnsi="宋体" w:eastAsia="宋体" w:cs="宋体"/>
          <w:b/>
          <w:bCs/>
          <w:color w:val="auto"/>
          <w:spacing w:val="5"/>
          <w:sz w:val="31"/>
          <w:szCs w:val="31"/>
          <w:highlight w:val="none"/>
          <w:lang w:eastAsia="zh-CN"/>
        </w:rPr>
        <w:t>分项报价表</w:t>
      </w:r>
    </w:p>
    <w:p w14:paraId="0BA39F73">
      <w:pPr>
        <w:spacing w:before="101" w:line="223" w:lineRule="auto"/>
        <w:outlineLvl w:val="9"/>
        <w:rPr>
          <w:rFonts w:hint="eastAsia" w:ascii="仿宋" w:hAnsi="仿宋" w:eastAsia="仿宋" w:cs="仿宋"/>
          <w:b/>
          <w:bCs/>
          <w:color w:val="auto"/>
          <w:spacing w:val="5"/>
          <w:sz w:val="31"/>
          <w:szCs w:val="31"/>
          <w:highlight w:val="none"/>
          <w:lang w:eastAsia="zh-CN"/>
        </w:rPr>
      </w:pPr>
    </w:p>
    <w:p w14:paraId="642635DE">
      <w:pPr>
        <w:pStyle w:val="17"/>
        <w:spacing w:line="360" w:lineRule="auto"/>
        <w:ind w:left="1080" w:leftChars="257" w:hanging="54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 xml:space="preserve">项目名称:              招标编号:         标项名称: 　 　              </w:t>
      </w:r>
    </w:p>
    <w:tbl>
      <w:tblPr>
        <w:tblStyle w:val="30"/>
        <w:tblW w:w="8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819"/>
        <w:gridCol w:w="750"/>
        <w:gridCol w:w="1902"/>
        <w:gridCol w:w="900"/>
        <w:gridCol w:w="1069"/>
        <w:gridCol w:w="975"/>
      </w:tblGrid>
      <w:tr w14:paraId="60C39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45" w:type="dxa"/>
            <w:noWrap/>
            <w:vAlign w:val="center"/>
          </w:tcPr>
          <w:p w14:paraId="48BB706C">
            <w:pPr>
              <w:pStyle w:val="17"/>
              <w:spacing w:line="360" w:lineRule="auto"/>
              <w:jc w:val="center"/>
              <w:rPr>
                <w:rFonts w:hint="eastAsia"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eastAsia="zh-CN" w:bidi="ar"/>
              </w:rPr>
              <w:t>序号</w:t>
            </w:r>
          </w:p>
        </w:tc>
        <w:tc>
          <w:tcPr>
            <w:tcW w:w="1819" w:type="dxa"/>
            <w:noWrap/>
            <w:vAlign w:val="center"/>
          </w:tcPr>
          <w:p w14:paraId="042A1B0B">
            <w:pPr>
              <w:pStyle w:val="17"/>
              <w:spacing w:line="360" w:lineRule="auto"/>
              <w:jc w:val="center"/>
              <w:rPr>
                <w:rFonts w:hint="eastAsia"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eastAsia="zh-CN" w:bidi="ar"/>
              </w:rPr>
              <w:t>名称</w:t>
            </w:r>
          </w:p>
        </w:tc>
        <w:tc>
          <w:tcPr>
            <w:tcW w:w="750" w:type="dxa"/>
            <w:noWrap/>
            <w:vAlign w:val="center"/>
          </w:tcPr>
          <w:p w14:paraId="26343CA3">
            <w:pPr>
              <w:pStyle w:val="17"/>
              <w:spacing w:line="360" w:lineRule="auto"/>
              <w:jc w:val="center"/>
              <w:rPr>
                <w:rFonts w:hint="eastAsia"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eastAsia="zh-CN" w:bidi="ar"/>
              </w:rPr>
              <w:t>规格</w:t>
            </w:r>
          </w:p>
        </w:tc>
        <w:tc>
          <w:tcPr>
            <w:tcW w:w="1902" w:type="dxa"/>
            <w:noWrap/>
            <w:vAlign w:val="center"/>
          </w:tcPr>
          <w:p w14:paraId="0901087C">
            <w:pPr>
              <w:pStyle w:val="17"/>
              <w:spacing w:line="360" w:lineRule="auto"/>
              <w:jc w:val="center"/>
              <w:rPr>
                <w:rFonts w:hint="eastAsia"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eastAsia="zh-CN" w:bidi="ar"/>
              </w:rPr>
              <w:t>品牌</w:t>
            </w:r>
          </w:p>
        </w:tc>
        <w:tc>
          <w:tcPr>
            <w:tcW w:w="900" w:type="dxa"/>
            <w:noWrap/>
            <w:vAlign w:val="center"/>
          </w:tcPr>
          <w:p w14:paraId="2C557928">
            <w:pPr>
              <w:pStyle w:val="17"/>
              <w:spacing w:line="360" w:lineRule="auto"/>
              <w:jc w:val="center"/>
              <w:rPr>
                <w:rFonts w:hint="eastAsia"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eastAsia="zh-CN" w:bidi="ar"/>
              </w:rPr>
              <w:t>数量</w:t>
            </w:r>
          </w:p>
        </w:tc>
        <w:tc>
          <w:tcPr>
            <w:tcW w:w="1069" w:type="dxa"/>
            <w:vAlign w:val="center"/>
          </w:tcPr>
          <w:p w14:paraId="6DD44840">
            <w:pPr>
              <w:pStyle w:val="17"/>
              <w:spacing w:line="360" w:lineRule="auto"/>
              <w:jc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制造商</w:t>
            </w:r>
          </w:p>
        </w:tc>
        <w:tc>
          <w:tcPr>
            <w:tcW w:w="975" w:type="dxa"/>
            <w:vAlign w:val="center"/>
          </w:tcPr>
          <w:p w14:paraId="094DDF6F">
            <w:pPr>
              <w:pStyle w:val="17"/>
              <w:spacing w:line="360" w:lineRule="auto"/>
              <w:jc w:val="center"/>
              <w:rPr>
                <w:rFonts w:hint="eastAsia"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val="en-US" w:eastAsia="zh-CN" w:bidi="ar"/>
              </w:rPr>
              <w:t>折扣率</w:t>
            </w:r>
          </w:p>
        </w:tc>
      </w:tr>
      <w:tr w14:paraId="251D8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45" w:type="dxa"/>
            <w:noWrap/>
            <w:vAlign w:val="center"/>
          </w:tcPr>
          <w:p w14:paraId="13CBCE9D">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819" w:type="dxa"/>
            <w:noWrap/>
            <w:vAlign w:val="center"/>
          </w:tcPr>
          <w:p w14:paraId="3C8A574C">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猪前腿</w:t>
            </w:r>
          </w:p>
        </w:tc>
        <w:tc>
          <w:tcPr>
            <w:tcW w:w="750" w:type="dxa"/>
            <w:noWrap/>
            <w:vAlign w:val="center"/>
          </w:tcPr>
          <w:p w14:paraId="3BCEFB30">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1902" w:type="dxa"/>
            <w:noWrap/>
            <w:vAlign w:val="center"/>
          </w:tcPr>
          <w:p w14:paraId="6CDE47F9">
            <w:pPr>
              <w:pStyle w:val="17"/>
              <w:spacing w:line="360" w:lineRule="auto"/>
              <w:ind w:left="1080" w:leftChars="257" w:hanging="540"/>
              <w:jc w:val="center"/>
              <w:rPr>
                <w:rFonts w:hint="eastAsia" w:ascii="宋体" w:hAnsi="宋体" w:eastAsia="宋体" w:cs="宋体"/>
                <w:color w:val="auto"/>
                <w:sz w:val="24"/>
                <w:szCs w:val="24"/>
                <w:highlight w:val="none"/>
              </w:rPr>
            </w:pPr>
          </w:p>
        </w:tc>
        <w:tc>
          <w:tcPr>
            <w:tcW w:w="900" w:type="dxa"/>
            <w:noWrap/>
            <w:vAlign w:val="center"/>
          </w:tcPr>
          <w:p w14:paraId="4D38648A">
            <w:pPr>
              <w:pStyle w:val="17"/>
              <w:spacing w:line="360" w:lineRule="auto"/>
              <w:ind w:left="1080" w:leftChars="257" w:hanging="540"/>
              <w:jc w:val="center"/>
              <w:rPr>
                <w:rFonts w:hint="eastAsia" w:ascii="宋体" w:hAnsi="宋体" w:eastAsia="宋体" w:cs="宋体"/>
                <w:color w:val="auto"/>
                <w:sz w:val="24"/>
                <w:szCs w:val="24"/>
                <w:highlight w:val="none"/>
                <w:lang w:eastAsia="zh-CN"/>
              </w:rPr>
            </w:pPr>
          </w:p>
        </w:tc>
        <w:tc>
          <w:tcPr>
            <w:tcW w:w="1069" w:type="dxa"/>
            <w:vAlign w:val="center"/>
          </w:tcPr>
          <w:p w14:paraId="0A608374">
            <w:pPr>
              <w:pStyle w:val="17"/>
              <w:spacing w:line="360" w:lineRule="auto"/>
              <w:ind w:left="1080" w:leftChars="257" w:hanging="540"/>
              <w:jc w:val="center"/>
              <w:rPr>
                <w:rFonts w:hint="eastAsia" w:ascii="宋体" w:hAnsi="宋体" w:eastAsia="宋体" w:cs="宋体"/>
                <w:color w:val="auto"/>
                <w:sz w:val="24"/>
                <w:szCs w:val="24"/>
                <w:highlight w:val="none"/>
                <w:lang w:eastAsia="zh-CN"/>
              </w:rPr>
            </w:pPr>
          </w:p>
        </w:tc>
        <w:tc>
          <w:tcPr>
            <w:tcW w:w="975" w:type="dxa"/>
            <w:vMerge w:val="restart"/>
            <w:vAlign w:val="center"/>
          </w:tcPr>
          <w:p w14:paraId="40480453">
            <w:pPr>
              <w:pStyle w:val="17"/>
              <w:spacing w:line="360" w:lineRule="auto"/>
              <w:rPr>
                <w:rFonts w:hint="eastAsia" w:ascii="宋体" w:hAnsi="宋体" w:eastAsia="宋体" w:cs="宋体"/>
                <w:color w:val="auto"/>
                <w:sz w:val="24"/>
                <w:szCs w:val="24"/>
                <w:highlight w:val="none"/>
                <w:lang w:eastAsia="zh-CN"/>
              </w:rPr>
            </w:pPr>
          </w:p>
        </w:tc>
      </w:tr>
      <w:tr w14:paraId="5D878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45" w:type="dxa"/>
            <w:noWrap/>
            <w:vAlign w:val="center"/>
          </w:tcPr>
          <w:p w14:paraId="534B9133">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2</w:t>
            </w:r>
          </w:p>
        </w:tc>
        <w:tc>
          <w:tcPr>
            <w:tcW w:w="1819" w:type="dxa"/>
            <w:noWrap/>
            <w:vAlign w:val="center"/>
          </w:tcPr>
          <w:p w14:paraId="77F5C11A">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猪里脊</w:t>
            </w:r>
          </w:p>
        </w:tc>
        <w:tc>
          <w:tcPr>
            <w:tcW w:w="750" w:type="dxa"/>
            <w:noWrap/>
            <w:vAlign w:val="center"/>
          </w:tcPr>
          <w:p w14:paraId="3B85C781">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1902" w:type="dxa"/>
            <w:noWrap/>
            <w:vAlign w:val="center"/>
          </w:tcPr>
          <w:p w14:paraId="76AD0F6D">
            <w:pPr>
              <w:pStyle w:val="17"/>
              <w:spacing w:line="360" w:lineRule="auto"/>
              <w:ind w:left="1080" w:leftChars="257" w:hanging="540"/>
              <w:jc w:val="center"/>
              <w:rPr>
                <w:rFonts w:hint="eastAsia" w:ascii="宋体" w:hAnsi="宋体" w:eastAsia="宋体" w:cs="宋体"/>
                <w:color w:val="auto"/>
                <w:sz w:val="24"/>
                <w:szCs w:val="24"/>
                <w:highlight w:val="none"/>
              </w:rPr>
            </w:pPr>
          </w:p>
        </w:tc>
        <w:tc>
          <w:tcPr>
            <w:tcW w:w="900" w:type="dxa"/>
            <w:noWrap/>
            <w:vAlign w:val="center"/>
          </w:tcPr>
          <w:p w14:paraId="5CC1F509">
            <w:pPr>
              <w:pStyle w:val="17"/>
              <w:spacing w:line="360" w:lineRule="auto"/>
              <w:ind w:left="1080" w:leftChars="257" w:hanging="540"/>
              <w:jc w:val="center"/>
              <w:rPr>
                <w:rFonts w:hint="eastAsia" w:ascii="宋体" w:hAnsi="宋体" w:eastAsia="宋体" w:cs="宋体"/>
                <w:color w:val="auto"/>
                <w:sz w:val="24"/>
                <w:szCs w:val="24"/>
                <w:highlight w:val="none"/>
                <w:lang w:eastAsia="zh-CN"/>
              </w:rPr>
            </w:pPr>
          </w:p>
        </w:tc>
        <w:tc>
          <w:tcPr>
            <w:tcW w:w="1069" w:type="dxa"/>
            <w:vAlign w:val="center"/>
          </w:tcPr>
          <w:p w14:paraId="66007F6E">
            <w:pPr>
              <w:pStyle w:val="17"/>
              <w:spacing w:line="360" w:lineRule="auto"/>
              <w:ind w:left="1080" w:leftChars="257" w:hanging="540"/>
              <w:jc w:val="center"/>
              <w:rPr>
                <w:rFonts w:hint="eastAsia" w:ascii="宋体" w:hAnsi="宋体" w:eastAsia="宋体" w:cs="宋体"/>
                <w:color w:val="auto"/>
                <w:sz w:val="24"/>
                <w:szCs w:val="24"/>
                <w:highlight w:val="none"/>
                <w:lang w:eastAsia="zh-CN"/>
              </w:rPr>
            </w:pPr>
          </w:p>
        </w:tc>
        <w:tc>
          <w:tcPr>
            <w:tcW w:w="975" w:type="dxa"/>
            <w:vMerge w:val="continue"/>
            <w:vAlign w:val="center"/>
          </w:tcPr>
          <w:p w14:paraId="6892FE69">
            <w:pPr>
              <w:pStyle w:val="17"/>
              <w:spacing w:line="360" w:lineRule="auto"/>
              <w:rPr>
                <w:rFonts w:hint="eastAsia" w:ascii="宋体" w:hAnsi="宋体" w:eastAsia="宋体" w:cs="宋体"/>
                <w:color w:val="auto"/>
                <w:sz w:val="24"/>
                <w:szCs w:val="24"/>
                <w:highlight w:val="none"/>
                <w:lang w:eastAsia="zh-CN"/>
              </w:rPr>
            </w:pPr>
          </w:p>
        </w:tc>
      </w:tr>
      <w:tr w14:paraId="1021D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45" w:type="dxa"/>
            <w:noWrap/>
            <w:vAlign w:val="center"/>
          </w:tcPr>
          <w:p w14:paraId="2A47BFFD">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3</w:t>
            </w:r>
          </w:p>
        </w:tc>
        <w:tc>
          <w:tcPr>
            <w:tcW w:w="1819" w:type="dxa"/>
            <w:noWrap/>
            <w:vAlign w:val="center"/>
          </w:tcPr>
          <w:p w14:paraId="75FA0DE3">
            <w:pPr>
              <w:keepNext w:val="0"/>
              <w:keepLines w:val="0"/>
              <w:widowControl/>
              <w:suppressLineNumbers w:val="0"/>
              <w:jc w:val="center"/>
              <w:textAlignment w:val="center"/>
              <w:rPr>
                <w:rFonts w:hint="eastAsia" w:ascii="宋体" w:hAnsi="宋体" w:eastAsia="宋体" w:cs="宋体"/>
                <w:spacing w:val="6"/>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猪带皮五花肉</w:t>
            </w:r>
          </w:p>
        </w:tc>
        <w:tc>
          <w:tcPr>
            <w:tcW w:w="750" w:type="dxa"/>
            <w:noWrap/>
            <w:vAlign w:val="center"/>
          </w:tcPr>
          <w:p w14:paraId="7F293E63">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1902" w:type="dxa"/>
            <w:noWrap/>
            <w:vAlign w:val="center"/>
          </w:tcPr>
          <w:p w14:paraId="327F4993">
            <w:pPr>
              <w:pStyle w:val="17"/>
              <w:spacing w:line="360" w:lineRule="auto"/>
              <w:ind w:left="1080" w:leftChars="257" w:hanging="540"/>
              <w:jc w:val="center"/>
              <w:rPr>
                <w:rFonts w:hint="eastAsia" w:ascii="宋体" w:hAnsi="宋体" w:eastAsia="宋体" w:cs="宋体"/>
                <w:color w:val="auto"/>
                <w:sz w:val="24"/>
                <w:szCs w:val="24"/>
                <w:highlight w:val="none"/>
              </w:rPr>
            </w:pPr>
          </w:p>
        </w:tc>
        <w:tc>
          <w:tcPr>
            <w:tcW w:w="900" w:type="dxa"/>
            <w:noWrap/>
            <w:vAlign w:val="center"/>
          </w:tcPr>
          <w:p w14:paraId="4C7125F0">
            <w:pPr>
              <w:pStyle w:val="17"/>
              <w:spacing w:line="360" w:lineRule="auto"/>
              <w:ind w:left="1080" w:leftChars="257" w:hanging="540"/>
              <w:jc w:val="center"/>
              <w:rPr>
                <w:rFonts w:hint="eastAsia" w:ascii="宋体" w:hAnsi="宋体" w:eastAsia="宋体" w:cs="宋体"/>
                <w:color w:val="auto"/>
                <w:sz w:val="24"/>
                <w:szCs w:val="24"/>
                <w:highlight w:val="none"/>
                <w:lang w:eastAsia="zh-CN"/>
              </w:rPr>
            </w:pPr>
          </w:p>
        </w:tc>
        <w:tc>
          <w:tcPr>
            <w:tcW w:w="1069" w:type="dxa"/>
            <w:vAlign w:val="center"/>
          </w:tcPr>
          <w:p w14:paraId="17380EB1">
            <w:pPr>
              <w:pStyle w:val="17"/>
              <w:spacing w:line="360" w:lineRule="auto"/>
              <w:ind w:left="1080" w:leftChars="257" w:hanging="540"/>
              <w:jc w:val="center"/>
              <w:rPr>
                <w:rFonts w:hint="eastAsia" w:ascii="宋体" w:hAnsi="宋体" w:eastAsia="宋体" w:cs="宋体"/>
                <w:color w:val="auto"/>
                <w:sz w:val="24"/>
                <w:szCs w:val="24"/>
                <w:highlight w:val="none"/>
                <w:lang w:eastAsia="zh-CN"/>
              </w:rPr>
            </w:pPr>
          </w:p>
        </w:tc>
        <w:tc>
          <w:tcPr>
            <w:tcW w:w="975" w:type="dxa"/>
            <w:vMerge w:val="continue"/>
            <w:vAlign w:val="center"/>
          </w:tcPr>
          <w:p w14:paraId="073AECD9">
            <w:pPr>
              <w:rPr>
                <w:rFonts w:hint="eastAsia" w:ascii="宋体" w:hAnsi="宋体" w:eastAsia="宋体" w:cs="宋体"/>
                <w:color w:val="auto"/>
                <w:sz w:val="24"/>
                <w:szCs w:val="24"/>
                <w:highlight w:val="none"/>
                <w:lang w:eastAsia="zh-CN"/>
              </w:rPr>
            </w:pPr>
          </w:p>
        </w:tc>
      </w:tr>
      <w:tr w14:paraId="6E94D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45" w:type="dxa"/>
            <w:noWrap/>
            <w:vAlign w:val="center"/>
          </w:tcPr>
          <w:p w14:paraId="4C26B70E">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4</w:t>
            </w:r>
          </w:p>
        </w:tc>
        <w:tc>
          <w:tcPr>
            <w:tcW w:w="1819" w:type="dxa"/>
            <w:noWrap/>
            <w:vAlign w:val="center"/>
          </w:tcPr>
          <w:p w14:paraId="1E634E88">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猪去皮五花肉</w:t>
            </w:r>
          </w:p>
        </w:tc>
        <w:tc>
          <w:tcPr>
            <w:tcW w:w="750" w:type="dxa"/>
            <w:noWrap/>
            <w:vAlign w:val="center"/>
          </w:tcPr>
          <w:p w14:paraId="6A380C6C">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1902" w:type="dxa"/>
            <w:noWrap/>
            <w:vAlign w:val="center"/>
          </w:tcPr>
          <w:p w14:paraId="04A2B443">
            <w:pPr>
              <w:pStyle w:val="17"/>
              <w:spacing w:line="360" w:lineRule="auto"/>
              <w:ind w:left="1080" w:leftChars="257" w:hanging="540"/>
              <w:jc w:val="center"/>
              <w:rPr>
                <w:rFonts w:hint="eastAsia" w:ascii="宋体" w:hAnsi="宋体" w:eastAsia="宋体" w:cs="宋体"/>
                <w:color w:val="auto"/>
                <w:sz w:val="24"/>
                <w:szCs w:val="24"/>
                <w:highlight w:val="none"/>
              </w:rPr>
            </w:pPr>
          </w:p>
        </w:tc>
        <w:tc>
          <w:tcPr>
            <w:tcW w:w="900" w:type="dxa"/>
            <w:noWrap/>
            <w:vAlign w:val="center"/>
          </w:tcPr>
          <w:p w14:paraId="2470D0B0">
            <w:pPr>
              <w:pStyle w:val="17"/>
              <w:spacing w:line="360" w:lineRule="auto"/>
              <w:ind w:left="1080" w:leftChars="257" w:hanging="540"/>
              <w:jc w:val="center"/>
              <w:rPr>
                <w:rFonts w:hint="eastAsia" w:ascii="宋体" w:hAnsi="宋体" w:eastAsia="宋体" w:cs="宋体"/>
                <w:color w:val="auto"/>
                <w:sz w:val="24"/>
                <w:szCs w:val="24"/>
                <w:highlight w:val="none"/>
                <w:lang w:eastAsia="zh-CN"/>
              </w:rPr>
            </w:pPr>
          </w:p>
        </w:tc>
        <w:tc>
          <w:tcPr>
            <w:tcW w:w="1069" w:type="dxa"/>
            <w:vAlign w:val="center"/>
          </w:tcPr>
          <w:p w14:paraId="60FD4BE3">
            <w:pPr>
              <w:pStyle w:val="17"/>
              <w:spacing w:line="360" w:lineRule="auto"/>
              <w:ind w:left="1080" w:leftChars="257" w:hanging="540"/>
              <w:jc w:val="center"/>
              <w:rPr>
                <w:rFonts w:hint="eastAsia" w:ascii="宋体" w:hAnsi="宋体" w:eastAsia="宋体" w:cs="宋体"/>
                <w:color w:val="auto"/>
                <w:sz w:val="24"/>
                <w:szCs w:val="24"/>
                <w:highlight w:val="none"/>
                <w:lang w:eastAsia="zh-CN"/>
              </w:rPr>
            </w:pPr>
          </w:p>
        </w:tc>
        <w:tc>
          <w:tcPr>
            <w:tcW w:w="975" w:type="dxa"/>
            <w:vMerge w:val="continue"/>
            <w:vAlign w:val="center"/>
          </w:tcPr>
          <w:p w14:paraId="42F604F3">
            <w:pPr>
              <w:rPr>
                <w:rFonts w:hint="eastAsia" w:ascii="宋体" w:hAnsi="宋体" w:eastAsia="宋体" w:cs="宋体"/>
                <w:color w:val="auto"/>
                <w:sz w:val="24"/>
                <w:szCs w:val="24"/>
                <w:highlight w:val="none"/>
                <w:lang w:eastAsia="zh-CN"/>
              </w:rPr>
            </w:pPr>
          </w:p>
        </w:tc>
      </w:tr>
      <w:tr w14:paraId="4B95A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45" w:type="dxa"/>
            <w:noWrap/>
            <w:vAlign w:val="center"/>
          </w:tcPr>
          <w:p w14:paraId="192A4AD5">
            <w:pPr>
              <w:pStyle w:val="17"/>
              <w:spacing w:line="360" w:lineRule="auto"/>
              <w:jc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w:t>
            </w:r>
          </w:p>
        </w:tc>
        <w:tc>
          <w:tcPr>
            <w:tcW w:w="1819" w:type="dxa"/>
            <w:noWrap/>
            <w:vAlign w:val="center"/>
          </w:tcPr>
          <w:p w14:paraId="14EF5818">
            <w:pPr>
              <w:pStyle w:val="17"/>
              <w:spacing w:line="360" w:lineRule="auto"/>
              <w:jc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w:t>
            </w:r>
          </w:p>
        </w:tc>
        <w:tc>
          <w:tcPr>
            <w:tcW w:w="750" w:type="dxa"/>
            <w:noWrap/>
            <w:vAlign w:val="center"/>
          </w:tcPr>
          <w:p w14:paraId="110BD995">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
              </w:rPr>
              <w:t>...</w:t>
            </w:r>
          </w:p>
        </w:tc>
        <w:tc>
          <w:tcPr>
            <w:tcW w:w="1902" w:type="dxa"/>
            <w:noWrap/>
            <w:vAlign w:val="center"/>
          </w:tcPr>
          <w:p w14:paraId="00C3C027">
            <w:pPr>
              <w:pStyle w:val="17"/>
              <w:spacing w:line="360" w:lineRule="auto"/>
              <w:ind w:left="1080" w:leftChars="257" w:hanging="540"/>
              <w:jc w:val="center"/>
              <w:rPr>
                <w:rFonts w:hint="eastAsia" w:ascii="宋体" w:hAnsi="宋体" w:eastAsia="宋体" w:cs="宋体"/>
                <w:color w:val="auto"/>
                <w:sz w:val="24"/>
                <w:szCs w:val="24"/>
                <w:highlight w:val="none"/>
              </w:rPr>
            </w:pPr>
          </w:p>
        </w:tc>
        <w:tc>
          <w:tcPr>
            <w:tcW w:w="900" w:type="dxa"/>
            <w:noWrap/>
            <w:vAlign w:val="center"/>
          </w:tcPr>
          <w:p w14:paraId="5736DB76">
            <w:pPr>
              <w:pStyle w:val="17"/>
              <w:spacing w:line="360" w:lineRule="auto"/>
              <w:ind w:left="1080" w:leftChars="257" w:hanging="540"/>
              <w:jc w:val="center"/>
              <w:rPr>
                <w:rFonts w:hint="eastAsia" w:ascii="宋体" w:hAnsi="宋体" w:eastAsia="宋体" w:cs="宋体"/>
                <w:color w:val="auto"/>
                <w:sz w:val="24"/>
                <w:szCs w:val="24"/>
                <w:highlight w:val="none"/>
                <w:lang w:eastAsia="zh-CN"/>
              </w:rPr>
            </w:pPr>
          </w:p>
        </w:tc>
        <w:tc>
          <w:tcPr>
            <w:tcW w:w="1069" w:type="dxa"/>
            <w:vAlign w:val="center"/>
          </w:tcPr>
          <w:p w14:paraId="18455644">
            <w:pPr>
              <w:pStyle w:val="17"/>
              <w:spacing w:line="360" w:lineRule="auto"/>
              <w:ind w:left="1080" w:leftChars="257" w:hanging="540"/>
              <w:jc w:val="center"/>
              <w:rPr>
                <w:rFonts w:hint="eastAsia" w:ascii="宋体" w:hAnsi="宋体" w:eastAsia="宋体" w:cs="宋体"/>
                <w:color w:val="auto"/>
                <w:sz w:val="24"/>
                <w:szCs w:val="24"/>
                <w:highlight w:val="none"/>
                <w:lang w:eastAsia="zh-CN"/>
              </w:rPr>
            </w:pPr>
          </w:p>
        </w:tc>
        <w:tc>
          <w:tcPr>
            <w:tcW w:w="975" w:type="dxa"/>
            <w:vMerge w:val="continue"/>
            <w:vAlign w:val="center"/>
          </w:tcPr>
          <w:p w14:paraId="79456B69">
            <w:pPr>
              <w:rPr>
                <w:rFonts w:hint="eastAsia" w:ascii="宋体" w:hAnsi="宋体" w:eastAsia="宋体" w:cs="宋体"/>
                <w:color w:val="auto"/>
                <w:sz w:val="24"/>
                <w:szCs w:val="24"/>
                <w:highlight w:val="none"/>
                <w:lang w:eastAsia="zh-CN"/>
              </w:rPr>
            </w:pPr>
          </w:p>
        </w:tc>
      </w:tr>
      <w:tr w14:paraId="0A6A2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45" w:type="dxa"/>
            <w:noWrap/>
            <w:vAlign w:val="center"/>
          </w:tcPr>
          <w:p w14:paraId="0187355C">
            <w:pPr>
              <w:pStyle w:val="17"/>
              <w:spacing w:line="360" w:lineRule="auto"/>
              <w:jc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w:t>
            </w:r>
          </w:p>
        </w:tc>
        <w:tc>
          <w:tcPr>
            <w:tcW w:w="1819" w:type="dxa"/>
            <w:noWrap/>
            <w:vAlign w:val="center"/>
          </w:tcPr>
          <w:p w14:paraId="34DCDCF5">
            <w:pPr>
              <w:pStyle w:val="17"/>
              <w:spacing w:line="360" w:lineRule="auto"/>
              <w:jc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w:t>
            </w:r>
          </w:p>
        </w:tc>
        <w:tc>
          <w:tcPr>
            <w:tcW w:w="750" w:type="dxa"/>
            <w:noWrap/>
            <w:vAlign w:val="center"/>
          </w:tcPr>
          <w:p w14:paraId="5983764A">
            <w:pPr>
              <w:pStyle w:val="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
              </w:rPr>
              <w:t>...</w:t>
            </w:r>
          </w:p>
        </w:tc>
        <w:tc>
          <w:tcPr>
            <w:tcW w:w="1902" w:type="dxa"/>
            <w:noWrap/>
            <w:vAlign w:val="center"/>
          </w:tcPr>
          <w:p w14:paraId="0D51BCF4">
            <w:pPr>
              <w:pStyle w:val="17"/>
              <w:spacing w:line="360" w:lineRule="auto"/>
              <w:ind w:left="1080" w:leftChars="257" w:hanging="540"/>
              <w:jc w:val="center"/>
              <w:rPr>
                <w:rFonts w:hint="eastAsia" w:ascii="宋体" w:hAnsi="宋体" w:eastAsia="宋体" w:cs="宋体"/>
                <w:color w:val="auto"/>
                <w:sz w:val="24"/>
                <w:szCs w:val="24"/>
                <w:highlight w:val="none"/>
              </w:rPr>
            </w:pPr>
          </w:p>
        </w:tc>
        <w:tc>
          <w:tcPr>
            <w:tcW w:w="900" w:type="dxa"/>
            <w:noWrap/>
            <w:vAlign w:val="center"/>
          </w:tcPr>
          <w:p w14:paraId="0C41C278">
            <w:pPr>
              <w:pStyle w:val="17"/>
              <w:spacing w:line="360" w:lineRule="auto"/>
              <w:ind w:left="1080" w:leftChars="257" w:hanging="540"/>
              <w:jc w:val="center"/>
              <w:rPr>
                <w:rFonts w:hint="eastAsia" w:ascii="宋体" w:hAnsi="宋体" w:eastAsia="宋体" w:cs="宋体"/>
                <w:color w:val="auto"/>
                <w:sz w:val="24"/>
                <w:szCs w:val="24"/>
                <w:highlight w:val="none"/>
                <w:lang w:eastAsia="zh-CN"/>
              </w:rPr>
            </w:pPr>
          </w:p>
        </w:tc>
        <w:tc>
          <w:tcPr>
            <w:tcW w:w="1069" w:type="dxa"/>
            <w:vAlign w:val="center"/>
          </w:tcPr>
          <w:p w14:paraId="4A1F45A7">
            <w:pPr>
              <w:pStyle w:val="17"/>
              <w:spacing w:line="360" w:lineRule="auto"/>
              <w:ind w:left="1080" w:leftChars="257" w:hanging="540"/>
              <w:jc w:val="center"/>
              <w:rPr>
                <w:rFonts w:hint="eastAsia" w:ascii="宋体" w:hAnsi="宋体" w:eastAsia="宋体" w:cs="宋体"/>
                <w:color w:val="auto"/>
                <w:sz w:val="24"/>
                <w:szCs w:val="24"/>
                <w:highlight w:val="none"/>
                <w:lang w:eastAsia="zh-CN"/>
              </w:rPr>
            </w:pPr>
          </w:p>
        </w:tc>
        <w:tc>
          <w:tcPr>
            <w:tcW w:w="975" w:type="dxa"/>
            <w:vMerge w:val="continue"/>
            <w:vAlign w:val="center"/>
          </w:tcPr>
          <w:p w14:paraId="54919609">
            <w:pPr>
              <w:rPr>
                <w:rFonts w:hint="eastAsia" w:ascii="宋体" w:hAnsi="宋体" w:eastAsia="宋体" w:cs="宋体"/>
                <w:color w:val="auto"/>
                <w:sz w:val="24"/>
                <w:szCs w:val="24"/>
                <w:highlight w:val="none"/>
                <w:lang w:eastAsia="zh-CN"/>
              </w:rPr>
            </w:pPr>
          </w:p>
        </w:tc>
      </w:tr>
      <w:tr w14:paraId="28140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45" w:type="dxa"/>
            <w:noWrap/>
            <w:vAlign w:val="center"/>
          </w:tcPr>
          <w:p w14:paraId="32F8A330">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55</w:t>
            </w:r>
          </w:p>
        </w:tc>
        <w:tc>
          <w:tcPr>
            <w:tcW w:w="1819" w:type="dxa"/>
            <w:noWrap/>
            <w:vAlign w:val="center"/>
          </w:tcPr>
          <w:p w14:paraId="105BDCE6">
            <w:pPr>
              <w:keepNext w:val="0"/>
              <w:keepLines w:val="0"/>
              <w:widowControl/>
              <w:suppressLineNumbers w:val="0"/>
              <w:jc w:val="center"/>
              <w:textAlignment w:val="center"/>
              <w:rPr>
                <w:rFonts w:hint="eastAsia" w:ascii="宋体" w:hAnsi="宋体" w:eastAsia="宋体" w:cs="宋体"/>
                <w:sz w:val="24"/>
                <w:szCs w:val="24"/>
                <w:highlight w:val="none"/>
                <w:lang w:eastAsia="zh-CN" w:bidi="ar"/>
              </w:rPr>
            </w:pPr>
            <w:r>
              <w:rPr>
                <w:rFonts w:hint="eastAsia" w:ascii="宋体" w:hAnsi="宋体" w:eastAsia="宋体" w:cs="宋体"/>
                <w:i w:val="0"/>
                <w:iCs w:val="0"/>
                <w:color w:val="000000"/>
                <w:kern w:val="0"/>
                <w:sz w:val="24"/>
                <w:szCs w:val="24"/>
                <w:highlight w:val="none"/>
                <w:u w:val="none"/>
                <w:lang w:val="en-US" w:eastAsia="zh-CN" w:bidi="ar"/>
              </w:rPr>
              <w:t>鲜猪肝</w:t>
            </w:r>
          </w:p>
        </w:tc>
        <w:tc>
          <w:tcPr>
            <w:tcW w:w="750" w:type="dxa"/>
            <w:noWrap/>
            <w:vAlign w:val="center"/>
          </w:tcPr>
          <w:p w14:paraId="5EB8EFDA">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1902" w:type="dxa"/>
            <w:noWrap/>
            <w:vAlign w:val="center"/>
          </w:tcPr>
          <w:p w14:paraId="54277603">
            <w:pPr>
              <w:pStyle w:val="17"/>
              <w:spacing w:line="360" w:lineRule="auto"/>
              <w:ind w:left="1080" w:leftChars="257" w:hanging="540"/>
              <w:jc w:val="center"/>
              <w:rPr>
                <w:rFonts w:hint="eastAsia" w:ascii="宋体" w:hAnsi="宋体" w:eastAsia="宋体" w:cs="宋体"/>
                <w:color w:val="auto"/>
                <w:sz w:val="24"/>
                <w:szCs w:val="24"/>
                <w:highlight w:val="none"/>
              </w:rPr>
            </w:pPr>
          </w:p>
        </w:tc>
        <w:tc>
          <w:tcPr>
            <w:tcW w:w="900" w:type="dxa"/>
            <w:noWrap/>
            <w:vAlign w:val="center"/>
          </w:tcPr>
          <w:p w14:paraId="024DEC61">
            <w:pPr>
              <w:pStyle w:val="17"/>
              <w:spacing w:line="360" w:lineRule="auto"/>
              <w:ind w:left="1080" w:leftChars="257" w:hanging="540"/>
              <w:jc w:val="center"/>
              <w:rPr>
                <w:rFonts w:hint="eastAsia" w:ascii="宋体" w:hAnsi="宋体" w:eastAsia="宋体" w:cs="宋体"/>
                <w:color w:val="auto"/>
                <w:sz w:val="24"/>
                <w:szCs w:val="24"/>
                <w:highlight w:val="none"/>
                <w:lang w:eastAsia="zh-CN"/>
              </w:rPr>
            </w:pPr>
          </w:p>
        </w:tc>
        <w:tc>
          <w:tcPr>
            <w:tcW w:w="1069" w:type="dxa"/>
            <w:vAlign w:val="center"/>
          </w:tcPr>
          <w:p w14:paraId="480517D7">
            <w:pPr>
              <w:pStyle w:val="17"/>
              <w:spacing w:line="360" w:lineRule="auto"/>
              <w:ind w:left="1080" w:leftChars="257" w:hanging="540"/>
              <w:jc w:val="center"/>
              <w:rPr>
                <w:rFonts w:hint="eastAsia" w:ascii="宋体" w:hAnsi="宋体" w:eastAsia="宋体" w:cs="宋体"/>
                <w:color w:val="auto"/>
                <w:sz w:val="24"/>
                <w:szCs w:val="24"/>
                <w:highlight w:val="none"/>
                <w:lang w:eastAsia="zh-CN"/>
              </w:rPr>
            </w:pPr>
          </w:p>
        </w:tc>
        <w:tc>
          <w:tcPr>
            <w:tcW w:w="975" w:type="dxa"/>
            <w:vMerge w:val="continue"/>
            <w:vAlign w:val="center"/>
          </w:tcPr>
          <w:p w14:paraId="77335948">
            <w:pPr>
              <w:rPr>
                <w:rFonts w:hint="eastAsia" w:ascii="宋体" w:hAnsi="宋体" w:eastAsia="宋体" w:cs="宋体"/>
                <w:color w:val="auto"/>
                <w:sz w:val="24"/>
                <w:szCs w:val="24"/>
                <w:highlight w:val="none"/>
                <w:lang w:eastAsia="zh-CN"/>
              </w:rPr>
            </w:pPr>
          </w:p>
        </w:tc>
      </w:tr>
      <w:tr w14:paraId="24A04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45" w:type="dxa"/>
            <w:noWrap/>
            <w:vAlign w:val="center"/>
          </w:tcPr>
          <w:p w14:paraId="074DEF3E">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56</w:t>
            </w:r>
          </w:p>
        </w:tc>
        <w:tc>
          <w:tcPr>
            <w:tcW w:w="1819" w:type="dxa"/>
            <w:noWrap/>
            <w:vAlign w:val="center"/>
          </w:tcPr>
          <w:p w14:paraId="37C453F4">
            <w:pPr>
              <w:keepNext w:val="0"/>
              <w:keepLines w:val="0"/>
              <w:widowControl/>
              <w:suppressLineNumbers w:val="0"/>
              <w:jc w:val="center"/>
              <w:textAlignment w:val="center"/>
              <w:rPr>
                <w:rFonts w:hint="eastAsia" w:ascii="宋体" w:hAnsi="宋体" w:eastAsia="宋体" w:cs="宋体"/>
                <w:sz w:val="24"/>
                <w:szCs w:val="24"/>
                <w:highlight w:val="none"/>
                <w:lang w:eastAsia="zh-CN" w:bidi="ar"/>
              </w:rPr>
            </w:pPr>
            <w:r>
              <w:rPr>
                <w:rFonts w:hint="eastAsia" w:ascii="宋体" w:hAnsi="宋体" w:eastAsia="宋体" w:cs="宋体"/>
                <w:i w:val="0"/>
                <w:iCs w:val="0"/>
                <w:color w:val="000000"/>
                <w:kern w:val="0"/>
                <w:sz w:val="24"/>
                <w:szCs w:val="24"/>
                <w:highlight w:val="none"/>
                <w:u w:val="none"/>
                <w:lang w:val="en-US" w:eastAsia="zh-CN" w:bidi="ar"/>
              </w:rPr>
              <w:t>鲜猪心</w:t>
            </w:r>
          </w:p>
        </w:tc>
        <w:tc>
          <w:tcPr>
            <w:tcW w:w="750" w:type="dxa"/>
            <w:noWrap/>
            <w:vAlign w:val="center"/>
          </w:tcPr>
          <w:p w14:paraId="3FB69C1C">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1902" w:type="dxa"/>
            <w:noWrap/>
            <w:vAlign w:val="center"/>
          </w:tcPr>
          <w:p w14:paraId="3C664315">
            <w:pPr>
              <w:pStyle w:val="17"/>
              <w:spacing w:line="360" w:lineRule="auto"/>
              <w:ind w:left="1080" w:leftChars="257" w:hanging="540"/>
              <w:jc w:val="center"/>
              <w:rPr>
                <w:rFonts w:hint="eastAsia" w:ascii="宋体" w:hAnsi="宋体" w:eastAsia="宋体" w:cs="宋体"/>
                <w:color w:val="auto"/>
                <w:sz w:val="24"/>
                <w:szCs w:val="24"/>
                <w:highlight w:val="none"/>
              </w:rPr>
            </w:pPr>
          </w:p>
        </w:tc>
        <w:tc>
          <w:tcPr>
            <w:tcW w:w="900" w:type="dxa"/>
            <w:noWrap/>
            <w:vAlign w:val="center"/>
          </w:tcPr>
          <w:p w14:paraId="78DC08FD">
            <w:pPr>
              <w:pStyle w:val="17"/>
              <w:spacing w:line="360" w:lineRule="auto"/>
              <w:ind w:left="1080" w:leftChars="257" w:hanging="540"/>
              <w:jc w:val="center"/>
              <w:rPr>
                <w:rFonts w:hint="eastAsia" w:ascii="宋体" w:hAnsi="宋体" w:eastAsia="宋体" w:cs="宋体"/>
                <w:color w:val="auto"/>
                <w:sz w:val="24"/>
                <w:szCs w:val="24"/>
                <w:highlight w:val="none"/>
                <w:lang w:eastAsia="zh-CN"/>
              </w:rPr>
            </w:pPr>
          </w:p>
        </w:tc>
        <w:tc>
          <w:tcPr>
            <w:tcW w:w="1069" w:type="dxa"/>
            <w:vAlign w:val="center"/>
          </w:tcPr>
          <w:p w14:paraId="6BC5F151">
            <w:pPr>
              <w:pStyle w:val="17"/>
              <w:spacing w:line="360" w:lineRule="auto"/>
              <w:ind w:left="1080" w:leftChars="257" w:hanging="540"/>
              <w:jc w:val="center"/>
              <w:rPr>
                <w:rFonts w:hint="eastAsia" w:ascii="宋体" w:hAnsi="宋体" w:eastAsia="宋体" w:cs="宋体"/>
                <w:color w:val="auto"/>
                <w:sz w:val="24"/>
                <w:szCs w:val="24"/>
                <w:highlight w:val="none"/>
                <w:lang w:eastAsia="zh-CN"/>
              </w:rPr>
            </w:pPr>
          </w:p>
        </w:tc>
        <w:tc>
          <w:tcPr>
            <w:tcW w:w="975" w:type="dxa"/>
            <w:vMerge w:val="continue"/>
            <w:vAlign w:val="center"/>
          </w:tcPr>
          <w:p w14:paraId="417B64E9">
            <w:pPr>
              <w:rPr>
                <w:rFonts w:hint="eastAsia" w:ascii="宋体" w:hAnsi="宋体" w:eastAsia="宋体" w:cs="宋体"/>
                <w:color w:val="auto"/>
                <w:sz w:val="24"/>
                <w:szCs w:val="24"/>
                <w:highlight w:val="none"/>
                <w:lang w:eastAsia="zh-CN"/>
              </w:rPr>
            </w:pPr>
          </w:p>
        </w:tc>
      </w:tr>
      <w:tr w14:paraId="34544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45" w:type="dxa"/>
            <w:noWrap/>
            <w:vAlign w:val="center"/>
          </w:tcPr>
          <w:p w14:paraId="0FD96C75">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57</w:t>
            </w:r>
          </w:p>
        </w:tc>
        <w:tc>
          <w:tcPr>
            <w:tcW w:w="1819" w:type="dxa"/>
            <w:noWrap/>
            <w:vAlign w:val="center"/>
          </w:tcPr>
          <w:p w14:paraId="74708589">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鲜猪尾</w:t>
            </w:r>
          </w:p>
        </w:tc>
        <w:tc>
          <w:tcPr>
            <w:tcW w:w="750" w:type="dxa"/>
            <w:noWrap/>
            <w:vAlign w:val="center"/>
          </w:tcPr>
          <w:p w14:paraId="24F2AFDA">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公斤</w:t>
            </w:r>
          </w:p>
        </w:tc>
        <w:tc>
          <w:tcPr>
            <w:tcW w:w="1902" w:type="dxa"/>
            <w:noWrap/>
            <w:vAlign w:val="center"/>
          </w:tcPr>
          <w:p w14:paraId="5234FEC5">
            <w:pPr>
              <w:pStyle w:val="17"/>
              <w:spacing w:line="360" w:lineRule="auto"/>
              <w:ind w:left="1080" w:leftChars="257" w:hanging="540"/>
              <w:jc w:val="center"/>
              <w:rPr>
                <w:rFonts w:hint="eastAsia" w:ascii="宋体" w:hAnsi="宋体" w:eastAsia="宋体" w:cs="宋体"/>
                <w:color w:val="auto"/>
                <w:sz w:val="24"/>
                <w:szCs w:val="24"/>
                <w:highlight w:val="none"/>
              </w:rPr>
            </w:pPr>
          </w:p>
        </w:tc>
        <w:tc>
          <w:tcPr>
            <w:tcW w:w="900" w:type="dxa"/>
            <w:noWrap/>
            <w:vAlign w:val="center"/>
          </w:tcPr>
          <w:p w14:paraId="67F1DB01">
            <w:pPr>
              <w:pStyle w:val="17"/>
              <w:spacing w:line="360" w:lineRule="auto"/>
              <w:ind w:left="1080" w:leftChars="257" w:hanging="540"/>
              <w:jc w:val="center"/>
              <w:rPr>
                <w:rFonts w:hint="eastAsia" w:ascii="宋体" w:hAnsi="宋体" w:eastAsia="宋体" w:cs="宋体"/>
                <w:color w:val="auto"/>
                <w:sz w:val="24"/>
                <w:szCs w:val="24"/>
                <w:highlight w:val="none"/>
                <w:lang w:eastAsia="zh-CN"/>
              </w:rPr>
            </w:pPr>
          </w:p>
        </w:tc>
        <w:tc>
          <w:tcPr>
            <w:tcW w:w="1069" w:type="dxa"/>
            <w:vAlign w:val="center"/>
          </w:tcPr>
          <w:p w14:paraId="29076FA0">
            <w:pPr>
              <w:pStyle w:val="17"/>
              <w:spacing w:line="360" w:lineRule="auto"/>
              <w:ind w:left="1080" w:leftChars="257" w:hanging="540"/>
              <w:jc w:val="center"/>
              <w:rPr>
                <w:rFonts w:hint="eastAsia" w:ascii="宋体" w:hAnsi="宋体" w:eastAsia="宋体" w:cs="宋体"/>
                <w:color w:val="auto"/>
                <w:sz w:val="24"/>
                <w:szCs w:val="24"/>
                <w:highlight w:val="none"/>
                <w:lang w:eastAsia="zh-CN"/>
              </w:rPr>
            </w:pPr>
          </w:p>
        </w:tc>
        <w:tc>
          <w:tcPr>
            <w:tcW w:w="975" w:type="dxa"/>
            <w:vMerge w:val="continue"/>
            <w:vAlign w:val="center"/>
          </w:tcPr>
          <w:p w14:paraId="3B881C85">
            <w:pPr>
              <w:rPr>
                <w:rFonts w:hint="eastAsia" w:ascii="宋体" w:hAnsi="宋体" w:eastAsia="宋体" w:cs="宋体"/>
                <w:color w:val="auto"/>
                <w:sz w:val="24"/>
                <w:szCs w:val="24"/>
                <w:highlight w:val="none"/>
                <w:lang w:eastAsia="zh-CN"/>
              </w:rPr>
            </w:pPr>
          </w:p>
        </w:tc>
      </w:tr>
      <w:tr w14:paraId="5E473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45" w:type="dxa"/>
            <w:noWrap/>
            <w:vAlign w:val="center"/>
          </w:tcPr>
          <w:p w14:paraId="62304346">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58</w:t>
            </w:r>
          </w:p>
        </w:tc>
        <w:tc>
          <w:tcPr>
            <w:tcW w:w="1819" w:type="dxa"/>
            <w:noWrap/>
            <w:vAlign w:val="center"/>
          </w:tcPr>
          <w:p w14:paraId="6D4A0FDC">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color w:val="000000"/>
                <w:kern w:val="2"/>
                <w:sz w:val="24"/>
                <w:szCs w:val="24"/>
                <w:highlight w:val="none"/>
                <w:u w:val="none"/>
                <w:lang w:val="en-US" w:eastAsia="zh-CN" w:bidi="ar-SA"/>
              </w:rPr>
              <w:t>猪鲜肥肠</w:t>
            </w:r>
          </w:p>
        </w:tc>
        <w:tc>
          <w:tcPr>
            <w:tcW w:w="750" w:type="dxa"/>
            <w:noWrap/>
            <w:vAlign w:val="center"/>
          </w:tcPr>
          <w:p w14:paraId="77F54B70">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公斤</w:t>
            </w:r>
          </w:p>
        </w:tc>
        <w:tc>
          <w:tcPr>
            <w:tcW w:w="1902" w:type="dxa"/>
            <w:noWrap/>
            <w:vAlign w:val="center"/>
          </w:tcPr>
          <w:p w14:paraId="2CB2B250">
            <w:pPr>
              <w:pStyle w:val="17"/>
              <w:spacing w:line="360" w:lineRule="auto"/>
              <w:ind w:left="1080" w:leftChars="257" w:hanging="540"/>
              <w:jc w:val="center"/>
              <w:rPr>
                <w:rFonts w:hint="eastAsia" w:ascii="宋体" w:hAnsi="宋体" w:eastAsia="宋体" w:cs="宋体"/>
                <w:color w:val="auto"/>
                <w:sz w:val="24"/>
                <w:szCs w:val="24"/>
                <w:highlight w:val="none"/>
              </w:rPr>
            </w:pPr>
          </w:p>
        </w:tc>
        <w:tc>
          <w:tcPr>
            <w:tcW w:w="900" w:type="dxa"/>
            <w:noWrap/>
            <w:vAlign w:val="center"/>
          </w:tcPr>
          <w:p w14:paraId="33E542DF">
            <w:pPr>
              <w:pStyle w:val="17"/>
              <w:spacing w:line="360" w:lineRule="auto"/>
              <w:ind w:left="1080" w:leftChars="257" w:hanging="540"/>
              <w:jc w:val="center"/>
              <w:rPr>
                <w:rFonts w:hint="eastAsia" w:ascii="宋体" w:hAnsi="宋体" w:eastAsia="宋体" w:cs="宋体"/>
                <w:color w:val="auto"/>
                <w:sz w:val="24"/>
                <w:szCs w:val="24"/>
                <w:highlight w:val="none"/>
                <w:lang w:eastAsia="zh-CN"/>
              </w:rPr>
            </w:pPr>
          </w:p>
        </w:tc>
        <w:tc>
          <w:tcPr>
            <w:tcW w:w="1069" w:type="dxa"/>
            <w:vAlign w:val="center"/>
          </w:tcPr>
          <w:p w14:paraId="5C52874A">
            <w:pPr>
              <w:pStyle w:val="17"/>
              <w:spacing w:line="360" w:lineRule="auto"/>
              <w:ind w:left="1080" w:leftChars="257" w:hanging="540"/>
              <w:jc w:val="center"/>
              <w:rPr>
                <w:rFonts w:hint="eastAsia" w:ascii="宋体" w:hAnsi="宋体" w:eastAsia="宋体" w:cs="宋体"/>
                <w:color w:val="auto"/>
                <w:sz w:val="24"/>
                <w:szCs w:val="24"/>
                <w:highlight w:val="none"/>
                <w:lang w:eastAsia="zh-CN"/>
              </w:rPr>
            </w:pPr>
          </w:p>
        </w:tc>
        <w:tc>
          <w:tcPr>
            <w:tcW w:w="975" w:type="dxa"/>
            <w:vMerge w:val="continue"/>
            <w:vAlign w:val="center"/>
          </w:tcPr>
          <w:p w14:paraId="6CB7B0E6">
            <w:pPr>
              <w:rPr>
                <w:rFonts w:hint="eastAsia" w:ascii="宋体" w:hAnsi="宋体" w:eastAsia="宋体" w:cs="宋体"/>
                <w:color w:val="auto"/>
                <w:sz w:val="24"/>
                <w:szCs w:val="24"/>
                <w:highlight w:val="none"/>
                <w:lang w:eastAsia="zh-CN"/>
              </w:rPr>
            </w:pPr>
          </w:p>
        </w:tc>
      </w:tr>
    </w:tbl>
    <w:p w14:paraId="7AD2C390">
      <w:pPr>
        <w:pStyle w:val="17"/>
        <w:tabs>
          <w:tab w:val="left" w:pos="5370"/>
        </w:tabs>
        <w:spacing w:line="360" w:lineRule="auto"/>
        <w:ind w:left="1080" w:leftChars="257" w:hanging="540"/>
        <w:rPr>
          <w:rFonts w:hint="eastAsia" w:ascii="仿宋" w:hAnsi="仿宋" w:eastAsia="仿宋"/>
          <w:color w:val="auto"/>
          <w:sz w:val="24"/>
          <w:highlight w:val="none"/>
          <w:lang w:eastAsia="zh-CN"/>
        </w:rPr>
      </w:pPr>
    </w:p>
    <w:p w14:paraId="2A6AC601">
      <w:pPr>
        <w:pStyle w:val="17"/>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 xml:space="preserve">           </w:t>
      </w:r>
    </w:p>
    <w:p w14:paraId="659C97AD">
      <w:pPr>
        <w:pStyle w:val="17"/>
        <w:tabs>
          <w:tab w:val="left" w:pos="5370"/>
        </w:tabs>
        <w:spacing w:line="360" w:lineRule="auto"/>
        <w:rPr>
          <w:rFonts w:hint="eastAsia" w:ascii="仿宋" w:hAnsi="仿宋" w:eastAsia="仿宋"/>
          <w:color w:val="auto"/>
          <w:sz w:val="24"/>
          <w:highlight w:val="none"/>
          <w:lang w:eastAsia="zh-CN"/>
        </w:rPr>
      </w:pPr>
    </w:p>
    <w:p w14:paraId="17B66FE3">
      <w:pPr>
        <w:pStyle w:val="17"/>
        <w:tabs>
          <w:tab w:val="left" w:pos="5370"/>
        </w:tabs>
        <w:spacing w:line="360" w:lineRule="auto"/>
        <w:ind w:left="1080" w:leftChars="257" w:hanging="540"/>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lang w:val="en-US" w:eastAsia="zh-CN"/>
        </w:rPr>
        <w:t>供应商名称</w:t>
      </w:r>
      <w:r>
        <w:rPr>
          <w:rFonts w:hint="eastAsia" w:ascii="宋体" w:hAnsi="宋体" w:eastAsia="宋体" w:cs="宋体"/>
          <w:color w:val="auto"/>
          <w:sz w:val="24"/>
          <w:highlight w:val="none"/>
          <w:lang w:eastAsia="zh-CN"/>
        </w:rPr>
        <w:t>(盖公章):</w:t>
      </w:r>
      <w:r>
        <w:rPr>
          <w:rFonts w:hint="eastAsia" w:ascii="宋体" w:hAnsi="宋体" w:eastAsia="宋体" w:cs="宋体"/>
          <w:color w:val="auto"/>
          <w:sz w:val="24"/>
          <w:highlight w:val="none"/>
          <w:u w:val="single"/>
          <w:lang w:eastAsia="zh-CN"/>
        </w:rPr>
        <w:tab/>
      </w:r>
    </w:p>
    <w:p w14:paraId="4A9CC2A8">
      <w:pPr>
        <w:pStyle w:val="17"/>
        <w:spacing w:line="360" w:lineRule="auto"/>
        <w:ind w:left="1080" w:leftChars="257" w:hanging="54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法定代表人或委托代理人（签字或签章）:</w:t>
      </w:r>
      <w:r>
        <w:rPr>
          <w:rFonts w:hint="eastAsia" w:ascii="宋体" w:hAnsi="宋体" w:eastAsia="宋体" w:cs="宋体"/>
          <w:color w:val="auto"/>
          <w:sz w:val="24"/>
          <w:highlight w:val="none"/>
          <w:u w:val="single"/>
          <w:lang w:eastAsia="zh-CN"/>
        </w:rPr>
        <w:tab/>
      </w:r>
      <w:r>
        <w:rPr>
          <w:rFonts w:hint="eastAsia" w:ascii="宋体" w:hAnsi="宋体" w:eastAsia="宋体" w:cs="宋体"/>
          <w:color w:val="auto"/>
          <w:sz w:val="24"/>
          <w:highlight w:val="none"/>
          <w:u w:val="single"/>
          <w:lang w:eastAsia="zh-CN"/>
        </w:rPr>
        <w:t xml:space="preserve">       </w:t>
      </w:r>
    </w:p>
    <w:p w14:paraId="02DF9BB5">
      <w:pPr>
        <w:pStyle w:val="17"/>
        <w:ind w:left="1079" w:leftChars="428" w:hanging="180" w:hangingChars="7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注</w:t>
      </w:r>
    </w:p>
    <w:p w14:paraId="10FD2315">
      <w:pPr>
        <w:pStyle w:val="17"/>
        <w:ind w:left="1079" w:leftChars="428" w:hanging="180" w:hangingChars="75"/>
        <w:rPr>
          <w:rFonts w:hint="eastAsia" w:ascii="宋体" w:hAnsi="宋体" w:eastAsia="宋体" w:cs="宋体"/>
          <w:b/>
          <w:bCs/>
          <w:color w:val="auto"/>
          <w:sz w:val="24"/>
          <w:highlight w:val="none"/>
          <w:lang w:eastAsia="zh-CN"/>
        </w:rPr>
      </w:pPr>
      <w:r>
        <w:rPr>
          <w:rFonts w:hint="eastAsia" w:ascii="宋体" w:hAnsi="宋体" w:eastAsia="宋体" w:cs="宋体"/>
          <w:color w:val="auto"/>
          <w:sz w:val="24"/>
          <w:highlight w:val="none"/>
          <w:lang w:eastAsia="zh-CN"/>
        </w:rPr>
        <w:t>1.为了方便采购人履约验收，本表内容尽可能的填写完善。</w:t>
      </w:r>
    </w:p>
    <w:p w14:paraId="1B185221">
      <w:pPr>
        <w:pageBreakBefore/>
        <w:spacing w:line="307" w:lineRule="auto"/>
        <w:rPr>
          <w:rFonts w:hint="eastAsia" w:ascii="仿宋" w:hAnsi="仿宋" w:eastAsia="仿宋" w:cs="仿宋"/>
          <w:color w:val="auto"/>
          <w:highlight w:val="none"/>
          <w:lang w:eastAsia="zh-CN"/>
        </w:rPr>
        <w:sectPr>
          <w:pgSz w:w="11906" w:h="16839"/>
          <w:pgMar w:top="1219" w:right="1786" w:bottom="1389" w:left="1786" w:header="868" w:footer="1185" w:gutter="0"/>
          <w:pgNumType w:fmt="numberInDash"/>
          <w:cols w:space="720" w:num="1"/>
        </w:sectPr>
      </w:pPr>
    </w:p>
    <w:p w14:paraId="427AAE4C">
      <w:pPr>
        <w:pageBreakBefore/>
        <w:spacing w:line="360" w:lineRule="auto"/>
        <w:rPr>
          <w:rFonts w:ascii="宋体" w:hAnsi="宋体" w:eastAsia="宋体" w:cs="宋体"/>
          <w:color w:val="auto"/>
          <w:highlight w:val="none"/>
          <w:lang w:eastAsia="zh-CN"/>
        </w:rPr>
      </w:pPr>
    </w:p>
    <w:p w14:paraId="2021C7F6">
      <w:pPr>
        <w:spacing w:before="78" w:line="360" w:lineRule="auto"/>
        <w:ind w:left="502"/>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封面：</w:t>
      </w:r>
    </w:p>
    <w:p w14:paraId="46989D09">
      <w:pPr>
        <w:spacing w:line="360" w:lineRule="auto"/>
        <w:rPr>
          <w:rFonts w:ascii="宋体" w:hAnsi="宋体" w:eastAsia="宋体" w:cs="宋体"/>
          <w:color w:val="auto"/>
          <w:highlight w:val="none"/>
          <w:lang w:eastAsia="zh-CN"/>
        </w:rPr>
      </w:pPr>
    </w:p>
    <w:p w14:paraId="317ACF7F">
      <w:pPr>
        <w:spacing w:line="360" w:lineRule="auto"/>
        <w:rPr>
          <w:rFonts w:ascii="宋体" w:hAnsi="宋体" w:eastAsia="宋体" w:cs="宋体"/>
          <w:color w:val="auto"/>
          <w:highlight w:val="none"/>
          <w:lang w:eastAsia="zh-CN"/>
        </w:rPr>
      </w:pPr>
    </w:p>
    <w:p w14:paraId="7F8D1FE9">
      <w:pPr>
        <w:spacing w:line="360" w:lineRule="auto"/>
        <w:rPr>
          <w:rFonts w:ascii="宋体" w:hAnsi="宋体" w:eastAsia="宋体" w:cs="宋体"/>
          <w:color w:val="auto"/>
          <w:highlight w:val="none"/>
          <w:lang w:eastAsia="zh-CN"/>
        </w:rPr>
      </w:pPr>
    </w:p>
    <w:p w14:paraId="0B9EC783">
      <w:pPr>
        <w:spacing w:before="270" w:line="360" w:lineRule="auto"/>
        <w:ind w:right="-30"/>
        <w:jc w:val="center"/>
        <w:rPr>
          <w:rFonts w:ascii="宋体" w:hAnsi="宋体" w:eastAsia="宋体" w:cs="宋体"/>
          <w:b/>
          <w:bCs/>
          <w:color w:val="auto"/>
          <w:spacing w:val="-36"/>
          <w:sz w:val="60"/>
          <w:szCs w:val="60"/>
          <w:highlight w:val="none"/>
          <w:lang w:eastAsia="zh-CN"/>
        </w:rPr>
      </w:pPr>
      <w:r>
        <w:rPr>
          <w:rFonts w:hint="eastAsia" w:ascii="宋体" w:hAnsi="宋体" w:eastAsia="宋体" w:cs="宋体"/>
          <w:b/>
          <w:bCs/>
          <w:color w:val="auto"/>
          <w:spacing w:val="-36"/>
          <w:sz w:val="60"/>
          <w:szCs w:val="60"/>
          <w:highlight w:val="none"/>
          <w:lang w:eastAsia="zh-CN"/>
        </w:rPr>
        <w:t>投标文件</w:t>
      </w:r>
    </w:p>
    <w:p w14:paraId="30EC3EF2">
      <w:pPr>
        <w:spacing w:before="270" w:line="360" w:lineRule="auto"/>
        <w:ind w:right="-30"/>
        <w:jc w:val="center"/>
        <w:rPr>
          <w:rFonts w:ascii="宋体" w:hAnsi="宋体" w:eastAsia="宋体" w:cs="宋体"/>
          <w:color w:val="auto"/>
          <w:sz w:val="40"/>
          <w:szCs w:val="40"/>
          <w:highlight w:val="none"/>
          <w:lang w:eastAsia="zh-CN"/>
        </w:rPr>
      </w:pPr>
      <w:r>
        <w:rPr>
          <w:rFonts w:hint="eastAsia" w:ascii="宋体" w:hAnsi="宋体" w:eastAsia="宋体" w:cs="宋体"/>
          <w:b/>
          <w:bCs/>
          <w:color w:val="auto"/>
          <w:sz w:val="40"/>
          <w:szCs w:val="40"/>
          <w:highlight w:val="none"/>
          <w:lang w:eastAsia="zh-CN"/>
        </w:rPr>
        <w:t>商务技术文件</w:t>
      </w:r>
    </w:p>
    <w:p w14:paraId="34E16DA2">
      <w:pPr>
        <w:spacing w:before="109" w:line="360" w:lineRule="auto"/>
        <w:jc w:val="center"/>
        <w:rPr>
          <w:rFonts w:ascii="宋体" w:hAnsi="宋体" w:eastAsia="宋体" w:cs="宋体"/>
          <w:color w:val="auto"/>
          <w:sz w:val="35"/>
          <w:szCs w:val="35"/>
          <w:highlight w:val="none"/>
          <w:lang w:eastAsia="zh-CN"/>
        </w:rPr>
      </w:pPr>
      <w:r>
        <w:rPr>
          <w:rFonts w:hint="eastAsia" w:ascii="宋体" w:hAnsi="宋体" w:eastAsia="宋体" w:cs="宋体"/>
          <w:color w:val="auto"/>
          <w:spacing w:val="8"/>
          <w:sz w:val="35"/>
          <w:szCs w:val="35"/>
          <w:highlight w:val="none"/>
          <w:lang w:eastAsia="zh-CN"/>
        </w:rPr>
        <w:t>（第</w:t>
      </w:r>
      <w:r>
        <w:rPr>
          <w:rFonts w:hint="eastAsia" w:ascii="宋体" w:hAnsi="宋体" w:eastAsia="宋体" w:cs="宋体"/>
          <w:color w:val="auto"/>
          <w:sz w:val="35"/>
          <w:szCs w:val="35"/>
          <w:highlight w:val="none"/>
          <w:lang w:eastAsia="zh-CN"/>
        </w:rPr>
        <w:t>XX</w:t>
      </w:r>
      <w:r>
        <w:rPr>
          <w:rFonts w:hint="eastAsia" w:ascii="宋体" w:hAnsi="宋体" w:eastAsia="宋体" w:cs="宋体"/>
          <w:color w:val="auto"/>
          <w:spacing w:val="8"/>
          <w:sz w:val="35"/>
          <w:szCs w:val="35"/>
          <w:highlight w:val="none"/>
          <w:lang w:eastAsia="zh-CN"/>
        </w:rPr>
        <w:t>包）【如不分包，请删去本行】</w:t>
      </w:r>
    </w:p>
    <w:p w14:paraId="67B4FFE2">
      <w:pPr>
        <w:spacing w:line="360" w:lineRule="auto"/>
        <w:rPr>
          <w:rFonts w:ascii="宋体" w:hAnsi="宋体" w:eastAsia="宋体" w:cs="宋体"/>
          <w:color w:val="auto"/>
          <w:highlight w:val="none"/>
          <w:lang w:eastAsia="zh-CN"/>
        </w:rPr>
      </w:pPr>
    </w:p>
    <w:p w14:paraId="3E19414B">
      <w:pPr>
        <w:spacing w:line="360" w:lineRule="auto"/>
        <w:rPr>
          <w:rFonts w:ascii="宋体" w:hAnsi="宋体" w:eastAsia="宋体" w:cs="宋体"/>
          <w:color w:val="auto"/>
          <w:highlight w:val="none"/>
          <w:lang w:eastAsia="zh-CN"/>
        </w:rPr>
      </w:pPr>
    </w:p>
    <w:p w14:paraId="77420434">
      <w:pPr>
        <w:spacing w:line="360" w:lineRule="auto"/>
        <w:rPr>
          <w:rFonts w:ascii="宋体" w:hAnsi="宋体" w:eastAsia="宋体" w:cs="宋体"/>
          <w:color w:val="auto"/>
          <w:highlight w:val="none"/>
          <w:lang w:eastAsia="zh-CN"/>
        </w:rPr>
      </w:pPr>
    </w:p>
    <w:p w14:paraId="07F7978A">
      <w:pPr>
        <w:spacing w:line="360" w:lineRule="auto"/>
        <w:rPr>
          <w:rFonts w:ascii="宋体" w:hAnsi="宋体" w:eastAsia="宋体" w:cs="宋体"/>
          <w:color w:val="auto"/>
          <w:highlight w:val="none"/>
          <w:lang w:eastAsia="zh-CN"/>
        </w:rPr>
      </w:pPr>
    </w:p>
    <w:p w14:paraId="78E1A5A4">
      <w:pPr>
        <w:spacing w:line="360" w:lineRule="auto"/>
        <w:rPr>
          <w:rFonts w:ascii="宋体" w:hAnsi="宋体" w:eastAsia="宋体" w:cs="宋体"/>
          <w:color w:val="auto"/>
          <w:highlight w:val="none"/>
          <w:lang w:eastAsia="zh-CN"/>
        </w:rPr>
      </w:pPr>
    </w:p>
    <w:p w14:paraId="67B8BA56">
      <w:pPr>
        <w:spacing w:line="360" w:lineRule="auto"/>
        <w:rPr>
          <w:rFonts w:ascii="宋体" w:hAnsi="宋体" w:eastAsia="宋体" w:cs="宋体"/>
          <w:color w:val="auto"/>
          <w:highlight w:val="none"/>
          <w:lang w:eastAsia="zh-CN"/>
        </w:rPr>
      </w:pPr>
    </w:p>
    <w:p w14:paraId="11BCB4BB">
      <w:pPr>
        <w:spacing w:line="360" w:lineRule="auto"/>
        <w:rPr>
          <w:rFonts w:ascii="宋体" w:hAnsi="宋体" w:eastAsia="宋体" w:cs="宋体"/>
          <w:color w:val="auto"/>
          <w:highlight w:val="none"/>
          <w:lang w:eastAsia="zh-CN"/>
        </w:rPr>
      </w:pPr>
    </w:p>
    <w:p w14:paraId="3D0C290E">
      <w:pPr>
        <w:spacing w:line="360" w:lineRule="auto"/>
        <w:rPr>
          <w:rFonts w:ascii="宋体" w:hAnsi="宋体" w:eastAsia="宋体" w:cs="宋体"/>
          <w:color w:val="auto"/>
          <w:highlight w:val="none"/>
          <w:lang w:eastAsia="zh-CN"/>
        </w:rPr>
      </w:pPr>
    </w:p>
    <w:p w14:paraId="4298B308">
      <w:pPr>
        <w:pStyle w:val="13"/>
        <w:tabs>
          <w:tab w:val="left" w:pos="8364"/>
        </w:tabs>
        <w:spacing w:before="100" w:line="360" w:lineRule="auto"/>
        <w:ind w:left="443" w:right="14" w:firstLine="2"/>
        <w:jc w:val="both"/>
        <w:rPr>
          <w:rFonts w:ascii="宋体" w:hAnsi="宋体" w:eastAsia="宋体" w:cs="宋体"/>
          <w:color w:val="auto"/>
          <w:highlight w:val="none"/>
          <w:u w:val="single"/>
          <w:lang w:eastAsia="zh-CN"/>
        </w:rPr>
      </w:pPr>
      <w:r>
        <w:rPr>
          <w:rFonts w:hint="eastAsia" w:ascii="宋体" w:hAnsi="宋体" w:eastAsia="宋体" w:cs="宋体"/>
          <w:color w:val="auto"/>
          <w:spacing w:val="5"/>
          <w:highlight w:val="none"/>
          <w:lang w:eastAsia="zh-CN"/>
        </w:rPr>
        <w:t>项目编号：</w:t>
      </w:r>
      <w:r>
        <w:rPr>
          <w:rFonts w:hint="eastAsia" w:ascii="宋体" w:hAnsi="宋体" w:eastAsia="宋体" w:cs="宋体"/>
          <w:color w:val="auto"/>
          <w:highlight w:val="none"/>
          <w:u w:val="single"/>
          <w:lang w:eastAsia="zh-CN"/>
        </w:rPr>
        <w:tab/>
      </w:r>
    </w:p>
    <w:p w14:paraId="08859A30">
      <w:pPr>
        <w:pStyle w:val="13"/>
        <w:tabs>
          <w:tab w:val="left" w:pos="8364"/>
        </w:tabs>
        <w:spacing w:before="100" w:line="360" w:lineRule="auto"/>
        <w:ind w:left="443" w:right="14" w:firstLine="2"/>
        <w:jc w:val="both"/>
        <w:rPr>
          <w:rFonts w:ascii="宋体" w:hAnsi="宋体" w:eastAsia="宋体" w:cs="宋体"/>
          <w:color w:val="auto"/>
          <w:highlight w:val="none"/>
          <w:u w:val="single"/>
          <w:lang w:eastAsia="zh-CN"/>
        </w:rPr>
      </w:pPr>
      <w:r>
        <w:rPr>
          <w:rFonts w:hint="eastAsia" w:ascii="宋体" w:hAnsi="宋体" w:eastAsia="宋体" w:cs="宋体"/>
          <w:color w:val="auto"/>
          <w:spacing w:val="5"/>
          <w:highlight w:val="none"/>
          <w:lang w:eastAsia="zh-CN"/>
        </w:rPr>
        <w:t>项目名称：</w:t>
      </w:r>
      <w:r>
        <w:rPr>
          <w:rFonts w:hint="eastAsia" w:ascii="宋体" w:hAnsi="宋体" w:eastAsia="宋体" w:cs="宋体"/>
          <w:color w:val="auto"/>
          <w:highlight w:val="none"/>
          <w:u w:val="single"/>
          <w:lang w:eastAsia="zh-CN"/>
        </w:rPr>
        <w:tab/>
      </w:r>
    </w:p>
    <w:p w14:paraId="4EA1F61F">
      <w:pPr>
        <w:pStyle w:val="13"/>
        <w:tabs>
          <w:tab w:val="left" w:pos="8364"/>
        </w:tabs>
        <w:spacing w:before="100" w:line="360" w:lineRule="auto"/>
        <w:ind w:left="443" w:right="14" w:firstLine="2"/>
        <w:jc w:val="both"/>
        <w:rPr>
          <w:rFonts w:ascii="宋体" w:hAnsi="宋体" w:eastAsia="宋体" w:cs="宋体"/>
          <w:color w:val="auto"/>
          <w:highlight w:val="none"/>
          <w:lang w:eastAsia="zh-CN"/>
        </w:rPr>
      </w:pPr>
      <w:r>
        <w:rPr>
          <w:rFonts w:hint="eastAsia" w:ascii="宋体" w:hAnsi="宋体" w:eastAsia="宋体" w:cs="宋体"/>
          <w:color w:val="auto"/>
          <w:spacing w:val="3"/>
          <w:highlight w:val="none"/>
          <w:lang w:eastAsia="zh-CN"/>
        </w:rPr>
        <w:t>投标人：</w:t>
      </w:r>
      <w:r>
        <w:rPr>
          <w:rFonts w:hint="eastAsia" w:ascii="宋体" w:hAnsi="宋体" w:eastAsia="宋体" w:cs="宋体"/>
          <w:color w:val="auto"/>
          <w:highlight w:val="none"/>
          <w:u w:val="single"/>
          <w:lang w:eastAsia="zh-CN"/>
        </w:rPr>
        <w:tab/>
      </w:r>
    </w:p>
    <w:p w14:paraId="411B9CFD">
      <w:pPr>
        <w:spacing w:line="360" w:lineRule="auto"/>
        <w:rPr>
          <w:rFonts w:ascii="宋体" w:hAnsi="宋体" w:eastAsia="宋体" w:cs="宋体"/>
          <w:color w:val="auto"/>
          <w:highlight w:val="none"/>
          <w:lang w:eastAsia="zh-CN"/>
        </w:rPr>
      </w:pPr>
    </w:p>
    <w:p w14:paraId="3E058239">
      <w:pPr>
        <w:spacing w:line="360" w:lineRule="auto"/>
        <w:rPr>
          <w:rFonts w:ascii="宋体" w:hAnsi="宋体" w:eastAsia="宋体" w:cs="宋体"/>
          <w:color w:val="auto"/>
          <w:highlight w:val="none"/>
          <w:lang w:eastAsia="zh-CN"/>
        </w:rPr>
      </w:pPr>
    </w:p>
    <w:p w14:paraId="567A24EC">
      <w:pPr>
        <w:spacing w:line="360" w:lineRule="auto"/>
        <w:rPr>
          <w:rFonts w:ascii="宋体" w:hAnsi="宋体" w:eastAsia="宋体" w:cs="宋体"/>
          <w:color w:val="auto"/>
          <w:highlight w:val="none"/>
          <w:lang w:eastAsia="zh-CN"/>
        </w:rPr>
      </w:pPr>
    </w:p>
    <w:p w14:paraId="4340584D">
      <w:pPr>
        <w:spacing w:line="360" w:lineRule="auto"/>
        <w:rPr>
          <w:rFonts w:ascii="宋体" w:hAnsi="宋体" w:eastAsia="宋体" w:cs="宋体"/>
          <w:color w:val="auto"/>
          <w:highlight w:val="none"/>
          <w:lang w:eastAsia="zh-CN"/>
        </w:rPr>
      </w:pPr>
    </w:p>
    <w:p w14:paraId="4C928591">
      <w:pPr>
        <w:pStyle w:val="13"/>
        <w:spacing w:before="102" w:line="360" w:lineRule="auto"/>
        <w:ind w:left="3140"/>
        <w:rPr>
          <w:rFonts w:ascii="宋体" w:hAnsi="宋体" w:eastAsia="宋体" w:cs="宋体"/>
          <w:color w:val="auto"/>
          <w:highlight w:val="none"/>
          <w:lang w:eastAsia="zh-CN"/>
        </w:rPr>
      </w:pPr>
      <w:r>
        <w:rPr>
          <w:rFonts w:hint="eastAsia" w:ascii="宋体" w:hAnsi="宋体" w:eastAsia="宋体" w:cs="宋体"/>
          <w:color w:val="auto"/>
          <w:spacing w:val="-6"/>
          <w:highlight w:val="none"/>
          <w:lang w:eastAsia="zh-CN"/>
        </w:rPr>
        <w:t>年  月  日</w:t>
      </w:r>
    </w:p>
    <w:p w14:paraId="6FB24FC0">
      <w:pPr>
        <w:spacing w:line="360" w:lineRule="auto"/>
        <w:rPr>
          <w:rFonts w:ascii="宋体" w:hAnsi="宋体" w:eastAsia="宋体" w:cs="宋体"/>
          <w:color w:val="auto"/>
          <w:highlight w:val="none"/>
          <w:lang w:eastAsia="zh-CN"/>
        </w:rPr>
      </w:pPr>
    </w:p>
    <w:p w14:paraId="428511F1">
      <w:pPr>
        <w:pageBreakBefore/>
        <w:spacing w:before="101" w:line="360" w:lineRule="auto"/>
        <w:ind w:left="3379"/>
        <w:outlineLvl w:val="1"/>
        <w:rPr>
          <w:rFonts w:ascii="宋体" w:hAnsi="宋体" w:eastAsia="宋体" w:cs="宋体"/>
          <w:color w:val="auto"/>
          <w:sz w:val="31"/>
          <w:szCs w:val="31"/>
          <w:highlight w:val="none"/>
          <w:lang w:eastAsia="zh-CN"/>
        </w:rPr>
      </w:pPr>
      <w:bookmarkStart w:id="193" w:name="bookmark256"/>
      <w:bookmarkEnd w:id="193"/>
      <w:bookmarkStart w:id="194" w:name="bookmark255"/>
      <w:bookmarkEnd w:id="194"/>
      <w:bookmarkStart w:id="195" w:name="_Toc186477812"/>
      <w:bookmarkStart w:id="196" w:name="_Toc13720"/>
      <w:r>
        <w:rPr>
          <w:rFonts w:hint="eastAsia" w:ascii="宋体" w:hAnsi="宋体" w:eastAsia="宋体" w:cs="宋体"/>
          <w:b/>
          <w:bCs/>
          <w:color w:val="auto"/>
          <w:spacing w:val="3"/>
          <w:sz w:val="31"/>
          <w:szCs w:val="31"/>
          <w:highlight w:val="none"/>
          <w:lang w:val="en-US" w:eastAsia="zh-CN"/>
        </w:rPr>
        <w:t>三</w:t>
      </w:r>
      <w:r>
        <w:rPr>
          <w:rFonts w:hint="eastAsia" w:ascii="宋体" w:hAnsi="宋体" w:eastAsia="宋体" w:cs="宋体"/>
          <w:b/>
          <w:bCs/>
          <w:color w:val="auto"/>
          <w:spacing w:val="3"/>
          <w:sz w:val="31"/>
          <w:szCs w:val="31"/>
          <w:highlight w:val="none"/>
          <w:lang w:eastAsia="zh-CN"/>
        </w:rPr>
        <w:t>、投标函</w:t>
      </w:r>
      <w:bookmarkEnd w:id="195"/>
      <w:bookmarkEnd w:id="196"/>
    </w:p>
    <w:p w14:paraId="3D0981EE">
      <w:pPr>
        <w:tabs>
          <w:tab w:val="left" w:pos="5580"/>
        </w:tabs>
        <w:spacing w:line="360" w:lineRule="auto"/>
        <w:ind w:left="1080" w:hanging="1080"/>
        <w:rPr>
          <w:rFonts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致：</w:t>
      </w:r>
      <w:r>
        <w:rPr>
          <w:rFonts w:hint="eastAsia" w:ascii="宋体" w:hAnsi="宋体" w:eastAsia="宋体" w:cs="宋体"/>
          <w:color w:val="auto"/>
          <w:sz w:val="24"/>
          <w:highlight w:val="none"/>
          <w:u w:val="single"/>
          <w:lang w:eastAsia="zh-CN"/>
        </w:rPr>
        <w:t xml:space="preserve">（采购人名称） </w:t>
      </w:r>
    </w:p>
    <w:p w14:paraId="2AB458FC">
      <w:pPr>
        <w:pStyle w:val="17"/>
        <w:tabs>
          <w:tab w:val="left" w:pos="5580"/>
        </w:tabs>
        <w:spacing w:line="360" w:lineRule="auto"/>
        <w:ind w:left="2" w:leftChars="1" w:firstLine="480" w:firstLineChars="200"/>
        <w:rPr>
          <w:rFonts w:hAnsi="宋体" w:eastAsia="宋体" w:cs="宋体"/>
          <w:color w:val="auto"/>
          <w:sz w:val="24"/>
          <w:highlight w:val="none"/>
          <w:lang w:eastAsia="zh-CN"/>
        </w:rPr>
      </w:pPr>
      <w:r>
        <w:rPr>
          <w:rFonts w:hint="eastAsia" w:hAnsi="宋体" w:eastAsia="宋体" w:cs="宋体"/>
          <w:color w:val="auto"/>
          <w:sz w:val="24"/>
          <w:highlight w:val="none"/>
          <w:lang w:eastAsia="zh-CN"/>
        </w:rPr>
        <w:t>根据贵方(</w:t>
      </w:r>
      <w:r>
        <w:rPr>
          <w:rFonts w:hint="eastAsia" w:hAnsi="宋体" w:eastAsia="宋体" w:cs="宋体"/>
          <w:i/>
          <w:color w:val="auto"/>
          <w:sz w:val="24"/>
          <w:highlight w:val="none"/>
          <w:u w:val="single"/>
          <w:lang w:eastAsia="zh-CN"/>
        </w:rPr>
        <w:t>项目名称) （项目编号）</w:t>
      </w:r>
      <w:r>
        <w:rPr>
          <w:rFonts w:hint="eastAsia" w:hAnsi="宋体" w:eastAsia="宋体" w:cs="宋体"/>
          <w:color w:val="auto"/>
          <w:sz w:val="24"/>
          <w:highlight w:val="none"/>
          <w:lang w:eastAsia="zh-CN"/>
        </w:rPr>
        <w:t>项目的投标邀请,签字代表(</w:t>
      </w:r>
      <w:r>
        <w:rPr>
          <w:rFonts w:hint="eastAsia" w:hAnsi="宋体" w:eastAsia="宋体" w:cs="宋体"/>
          <w:i/>
          <w:color w:val="auto"/>
          <w:sz w:val="24"/>
          <w:highlight w:val="none"/>
          <w:u w:val="single"/>
          <w:lang w:eastAsia="zh-CN"/>
        </w:rPr>
        <w:t>姓名、职务</w:t>
      </w:r>
      <w:r>
        <w:rPr>
          <w:rFonts w:hint="eastAsia" w:hAnsi="宋体" w:eastAsia="宋体" w:cs="宋体"/>
          <w:color w:val="auto"/>
          <w:sz w:val="24"/>
          <w:highlight w:val="none"/>
          <w:lang w:eastAsia="zh-CN"/>
        </w:rPr>
        <w:t>)经正式授权并代表投标人（</w:t>
      </w:r>
      <w:r>
        <w:rPr>
          <w:rFonts w:hint="eastAsia" w:hAnsi="宋体" w:eastAsia="宋体" w:cs="宋体"/>
          <w:i/>
          <w:color w:val="auto"/>
          <w:sz w:val="24"/>
          <w:highlight w:val="none"/>
          <w:u w:val="single"/>
          <w:lang w:eastAsia="zh-CN"/>
        </w:rPr>
        <w:t>名称、地址</w:t>
      </w:r>
      <w:r>
        <w:rPr>
          <w:rFonts w:hint="eastAsia" w:hAnsi="宋体" w:eastAsia="宋体" w:cs="宋体"/>
          <w:color w:val="auto"/>
          <w:sz w:val="24"/>
          <w:highlight w:val="none"/>
          <w:lang w:eastAsia="zh-CN"/>
        </w:rPr>
        <w:t>）提交电子投标响应文件。</w:t>
      </w:r>
    </w:p>
    <w:p w14:paraId="50FF6DAD">
      <w:pPr>
        <w:pStyle w:val="17"/>
        <w:tabs>
          <w:tab w:val="left" w:pos="5580"/>
        </w:tabs>
        <w:spacing w:line="360" w:lineRule="auto"/>
        <w:ind w:left="2" w:leftChars="1" w:firstLine="480" w:firstLineChars="200"/>
        <w:rPr>
          <w:rFonts w:hAnsi="宋体" w:eastAsia="宋体" w:cs="宋体"/>
          <w:color w:val="auto"/>
          <w:sz w:val="24"/>
          <w:highlight w:val="none"/>
          <w:lang w:eastAsia="zh-CN"/>
        </w:rPr>
      </w:pPr>
      <w:r>
        <w:rPr>
          <w:rFonts w:hint="eastAsia" w:hAnsi="宋体" w:eastAsia="宋体" w:cs="宋体"/>
          <w:color w:val="auto"/>
          <w:sz w:val="24"/>
          <w:highlight w:val="none"/>
          <w:lang w:eastAsia="zh-CN"/>
        </w:rPr>
        <w:t>据此，签字代表宣布同意如下：</w:t>
      </w:r>
    </w:p>
    <w:p w14:paraId="4ACFD78C">
      <w:pPr>
        <w:pStyle w:val="17"/>
        <w:tabs>
          <w:tab w:val="left" w:pos="5580"/>
        </w:tabs>
        <w:spacing w:line="360" w:lineRule="auto"/>
        <w:ind w:left="2" w:leftChars="1" w:firstLine="480" w:firstLineChars="200"/>
        <w:rPr>
          <w:rFonts w:hAnsi="宋体" w:eastAsia="宋体" w:cs="宋体"/>
          <w:color w:val="auto"/>
          <w:sz w:val="24"/>
          <w:highlight w:val="none"/>
          <w:lang w:eastAsia="zh-CN"/>
        </w:rPr>
      </w:pPr>
      <w:r>
        <w:rPr>
          <w:rFonts w:hint="eastAsia" w:hAnsi="宋体" w:eastAsia="宋体" w:cs="宋体"/>
          <w:color w:val="auto"/>
          <w:sz w:val="24"/>
          <w:highlight w:val="none"/>
          <w:lang w:eastAsia="zh-CN"/>
        </w:rPr>
        <w:t>（1）已详细审查全部招标文件，包括所有补充通知（如果有的话），完全理解并同意放弃对这方面有不明、误解的权利。</w:t>
      </w:r>
    </w:p>
    <w:p w14:paraId="45E84A75">
      <w:pPr>
        <w:pStyle w:val="17"/>
        <w:tabs>
          <w:tab w:val="left" w:pos="5580"/>
        </w:tabs>
        <w:spacing w:line="360" w:lineRule="auto"/>
        <w:ind w:left="2" w:leftChars="1" w:firstLine="480" w:firstLineChars="200"/>
        <w:rPr>
          <w:rFonts w:hAnsi="宋体" w:eastAsia="宋体" w:cs="宋体"/>
          <w:color w:val="auto"/>
          <w:sz w:val="24"/>
          <w:highlight w:val="none"/>
          <w:lang w:eastAsia="zh-CN"/>
        </w:rPr>
      </w:pPr>
      <w:r>
        <w:rPr>
          <w:rFonts w:hint="eastAsia" w:hAnsi="宋体" w:eastAsia="宋体" w:cs="宋体"/>
          <w:color w:val="auto"/>
          <w:sz w:val="24"/>
          <w:highlight w:val="none"/>
          <w:lang w:eastAsia="zh-CN"/>
        </w:rPr>
        <w:t>（2）附投标分项报价表中规定的应提供货物及伴随服务的投标总价（包括满足本次招标全部采购需求所应提供的货物以及伴随的服务）详见开标一览表。</w:t>
      </w:r>
    </w:p>
    <w:p w14:paraId="2EF15FC1">
      <w:pPr>
        <w:pStyle w:val="17"/>
        <w:tabs>
          <w:tab w:val="left" w:pos="5580"/>
        </w:tabs>
        <w:spacing w:line="360" w:lineRule="auto"/>
        <w:ind w:left="2" w:leftChars="1" w:firstLine="480" w:firstLineChars="200"/>
        <w:rPr>
          <w:rFonts w:hAnsi="宋体" w:eastAsia="宋体" w:cs="宋体"/>
          <w:color w:val="auto"/>
          <w:sz w:val="24"/>
          <w:highlight w:val="none"/>
          <w:lang w:eastAsia="zh-CN"/>
        </w:rPr>
      </w:pPr>
      <w:r>
        <w:rPr>
          <w:rFonts w:hint="eastAsia" w:hAnsi="宋体" w:eastAsia="宋体" w:cs="宋体"/>
          <w:color w:val="auto"/>
          <w:sz w:val="24"/>
          <w:highlight w:val="none"/>
          <w:lang w:eastAsia="zh-CN"/>
        </w:rPr>
        <w:t>（3）本投标有效期为投标截止时间后 90 日历日。</w:t>
      </w:r>
    </w:p>
    <w:p w14:paraId="539F2B0F">
      <w:pPr>
        <w:pStyle w:val="17"/>
        <w:tabs>
          <w:tab w:val="left" w:pos="5580"/>
        </w:tabs>
        <w:spacing w:line="360" w:lineRule="auto"/>
        <w:ind w:left="2" w:leftChars="1" w:firstLine="480" w:firstLineChars="200"/>
        <w:rPr>
          <w:rFonts w:hAnsi="宋体" w:eastAsia="宋体" w:cs="宋体"/>
          <w:color w:val="auto"/>
          <w:sz w:val="24"/>
          <w:highlight w:val="none"/>
          <w:lang w:eastAsia="zh-CN"/>
        </w:rPr>
      </w:pPr>
      <w:r>
        <w:rPr>
          <w:rFonts w:hint="eastAsia" w:hAnsi="宋体" w:eastAsia="宋体" w:cs="宋体"/>
          <w:color w:val="auto"/>
          <w:sz w:val="24"/>
          <w:highlight w:val="none"/>
          <w:lang w:eastAsia="zh-CN"/>
        </w:rPr>
        <w:t>（4）我方不是为本项目提供整体设计、规范编制或者项目管理、监理、检测等服务的投标人，我方不是采购代理机构的附属机构。</w:t>
      </w:r>
    </w:p>
    <w:p w14:paraId="0B1B0A05">
      <w:pPr>
        <w:pStyle w:val="17"/>
        <w:tabs>
          <w:tab w:val="left" w:pos="5580"/>
        </w:tabs>
        <w:spacing w:line="360" w:lineRule="auto"/>
        <w:ind w:left="2" w:leftChars="1" w:firstLine="480" w:firstLineChars="200"/>
        <w:rPr>
          <w:rFonts w:hAnsi="宋体" w:eastAsia="宋体" w:cs="宋体"/>
          <w:color w:val="auto"/>
          <w:sz w:val="24"/>
          <w:highlight w:val="none"/>
          <w:lang w:eastAsia="zh-CN"/>
        </w:rPr>
      </w:pPr>
      <w:r>
        <w:rPr>
          <w:rFonts w:hint="eastAsia" w:hAnsi="宋体" w:eastAsia="宋体" w:cs="宋体"/>
          <w:color w:val="auto"/>
          <w:sz w:val="24"/>
          <w:highlight w:val="none"/>
          <w:lang w:eastAsia="zh-CN"/>
        </w:rPr>
        <w:t>（5）所报的各分项投标报价在合同履行过程中是固定不变的，不得以任何理由予以变更。</w:t>
      </w:r>
    </w:p>
    <w:p w14:paraId="0E62364F">
      <w:pPr>
        <w:pStyle w:val="17"/>
        <w:tabs>
          <w:tab w:val="left" w:pos="5580"/>
        </w:tabs>
        <w:spacing w:line="360" w:lineRule="auto"/>
        <w:ind w:left="2" w:leftChars="1" w:firstLine="480" w:firstLineChars="200"/>
        <w:rPr>
          <w:rFonts w:hAnsi="宋体" w:eastAsia="宋体" w:cs="宋体"/>
          <w:color w:val="auto"/>
          <w:sz w:val="24"/>
          <w:highlight w:val="none"/>
          <w:lang w:eastAsia="zh-CN"/>
        </w:rPr>
      </w:pPr>
      <w:r>
        <w:rPr>
          <w:rFonts w:hint="eastAsia" w:hAnsi="宋体" w:eastAsia="宋体" w:cs="宋体"/>
          <w:color w:val="auto"/>
          <w:sz w:val="24"/>
          <w:highlight w:val="none"/>
          <w:lang w:eastAsia="zh-CN"/>
        </w:rPr>
        <w:t>（6）接受价格的算术修正。</w:t>
      </w:r>
    </w:p>
    <w:p w14:paraId="5DD69DA7">
      <w:pPr>
        <w:pStyle w:val="17"/>
        <w:tabs>
          <w:tab w:val="left" w:pos="5580"/>
        </w:tabs>
        <w:spacing w:line="360" w:lineRule="auto"/>
        <w:ind w:left="2" w:leftChars="1" w:firstLine="480" w:firstLineChars="200"/>
        <w:rPr>
          <w:rFonts w:hAnsi="宋体" w:eastAsia="宋体" w:cs="宋体"/>
          <w:color w:val="auto"/>
          <w:sz w:val="24"/>
          <w:highlight w:val="none"/>
          <w:lang w:eastAsia="zh-CN"/>
        </w:rPr>
      </w:pPr>
      <w:r>
        <w:rPr>
          <w:rFonts w:hint="eastAsia" w:hAnsi="宋体" w:eastAsia="宋体" w:cs="宋体"/>
          <w:color w:val="auto"/>
          <w:sz w:val="24"/>
          <w:highlight w:val="none"/>
          <w:lang w:eastAsia="zh-CN"/>
        </w:rPr>
        <w:t xml:space="preserve">（7）一旦我方中标，我方保证在贵方约定的时间交付货物。 </w:t>
      </w:r>
    </w:p>
    <w:p w14:paraId="427BAB72">
      <w:pPr>
        <w:pStyle w:val="17"/>
        <w:tabs>
          <w:tab w:val="left" w:pos="5580"/>
        </w:tabs>
        <w:spacing w:line="360" w:lineRule="auto"/>
        <w:ind w:left="2" w:firstLine="480" w:firstLineChars="200"/>
        <w:rPr>
          <w:rFonts w:hAnsi="宋体" w:eastAsia="宋体" w:cs="宋体"/>
          <w:color w:val="auto"/>
          <w:sz w:val="24"/>
          <w:highlight w:val="none"/>
          <w:lang w:eastAsia="zh-CN"/>
        </w:rPr>
      </w:pPr>
      <w:r>
        <w:rPr>
          <w:rFonts w:hint="eastAsia" w:hAnsi="宋体" w:eastAsia="宋体" w:cs="宋体"/>
          <w:color w:val="auto"/>
          <w:sz w:val="24"/>
          <w:highlight w:val="none"/>
          <w:lang w:eastAsia="zh-CN"/>
        </w:rPr>
        <w:t>（8）如果我方中标，非贵方原因，我方保证按照采购人要求的质量标准完成本项目的服务。</w:t>
      </w:r>
    </w:p>
    <w:p w14:paraId="4B42B384">
      <w:pPr>
        <w:pStyle w:val="17"/>
        <w:tabs>
          <w:tab w:val="left" w:pos="5580"/>
        </w:tabs>
        <w:spacing w:line="360" w:lineRule="auto"/>
        <w:ind w:left="2" w:leftChars="1" w:firstLine="480" w:firstLineChars="200"/>
        <w:rPr>
          <w:rFonts w:hAnsi="宋体" w:eastAsia="宋体" w:cs="宋体"/>
          <w:color w:val="auto"/>
          <w:sz w:val="24"/>
          <w:highlight w:val="none"/>
          <w:lang w:eastAsia="zh-CN"/>
        </w:rPr>
      </w:pPr>
      <w:r>
        <w:rPr>
          <w:rFonts w:hint="eastAsia" w:hAnsi="宋体" w:eastAsia="宋体" w:cs="宋体"/>
          <w:color w:val="auto"/>
          <w:sz w:val="24"/>
          <w:highlight w:val="none"/>
          <w:lang w:eastAsia="zh-CN"/>
        </w:rPr>
        <w:t>（9）如果我方中标，我方将按招标文件规定的时间内签订合同。如果违约，我方愿以投标保证金作为赔偿金，同时贵方有权终止我方中标并选择其他投标人。</w:t>
      </w:r>
    </w:p>
    <w:p w14:paraId="00CB9EFF">
      <w:pPr>
        <w:pStyle w:val="17"/>
        <w:tabs>
          <w:tab w:val="left" w:pos="5580"/>
        </w:tabs>
        <w:spacing w:line="360" w:lineRule="auto"/>
        <w:ind w:left="2" w:leftChars="1" w:firstLine="480" w:firstLineChars="200"/>
        <w:rPr>
          <w:rFonts w:hAnsi="宋体" w:eastAsia="宋体" w:cs="宋体"/>
          <w:color w:val="auto"/>
          <w:sz w:val="24"/>
          <w:highlight w:val="none"/>
          <w:lang w:eastAsia="zh-CN"/>
        </w:rPr>
      </w:pPr>
      <w:r>
        <w:rPr>
          <w:rFonts w:hint="eastAsia" w:hAnsi="宋体" w:eastAsia="宋体" w:cs="宋体"/>
          <w:color w:val="auto"/>
          <w:sz w:val="24"/>
          <w:highlight w:val="none"/>
          <w:lang w:eastAsia="zh-CN"/>
        </w:rPr>
        <w:t>（10）如果我方中标，到达现场的货物质量、技术要求与招标文件要求不一致的，质量达不到一次性合格,我方将进行整改直至贵方验收合格为止，并愿以中标价的</w:t>
      </w:r>
      <w:r>
        <w:rPr>
          <w:rFonts w:hint="eastAsia" w:hAnsi="宋体" w:eastAsia="宋体" w:cs="宋体"/>
          <w:color w:val="auto"/>
          <w:sz w:val="24"/>
          <w:highlight w:val="none"/>
          <w:u w:val="single"/>
          <w:lang w:eastAsia="zh-CN"/>
        </w:rPr>
        <w:t>10%</w:t>
      </w:r>
      <w:r>
        <w:rPr>
          <w:rFonts w:hint="eastAsia" w:hAnsi="宋体" w:eastAsia="宋体" w:cs="宋体"/>
          <w:color w:val="auto"/>
          <w:sz w:val="24"/>
          <w:highlight w:val="none"/>
          <w:lang w:eastAsia="zh-CN"/>
        </w:rPr>
        <w:t>作为违约金。</w:t>
      </w:r>
    </w:p>
    <w:p w14:paraId="1F949BD3">
      <w:pPr>
        <w:pStyle w:val="17"/>
        <w:tabs>
          <w:tab w:val="left" w:pos="5580"/>
        </w:tabs>
        <w:spacing w:line="360" w:lineRule="auto"/>
        <w:ind w:left="2" w:leftChars="1" w:firstLine="480" w:firstLineChars="200"/>
        <w:rPr>
          <w:rFonts w:hAnsi="宋体" w:eastAsia="宋体" w:cs="宋体"/>
          <w:color w:val="auto"/>
          <w:sz w:val="24"/>
          <w:highlight w:val="none"/>
          <w:lang w:eastAsia="zh-CN"/>
        </w:rPr>
      </w:pPr>
      <w:r>
        <w:rPr>
          <w:rFonts w:hint="eastAsia" w:hAnsi="宋体" w:eastAsia="宋体" w:cs="宋体"/>
          <w:color w:val="auto"/>
          <w:sz w:val="24"/>
          <w:highlight w:val="none"/>
          <w:lang w:eastAsia="zh-CN"/>
        </w:rPr>
        <w:t>（11）合同履约期限：</w:t>
      </w:r>
      <w:r>
        <w:rPr>
          <w:rFonts w:hint="eastAsia" w:hAnsi="宋体" w:eastAsia="宋体" w:cs="宋体"/>
          <w:color w:val="auto"/>
          <w:sz w:val="24"/>
          <w:highlight w:val="none"/>
          <w:u w:val="single"/>
          <w:lang w:eastAsia="zh-CN"/>
        </w:rPr>
        <w:t xml:space="preserve">     一年         </w:t>
      </w:r>
      <w:r>
        <w:rPr>
          <w:rFonts w:hint="eastAsia" w:hAnsi="宋体" w:eastAsia="宋体" w:cs="宋体"/>
          <w:color w:val="auto"/>
          <w:sz w:val="24"/>
          <w:highlight w:val="none"/>
          <w:lang w:eastAsia="zh-CN"/>
        </w:rPr>
        <w:t>。</w:t>
      </w:r>
    </w:p>
    <w:p w14:paraId="1945ABB9">
      <w:pPr>
        <w:pStyle w:val="17"/>
        <w:widowControl w:val="0"/>
        <w:tabs>
          <w:tab w:val="left" w:pos="5580"/>
        </w:tabs>
        <w:spacing w:line="360" w:lineRule="auto"/>
        <w:ind w:left="2" w:leftChars="1" w:firstLine="480" w:firstLineChars="200"/>
        <w:rPr>
          <w:rFonts w:hAnsi="宋体" w:eastAsia="宋体" w:cs="宋体"/>
          <w:color w:val="auto"/>
          <w:sz w:val="24"/>
          <w:highlight w:val="none"/>
          <w:lang w:eastAsia="zh-CN"/>
        </w:rPr>
      </w:pPr>
      <w:r>
        <w:rPr>
          <w:rFonts w:hint="eastAsia" w:hAnsi="宋体" w:eastAsia="宋体" w:cs="宋体"/>
          <w:color w:val="auto"/>
          <w:sz w:val="24"/>
          <w:highlight w:val="none"/>
          <w:lang w:eastAsia="zh-CN"/>
        </w:rPr>
        <w:t>（12）按照招标文件的规定，在中标后向采购代理机构一次性支付招标代理费。</w:t>
      </w:r>
    </w:p>
    <w:p w14:paraId="199EFF8D">
      <w:pPr>
        <w:pStyle w:val="17"/>
        <w:tabs>
          <w:tab w:val="left" w:pos="5580"/>
        </w:tabs>
        <w:spacing w:line="360" w:lineRule="auto"/>
        <w:ind w:left="2" w:leftChars="1" w:firstLine="480" w:firstLineChars="200"/>
        <w:rPr>
          <w:rFonts w:hAnsi="宋体" w:eastAsia="宋体" w:cs="宋体"/>
          <w:color w:val="auto"/>
          <w:sz w:val="24"/>
          <w:highlight w:val="none"/>
          <w:lang w:eastAsia="zh-CN"/>
        </w:rPr>
      </w:pPr>
      <w:r>
        <w:rPr>
          <w:rFonts w:hint="eastAsia" w:hAnsi="宋体" w:eastAsia="宋体" w:cs="宋体"/>
          <w:color w:val="auto"/>
          <w:sz w:val="24"/>
          <w:highlight w:val="none"/>
          <w:lang w:eastAsia="zh-CN"/>
        </w:rPr>
        <w:t>（13）按照贵方可能的要求，提供与投标有关的一切数据或资料，完全理解贵方不一定接受最低价的投标或收到的任何投标。</w:t>
      </w:r>
    </w:p>
    <w:p w14:paraId="572CFD98">
      <w:pPr>
        <w:pStyle w:val="17"/>
        <w:tabs>
          <w:tab w:val="left" w:pos="5580"/>
        </w:tabs>
        <w:spacing w:line="360" w:lineRule="auto"/>
        <w:ind w:left="2" w:leftChars="1" w:firstLine="480" w:firstLineChars="200"/>
        <w:rPr>
          <w:rFonts w:hAnsi="宋体" w:eastAsia="宋体" w:cs="宋体"/>
          <w:color w:val="auto"/>
          <w:sz w:val="24"/>
          <w:highlight w:val="none"/>
          <w:lang w:eastAsia="zh-CN"/>
        </w:rPr>
      </w:pPr>
      <w:r>
        <w:rPr>
          <w:rFonts w:hint="eastAsia" w:hAnsi="宋体" w:eastAsia="宋体" w:cs="宋体"/>
          <w:color w:val="auto"/>
          <w:sz w:val="24"/>
          <w:highlight w:val="none"/>
          <w:lang w:eastAsia="zh-CN"/>
        </w:rPr>
        <w:t>（14）按照招标文件的规定履行合同责任和义务。</w:t>
      </w:r>
    </w:p>
    <w:p w14:paraId="6FE3B142">
      <w:pPr>
        <w:pStyle w:val="17"/>
        <w:tabs>
          <w:tab w:val="left" w:pos="5580"/>
        </w:tabs>
        <w:spacing w:line="360" w:lineRule="auto"/>
        <w:ind w:left="2" w:leftChars="1" w:firstLine="480" w:firstLineChars="200"/>
        <w:rPr>
          <w:rFonts w:hAnsi="宋体" w:eastAsia="宋体" w:cs="宋体"/>
          <w:color w:val="auto"/>
          <w:sz w:val="24"/>
          <w:highlight w:val="none"/>
          <w:lang w:eastAsia="zh-CN"/>
        </w:rPr>
      </w:pPr>
      <w:r>
        <w:rPr>
          <w:rFonts w:hint="eastAsia" w:hAnsi="宋体" w:eastAsia="宋体" w:cs="宋体"/>
          <w:color w:val="auto"/>
          <w:sz w:val="24"/>
          <w:highlight w:val="none"/>
          <w:lang w:eastAsia="zh-CN"/>
        </w:rPr>
        <w:t>（15）我单位保证提供的投标文件的内容真实有效，如有不符，视为提供虚假资料谋取中标，我单位愿承担相应法律责任。</w:t>
      </w:r>
    </w:p>
    <w:p w14:paraId="74E7C18A">
      <w:pPr>
        <w:pStyle w:val="17"/>
        <w:tabs>
          <w:tab w:val="left" w:pos="5580"/>
        </w:tabs>
        <w:spacing w:line="360" w:lineRule="auto"/>
        <w:ind w:left="2" w:leftChars="1" w:firstLine="480" w:firstLineChars="200"/>
        <w:rPr>
          <w:rFonts w:hAnsi="宋体" w:eastAsia="宋体" w:cs="宋体"/>
          <w:color w:val="auto"/>
          <w:sz w:val="24"/>
          <w:highlight w:val="none"/>
          <w:lang w:eastAsia="zh-CN"/>
        </w:rPr>
      </w:pPr>
      <w:r>
        <w:rPr>
          <w:rFonts w:hint="eastAsia" w:hAnsi="宋体" w:eastAsia="宋体" w:cs="宋体"/>
          <w:color w:val="auto"/>
          <w:sz w:val="24"/>
          <w:highlight w:val="none"/>
          <w:lang w:eastAsia="zh-CN"/>
        </w:rPr>
        <w:t>（16）完全理解并无条件承担中标后不依法与贵方签订合同的法律后果。</w:t>
      </w:r>
    </w:p>
    <w:p w14:paraId="0BB19CE3">
      <w:pPr>
        <w:spacing w:line="360" w:lineRule="auto"/>
        <w:ind w:left="509"/>
        <w:rPr>
          <w:rFonts w:ascii="宋体" w:hAnsi="宋体" w:eastAsia="宋体" w:cs="宋体"/>
          <w:color w:val="auto"/>
          <w:sz w:val="24"/>
          <w:szCs w:val="24"/>
          <w:highlight w:val="none"/>
          <w:lang w:eastAsia="zh-CN"/>
        </w:rPr>
      </w:pPr>
      <w:r>
        <w:rPr>
          <w:rFonts w:hint="eastAsia" w:ascii="宋体" w:hAnsi="宋体" w:eastAsia="宋体" w:cs="宋体"/>
          <w:color w:val="auto"/>
          <w:sz w:val="24"/>
          <w:highlight w:val="none"/>
          <w:lang w:eastAsia="zh-CN"/>
        </w:rPr>
        <w:t>（17）</w:t>
      </w:r>
      <w:r>
        <w:rPr>
          <w:rFonts w:hint="eastAsia" w:ascii="宋体" w:hAnsi="宋体" w:eastAsia="宋体" w:cs="宋体"/>
          <w:color w:val="auto"/>
          <w:spacing w:val="-3"/>
          <w:sz w:val="24"/>
          <w:szCs w:val="24"/>
          <w:highlight w:val="none"/>
          <w:lang w:eastAsia="zh-CN"/>
        </w:rPr>
        <w:t>重要声明：</w:t>
      </w:r>
    </w:p>
    <w:p w14:paraId="7574B07B">
      <w:pPr>
        <w:spacing w:line="360" w:lineRule="auto"/>
        <w:ind w:left="509"/>
        <w:rPr>
          <w:rFonts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1）与我方单位负责人为同一人的其他单位名称：</w:t>
      </w:r>
    </w:p>
    <w:p w14:paraId="0CB07F2B">
      <w:pPr>
        <w:spacing w:line="360" w:lineRule="auto"/>
        <w:ind w:left="859"/>
        <w:rPr>
          <w:rFonts w:ascii="宋体" w:hAnsi="宋体" w:eastAsia="宋体" w:cs="宋体"/>
          <w:color w:val="auto"/>
          <w:sz w:val="24"/>
          <w:szCs w:val="24"/>
          <w:highlight w:val="none"/>
          <w:lang w:eastAsia="zh-CN"/>
        </w:rPr>
      </w:pPr>
      <w:r>
        <w:rPr>
          <w:rFonts w:hint="eastAsia" w:ascii="宋体" w:hAnsi="宋体" w:eastAsia="宋体" w:cs="宋体"/>
          <w:color w:val="auto"/>
          <w:spacing w:val="-12"/>
          <w:sz w:val="24"/>
          <w:szCs w:val="24"/>
          <w:highlight w:val="none"/>
          <w:lang w:eastAsia="zh-CN"/>
        </w:rPr>
        <w:t>□无；□有，具体单位名称为</w:t>
      </w:r>
      <w:r>
        <w:rPr>
          <w:rFonts w:hint="eastAsia" w:ascii="宋体" w:hAnsi="宋体" w:eastAsia="宋体" w:cs="宋体"/>
          <w:color w:val="auto"/>
          <w:spacing w:val="-42"/>
          <w:sz w:val="24"/>
          <w:szCs w:val="24"/>
          <w:highlight w:val="none"/>
          <w:lang w:eastAsia="zh-CN"/>
        </w:rPr>
        <w:t>：</w:t>
      </w:r>
      <w:r>
        <w:rPr>
          <w:rFonts w:hint="eastAsia" w:ascii="宋体" w:hAnsi="宋体" w:eastAsia="宋体" w:cs="宋体"/>
          <w:i/>
          <w:iCs/>
          <w:color w:val="auto"/>
          <w:spacing w:val="-42"/>
          <w:sz w:val="24"/>
          <w:szCs w:val="24"/>
          <w:highlight w:val="none"/>
          <w:u w:val="single"/>
          <w:lang w:eastAsia="zh-CN"/>
        </w:rPr>
        <w:t>（</w:t>
      </w:r>
      <w:r>
        <w:rPr>
          <w:rFonts w:hint="eastAsia" w:ascii="宋体" w:hAnsi="宋体" w:eastAsia="宋体" w:cs="宋体"/>
          <w:i/>
          <w:iCs/>
          <w:color w:val="auto"/>
          <w:spacing w:val="-12"/>
          <w:sz w:val="24"/>
          <w:szCs w:val="24"/>
          <w:highlight w:val="none"/>
          <w:u w:val="single"/>
          <w:lang w:eastAsia="zh-CN"/>
        </w:rPr>
        <w:t>由供应商如实填写</w:t>
      </w:r>
      <w:r>
        <w:rPr>
          <w:rFonts w:hint="eastAsia" w:ascii="宋体" w:hAnsi="宋体" w:eastAsia="宋体" w:cs="宋体"/>
          <w:i/>
          <w:iCs/>
          <w:color w:val="auto"/>
          <w:spacing w:val="-12"/>
          <w:sz w:val="24"/>
          <w:szCs w:val="24"/>
          <w:highlight w:val="none"/>
          <w:lang w:eastAsia="zh-CN"/>
        </w:rPr>
        <w:t>）</w:t>
      </w:r>
      <w:r>
        <w:rPr>
          <w:rFonts w:hint="eastAsia" w:ascii="宋体" w:hAnsi="宋体" w:eastAsia="宋体" w:cs="宋体"/>
          <w:color w:val="auto"/>
          <w:spacing w:val="-12"/>
          <w:sz w:val="24"/>
          <w:szCs w:val="24"/>
          <w:highlight w:val="none"/>
          <w:lang w:eastAsia="zh-CN"/>
        </w:rPr>
        <w:t>。</w:t>
      </w:r>
    </w:p>
    <w:p w14:paraId="6EFAC6F7">
      <w:pPr>
        <w:spacing w:line="360" w:lineRule="auto"/>
        <w:ind w:left="509"/>
        <w:rPr>
          <w:rFonts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2）与我方存在控股、管理关系的其他单位的名称：</w:t>
      </w:r>
    </w:p>
    <w:p w14:paraId="3EDFEA07">
      <w:pPr>
        <w:spacing w:line="360" w:lineRule="auto"/>
        <w:ind w:left="859"/>
        <w:rPr>
          <w:rFonts w:ascii="宋体" w:hAnsi="宋体" w:eastAsia="宋体" w:cs="宋体"/>
          <w:color w:val="auto"/>
          <w:sz w:val="24"/>
          <w:szCs w:val="24"/>
          <w:highlight w:val="none"/>
          <w:lang w:eastAsia="zh-CN"/>
        </w:rPr>
      </w:pPr>
      <w:r>
        <w:rPr>
          <w:rFonts w:hint="eastAsia" w:ascii="宋体" w:hAnsi="宋体" w:eastAsia="宋体" w:cs="宋体"/>
          <w:color w:val="auto"/>
          <w:spacing w:val="-12"/>
          <w:sz w:val="24"/>
          <w:szCs w:val="24"/>
          <w:highlight w:val="none"/>
          <w:lang w:eastAsia="zh-CN"/>
        </w:rPr>
        <w:t>□无；□有，具体单位名称为</w:t>
      </w:r>
      <w:r>
        <w:rPr>
          <w:rFonts w:hint="eastAsia" w:ascii="宋体" w:hAnsi="宋体" w:eastAsia="宋体" w:cs="宋体"/>
          <w:color w:val="auto"/>
          <w:spacing w:val="8"/>
          <w:sz w:val="24"/>
          <w:szCs w:val="24"/>
          <w:highlight w:val="none"/>
          <w:lang w:eastAsia="zh-CN"/>
        </w:rPr>
        <w:t>：</w:t>
      </w:r>
      <w:r>
        <w:rPr>
          <w:rFonts w:hint="eastAsia" w:ascii="宋体" w:hAnsi="宋体" w:eastAsia="宋体" w:cs="宋体"/>
          <w:i/>
          <w:iCs/>
          <w:color w:val="auto"/>
          <w:spacing w:val="8"/>
          <w:sz w:val="24"/>
          <w:szCs w:val="24"/>
          <w:highlight w:val="none"/>
          <w:u w:val="single"/>
          <w:lang w:eastAsia="zh-CN"/>
        </w:rPr>
        <w:t>（</w:t>
      </w:r>
      <w:r>
        <w:rPr>
          <w:rFonts w:hint="eastAsia" w:ascii="宋体" w:hAnsi="宋体" w:eastAsia="宋体" w:cs="宋体"/>
          <w:i/>
          <w:iCs/>
          <w:color w:val="auto"/>
          <w:spacing w:val="-12"/>
          <w:sz w:val="24"/>
          <w:szCs w:val="24"/>
          <w:highlight w:val="none"/>
          <w:u w:val="single"/>
          <w:lang w:eastAsia="zh-CN"/>
        </w:rPr>
        <w:t>由供应商如实填写</w:t>
      </w:r>
      <w:r>
        <w:rPr>
          <w:rFonts w:hint="eastAsia" w:ascii="宋体" w:hAnsi="宋体" w:eastAsia="宋体" w:cs="宋体"/>
          <w:i/>
          <w:iCs/>
          <w:color w:val="auto"/>
          <w:spacing w:val="-12"/>
          <w:sz w:val="24"/>
          <w:szCs w:val="24"/>
          <w:highlight w:val="none"/>
          <w:lang w:eastAsia="zh-CN"/>
        </w:rPr>
        <w:t>）</w:t>
      </w:r>
      <w:r>
        <w:rPr>
          <w:rFonts w:hint="eastAsia" w:ascii="宋体" w:hAnsi="宋体" w:eastAsia="宋体" w:cs="宋体"/>
          <w:color w:val="auto"/>
          <w:spacing w:val="-12"/>
          <w:sz w:val="24"/>
          <w:szCs w:val="24"/>
          <w:highlight w:val="none"/>
          <w:lang w:eastAsia="zh-CN"/>
        </w:rPr>
        <w:t>。</w:t>
      </w:r>
    </w:p>
    <w:p w14:paraId="24BE699A">
      <w:pPr>
        <w:pStyle w:val="17"/>
        <w:tabs>
          <w:tab w:val="left" w:pos="5580"/>
        </w:tabs>
        <w:spacing w:line="360" w:lineRule="auto"/>
        <w:ind w:left="2" w:leftChars="1" w:firstLine="464" w:firstLineChars="200"/>
        <w:rPr>
          <w:rFonts w:hAnsi="宋体" w:eastAsia="宋体" w:cs="宋体"/>
          <w:color w:val="auto"/>
          <w:sz w:val="24"/>
          <w:highlight w:val="none"/>
          <w:lang w:eastAsia="zh-CN"/>
        </w:rPr>
      </w:pPr>
      <w:r>
        <w:rPr>
          <w:rFonts w:hint="eastAsia" w:hAnsi="宋体" w:eastAsia="宋体" w:cs="宋体"/>
          <w:color w:val="auto"/>
          <w:spacing w:val="-4"/>
          <w:sz w:val="24"/>
          <w:szCs w:val="24"/>
          <w:highlight w:val="none"/>
          <w:lang w:eastAsia="zh-CN"/>
        </w:rPr>
        <w:t>（备注：以上2项声明，必须如实选择，选中项用</w:t>
      </w:r>
      <w:r>
        <w:rPr>
          <w:rFonts w:hint="eastAsia" w:hAnsi="宋体" w:eastAsia="宋体" w:cs="宋体"/>
          <w:color w:val="auto"/>
          <w:spacing w:val="-5"/>
          <w:sz w:val="24"/>
          <w:szCs w:val="24"/>
          <w:highlight w:val="none"/>
          <w:lang w:eastAsia="zh-CN"/>
        </w:rPr>
        <w:t>☑表示，未选中项用□表</w:t>
      </w:r>
      <w:r>
        <w:rPr>
          <w:rFonts w:hint="eastAsia" w:hAnsi="宋体" w:eastAsia="宋体" w:cs="宋体"/>
          <w:color w:val="auto"/>
          <w:spacing w:val="-4"/>
          <w:sz w:val="24"/>
          <w:szCs w:val="24"/>
          <w:highlight w:val="none"/>
          <w:lang w:eastAsia="zh-CN"/>
        </w:rPr>
        <w:t>示。①“单位负责人”是指单位法定代表人或者法律、行政法规规定代表单位行</w:t>
      </w:r>
      <w:r>
        <w:rPr>
          <w:rFonts w:hint="eastAsia" w:hAnsi="宋体" w:eastAsia="宋体" w:cs="宋体"/>
          <w:color w:val="auto"/>
          <w:spacing w:val="-3"/>
          <w:sz w:val="24"/>
          <w:szCs w:val="24"/>
          <w:highlight w:val="none"/>
          <w:lang w:eastAsia="zh-CN"/>
        </w:rPr>
        <w:t>使职权的主要负责人。②本条所规定的控股、管理关系仅限于直接控股、直接管理关系，不包括间接的控股或管理关系。③供应商如未如实填报，视为提供虚假</w:t>
      </w:r>
      <w:r>
        <w:rPr>
          <w:rFonts w:hint="eastAsia" w:hAnsi="宋体" w:eastAsia="宋体" w:cs="宋体"/>
          <w:color w:val="auto"/>
          <w:spacing w:val="-6"/>
          <w:sz w:val="24"/>
          <w:szCs w:val="24"/>
          <w:highlight w:val="none"/>
          <w:lang w:eastAsia="zh-CN"/>
        </w:rPr>
        <w:t>材料谋取中标，应承担相应法律责任。）</w:t>
      </w:r>
    </w:p>
    <w:p w14:paraId="2CA960F0">
      <w:pPr>
        <w:pStyle w:val="17"/>
        <w:tabs>
          <w:tab w:val="left" w:pos="5580"/>
        </w:tabs>
        <w:spacing w:line="360" w:lineRule="auto"/>
        <w:ind w:left="359" w:leftChars="68" w:hanging="216" w:hangingChars="90"/>
        <w:rPr>
          <w:rFonts w:hAnsi="宋体" w:eastAsia="宋体" w:cs="宋体"/>
          <w:color w:val="auto"/>
          <w:sz w:val="24"/>
          <w:highlight w:val="none"/>
          <w:lang w:eastAsia="zh-CN"/>
        </w:rPr>
      </w:pPr>
    </w:p>
    <w:p w14:paraId="127B3B80">
      <w:pPr>
        <w:pStyle w:val="17"/>
        <w:tabs>
          <w:tab w:val="left" w:pos="5580"/>
        </w:tabs>
        <w:spacing w:line="360" w:lineRule="auto"/>
        <w:ind w:left="382" w:leftChars="182" w:firstLine="24" w:firstLineChars="10"/>
        <w:rPr>
          <w:rFonts w:hAnsi="宋体" w:eastAsia="宋体" w:cs="宋体"/>
          <w:color w:val="auto"/>
          <w:sz w:val="24"/>
          <w:highlight w:val="none"/>
          <w:lang w:eastAsia="zh-CN"/>
        </w:rPr>
      </w:pPr>
      <w:r>
        <w:rPr>
          <w:rFonts w:hint="eastAsia" w:hAnsi="宋体" w:eastAsia="宋体" w:cs="宋体"/>
          <w:color w:val="auto"/>
          <w:sz w:val="24"/>
          <w:highlight w:val="none"/>
          <w:lang w:eastAsia="zh-CN"/>
        </w:rPr>
        <w:t>与本投标有关的一切正式往来信函请寄：</w:t>
      </w:r>
    </w:p>
    <w:p w14:paraId="3E033F70">
      <w:pPr>
        <w:pStyle w:val="17"/>
        <w:tabs>
          <w:tab w:val="left" w:pos="5580"/>
        </w:tabs>
        <w:spacing w:line="360" w:lineRule="auto"/>
        <w:ind w:left="1080" w:leftChars="257" w:hanging="540"/>
        <w:rPr>
          <w:rFonts w:hAnsi="宋体" w:eastAsia="宋体" w:cs="宋体"/>
          <w:color w:val="auto"/>
          <w:sz w:val="24"/>
          <w:highlight w:val="none"/>
          <w:lang w:eastAsia="zh-CN"/>
        </w:rPr>
      </w:pPr>
      <w:r>
        <w:rPr>
          <w:rFonts w:hint="eastAsia" w:hAnsi="宋体" w:eastAsia="宋体" w:cs="宋体"/>
          <w:color w:val="auto"/>
          <w:sz w:val="24"/>
          <w:highlight w:val="none"/>
          <w:lang w:eastAsia="zh-CN"/>
        </w:rPr>
        <w:t>地址：     传真：</w:t>
      </w:r>
    </w:p>
    <w:p w14:paraId="58C698EE">
      <w:pPr>
        <w:pStyle w:val="17"/>
        <w:tabs>
          <w:tab w:val="left" w:pos="5580"/>
        </w:tabs>
        <w:spacing w:line="360" w:lineRule="auto"/>
        <w:ind w:left="1080" w:leftChars="257" w:hanging="540"/>
        <w:rPr>
          <w:rFonts w:hAnsi="宋体" w:eastAsia="宋体" w:cs="宋体"/>
          <w:b/>
          <w:color w:val="auto"/>
          <w:sz w:val="24"/>
          <w:highlight w:val="none"/>
          <w:lang w:eastAsia="zh-CN"/>
        </w:rPr>
      </w:pPr>
      <w:r>
        <w:rPr>
          <w:rFonts w:hint="eastAsia" w:hAnsi="宋体" w:eastAsia="宋体" w:cs="宋体"/>
          <w:color w:val="auto"/>
          <w:sz w:val="24"/>
          <w:highlight w:val="none"/>
          <w:lang w:eastAsia="zh-CN"/>
        </w:rPr>
        <w:t>电话：     电子函件：</w:t>
      </w:r>
    </w:p>
    <w:p w14:paraId="6456DDC6">
      <w:pPr>
        <w:pStyle w:val="17"/>
        <w:tabs>
          <w:tab w:val="left" w:pos="5580"/>
        </w:tabs>
        <w:spacing w:line="360" w:lineRule="auto"/>
        <w:ind w:left="1080" w:leftChars="257" w:hanging="540"/>
        <w:rPr>
          <w:rFonts w:hAnsi="宋体" w:eastAsia="宋体" w:cs="宋体"/>
          <w:color w:val="auto"/>
          <w:sz w:val="24"/>
          <w:highlight w:val="none"/>
          <w:lang w:eastAsia="zh-CN"/>
        </w:rPr>
      </w:pPr>
    </w:p>
    <w:p w14:paraId="080361A7">
      <w:pPr>
        <w:spacing w:line="360" w:lineRule="auto"/>
        <w:ind w:firstLine="440" w:firstLineChars="200"/>
        <w:rPr>
          <w:rFonts w:ascii="宋体" w:hAnsi="宋体" w:eastAsia="宋体" w:cs="宋体"/>
          <w:sz w:val="22"/>
          <w:highlight w:val="none"/>
          <w:lang w:eastAsia="zh-CN"/>
        </w:rPr>
      </w:pPr>
      <w:r>
        <w:rPr>
          <w:rFonts w:hint="eastAsia" w:ascii="宋体" w:hAnsi="宋体" w:eastAsia="宋体" w:cs="宋体"/>
          <w:sz w:val="22"/>
          <w:highlight w:val="none"/>
          <w:lang w:eastAsia="zh-CN"/>
        </w:rPr>
        <w:t>供应商名称(公章)：____________</w:t>
      </w:r>
    </w:p>
    <w:p w14:paraId="32171E16">
      <w:pPr>
        <w:spacing w:line="360" w:lineRule="auto"/>
        <w:ind w:firstLine="440" w:firstLineChars="200"/>
        <w:rPr>
          <w:rFonts w:ascii="宋体" w:hAnsi="宋体" w:eastAsia="宋体" w:cs="宋体"/>
          <w:sz w:val="22"/>
          <w:highlight w:val="none"/>
          <w:lang w:eastAsia="zh-CN"/>
        </w:rPr>
      </w:pPr>
      <w:r>
        <w:rPr>
          <w:rFonts w:hint="eastAsia" w:ascii="宋体" w:hAnsi="宋体" w:eastAsia="宋体" w:cs="宋体"/>
          <w:sz w:val="22"/>
          <w:highlight w:val="none"/>
          <w:lang w:eastAsia="zh-CN"/>
        </w:rPr>
        <w:t>法定代表人或其授权代表(签字或盖章)：____________</w:t>
      </w:r>
    </w:p>
    <w:p w14:paraId="78721D0D">
      <w:pPr>
        <w:spacing w:line="360" w:lineRule="auto"/>
        <w:ind w:firstLine="440" w:firstLineChars="200"/>
        <w:rPr>
          <w:rFonts w:ascii="宋体" w:hAnsi="宋体" w:eastAsia="宋体" w:cs="宋体"/>
          <w:color w:val="auto"/>
          <w:highlight w:val="none"/>
          <w:lang w:eastAsia="zh-CN"/>
        </w:rPr>
      </w:pPr>
      <w:r>
        <w:rPr>
          <w:rFonts w:hint="eastAsia" w:ascii="宋体" w:hAnsi="宋体" w:eastAsia="宋体" w:cs="宋体"/>
          <w:sz w:val="22"/>
          <w:highlight w:val="none"/>
          <w:lang w:eastAsia="zh-CN"/>
        </w:rPr>
        <w:t>日期：______年____月____日</w:t>
      </w:r>
    </w:p>
    <w:p w14:paraId="3D2A18A4">
      <w:pPr>
        <w:pageBreakBefore/>
        <w:spacing w:before="100" w:line="360" w:lineRule="auto"/>
        <w:ind w:left="1389"/>
        <w:outlineLvl w:val="1"/>
        <w:rPr>
          <w:rFonts w:ascii="宋体" w:hAnsi="宋体" w:eastAsia="宋体" w:cs="宋体"/>
          <w:color w:val="auto"/>
          <w:sz w:val="31"/>
          <w:szCs w:val="31"/>
          <w:highlight w:val="none"/>
          <w:lang w:eastAsia="zh-CN"/>
        </w:rPr>
      </w:pPr>
      <w:bookmarkStart w:id="197" w:name="bookmark258"/>
      <w:bookmarkEnd w:id="197"/>
      <w:bookmarkStart w:id="198" w:name="bookmark265"/>
      <w:bookmarkEnd w:id="198"/>
      <w:bookmarkStart w:id="199" w:name="_Toc27420"/>
      <w:bookmarkStart w:id="200" w:name="_Toc186477814"/>
      <w:r>
        <w:rPr>
          <w:rFonts w:hint="eastAsia" w:ascii="宋体" w:hAnsi="宋体" w:eastAsia="宋体" w:cs="宋体"/>
          <w:b/>
          <w:bCs/>
          <w:color w:val="auto"/>
          <w:spacing w:val="6"/>
          <w:sz w:val="31"/>
          <w:szCs w:val="31"/>
          <w:highlight w:val="none"/>
          <w:lang w:val="en-US" w:eastAsia="zh-CN"/>
        </w:rPr>
        <w:t>四</w:t>
      </w:r>
      <w:r>
        <w:rPr>
          <w:rFonts w:hint="eastAsia" w:ascii="宋体" w:hAnsi="宋体" w:eastAsia="宋体" w:cs="宋体"/>
          <w:b/>
          <w:bCs/>
          <w:color w:val="auto"/>
          <w:spacing w:val="6"/>
          <w:sz w:val="31"/>
          <w:szCs w:val="31"/>
          <w:highlight w:val="none"/>
          <w:lang w:eastAsia="zh-CN"/>
        </w:rPr>
        <w:t>、法定代表人（单位负责人）身份证明</w:t>
      </w:r>
      <w:bookmarkEnd w:id="199"/>
      <w:bookmarkEnd w:id="200"/>
    </w:p>
    <w:p w14:paraId="39A07E64">
      <w:pPr>
        <w:spacing w:line="360" w:lineRule="auto"/>
        <w:rPr>
          <w:rFonts w:ascii="宋体" w:hAnsi="宋体" w:eastAsia="宋体" w:cs="宋体"/>
          <w:color w:val="auto"/>
          <w:highlight w:val="none"/>
          <w:lang w:eastAsia="zh-CN"/>
        </w:rPr>
      </w:pPr>
    </w:p>
    <w:p w14:paraId="7FC96BB0">
      <w:pPr>
        <w:spacing w:before="78" w:line="360" w:lineRule="auto"/>
        <w:ind w:left="1085" w:right="4604" w:hanging="483"/>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致</w:t>
      </w:r>
      <w:r>
        <w:rPr>
          <w:rFonts w:hint="eastAsia" w:ascii="宋体" w:hAnsi="宋体" w:eastAsia="宋体" w:cs="宋体"/>
          <w:color w:val="auto"/>
          <w:spacing w:val="-28"/>
          <w:sz w:val="24"/>
          <w:szCs w:val="24"/>
          <w:highlight w:val="none"/>
          <w:lang w:eastAsia="zh-CN"/>
        </w:rPr>
        <w:t>：（</w:t>
      </w:r>
      <w:r>
        <w:rPr>
          <w:rFonts w:hint="eastAsia" w:ascii="宋体" w:hAnsi="宋体" w:eastAsia="宋体" w:cs="宋体"/>
          <w:color w:val="auto"/>
          <w:spacing w:val="2"/>
          <w:sz w:val="24"/>
          <w:szCs w:val="24"/>
          <w:highlight w:val="none"/>
          <w:lang w:eastAsia="zh-CN"/>
        </w:rPr>
        <w:t>采购人或采购代理机构）</w:t>
      </w:r>
      <w:r>
        <w:rPr>
          <w:rFonts w:hint="eastAsia" w:ascii="宋体" w:hAnsi="宋体" w:eastAsia="宋体" w:cs="宋体"/>
          <w:color w:val="auto"/>
          <w:spacing w:val="-4"/>
          <w:sz w:val="24"/>
          <w:szCs w:val="24"/>
          <w:highlight w:val="none"/>
          <w:lang w:eastAsia="zh-CN"/>
        </w:rPr>
        <w:t>兹证明，</w:t>
      </w:r>
    </w:p>
    <w:p w14:paraId="21806CF9">
      <w:pPr>
        <w:spacing w:before="34" w:line="360" w:lineRule="auto"/>
        <w:ind w:left="602"/>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姓名：性别：年龄：职务：</w:t>
      </w:r>
    </w:p>
    <w:p w14:paraId="1D2ED512">
      <w:pPr>
        <w:spacing w:line="360" w:lineRule="auto"/>
        <w:rPr>
          <w:rFonts w:ascii="宋体" w:hAnsi="宋体" w:eastAsia="宋体" w:cs="宋体"/>
          <w:color w:val="auto"/>
          <w:highlight w:val="none"/>
          <w:lang w:eastAsia="zh-CN"/>
        </w:rPr>
      </w:pPr>
    </w:p>
    <w:p w14:paraId="661BCAFE">
      <w:pPr>
        <w:spacing w:before="79" w:line="360" w:lineRule="auto"/>
        <w:ind w:left="606"/>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系 （供应商名称</w:t>
      </w:r>
      <w:r>
        <w:rPr>
          <w:rFonts w:hint="eastAsia" w:ascii="宋体" w:hAnsi="宋体" w:eastAsia="宋体" w:cs="宋体"/>
          <w:color w:val="auto"/>
          <w:spacing w:val="-1"/>
          <w:sz w:val="24"/>
          <w:szCs w:val="24"/>
          <w:highlight w:val="none"/>
          <w:lang w:eastAsia="zh-CN"/>
        </w:rPr>
        <w:t>）的法定代表人（单位负责人）。</w:t>
      </w:r>
    </w:p>
    <w:p w14:paraId="55035D14">
      <w:pPr>
        <w:spacing w:line="360" w:lineRule="auto"/>
        <w:rPr>
          <w:rFonts w:ascii="宋体" w:hAnsi="宋体" w:eastAsia="宋体" w:cs="宋体"/>
          <w:color w:val="auto"/>
          <w:highlight w:val="none"/>
          <w:lang w:eastAsia="zh-CN"/>
        </w:rPr>
      </w:pPr>
    </w:p>
    <w:p w14:paraId="44E2759F">
      <w:pPr>
        <w:spacing w:before="78" w:line="360" w:lineRule="auto"/>
        <w:ind w:left="620"/>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附：法定代表人（单位负责人）身份证、护照等身份证明文件电子件：</w:t>
      </w:r>
    </w:p>
    <w:p w14:paraId="787A7103">
      <w:pPr>
        <w:spacing w:before="7" w:line="360" w:lineRule="auto"/>
        <w:rPr>
          <w:rFonts w:ascii="宋体" w:hAnsi="宋体" w:eastAsia="宋体" w:cs="宋体"/>
          <w:color w:val="auto"/>
          <w:highlight w:val="none"/>
          <w:lang w:eastAsia="zh-CN"/>
        </w:rPr>
      </w:pPr>
    </w:p>
    <w:p w14:paraId="3FC2F511">
      <w:pPr>
        <w:spacing w:before="7" w:line="360" w:lineRule="auto"/>
        <w:rPr>
          <w:rFonts w:ascii="宋体" w:hAnsi="宋体" w:eastAsia="宋体" w:cs="宋体"/>
          <w:color w:val="auto"/>
          <w:highlight w:val="none"/>
          <w:lang w:eastAsia="zh-CN"/>
        </w:rPr>
      </w:pPr>
    </w:p>
    <w:p w14:paraId="04DE134C">
      <w:pPr>
        <w:spacing w:before="7" w:line="360" w:lineRule="auto"/>
        <w:rPr>
          <w:rFonts w:ascii="宋体" w:hAnsi="宋体" w:eastAsia="宋体" w:cs="宋体"/>
          <w:color w:val="auto"/>
          <w:highlight w:val="none"/>
          <w:lang w:eastAsia="zh-CN"/>
        </w:rPr>
      </w:pPr>
    </w:p>
    <w:p w14:paraId="1FA214B5">
      <w:pPr>
        <w:spacing w:before="6" w:line="360" w:lineRule="auto"/>
        <w:rPr>
          <w:rFonts w:ascii="宋体" w:hAnsi="宋体" w:eastAsia="宋体" w:cs="宋体"/>
          <w:color w:val="auto"/>
          <w:highlight w:val="none"/>
          <w:lang w:eastAsia="zh-CN"/>
        </w:rPr>
      </w:pPr>
    </w:p>
    <w:p w14:paraId="38106023">
      <w:pPr>
        <w:spacing w:before="6" w:line="360" w:lineRule="auto"/>
        <w:rPr>
          <w:rFonts w:ascii="宋体" w:hAnsi="宋体" w:eastAsia="宋体" w:cs="宋体"/>
          <w:color w:val="auto"/>
          <w:highlight w:val="none"/>
          <w:lang w:eastAsia="zh-CN"/>
        </w:rPr>
      </w:pPr>
    </w:p>
    <w:tbl>
      <w:tblPr>
        <w:tblStyle w:val="30"/>
        <w:tblW w:w="8531"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108" w:type="dxa"/>
          <w:bottom w:w="0" w:type="dxa"/>
          <w:right w:w="108" w:type="dxa"/>
        </w:tblCellMar>
      </w:tblPr>
      <w:tblGrid>
        <w:gridCol w:w="8531"/>
      </w:tblGrid>
      <w:tr w14:paraId="4ED83661">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108" w:type="dxa"/>
            <w:bottom w:w="0" w:type="dxa"/>
            <w:right w:w="108" w:type="dxa"/>
          </w:tblCellMar>
        </w:tblPrEx>
        <w:trPr>
          <w:trHeight w:val="3940" w:hRule="atLeast"/>
        </w:trPr>
        <w:tc>
          <w:tcPr>
            <w:tcW w:w="8531" w:type="dxa"/>
          </w:tcPr>
          <w:p w14:paraId="4552F05D">
            <w:pPr>
              <w:spacing w:line="360" w:lineRule="auto"/>
              <w:rPr>
                <w:rFonts w:ascii="宋体" w:hAnsi="宋体" w:eastAsia="宋体" w:cs="宋体"/>
                <w:color w:val="auto"/>
                <w:highlight w:val="none"/>
                <w:lang w:eastAsia="zh-CN"/>
              </w:rPr>
            </w:pPr>
          </w:p>
        </w:tc>
      </w:tr>
    </w:tbl>
    <w:p w14:paraId="78466CC9">
      <w:pPr>
        <w:spacing w:line="360" w:lineRule="auto"/>
        <w:rPr>
          <w:rFonts w:ascii="宋体" w:hAnsi="宋体" w:eastAsia="宋体" w:cs="宋体"/>
          <w:color w:val="auto"/>
          <w:highlight w:val="none"/>
          <w:lang w:eastAsia="zh-CN"/>
        </w:rPr>
      </w:pPr>
    </w:p>
    <w:p w14:paraId="101BA577">
      <w:pPr>
        <w:spacing w:line="360" w:lineRule="auto"/>
        <w:rPr>
          <w:rFonts w:ascii="宋体" w:hAnsi="宋体" w:eastAsia="宋体" w:cs="宋体"/>
          <w:color w:val="auto"/>
          <w:highlight w:val="none"/>
          <w:lang w:eastAsia="zh-CN"/>
        </w:rPr>
      </w:pPr>
    </w:p>
    <w:p w14:paraId="2D0964AB">
      <w:pPr>
        <w:spacing w:line="360" w:lineRule="auto"/>
        <w:ind w:firstLine="440" w:firstLineChars="200"/>
        <w:rPr>
          <w:rFonts w:ascii="宋体" w:hAnsi="宋体" w:eastAsia="宋体" w:cs="宋体"/>
          <w:sz w:val="22"/>
          <w:highlight w:val="none"/>
          <w:lang w:eastAsia="zh-CN"/>
        </w:rPr>
      </w:pPr>
    </w:p>
    <w:p w14:paraId="0D74E386">
      <w:pPr>
        <w:spacing w:line="360" w:lineRule="auto"/>
        <w:ind w:firstLine="440" w:firstLineChars="200"/>
        <w:rPr>
          <w:rFonts w:ascii="宋体" w:hAnsi="宋体" w:eastAsia="宋体" w:cs="宋体"/>
          <w:sz w:val="22"/>
          <w:highlight w:val="none"/>
          <w:lang w:eastAsia="zh-CN"/>
        </w:rPr>
      </w:pPr>
      <w:r>
        <w:rPr>
          <w:rFonts w:hint="eastAsia" w:ascii="宋体" w:hAnsi="宋体" w:eastAsia="宋体" w:cs="宋体"/>
          <w:sz w:val="22"/>
          <w:highlight w:val="none"/>
          <w:lang w:eastAsia="zh-CN"/>
        </w:rPr>
        <w:t>供应商名称(公章)：____________</w:t>
      </w:r>
    </w:p>
    <w:p w14:paraId="34B56237">
      <w:pPr>
        <w:spacing w:line="360" w:lineRule="auto"/>
        <w:ind w:firstLine="440" w:firstLineChars="200"/>
        <w:rPr>
          <w:rFonts w:ascii="宋体" w:hAnsi="宋体" w:eastAsia="宋体" w:cs="宋体"/>
          <w:sz w:val="22"/>
          <w:highlight w:val="none"/>
          <w:lang w:eastAsia="zh-CN"/>
        </w:rPr>
      </w:pPr>
      <w:r>
        <w:rPr>
          <w:rFonts w:hint="eastAsia" w:ascii="宋体" w:hAnsi="宋体" w:eastAsia="宋体" w:cs="宋体"/>
          <w:sz w:val="22"/>
          <w:highlight w:val="none"/>
          <w:lang w:eastAsia="zh-CN"/>
        </w:rPr>
        <w:t>法定代表人或其授权代表(签字或盖章)：____________</w:t>
      </w:r>
    </w:p>
    <w:p w14:paraId="6262E4BD">
      <w:pPr>
        <w:spacing w:line="360" w:lineRule="auto"/>
        <w:ind w:firstLine="440" w:firstLineChars="200"/>
        <w:rPr>
          <w:rFonts w:ascii="宋体" w:hAnsi="宋体" w:eastAsia="宋体" w:cs="宋体"/>
          <w:color w:val="auto"/>
          <w:highlight w:val="none"/>
          <w:lang w:eastAsia="zh-CN"/>
        </w:rPr>
      </w:pPr>
      <w:r>
        <w:rPr>
          <w:rFonts w:hint="eastAsia" w:ascii="宋体" w:hAnsi="宋体" w:eastAsia="宋体" w:cs="宋体"/>
          <w:sz w:val="22"/>
          <w:highlight w:val="none"/>
          <w:lang w:eastAsia="zh-CN"/>
        </w:rPr>
        <w:t>日期：______年____月____日</w:t>
      </w:r>
    </w:p>
    <w:p w14:paraId="6A15CB5D">
      <w:pPr>
        <w:pageBreakBefore/>
        <w:spacing w:before="101" w:line="360" w:lineRule="auto"/>
        <w:ind w:left="3153"/>
        <w:outlineLvl w:val="1"/>
        <w:rPr>
          <w:rFonts w:ascii="宋体" w:hAnsi="宋体" w:eastAsia="宋体" w:cs="宋体"/>
          <w:color w:val="auto"/>
          <w:sz w:val="31"/>
          <w:szCs w:val="31"/>
          <w:highlight w:val="none"/>
          <w:lang w:eastAsia="zh-CN"/>
        </w:rPr>
      </w:pPr>
      <w:bookmarkStart w:id="201" w:name="bookmark260"/>
      <w:bookmarkEnd w:id="201"/>
      <w:bookmarkStart w:id="202" w:name="bookmark259"/>
      <w:bookmarkEnd w:id="202"/>
      <w:bookmarkStart w:id="203" w:name="_Toc16842"/>
      <w:bookmarkStart w:id="204" w:name="_Toc186477815"/>
      <w:r>
        <w:rPr>
          <w:rFonts w:hint="eastAsia" w:ascii="宋体" w:hAnsi="宋体" w:eastAsia="宋体" w:cs="宋体"/>
          <w:b/>
          <w:bCs/>
          <w:color w:val="auto"/>
          <w:spacing w:val="5"/>
          <w:sz w:val="31"/>
          <w:szCs w:val="31"/>
          <w:highlight w:val="none"/>
          <w:lang w:val="en-US" w:eastAsia="zh-CN"/>
        </w:rPr>
        <w:t>五</w:t>
      </w:r>
      <w:r>
        <w:rPr>
          <w:rFonts w:hint="eastAsia" w:ascii="宋体" w:hAnsi="宋体" w:eastAsia="宋体" w:cs="宋体"/>
          <w:b/>
          <w:bCs/>
          <w:color w:val="auto"/>
          <w:spacing w:val="5"/>
          <w:sz w:val="31"/>
          <w:szCs w:val="31"/>
          <w:highlight w:val="none"/>
          <w:lang w:eastAsia="zh-CN"/>
        </w:rPr>
        <w:t>、授权委托书</w:t>
      </w:r>
      <w:bookmarkEnd w:id="203"/>
      <w:bookmarkEnd w:id="204"/>
    </w:p>
    <w:p w14:paraId="7DCAD74C">
      <w:pPr>
        <w:spacing w:before="310" w:line="360" w:lineRule="auto"/>
        <w:ind w:left="122" w:right="37" w:firstLine="480"/>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本人（姓名）系（供应商名称</w:t>
      </w:r>
      <w:r>
        <w:rPr>
          <w:rFonts w:hint="eastAsia" w:ascii="宋体" w:hAnsi="宋体" w:eastAsia="宋体" w:cs="宋体"/>
          <w:color w:val="auto"/>
          <w:spacing w:val="-1"/>
          <w:sz w:val="24"/>
          <w:szCs w:val="24"/>
          <w:highlight w:val="none"/>
          <w:lang w:eastAsia="zh-CN"/>
        </w:rPr>
        <w:t>）的法定代表人（单位负责</w:t>
      </w:r>
      <w:r>
        <w:rPr>
          <w:rFonts w:hint="eastAsia" w:ascii="宋体" w:hAnsi="宋体" w:eastAsia="宋体" w:cs="宋体"/>
          <w:color w:val="auto"/>
          <w:spacing w:val="-3"/>
          <w:sz w:val="24"/>
          <w:szCs w:val="24"/>
          <w:highlight w:val="none"/>
          <w:lang w:eastAsia="zh-CN"/>
        </w:rPr>
        <w:t>人</w:t>
      </w:r>
      <w:r>
        <w:rPr>
          <w:rFonts w:hint="eastAsia" w:ascii="宋体" w:hAnsi="宋体" w:eastAsia="宋体" w:cs="宋体"/>
          <w:color w:val="auto"/>
          <w:spacing w:val="-10"/>
          <w:sz w:val="24"/>
          <w:szCs w:val="24"/>
          <w:highlight w:val="none"/>
          <w:lang w:eastAsia="zh-CN"/>
        </w:rPr>
        <w:t>），</w:t>
      </w:r>
      <w:r>
        <w:rPr>
          <w:rFonts w:hint="eastAsia" w:ascii="宋体" w:hAnsi="宋体" w:eastAsia="宋体" w:cs="宋体"/>
          <w:color w:val="auto"/>
          <w:spacing w:val="-3"/>
          <w:sz w:val="24"/>
          <w:szCs w:val="24"/>
          <w:highlight w:val="none"/>
          <w:lang w:eastAsia="zh-CN"/>
        </w:rPr>
        <w:t>现委托（姓名）为我方代理人。</w:t>
      </w:r>
      <w:r>
        <w:rPr>
          <w:rFonts w:hint="eastAsia" w:ascii="宋体" w:hAnsi="宋体" w:eastAsia="宋体" w:cs="宋体"/>
          <w:color w:val="auto"/>
          <w:spacing w:val="-4"/>
          <w:sz w:val="24"/>
          <w:szCs w:val="24"/>
          <w:highlight w:val="none"/>
          <w:lang w:eastAsia="zh-CN"/>
        </w:rPr>
        <w:t>代理人根据授权，以我方名义签署、</w:t>
      </w:r>
      <w:r>
        <w:rPr>
          <w:rFonts w:hint="eastAsia" w:ascii="宋体" w:hAnsi="宋体" w:eastAsia="宋体" w:cs="宋体"/>
          <w:color w:val="auto"/>
          <w:spacing w:val="-3"/>
          <w:sz w:val="24"/>
          <w:szCs w:val="24"/>
          <w:highlight w:val="none"/>
          <w:lang w:eastAsia="zh-CN"/>
        </w:rPr>
        <w:t>澄清确认、说明、补正、递交、撤回、修改</w:t>
      </w:r>
      <w:r>
        <w:rPr>
          <w:rFonts w:hint="eastAsia" w:ascii="宋体" w:hAnsi="宋体" w:eastAsia="宋体" w:cs="宋体"/>
          <w:color w:val="auto"/>
          <w:spacing w:val="-4"/>
          <w:sz w:val="24"/>
          <w:szCs w:val="24"/>
          <w:highlight w:val="none"/>
          <w:lang w:eastAsia="zh-CN"/>
        </w:rPr>
        <w:t>（项目名称）投标文件、</w:t>
      </w:r>
      <w:r>
        <w:rPr>
          <w:rFonts w:hint="eastAsia" w:ascii="宋体" w:hAnsi="宋体" w:eastAsia="宋体" w:cs="宋体"/>
          <w:color w:val="auto"/>
          <w:spacing w:val="-1"/>
          <w:sz w:val="24"/>
          <w:szCs w:val="24"/>
          <w:highlight w:val="none"/>
          <w:lang w:eastAsia="zh-CN"/>
        </w:rPr>
        <w:t>签订合同和处理有关事宜，其法律后果由我方承担。</w:t>
      </w:r>
    </w:p>
    <w:p w14:paraId="64E5A924">
      <w:pPr>
        <w:spacing w:before="33" w:line="360" w:lineRule="auto"/>
        <w:ind w:left="601" w:right="1023"/>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委托期限：自本授权委托书签署之日起至投标有效期届满之日止。</w:t>
      </w:r>
      <w:r>
        <w:rPr>
          <w:rFonts w:hint="eastAsia" w:ascii="宋体" w:hAnsi="宋体" w:eastAsia="宋体" w:cs="宋体"/>
          <w:color w:val="auto"/>
          <w:spacing w:val="-1"/>
          <w:sz w:val="24"/>
          <w:szCs w:val="24"/>
          <w:highlight w:val="none"/>
          <w:lang w:eastAsia="zh-CN"/>
        </w:rPr>
        <w:t>代理人无转委托权。</w:t>
      </w:r>
    </w:p>
    <w:p w14:paraId="004D8659">
      <w:pPr>
        <w:spacing w:line="360" w:lineRule="auto"/>
        <w:rPr>
          <w:rFonts w:ascii="宋体" w:hAnsi="宋体" w:eastAsia="宋体" w:cs="宋体"/>
          <w:color w:val="auto"/>
          <w:highlight w:val="none"/>
          <w:lang w:eastAsia="zh-CN"/>
        </w:rPr>
      </w:pPr>
    </w:p>
    <w:p w14:paraId="1AC1E1AF">
      <w:pPr>
        <w:spacing w:before="78" w:line="360" w:lineRule="auto"/>
        <w:ind w:left="125"/>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供应商名称（公章)：</w:t>
      </w:r>
    </w:p>
    <w:p w14:paraId="1C0F145D">
      <w:pPr>
        <w:spacing w:line="360" w:lineRule="auto"/>
        <w:rPr>
          <w:rFonts w:ascii="宋体" w:hAnsi="宋体" w:eastAsia="宋体" w:cs="宋体"/>
          <w:color w:val="auto"/>
          <w:highlight w:val="none"/>
          <w:lang w:eastAsia="zh-CN"/>
        </w:rPr>
      </w:pPr>
    </w:p>
    <w:p w14:paraId="47462AAB">
      <w:pPr>
        <w:spacing w:before="78" w:line="360" w:lineRule="auto"/>
        <w:ind w:left="123"/>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法定代表人（单位负责人</w:t>
      </w:r>
      <w:r>
        <w:rPr>
          <w:rFonts w:hint="eastAsia" w:ascii="宋体" w:hAnsi="宋体" w:eastAsia="宋体" w:cs="宋体"/>
          <w:color w:val="auto"/>
          <w:spacing w:val="-10"/>
          <w:sz w:val="24"/>
          <w:szCs w:val="24"/>
          <w:highlight w:val="none"/>
          <w:lang w:eastAsia="zh-CN"/>
        </w:rPr>
        <w:t>）（</w:t>
      </w:r>
      <w:r>
        <w:rPr>
          <w:rFonts w:hint="eastAsia" w:ascii="宋体" w:hAnsi="宋体" w:eastAsia="宋体" w:cs="宋体"/>
          <w:color w:val="auto"/>
          <w:sz w:val="24"/>
          <w:szCs w:val="24"/>
          <w:highlight w:val="none"/>
          <w:lang w:eastAsia="zh-CN"/>
        </w:rPr>
        <w:t>签字或盖章)：</w:t>
      </w:r>
    </w:p>
    <w:p w14:paraId="3740B6A2">
      <w:pPr>
        <w:spacing w:line="360" w:lineRule="auto"/>
        <w:rPr>
          <w:rFonts w:ascii="宋体" w:hAnsi="宋体" w:eastAsia="宋体" w:cs="宋体"/>
          <w:color w:val="auto"/>
          <w:highlight w:val="none"/>
          <w:lang w:eastAsia="zh-CN"/>
        </w:rPr>
      </w:pPr>
    </w:p>
    <w:p w14:paraId="6EB3ACBC">
      <w:pPr>
        <w:spacing w:before="79" w:line="360" w:lineRule="auto"/>
        <w:ind w:left="121"/>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委托代理人（签字或盖章)：    联系电话：</w:t>
      </w:r>
    </w:p>
    <w:p w14:paraId="6E6652CD">
      <w:pPr>
        <w:spacing w:line="360" w:lineRule="auto"/>
        <w:rPr>
          <w:rFonts w:ascii="宋体" w:hAnsi="宋体" w:eastAsia="宋体" w:cs="宋体"/>
          <w:color w:val="auto"/>
          <w:highlight w:val="none"/>
          <w:lang w:eastAsia="zh-CN"/>
        </w:rPr>
      </w:pPr>
    </w:p>
    <w:p w14:paraId="18E57732">
      <w:pPr>
        <w:spacing w:before="78" w:line="360" w:lineRule="auto"/>
        <w:ind w:left="163"/>
        <w:rPr>
          <w:rFonts w:ascii="宋体" w:hAnsi="宋体" w:eastAsia="宋体" w:cs="宋体"/>
          <w:color w:val="auto"/>
          <w:sz w:val="24"/>
          <w:szCs w:val="24"/>
          <w:highlight w:val="none"/>
          <w:lang w:eastAsia="zh-CN"/>
        </w:rPr>
      </w:pPr>
      <w:r>
        <w:rPr>
          <w:rFonts w:hint="eastAsia" w:ascii="宋体" w:hAnsi="宋体" w:eastAsia="宋体" w:cs="宋体"/>
          <w:color w:val="auto"/>
          <w:spacing w:val="-14"/>
          <w:sz w:val="24"/>
          <w:szCs w:val="24"/>
          <w:highlight w:val="none"/>
          <w:lang w:eastAsia="zh-CN"/>
        </w:rPr>
        <w:t>日期：年月日</w:t>
      </w:r>
    </w:p>
    <w:p w14:paraId="518B37E6">
      <w:pPr>
        <w:spacing w:line="360" w:lineRule="auto"/>
        <w:rPr>
          <w:rFonts w:ascii="宋体" w:hAnsi="宋体" w:eastAsia="宋体" w:cs="宋体"/>
          <w:color w:val="auto"/>
          <w:highlight w:val="none"/>
          <w:lang w:eastAsia="zh-CN"/>
        </w:rPr>
      </w:pPr>
    </w:p>
    <w:p w14:paraId="63EE2B92">
      <w:pPr>
        <w:spacing w:before="79" w:line="360" w:lineRule="auto"/>
        <w:ind w:left="140"/>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附：法定代表人及委托代理人身份证明文件电子件：</w:t>
      </w:r>
    </w:p>
    <w:p w14:paraId="4DB2F512">
      <w:pPr>
        <w:spacing w:line="360" w:lineRule="auto"/>
        <w:rPr>
          <w:rFonts w:ascii="宋体" w:hAnsi="宋体" w:eastAsia="宋体" w:cs="宋体"/>
          <w:color w:val="auto"/>
          <w:highlight w:val="none"/>
          <w:lang w:eastAsia="zh-CN"/>
        </w:rPr>
      </w:pPr>
    </w:p>
    <w:tbl>
      <w:tblPr>
        <w:tblStyle w:val="30"/>
        <w:tblW w:w="8531"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108" w:type="dxa"/>
          <w:bottom w:w="0" w:type="dxa"/>
          <w:right w:w="108" w:type="dxa"/>
        </w:tblCellMar>
      </w:tblPr>
      <w:tblGrid>
        <w:gridCol w:w="8531"/>
      </w:tblGrid>
      <w:tr w14:paraId="05085196">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108" w:type="dxa"/>
            <w:bottom w:w="0" w:type="dxa"/>
            <w:right w:w="108" w:type="dxa"/>
          </w:tblCellMar>
        </w:tblPrEx>
        <w:trPr>
          <w:trHeight w:val="2030" w:hRule="atLeast"/>
        </w:trPr>
        <w:tc>
          <w:tcPr>
            <w:tcW w:w="8531" w:type="dxa"/>
          </w:tcPr>
          <w:p w14:paraId="6F3EBA41">
            <w:pPr>
              <w:spacing w:line="360" w:lineRule="auto"/>
              <w:rPr>
                <w:rFonts w:ascii="宋体" w:hAnsi="宋体" w:eastAsia="宋体" w:cs="宋体"/>
                <w:color w:val="auto"/>
                <w:highlight w:val="none"/>
                <w:lang w:eastAsia="zh-CN"/>
              </w:rPr>
            </w:pPr>
          </w:p>
        </w:tc>
      </w:tr>
    </w:tbl>
    <w:p w14:paraId="2897C022">
      <w:pPr>
        <w:spacing w:before="115" w:line="360" w:lineRule="auto"/>
        <w:ind w:left="605"/>
        <w:rPr>
          <w:rFonts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eastAsia="zh-CN"/>
        </w:rPr>
        <w:t>说明：</w:t>
      </w:r>
    </w:p>
    <w:p w14:paraId="58CB9821">
      <w:pPr>
        <w:spacing w:before="182" w:line="360" w:lineRule="auto"/>
        <w:ind w:left="126" w:right="18" w:firstLine="492"/>
        <w:rPr>
          <w:rFonts w:ascii="宋体" w:hAnsi="宋体" w:eastAsia="宋体" w:cs="宋体"/>
          <w:color w:val="auto"/>
          <w:sz w:val="24"/>
          <w:szCs w:val="24"/>
          <w:highlight w:val="none"/>
          <w:lang w:eastAsia="zh-CN"/>
        </w:rPr>
      </w:pPr>
      <w:r>
        <w:rPr>
          <w:rFonts w:hint="eastAsia" w:ascii="宋体" w:hAnsi="宋体" w:eastAsia="宋体" w:cs="宋体"/>
          <w:color w:val="auto"/>
          <w:spacing w:val="-8"/>
          <w:sz w:val="24"/>
          <w:szCs w:val="24"/>
          <w:highlight w:val="none"/>
          <w:lang w:eastAsia="zh-CN"/>
        </w:rPr>
        <w:t>1.若投标人为事业单位或其他组织或分支机构，则法定代表人（单位负责人）</w:t>
      </w:r>
      <w:r>
        <w:rPr>
          <w:rFonts w:hint="eastAsia" w:ascii="宋体" w:hAnsi="宋体" w:eastAsia="宋体" w:cs="宋体"/>
          <w:color w:val="auto"/>
          <w:spacing w:val="-2"/>
          <w:sz w:val="24"/>
          <w:szCs w:val="24"/>
          <w:highlight w:val="none"/>
          <w:lang w:eastAsia="zh-CN"/>
        </w:rPr>
        <w:t>处的签署人可为单位负责人。</w:t>
      </w:r>
    </w:p>
    <w:p w14:paraId="305638C9">
      <w:pPr>
        <w:spacing w:before="35" w:line="360" w:lineRule="auto"/>
        <w:ind w:left="123" w:right="117" w:firstLine="481"/>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2.若投标文件中签字之处均为法定代表人（单位负责人）本人签</w:t>
      </w:r>
      <w:r>
        <w:rPr>
          <w:rFonts w:hint="eastAsia" w:ascii="宋体" w:hAnsi="宋体" w:eastAsia="宋体" w:cs="宋体"/>
          <w:color w:val="auto"/>
          <w:spacing w:val="-4"/>
          <w:sz w:val="24"/>
          <w:szCs w:val="24"/>
          <w:highlight w:val="none"/>
          <w:lang w:eastAsia="zh-CN"/>
        </w:rPr>
        <w:t>署，则可不</w:t>
      </w:r>
      <w:r>
        <w:rPr>
          <w:rFonts w:hint="eastAsia" w:ascii="宋体" w:hAnsi="宋体" w:eastAsia="宋体" w:cs="宋体"/>
          <w:color w:val="auto"/>
          <w:sz w:val="24"/>
          <w:szCs w:val="24"/>
          <w:highlight w:val="none"/>
          <w:lang w:eastAsia="zh-CN"/>
        </w:rPr>
        <w:t>提供本《授权委托书》，但须提供《法定代表人（</w:t>
      </w:r>
      <w:r>
        <w:rPr>
          <w:rFonts w:hint="eastAsia" w:ascii="宋体" w:hAnsi="宋体" w:eastAsia="宋体" w:cs="宋体"/>
          <w:color w:val="auto"/>
          <w:spacing w:val="-1"/>
          <w:sz w:val="24"/>
          <w:szCs w:val="24"/>
          <w:highlight w:val="none"/>
          <w:lang w:eastAsia="zh-CN"/>
        </w:rPr>
        <w:t>单位负责人）身份证明》。</w:t>
      </w:r>
    </w:p>
    <w:p w14:paraId="7D838FE3">
      <w:pPr>
        <w:spacing w:before="35" w:line="360" w:lineRule="auto"/>
        <w:ind w:left="606"/>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3.投标人为自然人的情形，可不提供本《授权委托书》。</w:t>
      </w:r>
    </w:p>
    <w:p w14:paraId="53B5E1C9">
      <w:pPr>
        <w:spacing w:before="184" w:line="360" w:lineRule="auto"/>
        <w:ind w:left="121" w:right="117" w:firstLine="480"/>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4.投标人应随本《授权委托书》同时提供法定代表人（单位负责人）及</w:t>
      </w:r>
      <w:r>
        <w:rPr>
          <w:rFonts w:hint="eastAsia" w:ascii="宋体" w:hAnsi="宋体" w:eastAsia="宋体" w:cs="宋体"/>
          <w:color w:val="auto"/>
          <w:spacing w:val="-4"/>
          <w:sz w:val="24"/>
          <w:szCs w:val="24"/>
          <w:highlight w:val="none"/>
          <w:lang w:eastAsia="zh-CN"/>
        </w:rPr>
        <w:t>委托</w:t>
      </w:r>
      <w:r>
        <w:rPr>
          <w:rFonts w:hint="eastAsia" w:ascii="宋体" w:hAnsi="宋体" w:eastAsia="宋体" w:cs="宋体"/>
          <w:color w:val="auto"/>
          <w:spacing w:val="-3"/>
          <w:sz w:val="24"/>
          <w:szCs w:val="24"/>
          <w:highlight w:val="none"/>
          <w:lang w:eastAsia="zh-CN"/>
        </w:rPr>
        <w:t>代理人的有效的身份证、护照等身份证明文件电子件。提供身份证的，应同时提</w:t>
      </w:r>
      <w:r>
        <w:rPr>
          <w:rFonts w:hint="eastAsia" w:ascii="宋体" w:hAnsi="宋体" w:eastAsia="宋体" w:cs="宋体"/>
          <w:color w:val="auto"/>
          <w:spacing w:val="-2"/>
          <w:sz w:val="24"/>
          <w:szCs w:val="24"/>
          <w:highlight w:val="none"/>
          <w:lang w:eastAsia="zh-CN"/>
        </w:rPr>
        <w:t>供身份证</w:t>
      </w:r>
      <w:r>
        <w:rPr>
          <w:rFonts w:hint="eastAsia" w:ascii="宋体" w:hAnsi="宋体" w:eastAsia="宋体" w:cs="宋体"/>
          <w:b/>
          <w:bCs/>
          <w:color w:val="auto"/>
          <w:spacing w:val="-2"/>
          <w:sz w:val="24"/>
          <w:szCs w:val="24"/>
          <w:highlight w:val="none"/>
          <w:lang w:eastAsia="zh-CN"/>
        </w:rPr>
        <w:t>双面</w:t>
      </w:r>
      <w:r>
        <w:rPr>
          <w:rFonts w:hint="eastAsia" w:ascii="宋体" w:hAnsi="宋体" w:eastAsia="宋体" w:cs="宋体"/>
          <w:color w:val="auto"/>
          <w:spacing w:val="-2"/>
          <w:sz w:val="24"/>
          <w:szCs w:val="24"/>
          <w:highlight w:val="none"/>
          <w:lang w:eastAsia="zh-CN"/>
        </w:rPr>
        <w:t>电子件。</w:t>
      </w:r>
    </w:p>
    <w:p w14:paraId="558E4221">
      <w:pPr>
        <w:pageBreakBefore/>
        <w:spacing w:before="101" w:line="360" w:lineRule="auto"/>
        <w:ind w:left="1639"/>
        <w:outlineLvl w:val="1"/>
        <w:rPr>
          <w:rFonts w:ascii="宋体" w:hAnsi="宋体" w:eastAsia="宋体" w:cs="宋体"/>
          <w:color w:val="auto"/>
          <w:sz w:val="31"/>
          <w:szCs w:val="31"/>
          <w:highlight w:val="none"/>
          <w:lang w:eastAsia="zh-CN"/>
        </w:rPr>
      </w:pPr>
      <w:bookmarkStart w:id="205" w:name="bookmark264"/>
      <w:bookmarkEnd w:id="205"/>
      <w:bookmarkStart w:id="206" w:name="bookmark262"/>
      <w:bookmarkEnd w:id="206"/>
      <w:bookmarkStart w:id="207" w:name="bookmark266"/>
      <w:bookmarkEnd w:id="207"/>
      <w:bookmarkStart w:id="208" w:name="_Toc9027"/>
      <w:bookmarkStart w:id="209" w:name="_Toc186477816"/>
      <w:r>
        <w:rPr>
          <w:rFonts w:hint="eastAsia" w:ascii="宋体" w:hAnsi="宋体" w:eastAsia="宋体" w:cs="宋体"/>
          <w:b/>
          <w:bCs/>
          <w:color w:val="auto"/>
          <w:spacing w:val="5"/>
          <w:sz w:val="31"/>
          <w:szCs w:val="31"/>
          <w:highlight w:val="none"/>
          <w:lang w:val="en-US" w:eastAsia="zh-CN"/>
        </w:rPr>
        <w:t>六</w:t>
      </w:r>
      <w:r>
        <w:rPr>
          <w:rFonts w:hint="eastAsia" w:ascii="宋体" w:hAnsi="宋体" w:eastAsia="宋体" w:cs="宋体"/>
          <w:b/>
          <w:bCs/>
          <w:color w:val="auto"/>
          <w:spacing w:val="5"/>
          <w:sz w:val="31"/>
          <w:szCs w:val="31"/>
          <w:highlight w:val="none"/>
          <w:lang w:eastAsia="zh-CN"/>
        </w:rPr>
        <w:t>、政府采购投标人廉洁自律承诺书</w:t>
      </w:r>
      <w:bookmarkEnd w:id="208"/>
      <w:bookmarkEnd w:id="209"/>
    </w:p>
    <w:p w14:paraId="725EA70C">
      <w:pPr>
        <w:spacing w:line="360" w:lineRule="auto"/>
        <w:rPr>
          <w:rFonts w:ascii="宋体" w:hAnsi="宋体" w:eastAsia="宋体" w:cs="宋体"/>
          <w:color w:val="auto"/>
          <w:highlight w:val="none"/>
          <w:lang w:eastAsia="zh-CN"/>
        </w:rPr>
      </w:pPr>
    </w:p>
    <w:p w14:paraId="43865D2E">
      <w:pPr>
        <w:spacing w:before="78" w:line="360" w:lineRule="auto"/>
        <w:ind w:left="34"/>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（采购人）、（采购代理机构</w:t>
      </w:r>
      <w:r>
        <w:rPr>
          <w:rFonts w:hint="eastAsia" w:ascii="宋体" w:hAnsi="宋体" w:eastAsia="宋体" w:cs="宋体"/>
          <w:color w:val="auto"/>
          <w:spacing w:val="2"/>
          <w:sz w:val="24"/>
          <w:szCs w:val="24"/>
          <w:highlight w:val="none"/>
          <w:lang w:eastAsia="zh-CN"/>
        </w:rPr>
        <w:t>）：</w:t>
      </w:r>
    </w:p>
    <w:p w14:paraId="6CE4FDF7">
      <w:pPr>
        <w:spacing w:before="259" w:line="360" w:lineRule="auto"/>
        <w:ind w:left="25" w:right="178" w:firstLine="481"/>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我单位响应你单位项目招标要求参加投标。在这次投</w:t>
      </w:r>
      <w:r>
        <w:rPr>
          <w:rFonts w:hint="eastAsia" w:ascii="宋体" w:hAnsi="宋体" w:eastAsia="宋体" w:cs="宋体"/>
          <w:color w:val="auto"/>
          <w:spacing w:val="-4"/>
          <w:sz w:val="24"/>
          <w:szCs w:val="24"/>
          <w:highlight w:val="none"/>
          <w:lang w:eastAsia="zh-CN"/>
        </w:rPr>
        <w:t>标过程中和中标后，我</w:t>
      </w:r>
      <w:r>
        <w:rPr>
          <w:rFonts w:hint="eastAsia" w:ascii="宋体" w:hAnsi="宋体" w:eastAsia="宋体" w:cs="宋体"/>
          <w:color w:val="auto"/>
          <w:spacing w:val="-1"/>
          <w:sz w:val="24"/>
          <w:szCs w:val="24"/>
          <w:highlight w:val="none"/>
          <w:lang w:eastAsia="zh-CN"/>
        </w:rPr>
        <w:t>们将严格遵守国家法律法规要求，并郑重承诺：</w:t>
      </w:r>
    </w:p>
    <w:p w14:paraId="27E5F679">
      <w:pPr>
        <w:spacing w:before="35" w:line="360" w:lineRule="auto"/>
        <w:ind w:left="25" w:right="122" w:firstLine="483"/>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一、不向项目有关人员及部门赠送礼金礼物、有价证券、回扣以及中介费、</w:t>
      </w:r>
      <w:r>
        <w:rPr>
          <w:rFonts w:hint="eastAsia" w:ascii="宋体" w:hAnsi="宋体" w:eastAsia="宋体" w:cs="宋体"/>
          <w:color w:val="auto"/>
          <w:spacing w:val="-1"/>
          <w:sz w:val="24"/>
          <w:szCs w:val="24"/>
          <w:highlight w:val="none"/>
          <w:lang w:eastAsia="zh-CN"/>
        </w:rPr>
        <w:t>介绍费、咨询费等好处费；</w:t>
      </w:r>
    </w:p>
    <w:p w14:paraId="60D83300">
      <w:pPr>
        <w:spacing w:before="184" w:line="360" w:lineRule="auto"/>
        <w:ind w:firstLine="476" w:firstLineChars="200"/>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二、不为项目有关人员及部门报销应由你方单位或个人支付的费用；</w:t>
      </w:r>
    </w:p>
    <w:p w14:paraId="4EF52AE9">
      <w:pPr>
        <w:spacing w:before="182" w:line="360" w:lineRule="auto"/>
        <w:ind w:firstLine="460" w:firstLineChars="200"/>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eastAsia="zh-CN"/>
        </w:rPr>
        <w:t>三、不向项目有关人员及部门提供有可能影响公正的宴请和健身娱乐等活动；</w:t>
      </w:r>
    </w:p>
    <w:p w14:paraId="49B38A6F">
      <w:pPr>
        <w:spacing w:before="183" w:line="360" w:lineRule="auto"/>
        <w:ind w:firstLine="476" w:firstLineChars="200"/>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四、不为项目有关人员及部门出国（境）、旅游</w:t>
      </w:r>
      <w:r>
        <w:rPr>
          <w:rFonts w:hint="eastAsia" w:ascii="宋体" w:hAnsi="宋体" w:eastAsia="宋体" w:cs="宋体"/>
          <w:color w:val="auto"/>
          <w:spacing w:val="-2"/>
          <w:sz w:val="24"/>
          <w:szCs w:val="24"/>
          <w:highlight w:val="none"/>
          <w:lang w:eastAsia="zh-CN"/>
        </w:rPr>
        <w:t>等提供方便；</w:t>
      </w:r>
    </w:p>
    <w:p w14:paraId="6EBDFABA">
      <w:pPr>
        <w:spacing w:before="183" w:line="360" w:lineRule="auto"/>
        <w:ind w:left="25" w:right="178" w:firstLine="483"/>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五、不为项目有关人员个人装修住房、婚丧嫁娶</w:t>
      </w:r>
      <w:r>
        <w:rPr>
          <w:rFonts w:hint="eastAsia" w:ascii="宋体" w:hAnsi="宋体" w:eastAsia="宋体" w:cs="宋体"/>
          <w:color w:val="auto"/>
          <w:spacing w:val="-4"/>
          <w:sz w:val="24"/>
          <w:szCs w:val="24"/>
          <w:highlight w:val="none"/>
          <w:lang w:eastAsia="zh-CN"/>
        </w:rPr>
        <w:t>、配偶子女工作安排等提供好处；</w:t>
      </w:r>
    </w:p>
    <w:p w14:paraId="5072EF33">
      <w:pPr>
        <w:spacing w:before="182" w:line="360" w:lineRule="auto"/>
        <w:ind w:left="31" w:right="178" w:firstLine="476"/>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六、严格遵守《中华人民共和国政府采购法》《中华</w:t>
      </w:r>
      <w:r>
        <w:rPr>
          <w:rFonts w:hint="eastAsia" w:ascii="宋体" w:hAnsi="宋体" w:eastAsia="宋体" w:cs="宋体"/>
          <w:color w:val="auto"/>
          <w:spacing w:val="-4"/>
          <w:sz w:val="24"/>
          <w:szCs w:val="24"/>
          <w:highlight w:val="none"/>
          <w:lang w:eastAsia="zh-CN"/>
        </w:rPr>
        <w:t>人民共和国政府采购法</w:t>
      </w:r>
      <w:r>
        <w:rPr>
          <w:rFonts w:hint="eastAsia" w:ascii="宋体" w:hAnsi="宋体" w:eastAsia="宋体" w:cs="宋体"/>
          <w:color w:val="auto"/>
          <w:spacing w:val="-3"/>
          <w:sz w:val="24"/>
          <w:szCs w:val="24"/>
          <w:highlight w:val="none"/>
          <w:lang w:eastAsia="zh-CN"/>
        </w:rPr>
        <w:t>实施条例》《中华人民共和国民法典》等法律法规，诚实守信</w:t>
      </w:r>
      <w:r>
        <w:rPr>
          <w:rFonts w:hint="eastAsia" w:ascii="宋体" w:hAnsi="宋体" w:eastAsia="宋体" w:cs="宋体"/>
          <w:color w:val="auto"/>
          <w:spacing w:val="-4"/>
          <w:sz w:val="24"/>
          <w:szCs w:val="24"/>
          <w:highlight w:val="none"/>
          <w:lang w:eastAsia="zh-CN"/>
        </w:rPr>
        <w:t>，合法经营，坚决</w:t>
      </w:r>
      <w:r>
        <w:rPr>
          <w:rFonts w:hint="eastAsia" w:ascii="宋体" w:hAnsi="宋体" w:eastAsia="宋体" w:cs="宋体"/>
          <w:color w:val="auto"/>
          <w:spacing w:val="-1"/>
          <w:sz w:val="24"/>
          <w:szCs w:val="24"/>
          <w:highlight w:val="none"/>
          <w:lang w:eastAsia="zh-CN"/>
        </w:rPr>
        <w:t>抵制各种违法违纪行为。</w:t>
      </w:r>
    </w:p>
    <w:p w14:paraId="084FEC65">
      <w:pPr>
        <w:spacing w:before="183" w:line="360" w:lineRule="auto"/>
        <w:ind w:left="31" w:right="141" w:firstLine="478"/>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如违反上述承诺，你单位有权立即取消我单位投</w:t>
      </w:r>
      <w:r>
        <w:rPr>
          <w:rFonts w:hint="eastAsia" w:ascii="宋体" w:hAnsi="宋体" w:eastAsia="宋体" w:cs="宋体"/>
          <w:color w:val="auto"/>
          <w:spacing w:val="-4"/>
          <w:sz w:val="24"/>
          <w:szCs w:val="24"/>
          <w:highlight w:val="none"/>
          <w:lang w:eastAsia="zh-CN"/>
        </w:rPr>
        <w:t>标、中标或在建项目的建设</w:t>
      </w:r>
      <w:r>
        <w:rPr>
          <w:rFonts w:hint="eastAsia" w:ascii="宋体" w:hAnsi="宋体" w:eastAsia="宋体" w:cs="宋体"/>
          <w:color w:val="auto"/>
          <w:spacing w:val="-2"/>
          <w:sz w:val="24"/>
          <w:szCs w:val="24"/>
          <w:highlight w:val="none"/>
          <w:lang w:eastAsia="zh-CN"/>
        </w:rPr>
        <w:t>资格，有权拒绝我单位在一定时期内进入你单位进行项目建设或其他</w:t>
      </w:r>
      <w:r>
        <w:rPr>
          <w:rFonts w:hint="eastAsia" w:ascii="宋体" w:hAnsi="宋体" w:eastAsia="宋体" w:cs="宋体"/>
          <w:color w:val="auto"/>
          <w:spacing w:val="-3"/>
          <w:sz w:val="24"/>
          <w:szCs w:val="24"/>
          <w:highlight w:val="none"/>
          <w:lang w:eastAsia="zh-CN"/>
        </w:rPr>
        <w:t>经营活动，</w:t>
      </w:r>
      <w:r>
        <w:rPr>
          <w:rFonts w:hint="eastAsia" w:ascii="宋体" w:hAnsi="宋体" w:eastAsia="宋体" w:cs="宋体"/>
          <w:color w:val="auto"/>
          <w:spacing w:val="-1"/>
          <w:sz w:val="24"/>
          <w:szCs w:val="24"/>
          <w:highlight w:val="none"/>
          <w:lang w:eastAsia="zh-CN"/>
        </w:rPr>
        <w:t>并通报主管部门。由此引起的相应损失均由我单位承担。</w:t>
      </w:r>
    </w:p>
    <w:p w14:paraId="3B449183">
      <w:pPr>
        <w:spacing w:line="360" w:lineRule="auto"/>
        <w:rPr>
          <w:rFonts w:ascii="宋体" w:hAnsi="宋体" w:eastAsia="宋体" w:cs="宋体"/>
          <w:color w:val="auto"/>
          <w:highlight w:val="none"/>
          <w:lang w:eastAsia="zh-CN"/>
        </w:rPr>
      </w:pPr>
    </w:p>
    <w:p w14:paraId="4D2B35C7">
      <w:pPr>
        <w:spacing w:line="360" w:lineRule="auto"/>
        <w:rPr>
          <w:rFonts w:ascii="宋体" w:hAnsi="宋体" w:eastAsia="宋体" w:cs="宋体"/>
          <w:color w:val="auto"/>
          <w:highlight w:val="none"/>
          <w:lang w:eastAsia="zh-CN"/>
        </w:rPr>
      </w:pPr>
    </w:p>
    <w:p w14:paraId="4AA29DFD">
      <w:pPr>
        <w:spacing w:line="360" w:lineRule="auto"/>
        <w:rPr>
          <w:rFonts w:ascii="宋体" w:hAnsi="宋体" w:eastAsia="宋体" w:cs="宋体"/>
          <w:color w:val="auto"/>
          <w:highlight w:val="none"/>
          <w:lang w:eastAsia="zh-CN"/>
        </w:rPr>
      </w:pPr>
    </w:p>
    <w:p w14:paraId="6FF9E40B">
      <w:pPr>
        <w:spacing w:line="360" w:lineRule="auto"/>
        <w:rPr>
          <w:rFonts w:ascii="宋体" w:hAnsi="宋体" w:eastAsia="宋体" w:cs="宋体"/>
          <w:color w:val="auto"/>
          <w:highlight w:val="none"/>
          <w:lang w:eastAsia="zh-CN"/>
        </w:rPr>
      </w:pPr>
    </w:p>
    <w:p w14:paraId="3471A9DE">
      <w:pPr>
        <w:spacing w:line="360" w:lineRule="auto"/>
        <w:rPr>
          <w:rFonts w:ascii="宋体" w:hAnsi="宋体" w:eastAsia="宋体" w:cs="宋体"/>
          <w:color w:val="auto"/>
          <w:highlight w:val="none"/>
          <w:lang w:eastAsia="zh-CN"/>
        </w:rPr>
      </w:pPr>
    </w:p>
    <w:p w14:paraId="76A83C56">
      <w:pPr>
        <w:spacing w:line="360" w:lineRule="auto"/>
        <w:ind w:firstLine="440" w:firstLineChars="200"/>
        <w:rPr>
          <w:rFonts w:ascii="宋体" w:hAnsi="宋体" w:eastAsia="宋体" w:cs="宋体"/>
          <w:sz w:val="22"/>
          <w:highlight w:val="none"/>
          <w:lang w:eastAsia="zh-CN"/>
        </w:rPr>
      </w:pPr>
      <w:r>
        <w:rPr>
          <w:rFonts w:hint="eastAsia" w:ascii="宋体" w:hAnsi="宋体" w:eastAsia="宋体" w:cs="宋体"/>
          <w:sz w:val="22"/>
          <w:highlight w:val="none"/>
          <w:lang w:eastAsia="zh-CN"/>
        </w:rPr>
        <w:t>供应商名称(公章)：____________</w:t>
      </w:r>
    </w:p>
    <w:p w14:paraId="24B544DD">
      <w:pPr>
        <w:spacing w:line="360" w:lineRule="auto"/>
        <w:ind w:firstLine="440" w:firstLineChars="200"/>
        <w:rPr>
          <w:rFonts w:ascii="宋体" w:hAnsi="宋体" w:eastAsia="宋体" w:cs="宋体"/>
          <w:sz w:val="22"/>
          <w:highlight w:val="none"/>
          <w:lang w:eastAsia="zh-CN"/>
        </w:rPr>
      </w:pPr>
      <w:r>
        <w:rPr>
          <w:rFonts w:hint="eastAsia" w:ascii="宋体" w:hAnsi="宋体" w:eastAsia="宋体" w:cs="宋体"/>
          <w:sz w:val="22"/>
          <w:highlight w:val="none"/>
          <w:lang w:eastAsia="zh-CN"/>
        </w:rPr>
        <w:t>法定代表人或其授权代表(签字或盖章)：____________</w:t>
      </w:r>
    </w:p>
    <w:p w14:paraId="4D4B619C">
      <w:pPr>
        <w:spacing w:line="360" w:lineRule="auto"/>
        <w:ind w:firstLine="440" w:firstLineChars="200"/>
        <w:rPr>
          <w:rFonts w:ascii="宋体" w:hAnsi="宋体" w:eastAsia="宋体" w:cs="宋体"/>
          <w:color w:val="auto"/>
          <w:highlight w:val="none"/>
          <w:lang w:eastAsia="zh-CN"/>
        </w:rPr>
      </w:pPr>
      <w:r>
        <w:rPr>
          <w:rFonts w:hint="eastAsia" w:ascii="宋体" w:hAnsi="宋体" w:eastAsia="宋体" w:cs="宋体"/>
          <w:sz w:val="22"/>
          <w:highlight w:val="none"/>
        </w:rPr>
        <w:t>日期：______年____月____日</w:t>
      </w:r>
    </w:p>
    <w:p w14:paraId="534B28C5">
      <w:pPr>
        <w:spacing w:line="360" w:lineRule="auto"/>
        <w:rPr>
          <w:rFonts w:ascii="宋体" w:hAnsi="宋体" w:eastAsia="宋体" w:cs="宋体"/>
          <w:color w:val="auto"/>
          <w:highlight w:val="none"/>
          <w:lang w:eastAsia="zh-CN"/>
        </w:rPr>
      </w:pPr>
    </w:p>
    <w:p w14:paraId="075C365D">
      <w:pPr>
        <w:pageBreakBefore/>
        <w:numPr>
          <w:ilvl w:val="0"/>
          <w:numId w:val="0"/>
        </w:numPr>
        <w:spacing w:before="101" w:line="360" w:lineRule="auto"/>
        <w:jc w:val="center"/>
        <w:outlineLvl w:val="1"/>
        <w:rPr>
          <w:rFonts w:ascii="宋体" w:hAnsi="宋体" w:eastAsia="宋体" w:cs="宋体"/>
          <w:b/>
          <w:bCs/>
          <w:color w:val="auto"/>
          <w:spacing w:val="1"/>
          <w:sz w:val="31"/>
          <w:szCs w:val="31"/>
          <w:highlight w:val="none"/>
          <w:lang w:eastAsia="zh-CN"/>
        </w:rPr>
      </w:pPr>
      <w:bookmarkStart w:id="210" w:name="_Toc11108"/>
      <w:bookmarkStart w:id="211" w:name="_Toc186477818"/>
      <w:r>
        <w:rPr>
          <w:rFonts w:hint="eastAsia" w:ascii="宋体" w:hAnsi="宋体" w:eastAsia="宋体" w:cs="宋体"/>
          <w:b/>
          <w:bCs/>
          <w:snapToGrid w:val="0"/>
          <w:color w:val="auto"/>
          <w:spacing w:val="1"/>
          <w:sz w:val="31"/>
          <w:szCs w:val="31"/>
          <w:highlight w:val="none"/>
          <w:lang w:val="en-US" w:eastAsia="zh-CN" w:bidi="ar-SA"/>
        </w:rPr>
        <w:t>七、</w:t>
      </w:r>
      <w:r>
        <w:rPr>
          <w:rFonts w:hint="eastAsia" w:ascii="宋体" w:hAnsi="宋体" w:eastAsia="宋体" w:cs="宋体"/>
          <w:b/>
          <w:bCs/>
          <w:color w:val="auto"/>
          <w:spacing w:val="1"/>
          <w:sz w:val="31"/>
          <w:szCs w:val="31"/>
          <w:highlight w:val="none"/>
          <w:lang w:eastAsia="zh-CN"/>
        </w:rPr>
        <w:t>商务、技术要求偏离表</w:t>
      </w:r>
      <w:bookmarkEnd w:id="210"/>
      <w:bookmarkEnd w:id="211"/>
    </w:p>
    <w:p w14:paraId="65791853">
      <w:pPr>
        <w:spacing w:line="360" w:lineRule="auto"/>
        <w:jc w:val="center"/>
        <w:rPr>
          <w:rFonts w:ascii="宋体" w:hAnsi="宋体" w:eastAsia="宋体" w:cs="宋体"/>
          <w:b/>
          <w:bCs/>
          <w:color w:val="auto"/>
          <w:sz w:val="24"/>
          <w:szCs w:val="32"/>
          <w:highlight w:val="none"/>
          <w:lang w:eastAsia="zh-CN"/>
        </w:rPr>
      </w:pPr>
      <w:r>
        <w:rPr>
          <w:rFonts w:hint="eastAsia" w:ascii="宋体" w:hAnsi="宋体" w:eastAsia="宋体" w:cs="宋体"/>
          <w:b/>
          <w:bCs/>
          <w:color w:val="auto"/>
          <w:sz w:val="24"/>
          <w:szCs w:val="32"/>
          <w:highlight w:val="none"/>
          <w:lang w:eastAsia="zh-CN"/>
        </w:rPr>
        <w:t>（一）商务条款偏离表</w:t>
      </w:r>
    </w:p>
    <w:tbl>
      <w:tblPr>
        <w:tblStyle w:val="30"/>
        <w:tblW w:w="86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5759"/>
        <w:gridCol w:w="1147"/>
        <w:gridCol w:w="947"/>
      </w:tblGrid>
      <w:tr w14:paraId="7B325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842" w:type="dxa"/>
            <w:shd w:val="clear" w:color="auto" w:fill="F3F3F3"/>
            <w:vAlign w:val="center"/>
          </w:tcPr>
          <w:p w14:paraId="45B6BF6B">
            <w:pPr>
              <w:widowControl w:val="0"/>
              <w:kinsoku/>
              <w:wordWrap w:val="0"/>
              <w:snapToGrid/>
              <w:spacing w:line="360" w:lineRule="auto"/>
              <w:jc w:val="center"/>
              <w:textAlignment w:val="auto"/>
              <w:rPr>
                <w:rFonts w:ascii="宋体" w:hAnsi="宋体" w:eastAsia="宋体" w:cs="宋体"/>
                <w:b/>
                <w:bCs/>
                <w:color w:val="auto"/>
                <w:sz w:val="24"/>
                <w:highlight w:val="none"/>
              </w:rPr>
            </w:pPr>
            <w:r>
              <w:rPr>
                <w:rFonts w:hint="eastAsia" w:ascii="宋体" w:hAnsi="宋体" w:eastAsia="宋体" w:cs="宋体"/>
                <w:b/>
                <w:bCs/>
                <w:color w:val="auto"/>
                <w:sz w:val="24"/>
                <w:highlight w:val="none"/>
              </w:rPr>
              <w:t>序号</w:t>
            </w:r>
          </w:p>
        </w:tc>
        <w:tc>
          <w:tcPr>
            <w:tcW w:w="5759" w:type="dxa"/>
            <w:shd w:val="clear" w:color="auto" w:fill="F3F3F3"/>
            <w:vAlign w:val="center"/>
          </w:tcPr>
          <w:p w14:paraId="2E0E4E83">
            <w:pPr>
              <w:widowControl w:val="0"/>
              <w:kinsoku/>
              <w:wordWrap w:val="0"/>
              <w:snapToGrid/>
              <w:spacing w:line="360" w:lineRule="auto"/>
              <w:jc w:val="center"/>
              <w:textAlignment w:val="auto"/>
              <w:rPr>
                <w:rFonts w:ascii="宋体" w:hAnsi="宋体" w:eastAsia="宋体" w:cs="宋体"/>
                <w:b/>
                <w:bCs/>
                <w:color w:val="auto"/>
                <w:sz w:val="24"/>
                <w:highlight w:val="none"/>
              </w:rPr>
            </w:pPr>
            <w:r>
              <w:rPr>
                <w:rFonts w:hint="eastAsia" w:ascii="宋体" w:hAnsi="宋体" w:eastAsia="宋体" w:cs="宋体"/>
                <w:b/>
                <w:bCs/>
                <w:color w:val="auto"/>
                <w:sz w:val="24"/>
                <w:highlight w:val="none"/>
              </w:rPr>
              <w:t>主要商务条款</w:t>
            </w:r>
          </w:p>
        </w:tc>
        <w:tc>
          <w:tcPr>
            <w:tcW w:w="1147" w:type="dxa"/>
            <w:shd w:val="clear" w:color="auto" w:fill="F3F3F3"/>
            <w:vAlign w:val="center"/>
          </w:tcPr>
          <w:p w14:paraId="71AC1B80">
            <w:pPr>
              <w:widowControl w:val="0"/>
              <w:kinsoku/>
              <w:wordWrap w:val="0"/>
              <w:snapToGrid/>
              <w:spacing w:line="360" w:lineRule="auto"/>
              <w:jc w:val="center"/>
              <w:textAlignment w:val="auto"/>
              <w:rPr>
                <w:rFonts w:ascii="宋体" w:hAnsi="宋体" w:eastAsia="宋体" w:cs="宋体"/>
                <w:b/>
                <w:bCs/>
                <w:color w:val="auto"/>
                <w:sz w:val="24"/>
                <w:highlight w:val="none"/>
              </w:rPr>
            </w:pPr>
            <w:r>
              <w:rPr>
                <w:rFonts w:hint="eastAsia" w:ascii="宋体" w:hAnsi="宋体" w:eastAsia="宋体" w:cs="宋体"/>
                <w:b/>
                <w:bCs/>
                <w:color w:val="auto"/>
                <w:sz w:val="24"/>
                <w:highlight w:val="none"/>
              </w:rPr>
              <w:t>是否</w:t>
            </w:r>
          </w:p>
          <w:p w14:paraId="3E197616">
            <w:pPr>
              <w:spacing w:line="360" w:lineRule="auto"/>
              <w:jc w:val="center"/>
              <w:rPr>
                <w:rFonts w:ascii="宋体" w:hAnsi="宋体" w:eastAsia="宋体" w:cs="宋体"/>
                <w:b/>
                <w:bCs/>
                <w:color w:val="auto"/>
                <w:sz w:val="24"/>
                <w:highlight w:val="none"/>
              </w:rPr>
            </w:pPr>
            <w:r>
              <w:rPr>
                <w:rFonts w:hint="eastAsia" w:ascii="宋体" w:hAnsi="宋体" w:eastAsia="宋体" w:cs="宋体"/>
                <w:b/>
                <w:bCs/>
                <w:color w:val="auto"/>
                <w:sz w:val="24"/>
                <w:highlight w:val="none"/>
              </w:rPr>
              <w:t>响应</w:t>
            </w:r>
          </w:p>
        </w:tc>
        <w:tc>
          <w:tcPr>
            <w:tcW w:w="947" w:type="dxa"/>
            <w:shd w:val="clear" w:color="auto" w:fill="F3F3F3"/>
            <w:vAlign w:val="center"/>
          </w:tcPr>
          <w:p w14:paraId="0A066D8C">
            <w:pPr>
              <w:widowControl w:val="0"/>
              <w:kinsoku/>
              <w:wordWrap w:val="0"/>
              <w:snapToGrid/>
              <w:spacing w:line="360" w:lineRule="auto"/>
              <w:jc w:val="center"/>
              <w:textAlignment w:val="auto"/>
              <w:rPr>
                <w:rFonts w:ascii="宋体" w:hAnsi="宋体" w:eastAsia="宋体" w:cs="宋体"/>
                <w:b/>
                <w:bCs/>
                <w:color w:val="auto"/>
                <w:sz w:val="24"/>
                <w:highlight w:val="none"/>
              </w:rPr>
            </w:pPr>
            <w:r>
              <w:rPr>
                <w:rFonts w:hint="eastAsia" w:ascii="宋体" w:hAnsi="宋体" w:eastAsia="宋体" w:cs="宋体"/>
                <w:b/>
                <w:bCs/>
                <w:color w:val="auto"/>
                <w:sz w:val="24"/>
                <w:highlight w:val="none"/>
              </w:rPr>
              <w:t>偏离说明</w:t>
            </w:r>
          </w:p>
        </w:tc>
      </w:tr>
      <w:tr w14:paraId="0468B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2" w:type="dxa"/>
            <w:vAlign w:val="center"/>
          </w:tcPr>
          <w:p w14:paraId="7E2F6CA7">
            <w:pPr>
              <w:widowControl w:val="0"/>
              <w:kinsoku/>
              <w:wordWrap w:val="0"/>
              <w:snapToGrid/>
              <w:spacing w:line="360" w:lineRule="auto"/>
              <w:jc w:val="center"/>
              <w:textAlignment w:val="auto"/>
              <w:rPr>
                <w:rFonts w:ascii="宋体" w:hAnsi="宋体" w:eastAsia="宋体" w:cs="宋体"/>
                <w:color w:val="auto"/>
                <w:spacing w:val="-5"/>
                <w:highlight w:val="none"/>
                <w:lang w:eastAsia="zh-CN"/>
              </w:rPr>
            </w:pPr>
            <w:r>
              <w:rPr>
                <w:rFonts w:hint="eastAsia" w:ascii="宋体" w:hAnsi="宋体" w:eastAsia="宋体" w:cs="宋体"/>
                <w:color w:val="auto"/>
                <w:spacing w:val="-5"/>
                <w:highlight w:val="none"/>
                <w:lang w:eastAsia="zh-CN"/>
              </w:rPr>
              <w:t>1</w:t>
            </w:r>
          </w:p>
        </w:tc>
        <w:tc>
          <w:tcPr>
            <w:tcW w:w="5759" w:type="dxa"/>
            <w:vAlign w:val="center"/>
          </w:tcPr>
          <w:p w14:paraId="667B5D69">
            <w:pPr>
              <w:widowControl w:val="0"/>
              <w:kinsoku/>
              <w:wordWrap w:val="0"/>
              <w:snapToGrid/>
              <w:spacing w:line="360" w:lineRule="auto"/>
              <w:textAlignment w:val="auto"/>
              <w:rPr>
                <w:rFonts w:ascii="宋体" w:hAnsi="宋体" w:eastAsia="宋体" w:cs="宋体"/>
                <w:color w:val="auto"/>
                <w:spacing w:val="-5"/>
                <w:highlight w:val="none"/>
                <w:lang w:eastAsia="zh-CN"/>
              </w:rPr>
            </w:pPr>
            <w:r>
              <w:rPr>
                <w:rFonts w:hint="eastAsia" w:ascii="宋体" w:hAnsi="宋体" w:eastAsia="宋体" w:cs="宋体"/>
                <w:color w:val="auto"/>
                <w:spacing w:val="-5"/>
                <w:highlight w:val="none"/>
                <w:lang w:eastAsia="zh-CN"/>
              </w:rPr>
              <w:t>完全理解并接受对合格供应商、合格的服务质量和其他服务要求；</w:t>
            </w:r>
          </w:p>
        </w:tc>
        <w:tc>
          <w:tcPr>
            <w:tcW w:w="1147" w:type="dxa"/>
            <w:vAlign w:val="center"/>
          </w:tcPr>
          <w:p w14:paraId="099FD686">
            <w:pPr>
              <w:adjustRightInd/>
              <w:spacing w:line="360" w:lineRule="auto"/>
              <w:textAlignment w:val="auto"/>
              <w:rPr>
                <w:rFonts w:ascii="宋体" w:hAnsi="宋体" w:eastAsia="宋体" w:cs="宋体"/>
                <w:snapToGrid/>
                <w:color w:val="auto"/>
                <w:kern w:val="2"/>
                <w:szCs w:val="24"/>
                <w:highlight w:val="none"/>
                <w:lang w:eastAsia="zh-CN"/>
              </w:rPr>
            </w:pPr>
          </w:p>
        </w:tc>
        <w:tc>
          <w:tcPr>
            <w:tcW w:w="947" w:type="dxa"/>
            <w:vAlign w:val="center"/>
          </w:tcPr>
          <w:p w14:paraId="090143E8">
            <w:pPr>
              <w:spacing w:line="360" w:lineRule="auto"/>
              <w:jc w:val="center"/>
              <w:rPr>
                <w:rFonts w:ascii="宋体" w:hAnsi="宋体" w:eastAsia="宋体" w:cs="宋体"/>
                <w:color w:val="auto"/>
                <w:sz w:val="24"/>
                <w:highlight w:val="none"/>
                <w:lang w:eastAsia="zh-CN"/>
              </w:rPr>
            </w:pPr>
          </w:p>
        </w:tc>
      </w:tr>
      <w:tr w14:paraId="441E0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2" w:type="dxa"/>
            <w:vAlign w:val="center"/>
          </w:tcPr>
          <w:p w14:paraId="04B82C44">
            <w:pPr>
              <w:widowControl w:val="0"/>
              <w:kinsoku/>
              <w:wordWrap w:val="0"/>
              <w:snapToGrid/>
              <w:spacing w:line="360" w:lineRule="auto"/>
              <w:jc w:val="center"/>
              <w:textAlignment w:val="auto"/>
              <w:rPr>
                <w:rFonts w:ascii="宋体" w:hAnsi="宋体" w:eastAsia="宋体" w:cs="宋体"/>
                <w:color w:val="auto"/>
                <w:spacing w:val="-5"/>
                <w:highlight w:val="none"/>
                <w:lang w:eastAsia="zh-CN"/>
              </w:rPr>
            </w:pPr>
            <w:r>
              <w:rPr>
                <w:rFonts w:hint="eastAsia" w:ascii="宋体" w:hAnsi="宋体" w:eastAsia="宋体" w:cs="宋体"/>
                <w:color w:val="auto"/>
                <w:spacing w:val="-5"/>
                <w:highlight w:val="none"/>
                <w:lang w:eastAsia="zh-CN"/>
              </w:rPr>
              <w:t>2</w:t>
            </w:r>
          </w:p>
        </w:tc>
        <w:tc>
          <w:tcPr>
            <w:tcW w:w="5759" w:type="dxa"/>
            <w:vAlign w:val="center"/>
          </w:tcPr>
          <w:p w14:paraId="61C669C1">
            <w:pPr>
              <w:widowControl w:val="0"/>
              <w:kinsoku/>
              <w:wordWrap w:val="0"/>
              <w:snapToGrid/>
              <w:spacing w:line="360" w:lineRule="auto"/>
              <w:textAlignment w:val="auto"/>
              <w:rPr>
                <w:rFonts w:ascii="宋体" w:hAnsi="宋体" w:eastAsia="宋体" w:cs="宋体"/>
                <w:color w:val="auto"/>
                <w:spacing w:val="-5"/>
                <w:highlight w:val="none"/>
                <w:lang w:eastAsia="zh-CN"/>
              </w:rPr>
            </w:pPr>
            <w:r>
              <w:rPr>
                <w:rFonts w:hint="eastAsia" w:ascii="宋体" w:hAnsi="宋体" w:eastAsia="宋体" w:cs="宋体"/>
                <w:color w:val="auto"/>
                <w:spacing w:val="-5"/>
                <w:highlight w:val="none"/>
                <w:lang w:eastAsia="zh-CN"/>
              </w:rPr>
              <w:t>完全理解并接受对供应商的各项须知、规约要求和责任义务；</w:t>
            </w:r>
          </w:p>
        </w:tc>
        <w:tc>
          <w:tcPr>
            <w:tcW w:w="1147" w:type="dxa"/>
            <w:vAlign w:val="center"/>
          </w:tcPr>
          <w:p w14:paraId="0D94F189">
            <w:pPr>
              <w:spacing w:line="360" w:lineRule="auto"/>
              <w:jc w:val="center"/>
              <w:rPr>
                <w:rFonts w:ascii="宋体" w:hAnsi="宋体" w:eastAsia="宋体" w:cs="宋体"/>
                <w:color w:val="auto"/>
                <w:sz w:val="24"/>
                <w:highlight w:val="none"/>
                <w:lang w:eastAsia="zh-CN"/>
              </w:rPr>
            </w:pPr>
          </w:p>
        </w:tc>
        <w:tc>
          <w:tcPr>
            <w:tcW w:w="947" w:type="dxa"/>
            <w:vAlign w:val="center"/>
          </w:tcPr>
          <w:p w14:paraId="0700A804">
            <w:pPr>
              <w:spacing w:line="360" w:lineRule="auto"/>
              <w:ind w:right="-35"/>
              <w:jc w:val="center"/>
              <w:rPr>
                <w:rFonts w:ascii="宋体" w:hAnsi="宋体" w:eastAsia="宋体" w:cs="宋体"/>
                <w:color w:val="auto"/>
                <w:sz w:val="24"/>
                <w:highlight w:val="none"/>
                <w:lang w:eastAsia="zh-CN"/>
              </w:rPr>
            </w:pPr>
          </w:p>
        </w:tc>
      </w:tr>
      <w:tr w14:paraId="59AD7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2" w:type="dxa"/>
            <w:shd w:val="clear" w:color="auto" w:fill="auto"/>
            <w:vAlign w:val="center"/>
          </w:tcPr>
          <w:p w14:paraId="6F6572CC">
            <w:pPr>
              <w:widowControl w:val="0"/>
              <w:kinsoku/>
              <w:wordWrap w:val="0"/>
              <w:snapToGrid/>
              <w:spacing w:line="360" w:lineRule="auto"/>
              <w:jc w:val="center"/>
              <w:textAlignment w:val="auto"/>
              <w:rPr>
                <w:rFonts w:ascii="宋体" w:hAnsi="宋体" w:eastAsia="宋体" w:cs="宋体"/>
                <w:color w:val="auto"/>
                <w:spacing w:val="-5"/>
                <w:highlight w:val="none"/>
                <w:lang w:eastAsia="zh-CN"/>
              </w:rPr>
            </w:pPr>
            <w:r>
              <w:rPr>
                <w:rFonts w:hint="eastAsia" w:ascii="宋体" w:hAnsi="宋体" w:eastAsia="宋体" w:cs="宋体"/>
                <w:color w:val="auto"/>
                <w:spacing w:val="-5"/>
                <w:highlight w:val="none"/>
                <w:lang w:eastAsia="zh-CN"/>
              </w:rPr>
              <w:t>3</w:t>
            </w:r>
          </w:p>
        </w:tc>
        <w:tc>
          <w:tcPr>
            <w:tcW w:w="5759" w:type="dxa"/>
            <w:vAlign w:val="center"/>
          </w:tcPr>
          <w:p w14:paraId="0761F94C">
            <w:pPr>
              <w:widowControl w:val="0"/>
              <w:kinsoku/>
              <w:wordWrap w:val="0"/>
              <w:snapToGrid/>
              <w:spacing w:line="360" w:lineRule="auto"/>
              <w:textAlignment w:val="auto"/>
              <w:rPr>
                <w:rFonts w:ascii="宋体" w:hAnsi="宋体" w:eastAsia="宋体" w:cs="宋体"/>
                <w:color w:val="auto"/>
                <w:spacing w:val="-5"/>
                <w:highlight w:val="none"/>
                <w:lang w:eastAsia="zh-CN"/>
              </w:rPr>
            </w:pPr>
            <w:r>
              <w:rPr>
                <w:rFonts w:hint="eastAsia" w:ascii="宋体" w:hAnsi="宋体" w:eastAsia="宋体" w:cs="宋体"/>
                <w:color w:val="auto"/>
                <w:spacing w:val="-5"/>
                <w:highlight w:val="none"/>
                <w:lang w:eastAsia="zh-CN"/>
              </w:rPr>
              <w:t>完全理解并接受“第</w:t>
            </w:r>
            <w:r>
              <w:rPr>
                <w:rFonts w:hint="eastAsia" w:ascii="宋体" w:hAnsi="宋体" w:eastAsia="宋体" w:cs="宋体"/>
                <w:color w:val="auto"/>
                <w:spacing w:val="-5"/>
                <w:highlight w:val="none"/>
                <w:lang w:val="en-US" w:eastAsia="zh-CN"/>
              </w:rPr>
              <w:t>六</w:t>
            </w:r>
            <w:r>
              <w:rPr>
                <w:rFonts w:hint="eastAsia" w:ascii="宋体" w:hAnsi="宋体" w:eastAsia="宋体" w:cs="宋体"/>
                <w:color w:val="auto"/>
                <w:spacing w:val="-5"/>
                <w:highlight w:val="none"/>
                <w:lang w:eastAsia="zh-CN"/>
              </w:rPr>
              <w:t>章采购需求”中“（一）商务要求”的各项要求，并按要求提供相应证明材料。</w:t>
            </w:r>
          </w:p>
        </w:tc>
        <w:tc>
          <w:tcPr>
            <w:tcW w:w="1147" w:type="dxa"/>
            <w:vAlign w:val="center"/>
          </w:tcPr>
          <w:p w14:paraId="0C8A227C">
            <w:pPr>
              <w:spacing w:line="360" w:lineRule="auto"/>
              <w:jc w:val="center"/>
              <w:rPr>
                <w:rFonts w:ascii="宋体" w:hAnsi="宋体" w:eastAsia="宋体" w:cs="宋体"/>
                <w:color w:val="auto"/>
                <w:sz w:val="24"/>
                <w:highlight w:val="none"/>
                <w:lang w:eastAsia="zh-CN"/>
              </w:rPr>
            </w:pPr>
          </w:p>
        </w:tc>
        <w:tc>
          <w:tcPr>
            <w:tcW w:w="947" w:type="dxa"/>
            <w:vAlign w:val="center"/>
          </w:tcPr>
          <w:p w14:paraId="1331914F">
            <w:pPr>
              <w:spacing w:line="360" w:lineRule="auto"/>
              <w:ind w:right="-35"/>
              <w:jc w:val="center"/>
              <w:rPr>
                <w:rFonts w:ascii="宋体" w:hAnsi="宋体" w:eastAsia="宋体" w:cs="宋体"/>
                <w:color w:val="auto"/>
                <w:sz w:val="24"/>
                <w:highlight w:val="none"/>
                <w:lang w:eastAsia="zh-CN"/>
              </w:rPr>
            </w:pPr>
          </w:p>
        </w:tc>
      </w:tr>
      <w:tr w14:paraId="5E01C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2" w:type="dxa"/>
            <w:shd w:val="clear" w:color="auto" w:fill="auto"/>
            <w:vAlign w:val="center"/>
          </w:tcPr>
          <w:p w14:paraId="796EBDFE">
            <w:pPr>
              <w:widowControl w:val="0"/>
              <w:kinsoku/>
              <w:wordWrap w:val="0"/>
              <w:snapToGrid/>
              <w:spacing w:line="360" w:lineRule="auto"/>
              <w:jc w:val="center"/>
              <w:textAlignment w:val="auto"/>
              <w:rPr>
                <w:rFonts w:ascii="宋体" w:hAnsi="宋体" w:eastAsia="宋体" w:cs="宋体"/>
                <w:color w:val="auto"/>
                <w:spacing w:val="-5"/>
                <w:highlight w:val="none"/>
                <w:lang w:eastAsia="zh-CN"/>
              </w:rPr>
            </w:pPr>
            <w:r>
              <w:rPr>
                <w:rFonts w:hint="eastAsia" w:ascii="宋体" w:hAnsi="宋体" w:eastAsia="宋体" w:cs="宋体"/>
                <w:color w:val="auto"/>
                <w:spacing w:val="-5"/>
                <w:highlight w:val="none"/>
                <w:lang w:eastAsia="zh-CN"/>
              </w:rPr>
              <w:t>4</w:t>
            </w:r>
          </w:p>
        </w:tc>
        <w:tc>
          <w:tcPr>
            <w:tcW w:w="5759" w:type="dxa"/>
            <w:vAlign w:val="center"/>
          </w:tcPr>
          <w:p w14:paraId="1B565985">
            <w:pPr>
              <w:widowControl w:val="0"/>
              <w:kinsoku/>
              <w:wordWrap w:val="0"/>
              <w:snapToGrid/>
              <w:spacing w:line="360" w:lineRule="auto"/>
              <w:textAlignment w:val="auto"/>
              <w:rPr>
                <w:rFonts w:ascii="宋体" w:hAnsi="宋体" w:eastAsia="宋体" w:cs="宋体"/>
                <w:color w:val="auto"/>
                <w:spacing w:val="-5"/>
                <w:highlight w:val="none"/>
                <w:lang w:eastAsia="zh-CN"/>
              </w:rPr>
            </w:pPr>
            <w:r>
              <w:rPr>
                <w:rFonts w:hint="eastAsia" w:ascii="宋体" w:hAnsi="宋体" w:eastAsia="宋体" w:cs="宋体"/>
                <w:color w:val="auto"/>
                <w:spacing w:val="-5"/>
                <w:highlight w:val="none"/>
                <w:lang w:eastAsia="zh-CN"/>
              </w:rPr>
              <w:t>同意按本项目要求缴付相关款项；</w:t>
            </w:r>
          </w:p>
        </w:tc>
        <w:tc>
          <w:tcPr>
            <w:tcW w:w="1147" w:type="dxa"/>
            <w:vAlign w:val="center"/>
          </w:tcPr>
          <w:p w14:paraId="0F1644FB">
            <w:pPr>
              <w:spacing w:line="360" w:lineRule="auto"/>
              <w:jc w:val="center"/>
              <w:rPr>
                <w:rFonts w:ascii="宋体" w:hAnsi="宋体" w:eastAsia="宋体" w:cs="宋体"/>
                <w:color w:val="auto"/>
                <w:sz w:val="24"/>
                <w:highlight w:val="none"/>
                <w:lang w:eastAsia="zh-CN"/>
              </w:rPr>
            </w:pPr>
          </w:p>
        </w:tc>
        <w:tc>
          <w:tcPr>
            <w:tcW w:w="947" w:type="dxa"/>
            <w:vAlign w:val="center"/>
          </w:tcPr>
          <w:p w14:paraId="027270CD">
            <w:pPr>
              <w:spacing w:line="360" w:lineRule="auto"/>
              <w:ind w:right="-35"/>
              <w:jc w:val="center"/>
              <w:rPr>
                <w:rFonts w:ascii="宋体" w:hAnsi="宋体" w:eastAsia="宋体" w:cs="宋体"/>
                <w:color w:val="auto"/>
                <w:sz w:val="24"/>
                <w:highlight w:val="none"/>
                <w:lang w:eastAsia="zh-CN"/>
              </w:rPr>
            </w:pPr>
          </w:p>
        </w:tc>
      </w:tr>
      <w:tr w14:paraId="0A0C6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42" w:type="dxa"/>
            <w:shd w:val="clear" w:color="auto" w:fill="auto"/>
            <w:vAlign w:val="center"/>
          </w:tcPr>
          <w:p w14:paraId="4F492DB2">
            <w:pPr>
              <w:widowControl w:val="0"/>
              <w:kinsoku/>
              <w:wordWrap w:val="0"/>
              <w:snapToGrid/>
              <w:spacing w:line="360" w:lineRule="auto"/>
              <w:jc w:val="center"/>
              <w:textAlignment w:val="auto"/>
              <w:rPr>
                <w:rFonts w:ascii="宋体" w:hAnsi="宋体" w:eastAsia="宋体" w:cs="宋体"/>
                <w:color w:val="auto"/>
                <w:spacing w:val="-5"/>
                <w:highlight w:val="none"/>
                <w:lang w:eastAsia="zh-CN"/>
              </w:rPr>
            </w:pPr>
            <w:r>
              <w:rPr>
                <w:rFonts w:hint="eastAsia" w:ascii="宋体" w:hAnsi="宋体" w:eastAsia="宋体" w:cs="宋体"/>
                <w:color w:val="auto"/>
                <w:spacing w:val="-5"/>
                <w:highlight w:val="none"/>
                <w:lang w:eastAsia="zh-CN"/>
              </w:rPr>
              <w:t>5</w:t>
            </w:r>
          </w:p>
        </w:tc>
        <w:tc>
          <w:tcPr>
            <w:tcW w:w="5759" w:type="dxa"/>
            <w:vAlign w:val="center"/>
          </w:tcPr>
          <w:p w14:paraId="21B8BB8F">
            <w:pPr>
              <w:widowControl w:val="0"/>
              <w:kinsoku/>
              <w:wordWrap w:val="0"/>
              <w:snapToGrid/>
              <w:spacing w:line="360" w:lineRule="auto"/>
              <w:textAlignment w:val="auto"/>
              <w:rPr>
                <w:rFonts w:ascii="宋体" w:hAnsi="宋体" w:eastAsia="宋体" w:cs="宋体"/>
                <w:color w:val="auto"/>
                <w:spacing w:val="-5"/>
                <w:highlight w:val="none"/>
                <w:lang w:eastAsia="zh-CN"/>
              </w:rPr>
            </w:pPr>
            <w:r>
              <w:rPr>
                <w:rFonts w:hint="eastAsia" w:ascii="宋体" w:hAnsi="宋体" w:eastAsia="宋体" w:cs="宋体"/>
                <w:color w:val="auto"/>
                <w:spacing w:val="-5"/>
                <w:highlight w:val="none"/>
                <w:lang w:eastAsia="zh-CN"/>
              </w:rPr>
              <w:t>投标有效期：投标截止时间后 90 日历日；</w:t>
            </w:r>
          </w:p>
        </w:tc>
        <w:tc>
          <w:tcPr>
            <w:tcW w:w="1147" w:type="dxa"/>
            <w:vAlign w:val="center"/>
          </w:tcPr>
          <w:p w14:paraId="34CCE44A">
            <w:pPr>
              <w:spacing w:line="360" w:lineRule="auto"/>
              <w:jc w:val="center"/>
              <w:rPr>
                <w:rFonts w:ascii="宋体" w:hAnsi="宋体" w:eastAsia="宋体" w:cs="宋体"/>
                <w:color w:val="auto"/>
                <w:sz w:val="24"/>
                <w:highlight w:val="none"/>
              </w:rPr>
            </w:pPr>
          </w:p>
        </w:tc>
        <w:tc>
          <w:tcPr>
            <w:tcW w:w="947" w:type="dxa"/>
            <w:vAlign w:val="center"/>
          </w:tcPr>
          <w:p w14:paraId="46D2A0F6">
            <w:pPr>
              <w:spacing w:line="360" w:lineRule="auto"/>
              <w:ind w:right="-35"/>
              <w:jc w:val="center"/>
              <w:rPr>
                <w:rFonts w:ascii="宋体" w:hAnsi="宋体" w:eastAsia="宋体" w:cs="宋体"/>
                <w:color w:val="auto"/>
                <w:sz w:val="24"/>
                <w:highlight w:val="none"/>
              </w:rPr>
            </w:pPr>
          </w:p>
        </w:tc>
      </w:tr>
      <w:tr w14:paraId="0B178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2" w:type="dxa"/>
            <w:shd w:val="clear" w:color="auto" w:fill="auto"/>
            <w:vAlign w:val="center"/>
          </w:tcPr>
          <w:p w14:paraId="41C01A9E">
            <w:pPr>
              <w:widowControl w:val="0"/>
              <w:kinsoku/>
              <w:wordWrap w:val="0"/>
              <w:snapToGrid/>
              <w:spacing w:line="360" w:lineRule="auto"/>
              <w:jc w:val="center"/>
              <w:textAlignment w:val="auto"/>
              <w:rPr>
                <w:rFonts w:ascii="宋体" w:hAnsi="宋体" w:eastAsia="宋体" w:cs="宋体"/>
                <w:color w:val="auto"/>
                <w:spacing w:val="-5"/>
                <w:highlight w:val="none"/>
                <w:lang w:eastAsia="zh-CN"/>
              </w:rPr>
            </w:pPr>
            <w:r>
              <w:rPr>
                <w:rFonts w:hint="eastAsia" w:ascii="宋体" w:hAnsi="宋体" w:eastAsia="宋体" w:cs="宋体"/>
                <w:color w:val="auto"/>
                <w:spacing w:val="-5"/>
                <w:highlight w:val="none"/>
                <w:lang w:eastAsia="zh-CN"/>
              </w:rPr>
              <w:t>6</w:t>
            </w:r>
          </w:p>
        </w:tc>
        <w:tc>
          <w:tcPr>
            <w:tcW w:w="5759" w:type="dxa"/>
            <w:vAlign w:val="center"/>
          </w:tcPr>
          <w:p w14:paraId="25FE61A2">
            <w:pPr>
              <w:widowControl w:val="0"/>
              <w:kinsoku/>
              <w:wordWrap w:val="0"/>
              <w:snapToGrid/>
              <w:spacing w:line="360" w:lineRule="auto"/>
              <w:textAlignment w:val="auto"/>
              <w:rPr>
                <w:rFonts w:ascii="宋体" w:hAnsi="宋体" w:eastAsia="宋体" w:cs="宋体"/>
                <w:color w:val="auto"/>
                <w:spacing w:val="-5"/>
                <w:highlight w:val="none"/>
                <w:lang w:eastAsia="zh-CN"/>
              </w:rPr>
            </w:pPr>
            <w:r>
              <w:rPr>
                <w:rFonts w:hint="eastAsia" w:ascii="宋体" w:hAnsi="宋体" w:eastAsia="宋体" w:cs="宋体"/>
                <w:color w:val="auto"/>
                <w:spacing w:val="-5"/>
                <w:highlight w:val="none"/>
                <w:lang w:eastAsia="zh-CN"/>
              </w:rPr>
              <w:t>响应内容均涵盖招标要求及一切费用和伴随服务；</w:t>
            </w:r>
          </w:p>
        </w:tc>
        <w:tc>
          <w:tcPr>
            <w:tcW w:w="1147" w:type="dxa"/>
            <w:vAlign w:val="center"/>
          </w:tcPr>
          <w:p w14:paraId="07D99561">
            <w:pPr>
              <w:spacing w:line="360" w:lineRule="auto"/>
              <w:jc w:val="center"/>
              <w:rPr>
                <w:rFonts w:ascii="宋体" w:hAnsi="宋体" w:eastAsia="宋体" w:cs="宋体"/>
                <w:color w:val="auto"/>
                <w:sz w:val="24"/>
                <w:highlight w:val="none"/>
                <w:lang w:eastAsia="zh-CN"/>
              </w:rPr>
            </w:pPr>
          </w:p>
        </w:tc>
        <w:tc>
          <w:tcPr>
            <w:tcW w:w="947" w:type="dxa"/>
            <w:vAlign w:val="center"/>
          </w:tcPr>
          <w:p w14:paraId="12A165CD">
            <w:pPr>
              <w:adjustRightInd/>
              <w:spacing w:line="360" w:lineRule="auto"/>
              <w:textAlignment w:val="auto"/>
              <w:rPr>
                <w:rFonts w:ascii="宋体" w:hAnsi="宋体" w:eastAsia="宋体" w:cs="宋体"/>
                <w:snapToGrid/>
                <w:color w:val="auto"/>
                <w:kern w:val="2"/>
                <w:szCs w:val="24"/>
                <w:highlight w:val="none"/>
                <w:lang w:eastAsia="zh-CN"/>
              </w:rPr>
            </w:pPr>
          </w:p>
        </w:tc>
      </w:tr>
      <w:tr w14:paraId="68644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2" w:type="dxa"/>
            <w:shd w:val="clear" w:color="auto" w:fill="auto"/>
            <w:vAlign w:val="center"/>
          </w:tcPr>
          <w:p w14:paraId="4D308176">
            <w:pPr>
              <w:widowControl w:val="0"/>
              <w:kinsoku/>
              <w:wordWrap w:val="0"/>
              <w:snapToGrid/>
              <w:spacing w:line="360" w:lineRule="auto"/>
              <w:jc w:val="center"/>
              <w:textAlignment w:val="auto"/>
              <w:rPr>
                <w:rFonts w:ascii="宋体" w:hAnsi="宋体" w:eastAsia="宋体" w:cs="宋体"/>
                <w:color w:val="auto"/>
                <w:spacing w:val="-5"/>
                <w:highlight w:val="none"/>
                <w:lang w:eastAsia="zh-CN"/>
              </w:rPr>
            </w:pPr>
            <w:r>
              <w:rPr>
                <w:rFonts w:hint="eastAsia" w:ascii="宋体" w:hAnsi="宋体" w:eastAsia="宋体" w:cs="宋体"/>
                <w:color w:val="auto"/>
                <w:spacing w:val="-5"/>
                <w:highlight w:val="none"/>
                <w:lang w:eastAsia="zh-CN"/>
              </w:rPr>
              <w:t>7</w:t>
            </w:r>
          </w:p>
        </w:tc>
        <w:tc>
          <w:tcPr>
            <w:tcW w:w="5759" w:type="dxa"/>
            <w:vAlign w:val="center"/>
          </w:tcPr>
          <w:p w14:paraId="18AE3FCA">
            <w:pPr>
              <w:widowControl w:val="0"/>
              <w:kinsoku/>
              <w:wordWrap w:val="0"/>
              <w:snapToGrid/>
              <w:spacing w:line="360" w:lineRule="auto"/>
              <w:textAlignment w:val="auto"/>
              <w:rPr>
                <w:rFonts w:ascii="宋体" w:hAnsi="宋体" w:eastAsia="宋体" w:cs="宋体"/>
                <w:color w:val="auto"/>
                <w:spacing w:val="-5"/>
                <w:highlight w:val="none"/>
                <w:lang w:eastAsia="zh-CN"/>
              </w:rPr>
            </w:pPr>
            <w:r>
              <w:rPr>
                <w:rFonts w:hint="eastAsia" w:ascii="宋体" w:hAnsi="宋体" w:eastAsia="宋体" w:cs="宋体"/>
                <w:color w:val="auto"/>
                <w:spacing w:val="-5"/>
                <w:highlight w:val="none"/>
                <w:lang w:eastAsia="zh-CN"/>
              </w:rPr>
              <w:t>同意接受本项目服务期、付款进度或相关实施部署进度安排要求；</w:t>
            </w:r>
          </w:p>
        </w:tc>
        <w:tc>
          <w:tcPr>
            <w:tcW w:w="1147" w:type="dxa"/>
            <w:vAlign w:val="center"/>
          </w:tcPr>
          <w:p w14:paraId="27DDC75D">
            <w:pPr>
              <w:spacing w:line="360" w:lineRule="auto"/>
              <w:jc w:val="center"/>
              <w:rPr>
                <w:rFonts w:ascii="宋体" w:hAnsi="宋体" w:eastAsia="宋体" w:cs="宋体"/>
                <w:color w:val="auto"/>
                <w:sz w:val="24"/>
                <w:highlight w:val="none"/>
                <w:lang w:eastAsia="zh-CN"/>
              </w:rPr>
            </w:pPr>
          </w:p>
        </w:tc>
        <w:tc>
          <w:tcPr>
            <w:tcW w:w="947" w:type="dxa"/>
            <w:vAlign w:val="center"/>
          </w:tcPr>
          <w:p w14:paraId="0CB28471">
            <w:pPr>
              <w:spacing w:line="360" w:lineRule="auto"/>
              <w:jc w:val="center"/>
              <w:rPr>
                <w:rFonts w:ascii="宋体" w:hAnsi="宋体" w:eastAsia="宋体" w:cs="宋体"/>
                <w:color w:val="auto"/>
                <w:sz w:val="24"/>
                <w:highlight w:val="none"/>
                <w:lang w:eastAsia="zh-CN"/>
              </w:rPr>
            </w:pPr>
          </w:p>
        </w:tc>
      </w:tr>
      <w:tr w14:paraId="5AB95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2" w:type="dxa"/>
            <w:vAlign w:val="center"/>
          </w:tcPr>
          <w:p w14:paraId="4FA6E064">
            <w:pPr>
              <w:widowControl w:val="0"/>
              <w:kinsoku/>
              <w:wordWrap w:val="0"/>
              <w:snapToGrid/>
              <w:spacing w:line="360" w:lineRule="auto"/>
              <w:jc w:val="center"/>
              <w:textAlignment w:val="auto"/>
              <w:rPr>
                <w:rFonts w:ascii="宋体" w:hAnsi="宋体" w:eastAsia="宋体" w:cs="宋体"/>
                <w:color w:val="auto"/>
                <w:spacing w:val="-5"/>
                <w:highlight w:val="none"/>
                <w:lang w:eastAsia="zh-CN"/>
              </w:rPr>
            </w:pPr>
            <w:r>
              <w:rPr>
                <w:rFonts w:hint="eastAsia" w:ascii="宋体" w:hAnsi="宋体" w:eastAsia="宋体" w:cs="宋体"/>
                <w:color w:val="auto"/>
                <w:spacing w:val="-5"/>
                <w:highlight w:val="none"/>
                <w:lang w:eastAsia="zh-CN"/>
              </w:rPr>
              <w:t>8</w:t>
            </w:r>
          </w:p>
        </w:tc>
        <w:tc>
          <w:tcPr>
            <w:tcW w:w="5759" w:type="dxa"/>
            <w:vAlign w:val="center"/>
          </w:tcPr>
          <w:p w14:paraId="51B021ED">
            <w:pPr>
              <w:widowControl w:val="0"/>
              <w:kinsoku/>
              <w:wordWrap w:val="0"/>
              <w:snapToGrid/>
              <w:spacing w:line="360" w:lineRule="auto"/>
              <w:textAlignment w:val="auto"/>
              <w:rPr>
                <w:rFonts w:ascii="宋体" w:hAnsi="宋体" w:eastAsia="宋体" w:cs="宋体"/>
                <w:color w:val="auto"/>
                <w:spacing w:val="-5"/>
                <w:highlight w:val="none"/>
                <w:lang w:eastAsia="zh-CN"/>
              </w:rPr>
            </w:pPr>
            <w:r>
              <w:rPr>
                <w:rFonts w:hint="eastAsia" w:ascii="宋体" w:hAnsi="宋体" w:eastAsia="宋体" w:cs="宋体"/>
                <w:color w:val="auto"/>
                <w:spacing w:val="-5"/>
                <w:highlight w:val="none"/>
                <w:lang w:eastAsia="zh-CN"/>
              </w:rPr>
              <w:t>同意采购人以任何形式对我方的投标文件内容的真实性和有效性进行审查、验证；</w:t>
            </w:r>
          </w:p>
        </w:tc>
        <w:tc>
          <w:tcPr>
            <w:tcW w:w="1147" w:type="dxa"/>
            <w:vAlign w:val="center"/>
          </w:tcPr>
          <w:p w14:paraId="3521E33C">
            <w:pPr>
              <w:tabs>
                <w:tab w:val="left" w:pos="0"/>
                <w:tab w:val="left" w:pos="720"/>
                <w:tab w:val="left" w:pos="1160"/>
              </w:tabs>
              <w:spacing w:line="360" w:lineRule="auto"/>
              <w:rPr>
                <w:rFonts w:ascii="宋体" w:hAnsi="宋体" w:eastAsia="宋体" w:cs="宋体"/>
                <w:color w:val="auto"/>
                <w:sz w:val="24"/>
                <w:szCs w:val="24"/>
                <w:highlight w:val="none"/>
                <w:lang w:eastAsia="zh-CN"/>
              </w:rPr>
            </w:pPr>
          </w:p>
        </w:tc>
        <w:tc>
          <w:tcPr>
            <w:tcW w:w="947" w:type="dxa"/>
            <w:vAlign w:val="center"/>
          </w:tcPr>
          <w:p w14:paraId="791C685A">
            <w:pPr>
              <w:adjustRightInd/>
              <w:spacing w:line="360" w:lineRule="auto"/>
              <w:jc w:val="both"/>
              <w:textAlignment w:val="auto"/>
              <w:rPr>
                <w:rFonts w:ascii="宋体" w:hAnsi="宋体" w:eastAsia="宋体" w:cs="宋体"/>
                <w:snapToGrid/>
                <w:color w:val="auto"/>
                <w:kern w:val="2"/>
                <w:szCs w:val="24"/>
                <w:highlight w:val="none"/>
                <w:lang w:eastAsia="zh-CN"/>
              </w:rPr>
            </w:pPr>
          </w:p>
        </w:tc>
      </w:tr>
    </w:tbl>
    <w:p w14:paraId="53E248CD">
      <w:pPr>
        <w:spacing w:line="360" w:lineRule="auto"/>
        <w:rPr>
          <w:rFonts w:ascii="宋体" w:hAnsi="宋体" w:eastAsia="宋体" w:cs="宋体"/>
          <w:color w:val="auto"/>
          <w:sz w:val="22"/>
          <w:szCs w:val="20"/>
          <w:highlight w:val="none"/>
          <w:lang w:eastAsia="zh-CN"/>
        </w:rPr>
      </w:pPr>
    </w:p>
    <w:p w14:paraId="1432A023">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76C09FBE">
      <w:pPr>
        <w:numPr>
          <w:ilvl w:val="0"/>
          <w:numId w:val="6"/>
        </w:numPr>
        <w:spacing w:line="360" w:lineRule="auto"/>
        <w:rPr>
          <w:rFonts w:ascii="宋体" w:hAnsi="宋体" w:eastAsia="宋体" w:cs="宋体"/>
          <w:color w:val="auto"/>
          <w:sz w:val="24"/>
          <w:szCs w:val="24"/>
          <w:highlight w:val="none"/>
          <w:lang w:val="en-GB" w:eastAsia="zh-CN"/>
        </w:rPr>
      </w:pPr>
      <w:r>
        <w:rPr>
          <w:rFonts w:hint="eastAsia" w:ascii="宋体" w:hAnsi="宋体" w:eastAsia="宋体" w:cs="宋体"/>
          <w:color w:val="auto"/>
          <w:sz w:val="24"/>
          <w:szCs w:val="24"/>
          <w:highlight w:val="none"/>
          <w:lang w:eastAsia="zh-CN"/>
        </w:rPr>
        <w:t>对</w:t>
      </w:r>
      <w:r>
        <w:rPr>
          <w:rFonts w:hint="eastAsia" w:ascii="宋体" w:hAnsi="宋体" w:eastAsia="宋体" w:cs="宋体"/>
          <w:color w:val="auto"/>
          <w:sz w:val="24"/>
          <w:szCs w:val="24"/>
          <w:highlight w:val="none"/>
          <w:lang w:val="en-GB" w:eastAsia="zh-CN"/>
        </w:rPr>
        <w:t>于上述要求，如供应商完全响应，则请在“是否响应”栏内打“√”，对打“×”视为偏离，</w:t>
      </w:r>
      <w:r>
        <w:rPr>
          <w:rFonts w:hint="eastAsia" w:ascii="宋体" w:hAnsi="宋体" w:eastAsia="宋体" w:cs="宋体"/>
          <w:color w:val="auto"/>
          <w:sz w:val="24"/>
          <w:szCs w:val="24"/>
          <w:highlight w:val="none"/>
          <w:lang w:eastAsia="zh-CN"/>
        </w:rPr>
        <w:t>并</w:t>
      </w:r>
      <w:r>
        <w:rPr>
          <w:rFonts w:hint="eastAsia" w:ascii="宋体" w:hAnsi="宋体" w:eastAsia="宋体" w:cs="宋体"/>
          <w:color w:val="auto"/>
          <w:sz w:val="24"/>
          <w:szCs w:val="24"/>
          <w:highlight w:val="none"/>
          <w:lang w:val="en-GB" w:eastAsia="zh-CN"/>
        </w:rPr>
        <w:t>在“偏离说明”栏内注明</w:t>
      </w:r>
      <w:r>
        <w:rPr>
          <w:rFonts w:hint="eastAsia" w:ascii="宋体" w:hAnsi="宋体" w:eastAsia="宋体" w:cs="宋体"/>
          <w:color w:val="auto"/>
          <w:sz w:val="24"/>
          <w:szCs w:val="24"/>
          <w:highlight w:val="none"/>
          <w:lang w:eastAsia="zh-CN"/>
        </w:rPr>
        <w:t>偏离情况</w:t>
      </w:r>
      <w:r>
        <w:rPr>
          <w:rFonts w:hint="eastAsia" w:ascii="宋体" w:hAnsi="宋体" w:eastAsia="宋体" w:cs="宋体"/>
          <w:color w:val="auto"/>
          <w:sz w:val="24"/>
          <w:szCs w:val="24"/>
          <w:highlight w:val="none"/>
          <w:lang w:val="en-GB" w:eastAsia="zh-CN"/>
        </w:rPr>
        <w:t>说明；</w:t>
      </w:r>
    </w:p>
    <w:p w14:paraId="0E25F187">
      <w:pPr>
        <w:numPr>
          <w:ilvl w:val="0"/>
          <w:numId w:val="6"/>
        </w:numPr>
        <w:spacing w:line="360" w:lineRule="auto"/>
        <w:rPr>
          <w:rFonts w:ascii="宋体" w:hAnsi="宋体" w:eastAsia="宋体" w:cs="宋体"/>
          <w:color w:val="auto"/>
          <w:sz w:val="24"/>
          <w:szCs w:val="24"/>
          <w:highlight w:val="none"/>
          <w:lang w:val="en-GB" w:eastAsia="zh-CN"/>
        </w:rPr>
      </w:pPr>
      <w:r>
        <w:rPr>
          <w:rFonts w:hint="eastAsia" w:ascii="宋体" w:hAnsi="宋体" w:eastAsia="宋体" w:cs="宋体"/>
          <w:color w:val="auto"/>
          <w:sz w:val="24"/>
          <w:szCs w:val="24"/>
          <w:highlight w:val="none"/>
          <w:lang w:val="en-GB" w:eastAsia="zh-CN"/>
        </w:rPr>
        <w:t>以上商务条款偏离表有一项为“×”未响应或者负偏离，均视为未实质性响应磋商文件,属于采购人不能接受的条件。</w:t>
      </w:r>
    </w:p>
    <w:p w14:paraId="320B8D0A">
      <w:pPr>
        <w:numPr>
          <w:ilvl w:val="0"/>
          <w:numId w:val="6"/>
        </w:numPr>
        <w:spacing w:line="360" w:lineRule="auto"/>
        <w:rPr>
          <w:rFonts w:ascii="宋体" w:hAnsi="宋体" w:eastAsia="宋体" w:cs="宋体"/>
          <w:color w:val="auto"/>
          <w:sz w:val="24"/>
          <w:szCs w:val="24"/>
          <w:highlight w:val="none"/>
          <w:lang w:val="en-GB" w:eastAsia="zh-CN"/>
        </w:rPr>
      </w:pPr>
      <w:r>
        <w:rPr>
          <w:rFonts w:hint="eastAsia" w:ascii="宋体" w:hAnsi="宋体" w:eastAsia="宋体" w:cs="宋体"/>
          <w:color w:val="auto"/>
          <w:sz w:val="24"/>
          <w:szCs w:val="24"/>
          <w:highlight w:val="none"/>
          <w:lang w:val="en-GB" w:eastAsia="zh-CN"/>
        </w:rPr>
        <w:t>供应商应认真填写本响应表，若</w:t>
      </w:r>
      <w:r>
        <w:rPr>
          <w:rFonts w:hint="eastAsia" w:ascii="宋体" w:hAnsi="宋体" w:eastAsia="宋体" w:cs="宋体"/>
          <w:color w:val="auto"/>
          <w:sz w:val="24"/>
          <w:szCs w:val="24"/>
          <w:highlight w:val="none"/>
          <w:lang w:eastAsia="zh-CN"/>
        </w:rPr>
        <w:t>评标委员会</w:t>
      </w:r>
      <w:r>
        <w:rPr>
          <w:rFonts w:hint="eastAsia" w:ascii="宋体" w:hAnsi="宋体" w:eastAsia="宋体" w:cs="宋体"/>
          <w:color w:val="auto"/>
          <w:sz w:val="24"/>
          <w:szCs w:val="24"/>
          <w:highlight w:val="none"/>
          <w:lang w:val="en-GB" w:eastAsia="zh-CN"/>
        </w:rPr>
        <w:t>在评审期间，发现有虚假填写本响应表的，则将可能被视为存在两个</w:t>
      </w:r>
      <w:r>
        <w:rPr>
          <w:rFonts w:hint="eastAsia" w:ascii="宋体" w:hAnsi="宋体" w:eastAsia="宋体" w:cs="宋体"/>
          <w:color w:val="auto"/>
          <w:sz w:val="24"/>
          <w:szCs w:val="24"/>
          <w:highlight w:val="none"/>
          <w:lang w:eastAsia="zh-CN"/>
        </w:rPr>
        <w:t>响应方案</w:t>
      </w:r>
      <w:r>
        <w:rPr>
          <w:rFonts w:hint="eastAsia" w:ascii="宋体" w:hAnsi="宋体" w:eastAsia="宋体" w:cs="宋体"/>
          <w:color w:val="auto"/>
          <w:sz w:val="24"/>
          <w:szCs w:val="24"/>
          <w:highlight w:val="none"/>
          <w:lang w:val="en-GB" w:eastAsia="zh-CN"/>
        </w:rPr>
        <w:t>，</w:t>
      </w:r>
      <w:r>
        <w:rPr>
          <w:rFonts w:hint="eastAsia" w:ascii="宋体" w:hAnsi="宋体" w:eastAsia="宋体" w:cs="宋体"/>
          <w:color w:val="auto"/>
          <w:sz w:val="24"/>
          <w:szCs w:val="24"/>
          <w:highlight w:val="none"/>
          <w:lang w:eastAsia="zh-CN"/>
        </w:rPr>
        <w:t>评标委员会</w:t>
      </w:r>
      <w:r>
        <w:rPr>
          <w:rFonts w:hint="eastAsia" w:ascii="宋体" w:hAnsi="宋体" w:eastAsia="宋体" w:cs="宋体"/>
          <w:color w:val="auto"/>
          <w:sz w:val="24"/>
          <w:szCs w:val="24"/>
          <w:highlight w:val="none"/>
          <w:lang w:val="en-GB" w:eastAsia="zh-CN"/>
        </w:rPr>
        <w:t>将按本</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lang w:val="en-GB" w:eastAsia="zh-CN"/>
        </w:rPr>
        <w:t>文件相关规定执行；</w:t>
      </w:r>
    </w:p>
    <w:p w14:paraId="7AA13C28">
      <w:pPr>
        <w:numPr>
          <w:ilvl w:val="0"/>
          <w:numId w:val="6"/>
        </w:numPr>
        <w:spacing w:line="360" w:lineRule="auto"/>
        <w:rPr>
          <w:rFonts w:ascii="宋体" w:hAnsi="宋体" w:eastAsia="宋体" w:cs="宋体"/>
          <w:color w:val="auto"/>
          <w:sz w:val="24"/>
          <w:szCs w:val="24"/>
          <w:highlight w:val="none"/>
          <w:lang w:val="en-GB" w:eastAsia="zh-CN"/>
        </w:rPr>
      </w:pPr>
      <w:r>
        <w:rPr>
          <w:rFonts w:hint="eastAsia" w:ascii="宋体" w:hAnsi="宋体" w:eastAsia="宋体" w:cs="宋体"/>
          <w:color w:val="auto"/>
          <w:sz w:val="24"/>
          <w:szCs w:val="24"/>
          <w:highlight w:val="none"/>
          <w:lang w:val="en-GB" w:eastAsia="zh-CN"/>
        </w:rPr>
        <w:t>本表内容不得擅自修改。</w:t>
      </w:r>
    </w:p>
    <w:p w14:paraId="6E096EBE">
      <w:pPr>
        <w:spacing w:line="360" w:lineRule="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br w:type="page"/>
      </w:r>
    </w:p>
    <w:p w14:paraId="40AF17B2">
      <w:pPr>
        <w:spacing w:line="360" w:lineRule="auto"/>
        <w:jc w:val="center"/>
        <w:rPr>
          <w:rFonts w:ascii="宋体" w:hAnsi="宋体" w:eastAsia="宋体" w:cs="宋体"/>
          <w:b/>
          <w:bCs/>
          <w:color w:val="auto"/>
          <w:sz w:val="24"/>
          <w:szCs w:val="32"/>
          <w:highlight w:val="none"/>
          <w:lang w:eastAsia="zh-CN"/>
        </w:rPr>
      </w:pPr>
      <w:r>
        <w:rPr>
          <w:rFonts w:hint="eastAsia" w:ascii="宋体" w:hAnsi="宋体" w:eastAsia="宋体" w:cs="宋体"/>
          <w:b/>
          <w:bCs/>
          <w:color w:val="auto"/>
          <w:sz w:val="24"/>
          <w:szCs w:val="32"/>
          <w:highlight w:val="none"/>
          <w:lang w:eastAsia="zh-CN"/>
        </w:rPr>
        <w:t>（二）技术要求偏离表</w:t>
      </w:r>
    </w:p>
    <w:p w14:paraId="669063C2">
      <w:pPr>
        <w:spacing w:line="360" w:lineRule="auto"/>
        <w:ind w:firstLine="440" w:firstLineChars="200"/>
        <w:rPr>
          <w:rFonts w:ascii="宋体" w:hAnsi="宋体" w:eastAsia="宋体" w:cs="宋体"/>
          <w:sz w:val="22"/>
          <w:highlight w:val="none"/>
          <w:lang w:eastAsia="zh-CN"/>
        </w:rPr>
      </w:pPr>
      <w:r>
        <w:rPr>
          <w:rFonts w:hint="eastAsia" w:ascii="宋体" w:hAnsi="宋体" w:eastAsia="宋体" w:cs="宋体"/>
          <w:sz w:val="22"/>
          <w:highlight w:val="none"/>
          <w:lang w:eastAsia="zh-CN"/>
        </w:rPr>
        <w:t>　项目名称：</w:t>
      </w:r>
      <w:r>
        <w:rPr>
          <w:rFonts w:hint="eastAsia" w:ascii="宋体" w:hAnsi="宋体" w:eastAsia="宋体" w:cs="宋体"/>
          <w:sz w:val="22"/>
          <w:highlight w:val="none"/>
          <w:lang w:eastAsia="zh-CN"/>
        </w:rPr>
        <w:tab/>
      </w:r>
      <w:r>
        <w:rPr>
          <w:rFonts w:hint="eastAsia" w:ascii="宋体" w:hAnsi="宋体" w:eastAsia="宋体" w:cs="宋体"/>
          <w:sz w:val="22"/>
          <w:highlight w:val="none"/>
          <w:lang w:eastAsia="zh-CN"/>
        </w:rPr>
        <w:tab/>
      </w:r>
      <w:r>
        <w:rPr>
          <w:rFonts w:hint="eastAsia" w:ascii="宋体" w:hAnsi="宋体" w:eastAsia="宋体" w:cs="宋体"/>
          <w:sz w:val="22"/>
          <w:highlight w:val="none"/>
          <w:lang w:eastAsia="zh-CN"/>
        </w:rPr>
        <w:tab/>
      </w:r>
      <w:r>
        <w:rPr>
          <w:rFonts w:hint="eastAsia" w:ascii="宋体" w:hAnsi="宋体" w:eastAsia="宋体" w:cs="宋体"/>
          <w:sz w:val="22"/>
          <w:highlight w:val="none"/>
          <w:lang w:eastAsia="zh-CN"/>
        </w:rPr>
        <w:tab/>
      </w:r>
      <w:r>
        <w:rPr>
          <w:rFonts w:hint="eastAsia" w:ascii="宋体" w:hAnsi="宋体" w:eastAsia="宋体" w:cs="宋体"/>
          <w:sz w:val="22"/>
          <w:highlight w:val="none"/>
          <w:lang w:eastAsia="zh-CN"/>
        </w:rPr>
        <w:tab/>
      </w:r>
      <w:r>
        <w:rPr>
          <w:rFonts w:hint="eastAsia" w:ascii="宋体" w:hAnsi="宋体" w:eastAsia="宋体" w:cs="宋体"/>
          <w:sz w:val="22"/>
          <w:highlight w:val="none"/>
          <w:lang w:eastAsia="zh-CN"/>
        </w:rPr>
        <w:tab/>
      </w:r>
      <w:r>
        <w:rPr>
          <w:rFonts w:hint="eastAsia" w:ascii="宋体" w:hAnsi="宋体" w:eastAsia="宋体" w:cs="宋体"/>
          <w:sz w:val="22"/>
          <w:highlight w:val="none"/>
          <w:lang w:eastAsia="zh-CN"/>
        </w:rPr>
        <w:tab/>
      </w:r>
      <w:r>
        <w:rPr>
          <w:rFonts w:hint="eastAsia" w:ascii="宋体" w:hAnsi="宋体" w:eastAsia="宋体" w:cs="宋体"/>
          <w:sz w:val="22"/>
          <w:highlight w:val="none"/>
          <w:lang w:eastAsia="zh-CN"/>
        </w:rPr>
        <w:tab/>
      </w:r>
      <w:r>
        <w:rPr>
          <w:rFonts w:hint="eastAsia" w:ascii="宋体" w:hAnsi="宋体" w:eastAsia="宋体" w:cs="宋体"/>
          <w:sz w:val="22"/>
          <w:highlight w:val="none"/>
          <w:lang w:eastAsia="zh-CN"/>
        </w:rPr>
        <w:tab/>
      </w:r>
      <w:r>
        <w:rPr>
          <w:rFonts w:hint="eastAsia" w:ascii="宋体" w:hAnsi="宋体" w:eastAsia="宋体" w:cs="宋体"/>
          <w:sz w:val="22"/>
          <w:highlight w:val="none"/>
          <w:lang w:eastAsia="zh-CN"/>
        </w:rPr>
        <w:tab/>
      </w:r>
      <w:r>
        <w:rPr>
          <w:rFonts w:hint="eastAsia" w:ascii="宋体" w:hAnsi="宋体" w:eastAsia="宋体" w:cs="宋体"/>
          <w:sz w:val="22"/>
          <w:highlight w:val="none"/>
          <w:lang w:eastAsia="zh-CN"/>
        </w:rPr>
        <w:tab/>
      </w:r>
      <w:r>
        <w:rPr>
          <w:rFonts w:hint="eastAsia" w:ascii="宋体" w:hAnsi="宋体" w:eastAsia="宋体" w:cs="宋体"/>
          <w:sz w:val="22"/>
          <w:highlight w:val="none"/>
          <w:lang w:eastAsia="zh-CN"/>
        </w:rPr>
        <w:t>项目编号：</w:t>
      </w:r>
    </w:p>
    <w:p w14:paraId="0BCD2184">
      <w:pPr>
        <w:spacing w:line="360" w:lineRule="auto"/>
        <w:ind w:firstLine="440" w:firstLineChars="200"/>
        <w:rPr>
          <w:rFonts w:ascii="宋体" w:hAnsi="宋体" w:eastAsia="宋体" w:cs="宋体"/>
          <w:sz w:val="22"/>
          <w:highlight w:val="none"/>
        </w:rPr>
      </w:pPr>
      <w:r>
        <w:rPr>
          <w:rFonts w:hint="eastAsia" w:ascii="宋体" w:hAnsi="宋体" w:eastAsia="宋体" w:cs="宋体"/>
          <w:sz w:val="22"/>
          <w:highlight w:val="none"/>
          <w:lang w:eastAsia="zh-CN"/>
        </w:rPr>
        <w:t>　</w:t>
      </w:r>
      <w:r>
        <w:rPr>
          <w:rFonts w:hint="eastAsia" w:ascii="宋体" w:hAnsi="宋体" w:eastAsia="宋体" w:cs="宋体"/>
          <w:sz w:val="22"/>
          <w:highlight w:val="none"/>
        </w:rPr>
        <w:t>包号：</w:t>
      </w:r>
    </w:p>
    <w:tbl>
      <w:tblPr>
        <w:tblStyle w:val="30"/>
        <w:tblW w:w="82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
        <w:gridCol w:w="1152"/>
        <w:gridCol w:w="1260"/>
        <w:gridCol w:w="1128"/>
        <w:gridCol w:w="1140"/>
        <w:gridCol w:w="624"/>
        <w:gridCol w:w="788"/>
        <w:gridCol w:w="1150"/>
      </w:tblGrid>
      <w:tr w14:paraId="47A14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vAlign w:val="center"/>
          </w:tcPr>
          <w:p w14:paraId="311297A7">
            <w:pPr>
              <w:spacing w:line="360" w:lineRule="auto"/>
              <w:jc w:val="center"/>
              <w:rPr>
                <w:rFonts w:ascii="宋体" w:hAnsi="宋体" w:eastAsia="宋体" w:cs="宋体"/>
                <w:sz w:val="22"/>
                <w:highlight w:val="none"/>
              </w:rPr>
            </w:pPr>
            <w:r>
              <w:rPr>
                <w:rFonts w:hint="eastAsia" w:ascii="宋体" w:hAnsi="宋体" w:eastAsia="宋体" w:cs="宋体"/>
                <w:sz w:val="22"/>
                <w:highlight w:val="none"/>
              </w:rPr>
              <w:t>品目号</w:t>
            </w:r>
          </w:p>
        </w:tc>
        <w:tc>
          <w:tcPr>
            <w:tcW w:w="1152" w:type="dxa"/>
            <w:vAlign w:val="center"/>
          </w:tcPr>
          <w:p w14:paraId="0322BBE5">
            <w:pPr>
              <w:spacing w:line="360" w:lineRule="auto"/>
              <w:jc w:val="center"/>
              <w:rPr>
                <w:rFonts w:ascii="宋体" w:hAnsi="宋体" w:eastAsia="宋体" w:cs="宋体"/>
                <w:sz w:val="22"/>
                <w:highlight w:val="none"/>
              </w:rPr>
            </w:pPr>
            <w:r>
              <w:rPr>
                <w:rFonts w:hint="eastAsia" w:ascii="宋体" w:hAnsi="宋体" w:eastAsia="宋体" w:cs="宋体"/>
                <w:sz w:val="22"/>
                <w:highlight w:val="none"/>
              </w:rPr>
              <w:t>货物名称</w:t>
            </w:r>
          </w:p>
        </w:tc>
        <w:tc>
          <w:tcPr>
            <w:tcW w:w="1260" w:type="dxa"/>
            <w:vAlign w:val="center"/>
          </w:tcPr>
          <w:p w14:paraId="5A3AD966">
            <w:pPr>
              <w:spacing w:line="360" w:lineRule="auto"/>
              <w:jc w:val="center"/>
              <w:rPr>
                <w:rFonts w:ascii="宋体" w:hAnsi="宋体" w:eastAsia="宋体" w:cs="宋体"/>
                <w:sz w:val="22"/>
                <w:highlight w:val="none"/>
              </w:rPr>
            </w:pPr>
            <w:r>
              <w:rPr>
                <w:rFonts w:hint="eastAsia" w:ascii="宋体" w:hAnsi="宋体" w:eastAsia="宋体" w:cs="宋体"/>
                <w:sz w:val="22"/>
                <w:highlight w:val="none"/>
              </w:rPr>
              <w:t>招标规格</w:t>
            </w:r>
          </w:p>
        </w:tc>
        <w:tc>
          <w:tcPr>
            <w:tcW w:w="1128" w:type="dxa"/>
            <w:vAlign w:val="center"/>
          </w:tcPr>
          <w:p w14:paraId="7950E16F">
            <w:pPr>
              <w:spacing w:line="360" w:lineRule="auto"/>
              <w:jc w:val="center"/>
              <w:rPr>
                <w:rFonts w:ascii="宋体" w:hAnsi="宋体" w:eastAsia="宋体" w:cs="宋体"/>
                <w:sz w:val="22"/>
                <w:highlight w:val="none"/>
              </w:rPr>
            </w:pPr>
            <w:r>
              <w:rPr>
                <w:rFonts w:hint="eastAsia" w:ascii="宋体" w:hAnsi="宋体" w:eastAsia="宋体" w:cs="宋体"/>
                <w:sz w:val="22"/>
                <w:highlight w:val="none"/>
              </w:rPr>
              <w:t>技术指标要求</w:t>
            </w:r>
          </w:p>
        </w:tc>
        <w:tc>
          <w:tcPr>
            <w:tcW w:w="1140" w:type="dxa"/>
            <w:vAlign w:val="center"/>
          </w:tcPr>
          <w:p w14:paraId="65BA443D">
            <w:pPr>
              <w:spacing w:line="360" w:lineRule="auto"/>
              <w:jc w:val="center"/>
              <w:rPr>
                <w:rFonts w:ascii="宋体" w:hAnsi="宋体" w:eastAsia="宋体" w:cs="宋体"/>
                <w:sz w:val="22"/>
                <w:highlight w:val="none"/>
              </w:rPr>
            </w:pPr>
            <w:r>
              <w:rPr>
                <w:rFonts w:hint="eastAsia" w:ascii="宋体" w:hAnsi="宋体" w:eastAsia="宋体" w:cs="宋体"/>
                <w:sz w:val="22"/>
                <w:highlight w:val="none"/>
              </w:rPr>
              <w:t>投标投标情况</w:t>
            </w:r>
          </w:p>
        </w:tc>
        <w:tc>
          <w:tcPr>
            <w:tcW w:w="624" w:type="dxa"/>
            <w:vAlign w:val="center"/>
          </w:tcPr>
          <w:p w14:paraId="31327A3B">
            <w:pPr>
              <w:spacing w:line="360" w:lineRule="auto"/>
              <w:jc w:val="center"/>
              <w:rPr>
                <w:rFonts w:ascii="宋体" w:hAnsi="宋体" w:eastAsia="宋体" w:cs="宋体"/>
                <w:sz w:val="22"/>
                <w:highlight w:val="none"/>
              </w:rPr>
            </w:pPr>
            <w:r>
              <w:rPr>
                <w:rFonts w:hint="eastAsia" w:ascii="宋体" w:hAnsi="宋体" w:eastAsia="宋体" w:cs="宋体"/>
                <w:sz w:val="22"/>
                <w:highlight w:val="none"/>
              </w:rPr>
              <w:t>偏离</w:t>
            </w:r>
          </w:p>
        </w:tc>
        <w:tc>
          <w:tcPr>
            <w:tcW w:w="788" w:type="dxa"/>
            <w:vAlign w:val="center"/>
          </w:tcPr>
          <w:p w14:paraId="40C2D49F">
            <w:pPr>
              <w:spacing w:line="360" w:lineRule="auto"/>
              <w:jc w:val="center"/>
              <w:rPr>
                <w:rFonts w:ascii="宋体" w:hAnsi="宋体" w:eastAsia="宋体" w:cs="宋体"/>
                <w:sz w:val="22"/>
                <w:highlight w:val="none"/>
              </w:rPr>
            </w:pPr>
            <w:r>
              <w:rPr>
                <w:rFonts w:hint="eastAsia" w:ascii="宋体" w:hAnsi="宋体" w:eastAsia="宋体" w:cs="宋体"/>
                <w:sz w:val="22"/>
                <w:highlight w:val="none"/>
              </w:rPr>
              <w:t>说明</w:t>
            </w:r>
          </w:p>
        </w:tc>
        <w:tc>
          <w:tcPr>
            <w:tcW w:w="1150" w:type="dxa"/>
            <w:vAlign w:val="center"/>
          </w:tcPr>
          <w:p w14:paraId="18388BF8">
            <w:pPr>
              <w:spacing w:line="360" w:lineRule="auto"/>
              <w:jc w:val="center"/>
              <w:rPr>
                <w:rFonts w:ascii="宋体" w:hAnsi="宋体" w:eastAsia="宋体" w:cs="宋体"/>
                <w:sz w:val="22"/>
                <w:highlight w:val="none"/>
                <w:lang w:eastAsia="zh-CN"/>
              </w:rPr>
            </w:pPr>
            <w:r>
              <w:rPr>
                <w:rFonts w:hint="eastAsia" w:ascii="宋体" w:hAnsi="宋体" w:eastAsia="宋体" w:cs="宋体"/>
                <w:color w:val="auto"/>
                <w:spacing w:val="-3"/>
                <w:highlight w:val="none"/>
                <w:lang w:eastAsia="zh-CN"/>
              </w:rPr>
              <w:t>相关证明材料或彩色实物图片</w:t>
            </w:r>
          </w:p>
        </w:tc>
      </w:tr>
      <w:tr w14:paraId="40C77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vAlign w:val="center"/>
          </w:tcPr>
          <w:p w14:paraId="404FF9AA">
            <w:pPr>
              <w:spacing w:line="360" w:lineRule="auto"/>
              <w:jc w:val="center"/>
              <w:rPr>
                <w:rFonts w:ascii="宋体" w:hAnsi="宋体" w:eastAsia="宋体" w:cs="宋体"/>
                <w:sz w:val="22"/>
                <w:highlight w:val="none"/>
                <w:lang w:eastAsia="zh-CN"/>
              </w:rPr>
            </w:pPr>
          </w:p>
        </w:tc>
        <w:tc>
          <w:tcPr>
            <w:tcW w:w="1152" w:type="dxa"/>
            <w:vAlign w:val="center"/>
          </w:tcPr>
          <w:p w14:paraId="2AC8B29E">
            <w:pPr>
              <w:spacing w:line="360" w:lineRule="auto"/>
              <w:jc w:val="center"/>
              <w:rPr>
                <w:rFonts w:ascii="宋体" w:hAnsi="宋体" w:eastAsia="宋体" w:cs="宋体"/>
                <w:sz w:val="22"/>
                <w:highlight w:val="none"/>
                <w:lang w:eastAsia="zh-CN"/>
              </w:rPr>
            </w:pPr>
          </w:p>
        </w:tc>
        <w:tc>
          <w:tcPr>
            <w:tcW w:w="1260" w:type="dxa"/>
            <w:vAlign w:val="center"/>
          </w:tcPr>
          <w:p w14:paraId="76B41579">
            <w:pPr>
              <w:spacing w:line="360" w:lineRule="auto"/>
              <w:jc w:val="center"/>
              <w:rPr>
                <w:rFonts w:ascii="宋体" w:hAnsi="宋体" w:eastAsia="宋体" w:cs="宋体"/>
                <w:sz w:val="22"/>
                <w:highlight w:val="none"/>
                <w:lang w:eastAsia="zh-CN"/>
              </w:rPr>
            </w:pPr>
          </w:p>
        </w:tc>
        <w:tc>
          <w:tcPr>
            <w:tcW w:w="1128" w:type="dxa"/>
            <w:vAlign w:val="center"/>
          </w:tcPr>
          <w:p w14:paraId="5479B4E4">
            <w:pPr>
              <w:spacing w:line="360" w:lineRule="auto"/>
              <w:jc w:val="center"/>
              <w:rPr>
                <w:rFonts w:ascii="宋体" w:hAnsi="宋体" w:eastAsia="宋体" w:cs="宋体"/>
                <w:sz w:val="22"/>
                <w:highlight w:val="none"/>
                <w:lang w:eastAsia="zh-CN"/>
              </w:rPr>
            </w:pPr>
          </w:p>
        </w:tc>
        <w:tc>
          <w:tcPr>
            <w:tcW w:w="1140" w:type="dxa"/>
            <w:vAlign w:val="center"/>
          </w:tcPr>
          <w:p w14:paraId="04DA2A5B">
            <w:pPr>
              <w:spacing w:line="360" w:lineRule="auto"/>
              <w:jc w:val="center"/>
              <w:rPr>
                <w:rFonts w:ascii="宋体" w:hAnsi="宋体" w:eastAsia="宋体" w:cs="宋体"/>
                <w:sz w:val="22"/>
                <w:highlight w:val="none"/>
                <w:lang w:eastAsia="zh-CN"/>
              </w:rPr>
            </w:pPr>
          </w:p>
        </w:tc>
        <w:tc>
          <w:tcPr>
            <w:tcW w:w="624" w:type="dxa"/>
            <w:vAlign w:val="center"/>
          </w:tcPr>
          <w:p w14:paraId="63A941E8">
            <w:pPr>
              <w:spacing w:line="360" w:lineRule="auto"/>
              <w:jc w:val="center"/>
              <w:rPr>
                <w:rFonts w:ascii="宋体" w:hAnsi="宋体" w:eastAsia="宋体" w:cs="宋体"/>
                <w:sz w:val="22"/>
                <w:highlight w:val="none"/>
                <w:lang w:eastAsia="zh-CN"/>
              </w:rPr>
            </w:pPr>
          </w:p>
        </w:tc>
        <w:tc>
          <w:tcPr>
            <w:tcW w:w="788" w:type="dxa"/>
            <w:vAlign w:val="center"/>
          </w:tcPr>
          <w:p w14:paraId="48EFA4C6">
            <w:pPr>
              <w:spacing w:line="360" w:lineRule="auto"/>
              <w:jc w:val="center"/>
              <w:rPr>
                <w:rFonts w:ascii="宋体" w:hAnsi="宋体" w:eastAsia="宋体" w:cs="宋体"/>
                <w:sz w:val="22"/>
                <w:highlight w:val="none"/>
                <w:lang w:eastAsia="zh-CN"/>
              </w:rPr>
            </w:pPr>
          </w:p>
        </w:tc>
        <w:tc>
          <w:tcPr>
            <w:tcW w:w="1150" w:type="dxa"/>
            <w:vAlign w:val="center"/>
          </w:tcPr>
          <w:p w14:paraId="5050FD3E">
            <w:pPr>
              <w:spacing w:line="360" w:lineRule="auto"/>
              <w:jc w:val="center"/>
              <w:rPr>
                <w:rFonts w:ascii="宋体" w:hAnsi="宋体" w:eastAsia="宋体" w:cs="宋体"/>
                <w:sz w:val="22"/>
                <w:highlight w:val="none"/>
                <w:lang w:eastAsia="zh-CN"/>
              </w:rPr>
            </w:pPr>
          </w:p>
        </w:tc>
      </w:tr>
      <w:tr w14:paraId="11197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vAlign w:val="center"/>
          </w:tcPr>
          <w:p w14:paraId="270EC29E">
            <w:pPr>
              <w:spacing w:line="360" w:lineRule="auto"/>
              <w:jc w:val="center"/>
              <w:rPr>
                <w:rFonts w:ascii="宋体" w:hAnsi="宋体" w:eastAsia="宋体" w:cs="宋体"/>
                <w:sz w:val="22"/>
                <w:highlight w:val="none"/>
                <w:lang w:eastAsia="zh-CN"/>
              </w:rPr>
            </w:pPr>
          </w:p>
        </w:tc>
        <w:tc>
          <w:tcPr>
            <w:tcW w:w="1152" w:type="dxa"/>
            <w:vAlign w:val="center"/>
          </w:tcPr>
          <w:p w14:paraId="6B9B7EA9">
            <w:pPr>
              <w:spacing w:line="360" w:lineRule="auto"/>
              <w:jc w:val="center"/>
              <w:rPr>
                <w:rFonts w:ascii="宋体" w:hAnsi="宋体" w:eastAsia="宋体" w:cs="宋体"/>
                <w:sz w:val="22"/>
                <w:highlight w:val="none"/>
                <w:lang w:eastAsia="zh-CN"/>
              </w:rPr>
            </w:pPr>
          </w:p>
        </w:tc>
        <w:tc>
          <w:tcPr>
            <w:tcW w:w="1260" w:type="dxa"/>
            <w:vAlign w:val="center"/>
          </w:tcPr>
          <w:p w14:paraId="4D4FB289">
            <w:pPr>
              <w:spacing w:line="360" w:lineRule="auto"/>
              <w:jc w:val="center"/>
              <w:rPr>
                <w:rFonts w:ascii="宋体" w:hAnsi="宋体" w:eastAsia="宋体" w:cs="宋体"/>
                <w:sz w:val="22"/>
                <w:highlight w:val="none"/>
                <w:lang w:eastAsia="zh-CN"/>
              </w:rPr>
            </w:pPr>
          </w:p>
        </w:tc>
        <w:tc>
          <w:tcPr>
            <w:tcW w:w="1128" w:type="dxa"/>
            <w:vAlign w:val="center"/>
          </w:tcPr>
          <w:p w14:paraId="19338BD3">
            <w:pPr>
              <w:spacing w:line="360" w:lineRule="auto"/>
              <w:jc w:val="center"/>
              <w:rPr>
                <w:rFonts w:ascii="宋体" w:hAnsi="宋体" w:eastAsia="宋体" w:cs="宋体"/>
                <w:sz w:val="22"/>
                <w:highlight w:val="none"/>
                <w:lang w:eastAsia="zh-CN"/>
              </w:rPr>
            </w:pPr>
          </w:p>
        </w:tc>
        <w:tc>
          <w:tcPr>
            <w:tcW w:w="1140" w:type="dxa"/>
            <w:vAlign w:val="center"/>
          </w:tcPr>
          <w:p w14:paraId="19D4355D">
            <w:pPr>
              <w:spacing w:line="360" w:lineRule="auto"/>
              <w:jc w:val="center"/>
              <w:rPr>
                <w:rFonts w:ascii="宋体" w:hAnsi="宋体" w:eastAsia="宋体" w:cs="宋体"/>
                <w:sz w:val="22"/>
                <w:highlight w:val="none"/>
                <w:lang w:eastAsia="zh-CN"/>
              </w:rPr>
            </w:pPr>
          </w:p>
        </w:tc>
        <w:tc>
          <w:tcPr>
            <w:tcW w:w="624" w:type="dxa"/>
            <w:vAlign w:val="center"/>
          </w:tcPr>
          <w:p w14:paraId="7B323D85">
            <w:pPr>
              <w:spacing w:line="360" w:lineRule="auto"/>
              <w:jc w:val="center"/>
              <w:rPr>
                <w:rFonts w:ascii="宋体" w:hAnsi="宋体" w:eastAsia="宋体" w:cs="宋体"/>
                <w:sz w:val="22"/>
                <w:highlight w:val="none"/>
                <w:lang w:eastAsia="zh-CN"/>
              </w:rPr>
            </w:pPr>
          </w:p>
        </w:tc>
        <w:tc>
          <w:tcPr>
            <w:tcW w:w="788" w:type="dxa"/>
            <w:vAlign w:val="center"/>
          </w:tcPr>
          <w:p w14:paraId="69E89705">
            <w:pPr>
              <w:spacing w:line="360" w:lineRule="auto"/>
              <w:jc w:val="center"/>
              <w:rPr>
                <w:rFonts w:ascii="宋体" w:hAnsi="宋体" w:eastAsia="宋体" w:cs="宋体"/>
                <w:sz w:val="22"/>
                <w:highlight w:val="none"/>
                <w:lang w:eastAsia="zh-CN"/>
              </w:rPr>
            </w:pPr>
          </w:p>
        </w:tc>
        <w:tc>
          <w:tcPr>
            <w:tcW w:w="1150" w:type="dxa"/>
            <w:vAlign w:val="center"/>
          </w:tcPr>
          <w:p w14:paraId="30A344D5">
            <w:pPr>
              <w:spacing w:line="360" w:lineRule="auto"/>
              <w:jc w:val="center"/>
              <w:rPr>
                <w:rFonts w:ascii="宋体" w:hAnsi="宋体" w:eastAsia="宋体" w:cs="宋体"/>
                <w:sz w:val="22"/>
                <w:highlight w:val="none"/>
                <w:lang w:eastAsia="zh-CN"/>
              </w:rPr>
            </w:pPr>
          </w:p>
        </w:tc>
      </w:tr>
      <w:tr w14:paraId="43678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vAlign w:val="center"/>
          </w:tcPr>
          <w:p w14:paraId="5C1928B9">
            <w:pPr>
              <w:spacing w:line="360" w:lineRule="auto"/>
              <w:jc w:val="center"/>
              <w:rPr>
                <w:rFonts w:ascii="宋体" w:hAnsi="宋体" w:eastAsia="宋体" w:cs="宋体"/>
                <w:sz w:val="22"/>
                <w:highlight w:val="none"/>
                <w:lang w:eastAsia="zh-CN"/>
              </w:rPr>
            </w:pPr>
          </w:p>
        </w:tc>
        <w:tc>
          <w:tcPr>
            <w:tcW w:w="1152" w:type="dxa"/>
            <w:vAlign w:val="center"/>
          </w:tcPr>
          <w:p w14:paraId="237A57EC">
            <w:pPr>
              <w:spacing w:line="360" w:lineRule="auto"/>
              <w:jc w:val="center"/>
              <w:rPr>
                <w:rFonts w:ascii="宋体" w:hAnsi="宋体" w:eastAsia="宋体" w:cs="宋体"/>
                <w:sz w:val="22"/>
                <w:highlight w:val="none"/>
                <w:lang w:eastAsia="zh-CN"/>
              </w:rPr>
            </w:pPr>
          </w:p>
        </w:tc>
        <w:tc>
          <w:tcPr>
            <w:tcW w:w="1260" w:type="dxa"/>
            <w:vAlign w:val="center"/>
          </w:tcPr>
          <w:p w14:paraId="46EA0403">
            <w:pPr>
              <w:spacing w:line="360" w:lineRule="auto"/>
              <w:jc w:val="center"/>
              <w:rPr>
                <w:rFonts w:ascii="宋体" w:hAnsi="宋体" w:eastAsia="宋体" w:cs="宋体"/>
                <w:sz w:val="22"/>
                <w:highlight w:val="none"/>
                <w:lang w:eastAsia="zh-CN"/>
              </w:rPr>
            </w:pPr>
          </w:p>
        </w:tc>
        <w:tc>
          <w:tcPr>
            <w:tcW w:w="1128" w:type="dxa"/>
            <w:vAlign w:val="center"/>
          </w:tcPr>
          <w:p w14:paraId="3500369F">
            <w:pPr>
              <w:spacing w:line="360" w:lineRule="auto"/>
              <w:jc w:val="center"/>
              <w:rPr>
                <w:rFonts w:ascii="宋体" w:hAnsi="宋体" w:eastAsia="宋体" w:cs="宋体"/>
                <w:sz w:val="22"/>
                <w:highlight w:val="none"/>
                <w:lang w:eastAsia="zh-CN"/>
              </w:rPr>
            </w:pPr>
          </w:p>
        </w:tc>
        <w:tc>
          <w:tcPr>
            <w:tcW w:w="1140" w:type="dxa"/>
            <w:vAlign w:val="center"/>
          </w:tcPr>
          <w:p w14:paraId="770E1A15">
            <w:pPr>
              <w:spacing w:line="360" w:lineRule="auto"/>
              <w:jc w:val="center"/>
              <w:rPr>
                <w:rFonts w:ascii="宋体" w:hAnsi="宋体" w:eastAsia="宋体" w:cs="宋体"/>
                <w:sz w:val="22"/>
                <w:highlight w:val="none"/>
                <w:lang w:eastAsia="zh-CN"/>
              </w:rPr>
            </w:pPr>
          </w:p>
        </w:tc>
        <w:tc>
          <w:tcPr>
            <w:tcW w:w="624" w:type="dxa"/>
            <w:vAlign w:val="center"/>
          </w:tcPr>
          <w:p w14:paraId="73B98591">
            <w:pPr>
              <w:spacing w:line="360" w:lineRule="auto"/>
              <w:jc w:val="center"/>
              <w:rPr>
                <w:rFonts w:ascii="宋体" w:hAnsi="宋体" w:eastAsia="宋体" w:cs="宋体"/>
                <w:sz w:val="22"/>
                <w:highlight w:val="none"/>
                <w:lang w:eastAsia="zh-CN"/>
              </w:rPr>
            </w:pPr>
          </w:p>
        </w:tc>
        <w:tc>
          <w:tcPr>
            <w:tcW w:w="788" w:type="dxa"/>
            <w:vAlign w:val="center"/>
          </w:tcPr>
          <w:p w14:paraId="6AEBAD27">
            <w:pPr>
              <w:spacing w:line="360" w:lineRule="auto"/>
              <w:jc w:val="center"/>
              <w:rPr>
                <w:rFonts w:ascii="宋体" w:hAnsi="宋体" w:eastAsia="宋体" w:cs="宋体"/>
                <w:sz w:val="22"/>
                <w:highlight w:val="none"/>
                <w:lang w:eastAsia="zh-CN"/>
              </w:rPr>
            </w:pPr>
          </w:p>
        </w:tc>
        <w:tc>
          <w:tcPr>
            <w:tcW w:w="1150" w:type="dxa"/>
            <w:vAlign w:val="center"/>
          </w:tcPr>
          <w:p w14:paraId="53208298">
            <w:pPr>
              <w:spacing w:line="360" w:lineRule="auto"/>
              <w:jc w:val="center"/>
              <w:rPr>
                <w:rFonts w:ascii="宋体" w:hAnsi="宋体" w:eastAsia="宋体" w:cs="宋体"/>
                <w:sz w:val="22"/>
                <w:highlight w:val="none"/>
                <w:lang w:eastAsia="zh-CN"/>
              </w:rPr>
            </w:pPr>
          </w:p>
        </w:tc>
      </w:tr>
      <w:tr w14:paraId="5C51D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vAlign w:val="center"/>
          </w:tcPr>
          <w:p w14:paraId="142F9F9F">
            <w:pPr>
              <w:spacing w:line="360" w:lineRule="auto"/>
              <w:jc w:val="center"/>
              <w:rPr>
                <w:rFonts w:ascii="宋体" w:hAnsi="宋体" w:eastAsia="宋体" w:cs="宋体"/>
                <w:sz w:val="22"/>
                <w:highlight w:val="none"/>
                <w:lang w:eastAsia="zh-CN"/>
              </w:rPr>
            </w:pPr>
          </w:p>
        </w:tc>
        <w:tc>
          <w:tcPr>
            <w:tcW w:w="1152" w:type="dxa"/>
            <w:vAlign w:val="center"/>
          </w:tcPr>
          <w:p w14:paraId="0E5747BD">
            <w:pPr>
              <w:spacing w:line="360" w:lineRule="auto"/>
              <w:jc w:val="center"/>
              <w:rPr>
                <w:rFonts w:ascii="宋体" w:hAnsi="宋体" w:eastAsia="宋体" w:cs="宋体"/>
                <w:sz w:val="22"/>
                <w:highlight w:val="none"/>
                <w:lang w:eastAsia="zh-CN"/>
              </w:rPr>
            </w:pPr>
          </w:p>
        </w:tc>
        <w:tc>
          <w:tcPr>
            <w:tcW w:w="1260" w:type="dxa"/>
            <w:vAlign w:val="center"/>
          </w:tcPr>
          <w:p w14:paraId="154963A4">
            <w:pPr>
              <w:spacing w:line="360" w:lineRule="auto"/>
              <w:jc w:val="center"/>
              <w:rPr>
                <w:rFonts w:ascii="宋体" w:hAnsi="宋体" w:eastAsia="宋体" w:cs="宋体"/>
                <w:sz w:val="22"/>
                <w:highlight w:val="none"/>
                <w:lang w:eastAsia="zh-CN"/>
              </w:rPr>
            </w:pPr>
          </w:p>
        </w:tc>
        <w:tc>
          <w:tcPr>
            <w:tcW w:w="1128" w:type="dxa"/>
            <w:vAlign w:val="center"/>
          </w:tcPr>
          <w:p w14:paraId="51CA4B16">
            <w:pPr>
              <w:spacing w:line="360" w:lineRule="auto"/>
              <w:jc w:val="center"/>
              <w:rPr>
                <w:rFonts w:ascii="宋体" w:hAnsi="宋体" w:eastAsia="宋体" w:cs="宋体"/>
                <w:sz w:val="22"/>
                <w:highlight w:val="none"/>
                <w:lang w:eastAsia="zh-CN"/>
              </w:rPr>
            </w:pPr>
          </w:p>
        </w:tc>
        <w:tc>
          <w:tcPr>
            <w:tcW w:w="1140" w:type="dxa"/>
            <w:vAlign w:val="center"/>
          </w:tcPr>
          <w:p w14:paraId="30E7ECA4">
            <w:pPr>
              <w:spacing w:line="360" w:lineRule="auto"/>
              <w:jc w:val="center"/>
              <w:rPr>
                <w:rFonts w:ascii="宋体" w:hAnsi="宋体" w:eastAsia="宋体" w:cs="宋体"/>
                <w:sz w:val="22"/>
                <w:highlight w:val="none"/>
                <w:lang w:eastAsia="zh-CN"/>
              </w:rPr>
            </w:pPr>
          </w:p>
        </w:tc>
        <w:tc>
          <w:tcPr>
            <w:tcW w:w="624" w:type="dxa"/>
            <w:vAlign w:val="center"/>
          </w:tcPr>
          <w:p w14:paraId="5D641D9B">
            <w:pPr>
              <w:spacing w:line="360" w:lineRule="auto"/>
              <w:jc w:val="center"/>
              <w:rPr>
                <w:rFonts w:ascii="宋体" w:hAnsi="宋体" w:eastAsia="宋体" w:cs="宋体"/>
                <w:sz w:val="22"/>
                <w:highlight w:val="none"/>
                <w:lang w:eastAsia="zh-CN"/>
              </w:rPr>
            </w:pPr>
          </w:p>
        </w:tc>
        <w:tc>
          <w:tcPr>
            <w:tcW w:w="788" w:type="dxa"/>
            <w:vAlign w:val="center"/>
          </w:tcPr>
          <w:p w14:paraId="4400B8E3">
            <w:pPr>
              <w:spacing w:line="360" w:lineRule="auto"/>
              <w:jc w:val="center"/>
              <w:rPr>
                <w:rFonts w:ascii="宋体" w:hAnsi="宋体" w:eastAsia="宋体" w:cs="宋体"/>
                <w:sz w:val="22"/>
                <w:highlight w:val="none"/>
                <w:lang w:eastAsia="zh-CN"/>
              </w:rPr>
            </w:pPr>
          </w:p>
        </w:tc>
        <w:tc>
          <w:tcPr>
            <w:tcW w:w="1150" w:type="dxa"/>
            <w:vAlign w:val="center"/>
          </w:tcPr>
          <w:p w14:paraId="79B30C07">
            <w:pPr>
              <w:spacing w:line="360" w:lineRule="auto"/>
              <w:jc w:val="center"/>
              <w:rPr>
                <w:rFonts w:ascii="宋体" w:hAnsi="宋体" w:eastAsia="宋体" w:cs="宋体"/>
                <w:sz w:val="22"/>
                <w:highlight w:val="none"/>
                <w:lang w:eastAsia="zh-CN"/>
              </w:rPr>
            </w:pPr>
          </w:p>
        </w:tc>
      </w:tr>
      <w:tr w14:paraId="33B6A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vAlign w:val="center"/>
          </w:tcPr>
          <w:p w14:paraId="5B7D76D2">
            <w:pPr>
              <w:spacing w:line="360" w:lineRule="auto"/>
              <w:jc w:val="center"/>
              <w:rPr>
                <w:rFonts w:ascii="宋体" w:hAnsi="宋体" w:eastAsia="宋体" w:cs="宋体"/>
                <w:sz w:val="22"/>
                <w:highlight w:val="none"/>
                <w:lang w:eastAsia="zh-CN"/>
              </w:rPr>
            </w:pPr>
          </w:p>
        </w:tc>
        <w:tc>
          <w:tcPr>
            <w:tcW w:w="1152" w:type="dxa"/>
            <w:vAlign w:val="center"/>
          </w:tcPr>
          <w:p w14:paraId="36AE3FCE">
            <w:pPr>
              <w:spacing w:line="360" w:lineRule="auto"/>
              <w:jc w:val="center"/>
              <w:rPr>
                <w:rFonts w:ascii="宋体" w:hAnsi="宋体" w:eastAsia="宋体" w:cs="宋体"/>
                <w:sz w:val="22"/>
                <w:highlight w:val="none"/>
                <w:lang w:eastAsia="zh-CN"/>
              </w:rPr>
            </w:pPr>
          </w:p>
        </w:tc>
        <w:tc>
          <w:tcPr>
            <w:tcW w:w="1260" w:type="dxa"/>
            <w:vAlign w:val="center"/>
          </w:tcPr>
          <w:p w14:paraId="0E24C9F3">
            <w:pPr>
              <w:spacing w:line="360" w:lineRule="auto"/>
              <w:jc w:val="center"/>
              <w:rPr>
                <w:rFonts w:ascii="宋体" w:hAnsi="宋体" w:eastAsia="宋体" w:cs="宋体"/>
                <w:sz w:val="22"/>
                <w:highlight w:val="none"/>
                <w:lang w:eastAsia="zh-CN"/>
              </w:rPr>
            </w:pPr>
          </w:p>
        </w:tc>
        <w:tc>
          <w:tcPr>
            <w:tcW w:w="1128" w:type="dxa"/>
            <w:vAlign w:val="center"/>
          </w:tcPr>
          <w:p w14:paraId="04087D10">
            <w:pPr>
              <w:spacing w:line="360" w:lineRule="auto"/>
              <w:jc w:val="center"/>
              <w:rPr>
                <w:rFonts w:ascii="宋体" w:hAnsi="宋体" w:eastAsia="宋体" w:cs="宋体"/>
                <w:sz w:val="22"/>
                <w:highlight w:val="none"/>
                <w:lang w:eastAsia="zh-CN"/>
              </w:rPr>
            </w:pPr>
          </w:p>
        </w:tc>
        <w:tc>
          <w:tcPr>
            <w:tcW w:w="1140" w:type="dxa"/>
            <w:vAlign w:val="center"/>
          </w:tcPr>
          <w:p w14:paraId="79DD6AF8">
            <w:pPr>
              <w:spacing w:line="360" w:lineRule="auto"/>
              <w:jc w:val="center"/>
              <w:rPr>
                <w:rFonts w:ascii="宋体" w:hAnsi="宋体" w:eastAsia="宋体" w:cs="宋体"/>
                <w:sz w:val="22"/>
                <w:highlight w:val="none"/>
                <w:lang w:eastAsia="zh-CN"/>
              </w:rPr>
            </w:pPr>
          </w:p>
        </w:tc>
        <w:tc>
          <w:tcPr>
            <w:tcW w:w="624" w:type="dxa"/>
            <w:vAlign w:val="center"/>
          </w:tcPr>
          <w:p w14:paraId="4DD0B6F4">
            <w:pPr>
              <w:spacing w:line="360" w:lineRule="auto"/>
              <w:jc w:val="center"/>
              <w:rPr>
                <w:rFonts w:ascii="宋体" w:hAnsi="宋体" w:eastAsia="宋体" w:cs="宋体"/>
                <w:sz w:val="22"/>
                <w:highlight w:val="none"/>
                <w:lang w:eastAsia="zh-CN"/>
              </w:rPr>
            </w:pPr>
          </w:p>
        </w:tc>
        <w:tc>
          <w:tcPr>
            <w:tcW w:w="788" w:type="dxa"/>
            <w:vAlign w:val="center"/>
          </w:tcPr>
          <w:p w14:paraId="6F560EDB">
            <w:pPr>
              <w:spacing w:line="360" w:lineRule="auto"/>
              <w:jc w:val="center"/>
              <w:rPr>
                <w:rFonts w:ascii="宋体" w:hAnsi="宋体" w:eastAsia="宋体" w:cs="宋体"/>
                <w:sz w:val="22"/>
                <w:highlight w:val="none"/>
                <w:lang w:eastAsia="zh-CN"/>
              </w:rPr>
            </w:pPr>
          </w:p>
        </w:tc>
        <w:tc>
          <w:tcPr>
            <w:tcW w:w="1150" w:type="dxa"/>
            <w:vAlign w:val="center"/>
          </w:tcPr>
          <w:p w14:paraId="49AECEE4">
            <w:pPr>
              <w:spacing w:line="360" w:lineRule="auto"/>
              <w:jc w:val="center"/>
              <w:rPr>
                <w:rFonts w:ascii="宋体" w:hAnsi="宋体" w:eastAsia="宋体" w:cs="宋体"/>
                <w:sz w:val="22"/>
                <w:highlight w:val="none"/>
                <w:lang w:eastAsia="zh-CN"/>
              </w:rPr>
            </w:pPr>
          </w:p>
        </w:tc>
      </w:tr>
      <w:tr w14:paraId="618B7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vAlign w:val="center"/>
          </w:tcPr>
          <w:p w14:paraId="46781201">
            <w:pPr>
              <w:spacing w:line="360" w:lineRule="auto"/>
              <w:jc w:val="center"/>
              <w:rPr>
                <w:rFonts w:ascii="宋体" w:hAnsi="宋体" w:eastAsia="宋体" w:cs="宋体"/>
                <w:sz w:val="22"/>
                <w:highlight w:val="none"/>
                <w:lang w:eastAsia="zh-CN"/>
              </w:rPr>
            </w:pPr>
          </w:p>
        </w:tc>
        <w:tc>
          <w:tcPr>
            <w:tcW w:w="1152" w:type="dxa"/>
            <w:vAlign w:val="center"/>
          </w:tcPr>
          <w:p w14:paraId="20F42456">
            <w:pPr>
              <w:spacing w:line="360" w:lineRule="auto"/>
              <w:jc w:val="center"/>
              <w:rPr>
                <w:rFonts w:ascii="宋体" w:hAnsi="宋体" w:eastAsia="宋体" w:cs="宋体"/>
                <w:sz w:val="22"/>
                <w:highlight w:val="none"/>
                <w:lang w:eastAsia="zh-CN"/>
              </w:rPr>
            </w:pPr>
          </w:p>
        </w:tc>
        <w:tc>
          <w:tcPr>
            <w:tcW w:w="1260" w:type="dxa"/>
            <w:vAlign w:val="center"/>
          </w:tcPr>
          <w:p w14:paraId="3AE00DB8">
            <w:pPr>
              <w:spacing w:line="360" w:lineRule="auto"/>
              <w:jc w:val="center"/>
              <w:rPr>
                <w:rFonts w:ascii="宋体" w:hAnsi="宋体" w:eastAsia="宋体" w:cs="宋体"/>
                <w:sz w:val="22"/>
                <w:highlight w:val="none"/>
                <w:lang w:eastAsia="zh-CN"/>
              </w:rPr>
            </w:pPr>
          </w:p>
        </w:tc>
        <w:tc>
          <w:tcPr>
            <w:tcW w:w="1128" w:type="dxa"/>
            <w:vAlign w:val="center"/>
          </w:tcPr>
          <w:p w14:paraId="6561963A">
            <w:pPr>
              <w:spacing w:line="360" w:lineRule="auto"/>
              <w:jc w:val="center"/>
              <w:rPr>
                <w:rFonts w:ascii="宋体" w:hAnsi="宋体" w:eastAsia="宋体" w:cs="宋体"/>
                <w:sz w:val="22"/>
                <w:highlight w:val="none"/>
                <w:lang w:eastAsia="zh-CN"/>
              </w:rPr>
            </w:pPr>
          </w:p>
        </w:tc>
        <w:tc>
          <w:tcPr>
            <w:tcW w:w="1140" w:type="dxa"/>
            <w:vAlign w:val="center"/>
          </w:tcPr>
          <w:p w14:paraId="769BEB55">
            <w:pPr>
              <w:spacing w:line="360" w:lineRule="auto"/>
              <w:jc w:val="center"/>
              <w:rPr>
                <w:rFonts w:ascii="宋体" w:hAnsi="宋体" w:eastAsia="宋体" w:cs="宋体"/>
                <w:sz w:val="22"/>
                <w:highlight w:val="none"/>
                <w:lang w:eastAsia="zh-CN"/>
              </w:rPr>
            </w:pPr>
          </w:p>
        </w:tc>
        <w:tc>
          <w:tcPr>
            <w:tcW w:w="624" w:type="dxa"/>
            <w:vAlign w:val="center"/>
          </w:tcPr>
          <w:p w14:paraId="47C1DB5F">
            <w:pPr>
              <w:spacing w:line="360" w:lineRule="auto"/>
              <w:jc w:val="center"/>
              <w:rPr>
                <w:rFonts w:ascii="宋体" w:hAnsi="宋体" w:eastAsia="宋体" w:cs="宋体"/>
                <w:sz w:val="22"/>
                <w:highlight w:val="none"/>
                <w:lang w:eastAsia="zh-CN"/>
              </w:rPr>
            </w:pPr>
          </w:p>
        </w:tc>
        <w:tc>
          <w:tcPr>
            <w:tcW w:w="788" w:type="dxa"/>
            <w:vAlign w:val="center"/>
          </w:tcPr>
          <w:p w14:paraId="4280C526">
            <w:pPr>
              <w:spacing w:line="360" w:lineRule="auto"/>
              <w:jc w:val="center"/>
              <w:rPr>
                <w:rFonts w:ascii="宋体" w:hAnsi="宋体" w:eastAsia="宋体" w:cs="宋体"/>
                <w:sz w:val="22"/>
                <w:highlight w:val="none"/>
                <w:lang w:eastAsia="zh-CN"/>
              </w:rPr>
            </w:pPr>
          </w:p>
        </w:tc>
        <w:tc>
          <w:tcPr>
            <w:tcW w:w="1150" w:type="dxa"/>
            <w:vAlign w:val="center"/>
          </w:tcPr>
          <w:p w14:paraId="11F8653A">
            <w:pPr>
              <w:spacing w:line="360" w:lineRule="auto"/>
              <w:jc w:val="center"/>
              <w:rPr>
                <w:rFonts w:ascii="宋体" w:hAnsi="宋体" w:eastAsia="宋体" w:cs="宋体"/>
                <w:sz w:val="22"/>
                <w:highlight w:val="none"/>
                <w:lang w:eastAsia="zh-CN"/>
              </w:rPr>
            </w:pPr>
          </w:p>
        </w:tc>
      </w:tr>
    </w:tbl>
    <w:p w14:paraId="043AC56C">
      <w:pPr>
        <w:spacing w:line="360" w:lineRule="auto"/>
        <w:ind w:firstLine="440" w:firstLineChars="200"/>
        <w:rPr>
          <w:rFonts w:ascii="宋体" w:hAnsi="宋体" w:eastAsia="宋体" w:cs="宋体"/>
          <w:sz w:val="22"/>
          <w:highlight w:val="none"/>
          <w:lang w:eastAsia="zh-CN"/>
        </w:rPr>
      </w:pPr>
      <w:r>
        <w:rPr>
          <w:rFonts w:hint="eastAsia" w:ascii="宋体" w:hAnsi="宋体" w:eastAsia="宋体" w:cs="宋体"/>
          <w:sz w:val="22"/>
          <w:highlight w:val="none"/>
          <w:lang w:eastAsia="zh-CN"/>
        </w:rPr>
        <w:t>说明：在偏离项必须注明正偏离、负偏离或无偏离。</w:t>
      </w:r>
    </w:p>
    <w:p w14:paraId="2F2FB65E">
      <w:pPr>
        <w:spacing w:line="360" w:lineRule="auto"/>
        <w:ind w:firstLine="440" w:firstLineChars="200"/>
        <w:rPr>
          <w:rFonts w:ascii="宋体" w:hAnsi="宋体" w:eastAsia="宋体" w:cs="宋体"/>
          <w:sz w:val="22"/>
          <w:highlight w:val="none"/>
          <w:lang w:eastAsia="zh-CN"/>
        </w:rPr>
      </w:pPr>
    </w:p>
    <w:p w14:paraId="4CE26A02">
      <w:pPr>
        <w:spacing w:line="360" w:lineRule="auto"/>
        <w:ind w:firstLine="440" w:firstLineChars="200"/>
        <w:rPr>
          <w:rFonts w:ascii="宋体" w:hAnsi="宋体" w:eastAsia="宋体" w:cs="宋体"/>
          <w:sz w:val="22"/>
          <w:highlight w:val="none"/>
          <w:lang w:eastAsia="zh-CN"/>
        </w:rPr>
      </w:pPr>
      <w:r>
        <w:rPr>
          <w:rFonts w:hint="eastAsia" w:ascii="宋体" w:hAnsi="宋体" w:eastAsia="宋体" w:cs="宋体"/>
          <w:sz w:val="22"/>
          <w:highlight w:val="none"/>
          <w:lang w:eastAsia="zh-CN"/>
        </w:rPr>
        <w:t>供应商名称(公章)：____________</w:t>
      </w:r>
    </w:p>
    <w:p w14:paraId="67520C87">
      <w:pPr>
        <w:spacing w:line="360" w:lineRule="auto"/>
        <w:ind w:firstLine="440" w:firstLineChars="200"/>
        <w:rPr>
          <w:rFonts w:ascii="宋体" w:hAnsi="宋体" w:eastAsia="宋体" w:cs="宋体"/>
          <w:sz w:val="22"/>
          <w:highlight w:val="none"/>
          <w:lang w:eastAsia="zh-CN"/>
        </w:rPr>
      </w:pPr>
      <w:r>
        <w:rPr>
          <w:rFonts w:hint="eastAsia" w:ascii="宋体" w:hAnsi="宋体" w:eastAsia="宋体" w:cs="宋体"/>
          <w:sz w:val="22"/>
          <w:highlight w:val="none"/>
          <w:lang w:eastAsia="zh-CN"/>
        </w:rPr>
        <w:t>法定代表人或其授权代表(签字或盖章)：____________</w:t>
      </w:r>
    </w:p>
    <w:p w14:paraId="64BBB5DF">
      <w:pPr>
        <w:spacing w:line="360" w:lineRule="auto"/>
        <w:ind w:firstLine="440" w:firstLineChars="200"/>
        <w:rPr>
          <w:rFonts w:ascii="宋体" w:hAnsi="宋体" w:eastAsia="宋体" w:cs="宋体"/>
          <w:sz w:val="22"/>
          <w:highlight w:val="none"/>
          <w:lang w:eastAsia="zh-CN"/>
        </w:rPr>
      </w:pPr>
      <w:r>
        <w:rPr>
          <w:rFonts w:hint="eastAsia" w:ascii="宋体" w:hAnsi="宋体" w:eastAsia="宋体" w:cs="宋体"/>
          <w:sz w:val="22"/>
          <w:highlight w:val="none"/>
          <w:lang w:eastAsia="zh-CN"/>
        </w:rPr>
        <w:t>日期：______年____月____日</w:t>
      </w:r>
    </w:p>
    <w:p w14:paraId="2D690339">
      <w:pPr>
        <w:spacing w:line="360" w:lineRule="auto"/>
        <w:ind w:firstLine="440" w:firstLineChars="200"/>
        <w:rPr>
          <w:rFonts w:ascii="宋体" w:hAnsi="宋体" w:eastAsia="宋体" w:cs="宋体"/>
          <w:sz w:val="22"/>
          <w:highlight w:val="none"/>
          <w:lang w:eastAsia="zh-CN"/>
        </w:rPr>
      </w:pPr>
    </w:p>
    <w:p w14:paraId="3EAA943F">
      <w:pPr>
        <w:spacing w:line="360" w:lineRule="auto"/>
        <w:rPr>
          <w:rFonts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注：</w:t>
      </w:r>
    </w:p>
    <w:p w14:paraId="629F7DF4">
      <w:pPr>
        <w:spacing w:line="360" w:lineRule="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1.投标人应按照招标文件“第</w:t>
      </w:r>
      <w:r>
        <w:rPr>
          <w:rFonts w:hint="eastAsia" w:ascii="宋体" w:hAnsi="宋体" w:eastAsia="宋体" w:cs="宋体"/>
          <w:sz w:val="24"/>
          <w:szCs w:val="24"/>
          <w:highlight w:val="none"/>
          <w:lang w:val="en-US" w:eastAsia="zh-CN"/>
        </w:rPr>
        <w:t>六</w:t>
      </w:r>
      <w:r>
        <w:rPr>
          <w:rFonts w:hint="eastAsia" w:ascii="宋体" w:hAnsi="宋体" w:eastAsia="宋体" w:cs="宋体"/>
          <w:sz w:val="24"/>
          <w:szCs w:val="24"/>
          <w:highlight w:val="none"/>
          <w:lang w:eastAsia="zh-CN"/>
        </w:rPr>
        <w:t>章 采购需求”中的“（二）技术要求”填写，投标人针对采购需求内容要求有差异的，则在此表中列明实际响应的内容提要并加以说明，以便查对。无差异说明表示完全响应。</w:t>
      </w:r>
    </w:p>
    <w:p w14:paraId="4500A1EA">
      <w:pPr>
        <w:spacing w:line="360" w:lineRule="auto"/>
        <w:rPr>
          <w:rFonts w:ascii="宋体" w:hAnsi="宋体" w:eastAsia="宋体" w:cs="宋体"/>
          <w:color w:val="auto"/>
          <w:sz w:val="24"/>
          <w:szCs w:val="24"/>
          <w:highlight w:val="none"/>
          <w:lang w:eastAsia="zh-CN"/>
        </w:rPr>
      </w:pPr>
      <w:r>
        <w:rPr>
          <w:rFonts w:hint="eastAsia" w:ascii="宋体" w:hAnsi="宋体" w:eastAsia="宋体" w:cs="宋体"/>
          <w:sz w:val="24"/>
          <w:szCs w:val="24"/>
          <w:highlight w:val="none"/>
          <w:lang w:eastAsia="zh-CN"/>
        </w:rPr>
        <w:t>2.投标人须根据“第</w:t>
      </w:r>
      <w:r>
        <w:rPr>
          <w:rFonts w:hint="eastAsia" w:ascii="宋体" w:hAnsi="宋体" w:eastAsia="宋体" w:cs="宋体"/>
          <w:sz w:val="24"/>
          <w:szCs w:val="24"/>
          <w:highlight w:val="none"/>
          <w:lang w:val="en-US" w:eastAsia="zh-CN"/>
        </w:rPr>
        <w:t>六</w:t>
      </w:r>
      <w:r>
        <w:rPr>
          <w:rFonts w:hint="eastAsia" w:ascii="宋体" w:hAnsi="宋体" w:eastAsia="宋体" w:cs="宋体"/>
          <w:sz w:val="24"/>
          <w:szCs w:val="24"/>
          <w:highlight w:val="none"/>
          <w:lang w:eastAsia="zh-CN"/>
        </w:rPr>
        <w:t>章 采购需求”中“（二）技术要求”的“</w:t>
      </w:r>
      <w:r>
        <w:rPr>
          <w:rFonts w:hint="eastAsia" w:ascii="宋体" w:hAnsi="宋体" w:eastAsia="宋体" w:cs="宋体"/>
          <w:sz w:val="24"/>
          <w:szCs w:val="24"/>
          <w:highlight w:val="none"/>
          <w:lang w:val="en-US" w:eastAsia="zh-CN"/>
        </w:rPr>
        <w:t>需求清单</w:t>
      </w:r>
      <w:r>
        <w:rPr>
          <w:rFonts w:hint="eastAsia" w:ascii="宋体" w:hAnsi="宋体" w:eastAsia="宋体" w:cs="宋体"/>
          <w:sz w:val="24"/>
          <w:szCs w:val="24"/>
          <w:highlight w:val="none"/>
          <w:lang w:eastAsia="zh-CN"/>
        </w:rPr>
        <w:t>”，逐一提供</w:t>
      </w:r>
      <w:r>
        <w:rPr>
          <w:rFonts w:hint="eastAsia" w:ascii="宋体" w:hAnsi="宋体" w:eastAsia="宋体" w:cs="宋体"/>
          <w:color w:val="auto"/>
          <w:sz w:val="24"/>
          <w:szCs w:val="24"/>
          <w:highlight w:val="none"/>
          <w:lang w:eastAsia="zh-CN"/>
        </w:rPr>
        <w:t>与所投产品或产品技术参数相关的证明材料（如所投产品的产品规格表或产品检测报告或鉴定证书或制造商产品彩页或制造商官网截图或制造商产品说明书或彩色实物图片</w:t>
      </w:r>
      <w:r>
        <w:rPr>
          <w:rFonts w:hint="eastAsia" w:ascii="宋体" w:hAnsi="宋体" w:eastAsia="宋体" w:cs="宋体"/>
          <w:color w:val="0000FF"/>
          <w:sz w:val="24"/>
          <w:szCs w:val="24"/>
          <w:highlight w:val="none"/>
          <w:lang w:val="en-US" w:eastAsia="zh-CN"/>
        </w:rPr>
        <w:t>、及承诺书</w:t>
      </w:r>
      <w:r>
        <w:rPr>
          <w:rFonts w:hint="eastAsia" w:ascii="宋体" w:hAnsi="宋体" w:eastAsia="宋体" w:cs="宋体"/>
          <w:color w:val="auto"/>
          <w:sz w:val="24"/>
          <w:szCs w:val="24"/>
          <w:highlight w:val="none"/>
          <w:lang w:eastAsia="zh-CN"/>
        </w:rPr>
        <w:t>等证明材料，不提供或不清楚或不准确，不予认可）</w:t>
      </w:r>
      <w:r>
        <w:rPr>
          <w:rFonts w:hint="eastAsia" w:ascii="宋体" w:hAnsi="宋体" w:eastAsia="宋体" w:cs="宋体"/>
          <w:sz w:val="24"/>
          <w:szCs w:val="24"/>
          <w:highlight w:val="none"/>
          <w:lang w:eastAsia="zh-CN"/>
        </w:rPr>
        <w:t>。</w:t>
      </w:r>
    </w:p>
    <w:p w14:paraId="02007940">
      <w:pPr>
        <w:spacing w:line="360" w:lineRule="auto"/>
        <w:rPr>
          <w:rFonts w:ascii="宋体" w:hAnsi="宋体" w:eastAsia="宋体" w:cs="宋体"/>
          <w:color w:val="auto"/>
          <w:highlight w:val="none"/>
          <w:lang w:eastAsia="zh-CN"/>
        </w:rPr>
      </w:pPr>
    </w:p>
    <w:p w14:paraId="4E36B7D0">
      <w:pPr>
        <w:pageBreakBefore/>
        <w:spacing w:before="101" w:line="360" w:lineRule="auto"/>
        <w:jc w:val="center"/>
        <w:outlineLvl w:val="1"/>
        <w:rPr>
          <w:rFonts w:ascii="宋体" w:hAnsi="宋体" w:eastAsia="宋体" w:cs="宋体"/>
          <w:b/>
          <w:bCs/>
          <w:color w:val="auto"/>
          <w:spacing w:val="1"/>
          <w:sz w:val="31"/>
          <w:szCs w:val="31"/>
          <w:highlight w:val="none"/>
          <w:lang w:eastAsia="zh-CN"/>
        </w:rPr>
      </w:pPr>
      <w:bookmarkStart w:id="212" w:name="bookmark267"/>
      <w:bookmarkEnd w:id="212"/>
      <w:bookmarkStart w:id="213" w:name="bookmark268"/>
      <w:bookmarkEnd w:id="213"/>
      <w:bookmarkStart w:id="214" w:name="_Toc186477819"/>
      <w:bookmarkStart w:id="215" w:name="_Toc12335"/>
      <w:r>
        <w:rPr>
          <w:rFonts w:hint="eastAsia" w:ascii="宋体" w:hAnsi="宋体" w:eastAsia="宋体" w:cs="宋体"/>
          <w:b/>
          <w:bCs/>
          <w:color w:val="auto"/>
          <w:spacing w:val="1"/>
          <w:sz w:val="31"/>
          <w:szCs w:val="31"/>
          <w:highlight w:val="none"/>
          <w:lang w:val="en-US" w:eastAsia="zh-CN"/>
        </w:rPr>
        <w:t>八</w:t>
      </w:r>
      <w:r>
        <w:rPr>
          <w:rFonts w:hint="eastAsia" w:ascii="宋体" w:hAnsi="宋体" w:eastAsia="宋体" w:cs="宋体"/>
          <w:b/>
          <w:bCs/>
          <w:color w:val="auto"/>
          <w:spacing w:val="1"/>
          <w:sz w:val="31"/>
          <w:szCs w:val="31"/>
          <w:highlight w:val="none"/>
          <w:lang w:eastAsia="zh-CN"/>
        </w:rPr>
        <w:t>、业绩证明文件</w:t>
      </w:r>
      <w:bookmarkEnd w:id="214"/>
      <w:bookmarkEnd w:id="215"/>
    </w:p>
    <w:p w14:paraId="6F712BB3">
      <w:pPr>
        <w:spacing w:before="307" w:line="360" w:lineRule="auto"/>
        <w:ind w:left="426"/>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项目名称：</w:t>
      </w:r>
    </w:p>
    <w:p w14:paraId="799B59C6">
      <w:pPr>
        <w:spacing w:before="182" w:line="360" w:lineRule="auto"/>
        <w:ind w:left="426"/>
        <w:rPr>
          <w:rFonts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项目（包）编号：</w:t>
      </w:r>
    </w:p>
    <w:p w14:paraId="02AA6BB7">
      <w:pPr>
        <w:spacing w:line="360" w:lineRule="auto"/>
        <w:rPr>
          <w:rFonts w:ascii="宋体" w:hAnsi="宋体" w:eastAsia="宋体" w:cs="宋体"/>
          <w:color w:val="auto"/>
          <w:highlight w:val="none"/>
        </w:rPr>
      </w:pPr>
    </w:p>
    <w:tbl>
      <w:tblPr>
        <w:tblStyle w:val="30"/>
        <w:tblW w:w="88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3"/>
        <w:gridCol w:w="1134"/>
        <w:gridCol w:w="1276"/>
        <w:gridCol w:w="1134"/>
        <w:gridCol w:w="1418"/>
        <w:gridCol w:w="1134"/>
        <w:gridCol w:w="992"/>
        <w:gridCol w:w="1134"/>
      </w:tblGrid>
      <w:tr w14:paraId="748F51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45" w:hRule="atLeast"/>
        </w:trPr>
        <w:tc>
          <w:tcPr>
            <w:tcW w:w="673" w:type="dxa"/>
            <w:vAlign w:val="center"/>
          </w:tcPr>
          <w:p w14:paraId="17D47909">
            <w:pPr>
              <w:pStyle w:val="77"/>
              <w:spacing w:before="78" w:line="360" w:lineRule="auto"/>
              <w:jc w:val="center"/>
              <w:rPr>
                <w:color w:val="auto"/>
                <w:sz w:val="21"/>
                <w:szCs w:val="21"/>
                <w:highlight w:val="none"/>
              </w:rPr>
            </w:pPr>
            <w:r>
              <w:rPr>
                <w:rFonts w:hint="eastAsia"/>
                <w:color w:val="auto"/>
                <w:spacing w:val="-5"/>
                <w:sz w:val="21"/>
                <w:szCs w:val="21"/>
                <w:highlight w:val="none"/>
              </w:rPr>
              <w:t>序号</w:t>
            </w:r>
          </w:p>
        </w:tc>
        <w:tc>
          <w:tcPr>
            <w:tcW w:w="1134" w:type="dxa"/>
            <w:vAlign w:val="center"/>
          </w:tcPr>
          <w:p w14:paraId="7DFB4B2E">
            <w:pPr>
              <w:pStyle w:val="77"/>
              <w:spacing w:before="78" w:line="360" w:lineRule="auto"/>
              <w:jc w:val="center"/>
              <w:rPr>
                <w:color w:val="auto"/>
                <w:spacing w:val="-5"/>
                <w:sz w:val="21"/>
                <w:szCs w:val="21"/>
                <w:highlight w:val="none"/>
              </w:rPr>
            </w:pPr>
            <w:r>
              <w:rPr>
                <w:rFonts w:hint="eastAsia"/>
                <w:color w:val="auto"/>
                <w:spacing w:val="-5"/>
                <w:sz w:val="21"/>
                <w:szCs w:val="21"/>
                <w:highlight w:val="none"/>
              </w:rPr>
              <w:t>完成时间</w:t>
            </w:r>
          </w:p>
        </w:tc>
        <w:tc>
          <w:tcPr>
            <w:tcW w:w="1276" w:type="dxa"/>
            <w:vAlign w:val="center"/>
          </w:tcPr>
          <w:p w14:paraId="30AB9007">
            <w:pPr>
              <w:pStyle w:val="77"/>
              <w:spacing w:before="78" w:line="360" w:lineRule="auto"/>
              <w:jc w:val="center"/>
              <w:rPr>
                <w:color w:val="auto"/>
                <w:spacing w:val="-5"/>
                <w:sz w:val="21"/>
                <w:szCs w:val="21"/>
                <w:highlight w:val="none"/>
              </w:rPr>
            </w:pPr>
            <w:r>
              <w:rPr>
                <w:rFonts w:hint="eastAsia"/>
                <w:color w:val="auto"/>
                <w:spacing w:val="-5"/>
                <w:sz w:val="21"/>
                <w:szCs w:val="21"/>
                <w:highlight w:val="none"/>
              </w:rPr>
              <w:t>项目名称</w:t>
            </w:r>
          </w:p>
        </w:tc>
        <w:tc>
          <w:tcPr>
            <w:tcW w:w="1134" w:type="dxa"/>
            <w:vAlign w:val="center"/>
          </w:tcPr>
          <w:p w14:paraId="536407D7">
            <w:pPr>
              <w:pStyle w:val="77"/>
              <w:spacing w:before="78" w:line="360" w:lineRule="auto"/>
              <w:jc w:val="center"/>
              <w:rPr>
                <w:color w:val="auto"/>
                <w:spacing w:val="-5"/>
                <w:sz w:val="21"/>
                <w:szCs w:val="21"/>
                <w:highlight w:val="none"/>
              </w:rPr>
            </w:pPr>
            <w:r>
              <w:rPr>
                <w:rFonts w:hint="eastAsia"/>
                <w:color w:val="auto"/>
                <w:spacing w:val="-5"/>
                <w:sz w:val="21"/>
                <w:szCs w:val="21"/>
                <w:highlight w:val="none"/>
              </w:rPr>
              <w:t>标的内容</w:t>
            </w:r>
          </w:p>
        </w:tc>
        <w:tc>
          <w:tcPr>
            <w:tcW w:w="1418" w:type="dxa"/>
            <w:vAlign w:val="center"/>
          </w:tcPr>
          <w:p w14:paraId="1C28FB04">
            <w:pPr>
              <w:pStyle w:val="77"/>
              <w:spacing w:before="78" w:line="360" w:lineRule="auto"/>
              <w:jc w:val="center"/>
              <w:rPr>
                <w:color w:val="auto"/>
                <w:spacing w:val="-5"/>
                <w:sz w:val="21"/>
                <w:szCs w:val="21"/>
                <w:highlight w:val="none"/>
              </w:rPr>
            </w:pPr>
            <w:r>
              <w:rPr>
                <w:rFonts w:hint="eastAsia"/>
                <w:color w:val="auto"/>
                <w:spacing w:val="-5"/>
                <w:sz w:val="21"/>
                <w:szCs w:val="21"/>
                <w:highlight w:val="none"/>
              </w:rPr>
              <w:t>采购人名称</w:t>
            </w:r>
          </w:p>
        </w:tc>
        <w:tc>
          <w:tcPr>
            <w:tcW w:w="1134" w:type="dxa"/>
            <w:vAlign w:val="center"/>
          </w:tcPr>
          <w:p w14:paraId="6AE0267C">
            <w:pPr>
              <w:pStyle w:val="77"/>
              <w:spacing w:before="118" w:line="360" w:lineRule="auto"/>
              <w:ind w:right="4"/>
              <w:jc w:val="center"/>
              <w:rPr>
                <w:color w:val="auto"/>
                <w:spacing w:val="-5"/>
                <w:sz w:val="21"/>
                <w:szCs w:val="21"/>
                <w:highlight w:val="none"/>
              </w:rPr>
            </w:pPr>
            <w:r>
              <w:rPr>
                <w:rFonts w:hint="eastAsia"/>
                <w:color w:val="auto"/>
                <w:spacing w:val="-5"/>
                <w:sz w:val="21"/>
                <w:szCs w:val="21"/>
                <w:highlight w:val="none"/>
              </w:rPr>
              <w:t>中标（成交）金额</w:t>
            </w:r>
          </w:p>
        </w:tc>
        <w:tc>
          <w:tcPr>
            <w:tcW w:w="992" w:type="dxa"/>
            <w:vAlign w:val="center"/>
          </w:tcPr>
          <w:p w14:paraId="15E70E0F">
            <w:pPr>
              <w:pStyle w:val="77"/>
              <w:spacing w:before="78" w:line="360" w:lineRule="auto"/>
              <w:jc w:val="center"/>
              <w:rPr>
                <w:color w:val="auto"/>
                <w:spacing w:val="-5"/>
                <w:sz w:val="21"/>
                <w:szCs w:val="21"/>
                <w:highlight w:val="none"/>
              </w:rPr>
            </w:pPr>
            <w:r>
              <w:rPr>
                <w:rFonts w:hint="eastAsia"/>
                <w:color w:val="auto"/>
                <w:spacing w:val="-5"/>
                <w:sz w:val="21"/>
                <w:szCs w:val="21"/>
                <w:highlight w:val="none"/>
              </w:rPr>
              <w:t>联系人</w:t>
            </w:r>
          </w:p>
        </w:tc>
        <w:tc>
          <w:tcPr>
            <w:tcW w:w="1134" w:type="dxa"/>
            <w:vAlign w:val="center"/>
          </w:tcPr>
          <w:p w14:paraId="66396E87">
            <w:pPr>
              <w:pStyle w:val="77"/>
              <w:spacing w:before="78" w:line="360" w:lineRule="auto"/>
              <w:jc w:val="center"/>
              <w:rPr>
                <w:color w:val="auto"/>
                <w:spacing w:val="-5"/>
                <w:sz w:val="21"/>
                <w:szCs w:val="21"/>
                <w:highlight w:val="none"/>
              </w:rPr>
            </w:pPr>
            <w:r>
              <w:rPr>
                <w:rFonts w:hint="eastAsia"/>
                <w:color w:val="auto"/>
                <w:spacing w:val="-5"/>
                <w:sz w:val="21"/>
                <w:szCs w:val="21"/>
                <w:highlight w:val="none"/>
              </w:rPr>
              <w:t>联系电话</w:t>
            </w:r>
          </w:p>
        </w:tc>
      </w:tr>
      <w:tr w14:paraId="7F3F69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75" w:hRule="atLeast"/>
        </w:trPr>
        <w:tc>
          <w:tcPr>
            <w:tcW w:w="673" w:type="dxa"/>
          </w:tcPr>
          <w:p w14:paraId="768BB2A0">
            <w:pPr>
              <w:pStyle w:val="77"/>
              <w:spacing w:before="252" w:line="360" w:lineRule="auto"/>
              <w:ind w:left="-2"/>
              <w:jc w:val="center"/>
              <w:rPr>
                <w:color w:val="auto"/>
                <w:sz w:val="21"/>
                <w:szCs w:val="21"/>
                <w:highlight w:val="none"/>
              </w:rPr>
            </w:pPr>
            <w:r>
              <w:rPr>
                <w:rFonts w:hint="eastAsia"/>
                <w:color w:val="auto"/>
                <w:sz w:val="21"/>
                <w:szCs w:val="21"/>
                <w:highlight w:val="none"/>
              </w:rPr>
              <w:t>1</w:t>
            </w:r>
          </w:p>
        </w:tc>
        <w:tc>
          <w:tcPr>
            <w:tcW w:w="1134" w:type="dxa"/>
          </w:tcPr>
          <w:p w14:paraId="10946D58">
            <w:pPr>
              <w:spacing w:line="360" w:lineRule="auto"/>
              <w:rPr>
                <w:rFonts w:ascii="宋体" w:hAnsi="宋体" w:eastAsia="宋体" w:cs="宋体"/>
                <w:color w:val="auto"/>
                <w:highlight w:val="none"/>
              </w:rPr>
            </w:pPr>
          </w:p>
        </w:tc>
        <w:tc>
          <w:tcPr>
            <w:tcW w:w="1276" w:type="dxa"/>
          </w:tcPr>
          <w:p w14:paraId="5186A1C3">
            <w:pPr>
              <w:spacing w:line="360" w:lineRule="auto"/>
              <w:rPr>
                <w:rFonts w:ascii="宋体" w:hAnsi="宋体" w:eastAsia="宋体" w:cs="宋体"/>
                <w:color w:val="auto"/>
                <w:highlight w:val="none"/>
              </w:rPr>
            </w:pPr>
          </w:p>
        </w:tc>
        <w:tc>
          <w:tcPr>
            <w:tcW w:w="1134" w:type="dxa"/>
          </w:tcPr>
          <w:p w14:paraId="3501C460">
            <w:pPr>
              <w:spacing w:line="360" w:lineRule="auto"/>
              <w:rPr>
                <w:rFonts w:ascii="宋体" w:hAnsi="宋体" w:eastAsia="宋体" w:cs="宋体"/>
                <w:color w:val="auto"/>
                <w:highlight w:val="none"/>
              </w:rPr>
            </w:pPr>
          </w:p>
        </w:tc>
        <w:tc>
          <w:tcPr>
            <w:tcW w:w="1418" w:type="dxa"/>
          </w:tcPr>
          <w:p w14:paraId="4948FC7D">
            <w:pPr>
              <w:spacing w:line="360" w:lineRule="auto"/>
              <w:rPr>
                <w:rFonts w:ascii="宋体" w:hAnsi="宋体" w:eastAsia="宋体" w:cs="宋体"/>
                <w:color w:val="auto"/>
                <w:highlight w:val="none"/>
              </w:rPr>
            </w:pPr>
          </w:p>
        </w:tc>
        <w:tc>
          <w:tcPr>
            <w:tcW w:w="1134" w:type="dxa"/>
          </w:tcPr>
          <w:p w14:paraId="2D654179">
            <w:pPr>
              <w:spacing w:line="360" w:lineRule="auto"/>
              <w:rPr>
                <w:rFonts w:ascii="宋体" w:hAnsi="宋体" w:eastAsia="宋体" w:cs="宋体"/>
                <w:color w:val="auto"/>
                <w:highlight w:val="none"/>
              </w:rPr>
            </w:pPr>
          </w:p>
        </w:tc>
        <w:tc>
          <w:tcPr>
            <w:tcW w:w="992" w:type="dxa"/>
          </w:tcPr>
          <w:p w14:paraId="545F9B7C">
            <w:pPr>
              <w:spacing w:line="360" w:lineRule="auto"/>
              <w:rPr>
                <w:rFonts w:ascii="宋体" w:hAnsi="宋体" w:eastAsia="宋体" w:cs="宋体"/>
                <w:color w:val="auto"/>
                <w:highlight w:val="none"/>
              </w:rPr>
            </w:pPr>
          </w:p>
        </w:tc>
        <w:tc>
          <w:tcPr>
            <w:tcW w:w="1134" w:type="dxa"/>
          </w:tcPr>
          <w:p w14:paraId="084455BF">
            <w:pPr>
              <w:spacing w:line="360" w:lineRule="auto"/>
              <w:rPr>
                <w:rFonts w:ascii="宋体" w:hAnsi="宋体" w:eastAsia="宋体" w:cs="宋体"/>
                <w:color w:val="auto"/>
                <w:highlight w:val="none"/>
              </w:rPr>
            </w:pPr>
          </w:p>
        </w:tc>
      </w:tr>
      <w:tr w14:paraId="503541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76" w:hRule="atLeast"/>
        </w:trPr>
        <w:tc>
          <w:tcPr>
            <w:tcW w:w="673" w:type="dxa"/>
          </w:tcPr>
          <w:p w14:paraId="54798B65">
            <w:pPr>
              <w:pStyle w:val="77"/>
              <w:spacing w:before="252" w:line="360" w:lineRule="auto"/>
              <w:ind w:left="-2"/>
              <w:jc w:val="center"/>
              <w:rPr>
                <w:color w:val="auto"/>
                <w:sz w:val="21"/>
                <w:szCs w:val="21"/>
                <w:highlight w:val="none"/>
              </w:rPr>
            </w:pPr>
            <w:r>
              <w:rPr>
                <w:rFonts w:hint="eastAsia"/>
                <w:color w:val="auto"/>
                <w:sz w:val="21"/>
                <w:szCs w:val="21"/>
                <w:highlight w:val="none"/>
              </w:rPr>
              <w:t>2</w:t>
            </w:r>
          </w:p>
        </w:tc>
        <w:tc>
          <w:tcPr>
            <w:tcW w:w="1134" w:type="dxa"/>
          </w:tcPr>
          <w:p w14:paraId="0B21D5F8">
            <w:pPr>
              <w:spacing w:line="360" w:lineRule="auto"/>
              <w:rPr>
                <w:rFonts w:ascii="宋体" w:hAnsi="宋体" w:eastAsia="宋体" w:cs="宋体"/>
                <w:color w:val="auto"/>
                <w:highlight w:val="none"/>
              </w:rPr>
            </w:pPr>
          </w:p>
        </w:tc>
        <w:tc>
          <w:tcPr>
            <w:tcW w:w="1276" w:type="dxa"/>
          </w:tcPr>
          <w:p w14:paraId="0950B978">
            <w:pPr>
              <w:spacing w:line="360" w:lineRule="auto"/>
              <w:rPr>
                <w:rFonts w:ascii="宋体" w:hAnsi="宋体" w:eastAsia="宋体" w:cs="宋体"/>
                <w:color w:val="auto"/>
                <w:highlight w:val="none"/>
              </w:rPr>
            </w:pPr>
          </w:p>
        </w:tc>
        <w:tc>
          <w:tcPr>
            <w:tcW w:w="1134" w:type="dxa"/>
          </w:tcPr>
          <w:p w14:paraId="3BA16DE0">
            <w:pPr>
              <w:spacing w:line="360" w:lineRule="auto"/>
              <w:rPr>
                <w:rFonts w:ascii="宋体" w:hAnsi="宋体" w:eastAsia="宋体" w:cs="宋体"/>
                <w:color w:val="auto"/>
                <w:highlight w:val="none"/>
              </w:rPr>
            </w:pPr>
          </w:p>
        </w:tc>
        <w:tc>
          <w:tcPr>
            <w:tcW w:w="1418" w:type="dxa"/>
          </w:tcPr>
          <w:p w14:paraId="4A27DBE1">
            <w:pPr>
              <w:spacing w:line="360" w:lineRule="auto"/>
              <w:rPr>
                <w:rFonts w:ascii="宋体" w:hAnsi="宋体" w:eastAsia="宋体" w:cs="宋体"/>
                <w:color w:val="auto"/>
                <w:highlight w:val="none"/>
              </w:rPr>
            </w:pPr>
          </w:p>
        </w:tc>
        <w:tc>
          <w:tcPr>
            <w:tcW w:w="1134" w:type="dxa"/>
          </w:tcPr>
          <w:p w14:paraId="20FDDB27">
            <w:pPr>
              <w:spacing w:line="360" w:lineRule="auto"/>
              <w:rPr>
                <w:rFonts w:ascii="宋体" w:hAnsi="宋体" w:eastAsia="宋体" w:cs="宋体"/>
                <w:color w:val="auto"/>
                <w:highlight w:val="none"/>
              </w:rPr>
            </w:pPr>
          </w:p>
        </w:tc>
        <w:tc>
          <w:tcPr>
            <w:tcW w:w="992" w:type="dxa"/>
          </w:tcPr>
          <w:p w14:paraId="565F5BEA">
            <w:pPr>
              <w:spacing w:line="360" w:lineRule="auto"/>
              <w:rPr>
                <w:rFonts w:ascii="宋体" w:hAnsi="宋体" w:eastAsia="宋体" w:cs="宋体"/>
                <w:color w:val="auto"/>
                <w:highlight w:val="none"/>
              </w:rPr>
            </w:pPr>
          </w:p>
        </w:tc>
        <w:tc>
          <w:tcPr>
            <w:tcW w:w="1134" w:type="dxa"/>
          </w:tcPr>
          <w:p w14:paraId="7F8CD54A">
            <w:pPr>
              <w:spacing w:line="360" w:lineRule="auto"/>
              <w:rPr>
                <w:rFonts w:ascii="宋体" w:hAnsi="宋体" w:eastAsia="宋体" w:cs="宋体"/>
                <w:color w:val="auto"/>
                <w:highlight w:val="none"/>
              </w:rPr>
            </w:pPr>
          </w:p>
        </w:tc>
      </w:tr>
      <w:tr w14:paraId="66418D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75" w:hRule="atLeast"/>
        </w:trPr>
        <w:tc>
          <w:tcPr>
            <w:tcW w:w="673" w:type="dxa"/>
          </w:tcPr>
          <w:p w14:paraId="1E3551C4">
            <w:pPr>
              <w:pStyle w:val="77"/>
              <w:spacing w:before="252" w:line="360" w:lineRule="auto"/>
              <w:ind w:left="-2"/>
              <w:jc w:val="center"/>
              <w:rPr>
                <w:color w:val="auto"/>
                <w:sz w:val="21"/>
                <w:szCs w:val="21"/>
                <w:highlight w:val="none"/>
              </w:rPr>
            </w:pPr>
            <w:r>
              <w:rPr>
                <w:rFonts w:hint="eastAsia"/>
                <w:color w:val="auto"/>
                <w:sz w:val="21"/>
                <w:szCs w:val="21"/>
                <w:highlight w:val="none"/>
              </w:rPr>
              <w:t>3</w:t>
            </w:r>
          </w:p>
        </w:tc>
        <w:tc>
          <w:tcPr>
            <w:tcW w:w="1134" w:type="dxa"/>
          </w:tcPr>
          <w:p w14:paraId="4913634A">
            <w:pPr>
              <w:spacing w:line="360" w:lineRule="auto"/>
              <w:rPr>
                <w:rFonts w:ascii="宋体" w:hAnsi="宋体" w:eastAsia="宋体" w:cs="宋体"/>
                <w:color w:val="auto"/>
                <w:highlight w:val="none"/>
              </w:rPr>
            </w:pPr>
          </w:p>
        </w:tc>
        <w:tc>
          <w:tcPr>
            <w:tcW w:w="1276" w:type="dxa"/>
          </w:tcPr>
          <w:p w14:paraId="7F851F77">
            <w:pPr>
              <w:spacing w:line="360" w:lineRule="auto"/>
              <w:rPr>
                <w:rFonts w:ascii="宋体" w:hAnsi="宋体" w:eastAsia="宋体" w:cs="宋体"/>
                <w:color w:val="auto"/>
                <w:highlight w:val="none"/>
              </w:rPr>
            </w:pPr>
          </w:p>
        </w:tc>
        <w:tc>
          <w:tcPr>
            <w:tcW w:w="1134" w:type="dxa"/>
          </w:tcPr>
          <w:p w14:paraId="3B078448">
            <w:pPr>
              <w:spacing w:line="360" w:lineRule="auto"/>
              <w:rPr>
                <w:rFonts w:ascii="宋体" w:hAnsi="宋体" w:eastAsia="宋体" w:cs="宋体"/>
                <w:color w:val="auto"/>
                <w:highlight w:val="none"/>
              </w:rPr>
            </w:pPr>
          </w:p>
        </w:tc>
        <w:tc>
          <w:tcPr>
            <w:tcW w:w="1418" w:type="dxa"/>
          </w:tcPr>
          <w:p w14:paraId="417C0989">
            <w:pPr>
              <w:spacing w:line="360" w:lineRule="auto"/>
              <w:rPr>
                <w:rFonts w:ascii="宋体" w:hAnsi="宋体" w:eastAsia="宋体" w:cs="宋体"/>
                <w:color w:val="auto"/>
                <w:highlight w:val="none"/>
              </w:rPr>
            </w:pPr>
          </w:p>
        </w:tc>
        <w:tc>
          <w:tcPr>
            <w:tcW w:w="1134" w:type="dxa"/>
          </w:tcPr>
          <w:p w14:paraId="182A441C">
            <w:pPr>
              <w:spacing w:line="360" w:lineRule="auto"/>
              <w:rPr>
                <w:rFonts w:ascii="宋体" w:hAnsi="宋体" w:eastAsia="宋体" w:cs="宋体"/>
                <w:color w:val="auto"/>
                <w:highlight w:val="none"/>
              </w:rPr>
            </w:pPr>
          </w:p>
        </w:tc>
        <w:tc>
          <w:tcPr>
            <w:tcW w:w="992" w:type="dxa"/>
          </w:tcPr>
          <w:p w14:paraId="5B32235E">
            <w:pPr>
              <w:spacing w:line="360" w:lineRule="auto"/>
              <w:rPr>
                <w:rFonts w:ascii="宋体" w:hAnsi="宋体" w:eastAsia="宋体" w:cs="宋体"/>
                <w:color w:val="auto"/>
                <w:highlight w:val="none"/>
              </w:rPr>
            </w:pPr>
          </w:p>
        </w:tc>
        <w:tc>
          <w:tcPr>
            <w:tcW w:w="1134" w:type="dxa"/>
          </w:tcPr>
          <w:p w14:paraId="68BF5954">
            <w:pPr>
              <w:spacing w:line="360" w:lineRule="auto"/>
              <w:rPr>
                <w:rFonts w:ascii="宋体" w:hAnsi="宋体" w:eastAsia="宋体" w:cs="宋体"/>
                <w:color w:val="auto"/>
                <w:highlight w:val="none"/>
              </w:rPr>
            </w:pPr>
          </w:p>
        </w:tc>
      </w:tr>
      <w:tr w14:paraId="3E4D29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75" w:hRule="atLeast"/>
        </w:trPr>
        <w:tc>
          <w:tcPr>
            <w:tcW w:w="673" w:type="dxa"/>
          </w:tcPr>
          <w:p w14:paraId="7D51EF28">
            <w:pPr>
              <w:pStyle w:val="77"/>
              <w:spacing w:before="252" w:line="360" w:lineRule="auto"/>
              <w:ind w:left="-2"/>
              <w:jc w:val="center"/>
              <w:rPr>
                <w:color w:val="auto"/>
                <w:sz w:val="21"/>
                <w:szCs w:val="21"/>
                <w:highlight w:val="none"/>
              </w:rPr>
            </w:pPr>
            <w:r>
              <w:rPr>
                <w:rFonts w:hint="eastAsia"/>
                <w:color w:val="auto"/>
                <w:sz w:val="21"/>
                <w:szCs w:val="21"/>
                <w:highlight w:val="none"/>
              </w:rPr>
              <w:t>4</w:t>
            </w:r>
          </w:p>
        </w:tc>
        <w:tc>
          <w:tcPr>
            <w:tcW w:w="1134" w:type="dxa"/>
          </w:tcPr>
          <w:p w14:paraId="2EF2D626">
            <w:pPr>
              <w:spacing w:line="360" w:lineRule="auto"/>
              <w:rPr>
                <w:rFonts w:ascii="宋体" w:hAnsi="宋体" w:eastAsia="宋体" w:cs="宋体"/>
                <w:color w:val="auto"/>
                <w:highlight w:val="none"/>
              </w:rPr>
            </w:pPr>
          </w:p>
        </w:tc>
        <w:tc>
          <w:tcPr>
            <w:tcW w:w="1276" w:type="dxa"/>
          </w:tcPr>
          <w:p w14:paraId="056C0CBB">
            <w:pPr>
              <w:spacing w:line="360" w:lineRule="auto"/>
              <w:rPr>
                <w:rFonts w:ascii="宋体" w:hAnsi="宋体" w:eastAsia="宋体" w:cs="宋体"/>
                <w:color w:val="auto"/>
                <w:highlight w:val="none"/>
              </w:rPr>
            </w:pPr>
          </w:p>
        </w:tc>
        <w:tc>
          <w:tcPr>
            <w:tcW w:w="1134" w:type="dxa"/>
          </w:tcPr>
          <w:p w14:paraId="2BFB43EF">
            <w:pPr>
              <w:spacing w:line="360" w:lineRule="auto"/>
              <w:rPr>
                <w:rFonts w:ascii="宋体" w:hAnsi="宋体" w:eastAsia="宋体" w:cs="宋体"/>
                <w:color w:val="auto"/>
                <w:highlight w:val="none"/>
              </w:rPr>
            </w:pPr>
          </w:p>
        </w:tc>
        <w:tc>
          <w:tcPr>
            <w:tcW w:w="1418" w:type="dxa"/>
          </w:tcPr>
          <w:p w14:paraId="60EA7C03">
            <w:pPr>
              <w:spacing w:line="360" w:lineRule="auto"/>
              <w:rPr>
                <w:rFonts w:ascii="宋体" w:hAnsi="宋体" w:eastAsia="宋体" w:cs="宋体"/>
                <w:color w:val="auto"/>
                <w:highlight w:val="none"/>
              </w:rPr>
            </w:pPr>
          </w:p>
        </w:tc>
        <w:tc>
          <w:tcPr>
            <w:tcW w:w="1134" w:type="dxa"/>
          </w:tcPr>
          <w:p w14:paraId="67B4BCC9">
            <w:pPr>
              <w:spacing w:line="360" w:lineRule="auto"/>
              <w:rPr>
                <w:rFonts w:ascii="宋体" w:hAnsi="宋体" w:eastAsia="宋体" w:cs="宋体"/>
                <w:color w:val="auto"/>
                <w:highlight w:val="none"/>
              </w:rPr>
            </w:pPr>
          </w:p>
        </w:tc>
        <w:tc>
          <w:tcPr>
            <w:tcW w:w="992" w:type="dxa"/>
          </w:tcPr>
          <w:p w14:paraId="0C6D2A23">
            <w:pPr>
              <w:spacing w:line="360" w:lineRule="auto"/>
              <w:rPr>
                <w:rFonts w:ascii="宋体" w:hAnsi="宋体" w:eastAsia="宋体" w:cs="宋体"/>
                <w:color w:val="auto"/>
                <w:highlight w:val="none"/>
              </w:rPr>
            </w:pPr>
          </w:p>
        </w:tc>
        <w:tc>
          <w:tcPr>
            <w:tcW w:w="1134" w:type="dxa"/>
          </w:tcPr>
          <w:p w14:paraId="411702D3">
            <w:pPr>
              <w:spacing w:line="360" w:lineRule="auto"/>
              <w:rPr>
                <w:rFonts w:ascii="宋体" w:hAnsi="宋体" w:eastAsia="宋体" w:cs="宋体"/>
                <w:color w:val="auto"/>
                <w:highlight w:val="none"/>
              </w:rPr>
            </w:pPr>
          </w:p>
        </w:tc>
      </w:tr>
      <w:tr w14:paraId="36FB99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75" w:hRule="atLeast"/>
        </w:trPr>
        <w:tc>
          <w:tcPr>
            <w:tcW w:w="673" w:type="dxa"/>
          </w:tcPr>
          <w:p w14:paraId="52412676">
            <w:pPr>
              <w:pStyle w:val="77"/>
              <w:spacing w:before="252" w:line="360" w:lineRule="auto"/>
              <w:ind w:left="-2"/>
              <w:jc w:val="center"/>
              <w:rPr>
                <w:color w:val="auto"/>
                <w:sz w:val="21"/>
                <w:szCs w:val="21"/>
                <w:highlight w:val="none"/>
              </w:rPr>
            </w:pPr>
            <w:r>
              <w:rPr>
                <w:rFonts w:hint="eastAsia"/>
                <w:color w:val="auto"/>
                <w:sz w:val="21"/>
                <w:szCs w:val="21"/>
                <w:highlight w:val="none"/>
              </w:rPr>
              <w:t>5</w:t>
            </w:r>
          </w:p>
        </w:tc>
        <w:tc>
          <w:tcPr>
            <w:tcW w:w="1134" w:type="dxa"/>
          </w:tcPr>
          <w:p w14:paraId="4D24899D">
            <w:pPr>
              <w:spacing w:line="360" w:lineRule="auto"/>
              <w:rPr>
                <w:rFonts w:ascii="宋体" w:hAnsi="宋体" w:eastAsia="宋体" w:cs="宋体"/>
                <w:color w:val="auto"/>
                <w:highlight w:val="none"/>
              </w:rPr>
            </w:pPr>
          </w:p>
        </w:tc>
        <w:tc>
          <w:tcPr>
            <w:tcW w:w="1276" w:type="dxa"/>
          </w:tcPr>
          <w:p w14:paraId="7199693B">
            <w:pPr>
              <w:spacing w:line="360" w:lineRule="auto"/>
              <w:rPr>
                <w:rFonts w:ascii="宋体" w:hAnsi="宋体" w:eastAsia="宋体" w:cs="宋体"/>
                <w:color w:val="auto"/>
                <w:highlight w:val="none"/>
              </w:rPr>
            </w:pPr>
          </w:p>
        </w:tc>
        <w:tc>
          <w:tcPr>
            <w:tcW w:w="1134" w:type="dxa"/>
          </w:tcPr>
          <w:p w14:paraId="3B459299">
            <w:pPr>
              <w:spacing w:line="360" w:lineRule="auto"/>
              <w:rPr>
                <w:rFonts w:ascii="宋体" w:hAnsi="宋体" w:eastAsia="宋体" w:cs="宋体"/>
                <w:color w:val="auto"/>
                <w:highlight w:val="none"/>
              </w:rPr>
            </w:pPr>
          </w:p>
        </w:tc>
        <w:tc>
          <w:tcPr>
            <w:tcW w:w="1418" w:type="dxa"/>
          </w:tcPr>
          <w:p w14:paraId="016DE84B">
            <w:pPr>
              <w:spacing w:line="360" w:lineRule="auto"/>
              <w:rPr>
                <w:rFonts w:ascii="宋体" w:hAnsi="宋体" w:eastAsia="宋体" w:cs="宋体"/>
                <w:color w:val="auto"/>
                <w:highlight w:val="none"/>
              </w:rPr>
            </w:pPr>
          </w:p>
        </w:tc>
        <w:tc>
          <w:tcPr>
            <w:tcW w:w="1134" w:type="dxa"/>
          </w:tcPr>
          <w:p w14:paraId="4339B5EF">
            <w:pPr>
              <w:spacing w:line="360" w:lineRule="auto"/>
              <w:rPr>
                <w:rFonts w:ascii="宋体" w:hAnsi="宋体" w:eastAsia="宋体" w:cs="宋体"/>
                <w:color w:val="auto"/>
                <w:highlight w:val="none"/>
              </w:rPr>
            </w:pPr>
          </w:p>
        </w:tc>
        <w:tc>
          <w:tcPr>
            <w:tcW w:w="992" w:type="dxa"/>
          </w:tcPr>
          <w:p w14:paraId="78AAEE87">
            <w:pPr>
              <w:spacing w:line="360" w:lineRule="auto"/>
              <w:rPr>
                <w:rFonts w:ascii="宋体" w:hAnsi="宋体" w:eastAsia="宋体" w:cs="宋体"/>
                <w:color w:val="auto"/>
                <w:highlight w:val="none"/>
              </w:rPr>
            </w:pPr>
          </w:p>
        </w:tc>
        <w:tc>
          <w:tcPr>
            <w:tcW w:w="1134" w:type="dxa"/>
          </w:tcPr>
          <w:p w14:paraId="375F5093">
            <w:pPr>
              <w:spacing w:line="360" w:lineRule="auto"/>
              <w:rPr>
                <w:rFonts w:ascii="宋体" w:hAnsi="宋体" w:eastAsia="宋体" w:cs="宋体"/>
                <w:color w:val="auto"/>
                <w:highlight w:val="none"/>
              </w:rPr>
            </w:pPr>
          </w:p>
        </w:tc>
      </w:tr>
      <w:tr w14:paraId="1F5A40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94" w:hRule="atLeast"/>
        </w:trPr>
        <w:tc>
          <w:tcPr>
            <w:tcW w:w="673" w:type="dxa"/>
          </w:tcPr>
          <w:p w14:paraId="7E2A5CC4">
            <w:pPr>
              <w:pStyle w:val="77"/>
              <w:spacing w:before="252" w:line="360" w:lineRule="auto"/>
              <w:ind w:left="-2"/>
              <w:jc w:val="center"/>
              <w:rPr>
                <w:color w:val="auto"/>
                <w:sz w:val="21"/>
                <w:szCs w:val="21"/>
                <w:highlight w:val="none"/>
              </w:rPr>
            </w:pPr>
            <w:r>
              <w:rPr>
                <w:rFonts w:hint="eastAsia"/>
                <w:color w:val="auto"/>
                <w:sz w:val="21"/>
                <w:szCs w:val="21"/>
                <w:highlight w:val="none"/>
              </w:rPr>
              <w:t>…</w:t>
            </w:r>
          </w:p>
        </w:tc>
        <w:tc>
          <w:tcPr>
            <w:tcW w:w="1134" w:type="dxa"/>
          </w:tcPr>
          <w:p w14:paraId="48F40CDE">
            <w:pPr>
              <w:spacing w:line="360" w:lineRule="auto"/>
              <w:rPr>
                <w:rFonts w:ascii="宋体" w:hAnsi="宋体" w:eastAsia="宋体" w:cs="宋体"/>
                <w:color w:val="auto"/>
                <w:highlight w:val="none"/>
              </w:rPr>
            </w:pPr>
          </w:p>
        </w:tc>
        <w:tc>
          <w:tcPr>
            <w:tcW w:w="1276" w:type="dxa"/>
          </w:tcPr>
          <w:p w14:paraId="5A55E7A6">
            <w:pPr>
              <w:spacing w:line="360" w:lineRule="auto"/>
              <w:rPr>
                <w:rFonts w:ascii="宋体" w:hAnsi="宋体" w:eastAsia="宋体" w:cs="宋体"/>
                <w:color w:val="auto"/>
                <w:highlight w:val="none"/>
              </w:rPr>
            </w:pPr>
          </w:p>
        </w:tc>
        <w:tc>
          <w:tcPr>
            <w:tcW w:w="1134" w:type="dxa"/>
          </w:tcPr>
          <w:p w14:paraId="07D88E0B">
            <w:pPr>
              <w:spacing w:line="360" w:lineRule="auto"/>
              <w:rPr>
                <w:rFonts w:ascii="宋体" w:hAnsi="宋体" w:eastAsia="宋体" w:cs="宋体"/>
                <w:color w:val="auto"/>
                <w:highlight w:val="none"/>
              </w:rPr>
            </w:pPr>
          </w:p>
        </w:tc>
        <w:tc>
          <w:tcPr>
            <w:tcW w:w="1418" w:type="dxa"/>
          </w:tcPr>
          <w:p w14:paraId="45ED6828">
            <w:pPr>
              <w:spacing w:line="360" w:lineRule="auto"/>
              <w:rPr>
                <w:rFonts w:ascii="宋体" w:hAnsi="宋体" w:eastAsia="宋体" w:cs="宋体"/>
                <w:color w:val="auto"/>
                <w:highlight w:val="none"/>
              </w:rPr>
            </w:pPr>
          </w:p>
        </w:tc>
        <w:tc>
          <w:tcPr>
            <w:tcW w:w="1134" w:type="dxa"/>
          </w:tcPr>
          <w:p w14:paraId="0132A6B8">
            <w:pPr>
              <w:spacing w:line="360" w:lineRule="auto"/>
              <w:rPr>
                <w:rFonts w:ascii="宋体" w:hAnsi="宋体" w:eastAsia="宋体" w:cs="宋体"/>
                <w:color w:val="auto"/>
                <w:highlight w:val="none"/>
              </w:rPr>
            </w:pPr>
          </w:p>
        </w:tc>
        <w:tc>
          <w:tcPr>
            <w:tcW w:w="992" w:type="dxa"/>
          </w:tcPr>
          <w:p w14:paraId="17A8925D">
            <w:pPr>
              <w:spacing w:line="360" w:lineRule="auto"/>
              <w:rPr>
                <w:rFonts w:ascii="宋体" w:hAnsi="宋体" w:eastAsia="宋体" w:cs="宋体"/>
                <w:color w:val="auto"/>
                <w:highlight w:val="none"/>
              </w:rPr>
            </w:pPr>
          </w:p>
        </w:tc>
        <w:tc>
          <w:tcPr>
            <w:tcW w:w="1134" w:type="dxa"/>
          </w:tcPr>
          <w:p w14:paraId="4E643D39">
            <w:pPr>
              <w:spacing w:line="360" w:lineRule="auto"/>
              <w:rPr>
                <w:rFonts w:ascii="宋体" w:hAnsi="宋体" w:eastAsia="宋体" w:cs="宋体"/>
                <w:color w:val="auto"/>
                <w:highlight w:val="none"/>
              </w:rPr>
            </w:pPr>
          </w:p>
        </w:tc>
      </w:tr>
    </w:tbl>
    <w:p w14:paraId="7EDBE210">
      <w:pPr>
        <w:spacing w:before="116" w:line="360" w:lineRule="auto"/>
        <w:ind w:right="-30"/>
        <w:rPr>
          <w:rFonts w:ascii="宋体" w:hAnsi="宋体" w:eastAsia="宋体" w:cs="宋体"/>
          <w:color w:val="auto"/>
          <w:spacing w:val="-3"/>
          <w:sz w:val="24"/>
          <w:szCs w:val="24"/>
          <w:highlight w:val="none"/>
          <w:lang w:eastAsia="zh-CN"/>
        </w:rPr>
      </w:pPr>
    </w:p>
    <w:p w14:paraId="3B9B712D">
      <w:pPr>
        <w:spacing w:before="116" w:line="360" w:lineRule="auto"/>
        <w:ind w:right="-30"/>
        <w:rPr>
          <w:rFonts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注：</w:t>
      </w:r>
      <w:r>
        <w:rPr>
          <w:rFonts w:hint="eastAsia" w:ascii="宋体" w:hAnsi="宋体" w:eastAsia="宋体" w:cs="宋体"/>
          <w:color w:val="auto"/>
          <w:sz w:val="24"/>
          <w:szCs w:val="24"/>
          <w:highlight w:val="none"/>
          <w:lang w:eastAsia="zh-CN"/>
        </w:rPr>
        <w:t>须提供业绩相关证明材料。</w:t>
      </w:r>
    </w:p>
    <w:p w14:paraId="2D48FB1A">
      <w:pPr>
        <w:spacing w:line="360" w:lineRule="auto"/>
        <w:rPr>
          <w:rFonts w:ascii="宋体" w:hAnsi="宋体" w:eastAsia="宋体" w:cs="宋体"/>
          <w:color w:val="auto"/>
          <w:highlight w:val="none"/>
          <w:lang w:eastAsia="zh-CN"/>
        </w:rPr>
      </w:pPr>
    </w:p>
    <w:p w14:paraId="7943C9C7">
      <w:pPr>
        <w:spacing w:line="360" w:lineRule="auto"/>
        <w:rPr>
          <w:rFonts w:ascii="宋体" w:hAnsi="宋体" w:eastAsia="宋体" w:cs="宋体"/>
          <w:color w:val="auto"/>
          <w:highlight w:val="none"/>
          <w:lang w:eastAsia="zh-CN"/>
        </w:rPr>
      </w:pPr>
    </w:p>
    <w:p w14:paraId="31862364">
      <w:pPr>
        <w:spacing w:line="360" w:lineRule="auto"/>
        <w:rPr>
          <w:rFonts w:ascii="宋体" w:hAnsi="宋体" w:eastAsia="宋体" w:cs="宋体"/>
          <w:color w:val="auto"/>
          <w:highlight w:val="none"/>
          <w:lang w:eastAsia="zh-CN"/>
        </w:rPr>
      </w:pPr>
    </w:p>
    <w:p w14:paraId="6D1CBE51">
      <w:pPr>
        <w:spacing w:line="360" w:lineRule="auto"/>
        <w:rPr>
          <w:rFonts w:ascii="宋体" w:hAnsi="宋体" w:eastAsia="宋体" w:cs="宋体"/>
          <w:color w:val="auto"/>
          <w:highlight w:val="none"/>
          <w:lang w:eastAsia="zh-CN"/>
        </w:rPr>
      </w:pPr>
    </w:p>
    <w:p w14:paraId="672702A2">
      <w:pPr>
        <w:spacing w:line="360" w:lineRule="auto"/>
        <w:ind w:firstLine="440" w:firstLineChars="200"/>
        <w:rPr>
          <w:rFonts w:ascii="宋体" w:hAnsi="宋体" w:eastAsia="宋体" w:cs="宋体"/>
          <w:sz w:val="22"/>
          <w:highlight w:val="none"/>
          <w:lang w:eastAsia="zh-CN"/>
        </w:rPr>
      </w:pPr>
      <w:r>
        <w:rPr>
          <w:rFonts w:hint="eastAsia" w:ascii="宋体" w:hAnsi="宋体" w:eastAsia="宋体" w:cs="宋体"/>
          <w:sz w:val="22"/>
          <w:highlight w:val="none"/>
          <w:lang w:eastAsia="zh-CN"/>
        </w:rPr>
        <w:t>供应商名称(公章)：____________</w:t>
      </w:r>
    </w:p>
    <w:p w14:paraId="75ACC15C">
      <w:pPr>
        <w:spacing w:line="360" w:lineRule="auto"/>
        <w:ind w:firstLine="440" w:firstLineChars="200"/>
        <w:rPr>
          <w:rFonts w:ascii="宋体" w:hAnsi="宋体" w:eastAsia="宋体" w:cs="宋体"/>
          <w:sz w:val="22"/>
          <w:highlight w:val="none"/>
          <w:lang w:eastAsia="zh-CN"/>
        </w:rPr>
      </w:pPr>
      <w:r>
        <w:rPr>
          <w:rFonts w:hint="eastAsia" w:ascii="宋体" w:hAnsi="宋体" w:eastAsia="宋体" w:cs="宋体"/>
          <w:sz w:val="22"/>
          <w:highlight w:val="none"/>
          <w:lang w:eastAsia="zh-CN"/>
        </w:rPr>
        <w:t>法定代表人或其授权代表(签字或盖章)：____________</w:t>
      </w:r>
    </w:p>
    <w:p w14:paraId="4FF50659">
      <w:pPr>
        <w:spacing w:line="360" w:lineRule="auto"/>
        <w:ind w:firstLine="440" w:firstLineChars="200"/>
        <w:rPr>
          <w:rFonts w:ascii="宋体" w:hAnsi="宋体" w:eastAsia="宋体" w:cs="宋体"/>
          <w:color w:val="auto"/>
          <w:highlight w:val="none"/>
          <w:lang w:eastAsia="zh-CN"/>
        </w:rPr>
      </w:pPr>
      <w:r>
        <w:rPr>
          <w:rFonts w:hint="eastAsia" w:ascii="宋体" w:hAnsi="宋体" w:eastAsia="宋体" w:cs="宋体"/>
          <w:sz w:val="22"/>
          <w:highlight w:val="none"/>
          <w:lang w:eastAsia="zh-CN"/>
        </w:rPr>
        <w:t>日期：______年____月____日</w:t>
      </w:r>
    </w:p>
    <w:p w14:paraId="57662414">
      <w:pPr>
        <w:pageBreakBefore/>
        <w:spacing w:before="101" w:line="360" w:lineRule="auto"/>
        <w:jc w:val="center"/>
        <w:outlineLvl w:val="1"/>
        <w:rPr>
          <w:rFonts w:ascii="宋体" w:hAnsi="宋体" w:eastAsia="宋体" w:cs="宋体"/>
          <w:b/>
          <w:bCs/>
          <w:color w:val="auto"/>
          <w:spacing w:val="1"/>
          <w:sz w:val="31"/>
          <w:szCs w:val="31"/>
          <w:highlight w:val="none"/>
          <w:lang w:eastAsia="zh-CN"/>
        </w:rPr>
      </w:pPr>
      <w:bookmarkStart w:id="216" w:name="bookmark270"/>
      <w:bookmarkEnd w:id="216"/>
      <w:bookmarkStart w:id="217" w:name="bookmark269"/>
      <w:bookmarkEnd w:id="217"/>
      <w:bookmarkStart w:id="218" w:name="_Toc186477820"/>
      <w:bookmarkStart w:id="219" w:name="_Toc27032"/>
      <w:r>
        <w:rPr>
          <w:rFonts w:hint="eastAsia" w:ascii="宋体" w:hAnsi="宋体" w:eastAsia="宋体" w:cs="宋体"/>
          <w:b/>
          <w:bCs/>
          <w:color w:val="auto"/>
          <w:spacing w:val="1"/>
          <w:sz w:val="31"/>
          <w:szCs w:val="31"/>
          <w:highlight w:val="none"/>
          <w:lang w:val="en-US" w:eastAsia="zh-CN"/>
        </w:rPr>
        <w:t>九</w:t>
      </w:r>
      <w:r>
        <w:rPr>
          <w:rFonts w:hint="eastAsia" w:ascii="宋体" w:hAnsi="宋体" w:eastAsia="宋体" w:cs="宋体"/>
          <w:b/>
          <w:bCs/>
          <w:color w:val="auto"/>
          <w:spacing w:val="1"/>
          <w:sz w:val="31"/>
          <w:szCs w:val="31"/>
          <w:highlight w:val="none"/>
          <w:lang w:eastAsia="zh-CN"/>
        </w:rPr>
        <w:t>、拟派项目团队</w:t>
      </w:r>
      <w:bookmarkEnd w:id="218"/>
      <w:bookmarkEnd w:id="219"/>
    </w:p>
    <w:p w14:paraId="19877AF3">
      <w:pPr>
        <w:spacing w:line="360" w:lineRule="auto"/>
        <w:rPr>
          <w:rFonts w:ascii="宋体" w:hAnsi="宋体" w:eastAsia="宋体" w:cs="宋体"/>
          <w:color w:val="auto"/>
          <w:highlight w:val="none"/>
          <w:lang w:eastAsia="zh-CN"/>
        </w:rPr>
      </w:pPr>
    </w:p>
    <w:tbl>
      <w:tblPr>
        <w:tblStyle w:val="30"/>
        <w:tblW w:w="92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78"/>
        <w:gridCol w:w="1266"/>
        <w:gridCol w:w="1295"/>
        <w:gridCol w:w="1772"/>
        <w:gridCol w:w="1887"/>
        <w:gridCol w:w="1438"/>
        <w:gridCol w:w="820"/>
      </w:tblGrid>
      <w:tr w14:paraId="37DF4D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45" w:hRule="atLeast"/>
        </w:trPr>
        <w:tc>
          <w:tcPr>
            <w:tcW w:w="778" w:type="dxa"/>
            <w:vAlign w:val="center"/>
          </w:tcPr>
          <w:p w14:paraId="2B402E29">
            <w:pPr>
              <w:pStyle w:val="77"/>
              <w:spacing w:before="197" w:line="360" w:lineRule="auto"/>
              <w:ind w:left="-71" w:right="-13"/>
              <w:jc w:val="center"/>
              <w:rPr>
                <w:color w:val="auto"/>
                <w:spacing w:val="-8"/>
                <w:highlight w:val="none"/>
              </w:rPr>
            </w:pPr>
            <w:r>
              <w:rPr>
                <w:rFonts w:hint="eastAsia"/>
                <w:color w:val="auto"/>
                <w:spacing w:val="-8"/>
                <w:highlight w:val="none"/>
              </w:rPr>
              <w:t>序号</w:t>
            </w:r>
          </w:p>
        </w:tc>
        <w:tc>
          <w:tcPr>
            <w:tcW w:w="1266" w:type="dxa"/>
            <w:vAlign w:val="center"/>
          </w:tcPr>
          <w:p w14:paraId="09745DFD">
            <w:pPr>
              <w:pStyle w:val="77"/>
              <w:spacing w:before="197" w:line="360" w:lineRule="auto"/>
              <w:ind w:left="-71" w:right="-13"/>
              <w:jc w:val="center"/>
              <w:rPr>
                <w:color w:val="auto"/>
                <w:spacing w:val="-8"/>
                <w:highlight w:val="none"/>
              </w:rPr>
            </w:pPr>
            <w:r>
              <w:rPr>
                <w:rFonts w:hint="eastAsia"/>
                <w:color w:val="auto"/>
                <w:spacing w:val="-8"/>
                <w:highlight w:val="none"/>
              </w:rPr>
              <w:t>团队成员姓名</w:t>
            </w:r>
          </w:p>
        </w:tc>
        <w:tc>
          <w:tcPr>
            <w:tcW w:w="1295" w:type="dxa"/>
            <w:vAlign w:val="center"/>
          </w:tcPr>
          <w:p w14:paraId="7A5B340D">
            <w:pPr>
              <w:pStyle w:val="77"/>
              <w:spacing w:before="197" w:line="360" w:lineRule="auto"/>
              <w:ind w:left="-71" w:right="-13"/>
              <w:jc w:val="center"/>
              <w:rPr>
                <w:color w:val="auto"/>
                <w:spacing w:val="-8"/>
                <w:highlight w:val="none"/>
              </w:rPr>
            </w:pPr>
            <w:r>
              <w:rPr>
                <w:rFonts w:hint="eastAsia"/>
                <w:color w:val="auto"/>
                <w:spacing w:val="-8"/>
                <w:highlight w:val="none"/>
              </w:rPr>
              <w:t>工作单位</w:t>
            </w:r>
          </w:p>
        </w:tc>
        <w:tc>
          <w:tcPr>
            <w:tcW w:w="1772" w:type="dxa"/>
            <w:vAlign w:val="center"/>
          </w:tcPr>
          <w:p w14:paraId="576A09B9">
            <w:pPr>
              <w:pStyle w:val="77"/>
              <w:spacing w:before="197" w:line="360" w:lineRule="auto"/>
              <w:ind w:left="-71" w:right="-13"/>
              <w:jc w:val="center"/>
              <w:rPr>
                <w:color w:val="auto"/>
                <w:spacing w:val="-8"/>
                <w:highlight w:val="none"/>
              </w:rPr>
            </w:pPr>
            <w:r>
              <w:rPr>
                <w:rFonts w:hint="eastAsia"/>
                <w:color w:val="auto"/>
                <w:spacing w:val="-8"/>
                <w:highlight w:val="none"/>
              </w:rPr>
              <w:t>身份证号</w:t>
            </w:r>
          </w:p>
        </w:tc>
        <w:tc>
          <w:tcPr>
            <w:tcW w:w="1887" w:type="dxa"/>
            <w:vAlign w:val="center"/>
          </w:tcPr>
          <w:p w14:paraId="6C838E61">
            <w:pPr>
              <w:pStyle w:val="77"/>
              <w:spacing w:before="197" w:line="360" w:lineRule="auto"/>
              <w:ind w:left="-71" w:right="-13"/>
              <w:jc w:val="center"/>
              <w:rPr>
                <w:color w:val="auto"/>
                <w:spacing w:val="-8"/>
                <w:highlight w:val="none"/>
                <w:lang w:eastAsia="zh-CN"/>
              </w:rPr>
            </w:pPr>
            <w:r>
              <w:rPr>
                <w:rFonts w:hint="eastAsia"/>
                <w:color w:val="auto"/>
                <w:spacing w:val="-8"/>
                <w:highlight w:val="none"/>
                <w:lang w:eastAsia="zh-CN"/>
              </w:rPr>
              <w:t>证书名称及编号</w:t>
            </w:r>
          </w:p>
        </w:tc>
        <w:tc>
          <w:tcPr>
            <w:tcW w:w="1438" w:type="dxa"/>
            <w:vAlign w:val="center"/>
          </w:tcPr>
          <w:p w14:paraId="40D75227">
            <w:pPr>
              <w:pStyle w:val="77"/>
              <w:spacing w:before="197" w:line="360" w:lineRule="auto"/>
              <w:ind w:left="-71" w:right="-13" w:hanging="2"/>
              <w:jc w:val="center"/>
              <w:rPr>
                <w:color w:val="auto"/>
                <w:spacing w:val="-8"/>
                <w:highlight w:val="none"/>
                <w:lang w:eastAsia="zh-CN"/>
              </w:rPr>
            </w:pPr>
            <w:r>
              <w:rPr>
                <w:rFonts w:hint="eastAsia"/>
                <w:color w:val="auto"/>
                <w:spacing w:val="-8"/>
                <w:highlight w:val="none"/>
                <w:lang w:eastAsia="zh-CN"/>
              </w:rPr>
              <w:t>在团队中职务（岗位）</w:t>
            </w:r>
          </w:p>
        </w:tc>
        <w:tc>
          <w:tcPr>
            <w:tcW w:w="820" w:type="dxa"/>
            <w:vAlign w:val="center"/>
          </w:tcPr>
          <w:p w14:paraId="74E636EB">
            <w:pPr>
              <w:pStyle w:val="77"/>
              <w:spacing w:before="197" w:line="360" w:lineRule="auto"/>
              <w:ind w:left="-71" w:right="-13" w:hanging="25"/>
              <w:jc w:val="center"/>
              <w:rPr>
                <w:color w:val="auto"/>
                <w:spacing w:val="-8"/>
                <w:highlight w:val="none"/>
              </w:rPr>
            </w:pPr>
            <w:r>
              <w:rPr>
                <w:rFonts w:hint="eastAsia"/>
                <w:color w:val="auto"/>
                <w:spacing w:val="-8"/>
                <w:highlight w:val="none"/>
              </w:rPr>
              <w:t>自有/外聘</w:t>
            </w:r>
          </w:p>
        </w:tc>
      </w:tr>
      <w:tr w14:paraId="0648C3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81" w:hRule="atLeast"/>
        </w:trPr>
        <w:tc>
          <w:tcPr>
            <w:tcW w:w="778" w:type="dxa"/>
            <w:vAlign w:val="center"/>
          </w:tcPr>
          <w:p w14:paraId="75C52C9E">
            <w:pPr>
              <w:pStyle w:val="77"/>
              <w:spacing w:before="257" w:line="360" w:lineRule="auto"/>
              <w:ind w:left="-144" w:right="-2" w:rightChars="-1"/>
              <w:jc w:val="center"/>
              <w:rPr>
                <w:color w:val="auto"/>
                <w:highlight w:val="none"/>
              </w:rPr>
            </w:pPr>
            <w:r>
              <w:rPr>
                <w:rFonts w:hint="eastAsia"/>
                <w:color w:val="auto"/>
                <w:highlight w:val="none"/>
              </w:rPr>
              <w:t>1</w:t>
            </w:r>
          </w:p>
        </w:tc>
        <w:tc>
          <w:tcPr>
            <w:tcW w:w="1266" w:type="dxa"/>
            <w:vAlign w:val="center"/>
          </w:tcPr>
          <w:p w14:paraId="3A9D5479">
            <w:pPr>
              <w:spacing w:line="360" w:lineRule="auto"/>
              <w:jc w:val="center"/>
              <w:rPr>
                <w:rFonts w:ascii="宋体" w:hAnsi="宋体" w:eastAsia="宋体" w:cs="宋体"/>
                <w:color w:val="auto"/>
                <w:sz w:val="24"/>
                <w:szCs w:val="24"/>
                <w:highlight w:val="none"/>
              </w:rPr>
            </w:pPr>
          </w:p>
        </w:tc>
        <w:tc>
          <w:tcPr>
            <w:tcW w:w="1295" w:type="dxa"/>
            <w:vAlign w:val="center"/>
          </w:tcPr>
          <w:p w14:paraId="67064BCE">
            <w:pPr>
              <w:spacing w:line="360" w:lineRule="auto"/>
              <w:jc w:val="center"/>
              <w:rPr>
                <w:rFonts w:ascii="宋体" w:hAnsi="宋体" w:eastAsia="宋体" w:cs="宋体"/>
                <w:color w:val="auto"/>
                <w:sz w:val="24"/>
                <w:szCs w:val="24"/>
                <w:highlight w:val="none"/>
              </w:rPr>
            </w:pPr>
          </w:p>
        </w:tc>
        <w:tc>
          <w:tcPr>
            <w:tcW w:w="1772" w:type="dxa"/>
            <w:vAlign w:val="center"/>
          </w:tcPr>
          <w:p w14:paraId="3D21C794">
            <w:pPr>
              <w:spacing w:line="360" w:lineRule="auto"/>
              <w:jc w:val="center"/>
              <w:rPr>
                <w:rFonts w:ascii="宋体" w:hAnsi="宋体" w:eastAsia="宋体" w:cs="宋体"/>
                <w:color w:val="auto"/>
                <w:sz w:val="24"/>
                <w:szCs w:val="24"/>
                <w:highlight w:val="none"/>
              </w:rPr>
            </w:pPr>
          </w:p>
        </w:tc>
        <w:tc>
          <w:tcPr>
            <w:tcW w:w="1887" w:type="dxa"/>
            <w:vAlign w:val="center"/>
          </w:tcPr>
          <w:p w14:paraId="4071B67F">
            <w:pPr>
              <w:spacing w:line="360" w:lineRule="auto"/>
              <w:jc w:val="center"/>
              <w:rPr>
                <w:rFonts w:ascii="宋体" w:hAnsi="宋体" w:eastAsia="宋体" w:cs="宋体"/>
                <w:color w:val="auto"/>
                <w:sz w:val="24"/>
                <w:szCs w:val="24"/>
                <w:highlight w:val="none"/>
              </w:rPr>
            </w:pPr>
          </w:p>
        </w:tc>
        <w:tc>
          <w:tcPr>
            <w:tcW w:w="1438" w:type="dxa"/>
            <w:vAlign w:val="center"/>
          </w:tcPr>
          <w:p w14:paraId="59790011">
            <w:pPr>
              <w:spacing w:line="360" w:lineRule="auto"/>
              <w:jc w:val="center"/>
              <w:rPr>
                <w:rFonts w:ascii="宋体" w:hAnsi="宋体" w:eastAsia="宋体" w:cs="宋体"/>
                <w:color w:val="auto"/>
                <w:sz w:val="24"/>
                <w:szCs w:val="24"/>
                <w:highlight w:val="none"/>
              </w:rPr>
            </w:pPr>
          </w:p>
        </w:tc>
        <w:tc>
          <w:tcPr>
            <w:tcW w:w="820" w:type="dxa"/>
            <w:vAlign w:val="center"/>
          </w:tcPr>
          <w:p w14:paraId="61D98453">
            <w:pPr>
              <w:spacing w:line="360" w:lineRule="auto"/>
              <w:jc w:val="center"/>
              <w:rPr>
                <w:rFonts w:ascii="宋体" w:hAnsi="宋体" w:eastAsia="宋体" w:cs="宋体"/>
                <w:color w:val="auto"/>
                <w:sz w:val="24"/>
                <w:szCs w:val="24"/>
                <w:highlight w:val="none"/>
              </w:rPr>
            </w:pPr>
          </w:p>
        </w:tc>
      </w:tr>
      <w:tr w14:paraId="64B71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81" w:hRule="atLeast"/>
        </w:trPr>
        <w:tc>
          <w:tcPr>
            <w:tcW w:w="778" w:type="dxa"/>
            <w:vAlign w:val="center"/>
          </w:tcPr>
          <w:p w14:paraId="047DF1F0">
            <w:pPr>
              <w:pStyle w:val="77"/>
              <w:spacing w:before="257" w:line="360" w:lineRule="auto"/>
              <w:ind w:left="-144" w:right="-2" w:rightChars="-1"/>
              <w:jc w:val="center"/>
              <w:rPr>
                <w:color w:val="auto"/>
                <w:highlight w:val="none"/>
              </w:rPr>
            </w:pPr>
            <w:r>
              <w:rPr>
                <w:rFonts w:hint="eastAsia"/>
                <w:color w:val="auto"/>
                <w:highlight w:val="none"/>
              </w:rPr>
              <w:t>2</w:t>
            </w:r>
          </w:p>
        </w:tc>
        <w:tc>
          <w:tcPr>
            <w:tcW w:w="1266" w:type="dxa"/>
            <w:vAlign w:val="center"/>
          </w:tcPr>
          <w:p w14:paraId="6D0D6003">
            <w:pPr>
              <w:spacing w:line="360" w:lineRule="auto"/>
              <w:jc w:val="center"/>
              <w:rPr>
                <w:rFonts w:ascii="宋体" w:hAnsi="宋体" w:eastAsia="宋体" w:cs="宋体"/>
                <w:color w:val="auto"/>
                <w:sz w:val="24"/>
                <w:szCs w:val="24"/>
                <w:highlight w:val="none"/>
              </w:rPr>
            </w:pPr>
          </w:p>
        </w:tc>
        <w:tc>
          <w:tcPr>
            <w:tcW w:w="1295" w:type="dxa"/>
            <w:vAlign w:val="center"/>
          </w:tcPr>
          <w:p w14:paraId="4B78A1FB">
            <w:pPr>
              <w:spacing w:line="360" w:lineRule="auto"/>
              <w:jc w:val="center"/>
              <w:rPr>
                <w:rFonts w:ascii="宋体" w:hAnsi="宋体" w:eastAsia="宋体" w:cs="宋体"/>
                <w:color w:val="auto"/>
                <w:sz w:val="24"/>
                <w:szCs w:val="24"/>
                <w:highlight w:val="none"/>
              </w:rPr>
            </w:pPr>
          </w:p>
        </w:tc>
        <w:tc>
          <w:tcPr>
            <w:tcW w:w="1772" w:type="dxa"/>
            <w:vAlign w:val="center"/>
          </w:tcPr>
          <w:p w14:paraId="37F0C235">
            <w:pPr>
              <w:spacing w:line="360" w:lineRule="auto"/>
              <w:jc w:val="center"/>
              <w:rPr>
                <w:rFonts w:ascii="宋体" w:hAnsi="宋体" w:eastAsia="宋体" w:cs="宋体"/>
                <w:color w:val="auto"/>
                <w:sz w:val="24"/>
                <w:szCs w:val="24"/>
                <w:highlight w:val="none"/>
              </w:rPr>
            </w:pPr>
          </w:p>
        </w:tc>
        <w:tc>
          <w:tcPr>
            <w:tcW w:w="1887" w:type="dxa"/>
            <w:vAlign w:val="center"/>
          </w:tcPr>
          <w:p w14:paraId="79FC0C49">
            <w:pPr>
              <w:spacing w:line="360" w:lineRule="auto"/>
              <w:jc w:val="center"/>
              <w:rPr>
                <w:rFonts w:ascii="宋体" w:hAnsi="宋体" w:eastAsia="宋体" w:cs="宋体"/>
                <w:color w:val="auto"/>
                <w:sz w:val="24"/>
                <w:szCs w:val="24"/>
                <w:highlight w:val="none"/>
              </w:rPr>
            </w:pPr>
          </w:p>
        </w:tc>
        <w:tc>
          <w:tcPr>
            <w:tcW w:w="1438" w:type="dxa"/>
            <w:vAlign w:val="center"/>
          </w:tcPr>
          <w:p w14:paraId="59588632">
            <w:pPr>
              <w:spacing w:line="360" w:lineRule="auto"/>
              <w:jc w:val="center"/>
              <w:rPr>
                <w:rFonts w:ascii="宋体" w:hAnsi="宋体" w:eastAsia="宋体" w:cs="宋体"/>
                <w:color w:val="auto"/>
                <w:sz w:val="24"/>
                <w:szCs w:val="24"/>
                <w:highlight w:val="none"/>
              </w:rPr>
            </w:pPr>
          </w:p>
        </w:tc>
        <w:tc>
          <w:tcPr>
            <w:tcW w:w="820" w:type="dxa"/>
            <w:vAlign w:val="center"/>
          </w:tcPr>
          <w:p w14:paraId="20F2D959">
            <w:pPr>
              <w:spacing w:line="360" w:lineRule="auto"/>
              <w:jc w:val="center"/>
              <w:rPr>
                <w:rFonts w:ascii="宋体" w:hAnsi="宋体" w:eastAsia="宋体" w:cs="宋体"/>
                <w:color w:val="auto"/>
                <w:sz w:val="24"/>
                <w:szCs w:val="24"/>
                <w:highlight w:val="none"/>
              </w:rPr>
            </w:pPr>
          </w:p>
        </w:tc>
      </w:tr>
      <w:tr w14:paraId="5E7FC9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82" w:hRule="atLeast"/>
        </w:trPr>
        <w:tc>
          <w:tcPr>
            <w:tcW w:w="778" w:type="dxa"/>
            <w:vAlign w:val="center"/>
          </w:tcPr>
          <w:p w14:paraId="1D7F89F6">
            <w:pPr>
              <w:pStyle w:val="77"/>
              <w:spacing w:before="257" w:line="360" w:lineRule="auto"/>
              <w:ind w:left="-144" w:right="-2" w:rightChars="-1"/>
              <w:jc w:val="center"/>
              <w:rPr>
                <w:color w:val="auto"/>
                <w:highlight w:val="none"/>
              </w:rPr>
            </w:pPr>
            <w:r>
              <w:rPr>
                <w:rFonts w:hint="eastAsia"/>
                <w:color w:val="auto"/>
                <w:highlight w:val="none"/>
              </w:rPr>
              <w:t>3</w:t>
            </w:r>
          </w:p>
        </w:tc>
        <w:tc>
          <w:tcPr>
            <w:tcW w:w="1266" w:type="dxa"/>
            <w:vAlign w:val="center"/>
          </w:tcPr>
          <w:p w14:paraId="4844C5C2">
            <w:pPr>
              <w:spacing w:line="360" w:lineRule="auto"/>
              <w:jc w:val="center"/>
              <w:rPr>
                <w:rFonts w:ascii="宋体" w:hAnsi="宋体" w:eastAsia="宋体" w:cs="宋体"/>
                <w:color w:val="auto"/>
                <w:sz w:val="24"/>
                <w:szCs w:val="24"/>
                <w:highlight w:val="none"/>
              </w:rPr>
            </w:pPr>
          </w:p>
        </w:tc>
        <w:tc>
          <w:tcPr>
            <w:tcW w:w="1295" w:type="dxa"/>
            <w:vAlign w:val="center"/>
          </w:tcPr>
          <w:p w14:paraId="3DEC0D39">
            <w:pPr>
              <w:spacing w:line="360" w:lineRule="auto"/>
              <w:jc w:val="center"/>
              <w:rPr>
                <w:rFonts w:ascii="宋体" w:hAnsi="宋体" w:eastAsia="宋体" w:cs="宋体"/>
                <w:color w:val="auto"/>
                <w:sz w:val="24"/>
                <w:szCs w:val="24"/>
                <w:highlight w:val="none"/>
              </w:rPr>
            </w:pPr>
          </w:p>
        </w:tc>
        <w:tc>
          <w:tcPr>
            <w:tcW w:w="1772" w:type="dxa"/>
            <w:vAlign w:val="center"/>
          </w:tcPr>
          <w:p w14:paraId="2405F169">
            <w:pPr>
              <w:spacing w:line="360" w:lineRule="auto"/>
              <w:jc w:val="center"/>
              <w:rPr>
                <w:rFonts w:ascii="宋体" w:hAnsi="宋体" w:eastAsia="宋体" w:cs="宋体"/>
                <w:color w:val="auto"/>
                <w:sz w:val="24"/>
                <w:szCs w:val="24"/>
                <w:highlight w:val="none"/>
              </w:rPr>
            </w:pPr>
          </w:p>
        </w:tc>
        <w:tc>
          <w:tcPr>
            <w:tcW w:w="1887" w:type="dxa"/>
            <w:vAlign w:val="center"/>
          </w:tcPr>
          <w:p w14:paraId="74416A85">
            <w:pPr>
              <w:spacing w:line="360" w:lineRule="auto"/>
              <w:jc w:val="center"/>
              <w:rPr>
                <w:rFonts w:ascii="宋体" w:hAnsi="宋体" w:eastAsia="宋体" w:cs="宋体"/>
                <w:color w:val="auto"/>
                <w:sz w:val="24"/>
                <w:szCs w:val="24"/>
                <w:highlight w:val="none"/>
              </w:rPr>
            </w:pPr>
          </w:p>
        </w:tc>
        <w:tc>
          <w:tcPr>
            <w:tcW w:w="1438" w:type="dxa"/>
            <w:vAlign w:val="center"/>
          </w:tcPr>
          <w:p w14:paraId="66F77C22">
            <w:pPr>
              <w:spacing w:line="360" w:lineRule="auto"/>
              <w:jc w:val="center"/>
              <w:rPr>
                <w:rFonts w:ascii="宋体" w:hAnsi="宋体" w:eastAsia="宋体" w:cs="宋体"/>
                <w:color w:val="auto"/>
                <w:sz w:val="24"/>
                <w:szCs w:val="24"/>
                <w:highlight w:val="none"/>
              </w:rPr>
            </w:pPr>
          </w:p>
        </w:tc>
        <w:tc>
          <w:tcPr>
            <w:tcW w:w="820" w:type="dxa"/>
            <w:vAlign w:val="center"/>
          </w:tcPr>
          <w:p w14:paraId="4D3DD9FF">
            <w:pPr>
              <w:spacing w:line="360" w:lineRule="auto"/>
              <w:jc w:val="center"/>
              <w:rPr>
                <w:rFonts w:ascii="宋体" w:hAnsi="宋体" w:eastAsia="宋体" w:cs="宋体"/>
                <w:color w:val="auto"/>
                <w:sz w:val="24"/>
                <w:szCs w:val="24"/>
                <w:highlight w:val="none"/>
              </w:rPr>
            </w:pPr>
          </w:p>
        </w:tc>
      </w:tr>
      <w:tr w14:paraId="6965F0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81" w:hRule="atLeast"/>
        </w:trPr>
        <w:tc>
          <w:tcPr>
            <w:tcW w:w="778" w:type="dxa"/>
            <w:vAlign w:val="center"/>
          </w:tcPr>
          <w:p w14:paraId="17340577">
            <w:pPr>
              <w:pStyle w:val="77"/>
              <w:spacing w:before="257" w:line="360" w:lineRule="auto"/>
              <w:ind w:left="-144" w:right="-2" w:rightChars="-1"/>
              <w:jc w:val="center"/>
              <w:rPr>
                <w:color w:val="auto"/>
                <w:highlight w:val="none"/>
              </w:rPr>
            </w:pPr>
            <w:r>
              <w:rPr>
                <w:rFonts w:hint="eastAsia"/>
                <w:color w:val="auto"/>
                <w:highlight w:val="none"/>
              </w:rPr>
              <w:t>4</w:t>
            </w:r>
          </w:p>
        </w:tc>
        <w:tc>
          <w:tcPr>
            <w:tcW w:w="1266" w:type="dxa"/>
            <w:vAlign w:val="center"/>
          </w:tcPr>
          <w:p w14:paraId="59913143">
            <w:pPr>
              <w:spacing w:line="360" w:lineRule="auto"/>
              <w:jc w:val="center"/>
              <w:rPr>
                <w:rFonts w:ascii="宋体" w:hAnsi="宋体" w:eastAsia="宋体" w:cs="宋体"/>
                <w:color w:val="auto"/>
                <w:sz w:val="24"/>
                <w:szCs w:val="24"/>
                <w:highlight w:val="none"/>
              </w:rPr>
            </w:pPr>
          </w:p>
        </w:tc>
        <w:tc>
          <w:tcPr>
            <w:tcW w:w="1295" w:type="dxa"/>
            <w:vAlign w:val="center"/>
          </w:tcPr>
          <w:p w14:paraId="07C11AC4">
            <w:pPr>
              <w:spacing w:line="360" w:lineRule="auto"/>
              <w:jc w:val="center"/>
              <w:rPr>
                <w:rFonts w:ascii="宋体" w:hAnsi="宋体" w:eastAsia="宋体" w:cs="宋体"/>
                <w:color w:val="auto"/>
                <w:sz w:val="24"/>
                <w:szCs w:val="24"/>
                <w:highlight w:val="none"/>
              </w:rPr>
            </w:pPr>
          </w:p>
        </w:tc>
        <w:tc>
          <w:tcPr>
            <w:tcW w:w="1772" w:type="dxa"/>
            <w:vAlign w:val="center"/>
          </w:tcPr>
          <w:p w14:paraId="07A797DA">
            <w:pPr>
              <w:spacing w:line="360" w:lineRule="auto"/>
              <w:jc w:val="center"/>
              <w:rPr>
                <w:rFonts w:ascii="宋体" w:hAnsi="宋体" w:eastAsia="宋体" w:cs="宋体"/>
                <w:color w:val="auto"/>
                <w:sz w:val="24"/>
                <w:szCs w:val="24"/>
                <w:highlight w:val="none"/>
              </w:rPr>
            </w:pPr>
          </w:p>
        </w:tc>
        <w:tc>
          <w:tcPr>
            <w:tcW w:w="1887" w:type="dxa"/>
            <w:vAlign w:val="center"/>
          </w:tcPr>
          <w:p w14:paraId="59A5DA4C">
            <w:pPr>
              <w:spacing w:line="360" w:lineRule="auto"/>
              <w:jc w:val="center"/>
              <w:rPr>
                <w:rFonts w:ascii="宋体" w:hAnsi="宋体" w:eastAsia="宋体" w:cs="宋体"/>
                <w:color w:val="auto"/>
                <w:sz w:val="24"/>
                <w:szCs w:val="24"/>
                <w:highlight w:val="none"/>
              </w:rPr>
            </w:pPr>
          </w:p>
        </w:tc>
        <w:tc>
          <w:tcPr>
            <w:tcW w:w="1438" w:type="dxa"/>
            <w:vAlign w:val="center"/>
          </w:tcPr>
          <w:p w14:paraId="37859CF9">
            <w:pPr>
              <w:spacing w:line="360" w:lineRule="auto"/>
              <w:jc w:val="center"/>
              <w:rPr>
                <w:rFonts w:ascii="宋体" w:hAnsi="宋体" w:eastAsia="宋体" w:cs="宋体"/>
                <w:color w:val="auto"/>
                <w:sz w:val="24"/>
                <w:szCs w:val="24"/>
                <w:highlight w:val="none"/>
              </w:rPr>
            </w:pPr>
          </w:p>
        </w:tc>
        <w:tc>
          <w:tcPr>
            <w:tcW w:w="820" w:type="dxa"/>
            <w:vAlign w:val="center"/>
          </w:tcPr>
          <w:p w14:paraId="55897323">
            <w:pPr>
              <w:spacing w:line="360" w:lineRule="auto"/>
              <w:jc w:val="center"/>
              <w:rPr>
                <w:rFonts w:ascii="宋体" w:hAnsi="宋体" w:eastAsia="宋体" w:cs="宋体"/>
                <w:color w:val="auto"/>
                <w:sz w:val="24"/>
                <w:szCs w:val="24"/>
                <w:highlight w:val="none"/>
              </w:rPr>
            </w:pPr>
          </w:p>
        </w:tc>
      </w:tr>
      <w:tr w14:paraId="612781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81" w:hRule="atLeast"/>
        </w:trPr>
        <w:tc>
          <w:tcPr>
            <w:tcW w:w="778" w:type="dxa"/>
            <w:vAlign w:val="center"/>
          </w:tcPr>
          <w:p w14:paraId="2BCBE21F">
            <w:pPr>
              <w:pStyle w:val="77"/>
              <w:spacing w:before="257" w:line="360" w:lineRule="auto"/>
              <w:ind w:left="-144" w:right="-2" w:rightChars="-1"/>
              <w:jc w:val="center"/>
              <w:rPr>
                <w:color w:val="auto"/>
                <w:highlight w:val="none"/>
              </w:rPr>
            </w:pPr>
            <w:r>
              <w:rPr>
                <w:rFonts w:hint="eastAsia"/>
                <w:color w:val="auto"/>
                <w:highlight w:val="none"/>
              </w:rPr>
              <w:t>5</w:t>
            </w:r>
          </w:p>
        </w:tc>
        <w:tc>
          <w:tcPr>
            <w:tcW w:w="1266" w:type="dxa"/>
            <w:vAlign w:val="center"/>
          </w:tcPr>
          <w:p w14:paraId="17378978">
            <w:pPr>
              <w:spacing w:line="360" w:lineRule="auto"/>
              <w:jc w:val="center"/>
              <w:rPr>
                <w:rFonts w:ascii="宋体" w:hAnsi="宋体" w:eastAsia="宋体" w:cs="宋体"/>
                <w:color w:val="auto"/>
                <w:sz w:val="24"/>
                <w:szCs w:val="24"/>
                <w:highlight w:val="none"/>
              </w:rPr>
            </w:pPr>
          </w:p>
        </w:tc>
        <w:tc>
          <w:tcPr>
            <w:tcW w:w="1295" w:type="dxa"/>
            <w:vAlign w:val="center"/>
          </w:tcPr>
          <w:p w14:paraId="44262555">
            <w:pPr>
              <w:spacing w:line="360" w:lineRule="auto"/>
              <w:jc w:val="center"/>
              <w:rPr>
                <w:rFonts w:ascii="宋体" w:hAnsi="宋体" w:eastAsia="宋体" w:cs="宋体"/>
                <w:color w:val="auto"/>
                <w:sz w:val="24"/>
                <w:szCs w:val="24"/>
                <w:highlight w:val="none"/>
              </w:rPr>
            </w:pPr>
          </w:p>
        </w:tc>
        <w:tc>
          <w:tcPr>
            <w:tcW w:w="1772" w:type="dxa"/>
            <w:vAlign w:val="center"/>
          </w:tcPr>
          <w:p w14:paraId="0E70E8E8">
            <w:pPr>
              <w:spacing w:line="360" w:lineRule="auto"/>
              <w:jc w:val="center"/>
              <w:rPr>
                <w:rFonts w:ascii="宋体" w:hAnsi="宋体" w:eastAsia="宋体" w:cs="宋体"/>
                <w:color w:val="auto"/>
                <w:sz w:val="24"/>
                <w:szCs w:val="24"/>
                <w:highlight w:val="none"/>
              </w:rPr>
            </w:pPr>
          </w:p>
        </w:tc>
        <w:tc>
          <w:tcPr>
            <w:tcW w:w="1887" w:type="dxa"/>
            <w:vAlign w:val="center"/>
          </w:tcPr>
          <w:p w14:paraId="2B204F2E">
            <w:pPr>
              <w:spacing w:line="360" w:lineRule="auto"/>
              <w:jc w:val="center"/>
              <w:rPr>
                <w:rFonts w:ascii="宋体" w:hAnsi="宋体" w:eastAsia="宋体" w:cs="宋体"/>
                <w:color w:val="auto"/>
                <w:sz w:val="24"/>
                <w:szCs w:val="24"/>
                <w:highlight w:val="none"/>
              </w:rPr>
            </w:pPr>
          </w:p>
        </w:tc>
        <w:tc>
          <w:tcPr>
            <w:tcW w:w="1438" w:type="dxa"/>
            <w:vAlign w:val="center"/>
          </w:tcPr>
          <w:p w14:paraId="41173D4A">
            <w:pPr>
              <w:spacing w:line="360" w:lineRule="auto"/>
              <w:jc w:val="center"/>
              <w:rPr>
                <w:rFonts w:ascii="宋体" w:hAnsi="宋体" w:eastAsia="宋体" w:cs="宋体"/>
                <w:color w:val="auto"/>
                <w:sz w:val="24"/>
                <w:szCs w:val="24"/>
                <w:highlight w:val="none"/>
              </w:rPr>
            </w:pPr>
          </w:p>
        </w:tc>
        <w:tc>
          <w:tcPr>
            <w:tcW w:w="820" w:type="dxa"/>
            <w:vAlign w:val="center"/>
          </w:tcPr>
          <w:p w14:paraId="5EB0E21F">
            <w:pPr>
              <w:spacing w:line="360" w:lineRule="auto"/>
              <w:jc w:val="center"/>
              <w:rPr>
                <w:rFonts w:ascii="宋体" w:hAnsi="宋体" w:eastAsia="宋体" w:cs="宋体"/>
                <w:color w:val="auto"/>
                <w:sz w:val="24"/>
                <w:szCs w:val="24"/>
                <w:highlight w:val="none"/>
              </w:rPr>
            </w:pPr>
          </w:p>
        </w:tc>
      </w:tr>
      <w:tr w14:paraId="19C87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82" w:hRule="atLeast"/>
        </w:trPr>
        <w:tc>
          <w:tcPr>
            <w:tcW w:w="778" w:type="dxa"/>
            <w:vAlign w:val="center"/>
          </w:tcPr>
          <w:p w14:paraId="14DB7B84">
            <w:pPr>
              <w:pStyle w:val="77"/>
              <w:spacing w:before="257" w:line="360" w:lineRule="auto"/>
              <w:ind w:left="-144" w:right="-2" w:rightChars="-1"/>
              <w:jc w:val="center"/>
              <w:rPr>
                <w:color w:val="auto"/>
                <w:highlight w:val="none"/>
                <w:lang w:eastAsia="zh-CN"/>
              </w:rPr>
            </w:pPr>
            <w:r>
              <w:rPr>
                <w:rFonts w:hint="eastAsia"/>
                <w:color w:val="auto"/>
                <w:highlight w:val="none"/>
                <w:lang w:eastAsia="zh-CN"/>
              </w:rPr>
              <w:t>..</w:t>
            </w:r>
          </w:p>
        </w:tc>
        <w:tc>
          <w:tcPr>
            <w:tcW w:w="1266" w:type="dxa"/>
            <w:vAlign w:val="center"/>
          </w:tcPr>
          <w:p w14:paraId="4695B118">
            <w:pPr>
              <w:spacing w:line="360" w:lineRule="auto"/>
              <w:jc w:val="center"/>
              <w:rPr>
                <w:rFonts w:ascii="宋体" w:hAnsi="宋体" w:eastAsia="宋体" w:cs="宋体"/>
                <w:color w:val="auto"/>
                <w:sz w:val="24"/>
                <w:szCs w:val="24"/>
                <w:highlight w:val="none"/>
              </w:rPr>
            </w:pPr>
          </w:p>
        </w:tc>
        <w:tc>
          <w:tcPr>
            <w:tcW w:w="1295" w:type="dxa"/>
            <w:vAlign w:val="center"/>
          </w:tcPr>
          <w:p w14:paraId="479A4F52">
            <w:pPr>
              <w:spacing w:line="360" w:lineRule="auto"/>
              <w:jc w:val="center"/>
              <w:rPr>
                <w:rFonts w:ascii="宋体" w:hAnsi="宋体" w:eastAsia="宋体" w:cs="宋体"/>
                <w:color w:val="auto"/>
                <w:sz w:val="24"/>
                <w:szCs w:val="24"/>
                <w:highlight w:val="none"/>
              </w:rPr>
            </w:pPr>
          </w:p>
        </w:tc>
        <w:tc>
          <w:tcPr>
            <w:tcW w:w="1772" w:type="dxa"/>
            <w:vAlign w:val="center"/>
          </w:tcPr>
          <w:p w14:paraId="5A684013">
            <w:pPr>
              <w:spacing w:line="360" w:lineRule="auto"/>
              <w:jc w:val="center"/>
              <w:rPr>
                <w:rFonts w:ascii="宋体" w:hAnsi="宋体" w:eastAsia="宋体" w:cs="宋体"/>
                <w:color w:val="auto"/>
                <w:sz w:val="24"/>
                <w:szCs w:val="24"/>
                <w:highlight w:val="none"/>
              </w:rPr>
            </w:pPr>
          </w:p>
        </w:tc>
        <w:tc>
          <w:tcPr>
            <w:tcW w:w="1887" w:type="dxa"/>
            <w:vAlign w:val="center"/>
          </w:tcPr>
          <w:p w14:paraId="3BE38E1A">
            <w:pPr>
              <w:spacing w:line="360" w:lineRule="auto"/>
              <w:jc w:val="center"/>
              <w:rPr>
                <w:rFonts w:ascii="宋体" w:hAnsi="宋体" w:eastAsia="宋体" w:cs="宋体"/>
                <w:color w:val="auto"/>
                <w:sz w:val="24"/>
                <w:szCs w:val="24"/>
                <w:highlight w:val="none"/>
              </w:rPr>
            </w:pPr>
          </w:p>
        </w:tc>
        <w:tc>
          <w:tcPr>
            <w:tcW w:w="1438" w:type="dxa"/>
            <w:vAlign w:val="center"/>
          </w:tcPr>
          <w:p w14:paraId="681C3A9E">
            <w:pPr>
              <w:spacing w:line="360" w:lineRule="auto"/>
              <w:jc w:val="center"/>
              <w:rPr>
                <w:rFonts w:ascii="宋体" w:hAnsi="宋体" w:eastAsia="宋体" w:cs="宋体"/>
                <w:color w:val="auto"/>
                <w:sz w:val="24"/>
                <w:szCs w:val="24"/>
                <w:highlight w:val="none"/>
              </w:rPr>
            </w:pPr>
          </w:p>
        </w:tc>
        <w:tc>
          <w:tcPr>
            <w:tcW w:w="820" w:type="dxa"/>
            <w:vAlign w:val="center"/>
          </w:tcPr>
          <w:p w14:paraId="38AE816F">
            <w:pPr>
              <w:spacing w:line="360" w:lineRule="auto"/>
              <w:jc w:val="center"/>
              <w:rPr>
                <w:rFonts w:ascii="宋体" w:hAnsi="宋体" w:eastAsia="宋体" w:cs="宋体"/>
                <w:color w:val="auto"/>
                <w:sz w:val="24"/>
                <w:szCs w:val="24"/>
                <w:highlight w:val="none"/>
              </w:rPr>
            </w:pPr>
          </w:p>
        </w:tc>
      </w:tr>
      <w:tr w14:paraId="6C621A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82" w:hRule="atLeast"/>
        </w:trPr>
        <w:tc>
          <w:tcPr>
            <w:tcW w:w="778" w:type="dxa"/>
            <w:vAlign w:val="center"/>
          </w:tcPr>
          <w:p w14:paraId="41F5A013">
            <w:pPr>
              <w:pStyle w:val="77"/>
              <w:spacing w:before="257" w:line="360" w:lineRule="auto"/>
              <w:ind w:left="-144" w:right="-2" w:rightChars="-1"/>
              <w:jc w:val="center"/>
              <w:rPr>
                <w:color w:val="auto"/>
                <w:highlight w:val="none"/>
              </w:rPr>
            </w:pPr>
            <w:r>
              <w:rPr>
                <w:rFonts w:hint="eastAsia"/>
                <w:color w:val="auto"/>
                <w:highlight w:val="none"/>
                <w:lang w:eastAsia="zh-CN"/>
              </w:rPr>
              <w:t>..</w:t>
            </w:r>
          </w:p>
        </w:tc>
        <w:tc>
          <w:tcPr>
            <w:tcW w:w="1266" w:type="dxa"/>
            <w:vAlign w:val="center"/>
          </w:tcPr>
          <w:p w14:paraId="1FE75CD0">
            <w:pPr>
              <w:spacing w:line="360" w:lineRule="auto"/>
              <w:jc w:val="center"/>
              <w:rPr>
                <w:rFonts w:ascii="宋体" w:hAnsi="宋体" w:eastAsia="宋体" w:cs="宋体"/>
                <w:color w:val="auto"/>
                <w:sz w:val="24"/>
                <w:szCs w:val="24"/>
                <w:highlight w:val="none"/>
              </w:rPr>
            </w:pPr>
          </w:p>
        </w:tc>
        <w:tc>
          <w:tcPr>
            <w:tcW w:w="1295" w:type="dxa"/>
            <w:vAlign w:val="center"/>
          </w:tcPr>
          <w:p w14:paraId="4D57C451">
            <w:pPr>
              <w:spacing w:line="360" w:lineRule="auto"/>
              <w:jc w:val="center"/>
              <w:rPr>
                <w:rFonts w:ascii="宋体" w:hAnsi="宋体" w:eastAsia="宋体" w:cs="宋体"/>
                <w:color w:val="auto"/>
                <w:sz w:val="24"/>
                <w:szCs w:val="24"/>
                <w:highlight w:val="none"/>
              </w:rPr>
            </w:pPr>
          </w:p>
        </w:tc>
        <w:tc>
          <w:tcPr>
            <w:tcW w:w="1772" w:type="dxa"/>
            <w:vAlign w:val="center"/>
          </w:tcPr>
          <w:p w14:paraId="292F2DF9">
            <w:pPr>
              <w:spacing w:line="360" w:lineRule="auto"/>
              <w:jc w:val="center"/>
              <w:rPr>
                <w:rFonts w:ascii="宋体" w:hAnsi="宋体" w:eastAsia="宋体" w:cs="宋体"/>
                <w:color w:val="auto"/>
                <w:sz w:val="24"/>
                <w:szCs w:val="24"/>
                <w:highlight w:val="none"/>
              </w:rPr>
            </w:pPr>
          </w:p>
        </w:tc>
        <w:tc>
          <w:tcPr>
            <w:tcW w:w="1887" w:type="dxa"/>
            <w:vAlign w:val="center"/>
          </w:tcPr>
          <w:p w14:paraId="2323F154">
            <w:pPr>
              <w:spacing w:line="360" w:lineRule="auto"/>
              <w:jc w:val="center"/>
              <w:rPr>
                <w:rFonts w:ascii="宋体" w:hAnsi="宋体" w:eastAsia="宋体" w:cs="宋体"/>
                <w:color w:val="auto"/>
                <w:sz w:val="24"/>
                <w:szCs w:val="24"/>
                <w:highlight w:val="none"/>
              </w:rPr>
            </w:pPr>
          </w:p>
        </w:tc>
        <w:tc>
          <w:tcPr>
            <w:tcW w:w="1438" w:type="dxa"/>
            <w:vAlign w:val="center"/>
          </w:tcPr>
          <w:p w14:paraId="39BD4C4F">
            <w:pPr>
              <w:spacing w:line="360" w:lineRule="auto"/>
              <w:jc w:val="center"/>
              <w:rPr>
                <w:rFonts w:ascii="宋体" w:hAnsi="宋体" w:eastAsia="宋体" w:cs="宋体"/>
                <w:color w:val="auto"/>
                <w:sz w:val="24"/>
                <w:szCs w:val="24"/>
                <w:highlight w:val="none"/>
              </w:rPr>
            </w:pPr>
          </w:p>
        </w:tc>
        <w:tc>
          <w:tcPr>
            <w:tcW w:w="820" w:type="dxa"/>
            <w:vAlign w:val="center"/>
          </w:tcPr>
          <w:p w14:paraId="30CA09B7">
            <w:pPr>
              <w:spacing w:line="360" w:lineRule="auto"/>
              <w:jc w:val="center"/>
              <w:rPr>
                <w:rFonts w:ascii="宋体" w:hAnsi="宋体" w:eastAsia="宋体" w:cs="宋体"/>
                <w:color w:val="auto"/>
                <w:sz w:val="24"/>
                <w:szCs w:val="24"/>
                <w:highlight w:val="none"/>
              </w:rPr>
            </w:pPr>
          </w:p>
        </w:tc>
      </w:tr>
      <w:tr w14:paraId="7E93D8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82" w:hRule="atLeast"/>
        </w:trPr>
        <w:tc>
          <w:tcPr>
            <w:tcW w:w="778" w:type="dxa"/>
            <w:vAlign w:val="center"/>
          </w:tcPr>
          <w:p w14:paraId="507747B6">
            <w:pPr>
              <w:pStyle w:val="77"/>
              <w:spacing w:before="257" w:line="360" w:lineRule="auto"/>
              <w:ind w:left="-144" w:right="-2" w:rightChars="-1"/>
              <w:jc w:val="center"/>
              <w:rPr>
                <w:color w:val="auto"/>
                <w:highlight w:val="none"/>
              </w:rPr>
            </w:pPr>
            <w:r>
              <w:rPr>
                <w:rFonts w:hint="eastAsia"/>
                <w:color w:val="auto"/>
                <w:highlight w:val="none"/>
                <w:lang w:eastAsia="zh-CN"/>
              </w:rPr>
              <w:t>..</w:t>
            </w:r>
          </w:p>
        </w:tc>
        <w:tc>
          <w:tcPr>
            <w:tcW w:w="1266" w:type="dxa"/>
            <w:vAlign w:val="center"/>
          </w:tcPr>
          <w:p w14:paraId="47DBA8C9">
            <w:pPr>
              <w:spacing w:line="360" w:lineRule="auto"/>
              <w:jc w:val="center"/>
              <w:rPr>
                <w:rFonts w:ascii="宋体" w:hAnsi="宋体" w:eastAsia="宋体" w:cs="宋体"/>
                <w:color w:val="auto"/>
                <w:sz w:val="24"/>
                <w:szCs w:val="24"/>
                <w:highlight w:val="none"/>
              </w:rPr>
            </w:pPr>
          </w:p>
        </w:tc>
        <w:tc>
          <w:tcPr>
            <w:tcW w:w="1295" w:type="dxa"/>
            <w:vAlign w:val="center"/>
          </w:tcPr>
          <w:p w14:paraId="67FDABFF">
            <w:pPr>
              <w:spacing w:line="360" w:lineRule="auto"/>
              <w:jc w:val="center"/>
              <w:rPr>
                <w:rFonts w:ascii="宋体" w:hAnsi="宋体" w:eastAsia="宋体" w:cs="宋体"/>
                <w:color w:val="auto"/>
                <w:sz w:val="24"/>
                <w:szCs w:val="24"/>
                <w:highlight w:val="none"/>
              </w:rPr>
            </w:pPr>
          </w:p>
        </w:tc>
        <w:tc>
          <w:tcPr>
            <w:tcW w:w="1772" w:type="dxa"/>
            <w:vAlign w:val="center"/>
          </w:tcPr>
          <w:p w14:paraId="294FBE85">
            <w:pPr>
              <w:spacing w:line="360" w:lineRule="auto"/>
              <w:jc w:val="center"/>
              <w:rPr>
                <w:rFonts w:ascii="宋体" w:hAnsi="宋体" w:eastAsia="宋体" w:cs="宋体"/>
                <w:color w:val="auto"/>
                <w:sz w:val="24"/>
                <w:szCs w:val="24"/>
                <w:highlight w:val="none"/>
              </w:rPr>
            </w:pPr>
          </w:p>
        </w:tc>
        <w:tc>
          <w:tcPr>
            <w:tcW w:w="1887" w:type="dxa"/>
            <w:vAlign w:val="center"/>
          </w:tcPr>
          <w:p w14:paraId="5B426D7A">
            <w:pPr>
              <w:spacing w:line="360" w:lineRule="auto"/>
              <w:jc w:val="center"/>
              <w:rPr>
                <w:rFonts w:ascii="宋体" w:hAnsi="宋体" w:eastAsia="宋体" w:cs="宋体"/>
                <w:color w:val="auto"/>
                <w:sz w:val="24"/>
                <w:szCs w:val="24"/>
                <w:highlight w:val="none"/>
              </w:rPr>
            </w:pPr>
          </w:p>
        </w:tc>
        <w:tc>
          <w:tcPr>
            <w:tcW w:w="1438" w:type="dxa"/>
            <w:vAlign w:val="center"/>
          </w:tcPr>
          <w:p w14:paraId="0857ED0D">
            <w:pPr>
              <w:spacing w:line="360" w:lineRule="auto"/>
              <w:jc w:val="center"/>
              <w:rPr>
                <w:rFonts w:ascii="宋体" w:hAnsi="宋体" w:eastAsia="宋体" w:cs="宋体"/>
                <w:color w:val="auto"/>
                <w:sz w:val="24"/>
                <w:szCs w:val="24"/>
                <w:highlight w:val="none"/>
              </w:rPr>
            </w:pPr>
          </w:p>
        </w:tc>
        <w:tc>
          <w:tcPr>
            <w:tcW w:w="820" w:type="dxa"/>
            <w:vAlign w:val="center"/>
          </w:tcPr>
          <w:p w14:paraId="56A9DBC0">
            <w:pPr>
              <w:spacing w:line="360" w:lineRule="auto"/>
              <w:jc w:val="center"/>
              <w:rPr>
                <w:rFonts w:ascii="宋体" w:hAnsi="宋体" w:eastAsia="宋体" w:cs="宋体"/>
                <w:color w:val="auto"/>
                <w:sz w:val="24"/>
                <w:szCs w:val="24"/>
                <w:highlight w:val="none"/>
              </w:rPr>
            </w:pPr>
          </w:p>
        </w:tc>
      </w:tr>
      <w:tr w14:paraId="084937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82" w:hRule="atLeast"/>
        </w:trPr>
        <w:tc>
          <w:tcPr>
            <w:tcW w:w="778" w:type="dxa"/>
            <w:vAlign w:val="center"/>
          </w:tcPr>
          <w:p w14:paraId="6507CCE5">
            <w:pPr>
              <w:pStyle w:val="77"/>
              <w:spacing w:before="257" w:line="360" w:lineRule="auto"/>
              <w:ind w:left="-144" w:right="-2" w:rightChars="-1"/>
              <w:jc w:val="center"/>
              <w:rPr>
                <w:color w:val="auto"/>
                <w:highlight w:val="none"/>
              </w:rPr>
            </w:pPr>
            <w:r>
              <w:rPr>
                <w:rFonts w:hint="eastAsia"/>
                <w:color w:val="auto"/>
                <w:highlight w:val="none"/>
                <w:lang w:eastAsia="zh-CN"/>
              </w:rPr>
              <w:t>..</w:t>
            </w:r>
          </w:p>
        </w:tc>
        <w:tc>
          <w:tcPr>
            <w:tcW w:w="1266" w:type="dxa"/>
            <w:vAlign w:val="center"/>
          </w:tcPr>
          <w:p w14:paraId="3490C96D">
            <w:pPr>
              <w:spacing w:line="360" w:lineRule="auto"/>
              <w:jc w:val="center"/>
              <w:rPr>
                <w:rFonts w:ascii="宋体" w:hAnsi="宋体" w:eastAsia="宋体" w:cs="宋体"/>
                <w:color w:val="auto"/>
                <w:sz w:val="24"/>
                <w:szCs w:val="24"/>
                <w:highlight w:val="none"/>
              </w:rPr>
            </w:pPr>
          </w:p>
        </w:tc>
        <w:tc>
          <w:tcPr>
            <w:tcW w:w="1295" w:type="dxa"/>
            <w:vAlign w:val="center"/>
          </w:tcPr>
          <w:p w14:paraId="43EBD17F">
            <w:pPr>
              <w:spacing w:line="360" w:lineRule="auto"/>
              <w:jc w:val="center"/>
              <w:rPr>
                <w:rFonts w:ascii="宋体" w:hAnsi="宋体" w:eastAsia="宋体" w:cs="宋体"/>
                <w:color w:val="auto"/>
                <w:sz w:val="24"/>
                <w:szCs w:val="24"/>
                <w:highlight w:val="none"/>
              </w:rPr>
            </w:pPr>
          </w:p>
        </w:tc>
        <w:tc>
          <w:tcPr>
            <w:tcW w:w="1772" w:type="dxa"/>
            <w:vAlign w:val="center"/>
          </w:tcPr>
          <w:p w14:paraId="4BCF737A">
            <w:pPr>
              <w:spacing w:line="360" w:lineRule="auto"/>
              <w:jc w:val="center"/>
              <w:rPr>
                <w:rFonts w:ascii="宋体" w:hAnsi="宋体" w:eastAsia="宋体" w:cs="宋体"/>
                <w:color w:val="auto"/>
                <w:sz w:val="24"/>
                <w:szCs w:val="24"/>
                <w:highlight w:val="none"/>
              </w:rPr>
            </w:pPr>
          </w:p>
        </w:tc>
        <w:tc>
          <w:tcPr>
            <w:tcW w:w="1887" w:type="dxa"/>
            <w:vAlign w:val="center"/>
          </w:tcPr>
          <w:p w14:paraId="56D55C40">
            <w:pPr>
              <w:spacing w:line="360" w:lineRule="auto"/>
              <w:jc w:val="center"/>
              <w:rPr>
                <w:rFonts w:ascii="宋体" w:hAnsi="宋体" w:eastAsia="宋体" w:cs="宋体"/>
                <w:color w:val="auto"/>
                <w:sz w:val="24"/>
                <w:szCs w:val="24"/>
                <w:highlight w:val="none"/>
              </w:rPr>
            </w:pPr>
          </w:p>
        </w:tc>
        <w:tc>
          <w:tcPr>
            <w:tcW w:w="1438" w:type="dxa"/>
            <w:vAlign w:val="center"/>
          </w:tcPr>
          <w:p w14:paraId="1AE02E11">
            <w:pPr>
              <w:spacing w:line="360" w:lineRule="auto"/>
              <w:jc w:val="center"/>
              <w:rPr>
                <w:rFonts w:ascii="宋体" w:hAnsi="宋体" w:eastAsia="宋体" w:cs="宋体"/>
                <w:color w:val="auto"/>
                <w:sz w:val="24"/>
                <w:szCs w:val="24"/>
                <w:highlight w:val="none"/>
              </w:rPr>
            </w:pPr>
          </w:p>
        </w:tc>
        <w:tc>
          <w:tcPr>
            <w:tcW w:w="820" w:type="dxa"/>
            <w:vAlign w:val="center"/>
          </w:tcPr>
          <w:p w14:paraId="47FFFFFF">
            <w:pPr>
              <w:spacing w:line="360" w:lineRule="auto"/>
              <w:jc w:val="center"/>
              <w:rPr>
                <w:rFonts w:ascii="宋体" w:hAnsi="宋体" w:eastAsia="宋体" w:cs="宋体"/>
                <w:color w:val="auto"/>
                <w:sz w:val="24"/>
                <w:szCs w:val="24"/>
                <w:highlight w:val="none"/>
              </w:rPr>
            </w:pPr>
          </w:p>
        </w:tc>
      </w:tr>
      <w:tr w14:paraId="2EF748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98" w:hRule="atLeast"/>
        </w:trPr>
        <w:tc>
          <w:tcPr>
            <w:tcW w:w="778" w:type="dxa"/>
            <w:vAlign w:val="center"/>
          </w:tcPr>
          <w:p w14:paraId="35344297">
            <w:pPr>
              <w:pStyle w:val="77"/>
              <w:spacing w:before="257" w:line="360" w:lineRule="auto"/>
              <w:ind w:left="-144" w:right="-2" w:rightChars="-1"/>
              <w:jc w:val="center"/>
              <w:rPr>
                <w:color w:val="auto"/>
                <w:highlight w:val="none"/>
              </w:rPr>
            </w:pPr>
            <w:r>
              <w:rPr>
                <w:rFonts w:hint="eastAsia"/>
                <w:color w:val="auto"/>
                <w:highlight w:val="none"/>
                <w:lang w:eastAsia="zh-CN"/>
              </w:rPr>
              <w:t>..</w:t>
            </w:r>
          </w:p>
        </w:tc>
        <w:tc>
          <w:tcPr>
            <w:tcW w:w="1266" w:type="dxa"/>
            <w:vAlign w:val="center"/>
          </w:tcPr>
          <w:p w14:paraId="1E56E293">
            <w:pPr>
              <w:spacing w:line="360" w:lineRule="auto"/>
              <w:jc w:val="center"/>
              <w:rPr>
                <w:rFonts w:ascii="宋体" w:hAnsi="宋体" w:eastAsia="宋体" w:cs="宋体"/>
                <w:color w:val="auto"/>
                <w:sz w:val="24"/>
                <w:szCs w:val="24"/>
                <w:highlight w:val="none"/>
              </w:rPr>
            </w:pPr>
          </w:p>
        </w:tc>
        <w:tc>
          <w:tcPr>
            <w:tcW w:w="1295" w:type="dxa"/>
            <w:vAlign w:val="center"/>
          </w:tcPr>
          <w:p w14:paraId="371A4092">
            <w:pPr>
              <w:spacing w:line="360" w:lineRule="auto"/>
              <w:jc w:val="center"/>
              <w:rPr>
                <w:rFonts w:ascii="宋体" w:hAnsi="宋体" w:eastAsia="宋体" w:cs="宋体"/>
                <w:color w:val="auto"/>
                <w:sz w:val="24"/>
                <w:szCs w:val="24"/>
                <w:highlight w:val="none"/>
              </w:rPr>
            </w:pPr>
          </w:p>
        </w:tc>
        <w:tc>
          <w:tcPr>
            <w:tcW w:w="1772" w:type="dxa"/>
            <w:vAlign w:val="center"/>
          </w:tcPr>
          <w:p w14:paraId="4B80B2F4">
            <w:pPr>
              <w:spacing w:line="360" w:lineRule="auto"/>
              <w:jc w:val="center"/>
              <w:rPr>
                <w:rFonts w:ascii="宋体" w:hAnsi="宋体" w:eastAsia="宋体" w:cs="宋体"/>
                <w:color w:val="auto"/>
                <w:sz w:val="24"/>
                <w:szCs w:val="24"/>
                <w:highlight w:val="none"/>
              </w:rPr>
            </w:pPr>
          </w:p>
        </w:tc>
        <w:tc>
          <w:tcPr>
            <w:tcW w:w="1887" w:type="dxa"/>
            <w:vAlign w:val="center"/>
          </w:tcPr>
          <w:p w14:paraId="05E3A65C">
            <w:pPr>
              <w:spacing w:line="360" w:lineRule="auto"/>
              <w:jc w:val="center"/>
              <w:rPr>
                <w:rFonts w:ascii="宋体" w:hAnsi="宋体" w:eastAsia="宋体" w:cs="宋体"/>
                <w:color w:val="auto"/>
                <w:sz w:val="24"/>
                <w:szCs w:val="24"/>
                <w:highlight w:val="none"/>
              </w:rPr>
            </w:pPr>
          </w:p>
        </w:tc>
        <w:tc>
          <w:tcPr>
            <w:tcW w:w="1438" w:type="dxa"/>
            <w:vAlign w:val="center"/>
          </w:tcPr>
          <w:p w14:paraId="732D16EF">
            <w:pPr>
              <w:spacing w:line="360" w:lineRule="auto"/>
              <w:jc w:val="center"/>
              <w:rPr>
                <w:rFonts w:ascii="宋体" w:hAnsi="宋体" w:eastAsia="宋体" w:cs="宋体"/>
                <w:color w:val="auto"/>
                <w:sz w:val="24"/>
                <w:szCs w:val="24"/>
                <w:highlight w:val="none"/>
              </w:rPr>
            </w:pPr>
          </w:p>
        </w:tc>
        <w:tc>
          <w:tcPr>
            <w:tcW w:w="820" w:type="dxa"/>
            <w:vAlign w:val="center"/>
          </w:tcPr>
          <w:p w14:paraId="332AB511">
            <w:pPr>
              <w:spacing w:line="360" w:lineRule="auto"/>
              <w:jc w:val="center"/>
              <w:rPr>
                <w:rFonts w:ascii="宋体" w:hAnsi="宋体" w:eastAsia="宋体" w:cs="宋体"/>
                <w:color w:val="auto"/>
                <w:sz w:val="24"/>
                <w:szCs w:val="24"/>
                <w:highlight w:val="none"/>
              </w:rPr>
            </w:pPr>
          </w:p>
        </w:tc>
      </w:tr>
    </w:tbl>
    <w:p w14:paraId="1F557D28">
      <w:pPr>
        <w:spacing w:line="360" w:lineRule="auto"/>
        <w:rPr>
          <w:rFonts w:ascii="宋体" w:hAnsi="宋体" w:eastAsia="宋体" w:cs="宋体"/>
          <w:color w:val="auto"/>
          <w:highlight w:val="none"/>
        </w:rPr>
      </w:pPr>
    </w:p>
    <w:p w14:paraId="65AE891B">
      <w:pPr>
        <w:spacing w:before="116" w:line="360" w:lineRule="auto"/>
        <w:ind w:right="-30"/>
        <w:rPr>
          <w:rFonts w:ascii="宋体" w:hAnsi="宋体" w:eastAsia="宋体" w:cs="宋体"/>
          <w:color w:val="auto"/>
          <w:spacing w:val="-3"/>
          <w:sz w:val="24"/>
          <w:szCs w:val="24"/>
          <w:highlight w:val="none"/>
          <w:lang w:eastAsia="zh-CN"/>
        </w:rPr>
      </w:pPr>
      <w:bookmarkStart w:id="220" w:name="bookmark271"/>
      <w:bookmarkEnd w:id="220"/>
      <w:bookmarkStart w:id="221" w:name="bookmark272"/>
      <w:bookmarkEnd w:id="221"/>
      <w:r>
        <w:rPr>
          <w:rFonts w:hint="eastAsia" w:ascii="宋体" w:hAnsi="宋体" w:eastAsia="宋体" w:cs="宋体"/>
          <w:color w:val="auto"/>
          <w:spacing w:val="-3"/>
          <w:sz w:val="24"/>
          <w:szCs w:val="24"/>
          <w:highlight w:val="none"/>
          <w:lang w:eastAsia="zh-CN"/>
        </w:rPr>
        <w:t>注：</w:t>
      </w:r>
      <w:r>
        <w:rPr>
          <w:rFonts w:hint="eastAsia" w:ascii="宋体" w:hAnsi="宋体" w:eastAsia="宋体" w:cs="宋体"/>
          <w:color w:val="auto"/>
          <w:sz w:val="24"/>
          <w:szCs w:val="24"/>
          <w:highlight w:val="none"/>
          <w:lang w:eastAsia="zh-CN"/>
        </w:rPr>
        <w:t>须提供拟派项目团队相关证明材料。</w:t>
      </w:r>
    </w:p>
    <w:p w14:paraId="1EE88423">
      <w:pPr>
        <w:spacing w:line="360" w:lineRule="auto"/>
        <w:rPr>
          <w:rFonts w:ascii="宋体" w:hAnsi="宋体" w:eastAsia="宋体" w:cs="宋体"/>
          <w:color w:val="auto"/>
          <w:highlight w:val="none"/>
          <w:lang w:eastAsia="zh-CN"/>
        </w:rPr>
      </w:pPr>
    </w:p>
    <w:p w14:paraId="156F241F">
      <w:pPr>
        <w:spacing w:line="360" w:lineRule="auto"/>
        <w:rPr>
          <w:rFonts w:ascii="宋体" w:hAnsi="宋体" w:eastAsia="宋体" w:cs="宋体"/>
          <w:color w:val="auto"/>
          <w:highlight w:val="none"/>
          <w:lang w:eastAsia="zh-CN"/>
        </w:rPr>
      </w:pPr>
    </w:p>
    <w:p w14:paraId="10CF68DD">
      <w:pPr>
        <w:spacing w:line="360" w:lineRule="auto"/>
        <w:rPr>
          <w:rFonts w:ascii="宋体" w:hAnsi="宋体" w:eastAsia="宋体" w:cs="宋体"/>
          <w:color w:val="auto"/>
          <w:highlight w:val="none"/>
          <w:lang w:eastAsia="zh-CN"/>
        </w:rPr>
      </w:pPr>
    </w:p>
    <w:p w14:paraId="33286FDF">
      <w:pPr>
        <w:spacing w:line="360" w:lineRule="auto"/>
        <w:rPr>
          <w:rFonts w:ascii="宋体" w:hAnsi="宋体" w:eastAsia="宋体" w:cs="宋体"/>
          <w:color w:val="auto"/>
          <w:highlight w:val="none"/>
          <w:lang w:eastAsia="zh-CN"/>
        </w:rPr>
      </w:pPr>
    </w:p>
    <w:p w14:paraId="4C41C4C2">
      <w:pPr>
        <w:spacing w:line="360" w:lineRule="auto"/>
        <w:rPr>
          <w:rFonts w:ascii="宋体" w:hAnsi="宋体" w:eastAsia="宋体" w:cs="宋体"/>
          <w:b/>
          <w:bCs/>
          <w:color w:val="auto"/>
          <w:spacing w:val="4"/>
          <w:sz w:val="31"/>
          <w:szCs w:val="31"/>
          <w:highlight w:val="none"/>
          <w:lang w:eastAsia="zh-CN"/>
        </w:rPr>
      </w:pPr>
      <w:bookmarkStart w:id="222" w:name="bookmark274"/>
      <w:bookmarkEnd w:id="222"/>
      <w:bookmarkStart w:id="223" w:name="bookmark273"/>
      <w:bookmarkEnd w:id="223"/>
      <w:bookmarkStart w:id="224" w:name="_Toc186477822"/>
      <w:bookmarkStart w:id="225" w:name="_Toc11103"/>
      <w:r>
        <w:rPr>
          <w:rFonts w:hint="eastAsia" w:ascii="宋体" w:hAnsi="宋体" w:eastAsia="宋体" w:cs="宋体"/>
          <w:b/>
          <w:bCs/>
          <w:color w:val="auto"/>
          <w:spacing w:val="4"/>
          <w:sz w:val="31"/>
          <w:szCs w:val="31"/>
          <w:highlight w:val="none"/>
          <w:lang w:eastAsia="zh-CN"/>
        </w:rPr>
        <w:br w:type="page"/>
      </w:r>
    </w:p>
    <w:p w14:paraId="4ED62327">
      <w:pPr>
        <w:spacing w:before="101" w:line="360" w:lineRule="auto"/>
        <w:ind w:left="3217"/>
        <w:outlineLvl w:val="1"/>
        <w:rPr>
          <w:rFonts w:ascii="宋体" w:hAnsi="宋体" w:eastAsia="宋体" w:cs="宋体"/>
          <w:color w:val="auto"/>
          <w:sz w:val="31"/>
          <w:szCs w:val="31"/>
          <w:highlight w:val="none"/>
          <w:lang w:eastAsia="zh-CN"/>
        </w:rPr>
      </w:pPr>
      <w:r>
        <w:rPr>
          <w:rFonts w:hint="eastAsia" w:ascii="宋体" w:hAnsi="宋体" w:eastAsia="宋体" w:cs="宋体"/>
          <w:b/>
          <w:bCs/>
          <w:color w:val="auto"/>
          <w:spacing w:val="4"/>
          <w:sz w:val="31"/>
          <w:szCs w:val="31"/>
          <w:highlight w:val="none"/>
          <w:lang w:val="en-US" w:eastAsia="zh-CN"/>
        </w:rPr>
        <w:t>十</w:t>
      </w:r>
      <w:r>
        <w:rPr>
          <w:rFonts w:hint="eastAsia" w:ascii="宋体" w:hAnsi="宋体" w:eastAsia="宋体" w:cs="宋体"/>
          <w:b/>
          <w:bCs/>
          <w:color w:val="auto"/>
          <w:spacing w:val="4"/>
          <w:sz w:val="31"/>
          <w:szCs w:val="31"/>
          <w:highlight w:val="none"/>
          <w:lang w:eastAsia="zh-CN"/>
        </w:rPr>
        <w:t>、技术方案</w:t>
      </w:r>
      <w:bookmarkEnd w:id="224"/>
      <w:bookmarkEnd w:id="225"/>
    </w:p>
    <w:p w14:paraId="5181C3B3">
      <w:pPr>
        <w:spacing w:before="308" w:line="360" w:lineRule="auto"/>
        <w:ind w:left="25" w:right="13" w:firstLine="480"/>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投标人应按照招标文件的要求，提供详细的供货及相关服</w:t>
      </w:r>
      <w:r>
        <w:rPr>
          <w:rFonts w:hint="eastAsia" w:ascii="宋体" w:hAnsi="宋体" w:eastAsia="宋体" w:cs="宋体"/>
          <w:color w:val="auto"/>
          <w:spacing w:val="-4"/>
          <w:sz w:val="24"/>
          <w:szCs w:val="24"/>
          <w:highlight w:val="none"/>
          <w:lang w:eastAsia="zh-CN"/>
        </w:rPr>
        <w:t>务方案，包括文字</w:t>
      </w:r>
      <w:r>
        <w:rPr>
          <w:rFonts w:hint="eastAsia" w:ascii="宋体" w:hAnsi="宋体" w:eastAsia="宋体" w:cs="宋体"/>
          <w:color w:val="auto"/>
          <w:spacing w:val="-1"/>
          <w:sz w:val="24"/>
          <w:szCs w:val="24"/>
          <w:highlight w:val="none"/>
          <w:lang w:eastAsia="zh-CN"/>
        </w:rPr>
        <w:t>描述或图表显示。格式自拟。</w:t>
      </w:r>
    </w:p>
    <w:p w14:paraId="70D0A94F">
      <w:pPr>
        <w:spacing w:line="360" w:lineRule="auto"/>
        <w:rPr>
          <w:rFonts w:ascii="宋体" w:hAnsi="宋体" w:eastAsia="宋体" w:cs="宋体"/>
          <w:color w:val="auto"/>
          <w:highlight w:val="none"/>
          <w:lang w:eastAsia="zh-CN"/>
        </w:rPr>
      </w:pPr>
    </w:p>
    <w:p w14:paraId="3479295E">
      <w:pPr>
        <w:spacing w:before="101" w:line="360" w:lineRule="auto"/>
        <w:ind w:left="3056"/>
        <w:outlineLvl w:val="1"/>
        <w:rPr>
          <w:rFonts w:ascii="宋体" w:hAnsi="宋体" w:eastAsia="宋体" w:cs="宋体"/>
          <w:color w:val="auto"/>
          <w:sz w:val="31"/>
          <w:szCs w:val="31"/>
          <w:highlight w:val="none"/>
          <w:lang w:eastAsia="zh-CN"/>
        </w:rPr>
      </w:pPr>
      <w:bookmarkStart w:id="226" w:name="bookmark276"/>
      <w:bookmarkEnd w:id="226"/>
      <w:bookmarkStart w:id="227" w:name="_Toc29725"/>
      <w:bookmarkStart w:id="228" w:name="_Toc186477823"/>
      <w:r>
        <w:rPr>
          <w:rFonts w:hint="eastAsia" w:ascii="宋体" w:hAnsi="宋体" w:eastAsia="宋体" w:cs="宋体"/>
          <w:b/>
          <w:bCs/>
          <w:color w:val="auto"/>
          <w:spacing w:val="5"/>
          <w:sz w:val="31"/>
          <w:szCs w:val="31"/>
          <w:highlight w:val="none"/>
          <w:lang w:val="en-US" w:eastAsia="zh-CN"/>
        </w:rPr>
        <w:t>十一</w:t>
      </w:r>
      <w:r>
        <w:rPr>
          <w:rFonts w:hint="eastAsia" w:ascii="宋体" w:hAnsi="宋体" w:eastAsia="宋体" w:cs="宋体"/>
          <w:b/>
          <w:bCs/>
          <w:color w:val="auto"/>
          <w:spacing w:val="5"/>
          <w:sz w:val="31"/>
          <w:szCs w:val="31"/>
          <w:highlight w:val="none"/>
          <w:lang w:eastAsia="zh-CN"/>
        </w:rPr>
        <w:t>、其他文件</w:t>
      </w:r>
      <w:bookmarkEnd w:id="227"/>
      <w:bookmarkEnd w:id="228"/>
    </w:p>
    <w:p w14:paraId="7748047F">
      <w:pPr>
        <w:spacing w:line="360" w:lineRule="auto"/>
        <w:rPr>
          <w:rFonts w:ascii="宋体" w:hAnsi="宋体" w:eastAsia="宋体" w:cs="宋体"/>
          <w:color w:val="auto"/>
          <w:highlight w:val="none"/>
          <w:lang w:eastAsia="zh-CN"/>
        </w:rPr>
      </w:pPr>
    </w:p>
    <w:p w14:paraId="135ED14B">
      <w:pPr>
        <w:spacing w:before="91" w:line="360" w:lineRule="auto"/>
        <w:ind w:left="33"/>
        <w:rPr>
          <w:rFonts w:ascii="宋体" w:hAnsi="宋体" w:eastAsia="宋体" w:cs="宋体"/>
          <w:color w:val="auto"/>
          <w:sz w:val="28"/>
          <w:szCs w:val="28"/>
          <w:highlight w:val="none"/>
          <w:lang w:eastAsia="zh-CN"/>
        </w:rPr>
      </w:pPr>
      <w:r>
        <w:rPr>
          <w:rFonts w:hint="eastAsia" w:ascii="宋体" w:hAnsi="宋体" w:eastAsia="宋体" w:cs="宋体"/>
          <w:b/>
          <w:bCs/>
          <w:color w:val="auto"/>
          <w:spacing w:val="-3"/>
          <w:sz w:val="28"/>
          <w:szCs w:val="28"/>
          <w:highlight w:val="none"/>
          <w:lang w:eastAsia="zh-CN"/>
        </w:rPr>
        <w:t>（一）招标文件要求提供的其它商务、技术资料和证明材料；</w:t>
      </w:r>
    </w:p>
    <w:p w14:paraId="3939CB52">
      <w:pPr>
        <w:spacing w:line="360" w:lineRule="auto"/>
        <w:rPr>
          <w:rFonts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投标保证金缴纳凭证/保函</w:t>
      </w:r>
    </w:p>
    <w:p w14:paraId="50E90BFD">
      <w:pPr>
        <w:spacing w:line="360" w:lineRule="auto"/>
        <w:rPr>
          <w:rFonts w:ascii="宋体" w:hAnsi="宋体" w:eastAsia="宋体" w:cs="宋体"/>
          <w:color w:val="auto"/>
          <w:highlight w:val="none"/>
          <w:lang w:eastAsia="zh-CN"/>
        </w:rPr>
      </w:pPr>
    </w:p>
    <w:p w14:paraId="257F3D7A">
      <w:pPr>
        <w:spacing w:line="360" w:lineRule="auto"/>
        <w:rPr>
          <w:rFonts w:ascii="宋体" w:hAnsi="宋体" w:eastAsia="宋体" w:cs="宋体"/>
          <w:color w:val="auto"/>
          <w:highlight w:val="none"/>
          <w:lang w:eastAsia="zh-CN"/>
        </w:rPr>
      </w:pPr>
    </w:p>
    <w:p w14:paraId="3E9C6447">
      <w:pPr>
        <w:spacing w:line="360" w:lineRule="auto"/>
        <w:rPr>
          <w:rFonts w:ascii="宋体" w:hAnsi="宋体" w:eastAsia="宋体" w:cs="宋体"/>
          <w:color w:val="auto"/>
          <w:highlight w:val="none"/>
          <w:lang w:eastAsia="zh-CN"/>
        </w:rPr>
      </w:pPr>
    </w:p>
    <w:p w14:paraId="1F445E01">
      <w:pPr>
        <w:spacing w:line="360" w:lineRule="auto"/>
        <w:rPr>
          <w:rFonts w:ascii="宋体" w:hAnsi="宋体" w:eastAsia="宋体" w:cs="宋体"/>
          <w:color w:val="auto"/>
          <w:highlight w:val="none"/>
          <w:lang w:eastAsia="zh-CN"/>
        </w:rPr>
      </w:pPr>
    </w:p>
    <w:p w14:paraId="3315FAC0">
      <w:pPr>
        <w:spacing w:before="91" w:line="360" w:lineRule="auto"/>
        <w:ind w:left="33"/>
        <w:rPr>
          <w:rFonts w:ascii="宋体" w:hAnsi="宋体" w:eastAsia="宋体" w:cs="宋体"/>
          <w:color w:val="auto"/>
          <w:sz w:val="28"/>
          <w:szCs w:val="28"/>
          <w:highlight w:val="none"/>
          <w:lang w:eastAsia="zh-CN"/>
        </w:rPr>
      </w:pPr>
      <w:r>
        <w:rPr>
          <w:rFonts w:hint="eastAsia" w:ascii="宋体" w:hAnsi="宋体" w:eastAsia="宋体" w:cs="宋体"/>
          <w:b/>
          <w:bCs/>
          <w:color w:val="auto"/>
          <w:spacing w:val="-3"/>
          <w:sz w:val="28"/>
          <w:szCs w:val="28"/>
          <w:highlight w:val="none"/>
          <w:lang w:eastAsia="zh-CN"/>
        </w:rPr>
        <w:t>（二）投标人认为需要提供的其它商务、技术资料和说明。</w:t>
      </w:r>
    </w:p>
    <w:p w14:paraId="19435F8A">
      <w:pPr>
        <w:spacing w:line="360" w:lineRule="auto"/>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br w:type="page"/>
      </w:r>
    </w:p>
    <w:p w14:paraId="5B062423">
      <w:pPr>
        <w:spacing w:line="360" w:lineRule="auto"/>
        <w:outlineLvl w:val="0"/>
        <w:rPr>
          <w:rFonts w:ascii="宋体" w:hAnsi="宋体" w:eastAsia="宋体" w:cs="宋体"/>
          <w:color w:val="auto"/>
          <w:spacing w:val="-9"/>
          <w:sz w:val="24"/>
          <w:szCs w:val="24"/>
          <w:highlight w:val="none"/>
          <w:lang w:eastAsia="zh-CN"/>
        </w:rPr>
      </w:pPr>
      <w:bookmarkStart w:id="229" w:name="_Toc12965"/>
      <w:bookmarkStart w:id="230" w:name="_Toc24109"/>
      <w:r>
        <w:rPr>
          <w:rFonts w:hint="eastAsia" w:ascii="宋体" w:hAnsi="宋体" w:eastAsia="宋体" w:cs="宋体"/>
          <w:color w:val="auto"/>
          <w:spacing w:val="-9"/>
          <w:sz w:val="24"/>
          <w:szCs w:val="24"/>
          <w:highlight w:val="none"/>
          <w:lang w:eastAsia="zh-CN"/>
        </w:rPr>
        <w:t>附件1：政府采购促进中小企业发展管理办法</w:t>
      </w:r>
      <w:bookmarkEnd w:id="229"/>
      <w:bookmarkEnd w:id="230"/>
    </w:p>
    <w:p w14:paraId="4DA2DF9B">
      <w:pPr>
        <w:spacing w:line="360" w:lineRule="auto"/>
        <w:jc w:val="center"/>
        <w:rPr>
          <w:rFonts w:ascii="宋体" w:hAnsi="宋体" w:eastAsia="宋体" w:cs="宋体"/>
          <w:b/>
          <w:bCs/>
          <w:color w:val="auto"/>
          <w:spacing w:val="-9"/>
          <w:sz w:val="24"/>
          <w:szCs w:val="24"/>
          <w:highlight w:val="none"/>
          <w:lang w:eastAsia="zh-CN"/>
        </w:rPr>
      </w:pPr>
      <w:r>
        <w:rPr>
          <w:rFonts w:hint="eastAsia" w:ascii="宋体" w:hAnsi="宋体" w:eastAsia="宋体" w:cs="宋体"/>
          <w:b/>
          <w:bCs/>
          <w:color w:val="auto"/>
          <w:spacing w:val="-9"/>
          <w:sz w:val="24"/>
          <w:szCs w:val="24"/>
          <w:highlight w:val="none"/>
          <w:lang w:eastAsia="zh-CN"/>
        </w:rPr>
        <w:t>政府采购促进中小企业发展管理办法</w:t>
      </w:r>
    </w:p>
    <w:p w14:paraId="366B9C0A">
      <w:pPr>
        <w:spacing w:line="360" w:lineRule="auto"/>
        <w:ind w:firstLine="700"/>
        <w:rPr>
          <w:rFonts w:ascii="宋体" w:hAnsi="宋体" w:eastAsia="宋体" w:cs="宋体"/>
          <w:color w:val="auto"/>
          <w:spacing w:val="8"/>
          <w:sz w:val="24"/>
          <w:szCs w:val="24"/>
          <w:highlight w:val="none"/>
          <w:lang w:eastAsia="zh-CN"/>
        </w:rPr>
      </w:pPr>
      <w:r>
        <w:rPr>
          <w:rFonts w:hint="eastAsia" w:ascii="宋体" w:hAnsi="宋体" w:eastAsia="宋体" w:cs="宋体"/>
          <w:color w:val="auto"/>
          <w:spacing w:val="6"/>
          <w:sz w:val="24"/>
          <w:szCs w:val="24"/>
          <w:highlight w:val="none"/>
          <w:lang w:eastAsia="zh-CN"/>
        </w:rPr>
        <w:t>第一条  为了发挥政府采购的政策功能，</w:t>
      </w:r>
      <w:r>
        <w:rPr>
          <w:rFonts w:hint="eastAsia" w:ascii="宋体" w:hAnsi="宋体" w:eastAsia="宋体" w:cs="宋体"/>
          <w:color w:val="auto"/>
          <w:spacing w:val="5"/>
          <w:sz w:val="24"/>
          <w:szCs w:val="24"/>
          <w:highlight w:val="none"/>
          <w:lang w:eastAsia="zh-CN"/>
        </w:rPr>
        <w:t>促进中小企业</w:t>
      </w:r>
      <w:r>
        <w:rPr>
          <w:rFonts w:hint="eastAsia" w:ascii="宋体" w:hAnsi="宋体" w:eastAsia="宋体" w:cs="宋体"/>
          <w:color w:val="auto"/>
          <w:spacing w:val="-3"/>
          <w:sz w:val="24"/>
          <w:szCs w:val="24"/>
          <w:highlight w:val="none"/>
          <w:lang w:eastAsia="zh-CN"/>
        </w:rPr>
        <w:t>健康发展，根据《中华人民共和国政府采购法</w:t>
      </w:r>
      <w:r>
        <w:rPr>
          <w:rFonts w:hint="eastAsia" w:ascii="宋体" w:hAnsi="宋体" w:eastAsia="宋体" w:cs="宋体"/>
          <w:color w:val="auto"/>
          <w:spacing w:val="-4"/>
          <w:sz w:val="24"/>
          <w:szCs w:val="24"/>
          <w:highlight w:val="none"/>
          <w:lang w:eastAsia="zh-CN"/>
        </w:rPr>
        <w:t>》、《中华人民</w:t>
      </w:r>
      <w:r>
        <w:rPr>
          <w:rFonts w:hint="eastAsia" w:ascii="宋体" w:hAnsi="宋体" w:eastAsia="宋体" w:cs="宋体"/>
          <w:color w:val="auto"/>
          <w:spacing w:val="8"/>
          <w:sz w:val="24"/>
          <w:szCs w:val="24"/>
          <w:highlight w:val="none"/>
          <w:lang w:eastAsia="zh-CN"/>
        </w:rPr>
        <w:t>共和国中小企业促进法》等有关法律法规，制定本办法。</w:t>
      </w:r>
    </w:p>
    <w:p w14:paraId="49D394E0">
      <w:pPr>
        <w:spacing w:line="360" w:lineRule="auto"/>
        <w:ind w:firstLine="700"/>
        <w:rPr>
          <w:rFonts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eastAsia="zh-CN"/>
        </w:rPr>
        <w:t>第二条  本办法所称中小企业，是指在中华人民共和国</w:t>
      </w:r>
      <w:r>
        <w:rPr>
          <w:rFonts w:hint="eastAsia" w:ascii="宋体" w:hAnsi="宋体" w:eastAsia="宋体" w:cs="宋体"/>
          <w:color w:val="auto"/>
          <w:spacing w:val="8"/>
          <w:sz w:val="24"/>
          <w:szCs w:val="24"/>
          <w:highlight w:val="none"/>
          <w:lang w:eastAsia="zh-CN"/>
        </w:rPr>
        <w:t>境内依法设立，依据国务院批准的中小企业划分标准确定的中型企业、小型企业和微型企业，但与大企业的负责人为同一人，或者与大企业存在直接控股、管理关系的除外。</w:t>
      </w:r>
    </w:p>
    <w:p w14:paraId="672768BB">
      <w:pPr>
        <w:spacing w:line="360" w:lineRule="auto"/>
        <w:jc w:val="right"/>
        <w:rPr>
          <w:rFonts w:ascii="宋体" w:hAnsi="宋体" w:eastAsia="宋体" w:cs="宋体"/>
          <w:color w:val="auto"/>
          <w:sz w:val="24"/>
          <w:szCs w:val="24"/>
          <w:highlight w:val="none"/>
          <w:lang w:eastAsia="zh-CN"/>
        </w:rPr>
      </w:pPr>
      <w:r>
        <w:rPr>
          <w:rFonts w:hint="eastAsia" w:ascii="宋体" w:hAnsi="宋体" w:eastAsia="宋体" w:cs="宋体"/>
          <w:color w:val="auto"/>
          <w:spacing w:val="8"/>
          <w:position w:val="15"/>
          <w:sz w:val="24"/>
          <w:szCs w:val="24"/>
          <w:highlight w:val="none"/>
          <w:lang w:eastAsia="zh-CN"/>
        </w:rPr>
        <w:t>符合中小企业划分标准的个体工商户，在政府采购活动</w:t>
      </w:r>
    </w:p>
    <w:p w14:paraId="3BD5FE65">
      <w:pPr>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中视同中小企业。</w:t>
      </w:r>
    </w:p>
    <w:p w14:paraId="07D7E168">
      <w:pPr>
        <w:spacing w:line="360" w:lineRule="auto"/>
        <w:ind w:firstLine="699"/>
        <w:rPr>
          <w:rFonts w:ascii="宋体" w:hAnsi="宋体" w:eastAsia="宋体" w:cs="宋体"/>
          <w:color w:val="auto"/>
          <w:sz w:val="24"/>
          <w:szCs w:val="24"/>
          <w:highlight w:val="none"/>
          <w:lang w:eastAsia="zh-CN"/>
        </w:rPr>
      </w:pPr>
      <w:r>
        <w:rPr>
          <w:rFonts w:hint="eastAsia" w:ascii="宋体" w:hAnsi="宋体" w:eastAsia="宋体" w:cs="宋体"/>
          <w:color w:val="auto"/>
          <w:spacing w:val="19"/>
          <w:sz w:val="24"/>
          <w:szCs w:val="24"/>
          <w:highlight w:val="none"/>
          <w:lang w:eastAsia="zh-CN"/>
        </w:rPr>
        <w:t>第三条  采购人在政府采购活动中应当通过</w:t>
      </w:r>
      <w:r>
        <w:rPr>
          <w:rFonts w:hint="eastAsia" w:ascii="宋体" w:hAnsi="宋体" w:eastAsia="宋体" w:cs="宋体"/>
          <w:color w:val="auto"/>
          <w:spacing w:val="18"/>
          <w:sz w:val="24"/>
          <w:szCs w:val="24"/>
          <w:highlight w:val="none"/>
          <w:lang w:eastAsia="zh-CN"/>
        </w:rPr>
        <w:t>加强采购</w:t>
      </w:r>
      <w:r>
        <w:rPr>
          <w:rFonts w:hint="eastAsia" w:ascii="宋体" w:hAnsi="宋体" w:eastAsia="宋体" w:cs="宋体"/>
          <w:color w:val="auto"/>
          <w:spacing w:val="8"/>
          <w:sz w:val="24"/>
          <w:szCs w:val="24"/>
          <w:highlight w:val="none"/>
          <w:lang w:eastAsia="zh-CN"/>
        </w:rPr>
        <w:t>需求管理，落实预留采购份额、价格评审优惠、优先采购等措施，提高中小企业在政府采购中的份额，支持中小企业发</w:t>
      </w:r>
      <w:r>
        <w:rPr>
          <w:rFonts w:hint="eastAsia" w:ascii="宋体" w:hAnsi="宋体" w:eastAsia="宋体" w:cs="宋体"/>
          <w:color w:val="auto"/>
          <w:spacing w:val="-7"/>
          <w:sz w:val="24"/>
          <w:szCs w:val="24"/>
          <w:highlight w:val="none"/>
          <w:lang w:eastAsia="zh-CN"/>
        </w:rPr>
        <w:t>展。</w:t>
      </w:r>
    </w:p>
    <w:p w14:paraId="408057ED">
      <w:pPr>
        <w:spacing w:line="360" w:lineRule="auto"/>
        <w:ind w:firstLine="694"/>
        <w:rPr>
          <w:rFonts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eastAsia="zh-CN"/>
        </w:rPr>
        <w:t>第四条  在政府采购活动中，供应商提供的货物、工程</w:t>
      </w:r>
      <w:r>
        <w:rPr>
          <w:rFonts w:hint="eastAsia" w:ascii="宋体" w:hAnsi="宋体" w:eastAsia="宋体" w:cs="宋体"/>
          <w:color w:val="auto"/>
          <w:spacing w:val="8"/>
          <w:sz w:val="24"/>
          <w:szCs w:val="24"/>
          <w:highlight w:val="none"/>
          <w:lang w:eastAsia="zh-CN"/>
        </w:rPr>
        <w:t>或者服务符合下列情形的，享受本办法规定的中小企业扶持</w:t>
      </w:r>
      <w:r>
        <w:rPr>
          <w:rFonts w:hint="eastAsia" w:ascii="宋体" w:hAnsi="宋体" w:eastAsia="宋体" w:cs="宋体"/>
          <w:color w:val="auto"/>
          <w:spacing w:val="-2"/>
          <w:sz w:val="24"/>
          <w:szCs w:val="24"/>
          <w:highlight w:val="none"/>
          <w:lang w:eastAsia="zh-CN"/>
        </w:rPr>
        <w:t>政策：</w:t>
      </w:r>
    </w:p>
    <w:p w14:paraId="5C422D5E">
      <w:pPr>
        <w:spacing w:line="360" w:lineRule="auto"/>
        <w:ind w:firstLine="500" w:firstLineChars="200"/>
        <w:rPr>
          <w:rFonts w:ascii="宋体" w:hAnsi="宋体" w:eastAsia="宋体" w:cs="宋体"/>
          <w:color w:val="auto"/>
          <w:spacing w:val="5"/>
          <w:sz w:val="24"/>
          <w:szCs w:val="24"/>
          <w:highlight w:val="none"/>
          <w:lang w:eastAsia="zh-CN"/>
        </w:rPr>
      </w:pPr>
      <w:r>
        <w:rPr>
          <w:rFonts w:hint="eastAsia" w:ascii="宋体" w:hAnsi="宋体" w:eastAsia="宋体" w:cs="宋体"/>
          <w:color w:val="auto"/>
          <w:spacing w:val="5"/>
          <w:sz w:val="24"/>
          <w:szCs w:val="24"/>
          <w:highlight w:val="none"/>
          <w:lang w:eastAsia="zh-CN"/>
        </w:rPr>
        <w:t>（一）在货物采购项目中，货物由中小企业制造，即货</w:t>
      </w:r>
    </w:p>
    <w:p w14:paraId="13669092">
      <w:pPr>
        <w:spacing w:line="360" w:lineRule="auto"/>
        <w:rPr>
          <w:rFonts w:ascii="宋体" w:hAnsi="宋体" w:eastAsia="宋体" w:cs="宋体"/>
          <w:color w:val="auto"/>
          <w:spacing w:val="5"/>
          <w:sz w:val="24"/>
          <w:szCs w:val="24"/>
          <w:highlight w:val="none"/>
          <w:lang w:eastAsia="zh-CN"/>
        </w:rPr>
      </w:pPr>
      <w:r>
        <w:rPr>
          <w:rFonts w:hint="eastAsia" w:ascii="宋体" w:hAnsi="宋体" w:eastAsia="宋体" w:cs="宋体"/>
          <w:color w:val="auto"/>
          <w:spacing w:val="5"/>
          <w:sz w:val="24"/>
          <w:szCs w:val="24"/>
          <w:highlight w:val="none"/>
          <w:lang w:eastAsia="zh-CN"/>
        </w:rPr>
        <w:t>物由中小企业生产且使用该中小企业商号或者注册商标；</w:t>
      </w:r>
    </w:p>
    <w:p w14:paraId="6DE83018">
      <w:pPr>
        <w:spacing w:line="360" w:lineRule="auto"/>
        <w:ind w:firstLine="500" w:firstLineChars="200"/>
        <w:rPr>
          <w:rFonts w:ascii="宋体" w:hAnsi="宋体" w:eastAsia="宋体" w:cs="宋体"/>
          <w:color w:val="auto"/>
          <w:spacing w:val="5"/>
          <w:sz w:val="24"/>
          <w:szCs w:val="24"/>
          <w:highlight w:val="none"/>
          <w:lang w:eastAsia="zh-CN"/>
        </w:rPr>
      </w:pPr>
      <w:r>
        <w:rPr>
          <w:rFonts w:hint="eastAsia" w:ascii="宋体" w:hAnsi="宋体" w:eastAsia="宋体" w:cs="宋体"/>
          <w:color w:val="auto"/>
          <w:spacing w:val="5"/>
          <w:sz w:val="24"/>
          <w:szCs w:val="24"/>
          <w:highlight w:val="none"/>
          <w:lang w:eastAsia="zh-CN"/>
        </w:rPr>
        <w:t>（二）在工程采购项目中，工程由中小企业承建，即工</w:t>
      </w:r>
    </w:p>
    <w:p w14:paraId="2BACB080">
      <w:pPr>
        <w:spacing w:line="360" w:lineRule="auto"/>
        <w:rPr>
          <w:rFonts w:ascii="宋体" w:hAnsi="宋体" w:eastAsia="宋体" w:cs="宋体"/>
          <w:color w:val="auto"/>
          <w:spacing w:val="5"/>
          <w:sz w:val="24"/>
          <w:szCs w:val="24"/>
          <w:highlight w:val="none"/>
          <w:lang w:eastAsia="zh-CN"/>
        </w:rPr>
      </w:pPr>
      <w:r>
        <w:rPr>
          <w:rFonts w:hint="eastAsia" w:ascii="宋体" w:hAnsi="宋体" w:eastAsia="宋体" w:cs="宋体"/>
          <w:color w:val="auto"/>
          <w:spacing w:val="5"/>
          <w:sz w:val="24"/>
          <w:szCs w:val="24"/>
          <w:highlight w:val="none"/>
          <w:lang w:eastAsia="zh-CN"/>
        </w:rPr>
        <w:t>程施工单位为中小企业；</w:t>
      </w:r>
    </w:p>
    <w:p w14:paraId="4D2DBD25">
      <w:pPr>
        <w:spacing w:line="360" w:lineRule="auto"/>
        <w:ind w:firstLine="694"/>
        <w:rPr>
          <w:rFonts w:ascii="宋体" w:hAnsi="宋体" w:eastAsia="宋体" w:cs="宋体"/>
          <w:color w:val="auto"/>
          <w:spacing w:val="5"/>
          <w:sz w:val="24"/>
          <w:szCs w:val="24"/>
          <w:highlight w:val="none"/>
          <w:lang w:eastAsia="zh-CN"/>
        </w:rPr>
      </w:pPr>
      <w:r>
        <w:rPr>
          <w:rFonts w:hint="eastAsia" w:ascii="宋体" w:hAnsi="宋体" w:eastAsia="宋体" w:cs="宋体"/>
          <w:color w:val="auto"/>
          <w:spacing w:val="5"/>
          <w:sz w:val="24"/>
          <w:szCs w:val="24"/>
          <w:highlight w:val="none"/>
          <w:lang w:eastAsia="zh-CN"/>
        </w:rPr>
        <w:t>（三）在服务采购项目中，服务由中小企业承接，即提供服务的人员为中小企业依照《中华人民共和国劳动合同法》订立劳动合同的从业人员。</w:t>
      </w:r>
    </w:p>
    <w:p w14:paraId="3D25890C">
      <w:pPr>
        <w:spacing w:line="360" w:lineRule="auto"/>
        <w:ind w:firstLine="694"/>
        <w:rPr>
          <w:rFonts w:ascii="宋体" w:hAnsi="宋体" w:eastAsia="宋体" w:cs="宋体"/>
          <w:color w:val="auto"/>
          <w:spacing w:val="5"/>
          <w:sz w:val="24"/>
          <w:szCs w:val="24"/>
          <w:highlight w:val="none"/>
          <w:lang w:eastAsia="zh-CN"/>
        </w:rPr>
      </w:pPr>
      <w:r>
        <w:rPr>
          <w:rFonts w:hint="eastAsia" w:ascii="宋体" w:hAnsi="宋体" w:eastAsia="宋体" w:cs="宋体"/>
          <w:color w:val="auto"/>
          <w:spacing w:val="5"/>
          <w:sz w:val="24"/>
          <w:szCs w:val="24"/>
          <w:highlight w:val="none"/>
          <w:lang w:eastAsia="zh-CN"/>
        </w:rPr>
        <w:t>在货物采购项目中，供应商提供的货物既有中小企业制造货物，也有大型企业制造货物的，不享受本办法规定的中小企业扶持政策。</w:t>
      </w:r>
    </w:p>
    <w:p w14:paraId="0EE84604">
      <w:pPr>
        <w:spacing w:line="360" w:lineRule="auto"/>
        <w:ind w:firstLine="694"/>
        <w:rPr>
          <w:rFonts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eastAsia="zh-CN"/>
        </w:rPr>
        <w:t>以联合体形式参加政府采购活动，联合体各方均为中小企业的，联合体视同中小企业。其中，联合体各方</w:t>
      </w:r>
      <w:r>
        <w:rPr>
          <w:rFonts w:hint="eastAsia" w:ascii="宋体" w:hAnsi="宋体" w:eastAsia="宋体" w:cs="宋体"/>
          <w:color w:val="auto"/>
          <w:spacing w:val="8"/>
          <w:sz w:val="24"/>
          <w:szCs w:val="24"/>
          <w:highlight w:val="none"/>
          <w:lang w:eastAsia="zh-CN"/>
        </w:rPr>
        <w:t>均为小微</w:t>
      </w:r>
      <w:r>
        <w:rPr>
          <w:rFonts w:hint="eastAsia" w:ascii="宋体" w:hAnsi="宋体" w:eastAsia="宋体" w:cs="宋体"/>
          <w:color w:val="auto"/>
          <w:spacing w:val="7"/>
          <w:sz w:val="24"/>
          <w:szCs w:val="24"/>
          <w:highlight w:val="none"/>
          <w:lang w:eastAsia="zh-CN"/>
        </w:rPr>
        <w:t>企业的，联合体视同小微企业。</w:t>
      </w:r>
    </w:p>
    <w:p w14:paraId="05B25926">
      <w:pPr>
        <w:spacing w:line="360" w:lineRule="auto"/>
        <w:ind w:firstLine="699"/>
        <w:rPr>
          <w:rFonts w:ascii="宋体" w:hAnsi="宋体" w:eastAsia="宋体" w:cs="宋体"/>
          <w:color w:val="auto"/>
          <w:sz w:val="24"/>
          <w:szCs w:val="24"/>
          <w:highlight w:val="none"/>
          <w:lang w:eastAsia="zh-CN"/>
        </w:rPr>
      </w:pPr>
      <w:r>
        <w:rPr>
          <w:rFonts w:hint="eastAsia" w:ascii="宋体" w:hAnsi="宋体" w:eastAsia="宋体" w:cs="宋体"/>
          <w:color w:val="auto"/>
          <w:spacing w:val="19"/>
          <w:sz w:val="24"/>
          <w:szCs w:val="24"/>
          <w:highlight w:val="none"/>
          <w:lang w:eastAsia="zh-CN"/>
        </w:rPr>
        <w:t>第五条  采购人在政府采购活动中应当合理</w:t>
      </w:r>
      <w:r>
        <w:rPr>
          <w:rFonts w:hint="eastAsia" w:ascii="宋体" w:hAnsi="宋体" w:eastAsia="宋体" w:cs="宋体"/>
          <w:color w:val="auto"/>
          <w:spacing w:val="18"/>
          <w:sz w:val="24"/>
          <w:szCs w:val="24"/>
          <w:highlight w:val="none"/>
          <w:lang w:eastAsia="zh-CN"/>
        </w:rPr>
        <w:t>确定采购</w:t>
      </w:r>
      <w:r>
        <w:rPr>
          <w:rFonts w:hint="eastAsia" w:ascii="宋体" w:hAnsi="宋体" w:eastAsia="宋体" w:cs="宋体"/>
          <w:color w:val="auto"/>
          <w:spacing w:val="8"/>
          <w:sz w:val="24"/>
          <w:szCs w:val="24"/>
          <w:highlight w:val="none"/>
          <w:lang w:eastAsia="zh-CN"/>
        </w:rPr>
        <w:t>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14:paraId="5AC2E891">
      <w:pPr>
        <w:spacing w:line="360" w:lineRule="auto"/>
        <w:ind w:firstLine="698"/>
        <w:rPr>
          <w:rFonts w:ascii="宋体" w:hAnsi="宋体" w:eastAsia="宋体" w:cs="宋体"/>
          <w:color w:val="auto"/>
          <w:sz w:val="24"/>
          <w:szCs w:val="24"/>
          <w:highlight w:val="none"/>
          <w:lang w:eastAsia="zh-CN"/>
        </w:rPr>
      </w:pPr>
      <w:r>
        <w:rPr>
          <w:rFonts w:hint="eastAsia" w:ascii="宋体" w:hAnsi="宋体" w:eastAsia="宋体" w:cs="宋体"/>
          <w:color w:val="auto"/>
          <w:spacing w:val="19"/>
          <w:sz w:val="24"/>
          <w:szCs w:val="24"/>
          <w:highlight w:val="none"/>
          <w:lang w:eastAsia="zh-CN"/>
        </w:rPr>
        <w:t>第六条  主管预算单位应当组织评估本部门</w:t>
      </w:r>
      <w:r>
        <w:rPr>
          <w:rFonts w:hint="eastAsia" w:ascii="宋体" w:hAnsi="宋体" w:eastAsia="宋体" w:cs="宋体"/>
          <w:color w:val="auto"/>
          <w:spacing w:val="18"/>
          <w:sz w:val="24"/>
          <w:szCs w:val="24"/>
          <w:highlight w:val="none"/>
          <w:lang w:eastAsia="zh-CN"/>
        </w:rPr>
        <w:t>及所属单</w:t>
      </w:r>
      <w:r>
        <w:rPr>
          <w:rFonts w:hint="eastAsia" w:ascii="宋体" w:hAnsi="宋体" w:eastAsia="宋体" w:cs="宋体"/>
          <w:color w:val="auto"/>
          <w:spacing w:val="8"/>
          <w:sz w:val="24"/>
          <w:szCs w:val="24"/>
          <w:highlight w:val="none"/>
          <w:lang w:eastAsia="zh-CN"/>
        </w:rPr>
        <w:t>位政府采购项目，统筹制定面向中小企业预留采购份额的具体方案，对适宜由中小企业提供的采购项目和采购包，预留采购份额专门面向中小企业采购，并在政府采购预算中单独</w:t>
      </w:r>
      <w:r>
        <w:rPr>
          <w:rFonts w:hint="eastAsia" w:ascii="宋体" w:hAnsi="宋体" w:eastAsia="宋体" w:cs="宋体"/>
          <w:color w:val="auto"/>
          <w:spacing w:val="-4"/>
          <w:sz w:val="24"/>
          <w:szCs w:val="24"/>
          <w:highlight w:val="none"/>
          <w:lang w:eastAsia="zh-CN"/>
        </w:rPr>
        <w:t>列示。</w:t>
      </w:r>
    </w:p>
    <w:p w14:paraId="47F6FD41">
      <w:pPr>
        <w:spacing w:line="360" w:lineRule="auto"/>
        <w:ind w:firstLine="556" w:firstLineChars="200"/>
        <w:rPr>
          <w:rFonts w:ascii="宋体" w:hAnsi="宋体" w:eastAsia="宋体" w:cs="宋体"/>
          <w:color w:val="auto"/>
          <w:spacing w:val="19"/>
          <w:sz w:val="24"/>
          <w:szCs w:val="24"/>
          <w:highlight w:val="none"/>
          <w:lang w:eastAsia="zh-CN"/>
        </w:rPr>
      </w:pPr>
      <w:r>
        <w:rPr>
          <w:rFonts w:hint="eastAsia" w:ascii="宋体" w:hAnsi="宋体" w:eastAsia="宋体" w:cs="宋体"/>
          <w:color w:val="auto"/>
          <w:spacing w:val="19"/>
          <w:sz w:val="24"/>
          <w:szCs w:val="24"/>
          <w:highlight w:val="none"/>
          <w:lang w:eastAsia="zh-CN"/>
        </w:rPr>
        <w:t>符合下列情形之一的，可不专门面向中小企业预留采购份额：</w:t>
      </w:r>
    </w:p>
    <w:p w14:paraId="49F4A641">
      <w:pPr>
        <w:spacing w:line="360" w:lineRule="auto"/>
        <w:ind w:firstLine="556" w:firstLineChars="200"/>
        <w:rPr>
          <w:rFonts w:ascii="宋体" w:hAnsi="宋体" w:eastAsia="宋体" w:cs="宋体"/>
          <w:color w:val="auto"/>
          <w:spacing w:val="19"/>
          <w:sz w:val="24"/>
          <w:szCs w:val="24"/>
          <w:highlight w:val="none"/>
          <w:lang w:eastAsia="zh-CN"/>
        </w:rPr>
      </w:pPr>
      <w:r>
        <w:rPr>
          <w:rFonts w:hint="eastAsia" w:ascii="宋体" w:hAnsi="宋体" w:eastAsia="宋体" w:cs="宋体"/>
          <w:color w:val="auto"/>
          <w:spacing w:val="19"/>
          <w:sz w:val="24"/>
          <w:szCs w:val="24"/>
          <w:highlight w:val="none"/>
          <w:lang w:eastAsia="zh-CN"/>
        </w:rPr>
        <w:t>（一）法律法规和国家有关政策明确规定优先或者应当面向事业单位、社会组织等非企业主体采购的；</w:t>
      </w:r>
    </w:p>
    <w:p w14:paraId="03B42FCA">
      <w:pPr>
        <w:spacing w:line="360" w:lineRule="auto"/>
        <w:ind w:firstLine="698"/>
        <w:rPr>
          <w:rFonts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（二）因确需使用不可替代的专利、专有技术，基础设施限制，或者提供特定公共服务等原因，只能从中小企业之外的供应商处采购的；</w:t>
      </w:r>
    </w:p>
    <w:p w14:paraId="391F05D8">
      <w:pPr>
        <w:spacing w:line="360" w:lineRule="auto"/>
        <w:ind w:firstLine="698"/>
        <w:rPr>
          <w:rFonts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（三）按照本办法规定预留采购份额无法确保充分供应、充分竞争，或者存在可能影响政府采购目标实现的情形；</w:t>
      </w:r>
    </w:p>
    <w:p w14:paraId="517A379D">
      <w:pPr>
        <w:spacing w:line="360" w:lineRule="auto"/>
        <w:ind w:firstLine="698"/>
        <w:rPr>
          <w:rFonts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（四）框架协议采购项目；</w:t>
      </w:r>
    </w:p>
    <w:p w14:paraId="6F5AC661">
      <w:pPr>
        <w:spacing w:line="360" w:lineRule="auto"/>
        <w:ind w:firstLine="698"/>
        <w:rPr>
          <w:rFonts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（五）省级以上人民政府财政部门规定的其他情形。</w:t>
      </w:r>
    </w:p>
    <w:p w14:paraId="0EDAD144">
      <w:pPr>
        <w:spacing w:line="360" w:lineRule="auto"/>
        <w:ind w:firstLine="698"/>
        <w:rPr>
          <w:rFonts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除上述情形外，其他均为适宜由中小企业提供的情形。</w:t>
      </w:r>
    </w:p>
    <w:p w14:paraId="077FFF6B">
      <w:pPr>
        <w:spacing w:line="360" w:lineRule="auto"/>
        <w:ind w:firstLine="690"/>
        <w:rPr>
          <w:rFonts w:ascii="宋体" w:hAnsi="宋体" w:eastAsia="宋体" w:cs="宋体"/>
          <w:color w:val="auto"/>
          <w:sz w:val="24"/>
          <w:szCs w:val="24"/>
          <w:highlight w:val="none"/>
          <w:lang w:eastAsia="zh-CN"/>
        </w:rPr>
      </w:pPr>
      <w:r>
        <w:rPr>
          <w:rFonts w:hint="eastAsia" w:ascii="宋体" w:hAnsi="宋体" w:eastAsia="宋体" w:cs="宋体"/>
          <w:color w:val="auto"/>
          <w:spacing w:val="7"/>
          <w:sz w:val="24"/>
          <w:szCs w:val="24"/>
          <w:highlight w:val="none"/>
          <w:lang w:eastAsia="zh-CN"/>
        </w:rPr>
        <w:t>第七条  采购限额标准以上，200</w:t>
      </w:r>
      <w:r>
        <w:rPr>
          <w:rFonts w:hint="eastAsia" w:ascii="宋体" w:hAnsi="宋体" w:eastAsia="宋体" w:cs="宋体"/>
          <w:color w:val="auto"/>
          <w:spacing w:val="-38"/>
          <w:sz w:val="24"/>
          <w:szCs w:val="24"/>
          <w:highlight w:val="none"/>
          <w:lang w:eastAsia="zh-CN"/>
        </w:rPr>
        <w:t xml:space="preserve"> </w:t>
      </w:r>
      <w:r>
        <w:rPr>
          <w:rFonts w:hint="eastAsia" w:ascii="宋体" w:hAnsi="宋体" w:eastAsia="宋体" w:cs="宋体"/>
          <w:color w:val="auto"/>
          <w:spacing w:val="7"/>
          <w:sz w:val="24"/>
          <w:szCs w:val="24"/>
          <w:highlight w:val="none"/>
          <w:lang w:eastAsia="zh-CN"/>
        </w:rPr>
        <w:t>万元以下的货物和服</w:t>
      </w:r>
      <w:r>
        <w:rPr>
          <w:rFonts w:hint="eastAsia" w:ascii="宋体" w:hAnsi="宋体" w:eastAsia="宋体" w:cs="宋体"/>
          <w:color w:val="auto"/>
          <w:spacing w:val="9"/>
          <w:sz w:val="24"/>
          <w:szCs w:val="24"/>
          <w:highlight w:val="none"/>
          <w:lang w:eastAsia="zh-CN"/>
        </w:rPr>
        <w:t>务采购项目、400</w:t>
      </w:r>
      <w:r>
        <w:rPr>
          <w:rFonts w:hint="eastAsia" w:ascii="宋体" w:hAnsi="宋体" w:eastAsia="宋体" w:cs="宋体"/>
          <w:color w:val="auto"/>
          <w:spacing w:val="-31"/>
          <w:sz w:val="24"/>
          <w:szCs w:val="24"/>
          <w:highlight w:val="none"/>
          <w:lang w:eastAsia="zh-CN"/>
        </w:rPr>
        <w:t xml:space="preserve"> </w:t>
      </w:r>
      <w:r>
        <w:rPr>
          <w:rFonts w:hint="eastAsia" w:ascii="宋体" w:hAnsi="宋体" w:eastAsia="宋体" w:cs="宋体"/>
          <w:color w:val="auto"/>
          <w:spacing w:val="9"/>
          <w:sz w:val="24"/>
          <w:szCs w:val="24"/>
          <w:highlight w:val="none"/>
          <w:lang w:eastAsia="zh-CN"/>
        </w:rPr>
        <w:t>万元以下的工程采购项目，适宜由中小企</w:t>
      </w:r>
      <w:r>
        <w:rPr>
          <w:rFonts w:hint="eastAsia" w:ascii="宋体" w:hAnsi="宋体" w:eastAsia="宋体" w:cs="宋体"/>
          <w:color w:val="auto"/>
          <w:spacing w:val="8"/>
          <w:sz w:val="24"/>
          <w:szCs w:val="24"/>
          <w:highlight w:val="none"/>
          <w:lang w:eastAsia="zh-CN"/>
        </w:rPr>
        <w:t>业提供的，采购人应当专门面向中小企业采购。</w:t>
      </w:r>
    </w:p>
    <w:p w14:paraId="04F23AED">
      <w:pPr>
        <w:spacing w:line="360" w:lineRule="auto"/>
        <w:ind w:firstLine="710"/>
        <w:rPr>
          <w:rFonts w:ascii="宋体" w:hAnsi="宋体" w:eastAsia="宋体" w:cs="宋体"/>
          <w:color w:val="auto"/>
          <w:sz w:val="24"/>
          <w:szCs w:val="24"/>
          <w:highlight w:val="none"/>
          <w:lang w:eastAsia="zh-CN"/>
        </w:rPr>
      </w:pPr>
      <w:r>
        <w:rPr>
          <w:rFonts w:hint="eastAsia" w:ascii="宋体" w:hAnsi="宋体" w:eastAsia="宋体" w:cs="宋体"/>
          <w:color w:val="auto"/>
          <w:spacing w:val="15"/>
          <w:sz w:val="24"/>
          <w:szCs w:val="24"/>
          <w:highlight w:val="none"/>
          <w:lang w:eastAsia="zh-CN"/>
        </w:rPr>
        <w:t>第八条  超过</w:t>
      </w:r>
      <w:r>
        <w:rPr>
          <w:rFonts w:hint="eastAsia" w:ascii="宋体" w:hAnsi="宋体" w:eastAsia="宋体" w:cs="宋体"/>
          <w:color w:val="auto"/>
          <w:spacing w:val="-37"/>
          <w:sz w:val="24"/>
          <w:szCs w:val="24"/>
          <w:highlight w:val="none"/>
          <w:lang w:eastAsia="zh-CN"/>
        </w:rPr>
        <w:t xml:space="preserve"> </w:t>
      </w:r>
      <w:r>
        <w:rPr>
          <w:rFonts w:hint="eastAsia" w:ascii="宋体" w:hAnsi="宋体" w:eastAsia="宋体" w:cs="宋体"/>
          <w:color w:val="auto"/>
          <w:spacing w:val="15"/>
          <w:sz w:val="24"/>
          <w:szCs w:val="24"/>
          <w:highlight w:val="none"/>
          <w:lang w:eastAsia="zh-CN"/>
        </w:rPr>
        <w:t>200</w:t>
      </w:r>
      <w:r>
        <w:rPr>
          <w:rFonts w:hint="eastAsia" w:ascii="宋体" w:hAnsi="宋体" w:eastAsia="宋体" w:cs="宋体"/>
          <w:color w:val="auto"/>
          <w:spacing w:val="-41"/>
          <w:sz w:val="24"/>
          <w:szCs w:val="24"/>
          <w:highlight w:val="none"/>
          <w:lang w:eastAsia="zh-CN"/>
        </w:rPr>
        <w:t xml:space="preserve"> </w:t>
      </w:r>
      <w:r>
        <w:rPr>
          <w:rFonts w:hint="eastAsia" w:ascii="宋体" w:hAnsi="宋体" w:eastAsia="宋体" w:cs="宋体"/>
          <w:color w:val="auto"/>
          <w:spacing w:val="15"/>
          <w:sz w:val="24"/>
          <w:szCs w:val="24"/>
          <w:highlight w:val="none"/>
          <w:lang w:eastAsia="zh-CN"/>
        </w:rPr>
        <w:t>万元的货物和服务采购项目、超过</w:t>
      </w:r>
      <w:r>
        <w:rPr>
          <w:rFonts w:hint="eastAsia" w:ascii="宋体" w:hAnsi="宋体" w:eastAsia="宋体" w:cs="宋体"/>
          <w:color w:val="auto"/>
          <w:spacing w:val="10"/>
          <w:sz w:val="24"/>
          <w:szCs w:val="24"/>
          <w:highlight w:val="none"/>
          <w:lang w:eastAsia="zh-CN"/>
        </w:rPr>
        <w:t>400</w:t>
      </w:r>
      <w:r>
        <w:rPr>
          <w:rFonts w:hint="eastAsia" w:ascii="宋体" w:hAnsi="宋体" w:eastAsia="宋体" w:cs="宋体"/>
          <w:color w:val="auto"/>
          <w:spacing w:val="-38"/>
          <w:sz w:val="24"/>
          <w:szCs w:val="24"/>
          <w:highlight w:val="none"/>
          <w:lang w:eastAsia="zh-CN"/>
        </w:rPr>
        <w:t xml:space="preserve"> </w:t>
      </w:r>
      <w:r>
        <w:rPr>
          <w:rFonts w:hint="eastAsia" w:ascii="宋体" w:hAnsi="宋体" w:eastAsia="宋体" w:cs="宋体"/>
          <w:color w:val="auto"/>
          <w:spacing w:val="10"/>
          <w:sz w:val="24"/>
          <w:szCs w:val="24"/>
          <w:highlight w:val="none"/>
          <w:lang w:eastAsia="zh-CN"/>
        </w:rPr>
        <w:t>万元的工程采购项目中适宜由中小企业提供的，预留该</w:t>
      </w:r>
      <w:r>
        <w:rPr>
          <w:rFonts w:hint="eastAsia" w:ascii="宋体" w:hAnsi="宋体" w:eastAsia="宋体" w:cs="宋体"/>
          <w:color w:val="auto"/>
          <w:spacing w:val="11"/>
          <w:sz w:val="24"/>
          <w:szCs w:val="24"/>
          <w:highlight w:val="none"/>
          <w:lang w:eastAsia="zh-CN"/>
        </w:rPr>
        <w:t>部分采购项目预算总额的</w:t>
      </w:r>
      <w:r>
        <w:rPr>
          <w:rFonts w:hint="eastAsia" w:ascii="宋体" w:hAnsi="宋体" w:eastAsia="宋体" w:cs="宋体"/>
          <w:color w:val="auto"/>
          <w:spacing w:val="-55"/>
          <w:sz w:val="24"/>
          <w:szCs w:val="24"/>
          <w:highlight w:val="none"/>
          <w:lang w:eastAsia="zh-CN"/>
        </w:rPr>
        <w:t xml:space="preserve"> </w:t>
      </w:r>
      <w:r>
        <w:rPr>
          <w:rFonts w:hint="eastAsia" w:ascii="宋体" w:hAnsi="宋体" w:eastAsia="宋体" w:cs="宋体"/>
          <w:color w:val="auto"/>
          <w:spacing w:val="11"/>
          <w:sz w:val="24"/>
          <w:szCs w:val="24"/>
          <w:highlight w:val="none"/>
          <w:lang w:eastAsia="zh-CN"/>
        </w:rPr>
        <w:t>30%以上专门面向</w:t>
      </w:r>
      <w:r>
        <w:rPr>
          <w:rFonts w:hint="eastAsia" w:ascii="宋体" w:hAnsi="宋体" w:eastAsia="宋体" w:cs="宋体"/>
          <w:color w:val="auto"/>
          <w:spacing w:val="10"/>
          <w:sz w:val="24"/>
          <w:szCs w:val="24"/>
          <w:highlight w:val="none"/>
          <w:lang w:eastAsia="zh-CN"/>
        </w:rPr>
        <w:t>中小企业采购，</w:t>
      </w:r>
      <w:r>
        <w:rPr>
          <w:rFonts w:hint="eastAsia" w:ascii="宋体" w:hAnsi="宋体" w:eastAsia="宋体" w:cs="宋体"/>
          <w:color w:val="auto"/>
          <w:spacing w:val="11"/>
          <w:sz w:val="24"/>
          <w:szCs w:val="24"/>
          <w:highlight w:val="none"/>
          <w:lang w:eastAsia="zh-CN"/>
        </w:rPr>
        <w:t>其中预留给小微企业的比例不低于</w:t>
      </w:r>
      <w:r>
        <w:rPr>
          <w:rFonts w:hint="eastAsia" w:ascii="宋体" w:hAnsi="宋体" w:eastAsia="宋体" w:cs="宋体"/>
          <w:color w:val="auto"/>
          <w:spacing w:val="-59"/>
          <w:sz w:val="24"/>
          <w:szCs w:val="24"/>
          <w:highlight w:val="none"/>
          <w:lang w:eastAsia="zh-CN"/>
        </w:rPr>
        <w:t xml:space="preserve"> </w:t>
      </w:r>
      <w:r>
        <w:rPr>
          <w:rFonts w:hint="eastAsia" w:ascii="宋体" w:hAnsi="宋体" w:eastAsia="宋体" w:cs="宋体"/>
          <w:color w:val="auto"/>
          <w:spacing w:val="11"/>
          <w:sz w:val="24"/>
          <w:szCs w:val="24"/>
          <w:highlight w:val="none"/>
          <w:lang w:eastAsia="zh-CN"/>
        </w:rPr>
        <w:t>60%。预留份额通</w:t>
      </w:r>
      <w:r>
        <w:rPr>
          <w:rFonts w:hint="eastAsia" w:ascii="宋体" w:hAnsi="宋体" w:eastAsia="宋体" w:cs="宋体"/>
          <w:color w:val="auto"/>
          <w:spacing w:val="10"/>
          <w:sz w:val="24"/>
          <w:szCs w:val="24"/>
          <w:highlight w:val="none"/>
          <w:lang w:eastAsia="zh-CN"/>
        </w:rPr>
        <w:t>过下列</w:t>
      </w:r>
      <w:r>
        <w:rPr>
          <w:rFonts w:hint="eastAsia" w:ascii="宋体" w:hAnsi="宋体" w:eastAsia="宋体" w:cs="宋体"/>
          <w:color w:val="auto"/>
          <w:spacing w:val="3"/>
          <w:sz w:val="24"/>
          <w:szCs w:val="24"/>
          <w:highlight w:val="none"/>
          <w:lang w:eastAsia="zh-CN"/>
        </w:rPr>
        <w:t>措施进行：</w:t>
      </w:r>
    </w:p>
    <w:p w14:paraId="4DE490DB">
      <w:pPr>
        <w:spacing w:line="360" w:lineRule="auto"/>
        <w:ind w:firstLine="520" w:firstLineChars="200"/>
        <w:rPr>
          <w:rFonts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（一）将采购项目整体或者设置采购包专门面向中小企业采购；</w:t>
      </w:r>
    </w:p>
    <w:p w14:paraId="11ED3843">
      <w:pPr>
        <w:spacing w:line="360" w:lineRule="auto"/>
        <w:ind w:firstLine="520" w:firstLineChars="200"/>
        <w:rPr>
          <w:rFonts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（二）要求供应商以联合体形式参加采购活动，且联合体中中小企业承担的部分达到一定比例；</w:t>
      </w:r>
    </w:p>
    <w:p w14:paraId="7E7E1737">
      <w:pPr>
        <w:spacing w:line="360" w:lineRule="auto"/>
        <w:ind w:firstLine="520" w:firstLineChars="200"/>
        <w:rPr>
          <w:rFonts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（三）要求获得采购合同的供应商将采购项目中的一定比例分包给一家或者多家中小企业。组成联合体或者接受分包合同的中小企业与联合体内其他企业、分包企业之间不得存在直接控股、管理关系。</w:t>
      </w:r>
    </w:p>
    <w:p w14:paraId="53617F59">
      <w:pPr>
        <w:spacing w:line="360" w:lineRule="auto"/>
        <w:ind w:firstLine="693"/>
        <w:rPr>
          <w:rFonts w:ascii="宋体" w:hAnsi="宋体" w:eastAsia="宋体" w:cs="宋体"/>
          <w:color w:val="auto"/>
          <w:sz w:val="24"/>
          <w:szCs w:val="24"/>
          <w:highlight w:val="none"/>
          <w:lang w:eastAsia="zh-CN"/>
        </w:rPr>
      </w:pPr>
      <w:r>
        <w:rPr>
          <w:rFonts w:hint="eastAsia" w:ascii="宋体" w:hAnsi="宋体" w:eastAsia="宋体" w:cs="宋体"/>
          <w:color w:val="auto"/>
          <w:spacing w:val="19"/>
          <w:sz w:val="24"/>
          <w:szCs w:val="24"/>
          <w:highlight w:val="none"/>
          <w:lang w:eastAsia="zh-CN"/>
        </w:rPr>
        <w:t>第九条  对于经主管预算单位统筹后未预留</w:t>
      </w:r>
      <w:r>
        <w:rPr>
          <w:rFonts w:hint="eastAsia" w:ascii="宋体" w:hAnsi="宋体" w:eastAsia="宋体" w:cs="宋体"/>
          <w:color w:val="auto"/>
          <w:spacing w:val="18"/>
          <w:sz w:val="24"/>
          <w:szCs w:val="24"/>
          <w:highlight w:val="none"/>
          <w:lang w:eastAsia="zh-CN"/>
        </w:rPr>
        <w:t>份额专门</w:t>
      </w:r>
      <w:r>
        <w:rPr>
          <w:rFonts w:hint="eastAsia" w:ascii="宋体" w:hAnsi="宋体" w:eastAsia="宋体" w:cs="宋体"/>
          <w:color w:val="auto"/>
          <w:spacing w:val="8"/>
          <w:sz w:val="24"/>
          <w:szCs w:val="24"/>
          <w:highlight w:val="none"/>
          <w:lang w:eastAsia="zh-CN"/>
        </w:rPr>
        <w:t>面向中小企业采购的采购项目，以及预留份额项目中的非预留部分采购包，采购人、采购代理机构应当对符合本办法规</w:t>
      </w:r>
      <w:r>
        <w:rPr>
          <w:rFonts w:hint="eastAsia" w:ascii="宋体" w:hAnsi="宋体" w:eastAsia="宋体" w:cs="宋体"/>
          <w:color w:val="auto"/>
          <w:spacing w:val="5"/>
          <w:sz w:val="24"/>
          <w:szCs w:val="24"/>
          <w:highlight w:val="none"/>
          <w:lang w:eastAsia="zh-CN"/>
        </w:rPr>
        <w:t>定的小微企业报价给予</w:t>
      </w:r>
      <w:r>
        <w:rPr>
          <w:rFonts w:hint="eastAsia" w:ascii="宋体" w:hAnsi="宋体" w:eastAsia="宋体" w:cs="宋体"/>
          <w:color w:val="auto"/>
          <w:spacing w:val="-59"/>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6%—</w:t>
      </w:r>
      <w:r>
        <w:rPr>
          <w:rFonts w:hint="eastAsia" w:ascii="宋体" w:hAnsi="宋体" w:eastAsia="宋体" w:cs="宋体"/>
          <w:color w:val="auto"/>
          <w:spacing w:val="-121"/>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10%（工程项</w:t>
      </w:r>
      <w:r>
        <w:rPr>
          <w:rFonts w:hint="eastAsia" w:ascii="宋体" w:hAnsi="宋体" w:eastAsia="宋体" w:cs="宋体"/>
          <w:color w:val="auto"/>
          <w:spacing w:val="4"/>
          <w:sz w:val="24"/>
          <w:szCs w:val="24"/>
          <w:highlight w:val="none"/>
          <w:lang w:eastAsia="zh-CN"/>
        </w:rPr>
        <w:t>目为3%—5%）的扣</w:t>
      </w:r>
      <w:r>
        <w:rPr>
          <w:rFonts w:hint="eastAsia" w:ascii="宋体" w:hAnsi="宋体" w:eastAsia="宋体" w:cs="宋体"/>
          <w:color w:val="auto"/>
          <w:spacing w:val="8"/>
          <w:sz w:val="24"/>
          <w:szCs w:val="24"/>
          <w:highlight w:val="none"/>
          <w:lang w:eastAsia="zh-CN"/>
        </w:rPr>
        <w:t>除，用扣除后的价格参加评审。适用招标投标法的政府采购</w:t>
      </w:r>
      <w:r>
        <w:rPr>
          <w:rFonts w:hint="eastAsia" w:ascii="宋体" w:hAnsi="宋体" w:eastAsia="宋体" w:cs="宋体"/>
          <w:color w:val="auto"/>
          <w:spacing w:val="1"/>
          <w:sz w:val="24"/>
          <w:szCs w:val="24"/>
          <w:highlight w:val="none"/>
          <w:lang w:eastAsia="zh-CN"/>
        </w:rPr>
        <w:t xml:space="preserve"> </w:t>
      </w:r>
      <w:r>
        <w:rPr>
          <w:rFonts w:hint="eastAsia" w:ascii="宋体" w:hAnsi="宋体" w:eastAsia="宋体" w:cs="宋体"/>
          <w:color w:val="auto"/>
          <w:spacing w:val="8"/>
          <w:sz w:val="24"/>
          <w:szCs w:val="24"/>
          <w:highlight w:val="none"/>
          <w:lang w:eastAsia="zh-CN"/>
        </w:rPr>
        <w:t>工程建设项目，采用综合评估法但未采用低价优先法计算价格分的，评标时应当在采用原报价进行评分的基础上增加其</w:t>
      </w:r>
      <w:r>
        <w:rPr>
          <w:rFonts w:hint="eastAsia" w:ascii="宋体" w:hAnsi="宋体" w:eastAsia="宋体" w:cs="宋体"/>
          <w:color w:val="auto"/>
          <w:spacing w:val="5"/>
          <w:sz w:val="24"/>
          <w:szCs w:val="24"/>
          <w:highlight w:val="none"/>
          <w:lang w:eastAsia="zh-CN"/>
        </w:rPr>
        <w:t>价格得分的</w:t>
      </w:r>
      <w:r>
        <w:rPr>
          <w:rFonts w:hint="eastAsia" w:ascii="宋体" w:hAnsi="宋体" w:eastAsia="宋体" w:cs="宋体"/>
          <w:color w:val="auto"/>
          <w:spacing w:val="-44"/>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3%—5%作为其价格分。</w:t>
      </w:r>
    </w:p>
    <w:p w14:paraId="016478AD">
      <w:pPr>
        <w:spacing w:line="360" w:lineRule="auto"/>
        <w:ind w:firstLine="710"/>
        <w:rPr>
          <w:rFonts w:ascii="宋体" w:hAnsi="宋体" w:eastAsia="宋体" w:cs="宋体"/>
          <w:color w:val="auto"/>
          <w:sz w:val="24"/>
          <w:szCs w:val="24"/>
          <w:highlight w:val="none"/>
          <w:lang w:eastAsia="zh-CN"/>
        </w:rPr>
      </w:pPr>
      <w:r>
        <w:rPr>
          <w:rFonts w:hint="eastAsia" w:ascii="宋体" w:hAnsi="宋体" w:eastAsia="宋体" w:cs="宋体"/>
          <w:color w:val="auto"/>
          <w:spacing w:val="19"/>
          <w:sz w:val="24"/>
          <w:szCs w:val="24"/>
          <w:highlight w:val="none"/>
          <w:lang w:eastAsia="zh-CN"/>
        </w:rPr>
        <w:t>接受大中型企业与小微企业组成联合体或者允许大中</w:t>
      </w:r>
      <w:r>
        <w:rPr>
          <w:rFonts w:hint="eastAsia" w:ascii="宋体" w:hAnsi="宋体" w:eastAsia="宋体" w:cs="宋体"/>
          <w:color w:val="auto"/>
          <w:spacing w:val="8"/>
          <w:sz w:val="24"/>
          <w:szCs w:val="24"/>
          <w:highlight w:val="none"/>
          <w:lang w:eastAsia="zh-CN"/>
        </w:rPr>
        <w:t>型企业向一家或者多家小微企业分包的采购项目，对于联合</w:t>
      </w:r>
      <w:r>
        <w:rPr>
          <w:rFonts w:hint="eastAsia" w:ascii="宋体" w:hAnsi="宋体" w:eastAsia="宋体" w:cs="宋体"/>
          <w:color w:val="auto"/>
          <w:spacing w:val="21"/>
          <w:sz w:val="24"/>
          <w:szCs w:val="24"/>
          <w:highlight w:val="none"/>
          <w:lang w:eastAsia="zh-CN"/>
        </w:rPr>
        <w:t>协议或者分包意向协议约定小微企业的合同份额占到合同</w:t>
      </w:r>
      <w:r>
        <w:rPr>
          <w:rFonts w:hint="eastAsia" w:ascii="宋体" w:hAnsi="宋体" w:eastAsia="宋体" w:cs="宋体"/>
          <w:color w:val="auto"/>
          <w:spacing w:val="10"/>
          <w:sz w:val="24"/>
          <w:szCs w:val="24"/>
          <w:highlight w:val="none"/>
          <w:lang w:eastAsia="zh-CN"/>
        </w:rPr>
        <w:t>总金额</w:t>
      </w:r>
      <w:r>
        <w:rPr>
          <w:rFonts w:hint="eastAsia" w:ascii="宋体" w:hAnsi="宋体" w:eastAsia="宋体" w:cs="宋体"/>
          <w:color w:val="auto"/>
          <w:spacing w:val="-45"/>
          <w:sz w:val="24"/>
          <w:szCs w:val="24"/>
          <w:highlight w:val="none"/>
          <w:lang w:eastAsia="zh-CN"/>
        </w:rPr>
        <w:t xml:space="preserve"> </w:t>
      </w:r>
      <w:r>
        <w:rPr>
          <w:rFonts w:hint="eastAsia" w:ascii="宋体" w:hAnsi="宋体" w:eastAsia="宋体" w:cs="宋体"/>
          <w:color w:val="auto"/>
          <w:spacing w:val="10"/>
          <w:sz w:val="24"/>
          <w:szCs w:val="24"/>
          <w:highlight w:val="none"/>
          <w:lang w:eastAsia="zh-CN"/>
        </w:rPr>
        <w:t>30%以上的，采购人、采购代理机构应当对联合体或</w:t>
      </w:r>
      <w:r>
        <w:rPr>
          <w:rFonts w:hint="eastAsia" w:ascii="宋体" w:hAnsi="宋体" w:eastAsia="宋体" w:cs="宋体"/>
          <w:color w:val="auto"/>
          <w:spacing w:val="5"/>
          <w:sz w:val="24"/>
          <w:szCs w:val="24"/>
          <w:highlight w:val="none"/>
          <w:lang w:eastAsia="zh-CN"/>
        </w:rPr>
        <w:t>者大中型企业的报价给予</w:t>
      </w:r>
      <w:r>
        <w:rPr>
          <w:rFonts w:hint="eastAsia" w:ascii="宋体" w:hAnsi="宋体" w:eastAsia="宋体" w:cs="宋体"/>
          <w:color w:val="auto"/>
          <w:spacing w:val="-44"/>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2%-3%（工程项目为</w:t>
      </w:r>
      <w:r>
        <w:rPr>
          <w:rFonts w:hint="eastAsia" w:ascii="宋体" w:hAnsi="宋体" w:eastAsia="宋体" w:cs="宋体"/>
          <w:color w:val="auto"/>
          <w:spacing w:val="-39"/>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1%—2%）的扣</w:t>
      </w:r>
      <w:r>
        <w:rPr>
          <w:rFonts w:hint="eastAsia" w:ascii="宋体" w:hAnsi="宋体" w:eastAsia="宋体" w:cs="宋体"/>
          <w:color w:val="auto"/>
          <w:spacing w:val="8"/>
          <w:sz w:val="24"/>
          <w:szCs w:val="24"/>
          <w:highlight w:val="none"/>
          <w:lang w:eastAsia="zh-CN"/>
        </w:rPr>
        <w:t>除，用扣除后的价格参加评审。适用招标投标法的政府采购工程建设项目，采用综合评估法但未采用低价优先法计算价格分的，评标时应当在采用原报价进行评分的基础上增加其</w:t>
      </w:r>
      <w:r>
        <w:rPr>
          <w:rFonts w:hint="eastAsia" w:ascii="宋体" w:hAnsi="宋体" w:eastAsia="宋体" w:cs="宋体"/>
          <w:color w:val="auto"/>
          <w:spacing w:val="4"/>
          <w:sz w:val="24"/>
          <w:szCs w:val="24"/>
          <w:highlight w:val="none"/>
          <w:lang w:eastAsia="zh-CN"/>
        </w:rPr>
        <w:t>价格得分的</w:t>
      </w:r>
      <w:r>
        <w:rPr>
          <w:rFonts w:hint="eastAsia" w:ascii="宋体" w:hAnsi="宋体" w:eastAsia="宋体" w:cs="宋体"/>
          <w:color w:val="auto"/>
          <w:spacing w:val="-38"/>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1%—2%作为其价格分。组成联合</w:t>
      </w:r>
      <w:r>
        <w:rPr>
          <w:rFonts w:hint="eastAsia" w:ascii="宋体" w:hAnsi="宋体" w:eastAsia="宋体" w:cs="宋体"/>
          <w:color w:val="auto"/>
          <w:spacing w:val="3"/>
          <w:sz w:val="24"/>
          <w:szCs w:val="24"/>
          <w:highlight w:val="none"/>
          <w:lang w:eastAsia="zh-CN"/>
        </w:rPr>
        <w:t>体或者接受分包</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8"/>
          <w:sz w:val="24"/>
          <w:szCs w:val="24"/>
          <w:highlight w:val="none"/>
          <w:lang w:eastAsia="zh-CN"/>
        </w:rPr>
        <w:t>的小微企业与联合体内其他企业、分包企业之间存在直接控股、管理关系的，不享受价格扣除优惠政策。</w:t>
      </w:r>
    </w:p>
    <w:p w14:paraId="7BB14656">
      <w:pPr>
        <w:spacing w:line="360" w:lineRule="auto"/>
        <w:ind w:firstLine="708"/>
        <w:rPr>
          <w:rFonts w:ascii="宋体" w:hAnsi="宋体" w:eastAsia="宋体" w:cs="宋体"/>
          <w:color w:val="auto"/>
          <w:sz w:val="24"/>
          <w:szCs w:val="24"/>
          <w:highlight w:val="none"/>
          <w:lang w:eastAsia="zh-CN"/>
        </w:rPr>
      </w:pPr>
      <w:r>
        <w:rPr>
          <w:rFonts w:hint="eastAsia" w:ascii="宋体" w:hAnsi="宋体" w:eastAsia="宋体" w:cs="宋体"/>
          <w:color w:val="auto"/>
          <w:spacing w:val="19"/>
          <w:sz w:val="24"/>
          <w:szCs w:val="24"/>
          <w:highlight w:val="none"/>
          <w:lang w:eastAsia="zh-CN"/>
        </w:rPr>
        <w:t>价格扣除比例或者价格分加分比例对小型企业和微型</w:t>
      </w:r>
      <w:r>
        <w:rPr>
          <w:rFonts w:hint="eastAsia" w:ascii="宋体" w:hAnsi="宋体" w:eastAsia="宋体" w:cs="宋体"/>
          <w:color w:val="auto"/>
          <w:spacing w:val="8"/>
          <w:sz w:val="24"/>
          <w:szCs w:val="24"/>
          <w:highlight w:val="none"/>
          <w:lang w:eastAsia="zh-CN"/>
        </w:rPr>
        <w:t>企业同等对待，不作区分。具体采购项目的价格扣除比例或者价格分加分比例，由采购人根据采购标的相关行业平均利润率、市场竞争状况等，在本办法规定的幅度内确定。</w:t>
      </w:r>
    </w:p>
    <w:p w14:paraId="5E60E334">
      <w:pPr>
        <w:spacing w:line="360" w:lineRule="auto"/>
        <w:ind w:firstLine="693"/>
        <w:rPr>
          <w:rFonts w:ascii="宋体" w:hAnsi="宋体" w:eastAsia="宋体" w:cs="宋体"/>
          <w:color w:val="auto"/>
          <w:sz w:val="24"/>
          <w:szCs w:val="24"/>
          <w:highlight w:val="none"/>
          <w:lang w:eastAsia="zh-CN"/>
        </w:rPr>
      </w:pPr>
      <w:r>
        <w:rPr>
          <w:rFonts w:hint="eastAsia" w:ascii="宋体" w:hAnsi="宋体" w:eastAsia="宋体" w:cs="宋体"/>
          <w:color w:val="auto"/>
          <w:spacing w:val="19"/>
          <w:sz w:val="24"/>
          <w:szCs w:val="24"/>
          <w:highlight w:val="none"/>
          <w:lang w:eastAsia="zh-CN"/>
        </w:rPr>
        <w:t>第十条  采购人应当严格按照本办法规定和</w:t>
      </w:r>
      <w:r>
        <w:rPr>
          <w:rFonts w:hint="eastAsia" w:ascii="宋体" w:hAnsi="宋体" w:eastAsia="宋体" w:cs="宋体"/>
          <w:color w:val="auto"/>
          <w:spacing w:val="18"/>
          <w:sz w:val="24"/>
          <w:szCs w:val="24"/>
          <w:highlight w:val="none"/>
          <w:lang w:eastAsia="zh-CN"/>
        </w:rPr>
        <w:t>主管预算</w:t>
      </w:r>
      <w:r>
        <w:rPr>
          <w:rFonts w:hint="eastAsia" w:ascii="宋体" w:hAnsi="宋体" w:eastAsia="宋体" w:cs="宋体"/>
          <w:color w:val="auto"/>
          <w:spacing w:val="8"/>
          <w:sz w:val="24"/>
          <w:szCs w:val="24"/>
          <w:highlight w:val="none"/>
          <w:lang w:eastAsia="zh-CN"/>
        </w:rPr>
        <w:t>单位制定的预留采购份额具体方案开展采购活动。预留份额的采购项目或者采购包，通过发布公告方式邀请供应商后，</w:t>
      </w:r>
      <w:r>
        <w:rPr>
          <w:rFonts w:hint="eastAsia" w:ascii="宋体" w:hAnsi="宋体" w:eastAsia="宋体" w:cs="宋体"/>
          <w:color w:val="auto"/>
          <w:spacing w:val="6"/>
          <w:sz w:val="24"/>
          <w:szCs w:val="24"/>
          <w:highlight w:val="none"/>
          <w:lang w:eastAsia="zh-CN"/>
        </w:rPr>
        <w:t>符合资格条件的中小企业数量不足</w:t>
      </w:r>
      <w:r>
        <w:rPr>
          <w:rFonts w:hint="eastAsia" w:ascii="宋体" w:hAnsi="宋体" w:eastAsia="宋体" w:cs="宋体"/>
          <w:color w:val="auto"/>
          <w:spacing w:val="-47"/>
          <w:sz w:val="24"/>
          <w:szCs w:val="24"/>
          <w:highlight w:val="none"/>
          <w:lang w:eastAsia="zh-CN"/>
        </w:rPr>
        <w:t xml:space="preserve"> </w:t>
      </w:r>
      <w:r>
        <w:rPr>
          <w:rFonts w:hint="eastAsia" w:ascii="宋体" w:hAnsi="宋体" w:eastAsia="宋体" w:cs="宋体"/>
          <w:color w:val="auto"/>
          <w:spacing w:val="6"/>
          <w:sz w:val="24"/>
          <w:szCs w:val="24"/>
          <w:highlight w:val="none"/>
          <w:lang w:eastAsia="zh-CN"/>
        </w:rPr>
        <w:t>3</w:t>
      </w:r>
      <w:r>
        <w:rPr>
          <w:rFonts w:hint="eastAsia" w:ascii="宋体" w:hAnsi="宋体" w:eastAsia="宋体" w:cs="宋体"/>
          <w:color w:val="auto"/>
          <w:spacing w:val="-49"/>
          <w:sz w:val="24"/>
          <w:szCs w:val="24"/>
          <w:highlight w:val="none"/>
          <w:lang w:eastAsia="zh-CN"/>
        </w:rPr>
        <w:t xml:space="preserve"> </w:t>
      </w:r>
      <w:r>
        <w:rPr>
          <w:rFonts w:hint="eastAsia" w:ascii="宋体" w:hAnsi="宋体" w:eastAsia="宋体" w:cs="宋体"/>
          <w:color w:val="auto"/>
          <w:spacing w:val="6"/>
          <w:sz w:val="24"/>
          <w:szCs w:val="24"/>
          <w:highlight w:val="none"/>
          <w:lang w:eastAsia="zh-CN"/>
        </w:rPr>
        <w:t>家的，应当中止采购活</w:t>
      </w:r>
      <w:r>
        <w:rPr>
          <w:rFonts w:hint="eastAsia" w:ascii="宋体" w:hAnsi="宋体" w:eastAsia="宋体" w:cs="宋体"/>
          <w:color w:val="auto"/>
          <w:spacing w:val="8"/>
          <w:sz w:val="24"/>
          <w:szCs w:val="24"/>
          <w:highlight w:val="none"/>
          <w:lang w:eastAsia="zh-CN"/>
        </w:rPr>
        <w:t>动，视同未预留份额的采购项目或者采购包，按照本办法第</w:t>
      </w:r>
      <w:r>
        <w:rPr>
          <w:rFonts w:hint="eastAsia" w:ascii="宋体" w:hAnsi="宋体" w:eastAsia="宋体" w:cs="宋体"/>
          <w:color w:val="auto"/>
          <w:spacing w:val="7"/>
          <w:sz w:val="24"/>
          <w:szCs w:val="24"/>
          <w:highlight w:val="none"/>
          <w:lang w:eastAsia="zh-CN"/>
        </w:rPr>
        <w:t>九条有关规定重新组织采购活动。</w:t>
      </w:r>
    </w:p>
    <w:p w14:paraId="4370B528">
      <w:pPr>
        <w:spacing w:line="360" w:lineRule="auto"/>
        <w:ind w:firstLine="699"/>
        <w:rPr>
          <w:rFonts w:ascii="宋体" w:hAnsi="宋体" w:eastAsia="宋体" w:cs="宋体"/>
          <w:color w:val="auto"/>
          <w:spacing w:val="8"/>
          <w:sz w:val="24"/>
          <w:szCs w:val="24"/>
          <w:highlight w:val="none"/>
          <w:lang w:eastAsia="zh-CN"/>
        </w:rPr>
      </w:pPr>
      <w:r>
        <w:rPr>
          <w:rFonts w:hint="eastAsia" w:ascii="宋体" w:hAnsi="宋体" w:eastAsia="宋体" w:cs="宋体"/>
          <w:color w:val="auto"/>
          <w:spacing w:val="3"/>
          <w:sz w:val="24"/>
          <w:szCs w:val="24"/>
          <w:highlight w:val="none"/>
          <w:lang w:eastAsia="zh-CN"/>
        </w:rPr>
        <w:t>第十一条</w:t>
      </w:r>
      <w:r>
        <w:rPr>
          <w:rFonts w:hint="eastAsia" w:ascii="宋体" w:hAnsi="宋体" w:eastAsia="宋体" w:cs="宋体"/>
          <w:color w:val="auto"/>
          <w:spacing w:val="37"/>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中小企业参加政府采购活动，应当出具本办</w:t>
      </w:r>
      <w:r>
        <w:rPr>
          <w:rFonts w:hint="eastAsia" w:ascii="宋体" w:hAnsi="宋体" w:eastAsia="宋体" w:cs="宋体"/>
          <w:color w:val="auto"/>
          <w:spacing w:val="2"/>
          <w:sz w:val="24"/>
          <w:szCs w:val="24"/>
          <w:highlight w:val="none"/>
          <w:lang w:eastAsia="zh-CN"/>
        </w:rPr>
        <w:t>法规定的《中小企业声明函》（附</w:t>
      </w:r>
      <w:r>
        <w:rPr>
          <w:rFonts w:hint="eastAsia" w:ascii="宋体" w:hAnsi="宋体" w:eastAsia="宋体" w:cs="宋体"/>
          <w:color w:val="auto"/>
          <w:spacing w:val="-36"/>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1</w:t>
      </w:r>
      <w:r>
        <w:rPr>
          <w:rFonts w:hint="eastAsia" w:ascii="宋体" w:hAnsi="宋体" w:eastAsia="宋体" w:cs="宋体"/>
          <w:color w:val="auto"/>
          <w:spacing w:val="-50"/>
          <w:sz w:val="24"/>
          <w:szCs w:val="24"/>
          <w:highlight w:val="none"/>
          <w:lang w:eastAsia="zh-CN"/>
        </w:rPr>
        <w:t>），</w:t>
      </w:r>
      <w:r>
        <w:rPr>
          <w:rFonts w:hint="eastAsia" w:ascii="宋体" w:hAnsi="宋体" w:eastAsia="宋体" w:cs="宋体"/>
          <w:color w:val="auto"/>
          <w:spacing w:val="2"/>
          <w:sz w:val="24"/>
          <w:szCs w:val="24"/>
          <w:highlight w:val="none"/>
          <w:lang w:eastAsia="zh-CN"/>
        </w:rPr>
        <w:t>否则不得享受相关中</w:t>
      </w:r>
      <w:r>
        <w:rPr>
          <w:rFonts w:hint="eastAsia" w:ascii="宋体" w:hAnsi="宋体" w:eastAsia="宋体" w:cs="宋体"/>
          <w:color w:val="auto"/>
          <w:spacing w:val="8"/>
          <w:sz w:val="24"/>
          <w:szCs w:val="24"/>
          <w:highlight w:val="none"/>
          <w:lang w:eastAsia="zh-CN"/>
        </w:rPr>
        <w:t>小企业扶持政策。任何单位和个人不得要求供应商提供《中小企业声明函》之外的中小企业身份证明文件。</w:t>
      </w:r>
    </w:p>
    <w:p w14:paraId="0C2E5CE0">
      <w:pPr>
        <w:spacing w:line="360" w:lineRule="auto"/>
        <w:ind w:firstLine="699"/>
        <w:rPr>
          <w:rFonts w:ascii="宋体" w:hAnsi="宋体" w:eastAsia="宋体" w:cs="宋体"/>
          <w:color w:val="auto"/>
          <w:spacing w:val="2"/>
          <w:sz w:val="24"/>
          <w:szCs w:val="24"/>
          <w:highlight w:val="none"/>
          <w:lang w:eastAsia="zh-CN"/>
        </w:rPr>
      </w:pPr>
      <w:r>
        <w:rPr>
          <w:rFonts w:hint="eastAsia" w:ascii="宋体" w:hAnsi="宋体" w:eastAsia="宋体" w:cs="宋体"/>
          <w:color w:val="auto"/>
          <w:spacing w:val="3"/>
          <w:sz w:val="24"/>
          <w:szCs w:val="24"/>
          <w:highlight w:val="none"/>
          <w:lang w:eastAsia="zh-CN"/>
        </w:rPr>
        <w:t xml:space="preserve">第十二条  </w:t>
      </w:r>
      <w:r>
        <w:rPr>
          <w:rFonts w:hint="eastAsia" w:ascii="宋体" w:hAnsi="宋体" w:eastAsia="宋体" w:cs="宋体"/>
          <w:color w:val="auto"/>
          <w:spacing w:val="2"/>
          <w:sz w:val="24"/>
          <w:szCs w:val="24"/>
          <w:highlight w:val="none"/>
          <w:lang w:eastAsia="zh-CN"/>
        </w:rPr>
        <w:t>采购项目涉及中小企业采购的，采购文件应当明确以下内容：</w:t>
      </w:r>
    </w:p>
    <w:p w14:paraId="4C9D50B1">
      <w:pPr>
        <w:spacing w:line="360" w:lineRule="auto"/>
        <w:ind w:firstLine="709"/>
        <w:rPr>
          <w:rFonts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eastAsia="zh-CN"/>
        </w:rPr>
        <w:t>（一）预留份额的采购项目或者采购包，明确该项目或</w:t>
      </w:r>
      <w:r>
        <w:rPr>
          <w:rFonts w:hint="eastAsia" w:ascii="宋体" w:hAnsi="宋体" w:eastAsia="宋体" w:cs="宋体"/>
          <w:color w:val="auto"/>
          <w:spacing w:val="11"/>
          <w:sz w:val="24"/>
          <w:szCs w:val="24"/>
          <w:highlight w:val="none"/>
          <w:lang w:eastAsia="zh-CN"/>
        </w:rPr>
        <w:t xml:space="preserve"> </w:t>
      </w:r>
      <w:r>
        <w:rPr>
          <w:rFonts w:hint="eastAsia" w:ascii="宋体" w:hAnsi="宋体" w:eastAsia="宋体" w:cs="宋体"/>
          <w:color w:val="auto"/>
          <w:spacing w:val="8"/>
          <w:sz w:val="24"/>
          <w:szCs w:val="24"/>
          <w:highlight w:val="none"/>
          <w:lang w:eastAsia="zh-CN"/>
        </w:rPr>
        <w:t>相关采购包专门面向中小企业采购，以及相关标的及委托合计金额</w:t>
      </w:r>
      <w:r>
        <w:rPr>
          <w:rFonts w:hint="eastAsia" w:ascii="宋体" w:hAnsi="宋体" w:eastAsia="宋体" w:cs="宋体"/>
          <w:color w:val="auto"/>
          <w:spacing w:val="-6"/>
          <w:sz w:val="24"/>
          <w:szCs w:val="24"/>
          <w:highlight w:val="none"/>
          <w:lang w:eastAsia="zh-CN"/>
        </w:rPr>
        <w:t>；</w:t>
      </w:r>
    </w:p>
    <w:p w14:paraId="768B497D">
      <w:pPr>
        <w:spacing w:line="360" w:lineRule="auto"/>
        <w:ind w:firstLine="709"/>
        <w:rPr>
          <w:rFonts w:ascii="宋体" w:hAnsi="宋体" w:eastAsia="宋体" w:cs="宋体"/>
          <w:color w:val="auto"/>
          <w:spacing w:val="5"/>
          <w:sz w:val="24"/>
          <w:szCs w:val="24"/>
          <w:highlight w:val="none"/>
          <w:lang w:eastAsia="zh-CN"/>
        </w:rPr>
      </w:pPr>
      <w:r>
        <w:rPr>
          <w:rFonts w:hint="eastAsia" w:ascii="宋体" w:hAnsi="宋体" w:eastAsia="宋体" w:cs="宋体"/>
          <w:color w:val="auto"/>
          <w:spacing w:val="5"/>
          <w:sz w:val="24"/>
          <w:szCs w:val="24"/>
          <w:highlight w:val="none"/>
          <w:lang w:eastAsia="zh-CN"/>
        </w:rPr>
        <w:t>（二）要求以联合体形式参加或者合同分包的，明确联 合协议或者分包意向协议中中小企业合同金额应当达到的比例，并作为供应商资格条件；</w:t>
      </w:r>
    </w:p>
    <w:p w14:paraId="38E51995">
      <w:pPr>
        <w:spacing w:line="360" w:lineRule="auto"/>
        <w:ind w:firstLine="709"/>
        <w:rPr>
          <w:rFonts w:ascii="宋体" w:hAnsi="宋体" w:eastAsia="宋体" w:cs="宋体"/>
          <w:color w:val="auto"/>
          <w:spacing w:val="5"/>
          <w:sz w:val="24"/>
          <w:szCs w:val="24"/>
          <w:highlight w:val="none"/>
          <w:lang w:eastAsia="zh-CN"/>
        </w:rPr>
      </w:pPr>
      <w:r>
        <w:rPr>
          <w:rFonts w:hint="eastAsia" w:ascii="宋体" w:hAnsi="宋体" w:eastAsia="宋体" w:cs="宋体"/>
          <w:color w:val="auto"/>
          <w:spacing w:val="5"/>
          <w:sz w:val="24"/>
          <w:szCs w:val="24"/>
          <w:highlight w:val="none"/>
          <w:lang w:eastAsia="zh-CN"/>
        </w:rPr>
        <w:t>（三）非预留份额的采购项目或者采购包，明确有关价格扣除比例或者价格分加分比例；</w:t>
      </w:r>
    </w:p>
    <w:p w14:paraId="34EAD370">
      <w:pPr>
        <w:spacing w:line="360" w:lineRule="auto"/>
        <w:ind w:firstLine="709"/>
        <w:rPr>
          <w:rFonts w:ascii="宋体" w:hAnsi="宋体" w:eastAsia="宋体" w:cs="宋体"/>
          <w:color w:val="auto"/>
          <w:spacing w:val="5"/>
          <w:sz w:val="24"/>
          <w:szCs w:val="24"/>
          <w:highlight w:val="none"/>
          <w:lang w:eastAsia="zh-CN"/>
        </w:rPr>
      </w:pPr>
      <w:r>
        <w:rPr>
          <w:rFonts w:hint="eastAsia" w:ascii="宋体" w:hAnsi="宋体" w:eastAsia="宋体" w:cs="宋体"/>
          <w:color w:val="auto"/>
          <w:spacing w:val="5"/>
          <w:sz w:val="24"/>
          <w:szCs w:val="24"/>
          <w:highlight w:val="none"/>
          <w:lang w:eastAsia="zh-CN"/>
        </w:rPr>
        <w:t>（四）规定依据本办法规定享受扶持政策获得政府采购合同的，小微企业不得将合同分包给大中型企业，中型企业不得将合同分包给大型企业；</w:t>
      </w:r>
    </w:p>
    <w:p w14:paraId="2E9DDCE7">
      <w:pPr>
        <w:spacing w:line="360" w:lineRule="auto"/>
        <w:ind w:firstLine="709"/>
        <w:rPr>
          <w:rFonts w:ascii="宋体" w:hAnsi="宋体" w:eastAsia="宋体" w:cs="宋体"/>
          <w:color w:val="auto"/>
          <w:spacing w:val="5"/>
          <w:sz w:val="24"/>
          <w:szCs w:val="24"/>
          <w:highlight w:val="none"/>
          <w:lang w:eastAsia="zh-CN"/>
        </w:rPr>
      </w:pPr>
      <w:r>
        <w:rPr>
          <w:rFonts w:hint="eastAsia" w:ascii="宋体" w:hAnsi="宋体" w:eastAsia="宋体" w:cs="宋体"/>
          <w:color w:val="auto"/>
          <w:spacing w:val="5"/>
          <w:sz w:val="24"/>
          <w:szCs w:val="24"/>
          <w:highlight w:val="none"/>
          <w:lang w:eastAsia="zh-CN"/>
        </w:rPr>
        <w:t>（五）采购人认为具备相关条件的，明确对中小企业在资金支付期限、预付款比例等方面的优惠措施；</w:t>
      </w:r>
    </w:p>
    <w:p w14:paraId="5EAD5531">
      <w:pPr>
        <w:spacing w:line="360" w:lineRule="auto"/>
        <w:ind w:firstLine="709"/>
        <w:rPr>
          <w:rFonts w:ascii="宋体" w:hAnsi="宋体" w:eastAsia="宋体" w:cs="宋体"/>
          <w:color w:val="auto"/>
          <w:spacing w:val="5"/>
          <w:sz w:val="24"/>
          <w:szCs w:val="24"/>
          <w:highlight w:val="none"/>
          <w:lang w:eastAsia="zh-CN"/>
        </w:rPr>
      </w:pPr>
      <w:r>
        <w:rPr>
          <w:rFonts w:hint="eastAsia" w:ascii="宋体" w:hAnsi="宋体" w:eastAsia="宋体" w:cs="宋体"/>
          <w:color w:val="auto"/>
          <w:spacing w:val="5"/>
          <w:sz w:val="24"/>
          <w:szCs w:val="24"/>
          <w:highlight w:val="none"/>
          <w:lang w:eastAsia="zh-CN"/>
        </w:rPr>
        <w:t>（六）明确采购标的对应的中小企业划分标准所属行业；</w:t>
      </w:r>
    </w:p>
    <w:p w14:paraId="450D87F9">
      <w:pPr>
        <w:spacing w:line="360" w:lineRule="auto"/>
        <w:ind w:firstLine="709"/>
        <w:rPr>
          <w:rFonts w:ascii="宋体" w:hAnsi="宋体" w:eastAsia="宋体" w:cs="宋体"/>
          <w:color w:val="auto"/>
          <w:spacing w:val="5"/>
          <w:sz w:val="24"/>
          <w:szCs w:val="24"/>
          <w:highlight w:val="none"/>
          <w:lang w:eastAsia="zh-CN"/>
        </w:rPr>
      </w:pPr>
      <w:r>
        <w:rPr>
          <w:rFonts w:hint="eastAsia" w:ascii="宋体" w:hAnsi="宋体" w:eastAsia="宋体" w:cs="宋体"/>
          <w:color w:val="auto"/>
          <w:spacing w:val="5"/>
          <w:sz w:val="24"/>
          <w:szCs w:val="24"/>
          <w:highlight w:val="none"/>
          <w:lang w:eastAsia="zh-CN"/>
        </w:rPr>
        <w:t>（七）法律法规和省级以上人民政府财政部门规定的其他事项。</w:t>
      </w:r>
    </w:p>
    <w:p w14:paraId="1783041D">
      <w:pPr>
        <w:spacing w:line="360" w:lineRule="auto"/>
        <w:ind w:firstLine="703"/>
        <w:rPr>
          <w:rFonts w:ascii="宋体" w:hAnsi="宋体" w:eastAsia="宋体" w:cs="宋体"/>
          <w:color w:val="auto"/>
          <w:spacing w:val="8"/>
          <w:sz w:val="24"/>
          <w:szCs w:val="24"/>
          <w:highlight w:val="none"/>
          <w:lang w:eastAsia="zh-CN"/>
        </w:rPr>
      </w:pPr>
      <w:r>
        <w:rPr>
          <w:rFonts w:hint="eastAsia" w:ascii="宋体" w:hAnsi="宋体" w:eastAsia="宋体" w:cs="宋体"/>
          <w:color w:val="auto"/>
          <w:spacing w:val="3"/>
          <w:sz w:val="24"/>
          <w:szCs w:val="24"/>
          <w:highlight w:val="none"/>
          <w:lang w:eastAsia="zh-CN"/>
        </w:rPr>
        <w:t>第十三条</w:t>
      </w:r>
      <w:r>
        <w:rPr>
          <w:rFonts w:hint="eastAsia" w:ascii="宋体" w:hAnsi="宋体" w:eastAsia="宋体" w:cs="宋体"/>
          <w:color w:val="auto"/>
          <w:spacing w:val="36"/>
          <w:sz w:val="24"/>
          <w:szCs w:val="24"/>
          <w:highlight w:val="none"/>
          <w:lang w:eastAsia="zh-CN"/>
        </w:rPr>
        <w:t xml:space="preserve">  </w:t>
      </w:r>
      <w:r>
        <w:rPr>
          <w:rFonts w:hint="eastAsia" w:ascii="宋体" w:hAnsi="宋体" w:eastAsia="宋体" w:cs="宋体"/>
          <w:color w:val="auto"/>
          <w:spacing w:val="8"/>
          <w:sz w:val="24"/>
          <w:szCs w:val="24"/>
          <w:highlight w:val="none"/>
          <w:lang w:eastAsia="zh-CN"/>
        </w:rPr>
        <w:t>中标、成交供应商享受本办法规定的中小企业扶持政策的，采购人、采购代理机构应当随中标、成交结果公开中标、成交供应商的《中小企业声明函》。</w:t>
      </w:r>
    </w:p>
    <w:p w14:paraId="0FE1D885">
      <w:pPr>
        <w:spacing w:line="360" w:lineRule="auto"/>
        <w:ind w:firstLine="703"/>
        <w:rPr>
          <w:rFonts w:ascii="宋体" w:hAnsi="宋体" w:eastAsia="宋体" w:cs="宋体"/>
          <w:color w:val="auto"/>
          <w:sz w:val="24"/>
          <w:szCs w:val="24"/>
          <w:highlight w:val="none"/>
          <w:lang w:eastAsia="zh-CN"/>
        </w:rPr>
      </w:pPr>
      <w:r>
        <w:rPr>
          <w:rFonts w:hint="eastAsia" w:ascii="宋体" w:hAnsi="宋体" w:eastAsia="宋体" w:cs="宋体"/>
          <w:color w:val="auto"/>
          <w:spacing w:val="8"/>
          <w:sz w:val="24"/>
          <w:szCs w:val="24"/>
          <w:highlight w:val="none"/>
          <w:lang w:eastAsia="zh-CN"/>
        </w:rPr>
        <w:t>适用招标投标法的政府采购工程建设项目，应当在公示中标候选人时公开中标候选</w:t>
      </w:r>
      <w:r>
        <w:rPr>
          <w:rFonts w:hint="eastAsia" w:ascii="宋体" w:hAnsi="宋体" w:eastAsia="宋体" w:cs="宋体"/>
          <w:color w:val="auto"/>
          <w:spacing w:val="2"/>
          <w:sz w:val="24"/>
          <w:szCs w:val="24"/>
          <w:highlight w:val="none"/>
          <w:lang w:eastAsia="zh-CN"/>
        </w:rPr>
        <w:t>人的《中小企业声明函》。</w:t>
      </w:r>
    </w:p>
    <w:p w14:paraId="1D71A3DD">
      <w:pPr>
        <w:spacing w:line="360" w:lineRule="auto"/>
        <w:ind w:firstLine="693"/>
        <w:rPr>
          <w:rFonts w:ascii="宋体" w:hAnsi="宋体" w:eastAsia="宋体" w:cs="宋体"/>
          <w:color w:val="auto"/>
          <w:sz w:val="24"/>
          <w:szCs w:val="24"/>
          <w:highlight w:val="none"/>
          <w:lang w:eastAsia="zh-CN"/>
        </w:rPr>
      </w:pPr>
      <w:r>
        <w:rPr>
          <w:rFonts w:hint="eastAsia" w:ascii="宋体" w:hAnsi="宋体" w:eastAsia="宋体" w:cs="宋体"/>
          <w:color w:val="auto"/>
          <w:spacing w:val="6"/>
          <w:sz w:val="24"/>
          <w:szCs w:val="24"/>
          <w:highlight w:val="none"/>
          <w:lang w:eastAsia="zh-CN"/>
        </w:rPr>
        <w:t>第十四条  对于通过预留采购项目、预留专门采购包、</w:t>
      </w:r>
      <w:r>
        <w:rPr>
          <w:rFonts w:hint="eastAsia" w:ascii="宋体" w:hAnsi="宋体" w:eastAsia="宋体" w:cs="宋体"/>
          <w:color w:val="auto"/>
          <w:spacing w:val="21"/>
          <w:sz w:val="24"/>
          <w:szCs w:val="24"/>
          <w:highlight w:val="none"/>
          <w:lang w:eastAsia="zh-CN"/>
        </w:rPr>
        <w:t>要求以联合体形式参加或者合同分包等措施签订的采购合</w:t>
      </w:r>
      <w:r>
        <w:rPr>
          <w:rFonts w:hint="eastAsia" w:ascii="宋体" w:hAnsi="宋体" w:eastAsia="宋体" w:cs="宋体"/>
          <w:color w:val="auto"/>
          <w:spacing w:val="8"/>
          <w:sz w:val="24"/>
          <w:szCs w:val="24"/>
          <w:highlight w:val="none"/>
          <w:lang w:eastAsia="zh-CN"/>
        </w:rPr>
        <w:t>同，应当明确标注本合同为中小企业预留合同。其中，要求以联合体形式参加采购活动或者合同分包的，应当将联合协议或者分包意向协议作为采购合同的组成部分。</w:t>
      </w:r>
    </w:p>
    <w:p w14:paraId="0BF442BE">
      <w:pPr>
        <w:spacing w:line="360" w:lineRule="auto"/>
        <w:ind w:firstLine="698"/>
        <w:rPr>
          <w:rFonts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eastAsia="zh-CN"/>
        </w:rPr>
        <w:t>第十五条  鼓励各地区、各部门在采购活动中允许中小</w:t>
      </w:r>
      <w:r>
        <w:rPr>
          <w:rFonts w:hint="eastAsia" w:ascii="宋体" w:hAnsi="宋体" w:eastAsia="宋体" w:cs="宋体"/>
          <w:color w:val="auto"/>
          <w:spacing w:val="8"/>
          <w:sz w:val="24"/>
          <w:szCs w:val="24"/>
          <w:highlight w:val="none"/>
          <w:lang w:eastAsia="zh-CN"/>
        </w:rPr>
        <w:t>企业引入信用担保手段，为中小企业在投标（响应）保证、履约保证等方面提供专业化服务。鼓励中小企业依法合规通</w:t>
      </w:r>
      <w:r>
        <w:rPr>
          <w:rFonts w:hint="eastAsia" w:ascii="宋体" w:hAnsi="宋体" w:eastAsia="宋体" w:cs="宋体"/>
          <w:color w:val="auto"/>
          <w:spacing w:val="6"/>
          <w:sz w:val="24"/>
          <w:szCs w:val="24"/>
          <w:highlight w:val="none"/>
          <w:lang w:eastAsia="zh-CN"/>
        </w:rPr>
        <w:t>过政府采购合同融资。</w:t>
      </w:r>
    </w:p>
    <w:p w14:paraId="5DACDE05">
      <w:pPr>
        <w:spacing w:line="360" w:lineRule="auto"/>
        <w:ind w:firstLine="698"/>
        <w:rPr>
          <w:rFonts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eastAsia="zh-CN"/>
        </w:rPr>
        <w:t>第十六条  政府采购监督检查、投诉处理及政府采购行</w:t>
      </w:r>
      <w:r>
        <w:rPr>
          <w:rFonts w:hint="eastAsia" w:ascii="宋体" w:hAnsi="宋体" w:eastAsia="宋体" w:cs="宋体"/>
          <w:color w:val="auto"/>
          <w:spacing w:val="17"/>
          <w:sz w:val="24"/>
          <w:szCs w:val="24"/>
          <w:highlight w:val="none"/>
          <w:lang w:eastAsia="zh-CN"/>
        </w:rPr>
        <w:t xml:space="preserve"> </w:t>
      </w:r>
      <w:r>
        <w:rPr>
          <w:rFonts w:hint="eastAsia" w:ascii="宋体" w:hAnsi="宋体" w:eastAsia="宋体" w:cs="宋体"/>
          <w:color w:val="auto"/>
          <w:spacing w:val="8"/>
          <w:sz w:val="24"/>
          <w:szCs w:val="24"/>
          <w:highlight w:val="none"/>
          <w:lang w:eastAsia="zh-CN"/>
        </w:rPr>
        <w:t>政处罚中对中小企业的认定，由货物制造商或者工程、服务</w:t>
      </w:r>
      <w:r>
        <w:rPr>
          <w:rFonts w:hint="eastAsia" w:ascii="宋体" w:hAnsi="宋体" w:eastAsia="宋体" w:cs="宋体"/>
          <w:color w:val="auto"/>
          <w:spacing w:val="21"/>
          <w:sz w:val="24"/>
          <w:szCs w:val="24"/>
          <w:highlight w:val="none"/>
          <w:lang w:eastAsia="zh-CN"/>
        </w:rPr>
        <w:t>供应商注册登记所在地的县级以上人民政府中小企业主管</w:t>
      </w:r>
      <w:r>
        <w:rPr>
          <w:rFonts w:hint="eastAsia" w:ascii="宋体" w:hAnsi="宋体" w:eastAsia="宋体" w:cs="宋体"/>
          <w:color w:val="auto"/>
          <w:spacing w:val="3"/>
          <w:sz w:val="24"/>
          <w:szCs w:val="24"/>
          <w:highlight w:val="none"/>
          <w:lang w:eastAsia="zh-CN"/>
        </w:rPr>
        <w:t>部门负责。</w:t>
      </w:r>
    </w:p>
    <w:p w14:paraId="491E5018">
      <w:pPr>
        <w:spacing w:line="360" w:lineRule="auto"/>
        <w:ind w:firstLine="750"/>
        <w:rPr>
          <w:rFonts w:ascii="宋体" w:hAnsi="宋体" w:eastAsia="宋体" w:cs="宋体"/>
          <w:color w:val="auto"/>
          <w:spacing w:val="6"/>
          <w:sz w:val="24"/>
          <w:szCs w:val="24"/>
          <w:highlight w:val="none"/>
          <w:lang w:eastAsia="zh-CN"/>
        </w:rPr>
      </w:pPr>
      <w:r>
        <w:rPr>
          <w:rFonts w:hint="eastAsia" w:ascii="宋体" w:hAnsi="宋体" w:eastAsia="宋体" w:cs="宋体"/>
          <w:color w:val="auto"/>
          <w:spacing w:val="17"/>
          <w:sz w:val="24"/>
          <w:szCs w:val="24"/>
          <w:highlight w:val="none"/>
          <w:lang w:eastAsia="zh-CN"/>
        </w:rPr>
        <w:t>中小企业主管部门应当在收到财政部门或者有关招标</w:t>
      </w:r>
      <w:r>
        <w:rPr>
          <w:rFonts w:hint="eastAsia" w:ascii="宋体" w:hAnsi="宋体" w:eastAsia="宋体" w:cs="宋体"/>
          <w:color w:val="auto"/>
          <w:spacing w:val="11"/>
          <w:sz w:val="24"/>
          <w:szCs w:val="24"/>
          <w:highlight w:val="none"/>
          <w:lang w:eastAsia="zh-CN"/>
        </w:rPr>
        <w:t>投标行政监督部门关于协助开展中小企业认定函后10</w:t>
      </w:r>
      <w:r>
        <w:rPr>
          <w:rFonts w:hint="eastAsia" w:ascii="宋体" w:hAnsi="宋体" w:eastAsia="宋体" w:cs="宋体"/>
          <w:color w:val="auto"/>
          <w:spacing w:val="-48"/>
          <w:sz w:val="24"/>
          <w:szCs w:val="24"/>
          <w:highlight w:val="none"/>
          <w:lang w:eastAsia="zh-CN"/>
        </w:rPr>
        <w:t xml:space="preserve"> </w:t>
      </w:r>
      <w:r>
        <w:rPr>
          <w:rFonts w:hint="eastAsia" w:ascii="宋体" w:hAnsi="宋体" w:eastAsia="宋体" w:cs="宋体"/>
          <w:color w:val="auto"/>
          <w:spacing w:val="11"/>
          <w:sz w:val="24"/>
          <w:szCs w:val="24"/>
          <w:highlight w:val="none"/>
          <w:lang w:eastAsia="zh-CN"/>
        </w:rPr>
        <w:t>个工</w:t>
      </w:r>
      <w:r>
        <w:rPr>
          <w:rFonts w:hint="eastAsia" w:ascii="宋体" w:hAnsi="宋体" w:eastAsia="宋体" w:cs="宋体"/>
          <w:color w:val="auto"/>
          <w:spacing w:val="6"/>
          <w:sz w:val="24"/>
          <w:szCs w:val="24"/>
          <w:highlight w:val="none"/>
          <w:lang w:eastAsia="zh-CN"/>
        </w:rPr>
        <w:t>作日内做出书面答复。</w:t>
      </w:r>
    </w:p>
    <w:p w14:paraId="3B6AE4F5">
      <w:pPr>
        <w:spacing w:line="360" w:lineRule="auto"/>
        <w:ind w:firstLine="750"/>
        <w:rPr>
          <w:rFonts w:ascii="宋体" w:hAnsi="宋体" w:eastAsia="宋体" w:cs="宋体"/>
          <w:color w:val="auto"/>
          <w:spacing w:val="8"/>
          <w:sz w:val="24"/>
          <w:szCs w:val="24"/>
          <w:highlight w:val="none"/>
          <w:lang w:eastAsia="zh-CN"/>
        </w:rPr>
      </w:pPr>
      <w:r>
        <w:rPr>
          <w:rFonts w:hint="eastAsia" w:ascii="宋体" w:hAnsi="宋体" w:eastAsia="宋体" w:cs="宋体"/>
          <w:color w:val="auto"/>
          <w:spacing w:val="5"/>
          <w:sz w:val="24"/>
          <w:szCs w:val="24"/>
          <w:highlight w:val="none"/>
          <w:lang w:eastAsia="zh-CN"/>
        </w:rPr>
        <w:t xml:space="preserve">第十七条 </w:t>
      </w:r>
      <w:r>
        <w:rPr>
          <w:rFonts w:hint="eastAsia" w:ascii="宋体" w:hAnsi="宋体" w:eastAsia="宋体" w:cs="宋体"/>
          <w:color w:val="auto"/>
          <w:spacing w:val="17"/>
          <w:sz w:val="24"/>
          <w:szCs w:val="24"/>
          <w:highlight w:val="none"/>
          <w:lang w:eastAsia="zh-CN"/>
        </w:rPr>
        <w:t xml:space="preserve"> 各地区、各部门应当对涉及中小企业采购的预算项目实施全过</w:t>
      </w:r>
      <w:r>
        <w:rPr>
          <w:rFonts w:hint="eastAsia" w:ascii="宋体" w:hAnsi="宋体" w:eastAsia="宋体" w:cs="宋体"/>
          <w:color w:val="auto"/>
          <w:spacing w:val="8"/>
          <w:sz w:val="24"/>
          <w:szCs w:val="24"/>
          <w:highlight w:val="none"/>
          <w:lang w:eastAsia="zh-CN"/>
        </w:rPr>
        <w:t>程绩效管理，合理设置绩效目标和指标，落实扶持中小企业有关政策要求，定期开展绩效监控和评价，强化绩效评价结果应用。</w:t>
      </w:r>
    </w:p>
    <w:p w14:paraId="5BC08F91">
      <w:pPr>
        <w:spacing w:line="360" w:lineRule="auto"/>
        <w:ind w:firstLine="512" w:firstLineChars="200"/>
        <w:rPr>
          <w:rFonts w:ascii="宋体" w:hAnsi="宋体" w:eastAsia="宋体" w:cs="宋体"/>
          <w:color w:val="auto"/>
          <w:spacing w:val="8"/>
          <w:position w:val="18"/>
          <w:sz w:val="24"/>
          <w:szCs w:val="24"/>
          <w:highlight w:val="none"/>
          <w:lang w:eastAsia="zh-CN"/>
        </w:rPr>
      </w:pPr>
      <w:r>
        <w:rPr>
          <w:rFonts w:hint="eastAsia" w:ascii="宋体" w:hAnsi="宋体" w:eastAsia="宋体" w:cs="宋体"/>
          <w:color w:val="auto"/>
          <w:spacing w:val="8"/>
          <w:position w:val="18"/>
          <w:sz w:val="24"/>
          <w:szCs w:val="24"/>
          <w:highlight w:val="none"/>
          <w:lang w:eastAsia="zh-CN"/>
        </w:rPr>
        <w:t>第十八条  主管预算单位应当自 2022 年起向同级财政部门报告本部门上一年度面向中小企业预留份额和采购的具体情况，并在中国政府采购网公开预留项目执行情况(附2)。未达到本办法规定的预留份额比例的，应当作出说明。</w:t>
      </w:r>
    </w:p>
    <w:p w14:paraId="555E2345">
      <w:pPr>
        <w:spacing w:line="360" w:lineRule="auto"/>
        <w:ind w:firstLine="556" w:firstLineChars="200"/>
        <w:rPr>
          <w:rFonts w:ascii="宋体" w:hAnsi="宋体" w:eastAsia="宋体" w:cs="宋体"/>
          <w:color w:val="auto"/>
          <w:sz w:val="24"/>
          <w:szCs w:val="24"/>
          <w:highlight w:val="none"/>
          <w:lang w:eastAsia="zh-CN"/>
        </w:rPr>
      </w:pPr>
      <w:r>
        <w:rPr>
          <w:rFonts w:hint="eastAsia" w:ascii="宋体" w:hAnsi="宋体" w:eastAsia="宋体" w:cs="宋体"/>
          <w:color w:val="auto"/>
          <w:spacing w:val="19"/>
          <w:sz w:val="24"/>
          <w:szCs w:val="24"/>
          <w:highlight w:val="none"/>
          <w:lang w:eastAsia="zh-CN"/>
        </w:rPr>
        <w:t>第十九条  采购人未按本办法规定为中小企</w:t>
      </w:r>
      <w:r>
        <w:rPr>
          <w:rFonts w:hint="eastAsia" w:ascii="宋体" w:hAnsi="宋体" w:eastAsia="宋体" w:cs="宋体"/>
          <w:color w:val="auto"/>
          <w:spacing w:val="18"/>
          <w:sz w:val="24"/>
          <w:szCs w:val="24"/>
          <w:highlight w:val="none"/>
          <w:lang w:eastAsia="zh-CN"/>
        </w:rPr>
        <w:t>业预留采</w:t>
      </w:r>
      <w:r>
        <w:rPr>
          <w:rFonts w:hint="eastAsia" w:ascii="宋体" w:hAnsi="宋体" w:eastAsia="宋体" w:cs="宋体"/>
          <w:color w:val="auto"/>
          <w:spacing w:val="8"/>
          <w:sz w:val="24"/>
          <w:szCs w:val="24"/>
          <w:highlight w:val="none"/>
          <w:lang w:eastAsia="zh-CN"/>
        </w:rPr>
        <w:t>购份额，采购人、采购代理机构未按照本办法规定要求实施价格扣除或者价格分加分的，属于未按照规定执行政府采购政策，依照《中华人民共和国政府采购法》等国家有关规定</w:t>
      </w:r>
      <w:r>
        <w:rPr>
          <w:rFonts w:hint="eastAsia" w:ascii="宋体" w:hAnsi="宋体" w:eastAsia="宋体" w:cs="宋体"/>
          <w:color w:val="auto"/>
          <w:spacing w:val="5"/>
          <w:sz w:val="24"/>
          <w:szCs w:val="24"/>
          <w:highlight w:val="none"/>
          <w:lang w:eastAsia="zh-CN"/>
        </w:rPr>
        <w:t>追究法律责任。</w:t>
      </w:r>
    </w:p>
    <w:p w14:paraId="105EB75E">
      <w:pPr>
        <w:spacing w:line="360" w:lineRule="auto"/>
        <w:ind w:firstLine="693"/>
        <w:rPr>
          <w:rFonts w:ascii="宋体" w:hAnsi="宋体" w:eastAsia="宋体" w:cs="宋体"/>
          <w:color w:val="auto"/>
          <w:sz w:val="24"/>
          <w:szCs w:val="24"/>
          <w:highlight w:val="none"/>
          <w:lang w:eastAsia="zh-CN"/>
        </w:rPr>
      </w:pPr>
      <w:r>
        <w:rPr>
          <w:rFonts w:hint="eastAsia" w:ascii="宋体" w:hAnsi="宋体" w:eastAsia="宋体" w:cs="宋体"/>
          <w:color w:val="auto"/>
          <w:spacing w:val="19"/>
          <w:sz w:val="24"/>
          <w:szCs w:val="24"/>
          <w:highlight w:val="none"/>
          <w:lang w:eastAsia="zh-CN"/>
        </w:rPr>
        <w:t>第二十条  供应商按照本办法规定提供声明</w:t>
      </w:r>
      <w:r>
        <w:rPr>
          <w:rFonts w:hint="eastAsia" w:ascii="宋体" w:hAnsi="宋体" w:eastAsia="宋体" w:cs="宋体"/>
          <w:color w:val="auto"/>
          <w:spacing w:val="18"/>
          <w:sz w:val="24"/>
          <w:szCs w:val="24"/>
          <w:highlight w:val="none"/>
          <w:lang w:eastAsia="zh-CN"/>
        </w:rPr>
        <w:t>函内容不</w:t>
      </w:r>
      <w:r>
        <w:rPr>
          <w:rFonts w:hint="eastAsia" w:ascii="宋体" w:hAnsi="宋体" w:eastAsia="宋体" w:cs="宋体"/>
          <w:color w:val="auto"/>
          <w:spacing w:val="8"/>
          <w:sz w:val="24"/>
          <w:szCs w:val="24"/>
          <w:highlight w:val="none"/>
          <w:lang w:eastAsia="zh-CN"/>
        </w:rPr>
        <w:t>实的，属于提供虚假材料谋取中标、成交，依照《中华人民共和国政府采购法》等国家有关规定追究相应责任。</w:t>
      </w:r>
    </w:p>
    <w:p w14:paraId="418C6ED8">
      <w:pPr>
        <w:spacing w:line="360" w:lineRule="auto"/>
        <w:ind w:firstLine="638"/>
        <w:rPr>
          <w:rFonts w:ascii="宋体" w:hAnsi="宋体" w:eastAsia="宋体" w:cs="宋体"/>
          <w:color w:val="auto"/>
          <w:sz w:val="24"/>
          <w:szCs w:val="24"/>
          <w:highlight w:val="none"/>
          <w:lang w:eastAsia="zh-CN"/>
        </w:rPr>
      </w:pPr>
      <w:r>
        <w:rPr>
          <w:rFonts w:hint="eastAsia" w:ascii="宋体" w:hAnsi="宋体" w:eastAsia="宋体" w:cs="宋体"/>
          <w:color w:val="auto"/>
          <w:spacing w:val="6"/>
          <w:sz w:val="24"/>
          <w:szCs w:val="24"/>
          <w:highlight w:val="none"/>
          <w:lang w:eastAsia="zh-CN"/>
        </w:rPr>
        <w:t>适用招标投标法的政府采购工程建设项目，投标人按照本办法规定提供声明函内容不实的，属于弄虚作假骗取</w:t>
      </w:r>
      <w:r>
        <w:rPr>
          <w:rFonts w:hint="eastAsia" w:ascii="宋体" w:hAnsi="宋体" w:eastAsia="宋体" w:cs="宋体"/>
          <w:color w:val="auto"/>
          <w:spacing w:val="5"/>
          <w:sz w:val="24"/>
          <w:szCs w:val="24"/>
          <w:highlight w:val="none"/>
          <w:lang w:eastAsia="zh-CN"/>
        </w:rPr>
        <w:t>中标，</w:t>
      </w:r>
      <w:r>
        <w:rPr>
          <w:rFonts w:hint="eastAsia" w:ascii="宋体" w:hAnsi="宋体" w:eastAsia="宋体" w:cs="宋体"/>
          <w:color w:val="auto"/>
          <w:spacing w:val="8"/>
          <w:sz w:val="24"/>
          <w:szCs w:val="24"/>
          <w:highlight w:val="none"/>
          <w:lang w:eastAsia="zh-CN"/>
        </w:rPr>
        <w:t>依照《中华人民共和国招标投标法》等国家有关规定追究相</w:t>
      </w:r>
      <w:r>
        <w:rPr>
          <w:rFonts w:hint="eastAsia" w:ascii="宋体" w:hAnsi="宋体" w:eastAsia="宋体" w:cs="宋体"/>
          <w:color w:val="auto"/>
          <w:spacing w:val="2"/>
          <w:sz w:val="24"/>
          <w:szCs w:val="24"/>
          <w:highlight w:val="none"/>
          <w:lang w:eastAsia="zh-CN"/>
        </w:rPr>
        <w:t>应责任。</w:t>
      </w:r>
    </w:p>
    <w:p w14:paraId="3E723E07">
      <w:pPr>
        <w:spacing w:line="360" w:lineRule="auto"/>
        <w:ind w:firstLine="702"/>
        <w:rPr>
          <w:rFonts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eastAsia="zh-CN"/>
        </w:rPr>
        <w:t>第二十一条  财政部门、中小企业主管部门及其工作人</w:t>
      </w:r>
      <w:r>
        <w:rPr>
          <w:rFonts w:hint="eastAsia" w:ascii="宋体" w:hAnsi="宋体" w:eastAsia="宋体" w:cs="宋体"/>
          <w:color w:val="auto"/>
          <w:spacing w:val="8"/>
          <w:sz w:val="24"/>
          <w:szCs w:val="24"/>
          <w:highlight w:val="none"/>
          <w:lang w:eastAsia="zh-CN"/>
        </w:rPr>
        <w:t>员在履行职责中违反本办法规定及存在其他滥用职权、玩忽职守、徇私舞弊等违法违纪行为的，依照《</w:t>
      </w:r>
      <w:r>
        <w:rPr>
          <w:highlight w:val="none"/>
        </w:rPr>
        <w:fldChar w:fldCharType="begin"/>
      </w:r>
      <w:r>
        <w:rPr>
          <w:highlight w:val="none"/>
        </w:rPr>
        <w:instrText xml:space="preserve"> HYPERLINK "http://10.162.100.18:168/golaw?dbnm=gjfg&amp;flid=1116012014128049" </w:instrText>
      </w:r>
      <w:r>
        <w:rPr>
          <w:highlight w:val="none"/>
        </w:rPr>
        <w:fldChar w:fldCharType="separate"/>
      </w:r>
      <w:r>
        <w:rPr>
          <w:rFonts w:hint="eastAsia" w:ascii="宋体" w:hAnsi="宋体" w:eastAsia="宋体" w:cs="宋体"/>
          <w:color w:val="auto"/>
          <w:spacing w:val="8"/>
          <w:sz w:val="24"/>
          <w:szCs w:val="24"/>
          <w:highlight w:val="none"/>
          <w:lang w:eastAsia="zh-CN"/>
        </w:rPr>
        <w:t>中华人民共和国</w:t>
      </w:r>
      <w:r>
        <w:rPr>
          <w:rFonts w:hint="eastAsia" w:ascii="宋体" w:hAnsi="宋体" w:eastAsia="宋体" w:cs="宋体"/>
          <w:color w:val="auto"/>
          <w:spacing w:val="8"/>
          <w:sz w:val="24"/>
          <w:szCs w:val="24"/>
          <w:highlight w:val="none"/>
          <w:lang w:eastAsia="zh-CN"/>
        </w:rPr>
        <w:fldChar w:fldCharType="end"/>
      </w:r>
      <w:r>
        <w:rPr>
          <w:rFonts w:hint="eastAsia" w:ascii="宋体" w:hAnsi="宋体" w:eastAsia="宋体" w:cs="宋体"/>
          <w:color w:val="auto"/>
          <w:spacing w:val="-14"/>
          <w:sz w:val="24"/>
          <w:szCs w:val="24"/>
          <w:highlight w:val="none"/>
          <w:lang w:eastAsia="zh-CN"/>
        </w:rPr>
        <w:t>政府采购法》、《</w:t>
      </w:r>
      <w:r>
        <w:rPr>
          <w:highlight w:val="none"/>
        </w:rPr>
        <w:fldChar w:fldCharType="begin"/>
      </w:r>
      <w:r>
        <w:rPr>
          <w:highlight w:val="none"/>
        </w:rPr>
        <w:instrText xml:space="preserve"> HYPERLINK "http://10.162.100.18:168/golaw?dbnm=gjfg&amp;flid=111601200501" </w:instrText>
      </w:r>
      <w:r>
        <w:rPr>
          <w:highlight w:val="none"/>
        </w:rPr>
        <w:fldChar w:fldCharType="separate"/>
      </w:r>
      <w:r>
        <w:rPr>
          <w:rFonts w:hint="eastAsia" w:ascii="宋体" w:hAnsi="宋体" w:eastAsia="宋体" w:cs="宋体"/>
          <w:color w:val="auto"/>
          <w:spacing w:val="-14"/>
          <w:sz w:val="24"/>
          <w:szCs w:val="24"/>
          <w:highlight w:val="none"/>
          <w:lang w:eastAsia="zh-CN"/>
        </w:rPr>
        <w:t>中华人民共和国公务员法</w:t>
      </w:r>
      <w:r>
        <w:rPr>
          <w:rFonts w:hint="eastAsia" w:ascii="宋体" w:hAnsi="宋体" w:eastAsia="宋体" w:cs="宋体"/>
          <w:color w:val="auto"/>
          <w:spacing w:val="-14"/>
          <w:sz w:val="24"/>
          <w:szCs w:val="24"/>
          <w:highlight w:val="none"/>
          <w:lang w:eastAsia="zh-CN"/>
        </w:rPr>
        <w:fldChar w:fldCharType="end"/>
      </w:r>
      <w:r>
        <w:rPr>
          <w:rFonts w:hint="eastAsia" w:ascii="宋体" w:hAnsi="宋体" w:eastAsia="宋体" w:cs="宋体"/>
          <w:color w:val="auto"/>
          <w:spacing w:val="-14"/>
          <w:sz w:val="24"/>
          <w:szCs w:val="24"/>
          <w:highlight w:val="none"/>
          <w:lang w:eastAsia="zh-CN"/>
        </w:rPr>
        <w:t>》、《</w:t>
      </w:r>
      <w:r>
        <w:rPr>
          <w:highlight w:val="none"/>
        </w:rPr>
        <w:fldChar w:fldCharType="begin"/>
      </w:r>
      <w:r>
        <w:rPr>
          <w:highlight w:val="none"/>
        </w:rPr>
        <w:instrText xml:space="preserve"> HYPERLINK "http://10.162.100.18:168/golaw?dbnm=gjfg&amp;flid=1117032010100014" </w:instrText>
      </w:r>
      <w:r>
        <w:rPr>
          <w:highlight w:val="none"/>
        </w:rPr>
        <w:fldChar w:fldCharType="separate"/>
      </w:r>
      <w:r>
        <w:rPr>
          <w:rFonts w:hint="eastAsia" w:ascii="宋体" w:hAnsi="宋体" w:eastAsia="宋体" w:cs="宋体"/>
          <w:color w:val="auto"/>
          <w:spacing w:val="-14"/>
          <w:sz w:val="24"/>
          <w:szCs w:val="24"/>
          <w:highlight w:val="none"/>
          <w:lang w:eastAsia="zh-CN"/>
        </w:rPr>
        <w:t>中华人民共和</w:t>
      </w:r>
      <w:r>
        <w:rPr>
          <w:rFonts w:hint="eastAsia" w:ascii="宋体" w:hAnsi="宋体" w:eastAsia="宋体" w:cs="宋体"/>
          <w:color w:val="auto"/>
          <w:spacing w:val="-14"/>
          <w:sz w:val="24"/>
          <w:szCs w:val="24"/>
          <w:highlight w:val="none"/>
          <w:lang w:eastAsia="zh-CN"/>
        </w:rPr>
        <w:fldChar w:fldCharType="end"/>
      </w:r>
      <w:r>
        <w:rPr>
          <w:rFonts w:hint="eastAsia" w:ascii="宋体" w:hAnsi="宋体" w:eastAsia="宋体" w:cs="宋体"/>
          <w:color w:val="auto"/>
          <w:spacing w:val="-3"/>
          <w:sz w:val="24"/>
          <w:szCs w:val="24"/>
          <w:highlight w:val="none"/>
          <w:lang w:eastAsia="zh-CN"/>
        </w:rPr>
        <w:t>国监察法》、《</w:t>
      </w:r>
      <w:r>
        <w:rPr>
          <w:highlight w:val="none"/>
        </w:rPr>
        <w:fldChar w:fldCharType="begin"/>
      </w:r>
      <w:r>
        <w:rPr>
          <w:highlight w:val="none"/>
        </w:rPr>
        <w:instrText xml:space="preserve"> HYPERLINK "http://10.162.100.18:168/golaw?dbnm=gjfg&amp;flid=1129012015130679" </w:instrText>
      </w:r>
      <w:r>
        <w:rPr>
          <w:highlight w:val="none"/>
        </w:rPr>
        <w:fldChar w:fldCharType="separate"/>
      </w:r>
      <w:r>
        <w:rPr>
          <w:rFonts w:hint="eastAsia" w:ascii="宋体" w:hAnsi="宋体" w:eastAsia="宋体" w:cs="宋体"/>
          <w:color w:val="auto"/>
          <w:spacing w:val="-3"/>
          <w:sz w:val="24"/>
          <w:szCs w:val="24"/>
          <w:highlight w:val="none"/>
          <w:lang w:eastAsia="zh-CN"/>
        </w:rPr>
        <w:t>中华人民共和国政府采购法实施条例</w:t>
      </w:r>
      <w:r>
        <w:rPr>
          <w:rFonts w:hint="eastAsia" w:ascii="宋体" w:hAnsi="宋体" w:eastAsia="宋体" w:cs="宋体"/>
          <w:color w:val="auto"/>
          <w:spacing w:val="-3"/>
          <w:sz w:val="24"/>
          <w:szCs w:val="24"/>
          <w:highlight w:val="none"/>
          <w:lang w:eastAsia="zh-CN"/>
        </w:rPr>
        <w:fldChar w:fldCharType="end"/>
      </w:r>
      <w:r>
        <w:rPr>
          <w:rFonts w:hint="eastAsia" w:ascii="宋体" w:hAnsi="宋体" w:eastAsia="宋体" w:cs="宋体"/>
          <w:color w:val="auto"/>
          <w:spacing w:val="-3"/>
          <w:sz w:val="24"/>
          <w:szCs w:val="24"/>
          <w:highlight w:val="none"/>
          <w:lang w:eastAsia="zh-CN"/>
        </w:rPr>
        <w:t>》等</w:t>
      </w:r>
      <w:r>
        <w:rPr>
          <w:rFonts w:hint="eastAsia" w:ascii="宋体" w:hAnsi="宋体" w:eastAsia="宋体" w:cs="宋体"/>
          <w:color w:val="auto"/>
          <w:spacing w:val="-4"/>
          <w:sz w:val="24"/>
          <w:szCs w:val="24"/>
          <w:highlight w:val="none"/>
          <w:lang w:eastAsia="zh-CN"/>
        </w:rPr>
        <w:t>国家</w:t>
      </w:r>
      <w:r>
        <w:rPr>
          <w:rFonts w:hint="eastAsia" w:ascii="宋体" w:hAnsi="宋体" w:eastAsia="宋体" w:cs="宋体"/>
          <w:color w:val="auto"/>
          <w:spacing w:val="9"/>
          <w:sz w:val="24"/>
          <w:szCs w:val="24"/>
          <w:highlight w:val="none"/>
          <w:lang w:eastAsia="zh-CN"/>
        </w:rPr>
        <w:t>有关规定追究相应责任；涉嫌犯罪的，依法</w:t>
      </w:r>
      <w:r>
        <w:rPr>
          <w:rFonts w:hint="eastAsia" w:ascii="宋体" w:hAnsi="宋体" w:eastAsia="宋体" w:cs="宋体"/>
          <w:color w:val="auto"/>
          <w:spacing w:val="8"/>
          <w:sz w:val="24"/>
          <w:szCs w:val="24"/>
          <w:highlight w:val="none"/>
          <w:lang w:eastAsia="zh-CN"/>
        </w:rPr>
        <w:t>移送有关国家机</w:t>
      </w:r>
      <w:r>
        <w:rPr>
          <w:rFonts w:hint="eastAsia" w:ascii="宋体" w:hAnsi="宋体" w:eastAsia="宋体" w:cs="宋体"/>
          <w:color w:val="auto"/>
          <w:spacing w:val="-1"/>
          <w:sz w:val="24"/>
          <w:szCs w:val="24"/>
          <w:highlight w:val="none"/>
          <w:lang w:eastAsia="zh-CN"/>
        </w:rPr>
        <w:t>关处理。</w:t>
      </w:r>
    </w:p>
    <w:p w14:paraId="522B2F2F">
      <w:pPr>
        <w:spacing w:line="360" w:lineRule="auto"/>
        <w:ind w:firstLine="500" w:firstLineChars="200"/>
        <w:rPr>
          <w:rFonts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eastAsia="zh-CN"/>
        </w:rPr>
        <w:t>第二十二条</w:t>
      </w:r>
      <w:r>
        <w:rPr>
          <w:rFonts w:hint="eastAsia" w:ascii="宋体" w:hAnsi="宋体" w:eastAsia="宋体" w:cs="宋体"/>
          <w:b/>
          <w:bCs/>
          <w:color w:val="auto"/>
          <w:spacing w:val="8"/>
          <w:sz w:val="24"/>
          <w:szCs w:val="24"/>
          <w:highlight w:val="none"/>
          <w:lang w:eastAsia="zh-CN"/>
        </w:rPr>
        <w:t xml:space="preserve">  </w:t>
      </w:r>
      <w:r>
        <w:rPr>
          <w:rFonts w:hint="eastAsia" w:ascii="宋体" w:hAnsi="宋体" w:eastAsia="宋体" w:cs="宋体"/>
          <w:color w:val="auto"/>
          <w:spacing w:val="8"/>
          <w:sz w:val="24"/>
          <w:szCs w:val="24"/>
          <w:highlight w:val="none"/>
          <w:lang w:eastAsia="zh-CN"/>
        </w:rPr>
        <w:t>对外援助项目、国家相关资格或者资质管理制度另有规定的项目，不适用本办法。</w:t>
      </w:r>
    </w:p>
    <w:p w14:paraId="0AB63E97">
      <w:pPr>
        <w:spacing w:line="360" w:lineRule="auto"/>
        <w:rPr>
          <w:rFonts w:ascii="宋体" w:hAnsi="宋体" w:eastAsia="宋体" w:cs="宋体"/>
          <w:color w:val="auto"/>
          <w:sz w:val="24"/>
          <w:szCs w:val="24"/>
          <w:highlight w:val="none"/>
          <w:lang w:eastAsia="zh-CN"/>
        </w:rPr>
        <w:sectPr>
          <w:footerReference r:id="rId7" w:type="default"/>
          <w:pgSz w:w="11906" w:h="16839"/>
          <w:pgMar w:top="1429" w:right="1553" w:bottom="1378" w:left="1786" w:header="907" w:footer="1134" w:gutter="0"/>
          <w:cols w:space="720" w:num="1"/>
        </w:sectPr>
      </w:pPr>
    </w:p>
    <w:p w14:paraId="1DC2FA01">
      <w:pPr>
        <w:spacing w:line="360" w:lineRule="auto"/>
        <w:ind w:firstLine="500" w:firstLineChars="200"/>
        <w:rPr>
          <w:rFonts w:ascii="宋体" w:hAnsi="宋体" w:eastAsia="宋体" w:cs="宋体"/>
          <w:color w:val="auto"/>
          <w:spacing w:val="8"/>
          <w:sz w:val="24"/>
          <w:szCs w:val="24"/>
          <w:highlight w:val="none"/>
          <w:lang w:eastAsia="zh-CN"/>
        </w:rPr>
      </w:pPr>
      <w:r>
        <w:rPr>
          <w:rFonts w:hint="eastAsia" w:ascii="宋体" w:hAnsi="宋体" w:eastAsia="宋体" w:cs="宋体"/>
          <w:color w:val="auto"/>
          <w:spacing w:val="5"/>
          <w:sz w:val="24"/>
          <w:szCs w:val="24"/>
          <w:highlight w:val="none"/>
          <w:lang w:eastAsia="zh-CN"/>
        </w:rPr>
        <w:t>第二十三条</w:t>
      </w:r>
      <w:r>
        <w:rPr>
          <w:rFonts w:hint="eastAsia" w:ascii="宋体" w:hAnsi="宋体" w:eastAsia="宋体" w:cs="宋体"/>
          <w:color w:val="auto"/>
          <w:spacing w:val="8"/>
          <w:sz w:val="24"/>
          <w:szCs w:val="24"/>
          <w:highlight w:val="none"/>
          <w:lang w:eastAsia="zh-CN"/>
        </w:rPr>
        <w:t xml:space="preserve">  关于视同中小企业的其他主体的政府采</w:t>
      </w:r>
    </w:p>
    <w:p w14:paraId="27A8B0B7">
      <w:pPr>
        <w:spacing w:line="360" w:lineRule="auto"/>
        <w:rPr>
          <w:rFonts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购扶持政策，由财政部会同有关部门另行规定。</w:t>
      </w:r>
    </w:p>
    <w:p w14:paraId="2F7743C2">
      <w:pPr>
        <w:spacing w:line="360" w:lineRule="auto"/>
        <w:ind w:firstLine="500" w:firstLineChars="200"/>
        <w:rPr>
          <w:rFonts w:ascii="宋体" w:hAnsi="宋体" w:eastAsia="宋体" w:cs="宋体"/>
          <w:color w:val="auto"/>
          <w:spacing w:val="8"/>
          <w:sz w:val="24"/>
          <w:szCs w:val="24"/>
          <w:highlight w:val="none"/>
          <w:lang w:eastAsia="zh-CN"/>
        </w:rPr>
      </w:pPr>
      <w:r>
        <w:rPr>
          <w:rFonts w:hint="eastAsia" w:ascii="宋体" w:hAnsi="宋体" w:eastAsia="宋体" w:cs="宋体"/>
          <w:color w:val="auto"/>
          <w:spacing w:val="5"/>
          <w:sz w:val="24"/>
          <w:szCs w:val="24"/>
          <w:highlight w:val="none"/>
          <w:lang w:eastAsia="zh-CN"/>
        </w:rPr>
        <w:t>第二十四条</w:t>
      </w:r>
      <w:r>
        <w:rPr>
          <w:rFonts w:hint="eastAsia" w:ascii="宋体" w:hAnsi="宋体" w:eastAsia="宋体" w:cs="宋体"/>
          <w:color w:val="auto"/>
          <w:spacing w:val="8"/>
          <w:sz w:val="24"/>
          <w:szCs w:val="24"/>
          <w:highlight w:val="none"/>
          <w:lang w:eastAsia="zh-CN"/>
        </w:rPr>
        <w:t xml:space="preserve">  省级财政部门可以会同中小企业主管部门根据本办法的规定制定具体实施办法。</w:t>
      </w:r>
    </w:p>
    <w:p w14:paraId="73D24599">
      <w:pPr>
        <w:spacing w:line="360" w:lineRule="auto"/>
        <w:ind w:firstLine="500" w:firstLineChars="200"/>
        <w:rPr>
          <w:rFonts w:ascii="宋体" w:hAnsi="宋体" w:eastAsia="宋体" w:cs="宋体"/>
          <w:color w:val="auto"/>
          <w:spacing w:val="8"/>
          <w:sz w:val="24"/>
          <w:szCs w:val="24"/>
          <w:highlight w:val="none"/>
          <w:lang w:eastAsia="zh-CN"/>
        </w:rPr>
      </w:pPr>
      <w:r>
        <w:rPr>
          <w:rFonts w:hint="eastAsia" w:ascii="宋体" w:hAnsi="宋体" w:eastAsia="宋体" w:cs="宋体"/>
          <w:color w:val="auto"/>
          <w:spacing w:val="5"/>
          <w:sz w:val="24"/>
          <w:szCs w:val="24"/>
          <w:highlight w:val="none"/>
          <w:lang w:eastAsia="zh-CN"/>
        </w:rPr>
        <w:t>第二十五条</w:t>
      </w:r>
      <w:r>
        <w:rPr>
          <w:rFonts w:hint="eastAsia" w:ascii="宋体" w:hAnsi="宋体" w:eastAsia="宋体" w:cs="宋体"/>
          <w:color w:val="auto"/>
          <w:spacing w:val="8"/>
          <w:sz w:val="24"/>
          <w:szCs w:val="24"/>
          <w:highlight w:val="none"/>
          <w:lang w:eastAsia="zh-CN"/>
        </w:rPr>
        <w:t xml:space="preserve">  本办法自2021年1月1日起施行。《财政部工业和信息化部关于印发〈政府采购促进中小企业发展暂行办法〉的通知》（财库（2011﹞181号）同时废止。</w:t>
      </w:r>
    </w:p>
    <w:p w14:paraId="453119D1">
      <w:pPr>
        <w:spacing w:line="360" w:lineRule="auto"/>
        <w:rPr>
          <w:rFonts w:ascii="宋体" w:hAnsi="宋体" w:eastAsia="宋体" w:cs="宋体"/>
          <w:color w:val="auto"/>
          <w:sz w:val="24"/>
          <w:szCs w:val="24"/>
          <w:highlight w:val="none"/>
          <w:lang w:eastAsia="zh-CN"/>
        </w:rPr>
      </w:pPr>
    </w:p>
    <w:p w14:paraId="3C16BF3E">
      <w:pPr>
        <w:spacing w:line="360" w:lineRule="auto"/>
        <w:rPr>
          <w:rFonts w:ascii="宋体" w:hAnsi="宋体" w:eastAsia="宋体" w:cs="宋体"/>
          <w:color w:val="auto"/>
          <w:sz w:val="24"/>
          <w:szCs w:val="24"/>
          <w:highlight w:val="none"/>
          <w:lang w:eastAsia="zh-CN"/>
        </w:rPr>
      </w:pPr>
    </w:p>
    <w:p w14:paraId="296464D6">
      <w:pPr>
        <w:spacing w:line="360" w:lineRule="auto"/>
        <w:rPr>
          <w:rFonts w:ascii="宋体" w:hAnsi="宋体" w:eastAsia="宋体" w:cs="宋体"/>
          <w:color w:val="auto"/>
          <w:sz w:val="24"/>
          <w:szCs w:val="24"/>
          <w:highlight w:val="none"/>
          <w:lang w:eastAsia="zh-CN"/>
        </w:rPr>
        <w:sectPr>
          <w:pgSz w:w="11906" w:h="16839"/>
          <w:pgMar w:top="1429" w:right="1553" w:bottom="1378" w:left="1786" w:header="907" w:footer="0" w:gutter="0"/>
          <w:cols w:space="720" w:num="1"/>
        </w:sectPr>
      </w:pPr>
    </w:p>
    <w:p w14:paraId="341BC4AC">
      <w:pPr>
        <w:spacing w:line="360" w:lineRule="auto"/>
        <w:outlineLvl w:val="0"/>
        <w:rPr>
          <w:rFonts w:ascii="宋体" w:hAnsi="宋体" w:eastAsia="宋体" w:cs="宋体"/>
          <w:color w:val="auto"/>
          <w:spacing w:val="-9"/>
          <w:sz w:val="24"/>
          <w:szCs w:val="24"/>
          <w:highlight w:val="none"/>
          <w:lang w:eastAsia="zh-CN"/>
        </w:rPr>
      </w:pPr>
      <w:bookmarkStart w:id="231" w:name="_Toc6728"/>
      <w:bookmarkStart w:id="232" w:name="_Toc25114"/>
      <w:bookmarkStart w:id="233" w:name="_Toc30184"/>
      <w:bookmarkStart w:id="234" w:name="_Toc3270"/>
      <w:r>
        <w:rPr>
          <w:rFonts w:hint="eastAsia" w:ascii="宋体" w:hAnsi="宋体" w:eastAsia="宋体" w:cs="宋体"/>
          <w:color w:val="auto"/>
          <w:spacing w:val="-9"/>
          <w:sz w:val="24"/>
          <w:szCs w:val="24"/>
          <w:highlight w:val="none"/>
          <w:lang w:eastAsia="zh-CN"/>
        </w:rPr>
        <w:t>附件2：关于进一步加大政府采购支持中小企业力度的通知</w:t>
      </w:r>
      <w:bookmarkEnd w:id="231"/>
      <w:bookmarkEnd w:id="232"/>
      <w:bookmarkEnd w:id="233"/>
      <w:bookmarkEnd w:id="234"/>
    </w:p>
    <w:p w14:paraId="6EBAAD60">
      <w:pPr>
        <w:shd w:val="clear" w:color="auto" w:fill="FFFFFF"/>
        <w:spacing w:beforeAutospacing="1" w:afterAutospacing="1" w:line="360" w:lineRule="auto"/>
        <w:jc w:val="center"/>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shd w:val="clear" w:color="auto" w:fill="FFFFFF"/>
          <w:lang w:eastAsia="zh-CN"/>
        </w:rPr>
        <w:t>关于进一步加大政府采购支持中小企业力度的通知</w:t>
      </w:r>
    </w:p>
    <w:p w14:paraId="6670858E">
      <w:pPr>
        <w:shd w:val="clear" w:color="auto" w:fill="FFFFFF"/>
        <w:spacing w:line="360" w:lineRule="auto"/>
        <w:jc w:val="center"/>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shd w:val="clear" w:color="auto" w:fill="FFFFFF"/>
          <w:lang w:eastAsia="zh-CN"/>
        </w:rPr>
        <w:t>财库〔2022〕19号</w:t>
      </w:r>
    </w:p>
    <w:p w14:paraId="6D5C3A3A">
      <w:pPr>
        <w:pStyle w:val="27"/>
        <w:spacing w:beforeAutospacing="0" w:after="210" w:afterAutospacing="0" w:line="360" w:lineRule="auto"/>
        <w:jc w:val="both"/>
        <w:rPr>
          <w:rFonts w:eastAsia="宋体" w:cs="宋体"/>
          <w:color w:val="auto"/>
          <w:highlight w:val="none"/>
        </w:rPr>
      </w:pPr>
      <w:r>
        <w:rPr>
          <w:rFonts w:hint="eastAsia" w:eastAsia="宋体" w:cs="宋体"/>
          <w:color w:val="auto"/>
          <w:highlight w:val="none"/>
          <w:shd w:val="clear" w:color="auto" w:fill="FFFFFF"/>
        </w:rPr>
        <w:t>各中央预算单位，各省、自治区、直辖市、计划单列市财政厅（局），新疆生产建设兵团财政局：</w:t>
      </w:r>
    </w:p>
    <w:p w14:paraId="66060E9F">
      <w:pPr>
        <w:pStyle w:val="27"/>
        <w:spacing w:beforeAutospacing="0" w:after="210" w:afterAutospacing="0" w:line="360" w:lineRule="auto"/>
        <w:jc w:val="both"/>
        <w:rPr>
          <w:rFonts w:eastAsia="宋体" w:cs="宋体"/>
          <w:color w:val="auto"/>
          <w:highlight w:val="none"/>
        </w:rPr>
      </w:pPr>
      <w:r>
        <w:rPr>
          <w:rFonts w:hint="eastAsia" w:eastAsia="宋体" w:cs="宋体"/>
          <w:color w:val="auto"/>
          <w:highlight w:val="none"/>
          <w:shd w:val="clear" w:color="auto" w:fill="FFFFFF"/>
        </w:rPr>
        <w:t>　　为贯彻落实《国务院关于印发扎实稳住经济一揽子政策措施的通知》（国发〔2022〕12号）有关要求，做好财政政策支持中小企业纾困解难工作，助力经济平稳健康发展，现就加大政府采购支持中小企业力度有关事项通知如下：</w:t>
      </w:r>
    </w:p>
    <w:p w14:paraId="3E74F427">
      <w:pPr>
        <w:pStyle w:val="27"/>
        <w:spacing w:beforeAutospacing="0" w:after="210" w:afterAutospacing="0" w:line="360" w:lineRule="auto"/>
        <w:jc w:val="both"/>
        <w:rPr>
          <w:rFonts w:eastAsia="宋体" w:cs="宋体"/>
          <w:color w:val="auto"/>
          <w:highlight w:val="none"/>
        </w:rPr>
      </w:pPr>
      <w:r>
        <w:rPr>
          <w:rFonts w:hint="eastAsia" w:eastAsia="宋体" w:cs="宋体"/>
          <w:color w:val="auto"/>
          <w:highlight w:val="none"/>
          <w:shd w:val="clear" w:color="auto" w:fill="FFFFFF"/>
        </w:rPr>
        <w:t>　　</w:t>
      </w:r>
      <w:r>
        <w:rPr>
          <w:rFonts w:hint="eastAsia" w:eastAsia="宋体" w:cs="宋体"/>
          <w:b/>
          <w:bCs/>
          <w:color w:val="auto"/>
          <w:highlight w:val="none"/>
          <w:shd w:val="clear" w:color="auto" w:fill="FFFFFF"/>
        </w:rPr>
        <w:t>一、严格落实支持中小企业政府采购政策。</w:t>
      </w:r>
      <w:r>
        <w:rPr>
          <w:rFonts w:hint="eastAsia" w:eastAsia="宋体" w:cs="宋体"/>
          <w:color w:val="auto"/>
          <w:highlight w:val="none"/>
          <w:shd w:val="clear" w:color="auto" w:fill="FFFFFF"/>
        </w:rPr>
        <w:t>各地区、各部门要按照国务院的统一部署，认真落实《政府采购促进中小企业发展管理办法》（财库〔2020〕46号）的规定，规范资格条件设置，降低中小企业参与门槛，灵活采取项目整体预留、合理预留采购包、要求大企业与中小企业组成联合体、要求大企业向中小企业分包等形式，确保中小企业合同份额。要通过提高预付款比例、引入信用担保、支持中小企业开展合同融资、免费提供电子采购文件等方式，为中小企业参与采购活动提供便利。要严格按规定及时支付采购资金，不得收取没有法律法规依据的保证金，有效减轻中小企业资金压力。</w:t>
      </w:r>
    </w:p>
    <w:p w14:paraId="1B8CD66A">
      <w:pPr>
        <w:pStyle w:val="27"/>
        <w:spacing w:beforeAutospacing="0" w:after="210" w:afterAutospacing="0" w:line="360" w:lineRule="auto"/>
        <w:jc w:val="both"/>
        <w:rPr>
          <w:rFonts w:eastAsia="宋体" w:cs="宋体"/>
          <w:color w:val="auto"/>
          <w:highlight w:val="none"/>
        </w:rPr>
      </w:pPr>
      <w:r>
        <w:rPr>
          <w:rFonts w:hint="eastAsia" w:eastAsia="宋体" w:cs="宋体"/>
          <w:color w:val="auto"/>
          <w:highlight w:val="none"/>
          <w:shd w:val="clear" w:color="auto" w:fill="FFFFFF"/>
        </w:rPr>
        <w:t>　　</w:t>
      </w:r>
      <w:r>
        <w:rPr>
          <w:rFonts w:hint="eastAsia" w:eastAsia="宋体" w:cs="宋体"/>
          <w:b/>
          <w:bCs/>
          <w:color w:val="auto"/>
          <w:highlight w:val="none"/>
          <w:shd w:val="clear" w:color="auto" w:fill="FFFFFF"/>
        </w:rPr>
        <w:t>二、调整对小微企业的价格评审优惠幅度。</w:t>
      </w:r>
      <w:r>
        <w:rPr>
          <w:rFonts w:hint="eastAsia" w:eastAsia="宋体" w:cs="宋体"/>
          <w:color w:val="auto"/>
          <w:highlight w:val="none"/>
          <w:shd w:val="clear" w:color="auto" w:fill="FFFFFF"/>
        </w:rPr>
        <w:t>货物服务采购项目给予小微企业的价格扣除优惠，由财库〔2020〕46号文件规定的6%—10%提高至10%—20%。大中型企业与小微企业组成联合体或者大中型企业向小微企业分包的，评审优惠幅度由2%—3%提高至4%—6%。政府采购工程的价格评审优惠按照财库〔2020〕46号文件的规定执行。自本通知执行之日起发布采购公告或者发出采购邀请的货物服务采购项目，按照本通知规定的评审优惠幅度执行。</w:t>
      </w:r>
    </w:p>
    <w:p w14:paraId="7E822BAC">
      <w:pPr>
        <w:pStyle w:val="27"/>
        <w:spacing w:beforeAutospacing="0" w:after="210" w:afterAutospacing="0" w:line="360" w:lineRule="auto"/>
        <w:jc w:val="both"/>
        <w:rPr>
          <w:rFonts w:eastAsia="宋体" w:cs="宋体"/>
          <w:color w:val="auto"/>
          <w:highlight w:val="none"/>
        </w:rPr>
      </w:pPr>
      <w:r>
        <w:rPr>
          <w:rFonts w:hint="eastAsia" w:eastAsia="宋体" w:cs="宋体"/>
          <w:color w:val="auto"/>
          <w:highlight w:val="none"/>
          <w:shd w:val="clear" w:color="auto" w:fill="FFFFFF"/>
        </w:rPr>
        <w:t>　　</w:t>
      </w:r>
      <w:r>
        <w:rPr>
          <w:rFonts w:hint="eastAsia" w:eastAsia="宋体" w:cs="宋体"/>
          <w:b/>
          <w:bCs/>
          <w:color w:val="auto"/>
          <w:highlight w:val="none"/>
          <w:shd w:val="clear" w:color="auto" w:fill="FFFFFF"/>
        </w:rPr>
        <w:t>三、提高政府采购工程面向中小企业预留份额。</w:t>
      </w:r>
      <w:r>
        <w:rPr>
          <w:rFonts w:hint="eastAsia" w:eastAsia="宋体" w:cs="宋体"/>
          <w:color w:val="auto"/>
          <w:highlight w:val="none"/>
          <w:shd w:val="clear" w:color="auto" w:fill="FFFFFF"/>
        </w:rPr>
        <w:t>400万元以下的工程采购项目适宜由中小企业提供的，采购人应当专门面向中小企业采购。超过400万元的工程采购项目中适宜由中小企业提供的，在坚持公开公正、公平竞争原则和统一质量标准的前提下，2022年下半年面向中小企业的预留份额由30%以上阶段性提高至40%以上。发展改革委会同相关工程招投标行政监督部门完善工程招投标领域落实政府采购支持中小企业政策相关措施。省级财政部门要积极协调发展改革、工业和信息化、住房和城乡建设、交通、水利、商务、铁路、民航等部门调整完善工程招投标领域有关标准文本、评标制度等规定和做法，并于2022年6月30日前将落实情况汇总报财政部。</w:t>
      </w:r>
    </w:p>
    <w:p w14:paraId="1253848E">
      <w:pPr>
        <w:pStyle w:val="27"/>
        <w:spacing w:beforeAutospacing="0" w:after="210" w:afterAutospacing="0" w:line="360" w:lineRule="auto"/>
        <w:jc w:val="both"/>
        <w:rPr>
          <w:rFonts w:eastAsia="宋体" w:cs="宋体"/>
          <w:color w:val="auto"/>
          <w:highlight w:val="none"/>
        </w:rPr>
      </w:pPr>
      <w:r>
        <w:rPr>
          <w:rFonts w:hint="eastAsia" w:eastAsia="宋体" w:cs="宋体"/>
          <w:color w:val="auto"/>
          <w:highlight w:val="none"/>
          <w:shd w:val="clear" w:color="auto" w:fill="FFFFFF"/>
        </w:rPr>
        <w:t>　　</w:t>
      </w:r>
      <w:r>
        <w:rPr>
          <w:rFonts w:hint="eastAsia" w:eastAsia="宋体" w:cs="宋体"/>
          <w:b/>
          <w:bCs/>
          <w:color w:val="auto"/>
          <w:highlight w:val="none"/>
          <w:shd w:val="clear" w:color="auto" w:fill="FFFFFF"/>
        </w:rPr>
        <w:t>四、认真做好组织实施。</w:t>
      </w:r>
      <w:r>
        <w:rPr>
          <w:rFonts w:hint="eastAsia" w:eastAsia="宋体" w:cs="宋体"/>
          <w:color w:val="auto"/>
          <w:highlight w:val="none"/>
          <w:shd w:val="clear" w:color="auto" w:fill="FFFFFF"/>
        </w:rPr>
        <w:t>各地区、各部门应当加强组织领导，明确工作责任，细化执行要求，强化监督检查，确保国务院部署落实到位，对通知执行中出现的问题要及时向财政部报告。</w:t>
      </w:r>
    </w:p>
    <w:p w14:paraId="47CC881F">
      <w:pPr>
        <w:pStyle w:val="27"/>
        <w:spacing w:beforeAutospacing="0" w:after="210" w:afterAutospacing="0" w:line="360" w:lineRule="auto"/>
        <w:jc w:val="both"/>
        <w:rPr>
          <w:rFonts w:eastAsia="宋体" w:cs="宋体"/>
          <w:color w:val="auto"/>
          <w:highlight w:val="none"/>
        </w:rPr>
      </w:pPr>
      <w:r>
        <w:rPr>
          <w:rFonts w:hint="eastAsia" w:eastAsia="宋体" w:cs="宋体"/>
          <w:color w:val="auto"/>
          <w:highlight w:val="none"/>
          <w:shd w:val="clear" w:color="auto" w:fill="FFFFFF"/>
        </w:rPr>
        <w:t>　　本通知自2022年7月1日起执行。</w:t>
      </w:r>
    </w:p>
    <w:p w14:paraId="6FCBC221">
      <w:pPr>
        <w:pStyle w:val="27"/>
        <w:spacing w:beforeAutospacing="0" w:after="210" w:afterAutospacing="0" w:line="360" w:lineRule="auto"/>
        <w:jc w:val="right"/>
        <w:rPr>
          <w:rFonts w:eastAsia="宋体" w:cs="宋体"/>
          <w:color w:val="auto"/>
          <w:highlight w:val="none"/>
        </w:rPr>
      </w:pPr>
      <w:r>
        <w:rPr>
          <w:rFonts w:hint="eastAsia" w:eastAsia="宋体" w:cs="宋体"/>
          <w:color w:val="auto"/>
          <w:highlight w:val="none"/>
          <w:shd w:val="clear" w:color="auto" w:fill="FFFFFF"/>
        </w:rPr>
        <w:t>　　财 政 部</w:t>
      </w:r>
    </w:p>
    <w:p w14:paraId="164B8517">
      <w:pPr>
        <w:pStyle w:val="27"/>
        <w:spacing w:beforeAutospacing="0" w:after="210" w:afterAutospacing="0" w:line="360" w:lineRule="auto"/>
        <w:jc w:val="right"/>
        <w:rPr>
          <w:rFonts w:eastAsia="宋体" w:cs="宋体"/>
          <w:color w:val="auto"/>
          <w:highlight w:val="none"/>
          <w:shd w:val="clear" w:color="auto" w:fill="FFFFFF"/>
        </w:rPr>
      </w:pPr>
      <w:r>
        <w:rPr>
          <w:rFonts w:hint="eastAsia" w:eastAsia="宋体" w:cs="宋体"/>
          <w:color w:val="auto"/>
          <w:highlight w:val="none"/>
          <w:shd w:val="clear" w:color="auto" w:fill="FFFFFF"/>
        </w:rPr>
        <w:t>　　2022年5月30日</w:t>
      </w:r>
    </w:p>
    <w:p w14:paraId="514531A1">
      <w:pPr>
        <w:spacing w:line="360" w:lineRule="auto"/>
        <w:rPr>
          <w:rFonts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lang w:eastAsia="zh-CN"/>
        </w:rPr>
        <w:br w:type="page"/>
      </w:r>
    </w:p>
    <w:p w14:paraId="1105DD12">
      <w:pPr>
        <w:spacing w:line="360" w:lineRule="auto"/>
        <w:outlineLvl w:val="0"/>
        <w:rPr>
          <w:rFonts w:ascii="宋体" w:hAnsi="宋体" w:eastAsia="宋体" w:cs="宋体"/>
          <w:color w:val="auto"/>
          <w:spacing w:val="-9"/>
          <w:sz w:val="24"/>
          <w:szCs w:val="24"/>
          <w:highlight w:val="none"/>
          <w:lang w:eastAsia="zh-CN"/>
        </w:rPr>
      </w:pPr>
      <w:bookmarkStart w:id="235" w:name="_Toc11667"/>
      <w:bookmarkStart w:id="236" w:name="_Toc21105"/>
      <w:bookmarkStart w:id="237" w:name="_Toc21087"/>
      <w:bookmarkStart w:id="238" w:name="_Toc223"/>
      <w:r>
        <w:rPr>
          <w:rFonts w:hint="eastAsia" w:ascii="宋体" w:hAnsi="宋体" w:eastAsia="宋体" w:cs="宋体"/>
          <w:color w:val="auto"/>
          <w:spacing w:val="-9"/>
          <w:sz w:val="24"/>
          <w:szCs w:val="24"/>
          <w:highlight w:val="none"/>
          <w:lang w:eastAsia="zh-CN"/>
        </w:rPr>
        <w:t>附件3：关于印发中小企业划型标准规定的通知</w:t>
      </w:r>
      <w:bookmarkEnd w:id="235"/>
      <w:bookmarkEnd w:id="236"/>
      <w:bookmarkEnd w:id="237"/>
      <w:bookmarkEnd w:id="238"/>
    </w:p>
    <w:p w14:paraId="39A792FD">
      <w:pPr>
        <w:shd w:val="clear" w:color="auto" w:fill="FFFFFF"/>
        <w:spacing w:beforeAutospacing="1" w:afterAutospacing="1" w:line="360" w:lineRule="auto"/>
        <w:jc w:val="center"/>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shd w:val="clear" w:color="auto" w:fill="FFFFFF"/>
          <w:lang w:eastAsia="zh-CN"/>
        </w:rPr>
        <w:t>关于印发中小企业划型标准规定的通知</w:t>
      </w:r>
    </w:p>
    <w:p w14:paraId="75E6A4B1">
      <w:pPr>
        <w:spacing w:line="360" w:lineRule="auto"/>
        <w:jc w:val="cente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shd w:val="clear" w:color="auto" w:fill="FFFFFF"/>
          <w:lang w:eastAsia="zh-CN"/>
        </w:rPr>
        <w:t>工信部联企业〔2011〕300号</w:t>
      </w:r>
    </w:p>
    <w:p w14:paraId="3C051753">
      <w:pPr>
        <w:pStyle w:val="27"/>
        <w:spacing w:beforeAutospacing="0" w:afterAutospacing="0" w:line="360" w:lineRule="auto"/>
        <w:rPr>
          <w:rFonts w:eastAsia="宋体" w:cs="宋体"/>
          <w:color w:val="auto"/>
          <w:highlight w:val="none"/>
          <w:shd w:val="clear" w:color="auto" w:fill="FFFFFF"/>
        </w:rPr>
      </w:pPr>
      <w:r>
        <w:rPr>
          <w:rFonts w:hint="eastAsia" w:eastAsia="宋体" w:cs="宋体"/>
          <w:color w:val="auto"/>
          <w:highlight w:val="none"/>
          <w:shd w:val="clear" w:color="auto" w:fill="FFFFFF"/>
        </w:rPr>
        <w:t>各省、自治区、直辖市人民政府，国务院各部委、各直属机构及有关单位：</w:t>
      </w:r>
    </w:p>
    <w:p w14:paraId="3E679BF9">
      <w:pPr>
        <w:pStyle w:val="27"/>
        <w:spacing w:beforeAutospacing="0" w:afterAutospacing="0" w:line="360" w:lineRule="auto"/>
        <w:rPr>
          <w:rFonts w:eastAsia="宋体" w:cs="宋体"/>
          <w:color w:val="auto"/>
          <w:highlight w:val="none"/>
        </w:rPr>
      </w:pPr>
      <w:r>
        <w:rPr>
          <w:rFonts w:hint="eastAsia" w:eastAsia="宋体" w:cs="宋体"/>
          <w:color w:val="auto"/>
          <w:highlight w:val="none"/>
          <w:shd w:val="clear" w:color="auto" w:fill="FFFFFF"/>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725EB3C9">
      <w:pPr>
        <w:pStyle w:val="27"/>
        <w:spacing w:beforeAutospacing="0" w:afterAutospacing="0" w:line="360" w:lineRule="auto"/>
        <w:jc w:val="right"/>
        <w:rPr>
          <w:rFonts w:eastAsia="宋体" w:cs="宋体"/>
          <w:color w:val="auto"/>
          <w:highlight w:val="none"/>
          <w:shd w:val="clear" w:color="auto" w:fill="FFFFFF"/>
        </w:rPr>
      </w:pPr>
      <w:r>
        <w:rPr>
          <w:rFonts w:hint="eastAsia" w:eastAsia="宋体" w:cs="宋体"/>
          <w:color w:val="auto"/>
          <w:highlight w:val="none"/>
          <w:shd w:val="clear" w:color="auto" w:fill="FFFFFF"/>
        </w:rPr>
        <w:t>工业和信息化部</w:t>
      </w:r>
    </w:p>
    <w:p w14:paraId="2ECC33A6">
      <w:pPr>
        <w:pStyle w:val="27"/>
        <w:spacing w:beforeAutospacing="0" w:afterAutospacing="0" w:line="360" w:lineRule="auto"/>
        <w:jc w:val="right"/>
        <w:rPr>
          <w:rFonts w:eastAsia="宋体" w:cs="宋体"/>
          <w:color w:val="auto"/>
          <w:highlight w:val="none"/>
          <w:shd w:val="clear" w:color="auto" w:fill="FFFFFF"/>
        </w:rPr>
      </w:pPr>
      <w:r>
        <w:rPr>
          <w:rFonts w:hint="eastAsia" w:eastAsia="宋体" w:cs="宋体"/>
          <w:color w:val="auto"/>
          <w:highlight w:val="none"/>
          <w:shd w:val="clear" w:color="auto" w:fill="FFFFFF"/>
        </w:rPr>
        <w:t>国家统计局</w:t>
      </w:r>
    </w:p>
    <w:p w14:paraId="6C7DFA1F">
      <w:pPr>
        <w:pStyle w:val="27"/>
        <w:spacing w:beforeAutospacing="0" w:afterAutospacing="0" w:line="360" w:lineRule="auto"/>
        <w:jc w:val="right"/>
        <w:rPr>
          <w:rFonts w:eastAsia="宋体" w:cs="宋体"/>
          <w:color w:val="auto"/>
          <w:highlight w:val="none"/>
          <w:shd w:val="clear" w:color="auto" w:fill="FFFFFF"/>
        </w:rPr>
      </w:pPr>
      <w:r>
        <w:rPr>
          <w:rFonts w:hint="eastAsia" w:eastAsia="宋体" w:cs="宋体"/>
          <w:color w:val="auto"/>
          <w:highlight w:val="none"/>
          <w:shd w:val="clear" w:color="auto" w:fill="FFFFFF"/>
        </w:rPr>
        <w:t>国家发展和改革委员会</w:t>
      </w:r>
    </w:p>
    <w:p w14:paraId="71D639E3">
      <w:pPr>
        <w:pStyle w:val="27"/>
        <w:spacing w:beforeAutospacing="0" w:afterAutospacing="0" w:line="360" w:lineRule="auto"/>
        <w:jc w:val="right"/>
        <w:rPr>
          <w:rFonts w:eastAsia="宋体" w:cs="宋体"/>
          <w:color w:val="auto"/>
          <w:highlight w:val="none"/>
          <w:shd w:val="clear" w:color="auto" w:fill="FFFFFF"/>
        </w:rPr>
      </w:pPr>
      <w:r>
        <w:rPr>
          <w:rFonts w:hint="eastAsia" w:eastAsia="宋体" w:cs="宋体"/>
          <w:color w:val="auto"/>
          <w:highlight w:val="none"/>
          <w:shd w:val="clear" w:color="auto" w:fill="FFFFFF"/>
        </w:rPr>
        <w:t>财政部</w:t>
      </w:r>
    </w:p>
    <w:p w14:paraId="50FF6C65">
      <w:pPr>
        <w:pStyle w:val="27"/>
        <w:spacing w:beforeAutospacing="0" w:afterAutospacing="0" w:line="360" w:lineRule="auto"/>
        <w:jc w:val="right"/>
        <w:rPr>
          <w:rFonts w:eastAsia="宋体" w:cs="宋体"/>
          <w:color w:val="auto"/>
          <w:highlight w:val="none"/>
        </w:rPr>
      </w:pPr>
      <w:r>
        <w:rPr>
          <w:rFonts w:hint="eastAsia" w:eastAsia="宋体" w:cs="宋体"/>
          <w:color w:val="auto"/>
          <w:highlight w:val="none"/>
          <w:shd w:val="clear" w:color="auto" w:fill="FFFFFF"/>
        </w:rPr>
        <w:t>二○一一年六月十八日</w:t>
      </w:r>
    </w:p>
    <w:p w14:paraId="77A58EB1">
      <w:pPr>
        <w:pStyle w:val="27"/>
        <w:spacing w:beforeAutospacing="0" w:afterAutospacing="0" w:line="360" w:lineRule="auto"/>
        <w:jc w:val="center"/>
        <w:rPr>
          <w:rFonts w:eastAsia="宋体" w:cs="宋体"/>
          <w:color w:val="auto"/>
          <w:highlight w:val="none"/>
        </w:rPr>
      </w:pPr>
      <w:r>
        <w:rPr>
          <w:rStyle w:val="33"/>
          <w:rFonts w:hint="eastAsia" w:eastAsia="宋体" w:cs="宋体"/>
          <w:color w:val="auto"/>
          <w:highlight w:val="none"/>
          <w:shd w:val="clear" w:color="auto" w:fill="FFFFFF"/>
        </w:rPr>
        <w:t>中小企业划型标准规定</w:t>
      </w:r>
    </w:p>
    <w:p w14:paraId="49936E9E">
      <w:pPr>
        <w:pStyle w:val="27"/>
        <w:spacing w:beforeAutospacing="0" w:afterAutospacing="0" w:line="360" w:lineRule="auto"/>
        <w:rPr>
          <w:rFonts w:eastAsia="宋体" w:cs="宋体"/>
          <w:color w:val="auto"/>
          <w:highlight w:val="none"/>
          <w:shd w:val="clear" w:color="auto" w:fill="FFFFFF"/>
        </w:rPr>
      </w:pPr>
      <w:r>
        <w:rPr>
          <w:rFonts w:hint="eastAsia" w:eastAsia="宋体" w:cs="宋体"/>
          <w:color w:val="auto"/>
          <w:highlight w:val="none"/>
          <w:shd w:val="clear" w:color="auto" w:fill="FFFFFF"/>
        </w:rPr>
        <w:t>　　一、根据《中华人民共和国中小企业促进法》和《国务院关于进一步促进中小企业发展的若干意见》(国发〔2009〕36号)，制定本规定。</w:t>
      </w:r>
    </w:p>
    <w:p w14:paraId="23747F4F">
      <w:pPr>
        <w:pStyle w:val="27"/>
        <w:spacing w:beforeAutospacing="0" w:afterAutospacing="0" w:line="360" w:lineRule="auto"/>
        <w:rPr>
          <w:rFonts w:eastAsia="宋体" w:cs="宋体"/>
          <w:color w:val="auto"/>
          <w:highlight w:val="none"/>
          <w:shd w:val="clear" w:color="auto" w:fill="FFFFFF"/>
        </w:rPr>
      </w:pPr>
      <w:r>
        <w:rPr>
          <w:rFonts w:hint="eastAsia" w:eastAsia="宋体" w:cs="宋体"/>
          <w:color w:val="auto"/>
          <w:highlight w:val="none"/>
          <w:shd w:val="clear" w:color="auto" w:fill="FFFFFF"/>
        </w:rPr>
        <w:t>　　二、中小企业划分为中型、小型、微型三种类型，具体标准根据企业从业人员、营业收入、资产总额等指标，结合行业特点制定。</w:t>
      </w:r>
    </w:p>
    <w:p w14:paraId="44B028F1">
      <w:pPr>
        <w:pStyle w:val="27"/>
        <w:spacing w:beforeAutospacing="0" w:afterAutospacing="0" w:line="360" w:lineRule="auto"/>
        <w:rPr>
          <w:rFonts w:eastAsia="宋体" w:cs="宋体"/>
          <w:color w:val="auto"/>
          <w:highlight w:val="none"/>
          <w:shd w:val="clear" w:color="auto" w:fill="FFFFFF"/>
        </w:rPr>
      </w:pPr>
      <w:r>
        <w:rPr>
          <w:rFonts w:hint="eastAsia" w:eastAsia="宋体" w:cs="宋体"/>
          <w:color w:val="auto"/>
          <w:highlight w:val="none"/>
          <w:shd w:val="clear" w:color="auto" w:fill="FFFFFF"/>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44B8BD8F">
      <w:pPr>
        <w:pStyle w:val="27"/>
        <w:spacing w:beforeAutospacing="0" w:afterAutospacing="0" w:line="360" w:lineRule="auto"/>
        <w:rPr>
          <w:rFonts w:eastAsia="宋体" w:cs="宋体"/>
          <w:color w:val="auto"/>
          <w:highlight w:val="none"/>
          <w:shd w:val="clear" w:color="auto" w:fill="FFFFFF"/>
        </w:rPr>
      </w:pPr>
      <w:r>
        <w:rPr>
          <w:rFonts w:hint="eastAsia" w:eastAsia="宋体" w:cs="宋体"/>
          <w:color w:val="auto"/>
          <w:highlight w:val="none"/>
          <w:shd w:val="clear" w:color="auto" w:fill="FFFFFF"/>
        </w:rPr>
        <w:t>　　四、各行业划型标准为：</w:t>
      </w:r>
    </w:p>
    <w:p w14:paraId="4C679ECA">
      <w:pPr>
        <w:pStyle w:val="27"/>
        <w:spacing w:beforeAutospacing="0" w:afterAutospacing="0" w:line="360" w:lineRule="auto"/>
        <w:rPr>
          <w:rFonts w:eastAsia="宋体" w:cs="宋体"/>
          <w:color w:val="auto"/>
          <w:highlight w:val="none"/>
          <w:shd w:val="clear" w:color="auto" w:fill="FFFFFF"/>
        </w:rPr>
      </w:pPr>
      <w:r>
        <w:rPr>
          <w:rFonts w:hint="eastAsia" w:eastAsia="宋体" w:cs="宋体"/>
          <w:color w:val="auto"/>
          <w:highlight w:val="none"/>
          <w:shd w:val="clear" w:color="auto" w:fill="FFFFFF"/>
        </w:rPr>
        <w:t>　　（一）农、林、牧、渔业。营业收入20000万元以下的为中小微型企业。其中，营业收入500万元及以上的为中型企业，营业收入50万元及以上的为小型企业，营业收入50万元以下的为微型企业。</w:t>
      </w:r>
    </w:p>
    <w:p w14:paraId="34140843">
      <w:pPr>
        <w:pStyle w:val="27"/>
        <w:spacing w:beforeAutospacing="0" w:afterAutospacing="0" w:line="360" w:lineRule="auto"/>
        <w:rPr>
          <w:rFonts w:eastAsia="宋体" w:cs="宋体"/>
          <w:color w:val="auto"/>
          <w:highlight w:val="none"/>
          <w:shd w:val="clear" w:color="auto" w:fill="FFFFFF"/>
        </w:rPr>
      </w:pPr>
      <w:r>
        <w:rPr>
          <w:rFonts w:hint="eastAsia" w:eastAsia="宋体" w:cs="宋体"/>
          <w:color w:val="auto"/>
          <w:highlight w:val="none"/>
          <w:shd w:val="clear" w:color="auto" w:fill="FFFFFF"/>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19101AE">
      <w:pPr>
        <w:pStyle w:val="27"/>
        <w:spacing w:beforeAutospacing="0" w:afterAutospacing="0" w:line="360" w:lineRule="auto"/>
        <w:rPr>
          <w:rFonts w:eastAsia="宋体" w:cs="宋体"/>
          <w:color w:val="auto"/>
          <w:highlight w:val="none"/>
          <w:shd w:val="clear" w:color="auto" w:fill="FFFFFF"/>
        </w:rPr>
      </w:pPr>
      <w:r>
        <w:rPr>
          <w:rFonts w:hint="eastAsia" w:eastAsia="宋体" w:cs="宋体"/>
          <w:color w:val="auto"/>
          <w:highlight w:val="none"/>
          <w:shd w:val="clear" w:color="auto" w:fill="FFFFFF"/>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E6FA90C">
      <w:pPr>
        <w:pStyle w:val="27"/>
        <w:spacing w:beforeAutospacing="0" w:afterAutospacing="0" w:line="360" w:lineRule="auto"/>
        <w:rPr>
          <w:rFonts w:eastAsia="宋体" w:cs="宋体"/>
          <w:color w:val="auto"/>
          <w:highlight w:val="none"/>
          <w:shd w:val="clear" w:color="auto" w:fill="FFFFFF"/>
        </w:rPr>
      </w:pPr>
      <w:r>
        <w:rPr>
          <w:rFonts w:hint="eastAsia" w:eastAsia="宋体" w:cs="宋体"/>
          <w:color w:val="auto"/>
          <w:highlight w:val="none"/>
          <w:shd w:val="clear" w:color="auto" w:fill="FFFFFF"/>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315E7272">
      <w:pPr>
        <w:pStyle w:val="27"/>
        <w:spacing w:beforeAutospacing="0" w:afterAutospacing="0" w:line="360" w:lineRule="auto"/>
        <w:rPr>
          <w:rFonts w:eastAsia="宋体" w:cs="宋体"/>
          <w:color w:val="auto"/>
          <w:highlight w:val="none"/>
          <w:shd w:val="clear" w:color="auto" w:fill="FFFFFF"/>
        </w:rPr>
      </w:pPr>
      <w:r>
        <w:rPr>
          <w:rFonts w:hint="eastAsia" w:eastAsia="宋体" w:cs="宋体"/>
          <w:color w:val="auto"/>
          <w:highlight w:val="none"/>
          <w:shd w:val="clear" w:color="auto" w:fill="FFFFFF"/>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78F369A">
      <w:pPr>
        <w:pStyle w:val="27"/>
        <w:spacing w:beforeAutospacing="0" w:afterAutospacing="0" w:line="360" w:lineRule="auto"/>
        <w:rPr>
          <w:rFonts w:eastAsia="宋体" w:cs="宋体"/>
          <w:color w:val="auto"/>
          <w:highlight w:val="none"/>
          <w:shd w:val="clear" w:color="auto" w:fill="FFFFFF"/>
        </w:rPr>
      </w:pPr>
      <w:r>
        <w:rPr>
          <w:rFonts w:hint="eastAsia" w:eastAsia="宋体" w:cs="宋体"/>
          <w:color w:val="auto"/>
          <w:highlight w:val="none"/>
          <w:shd w:val="clear" w:color="auto" w:fill="FFFFFF"/>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EB312CB">
      <w:pPr>
        <w:pStyle w:val="27"/>
        <w:spacing w:beforeAutospacing="0" w:afterAutospacing="0" w:line="360" w:lineRule="auto"/>
        <w:rPr>
          <w:rFonts w:eastAsia="宋体" w:cs="宋体"/>
          <w:color w:val="auto"/>
          <w:highlight w:val="none"/>
          <w:shd w:val="clear" w:color="auto" w:fill="FFFFFF"/>
        </w:rPr>
      </w:pPr>
      <w:r>
        <w:rPr>
          <w:rFonts w:hint="eastAsia" w:eastAsia="宋体" w:cs="宋体"/>
          <w:color w:val="auto"/>
          <w:highlight w:val="none"/>
          <w:shd w:val="clear" w:color="auto" w:fill="FFFFFF"/>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270548B">
      <w:pPr>
        <w:pStyle w:val="27"/>
        <w:spacing w:beforeAutospacing="0" w:afterAutospacing="0" w:line="360" w:lineRule="auto"/>
        <w:rPr>
          <w:rFonts w:eastAsia="宋体" w:cs="宋体"/>
          <w:color w:val="auto"/>
          <w:highlight w:val="none"/>
          <w:shd w:val="clear" w:color="auto" w:fill="FFFFFF"/>
        </w:rPr>
      </w:pPr>
      <w:r>
        <w:rPr>
          <w:rFonts w:hint="eastAsia" w:eastAsia="宋体" w:cs="宋体"/>
          <w:color w:val="auto"/>
          <w:highlight w:val="none"/>
          <w:shd w:val="clear" w:color="auto" w:fill="FFFFFF"/>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23B946F9">
      <w:pPr>
        <w:pStyle w:val="27"/>
        <w:spacing w:beforeAutospacing="0" w:afterAutospacing="0" w:line="360" w:lineRule="auto"/>
        <w:rPr>
          <w:rFonts w:eastAsia="宋体" w:cs="宋体"/>
          <w:color w:val="auto"/>
          <w:highlight w:val="none"/>
          <w:shd w:val="clear" w:color="auto" w:fill="FFFFFF"/>
        </w:rPr>
      </w:pPr>
      <w:r>
        <w:rPr>
          <w:rFonts w:hint="eastAsia" w:eastAsia="宋体" w:cs="宋体"/>
          <w:color w:val="auto"/>
          <w:highlight w:val="none"/>
          <w:shd w:val="clear" w:color="auto" w:fill="FFFFFF"/>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F0E06BB">
      <w:pPr>
        <w:pStyle w:val="27"/>
        <w:spacing w:beforeAutospacing="0" w:afterAutospacing="0" w:line="360" w:lineRule="auto"/>
        <w:rPr>
          <w:rFonts w:eastAsia="宋体" w:cs="宋体"/>
          <w:color w:val="auto"/>
          <w:highlight w:val="none"/>
          <w:shd w:val="clear" w:color="auto" w:fill="FFFFFF"/>
        </w:rPr>
      </w:pPr>
      <w:r>
        <w:rPr>
          <w:rFonts w:hint="eastAsia" w:eastAsia="宋体" w:cs="宋体"/>
          <w:color w:val="auto"/>
          <w:highlight w:val="none"/>
          <w:shd w:val="clear" w:color="auto" w:fill="FFFFFF"/>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E02BA25">
      <w:pPr>
        <w:pStyle w:val="27"/>
        <w:spacing w:beforeAutospacing="0" w:afterAutospacing="0" w:line="360" w:lineRule="auto"/>
        <w:rPr>
          <w:rFonts w:eastAsia="宋体" w:cs="宋体"/>
          <w:color w:val="auto"/>
          <w:highlight w:val="none"/>
          <w:shd w:val="clear" w:color="auto" w:fill="FFFFFF"/>
        </w:rPr>
      </w:pPr>
      <w:r>
        <w:rPr>
          <w:rFonts w:hint="eastAsia" w:eastAsia="宋体" w:cs="宋体"/>
          <w:color w:val="auto"/>
          <w:highlight w:val="none"/>
          <w:shd w:val="clear" w:color="auto" w:fill="FFFFFF"/>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AC973E5">
      <w:pPr>
        <w:pStyle w:val="27"/>
        <w:spacing w:beforeAutospacing="0" w:afterAutospacing="0" w:line="360" w:lineRule="auto"/>
        <w:rPr>
          <w:rFonts w:eastAsia="宋体" w:cs="宋体"/>
          <w:color w:val="auto"/>
          <w:highlight w:val="none"/>
          <w:shd w:val="clear" w:color="auto" w:fill="FFFFFF"/>
        </w:rPr>
      </w:pPr>
      <w:r>
        <w:rPr>
          <w:rFonts w:hint="eastAsia" w:eastAsia="宋体" w:cs="宋体"/>
          <w:color w:val="auto"/>
          <w:highlight w:val="none"/>
          <w:shd w:val="clear" w:color="auto" w:fill="FFFFFF"/>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A8A282A">
      <w:pPr>
        <w:pStyle w:val="27"/>
        <w:spacing w:beforeAutospacing="0" w:afterAutospacing="0" w:line="360" w:lineRule="auto"/>
        <w:rPr>
          <w:rFonts w:eastAsia="宋体" w:cs="宋体"/>
          <w:color w:val="auto"/>
          <w:highlight w:val="none"/>
          <w:shd w:val="clear" w:color="auto" w:fill="FFFFFF"/>
        </w:rPr>
      </w:pPr>
      <w:r>
        <w:rPr>
          <w:rFonts w:hint="eastAsia" w:eastAsia="宋体" w:cs="宋体"/>
          <w:color w:val="auto"/>
          <w:highlight w:val="none"/>
          <w:shd w:val="clear" w:color="auto" w:fill="FFFFFF"/>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2BD1B718">
      <w:pPr>
        <w:pStyle w:val="27"/>
        <w:spacing w:beforeAutospacing="0" w:afterAutospacing="0" w:line="360" w:lineRule="auto"/>
        <w:rPr>
          <w:rFonts w:eastAsia="宋体" w:cs="宋体"/>
          <w:color w:val="auto"/>
          <w:highlight w:val="none"/>
          <w:shd w:val="clear" w:color="auto" w:fill="FFFFFF"/>
        </w:rPr>
      </w:pPr>
      <w:r>
        <w:rPr>
          <w:rFonts w:hint="eastAsia" w:eastAsia="宋体" w:cs="宋体"/>
          <w:color w:val="auto"/>
          <w:highlight w:val="none"/>
          <w:shd w:val="clear" w:color="auto" w:fill="FFFFFF"/>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2BAC5C1">
      <w:pPr>
        <w:pStyle w:val="27"/>
        <w:spacing w:beforeAutospacing="0" w:afterAutospacing="0" w:line="360" w:lineRule="auto"/>
        <w:rPr>
          <w:rFonts w:eastAsia="宋体" w:cs="宋体"/>
          <w:color w:val="auto"/>
          <w:highlight w:val="none"/>
          <w:shd w:val="clear" w:color="auto" w:fill="FFFFFF"/>
        </w:rPr>
      </w:pPr>
      <w:r>
        <w:rPr>
          <w:rFonts w:hint="eastAsia" w:eastAsia="宋体" w:cs="宋体"/>
          <w:color w:val="auto"/>
          <w:highlight w:val="none"/>
          <w:shd w:val="clear" w:color="auto" w:fill="FFFFFF"/>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A53A8CC">
      <w:pPr>
        <w:pStyle w:val="27"/>
        <w:spacing w:beforeAutospacing="0" w:afterAutospacing="0" w:line="360" w:lineRule="auto"/>
        <w:rPr>
          <w:rFonts w:eastAsia="宋体" w:cs="宋体"/>
          <w:color w:val="auto"/>
          <w:highlight w:val="none"/>
          <w:shd w:val="clear" w:color="auto" w:fill="FFFFFF"/>
        </w:rPr>
      </w:pPr>
      <w:r>
        <w:rPr>
          <w:rFonts w:hint="eastAsia" w:eastAsia="宋体" w:cs="宋体"/>
          <w:color w:val="auto"/>
          <w:highlight w:val="none"/>
          <w:shd w:val="clear" w:color="auto" w:fill="FFFFFF"/>
        </w:rPr>
        <w:t>　　（十六）其他未列明行业。从业人员300人以下的为中小微型企业。其中，从业人员100人及以上的为中型企业；从业人员10人及以上的为小型企业；从业人员10人以下的为微型企业。</w:t>
      </w:r>
    </w:p>
    <w:p w14:paraId="6CE96F76">
      <w:pPr>
        <w:pStyle w:val="27"/>
        <w:spacing w:beforeAutospacing="0" w:afterAutospacing="0" w:line="360" w:lineRule="auto"/>
        <w:rPr>
          <w:rFonts w:eastAsia="宋体" w:cs="宋体"/>
          <w:color w:val="auto"/>
          <w:highlight w:val="none"/>
          <w:shd w:val="clear" w:color="auto" w:fill="FFFFFF"/>
        </w:rPr>
      </w:pPr>
      <w:r>
        <w:rPr>
          <w:rFonts w:hint="eastAsia" w:eastAsia="宋体" w:cs="宋体"/>
          <w:color w:val="auto"/>
          <w:highlight w:val="none"/>
          <w:shd w:val="clear" w:color="auto" w:fill="FFFFFF"/>
        </w:rPr>
        <w:t>　　五、企业类型的划分以统计部门的统计数据为依据。</w:t>
      </w:r>
    </w:p>
    <w:p w14:paraId="297EAD43">
      <w:pPr>
        <w:pStyle w:val="27"/>
        <w:spacing w:beforeAutospacing="0" w:afterAutospacing="0" w:line="360" w:lineRule="auto"/>
        <w:rPr>
          <w:rFonts w:eastAsia="宋体" w:cs="宋体"/>
          <w:color w:val="auto"/>
          <w:highlight w:val="none"/>
          <w:shd w:val="clear" w:color="auto" w:fill="FFFFFF"/>
        </w:rPr>
      </w:pPr>
      <w:r>
        <w:rPr>
          <w:rFonts w:hint="eastAsia" w:eastAsia="宋体" w:cs="宋体"/>
          <w:color w:val="auto"/>
          <w:highlight w:val="none"/>
          <w:shd w:val="clear" w:color="auto" w:fill="FFFFFF"/>
        </w:rPr>
        <w:t>　　六、本规定适用于在中华人民共和国境内依法设立的各类所有制和各种组织形式的企业。个体工商户和本规定以外的行业，参照本规定进行划型。</w:t>
      </w:r>
    </w:p>
    <w:p w14:paraId="0A653687">
      <w:pPr>
        <w:pStyle w:val="27"/>
        <w:spacing w:beforeAutospacing="0" w:afterAutospacing="0" w:line="360" w:lineRule="auto"/>
        <w:rPr>
          <w:rFonts w:eastAsia="宋体" w:cs="宋体"/>
          <w:color w:val="auto"/>
          <w:highlight w:val="none"/>
          <w:shd w:val="clear" w:color="auto" w:fill="FFFFFF"/>
        </w:rPr>
      </w:pPr>
      <w:r>
        <w:rPr>
          <w:rFonts w:hint="eastAsia" w:eastAsia="宋体" w:cs="宋体"/>
          <w:color w:val="auto"/>
          <w:highlight w:val="none"/>
          <w:shd w:val="clear" w:color="auto" w:fill="FFFFFF"/>
        </w:rPr>
        <w:t>　　七、本规定的中型企业标准上限即为大型企业标准的下限，国家统计部门据此制定大中小微型企业的统计分类。国务院有关部门据此进行相关数据分析，不得制定与本规定不一致的企业划型标准。</w:t>
      </w:r>
    </w:p>
    <w:p w14:paraId="757A123F">
      <w:pPr>
        <w:pStyle w:val="27"/>
        <w:spacing w:beforeAutospacing="0" w:afterAutospacing="0" w:line="360" w:lineRule="auto"/>
        <w:rPr>
          <w:rFonts w:eastAsia="宋体" w:cs="宋体"/>
          <w:color w:val="auto"/>
          <w:highlight w:val="none"/>
          <w:shd w:val="clear" w:color="auto" w:fill="FFFFFF"/>
        </w:rPr>
      </w:pPr>
      <w:r>
        <w:rPr>
          <w:rFonts w:hint="eastAsia" w:eastAsia="宋体" w:cs="宋体"/>
          <w:color w:val="auto"/>
          <w:highlight w:val="none"/>
          <w:shd w:val="clear" w:color="auto" w:fill="FFFFFF"/>
        </w:rPr>
        <w:t>　　八、本规定由工业和信息化部、国家统计局会同有关部门根据《国民经济行业分类》修订情况和企业发展变化情况适时修订。</w:t>
      </w:r>
    </w:p>
    <w:p w14:paraId="6A015BF2">
      <w:pPr>
        <w:pStyle w:val="27"/>
        <w:spacing w:beforeAutospacing="0" w:afterAutospacing="0" w:line="360" w:lineRule="auto"/>
        <w:rPr>
          <w:rFonts w:eastAsia="宋体" w:cs="宋体"/>
          <w:color w:val="auto"/>
          <w:highlight w:val="none"/>
          <w:shd w:val="clear" w:color="auto" w:fill="FFFFFF"/>
        </w:rPr>
      </w:pPr>
      <w:r>
        <w:rPr>
          <w:rFonts w:hint="eastAsia" w:eastAsia="宋体" w:cs="宋体"/>
          <w:color w:val="auto"/>
          <w:highlight w:val="none"/>
          <w:shd w:val="clear" w:color="auto" w:fill="FFFFFF"/>
        </w:rPr>
        <w:t>　　九、本规定由工业和信息化部、国家统计局会同有关部门负责解释。</w:t>
      </w:r>
    </w:p>
    <w:p w14:paraId="1826E993">
      <w:pPr>
        <w:pStyle w:val="27"/>
        <w:spacing w:beforeAutospacing="0" w:afterAutospacing="0" w:line="360" w:lineRule="auto"/>
        <w:rPr>
          <w:rFonts w:eastAsia="宋体" w:cs="宋体"/>
          <w:color w:val="auto"/>
          <w:highlight w:val="none"/>
        </w:rPr>
      </w:pPr>
      <w:r>
        <w:rPr>
          <w:rFonts w:hint="eastAsia" w:eastAsia="宋体" w:cs="宋体"/>
          <w:color w:val="auto"/>
          <w:highlight w:val="none"/>
          <w:shd w:val="clear" w:color="auto" w:fill="FFFFFF"/>
        </w:rPr>
        <w:t>　　十、本规定自发布之日起执行，原国家经贸委、原国家计委、财政部和国家统计局2003年颁布的《中小企业标准暂行规定》同时废止。</w:t>
      </w:r>
    </w:p>
    <w:p w14:paraId="5CAEE545">
      <w:pPr>
        <w:pStyle w:val="44"/>
        <w:keepNext w:val="0"/>
        <w:keepLines w:val="0"/>
        <w:pageBreakBefore w:val="0"/>
        <w:kinsoku/>
        <w:wordWrap/>
        <w:overflowPunct/>
        <w:topLinePunct w:val="0"/>
        <w:autoSpaceDE/>
        <w:autoSpaceDN/>
        <w:bidi w:val="0"/>
        <w:adjustRightInd w:val="0"/>
        <w:snapToGrid w:val="0"/>
        <w:spacing w:before="0" w:after="0" w:line="360" w:lineRule="auto"/>
        <w:ind w:firstLine="520" w:firstLineChars="200"/>
        <w:textAlignment w:val="auto"/>
        <w:rPr>
          <w:rFonts w:hint="eastAsia" w:ascii="宋体" w:hAnsi="宋体" w:eastAsia="宋体" w:cs="宋体"/>
          <w:sz w:val="24"/>
          <w:highlight w:val="none"/>
        </w:rPr>
      </w:pPr>
    </w:p>
    <w:sectPr>
      <w:footerReference r:id="rId8" w:type="default"/>
      <w:pgSz w:w="11906" w:h="16838"/>
      <w:pgMar w:top="1417" w:right="1417" w:bottom="1417"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EA0FDD5C-B6DB-44B1-A71D-9F0D77D2D113}"/>
  </w:font>
  <w:font w:name="仿宋">
    <w:panose1 w:val="02010609060101010101"/>
    <w:charset w:val="86"/>
    <w:family w:val="modern"/>
    <w:pitch w:val="default"/>
    <w:sig w:usb0="800002BF" w:usb1="38CF7CFA" w:usb2="00000016" w:usb3="00000000" w:csb0="00040001" w:csb1="00000000"/>
    <w:embedRegular r:id="rId2" w:fontKey="{BAC8D926-470A-4A77-84F4-C3F4835A88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embedRegular r:id="rId3" w:fontKey="{7A908442-BC08-4DFB-BC0F-75A4827E173D}"/>
  </w:font>
  <w:font w:name="WPSEMBED20">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30769">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13DF3">
    <w:pPr>
      <w:pStyle w:val="19"/>
      <w:jc w:val="cente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2709DC">
                          <w:pPr>
                            <w:pStyle w:val="19"/>
                          </w:pPr>
                          <w:r>
                            <w:fldChar w:fldCharType="begin"/>
                          </w:r>
                          <w:r>
                            <w:instrText xml:space="preserve"> PAGE  \* MERGEFORMAT </w:instrText>
                          </w:r>
                          <w:r>
                            <w:fldChar w:fldCharType="separate"/>
                          </w:r>
                          <w:r>
                            <w:t>86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512709DC">
                    <w:pPr>
                      <w:pStyle w:val="19"/>
                    </w:pPr>
                    <w:r>
                      <w:fldChar w:fldCharType="begin"/>
                    </w:r>
                    <w:r>
                      <w:instrText xml:space="preserve"> PAGE  \* MERGEFORMAT </w:instrText>
                    </w:r>
                    <w:r>
                      <w:fldChar w:fldCharType="separate"/>
                    </w:r>
                    <w:r>
                      <w:t>86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B1820">
    <w:pPr>
      <w:spacing w:line="171" w:lineRule="auto"/>
      <w:ind w:left="4559"/>
      <w:rPr>
        <w:rFonts w:ascii="宋体" w:hAnsi="宋体" w:eastAsia="宋体" w:cs="宋体"/>
        <w:sz w:val="18"/>
        <w:szCs w:val="18"/>
      </w:rPr>
    </w:pPr>
    <w:r>
      <w:rPr>
        <w:sz w:val="18"/>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2061A6">
                          <w:pPr>
                            <w:pStyle w:val="19"/>
                          </w:pPr>
                          <w:r>
                            <w:fldChar w:fldCharType="begin"/>
                          </w:r>
                          <w:r>
                            <w:instrText xml:space="preserve"> PAGE  \* MERGEFORMAT </w:instrText>
                          </w:r>
                          <w:r>
                            <w:fldChar w:fldCharType="separate"/>
                          </w:r>
                          <w:r>
                            <w:t>104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0D2061A6">
                    <w:pPr>
                      <w:pStyle w:val="19"/>
                    </w:pPr>
                    <w:r>
                      <w:fldChar w:fldCharType="begin"/>
                    </w:r>
                    <w:r>
                      <w:instrText xml:space="preserve"> PAGE  \* MERGEFORMAT </w:instrText>
                    </w:r>
                    <w:r>
                      <w:fldChar w:fldCharType="separate"/>
                    </w:r>
                    <w:r>
                      <w:t>104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766AB">
    <w:pPr>
      <w:pStyle w:val="19"/>
      <w:ind w:right="360"/>
      <w:jc w:val="right"/>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389EB9">
                          <w:pPr>
                            <w:pStyle w:val="19"/>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9389EB9">
                    <w:pPr>
                      <w:pStyle w:val="19"/>
                    </w:pPr>
                    <w:r>
                      <w:fldChar w:fldCharType="begin"/>
                    </w:r>
                    <w:r>
                      <w:instrText xml:space="preserve"> PAGE  \* MERGEFORMAT </w:instrText>
                    </w:r>
                    <w:r>
                      <w:fldChar w:fldCharType="separate"/>
                    </w:r>
                    <w:r>
                      <w:t>56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7CCD5">
    <w:pPr>
      <w:pStyle w:val="20"/>
      <w:pBdr>
        <w:bottom w:val="threeDEngrave" w:color="auto" w:sz="18" w:space="1"/>
      </w:pBdr>
      <w:rPr>
        <w:rFonts w:hint="default" w:eastAsiaTheme="minorEastAsia"/>
        <w:lang w:val="en-US" w:eastAsia="zh-CN"/>
      </w:rPr>
    </w:pPr>
    <w:r>
      <w:rPr>
        <w:rFonts w:hint="eastAsia" w:ascii="宋体" w:hAnsi="宋体" w:eastAsia="宋体" w:cs="宋体"/>
        <w:sz w:val="21"/>
        <w:lang w:eastAsia="zh-CN"/>
      </w:rPr>
      <w:drawing>
        <wp:anchor distT="0" distB="0" distL="114300" distR="114300" simplePos="0" relativeHeight="251661312" behindDoc="0" locked="0" layoutInCell="1" allowOverlap="1">
          <wp:simplePos x="0" y="0"/>
          <wp:positionH relativeFrom="column">
            <wp:posOffset>27305</wp:posOffset>
          </wp:positionH>
          <wp:positionV relativeFrom="paragraph">
            <wp:posOffset>-140970</wp:posOffset>
          </wp:positionV>
          <wp:extent cx="339725" cy="344170"/>
          <wp:effectExtent l="0" t="0" r="3175" b="17780"/>
          <wp:wrapNone/>
          <wp:docPr id="5" name="图片 5" descr="C:\Users\Administrator\Desktop\图片1.png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图片1.png图片1"/>
                  <pic:cNvPicPr>
                    <a:picLocks noChangeAspect="1"/>
                  </pic:cNvPicPr>
                </pic:nvPicPr>
                <pic:blipFill>
                  <a:blip r:embed="rId1"/>
                  <a:srcRect l="24911" t="11437" r="25348" b="35924"/>
                  <a:stretch>
                    <a:fillRect/>
                  </a:stretch>
                </pic:blipFill>
                <pic:spPr>
                  <a:xfrm>
                    <a:off x="0" y="0"/>
                    <a:ext cx="339725" cy="344170"/>
                  </a:xfrm>
                  <a:prstGeom prst="rect">
                    <a:avLst/>
                  </a:prstGeom>
                </pic:spPr>
              </pic:pic>
            </a:graphicData>
          </a:graphic>
        </wp:anchor>
      </w:drawing>
    </w:r>
    <w:r>
      <w:rPr>
        <w:rFonts w:hint="eastAsia"/>
      </w:rPr>
      <w:t xml:space="preserve">                                             </w:t>
    </w:r>
    <w:r>
      <w:rPr>
        <w:rFonts w:hint="eastAsia"/>
        <w:lang w:val="en-US" w:eastAsia="zh-CN"/>
      </w:rPr>
      <w:t xml:space="preserve">               </w:t>
    </w:r>
    <w:r>
      <w:rPr>
        <w:rFonts w:hint="eastAsia"/>
        <w:b/>
        <w:bCs/>
        <w:sz w:val="24"/>
        <w:lang w:val="en-US" w:eastAsia="zh-CN"/>
      </w:rPr>
      <w:t>新疆新建联项目管理咨询有限公司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6B5D8">
    <w:pPr>
      <w:pStyle w:val="13"/>
      <w:spacing w:line="14" w:lineRule="auto"/>
      <w:rPr>
        <w:sz w:val="2"/>
      </w:rPr>
    </w:pPr>
  </w:p>
  <w:p w14:paraId="5D3EF372">
    <w:pPr>
      <w:pStyle w:val="20"/>
      <w:pBdr>
        <w:bottom w:val="threeDEngrave" w:color="auto" w:sz="18" w:space="1"/>
      </w:pBdr>
      <w:rPr>
        <w:rFonts w:hint="default" w:eastAsiaTheme="minorEastAsia"/>
        <w:lang w:val="en-US" w:eastAsia="zh-CN"/>
      </w:rPr>
    </w:pPr>
    <w:r>
      <w:rPr>
        <w:rFonts w:hint="eastAsia" w:ascii="宋体" w:hAnsi="宋体" w:eastAsia="宋体" w:cs="宋体"/>
        <w:sz w:val="21"/>
        <w:lang w:eastAsia="zh-CN"/>
      </w:rPr>
      <w:drawing>
        <wp:anchor distT="0" distB="0" distL="114300" distR="114300" simplePos="0" relativeHeight="251663360" behindDoc="0" locked="0" layoutInCell="1" allowOverlap="1">
          <wp:simplePos x="0" y="0"/>
          <wp:positionH relativeFrom="column">
            <wp:posOffset>27305</wp:posOffset>
          </wp:positionH>
          <wp:positionV relativeFrom="paragraph">
            <wp:posOffset>-140970</wp:posOffset>
          </wp:positionV>
          <wp:extent cx="339725" cy="344170"/>
          <wp:effectExtent l="0" t="0" r="3175" b="17780"/>
          <wp:wrapNone/>
          <wp:docPr id="2" name="图片 2" descr="C:\Users\Administrator\Desktop\图片1.png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图片1.png图片1"/>
                  <pic:cNvPicPr>
                    <a:picLocks noChangeAspect="1"/>
                  </pic:cNvPicPr>
                </pic:nvPicPr>
                <pic:blipFill>
                  <a:blip r:embed="rId1"/>
                  <a:srcRect l="24911" t="11437" r="25348" b="35924"/>
                  <a:stretch>
                    <a:fillRect/>
                  </a:stretch>
                </pic:blipFill>
                <pic:spPr>
                  <a:xfrm>
                    <a:off x="0" y="0"/>
                    <a:ext cx="339725" cy="344170"/>
                  </a:xfrm>
                  <a:prstGeom prst="rect">
                    <a:avLst/>
                  </a:prstGeom>
                </pic:spPr>
              </pic:pic>
            </a:graphicData>
          </a:graphic>
        </wp:anchor>
      </w:drawing>
    </w:r>
    <w:r>
      <w:rPr>
        <w:rFonts w:hint="eastAsia"/>
      </w:rPr>
      <w:t xml:space="preserve">                                             </w:t>
    </w:r>
    <w:r>
      <w:rPr>
        <w:rFonts w:hint="eastAsia"/>
        <w:lang w:val="en-US" w:eastAsia="zh-CN"/>
      </w:rPr>
      <w:t xml:space="preserve">             </w:t>
    </w:r>
    <w:r>
      <w:rPr>
        <w:rFonts w:hint="eastAsia"/>
        <w:b/>
        <w:bCs/>
        <w:sz w:val="24"/>
        <w:lang w:val="en-US" w:eastAsia="zh-CN"/>
      </w:rPr>
      <w:t>新疆新建联项目管理咨询有限公司</w:t>
    </w:r>
  </w:p>
  <w:p w14:paraId="7EACFDDD">
    <w:pPr>
      <w:pStyle w:val="1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477D86"/>
    <w:multiLevelType w:val="singleLevel"/>
    <w:tmpl w:val="A1477D86"/>
    <w:lvl w:ilvl="0" w:tentative="0">
      <w:start w:val="1"/>
      <w:numFmt w:val="decimal"/>
      <w:suff w:val="space"/>
      <w:lvlText w:val="(%1)"/>
      <w:lvlJc w:val="left"/>
    </w:lvl>
  </w:abstractNum>
  <w:abstractNum w:abstractNumId="1">
    <w:nsid w:val="FB729EAC"/>
    <w:multiLevelType w:val="singleLevel"/>
    <w:tmpl w:val="FB729EAC"/>
    <w:lvl w:ilvl="0" w:tentative="0">
      <w:start w:val="2"/>
      <w:numFmt w:val="decimal"/>
      <w:lvlText w:val="%1."/>
      <w:lvlJc w:val="left"/>
      <w:pPr>
        <w:tabs>
          <w:tab w:val="left" w:pos="312"/>
        </w:tabs>
      </w:pPr>
    </w:lvl>
  </w:abstractNum>
  <w:abstractNum w:abstractNumId="2">
    <w:nsid w:val="0000000B"/>
    <w:multiLevelType w:val="singleLevel"/>
    <w:tmpl w:val="0000000B"/>
    <w:lvl w:ilvl="0" w:tentative="0">
      <w:start w:val="1"/>
      <w:numFmt w:val="decimal"/>
      <w:suff w:val="nothing"/>
      <w:lvlText w:val="%1、"/>
      <w:lvlJc w:val="left"/>
    </w:lvl>
  </w:abstractNum>
  <w:abstractNum w:abstractNumId="3">
    <w:nsid w:val="0EC97AB4"/>
    <w:multiLevelType w:val="singleLevel"/>
    <w:tmpl w:val="0EC97AB4"/>
    <w:lvl w:ilvl="0" w:tentative="0">
      <w:start w:val="1"/>
      <w:numFmt w:val="decimal"/>
      <w:suff w:val="nothing"/>
      <w:lvlText w:val="（%1）"/>
      <w:lvlJc w:val="left"/>
    </w:lvl>
  </w:abstractNum>
  <w:abstractNum w:abstractNumId="4">
    <w:nsid w:val="365704EB"/>
    <w:multiLevelType w:val="singleLevel"/>
    <w:tmpl w:val="365704EB"/>
    <w:lvl w:ilvl="0" w:tentative="0">
      <w:start w:val="6"/>
      <w:numFmt w:val="chineseCounting"/>
      <w:suff w:val="space"/>
      <w:lvlText w:val="第%1条"/>
      <w:lvlJc w:val="left"/>
      <w:rPr>
        <w:rFonts w:hint="eastAsia"/>
      </w:rPr>
    </w:lvl>
  </w:abstractNum>
  <w:abstractNum w:abstractNumId="5">
    <w:nsid w:val="4390D8CA"/>
    <w:multiLevelType w:val="singleLevel"/>
    <w:tmpl w:val="4390D8CA"/>
    <w:lvl w:ilvl="0" w:tentative="0">
      <w:start w:val="2"/>
      <w:numFmt w:val="chineseCounting"/>
      <w:suff w:val="nothing"/>
      <w:lvlText w:val="（%1）"/>
      <w:lvlJc w:val="left"/>
      <w:rPr>
        <w:rFonts w:hint="eastAsia"/>
      </w:rPr>
    </w:lvl>
  </w:abstractNum>
  <w:num w:numId="1">
    <w:abstractNumId w:val="4"/>
  </w:num>
  <w:num w:numId="2">
    <w:abstractNumId w:val="0"/>
  </w:num>
  <w:num w:numId="3">
    <w:abstractNumId w:val="5"/>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xYmViNzlhN2E4NDhhZTc0MzMxMzdmZDU4ZGZkNWQifQ=="/>
    <w:docVar w:name="KSO_WPS_MARK_KEY" w:val="4632f785-79f5-4bb7-bbcb-f484c6ac28fa"/>
  </w:docVars>
  <w:rsids>
    <w:rsidRoot w:val="00172A27"/>
    <w:rsid w:val="00046C7B"/>
    <w:rsid w:val="00053EF7"/>
    <w:rsid w:val="00080A16"/>
    <w:rsid w:val="000F1186"/>
    <w:rsid w:val="00142E29"/>
    <w:rsid w:val="0017072F"/>
    <w:rsid w:val="001B25B2"/>
    <w:rsid w:val="001C3C29"/>
    <w:rsid w:val="001D0A79"/>
    <w:rsid w:val="001E4A40"/>
    <w:rsid w:val="00216589"/>
    <w:rsid w:val="002630BB"/>
    <w:rsid w:val="002F2458"/>
    <w:rsid w:val="00315154"/>
    <w:rsid w:val="00315182"/>
    <w:rsid w:val="00323E87"/>
    <w:rsid w:val="003250E8"/>
    <w:rsid w:val="003542B4"/>
    <w:rsid w:val="00364E9D"/>
    <w:rsid w:val="00370A8F"/>
    <w:rsid w:val="00370DEC"/>
    <w:rsid w:val="003B643A"/>
    <w:rsid w:val="003C0736"/>
    <w:rsid w:val="003D24DA"/>
    <w:rsid w:val="00405289"/>
    <w:rsid w:val="0043144A"/>
    <w:rsid w:val="0043235A"/>
    <w:rsid w:val="00442127"/>
    <w:rsid w:val="0044648D"/>
    <w:rsid w:val="004C5244"/>
    <w:rsid w:val="004D1797"/>
    <w:rsid w:val="004D43F6"/>
    <w:rsid w:val="00510A28"/>
    <w:rsid w:val="00574E4C"/>
    <w:rsid w:val="0058716D"/>
    <w:rsid w:val="00592A74"/>
    <w:rsid w:val="005A55D1"/>
    <w:rsid w:val="005E5889"/>
    <w:rsid w:val="00676E6F"/>
    <w:rsid w:val="006A18F9"/>
    <w:rsid w:val="006B629D"/>
    <w:rsid w:val="006C506F"/>
    <w:rsid w:val="006E3428"/>
    <w:rsid w:val="006F00C1"/>
    <w:rsid w:val="007C31AE"/>
    <w:rsid w:val="007D135C"/>
    <w:rsid w:val="007D2E43"/>
    <w:rsid w:val="0081729F"/>
    <w:rsid w:val="008314A8"/>
    <w:rsid w:val="00874293"/>
    <w:rsid w:val="00896529"/>
    <w:rsid w:val="008B2F24"/>
    <w:rsid w:val="008F7289"/>
    <w:rsid w:val="0096087A"/>
    <w:rsid w:val="00961A79"/>
    <w:rsid w:val="00986F34"/>
    <w:rsid w:val="009A2B3B"/>
    <w:rsid w:val="009B0B4F"/>
    <w:rsid w:val="009D41E2"/>
    <w:rsid w:val="009D68A4"/>
    <w:rsid w:val="00A30356"/>
    <w:rsid w:val="00A750E9"/>
    <w:rsid w:val="00AC6FB8"/>
    <w:rsid w:val="00AE0781"/>
    <w:rsid w:val="00BB49A7"/>
    <w:rsid w:val="00BC5729"/>
    <w:rsid w:val="00C143C1"/>
    <w:rsid w:val="00C17AA1"/>
    <w:rsid w:val="00C7123D"/>
    <w:rsid w:val="00C84CB9"/>
    <w:rsid w:val="00D45B6C"/>
    <w:rsid w:val="00D61B78"/>
    <w:rsid w:val="00D73097"/>
    <w:rsid w:val="00DD7172"/>
    <w:rsid w:val="00DE05C8"/>
    <w:rsid w:val="00DE1FFA"/>
    <w:rsid w:val="00DF555D"/>
    <w:rsid w:val="00E074F4"/>
    <w:rsid w:val="00E11CFF"/>
    <w:rsid w:val="00E4592E"/>
    <w:rsid w:val="00E56040"/>
    <w:rsid w:val="00E6169F"/>
    <w:rsid w:val="00F129B9"/>
    <w:rsid w:val="00F26E4F"/>
    <w:rsid w:val="00F71F82"/>
    <w:rsid w:val="00FA5A28"/>
    <w:rsid w:val="00FB2AC9"/>
    <w:rsid w:val="00FD77DD"/>
    <w:rsid w:val="014365C7"/>
    <w:rsid w:val="01527EDF"/>
    <w:rsid w:val="015C2B0C"/>
    <w:rsid w:val="01651067"/>
    <w:rsid w:val="016A5229"/>
    <w:rsid w:val="01BB3CD7"/>
    <w:rsid w:val="01F85E37"/>
    <w:rsid w:val="02324720"/>
    <w:rsid w:val="027707EA"/>
    <w:rsid w:val="02A03A18"/>
    <w:rsid w:val="02C95F7F"/>
    <w:rsid w:val="02D54924"/>
    <w:rsid w:val="02EA7C6D"/>
    <w:rsid w:val="030F21E7"/>
    <w:rsid w:val="03175E8B"/>
    <w:rsid w:val="03324ACC"/>
    <w:rsid w:val="035E789D"/>
    <w:rsid w:val="03B67574"/>
    <w:rsid w:val="040C1C15"/>
    <w:rsid w:val="041A178B"/>
    <w:rsid w:val="0421078C"/>
    <w:rsid w:val="043B190D"/>
    <w:rsid w:val="045975B7"/>
    <w:rsid w:val="04AB6E68"/>
    <w:rsid w:val="05015EA4"/>
    <w:rsid w:val="056075D1"/>
    <w:rsid w:val="058C1C12"/>
    <w:rsid w:val="05A66A19"/>
    <w:rsid w:val="05BC001D"/>
    <w:rsid w:val="06170092"/>
    <w:rsid w:val="06643A03"/>
    <w:rsid w:val="06841479"/>
    <w:rsid w:val="06844A3E"/>
    <w:rsid w:val="0696261C"/>
    <w:rsid w:val="069A2461"/>
    <w:rsid w:val="06CC579E"/>
    <w:rsid w:val="06DA69AD"/>
    <w:rsid w:val="07022220"/>
    <w:rsid w:val="070954E4"/>
    <w:rsid w:val="07885DFC"/>
    <w:rsid w:val="082779D0"/>
    <w:rsid w:val="08295284"/>
    <w:rsid w:val="0869623A"/>
    <w:rsid w:val="0870581B"/>
    <w:rsid w:val="08F57ACE"/>
    <w:rsid w:val="09BC05EC"/>
    <w:rsid w:val="0A1A20EC"/>
    <w:rsid w:val="0A2D3298"/>
    <w:rsid w:val="0A7479CD"/>
    <w:rsid w:val="0AB30927"/>
    <w:rsid w:val="0ACE6829"/>
    <w:rsid w:val="0AD42546"/>
    <w:rsid w:val="0AE112B0"/>
    <w:rsid w:val="0AFD0EBC"/>
    <w:rsid w:val="0B6E3B68"/>
    <w:rsid w:val="0BE36B6C"/>
    <w:rsid w:val="0BF71B26"/>
    <w:rsid w:val="0C786DEC"/>
    <w:rsid w:val="0CDA3674"/>
    <w:rsid w:val="0CFA3905"/>
    <w:rsid w:val="0D0429D6"/>
    <w:rsid w:val="0D362375"/>
    <w:rsid w:val="0D882F0E"/>
    <w:rsid w:val="0DCD726B"/>
    <w:rsid w:val="0E1F16F4"/>
    <w:rsid w:val="0E407A3D"/>
    <w:rsid w:val="0E6C30DA"/>
    <w:rsid w:val="0E6F2475"/>
    <w:rsid w:val="0EA03FF7"/>
    <w:rsid w:val="0EC66FB3"/>
    <w:rsid w:val="0ED07756"/>
    <w:rsid w:val="0F4E7F38"/>
    <w:rsid w:val="0F863EB5"/>
    <w:rsid w:val="10182B28"/>
    <w:rsid w:val="1077526D"/>
    <w:rsid w:val="1094189D"/>
    <w:rsid w:val="109E630B"/>
    <w:rsid w:val="10B17627"/>
    <w:rsid w:val="10B672CE"/>
    <w:rsid w:val="10E06F18"/>
    <w:rsid w:val="10E87663"/>
    <w:rsid w:val="110034B4"/>
    <w:rsid w:val="11B36778"/>
    <w:rsid w:val="11B97C34"/>
    <w:rsid w:val="12212400"/>
    <w:rsid w:val="125D09B5"/>
    <w:rsid w:val="12681C41"/>
    <w:rsid w:val="12884AE6"/>
    <w:rsid w:val="12B4703C"/>
    <w:rsid w:val="12CC1578"/>
    <w:rsid w:val="12E110C3"/>
    <w:rsid w:val="12FC4127"/>
    <w:rsid w:val="137572E1"/>
    <w:rsid w:val="13AE269A"/>
    <w:rsid w:val="13EE6C09"/>
    <w:rsid w:val="140137CB"/>
    <w:rsid w:val="14223741"/>
    <w:rsid w:val="143B16C5"/>
    <w:rsid w:val="148B4C8F"/>
    <w:rsid w:val="14B8631E"/>
    <w:rsid w:val="14CC0246"/>
    <w:rsid w:val="14E85A38"/>
    <w:rsid w:val="14F20AAB"/>
    <w:rsid w:val="15215471"/>
    <w:rsid w:val="153951E6"/>
    <w:rsid w:val="159B19FD"/>
    <w:rsid w:val="15B14CB7"/>
    <w:rsid w:val="15B70A36"/>
    <w:rsid w:val="165F627F"/>
    <w:rsid w:val="16C406A5"/>
    <w:rsid w:val="16F413C5"/>
    <w:rsid w:val="171B38F6"/>
    <w:rsid w:val="174B576F"/>
    <w:rsid w:val="180B6491"/>
    <w:rsid w:val="18167223"/>
    <w:rsid w:val="181C698A"/>
    <w:rsid w:val="18653DB2"/>
    <w:rsid w:val="18E64881"/>
    <w:rsid w:val="19341EB2"/>
    <w:rsid w:val="197C5623"/>
    <w:rsid w:val="19AE38FB"/>
    <w:rsid w:val="19B66E06"/>
    <w:rsid w:val="19CF2654"/>
    <w:rsid w:val="19D76FCF"/>
    <w:rsid w:val="1A02204B"/>
    <w:rsid w:val="1A642D06"/>
    <w:rsid w:val="1ACC4407"/>
    <w:rsid w:val="1AD45A45"/>
    <w:rsid w:val="1B0818E3"/>
    <w:rsid w:val="1B5A7642"/>
    <w:rsid w:val="1B7E7DF7"/>
    <w:rsid w:val="1BE22A05"/>
    <w:rsid w:val="1C0316E3"/>
    <w:rsid w:val="1C290675"/>
    <w:rsid w:val="1C2D3860"/>
    <w:rsid w:val="1C33139A"/>
    <w:rsid w:val="1C3B5CE8"/>
    <w:rsid w:val="1C5132E5"/>
    <w:rsid w:val="1C6F00EA"/>
    <w:rsid w:val="1C8E0AA4"/>
    <w:rsid w:val="1CA73324"/>
    <w:rsid w:val="1CBA6C0D"/>
    <w:rsid w:val="1CCB14BB"/>
    <w:rsid w:val="1D011830"/>
    <w:rsid w:val="1D127B54"/>
    <w:rsid w:val="1D201DBF"/>
    <w:rsid w:val="1D344C11"/>
    <w:rsid w:val="1D903E12"/>
    <w:rsid w:val="1D94533E"/>
    <w:rsid w:val="1DE25732"/>
    <w:rsid w:val="1E195BB5"/>
    <w:rsid w:val="1E6A5646"/>
    <w:rsid w:val="1E710329"/>
    <w:rsid w:val="1E7948A6"/>
    <w:rsid w:val="1E8269F2"/>
    <w:rsid w:val="1E9D0594"/>
    <w:rsid w:val="1EBD71B4"/>
    <w:rsid w:val="1EE61241"/>
    <w:rsid w:val="1EE9133A"/>
    <w:rsid w:val="1EF5299E"/>
    <w:rsid w:val="1F200027"/>
    <w:rsid w:val="1F274352"/>
    <w:rsid w:val="1F506E4E"/>
    <w:rsid w:val="1F641E05"/>
    <w:rsid w:val="1FD82B05"/>
    <w:rsid w:val="20E26DDB"/>
    <w:rsid w:val="20FA7F20"/>
    <w:rsid w:val="21107A42"/>
    <w:rsid w:val="211918C5"/>
    <w:rsid w:val="21303941"/>
    <w:rsid w:val="213E4C31"/>
    <w:rsid w:val="215C4736"/>
    <w:rsid w:val="215F7D83"/>
    <w:rsid w:val="216058A9"/>
    <w:rsid w:val="216435EB"/>
    <w:rsid w:val="21817CF9"/>
    <w:rsid w:val="21A165ED"/>
    <w:rsid w:val="21A47E8B"/>
    <w:rsid w:val="21B43569"/>
    <w:rsid w:val="21F11323"/>
    <w:rsid w:val="222D1C2F"/>
    <w:rsid w:val="226D5A34"/>
    <w:rsid w:val="239C7C69"/>
    <w:rsid w:val="23D305B4"/>
    <w:rsid w:val="24242EA1"/>
    <w:rsid w:val="245254D9"/>
    <w:rsid w:val="245C5C18"/>
    <w:rsid w:val="24755014"/>
    <w:rsid w:val="248024EA"/>
    <w:rsid w:val="24AF754B"/>
    <w:rsid w:val="254F7574"/>
    <w:rsid w:val="25535E50"/>
    <w:rsid w:val="25563F83"/>
    <w:rsid w:val="255B4E2A"/>
    <w:rsid w:val="257A2EB0"/>
    <w:rsid w:val="25A77260"/>
    <w:rsid w:val="25B12B77"/>
    <w:rsid w:val="26064C71"/>
    <w:rsid w:val="261654F0"/>
    <w:rsid w:val="265C2AE3"/>
    <w:rsid w:val="267B565F"/>
    <w:rsid w:val="26E56F7C"/>
    <w:rsid w:val="272F0B08"/>
    <w:rsid w:val="27335F39"/>
    <w:rsid w:val="27445D0D"/>
    <w:rsid w:val="274F2647"/>
    <w:rsid w:val="27590157"/>
    <w:rsid w:val="27591F3E"/>
    <w:rsid w:val="275B2D9A"/>
    <w:rsid w:val="278A562D"/>
    <w:rsid w:val="27B8614C"/>
    <w:rsid w:val="27E04333"/>
    <w:rsid w:val="28783270"/>
    <w:rsid w:val="28C66939"/>
    <w:rsid w:val="28EC1A62"/>
    <w:rsid w:val="28F81C02"/>
    <w:rsid w:val="295834A8"/>
    <w:rsid w:val="29B13146"/>
    <w:rsid w:val="29DC0284"/>
    <w:rsid w:val="29E51041"/>
    <w:rsid w:val="2A293624"/>
    <w:rsid w:val="2ABF56F1"/>
    <w:rsid w:val="2AFB1C4F"/>
    <w:rsid w:val="2B0B1533"/>
    <w:rsid w:val="2B397896"/>
    <w:rsid w:val="2B6A7A50"/>
    <w:rsid w:val="2BFC200A"/>
    <w:rsid w:val="2C436F6A"/>
    <w:rsid w:val="2CC6515A"/>
    <w:rsid w:val="2D483DC1"/>
    <w:rsid w:val="2D4B5F95"/>
    <w:rsid w:val="2D881AA2"/>
    <w:rsid w:val="2D8C1F00"/>
    <w:rsid w:val="2D940DB4"/>
    <w:rsid w:val="2D9B0395"/>
    <w:rsid w:val="2E2A4ED2"/>
    <w:rsid w:val="2E913546"/>
    <w:rsid w:val="2EC05D69"/>
    <w:rsid w:val="2FA43479"/>
    <w:rsid w:val="30525DAB"/>
    <w:rsid w:val="30E12562"/>
    <w:rsid w:val="30EA7B19"/>
    <w:rsid w:val="30F960DF"/>
    <w:rsid w:val="317D2F62"/>
    <w:rsid w:val="31C92E6F"/>
    <w:rsid w:val="32014FA4"/>
    <w:rsid w:val="32247464"/>
    <w:rsid w:val="322D5E7C"/>
    <w:rsid w:val="32D10452"/>
    <w:rsid w:val="3310632C"/>
    <w:rsid w:val="332359AB"/>
    <w:rsid w:val="336B0809"/>
    <w:rsid w:val="33814F97"/>
    <w:rsid w:val="33C2508B"/>
    <w:rsid w:val="33E072E4"/>
    <w:rsid w:val="33EA0182"/>
    <w:rsid w:val="34125129"/>
    <w:rsid w:val="34186C1D"/>
    <w:rsid w:val="34814C96"/>
    <w:rsid w:val="349074EA"/>
    <w:rsid w:val="34DA79F4"/>
    <w:rsid w:val="35286238"/>
    <w:rsid w:val="353F7B58"/>
    <w:rsid w:val="354237EC"/>
    <w:rsid w:val="3568160C"/>
    <w:rsid w:val="357D03B6"/>
    <w:rsid w:val="35805AE3"/>
    <w:rsid w:val="35A92073"/>
    <w:rsid w:val="35DE7EB8"/>
    <w:rsid w:val="35DF103A"/>
    <w:rsid w:val="35E26818"/>
    <w:rsid w:val="36AA789A"/>
    <w:rsid w:val="36E94DEA"/>
    <w:rsid w:val="373C4573"/>
    <w:rsid w:val="377F0D27"/>
    <w:rsid w:val="3850506D"/>
    <w:rsid w:val="38604D31"/>
    <w:rsid w:val="386B326B"/>
    <w:rsid w:val="38724B29"/>
    <w:rsid w:val="38755052"/>
    <w:rsid w:val="388D7011"/>
    <w:rsid w:val="389A0EEE"/>
    <w:rsid w:val="38F77904"/>
    <w:rsid w:val="392D0594"/>
    <w:rsid w:val="392E030F"/>
    <w:rsid w:val="3944131A"/>
    <w:rsid w:val="39454485"/>
    <w:rsid w:val="39700927"/>
    <w:rsid w:val="399D1A4F"/>
    <w:rsid w:val="39A42FB8"/>
    <w:rsid w:val="3A52627F"/>
    <w:rsid w:val="3A557B1D"/>
    <w:rsid w:val="3A610A55"/>
    <w:rsid w:val="3A7243E3"/>
    <w:rsid w:val="3AE645DF"/>
    <w:rsid w:val="3B504F1D"/>
    <w:rsid w:val="3B6E0E96"/>
    <w:rsid w:val="3C0D3FB0"/>
    <w:rsid w:val="3C2B58B3"/>
    <w:rsid w:val="3C5B70AB"/>
    <w:rsid w:val="3C686B79"/>
    <w:rsid w:val="3C7B7229"/>
    <w:rsid w:val="3C7C75E3"/>
    <w:rsid w:val="3C821FEF"/>
    <w:rsid w:val="3D556B2E"/>
    <w:rsid w:val="3D5C1507"/>
    <w:rsid w:val="3D844214"/>
    <w:rsid w:val="3DD84FD9"/>
    <w:rsid w:val="3DE60F5F"/>
    <w:rsid w:val="3E002363"/>
    <w:rsid w:val="3E0910B9"/>
    <w:rsid w:val="3E682515"/>
    <w:rsid w:val="3ECA0ADA"/>
    <w:rsid w:val="3EE541E6"/>
    <w:rsid w:val="3F28623A"/>
    <w:rsid w:val="3F4060D8"/>
    <w:rsid w:val="3FFF0C57"/>
    <w:rsid w:val="402048BC"/>
    <w:rsid w:val="405D1F09"/>
    <w:rsid w:val="405F34A4"/>
    <w:rsid w:val="4080623B"/>
    <w:rsid w:val="409C1C53"/>
    <w:rsid w:val="40CD665F"/>
    <w:rsid w:val="40FB215A"/>
    <w:rsid w:val="41162AE7"/>
    <w:rsid w:val="4136606E"/>
    <w:rsid w:val="4153263F"/>
    <w:rsid w:val="417D1965"/>
    <w:rsid w:val="41A748ED"/>
    <w:rsid w:val="41B73F29"/>
    <w:rsid w:val="41EF5FB2"/>
    <w:rsid w:val="42004812"/>
    <w:rsid w:val="422419F9"/>
    <w:rsid w:val="42562684"/>
    <w:rsid w:val="429338D8"/>
    <w:rsid w:val="42CB252D"/>
    <w:rsid w:val="430B346F"/>
    <w:rsid w:val="43102654"/>
    <w:rsid w:val="432702E2"/>
    <w:rsid w:val="433F136A"/>
    <w:rsid w:val="434D0770"/>
    <w:rsid w:val="43C27B28"/>
    <w:rsid w:val="43D733FF"/>
    <w:rsid w:val="43DF51A5"/>
    <w:rsid w:val="43EE5C5B"/>
    <w:rsid w:val="43F10520"/>
    <w:rsid w:val="43FD17EC"/>
    <w:rsid w:val="440B2CAD"/>
    <w:rsid w:val="441C7584"/>
    <w:rsid w:val="44444DF0"/>
    <w:rsid w:val="44C46314"/>
    <w:rsid w:val="44C67236"/>
    <w:rsid w:val="463227AE"/>
    <w:rsid w:val="464F7B16"/>
    <w:rsid w:val="46D954C8"/>
    <w:rsid w:val="47056CB0"/>
    <w:rsid w:val="473A2575"/>
    <w:rsid w:val="47525860"/>
    <w:rsid w:val="479043D1"/>
    <w:rsid w:val="47A44BEB"/>
    <w:rsid w:val="480F2B72"/>
    <w:rsid w:val="48133ED6"/>
    <w:rsid w:val="483F35B5"/>
    <w:rsid w:val="48551DB5"/>
    <w:rsid w:val="488E13FF"/>
    <w:rsid w:val="48B3461A"/>
    <w:rsid w:val="48D4369F"/>
    <w:rsid w:val="49080B71"/>
    <w:rsid w:val="49F20EE5"/>
    <w:rsid w:val="49FF71D1"/>
    <w:rsid w:val="4A3C6ED6"/>
    <w:rsid w:val="4A472874"/>
    <w:rsid w:val="4A58268E"/>
    <w:rsid w:val="4AB30993"/>
    <w:rsid w:val="4B28331F"/>
    <w:rsid w:val="4B673388"/>
    <w:rsid w:val="4BE40F37"/>
    <w:rsid w:val="4BFF3076"/>
    <w:rsid w:val="4C362A52"/>
    <w:rsid w:val="4C786019"/>
    <w:rsid w:val="4C964ED6"/>
    <w:rsid w:val="4D1D096E"/>
    <w:rsid w:val="4D7434AA"/>
    <w:rsid w:val="4D944D11"/>
    <w:rsid w:val="4DAD3AA0"/>
    <w:rsid w:val="4DD31361"/>
    <w:rsid w:val="4DE417A9"/>
    <w:rsid w:val="4E276615"/>
    <w:rsid w:val="4E3A10AC"/>
    <w:rsid w:val="4E8D6CA7"/>
    <w:rsid w:val="4EA50115"/>
    <w:rsid w:val="4EAA7FE0"/>
    <w:rsid w:val="4EB75218"/>
    <w:rsid w:val="4F425B45"/>
    <w:rsid w:val="4FC82E13"/>
    <w:rsid w:val="50537E22"/>
    <w:rsid w:val="50697817"/>
    <w:rsid w:val="507C1CFC"/>
    <w:rsid w:val="50A90AE6"/>
    <w:rsid w:val="50B25872"/>
    <w:rsid w:val="5102680A"/>
    <w:rsid w:val="510B6295"/>
    <w:rsid w:val="51143E36"/>
    <w:rsid w:val="513226D0"/>
    <w:rsid w:val="51403806"/>
    <w:rsid w:val="51417D1D"/>
    <w:rsid w:val="514D6256"/>
    <w:rsid w:val="51520E1F"/>
    <w:rsid w:val="51AB4FAD"/>
    <w:rsid w:val="51FD52C0"/>
    <w:rsid w:val="5205386E"/>
    <w:rsid w:val="52166DB8"/>
    <w:rsid w:val="52397FF8"/>
    <w:rsid w:val="5242394B"/>
    <w:rsid w:val="52906034"/>
    <w:rsid w:val="52E361B6"/>
    <w:rsid w:val="53000DD6"/>
    <w:rsid w:val="532B103B"/>
    <w:rsid w:val="53513120"/>
    <w:rsid w:val="53950D32"/>
    <w:rsid w:val="53A70F92"/>
    <w:rsid w:val="53C438F2"/>
    <w:rsid w:val="53CD28D8"/>
    <w:rsid w:val="53E8544D"/>
    <w:rsid w:val="54477BC7"/>
    <w:rsid w:val="545A6AE0"/>
    <w:rsid w:val="549D698C"/>
    <w:rsid w:val="549E2395"/>
    <w:rsid w:val="549F0576"/>
    <w:rsid w:val="5511073E"/>
    <w:rsid w:val="5513389F"/>
    <w:rsid w:val="55410805"/>
    <w:rsid w:val="55730F23"/>
    <w:rsid w:val="55821CB6"/>
    <w:rsid w:val="558E28BF"/>
    <w:rsid w:val="55C76D69"/>
    <w:rsid w:val="56023682"/>
    <w:rsid w:val="560A5808"/>
    <w:rsid w:val="562A1363"/>
    <w:rsid w:val="569D3BC4"/>
    <w:rsid w:val="56A310EE"/>
    <w:rsid w:val="56CE6A6E"/>
    <w:rsid w:val="56D73191"/>
    <w:rsid w:val="56FB37B7"/>
    <w:rsid w:val="57012F6E"/>
    <w:rsid w:val="575032C7"/>
    <w:rsid w:val="575569D3"/>
    <w:rsid w:val="577E200A"/>
    <w:rsid w:val="579241B3"/>
    <w:rsid w:val="579700CC"/>
    <w:rsid w:val="579A0002"/>
    <w:rsid w:val="57AA258A"/>
    <w:rsid w:val="57E52089"/>
    <w:rsid w:val="57F329F7"/>
    <w:rsid w:val="58563CA2"/>
    <w:rsid w:val="58F62BCB"/>
    <w:rsid w:val="58FD05B3"/>
    <w:rsid w:val="59300C5B"/>
    <w:rsid w:val="594B0611"/>
    <w:rsid w:val="599902CF"/>
    <w:rsid w:val="5A317807"/>
    <w:rsid w:val="5A6D4479"/>
    <w:rsid w:val="5A7B4C04"/>
    <w:rsid w:val="5AE81382"/>
    <w:rsid w:val="5BAC35E9"/>
    <w:rsid w:val="5BC16969"/>
    <w:rsid w:val="5BC456E5"/>
    <w:rsid w:val="5C041660"/>
    <w:rsid w:val="5C16418D"/>
    <w:rsid w:val="5C1E2CAD"/>
    <w:rsid w:val="5C4C0928"/>
    <w:rsid w:val="5C992240"/>
    <w:rsid w:val="5CA2396B"/>
    <w:rsid w:val="5CB41E0F"/>
    <w:rsid w:val="5CB564CD"/>
    <w:rsid w:val="5CDD77D2"/>
    <w:rsid w:val="5D027237"/>
    <w:rsid w:val="5D186A5C"/>
    <w:rsid w:val="5D284EF1"/>
    <w:rsid w:val="5D437D5D"/>
    <w:rsid w:val="5D9C7014"/>
    <w:rsid w:val="5E2C2C48"/>
    <w:rsid w:val="5E873E9A"/>
    <w:rsid w:val="5EB576A8"/>
    <w:rsid w:val="5EE62E68"/>
    <w:rsid w:val="5EEA0A81"/>
    <w:rsid w:val="5EEB6C6C"/>
    <w:rsid w:val="5F3D5605"/>
    <w:rsid w:val="5F793362"/>
    <w:rsid w:val="5FE570CA"/>
    <w:rsid w:val="5FE61094"/>
    <w:rsid w:val="5FE62E42"/>
    <w:rsid w:val="6008100A"/>
    <w:rsid w:val="602033CF"/>
    <w:rsid w:val="60615771"/>
    <w:rsid w:val="60C9446E"/>
    <w:rsid w:val="60CC2978"/>
    <w:rsid w:val="611B4D6D"/>
    <w:rsid w:val="613258B1"/>
    <w:rsid w:val="615305F2"/>
    <w:rsid w:val="61AB60F1"/>
    <w:rsid w:val="61C45448"/>
    <w:rsid w:val="61C471B3"/>
    <w:rsid w:val="61D40107"/>
    <w:rsid w:val="61E35820"/>
    <w:rsid w:val="623A0F6B"/>
    <w:rsid w:val="62745CBE"/>
    <w:rsid w:val="62782477"/>
    <w:rsid w:val="627B7DF9"/>
    <w:rsid w:val="62C90F25"/>
    <w:rsid w:val="633A776F"/>
    <w:rsid w:val="634803BC"/>
    <w:rsid w:val="636B4573"/>
    <w:rsid w:val="637A21B5"/>
    <w:rsid w:val="6380211C"/>
    <w:rsid w:val="638D4C6B"/>
    <w:rsid w:val="63BD210C"/>
    <w:rsid w:val="643077A3"/>
    <w:rsid w:val="64790344"/>
    <w:rsid w:val="64D95604"/>
    <w:rsid w:val="654F4FE5"/>
    <w:rsid w:val="657828A5"/>
    <w:rsid w:val="65920D9F"/>
    <w:rsid w:val="65A310C5"/>
    <w:rsid w:val="664F3D6B"/>
    <w:rsid w:val="66842731"/>
    <w:rsid w:val="66940B21"/>
    <w:rsid w:val="6695160F"/>
    <w:rsid w:val="67012F20"/>
    <w:rsid w:val="671E73D5"/>
    <w:rsid w:val="674A49FE"/>
    <w:rsid w:val="67EA3F7F"/>
    <w:rsid w:val="67F9528D"/>
    <w:rsid w:val="68210EBB"/>
    <w:rsid w:val="683F428D"/>
    <w:rsid w:val="691D1B6E"/>
    <w:rsid w:val="692769A5"/>
    <w:rsid w:val="6965127B"/>
    <w:rsid w:val="69834A47"/>
    <w:rsid w:val="6A534528"/>
    <w:rsid w:val="6A7E0A7E"/>
    <w:rsid w:val="6A7F300D"/>
    <w:rsid w:val="6A963007"/>
    <w:rsid w:val="6AB95599"/>
    <w:rsid w:val="6B147CB3"/>
    <w:rsid w:val="6B237874"/>
    <w:rsid w:val="6B24699A"/>
    <w:rsid w:val="6B4444FB"/>
    <w:rsid w:val="6BF1329A"/>
    <w:rsid w:val="6C0277BF"/>
    <w:rsid w:val="6C177A31"/>
    <w:rsid w:val="6C2A779B"/>
    <w:rsid w:val="6C6D3E4F"/>
    <w:rsid w:val="6C8F6D93"/>
    <w:rsid w:val="6C90660F"/>
    <w:rsid w:val="6C9D1FC9"/>
    <w:rsid w:val="6C9E63AA"/>
    <w:rsid w:val="6CAE2F39"/>
    <w:rsid w:val="6CAF118B"/>
    <w:rsid w:val="6CC119D7"/>
    <w:rsid w:val="6CDF15D5"/>
    <w:rsid w:val="6D574AD4"/>
    <w:rsid w:val="6D723F67"/>
    <w:rsid w:val="6DA2274A"/>
    <w:rsid w:val="6DC2748E"/>
    <w:rsid w:val="6DE36C13"/>
    <w:rsid w:val="6E0A419F"/>
    <w:rsid w:val="6E5969B2"/>
    <w:rsid w:val="6E6C09B6"/>
    <w:rsid w:val="6EA0458C"/>
    <w:rsid w:val="6EB0709E"/>
    <w:rsid w:val="6ECA5458"/>
    <w:rsid w:val="6EF02EBB"/>
    <w:rsid w:val="6F4F27B2"/>
    <w:rsid w:val="6FB24AEE"/>
    <w:rsid w:val="6FB64299"/>
    <w:rsid w:val="6FFE53A0"/>
    <w:rsid w:val="704240C4"/>
    <w:rsid w:val="70425DA5"/>
    <w:rsid w:val="705F4C76"/>
    <w:rsid w:val="70601E4B"/>
    <w:rsid w:val="7073427E"/>
    <w:rsid w:val="70983097"/>
    <w:rsid w:val="70AC3977"/>
    <w:rsid w:val="70FF19CC"/>
    <w:rsid w:val="713F0604"/>
    <w:rsid w:val="716C756B"/>
    <w:rsid w:val="719007B2"/>
    <w:rsid w:val="72391860"/>
    <w:rsid w:val="728E389A"/>
    <w:rsid w:val="72A829DA"/>
    <w:rsid w:val="72C572DC"/>
    <w:rsid w:val="72FC49FE"/>
    <w:rsid w:val="730415AD"/>
    <w:rsid w:val="730E3259"/>
    <w:rsid w:val="73147DEA"/>
    <w:rsid w:val="733D0B73"/>
    <w:rsid w:val="73AA40DA"/>
    <w:rsid w:val="73EB05CF"/>
    <w:rsid w:val="74123DAE"/>
    <w:rsid w:val="74587C5D"/>
    <w:rsid w:val="7479678C"/>
    <w:rsid w:val="7487654A"/>
    <w:rsid w:val="74A215DF"/>
    <w:rsid w:val="74F20AD2"/>
    <w:rsid w:val="75475CD9"/>
    <w:rsid w:val="75855809"/>
    <w:rsid w:val="75A16179"/>
    <w:rsid w:val="75B0387E"/>
    <w:rsid w:val="75BB5B5E"/>
    <w:rsid w:val="7656046D"/>
    <w:rsid w:val="765842C1"/>
    <w:rsid w:val="767F64D7"/>
    <w:rsid w:val="76A71125"/>
    <w:rsid w:val="76AF7FDA"/>
    <w:rsid w:val="76BB697E"/>
    <w:rsid w:val="76C76A61"/>
    <w:rsid w:val="76CF20C9"/>
    <w:rsid w:val="76E47DBE"/>
    <w:rsid w:val="76E9146B"/>
    <w:rsid w:val="770519A8"/>
    <w:rsid w:val="77187810"/>
    <w:rsid w:val="777055CC"/>
    <w:rsid w:val="77E01A81"/>
    <w:rsid w:val="77EB3293"/>
    <w:rsid w:val="78073DAC"/>
    <w:rsid w:val="789277AB"/>
    <w:rsid w:val="78CC6C21"/>
    <w:rsid w:val="792A3754"/>
    <w:rsid w:val="793E110C"/>
    <w:rsid w:val="796C4196"/>
    <w:rsid w:val="79AA6A9C"/>
    <w:rsid w:val="79BC3029"/>
    <w:rsid w:val="79D4584F"/>
    <w:rsid w:val="79DD6C0C"/>
    <w:rsid w:val="79E32474"/>
    <w:rsid w:val="7A120D2A"/>
    <w:rsid w:val="7A5F5873"/>
    <w:rsid w:val="7AC51B7A"/>
    <w:rsid w:val="7ADD3367"/>
    <w:rsid w:val="7ADE49EA"/>
    <w:rsid w:val="7AF34EC0"/>
    <w:rsid w:val="7AFB37ED"/>
    <w:rsid w:val="7B227C26"/>
    <w:rsid w:val="7B453444"/>
    <w:rsid w:val="7B6F5FC1"/>
    <w:rsid w:val="7BAE0860"/>
    <w:rsid w:val="7BBA6D49"/>
    <w:rsid w:val="7BE92680"/>
    <w:rsid w:val="7CE56503"/>
    <w:rsid w:val="7CEE75BA"/>
    <w:rsid w:val="7D0C548C"/>
    <w:rsid w:val="7D3A1093"/>
    <w:rsid w:val="7D5403C4"/>
    <w:rsid w:val="7D7A4E9D"/>
    <w:rsid w:val="7DAC0F88"/>
    <w:rsid w:val="7DD704ED"/>
    <w:rsid w:val="7DF32433"/>
    <w:rsid w:val="7E0264C8"/>
    <w:rsid w:val="7E1846B6"/>
    <w:rsid w:val="7E4D632F"/>
    <w:rsid w:val="7EA7295A"/>
    <w:rsid w:val="7F2978F7"/>
    <w:rsid w:val="7F7B06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qFormat="1" w:unhideWhenUsed="0"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8"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qFormat="1" w:uiPriority="99"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39"/>
    <w:qFormat/>
    <w:uiPriority w:val="0"/>
    <w:pPr>
      <w:keepNext/>
      <w:keepLines/>
      <w:spacing w:line="360" w:lineRule="auto"/>
      <w:jc w:val="center"/>
      <w:outlineLvl w:val="0"/>
    </w:pPr>
    <w:rPr>
      <w:rFonts w:ascii="宋体" w:hAnsi="宋体" w:eastAsia="宋体" w:cs="宋体"/>
      <w:b/>
      <w:bCs/>
      <w:kern w:val="44"/>
      <w:sz w:val="32"/>
      <w:szCs w:val="32"/>
    </w:rPr>
  </w:style>
  <w:style w:type="paragraph" w:styleId="3">
    <w:name w:val="heading 2"/>
    <w:basedOn w:val="1"/>
    <w:next w:val="1"/>
    <w:link w:val="38"/>
    <w:qFormat/>
    <w:uiPriority w:val="0"/>
    <w:pPr>
      <w:keepNext/>
      <w:keepLines/>
      <w:spacing w:line="360" w:lineRule="auto"/>
      <w:jc w:val="center"/>
      <w:outlineLvl w:val="1"/>
    </w:pPr>
    <w:rPr>
      <w:rFonts w:ascii="宋体" w:hAnsi="宋体" w:eastAsia="宋体" w:cs="宋体"/>
      <w:b/>
      <w:bCs/>
      <w:sz w:val="30"/>
      <w:szCs w:val="30"/>
    </w:rPr>
  </w:style>
  <w:style w:type="paragraph" w:styleId="4">
    <w:name w:val="heading 3"/>
    <w:basedOn w:val="1"/>
    <w:next w:val="1"/>
    <w:qFormat/>
    <w:uiPriority w:val="0"/>
    <w:pPr>
      <w:keepNext/>
      <w:keepLines/>
      <w:autoSpaceDE w:val="0"/>
      <w:autoSpaceDN w:val="0"/>
      <w:adjustRightInd w:val="0"/>
      <w:spacing w:line="360" w:lineRule="auto"/>
      <w:jc w:val="center"/>
      <w:outlineLvl w:val="2"/>
    </w:pPr>
    <w:rPr>
      <w:rFonts w:ascii="宋体" w:hAnsi="宋体" w:eastAsia="宋体" w:cs="宋体"/>
      <w:b/>
      <w:bCs/>
      <w:kern w:val="0"/>
      <w:sz w:val="28"/>
      <w:szCs w:val="28"/>
    </w:rPr>
  </w:style>
  <w:style w:type="paragraph" w:styleId="5">
    <w:name w:val="heading 4"/>
    <w:basedOn w:val="1"/>
    <w:next w:val="6"/>
    <w:unhideWhenUsed/>
    <w:qFormat/>
    <w:uiPriority w:val="9"/>
    <w:pPr>
      <w:spacing w:line="360" w:lineRule="auto"/>
      <w:ind w:left="0"/>
      <w:jc w:val="center"/>
      <w:outlineLvl w:val="3"/>
    </w:pPr>
    <w:rPr>
      <w:rFonts w:ascii="宋体" w:hAnsi="宋体" w:eastAsia="宋体" w:cs="宋体"/>
      <w:b/>
      <w:bCs/>
      <w:sz w:val="24"/>
    </w:rPr>
  </w:style>
  <w:style w:type="paragraph" w:styleId="7">
    <w:name w:val="heading 5"/>
    <w:basedOn w:val="1"/>
    <w:next w:val="1"/>
    <w:qFormat/>
    <w:uiPriority w:val="1"/>
    <w:pPr>
      <w:ind w:right="158"/>
      <w:jc w:val="center"/>
      <w:outlineLvl w:val="4"/>
    </w:pPr>
    <w:rPr>
      <w:rFonts w:ascii="仿宋" w:hAnsi="仿宋" w:eastAsia="仿宋" w:cs="仿宋"/>
      <w:b/>
      <w:bCs/>
      <w:sz w:val="28"/>
      <w:szCs w:val="28"/>
      <w:lang w:val="zh-CN" w:bidi="zh-CN"/>
    </w:rPr>
  </w:style>
  <w:style w:type="paragraph" w:styleId="8">
    <w:name w:val="heading 6"/>
    <w:basedOn w:val="1"/>
    <w:next w:val="1"/>
    <w:qFormat/>
    <w:uiPriority w:val="1"/>
    <w:pPr>
      <w:spacing w:before="61"/>
      <w:outlineLvl w:val="5"/>
    </w:pPr>
    <w:rPr>
      <w:rFonts w:ascii="仿宋" w:hAnsi="仿宋" w:eastAsia="仿宋" w:cs="仿宋"/>
      <w:sz w:val="28"/>
      <w:szCs w:val="28"/>
      <w:lang w:val="zh-CN" w:bidi="zh-CN"/>
    </w:rPr>
  </w:style>
  <w:style w:type="paragraph" w:styleId="9">
    <w:name w:val="heading 7"/>
    <w:basedOn w:val="1"/>
    <w:next w:val="1"/>
    <w:qFormat/>
    <w:uiPriority w:val="1"/>
    <w:pPr>
      <w:ind w:left="360"/>
      <w:outlineLvl w:val="6"/>
    </w:pPr>
    <w:rPr>
      <w:rFonts w:ascii="仿宋" w:hAnsi="仿宋" w:eastAsia="仿宋" w:cs="仿宋"/>
      <w:b/>
      <w:bCs/>
      <w:sz w:val="24"/>
      <w:lang w:val="zh-CN" w:bidi="zh-CN"/>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autoSpaceDE w:val="0"/>
      <w:autoSpaceDN w:val="0"/>
      <w:adjustRightInd w:val="0"/>
      <w:ind w:firstLine="420"/>
      <w:jc w:val="left"/>
    </w:pPr>
    <w:rPr>
      <w:rFonts w:ascii="宋体"/>
      <w:kern w:val="0"/>
      <w:sz w:val="24"/>
      <w:szCs w:val="20"/>
    </w:rPr>
  </w:style>
  <w:style w:type="paragraph" w:styleId="10">
    <w:name w:val="table of authorities"/>
    <w:basedOn w:val="1"/>
    <w:next w:val="1"/>
    <w:qFormat/>
    <w:uiPriority w:val="0"/>
    <w:pPr>
      <w:ind w:left="420" w:leftChars="200"/>
    </w:pPr>
  </w:style>
  <w:style w:type="paragraph" w:styleId="11">
    <w:name w:val="toa heading"/>
    <w:basedOn w:val="1"/>
    <w:next w:val="1"/>
    <w:qFormat/>
    <w:uiPriority w:val="0"/>
    <w:pPr>
      <w:spacing w:before="120"/>
    </w:pPr>
    <w:rPr>
      <w:rFonts w:ascii="Cambria" w:hAnsi="Cambria"/>
      <w:sz w:val="24"/>
    </w:rPr>
  </w:style>
  <w:style w:type="paragraph" w:styleId="12">
    <w:name w:val="annotation text"/>
    <w:basedOn w:val="1"/>
    <w:semiHidden/>
    <w:qFormat/>
    <w:uiPriority w:val="0"/>
    <w:pPr>
      <w:jc w:val="left"/>
    </w:pPr>
  </w:style>
  <w:style w:type="paragraph" w:styleId="13">
    <w:name w:val="Body Text"/>
    <w:basedOn w:val="1"/>
    <w:qFormat/>
    <w:uiPriority w:val="1"/>
    <w:rPr>
      <w:rFonts w:ascii="楷体" w:hAnsi="楷体" w:eastAsia="楷体" w:cs="楷体"/>
      <w:sz w:val="24"/>
      <w:lang w:val="zh-CN" w:bidi="zh-CN"/>
    </w:rPr>
  </w:style>
  <w:style w:type="paragraph" w:styleId="14">
    <w:name w:val="Body Text Indent"/>
    <w:basedOn w:val="1"/>
    <w:qFormat/>
    <w:uiPriority w:val="0"/>
    <w:pPr>
      <w:spacing w:after="120"/>
      <w:ind w:left="420" w:leftChars="200"/>
    </w:pPr>
  </w:style>
  <w:style w:type="paragraph" w:styleId="15">
    <w:name w:val="Block Text"/>
    <w:basedOn w:val="1"/>
    <w:unhideWhenUsed/>
    <w:qFormat/>
    <w:uiPriority w:val="99"/>
    <w:pPr>
      <w:spacing w:after="120"/>
      <w:ind w:left="1440" w:leftChars="700" w:right="1440" w:rightChars="700"/>
    </w:pPr>
  </w:style>
  <w:style w:type="paragraph" w:styleId="16">
    <w:name w:val="index 4"/>
    <w:basedOn w:val="1"/>
    <w:next w:val="1"/>
    <w:unhideWhenUsed/>
    <w:qFormat/>
    <w:uiPriority w:val="99"/>
    <w:pPr>
      <w:autoSpaceDE w:val="0"/>
      <w:autoSpaceDN w:val="0"/>
      <w:ind w:left="600" w:leftChars="600"/>
      <w:jc w:val="left"/>
    </w:pPr>
    <w:rPr>
      <w:rFonts w:ascii="宋体" w:hAnsi="宋体" w:eastAsia="宋体" w:cs="宋体"/>
      <w:kern w:val="0"/>
      <w:sz w:val="22"/>
      <w:lang w:val="zh-CN" w:bidi="zh-CN"/>
    </w:rPr>
  </w:style>
  <w:style w:type="paragraph" w:styleId="17">
    <w:name w:val="Plain Text"/>
    <w:basedOn w:val="1"/>
    <w:qFormat/>
    <w:uiPriority w:val="0"/>
    <w:rPr>
      <w:rFonts w:ascii="宋体" w:hAnsi="Courier New"/>
      <w:szCs w:val="22"/>
    </w:rPr>
  </w:style>
  <w:style w:type="paragraph" w:styleId="18">
    <w:name w:val="Balloon Text"/>
    <w:basedOn w:val="1"/>
    <w:link w:val="72"/>
    <w:qFormat/>
    <w:uiPriority w:val="0"/>
    <w:rPr>
      <w:sz w:val="18"/>
      <w:szCs w:val="18"/>
    </w:rPr>
  </w:style>
  <w:style w:type="paragraph" w:styleId="19">
    <w:name w:val="footer"/>
    <w:basedOn w:val="1"/>
    <w:qFormat/>
    <w:uiPriority w:val="99"/>
    <w:pPr>
      <w:tabs>
        <w:tab w:val="center" w:pos="4153"/>
        <w:tab w:val="right" w:pos="8306"/>
      </w:tabs>
      <w:snapToGrid w:val="0"/>
      <w:jc w:val="left"/>
    </w:pPr>
    <w:rPr>
      <w:sz w:val="18"/>
      <w:szCs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1">
    <w:name w:val="toc 1"/>
    <w:basedOn w:val="1"/>
    <w:next w:val="1"/>
    <w:qFormat/>
    <w:uiPriority w:val="0"/>
  </w:style>
  <w:style w:type="paragraph" w:styleId="22">
    <w:name w:val="List"/>
    <w:basedOn w:val="1"/>
    <w:qFormat/>
    <w:uiPriority w:val="99"/>
    <w:pPr>
      <w:adjustRightInd w:val="0"/>
      <w:spacing w:line="312" w:lineRule="atLeast"/>
      <w:ind w:left="200" w:hanging="200" w:hangingChars="200"/>
      <w:textAlignment w:val="baseline"/>
    </w:pPr>
    <w:rPr>
      <w:rFonts w:eastAsia="仿宋"/>
      <w:kern w:val="0"/>
      <w:sz w:val="32"/>
      <w:szCs w:val="20"/>
    </w:rPr>
  </w:style>
  <w:style w:type="paragraph" w:styleId="23">
    <w:name w:val="footnote text"/>
    <w:basedOn w:val="1"/>
    <w:qFormat/>
    <w:uiPriority w:val="99"/>
    <w:pPr>
      <w:snapToGrid w:val="0"/>
      <w:jc w:val="left"/>
    </w:pPr>
    <w:rPr>
      <w:rFonts w:ascii="Times New Roman" w:hAnsi="Times New Roman"/>
      <w:sz w:val="18"/>
    </w:rPr>
  </w:style>
  <w:style w:type="paragraph" w:styleId="24">
    <w:name w:val="toc 2"/>
    <w:basedOn w:val="1"/>
    <w:next w:val="1"/>
    <w:qFormat/>
    <w:uiPriority w:val="0"/>
    <w:pPr>
      <w:ind w:left="420" w:leftChars="200"/>
    </w:pPr>
  </w:style>
  <w:style w:type="paragraph" w:styleId="25">
    <w:name w:val="Body Text 2"/>
    <w:basedOn w:val="1"/>
    <w:qFormat/>
    <w:uiPriority w:val="0"/>
    <w:pPr>
      <w:widowControl/>
      <w:jc w:val="left"/>
    </w:pPr>
    <w:rPr>
      <w:rFonts w:ascii="Times New Roman" w:hAnsi="Times New Roman" w:eastAsia="宋体" w:cs="Times New Roman"/>
      <w:sz w:val="24"/>
      <w:szCs w:val="20"/>
    </w:rPr>
  </w:style>
  <w:style w:type="paragraph" w:styleId="26">
    <w:name w:val="HTML Preformatted"/>
    <w:basedOn w:val="1"/>
    <w:qFormat/>
    <w:uiPriority w:val="99"/>
    <w:pPr>
      <w:widowControl/>
      <w:jc w:val="left"/>
    </w:pPr>
    <w:rPr>
      <w:rFonts w:ascii="Courier New" w:hAnsi="Courier New" w:cs="宋体"/>
      <w:kern w:val="0"/>
      <w:sz w:val="20"/>
      <w:szCs w:val="20"/>
      <w:lang w:val="zh-CN"/>
    </w:rPr>
  </w:style>
  <w:style w:type="paragraph" w:styleId="27">
    <w:name w:val="Normal (Web)"/>
    <w:basedOn w:val="1"/>
    <w:unhideWhenUsed/>
    <w:qFormat/>
    <w:uiPriority w:val="0"/>
    <w:pPr>
      <w:spacing w:before="0" w:beforeAutospacing="1" w:after="0" w:afterAutospacing="1"/>
      <w:ind w:left="0" w:right="0"/>
      <w:jc w:val="left"/>
    </w:pPr>
    <w:rPr>
      <w:kern w:val="0"/>
      <w:sz w:val="24"/>
      <w:lang w:val="en-US" w:eastAsia="zh-CN" w:bidi="ar"/>
    </w:rPr>
  </w:style>
  <w:style w:type="paragraph" w:styleId="28">
    <w:name w:val="Title"/>
    <w:basedOn w:val="1"/>
    <w:next w:val="1"/>
    <w:qFormat/>
    <w:uiPriority w:val="98"/>
    <w:pPr>
      <w:spacing w:before="240" w:after="60"/>
      <w:jc w:val="center"/>
      <w:outlineLvl w:val="0"/>
    </w:pPr>
    <w:rPr>
      <w:rFonts w:ascii="等线 Light" w:hAnsi="等线 Light"/>
      <w:b/>
      <w:bCs/>
      <w:sz w:val="32"/>
      <w:szCs w:val="32"/>
    </w:rPr>
  </w:style>
  <w:style w:type="paragraph" w:styleId="29">
    <w:name w:val="Body Text First Indent 2"/>
    <w:basedOn w:val="14"/>
    <w:next w:val="1"/>
    <w:qFormat/>
    <w:uiPriority w:val="0"/>
    <w:pPr>
      <w:ind w:firstLine="420" w:firstLineChars="200"/>
    </w:pPr>
  </w:style>
  <w:style w:type="table" w:styleId="31">
    <w:name w:val="Table Grid"/>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0"/>
    <w:rPr>
      <w:b/>
    </w:rPr>
  </w:style>
  <w:style w:type="character" w:styleId="34">
    <w:name w:val="page number"/>
    <w:basedOn w:val="32"/>
    <w:qFormat/>
    <w:uiPriority w:val="0"/>
  </w:style>
  <w:style w:type="character" w:styleId="35">
    <w:name w:val="Hyperlink"/>
    <w:qFormat/>
    <w:uiPriority w:val="0"/>
    <w:rPr>
      <w:color w:val="0000FF"/>
      <w:u w:val="single"/>
    </w:rPr>
  </w:style>
  <w:style w:type="character" w:styleId="36">
    <w:name w:val="annotation reference"/>
    <w:basedOn w:val="32"/>
    <w:qFormat/>
    <w:uiPriority w:val="0"/>
    <w:rPr>
      <w:sz w:val="21"/>
      <w:szCs w:val="21"/>
    </w:rPr>
  </w:style>
  <w:style w:type="character" w:styleId="37">
    <w:name w:val="HTML Sample"/>
    <w:basedOn w:val="32"/>
    <w:unhideWhenUsed/>
    <w:qFormat/>
    <w:uiPriority w:val="99"/>
    <w:rPr>
      <w:rFonts w:ascii="Courier New" w:hAnsi="Courier New"/>
    </w:rPr>
  </w:style>
  <w:style w:type="character" w:customStyle="1" w:styleId="38">
    <w:name w:val="标题 2 Char"/>
    <w:link w:val="3"/>
    <w:qFormat/>
    <w:uiPriority w:val="0"/>
    <w:rPr>
      <w:rFonts w:ascii="宋体" w:hAnsi="宋体" w:eastAsia="宋体" w:cs="宋体"/>
      <w:b/>
      <w:bCs/>
      <w:sz w:val="30"/>
      <w:szCs w:val="30"/>
    </w:rPr>
  </w:style>
  <w:style w:type="character" w:customStyle="1" w:styleId="39">
    <w:name w:val="标题 1 Char"/>
    <w:link w:val="2"/>
    <w:qFormat/>
    <w:uiPriority w:val="0"/>
    <w:rPr>
      <w:rFonts w:ascii="宋体" w:hAnsi="宋体" w:eastAsia="宋体" w:cs="宋体"/>
      <w:b/>
      <w:bCs/>
      <w:kern w:val="44"/>
      <w:sz w:val="32"/>
      <w:szCs w:val="32"/>
    </w:rPr>
  </w:style>
  <w:style w:type="paragraph" w:customStyle="1" w:styleId="40">
    <w:name w:val="Default"/>
    <w:basedOn w:val="28"/>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1">
    <w:name w:val="Char Char Char Char"/>
    <w:basedOn w:val="42"/>
    <w:qFormat/>
    <w:uiPriority w:val="0"/>
    <w:rPr>
      <w:szCs w:val="20"/>
    </w:rPr>
  </w:style>
  <w:style w:type="paragraph" w:customStyle="1" w:styleId="42">
    <w:name w:val="Normal_0"/>
    <w:next w:val="4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3">
    <w:name w:val="样式 正文 + 首行缩进:  2 字符"/>
    <w:basedOn w:val="1"/>
    <w:qFormat/>
    <w:uiPriority w:val="0"/>
    <w:pPr>
      <w:keepNext/>
      <w:keepLines/>
      <w:ind w:firstLine="880"/>
    </w:pPr>
    <w:rPr>
      <w:rFonts w:ascii="宋体" w:hAnsi="宋体" w:eastAsia="仿宋" w:cs="宋体"/>
      <w:kern w:val="0"/>
    </w:rPr>
  </w:style>
  <w:style w:type="paragraph" w:customStyle="1" w:styleId="44">
    <w:name w:val="表格文字2"/>
    <w:basedOn w:val="45"/>
    <w:qFormat/>
    <w:uiPriority w:val="99"/>
    <w:pPr>
      <w:spacing w:before="25" w:after="25"/>
      <w:jc w:val="left"/>
    </w:pPr>
    <w:rPr>
      <w:bCs/>
      <w:spacing w:val="10"/>
      <w:kern w:val="0"/>
    </w:rPr>
  </w:style>
  <w:style w:type="paragraph" w:customStyle="1" w:styleId="45">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46">
    <w:name w:val="列出段落1"/>
    <w:basedOn w:val="1"/>
    <w:qFormat/>
    <w:uiPriority w:val="34"/>
    <w:pPr>
      <w:ind w:firstLine="420" w:firstLineChars="200"/>
    </w:pPr>
  </w:style>
  <w:style w:type="paragraph" w:customStyle="1" w:styleId="47">
    <w:name w:val="正文_3_0"/>
    <w:basedOn w:val="48"/>
    <w:next w:val="56"/>
    <w:qFormat/>
    <w:uiPriority w:val="0"/>
    <w:rPr>
      <w:rFonts w:ascii="Calibri" w:hAnsi="Calibri" w:cs="Calibri"/>
      <w:szCs w:val="21"/>
    </w:rPr>
  </w:style>
  <w:style w:type="paragraph" w:customStyle="1" w:styleId="48">
    <w:name w:val="正文_2"/>
    <w:basedOn w:val="4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正文_3"/>
    <w:basedOn w:val="50"/>
    <w:next w:val="1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0">
    <w:name w:val="正文_4"/>
    <w:basedOn w:val="51"/>
    <w:next w:val="5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
    <w:name w:val="正文_5"/>
    <w:next w:val="5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
    <w:name w:val="正文首行缩进_1"/>
    <w:basedOn w:val="53"/>
    <w:qFormat/>
    <w:uiPriority w:val="0"/>
    <w:pPr>
      <w:ind w:firstLine="420" w:firstLineChars="100"/>
    </w:pPr>
    <w:rPr>
      <w:rFonts w:ascii="宋体"/>
    </w:rPr>
  </w:style>
  <w:style w:type="paragraph" w:customStyle="1" w:styleId="53">
    <w:name w:val="正文文本_2"/>
    <w:basedOn w:val="54"/>
    <w:qFormat/>
    <w:uiPriority w:val="0"/>
    <w:pPr>
      <w:spacing w:after="120"/>
    </w:pPr>
  </w:style>
  <w:style w:type="paragraph" w:customStyle="1" w:styleId="54">
    <w:name w:val="正文_7_1"/>
    <w:next w:val="5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5">
    <w:name w:val="首行缩进"/>
    <w:basedOn w:val="1"/>
    <w:qFormat/>
    <w:uiPriority w:val="0"/>
    <w:pPr>
      <w:ind w:firstLine="480" w:firstLineChars="200"/>
    </w:pPr>
    <w:rPr>
      <w:lang w:val="zh-CN"/>
    </w:rPr>
  </w:style>
  <w:style w:type="paragraph" w:customStyle="1" w:styleId="56">
    <w:name w:val="页脚_2"/>
    <w:basedOn w:val="50"/>
    <w:unhideWhenUsed/>
    <w:qFormat/>
    <w:uiPriority w:val="0"/>
    <w:pPr>
      <w:tabs>
        <w:tab w:val="center" w:pos="4153"/>
        <w:tab w:val="right" w:pos="8306"/>
      </w:tabs>
      <w:snapToGrid w:val="0"/>
      <w:jc w:val="left"/>
    </w:pPr>
    <w:rPr>
      <w:sz w:val="18"/>
      <w:szCs w:val="18"/>
    </w:rPr>
  </w:style>
  <w:style w:type="paragraph" w:customStyle="1" w:styleId="57">
    <w:name w:val="页脚_0"/>
    <w:basedOn w:val="48"/>
    <w:unhideWhenUsed/>
    <w:qFormat/>
    <w:uiPriority w:val="99"/>
    <w:pPr>
      <w:tabs>
        <w:tab w:val="center" w:pos="4153"/>
        <w:tab w:val="right" w:pos="8306"/>
      </w:tabs>
      <w:snapToGrid w:val="0"/>
      <w:jc w:val="left"/>
    </w:pPr>
    <w:rPr>
      <w:rFonts w:ascii="Calibri" w:hAnsi="Calibri"/>
      <w:sz w:val="18"/>
      <w:szCs w:val="18"/>
    </w:rPr>
  </w:style>
  <w:style w:type="paragraph" w:customStyle="1" w:styleId="58">
    <w:name w:val="正文_0"/>
    <w:basedOn w:val="59"/>
    <w:next w:val="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9">
    <w:name w:val="正文_1"/>
    <w:basedOn w:val="48"/>
    <w:next w:val="6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
    <w:name w:val="列表_0"/>
    <w:basedOn w:val="59"/>
    <w:semiHidden/>
    <w:qFormat/>
    <w:locked/>
    <w:uiPriority w:val="0"/>
    <w:pPr>
      <w:ind w:left="200" w:hanging="200" w:hangingChars="200"/>
    </w:pPr>
  </w:style>
  <w:style w:type="paragraph" w:customStyle="1" w:styleId="61">
    <w:name w:val="正文_0_1"/>
    <w:basedOn w:val="59"/>
    <w:next w:val="59"/>
    <w:qFormat/>
    <w:uiPriority w:val="0"/>
    <w:rPr>
      <w:szCs w:val="21"/>
    </w:rPr>
  </w:style>
  <w:style w:type="paragraph" w:customStyle="1" w:styleId="62">
    <w:name w:val="Table Paragraph"/>
    <w:basedOn w:val="1"/>
    <w:qFormat/>
    <w:uiPriority w:val="1"/>
    <w:rPr>
      <w:rFonts w:ascii="楷体" w:hAnsi="楷体" w:eastAsia="楷体" w:cs="楷体"/>
      <w:lang w:val="zh-CN" w:bidi="zh-CN"/>
    </w:rPr>
  </w:style>
  <w:style w:type="paragraph" w:customStyle="1" w:styleId="63">
    <w:name w:val="WPSOffice手动目录 1"/>
    <w:qFormat/>
    <w:uiPriority w:val="0"/>
    <w:rPr>
      <w:rFonts w:ascii="Times New Roman" w:hAnsi="Times New Roman" w:eastAsia="宋体" w:cs="Times New Roman"/>
      <w:lang w:val="en-US" w:eastAsia="zh-CN" w:bidi="ar-SA"/>
    </w:rPr>
  </w:style>
  <w:style w:type="paragraph" w:customStyle="1" w:styleId="64">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5">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6">
    <w:name w:val="正文_1_0_0"/>
    <w:next w:val="6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7">
    <w:name w:val="页脚_1_0"/>
    <w:basedOn w:val="66"/>
    <w:qFormat/>
    <w:uiPriority w:val="0"/>
    <w:pPr>
      <w:tabs>
        <w:tab w:val="center" w:pos="4153"/>
        <w:tab w:val="right" w:pos="8306"/>
      </w:tabs>
      <w:snapToGrid w:val="0"/>
      <w:jc w:val="left"/>
    </w:pPr>
    <w:rPr>
      <w:rFonts w:ascii="Calibri" w:hAnsi="Calibri"/>
      <w:sz w:val="18"/>
      <w:szCs w:val="18"/>
    </w:rPr>
  </w:style>
  <w:style w:type="paragraph" w:customStyle="1" w:styleId="68">
    <w:name w:val="reader-word-layer reader-word-s1-14"/>
    <w:basedOn w:val="1"/>
    <w:qFormat/>
    <w:uiPriority w:val="0"/>
    <w:pPr>
      <w:widowControl/>
      <w:spacing w:before="100" w:beforeAutospacing="1" w:after="100" w:afterAutospacing="1"/>
      <w:jc w:val="left"/>
    </w:pPr>
    <w:rPr>
      <w:rFonts w:ascii="宋体" w:hAnsi="宋体" w:cs="宋体"/>
      <w:kern w:val="0"/>
      <w:sz w:val="24"/>
    </w:rPr>
  </w:style>
  <w:style w:type="paragraph" w:styleId="69">
    <w:name w:val="List Paragraph"/>
    <w:basedOn w:val="1"/>
    <w:qFormat/>
    <w:uiPriority w:val="34"/>
    <w:pPr>
      <w:ind w:firstLine="420" w:firstLineChars="200"/>
    </w:pPr>
  </w:style>
  <w:style w:type="paragraph" w:customStyle="1" w:styleId="70">
    <w:name w:val="样式 10 磅"/>
    <w:qFormat/>
    <w:uiPriority w:val="0"/>
    <w:pPr>
      <w:widowControl w:val="0"/>
      <w:jc w:val="both"/>
    </w:pPr>
    <w:rPr>
      <w:rFonts w:ascii="Calibri" w:hAnsi="Calibri" w:eastAsia="宋体" w:cs="Times New Roman"/>
      <w:kern w:val="2"/>
      <w:sz w:val="21"/>
      <w:szCs w:val="24"/>
      <w:lang w:val="en-US" w:eastAsia="zh-CN" w:bidi="ar-SA"/>
    </w:rPr>
  </w:style>
  <w:style w:type="paragraph" w:customStyle="1" w:styleId="71">
    <w:name w:val="列表段落1"/>
    <w:basedOn w:val="1"/>
    <w:qFormat/>
    <w:uiPriority w:val="34"/>
    <w:pPr>
      <w:ind w:firstLine="420" w:firstLineChars="200"/>
    </w:pPr>
    <w:rPr>
      <w:rFonts w:ascii="Times New Roman" w:hAnsi="Times New Roman" w:eastAsia="宋体" w:cs="Times New Roman"/>
      <w:szCs w:val="22"/>
    </w:rPr>
  </w:style>
  <w:style w:type="character" w:customStyle="1" w:styleId="72">
    <w:name w:val="批注框文本 字符"/>
    <w:basedOn w:val="32"/>
    <w:link w:val="18"/>
    <w:qFormat/>
    <w:uiPriority w:val="0"/>
    <w:rPr>
      <w:rFonts w:asciiTheme="minorHAnsi" w:hAnsiTheme="minorHAnsi" w:eastAsiaTheme="minorEastAsia" w:cstheme="minorBidi"/>
      <w:kern w:val="2"/>
      <w:sz w:val="18"/>
      <w:szCs w:val="18"/>
    </w:rPr>
  </w:style>
  <w:style w:type="character" w:customStyle="1" w:styleId="73">
    <w:name w:val="样式 仿宋"/>
    <w:qFormat/>
    <w:uiPriority w:val="0"/>
    <w:rPr>
      <w:rFonts w:ascii="仿宋" w:hAnsi="仿宋" w:eastAsia="仿宋"/>
      <w:kern w:val="1"/>
    </w:rPr>
  </w:style>
  <w:style w:type="paragraph" w:customStyle="1" w:styleId="74">
    <w:name w:val="正文首行缩进1"/>
    <w:basedOn w:val="13"/>
    <w:next w:val="1"/>
    <w:qFormat/>
    <w:uiPriority w:val="0"/>
    <w:pPr>
      <w:ind w:firstLine="420" w:firstLineChars="100"/>
    </w:pPr>
    <w:rPr>
      <w:rFonts w:ascii="Times New Roman" w:hAnsi="Times New Roman"/>
    </w:rPr>
  </w:style>
  <w:style w:type="paragraph" w:customStyle="1" w:styleId="75">
    <w:name w:val="Normal"/>
    <w:qFormat/>
    <w:uiPriority w:val="0"/>
    <w:pPr>
      <w:jc w:val="both"/>
    </w:pPr>
    <w:rPr>
      <w:rFonts w:ascii="Times New Roman" w:hAnsi="Times New Roman" w:eastAsia="宋体" w:cs="Times New Roman"/>
      <w:kern w:val="2"/>
      <w:sz w:val="21"/>
      <w:szCs w:val="21"/>
      <w:lang w:val="en-US" w:eastAsia="zh-CN" w:bidi="ar-SA"/>
    </w:rPr>
  </w:style>
  <w:style w:type="paragraph" w:customStyle="1" w:styleId="76">
    <w:name w:val="List Paragraph1"/>
    <w:basedOn w:val="1"/>
    <w:qFormat/>
    <w:uiPriority w:val="99"/>
    <w:pPr>
      <w:ind w:firstLine="420" w:firstLineChars="200"/>
    </w:pPr>
  </w:style>
  <w:style w:type="paragraph" w:customStyle="1" w:styleId="77">
    <w:name w:val="Table Text"/>
    <w:basedOn w:val="1"/>
    <w:semiHidden/>
    <w:qFormat/>
    <w:uiPriority w:val="0"/>
    <w:rPr>
      <w:rFonts w:ascii="宋体" w:hAnsi="宋体" w:eastAsia="宋体" w:cs="宋体"/>
      <w:sz w:val="24"/>
      <w:szCs w:val="24"/>
      <w:lang w:val="en-US" w:eastAsia="en-US" w:bidi="ar-SA"/>
    </w:rPr>
  </w:style>
  <w:style w:type="table" w:customStyle="1" w:styleId="78">
    <w:name w:val="Table Normal"/>
    <w:semiHidden/>
    <w:unhideWhenUsed/>
    <w:qFormat/>
    <w:uiPriority w:val="0"/>
    <w:tblPr>
      <w:tblCellMar>
        <w:top w:w="0" w:type="dxa"/>
        <w:left w:w="0" w:type="dxa"/>
        <w:bottom w:w="0" w:type="dxa"/>
        <w:right w:w="0" w:type="dxa"/>
      </w:tblCellMar>
    </w:tblPr>
  </w:style>
  <w:style w:type="paragraph" w:customStyle="1" w:styleId="79">
    <w:name w:val="正文_2_0"/>
    <w:basedOn w:val="80"/>
    <w:next w:val="85"/>
    <w:qFormat/>
    <w:uiPriority w:val="0"/>
    <w:rPr>
      <w:rFonts w:cs="Times New Roman"/>
    </w:rPr>
  </w:style>
  <w:style w:type="paragraph" w:customStyle="1" w:styleId="80">
    <w:name w:val="正文_3_0_0"/>
    <w:basedOn w:val="81"/>
    <w:next w:val="82"/>
    <w:qFormat/>
    <w:uiPriority w:val="0"/>
    <w:rPr>
      <w:rFonts w:cs="Calibri"/>
      <w:szCs w:val="21"/>
    </w:rPr>
  </w:style>
  <w:style w:type="paragraph" w:customStyle="1" w:styleId="81">
    <w:name w:val="Normal_0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2">
    <w:name w:val="正文文本_1_0_0"/>
    <w:basedOn w:val="83"/>
    <w:unhideWhenUsed/>
    <w:qFormat/>
    <w:uiPriority w:val="0"/>
    <w:pPr>
      <w:spacing w:after="120"/>
    </w:pPr>
    <w:rPr>
      <w:rFonts w:ascii="Times New Roman" w:hAnsi="Times New Roman" w:eastAsia="宋体"/>
      <w:szCs w:val="20"/>
    </w:rPr>
  </w:style>
  <w:style w:type="paragraph" w:customStyle="1" w:styleId="83">
    <w:name w:val="正文_2_0_0_0_0"/>
    <w:basedOn w:val="84"/>
    <w:next w:val="82"/>
    <w:qFormat/>
    <w:uiPriority w:val="0"/>
    <w:rPr>
      <w:rFonts w:ascii="等线" w:hAnsi="等线" w:eastAsia="等线"/>
    </w:rPr>
  </w:style>
  <w:style w:type="paragraph" w:customStyle="1" w:styleId="84">
    <w:name w:val="正文_8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5">
    <w:name w:val="正文文本_2_0"/>
    <w:basedOn w:val="86"/>
    <w:qFormat/>
    <w:uiPriority w:val="0"/>
    <w:pPr>
      <w:spacing w:after="120"/>
    </w:pPr>
    <w:rPr>
      <w:rFonts w:ascii="Times New Roman" w:hAnsi="Times New Roman"/>
      <w:szCs w:val="24"/>
    </w:rPr>
  </w:style>
  <w:style w:type="paragraph" w:customStyle="1" w:styleId="86">
    <w:name w:val="正文_12"/>
    <w:qFormat/>
    <w:uiPriority w:val="0"/>
    <w:pPr>
      <w:widowControl w:val="0"/>
      <w:jc w:val="both"/>
    </w:pPr>
    <w:rPr>
      <w:rFonts w:ascii="Calibri" w:hAnsi="Calibri" w:eastAsia="宋体" w:cs="Times New Roman"/>
      <w:kern w:val="2"/>
      <w:sz w:val="21"/>
      <w:szCs w:val="22"/>
      <w:lang w:val="en-US" w:eastAsia="zh-CN" w:bidi="ar-SA"/>
    </w:rPr>
  </w:style>
  <w:style w:type="paragraph" w:customStyle="1" w:styleId="87">
    <w:name w:val="Normal_3"/>
    <w:qFormat/>
    <w:uiPriority w:val="0"/>
    <w:rPr>
      <w:rFonts w:ascii="黑体" w:hAnsi="黑体" w:eastAsia="黑体" w:cs="Times New Roman"/>
      <w:b/>
      <w:sz w:val="32"/>
      <w:szCs w:val="24"/>
      <w:lang w:val="en-US" w:eastAsia="zh-CN" w:bidi="ar-SA"/>
    </w:rPr>
  </w:style>
  <w:style w:type="paragraph" w:customStyle="1" w:styleId="88">
    <w:name w:val="Normal_2"/>
    <w:qFormat/>
    <w:uiPriority w:val="0"/>
    <w:rPr>
      <w:rFonts w:ascii="黑体" w:hAnsi="黑体" w:eastAsia="黑体" w:cs="Times New Roman"/>
      <w:b/>
      <w:sz w:val="32"/>
      <w:szCs w:val="24"/>
      <w:lang w:val="en-US" w:eastAsia="zh-CN" w:bidi="ar-SA"/>
    </w:rPr>
  </w:style>
  <w:style w:type="paragraph" w:customStyle="1" w:styleId="89">
    <w:name w:val="正文2"/>
    <w:basedOn w:val="58"/>
    <w:next w:val="90"/>
    <w:qFormat/>
    <w:uiPriority w:val="0"/>
  </w:style>
  <w:style w:type="paragraph" w:customStyle="1" w:styleId="90">
    <w:name w:val="正文文本2"/>
    <w:basedOn w:val="89"/>
    <w:qFormat/>
    <w:uiPriority w:val="0"/>
    <w:pPr>
      <w:spacing w:after="120"/>
    </w:pPr>
  </w:style>
  <w:style w:type="paragraph" w:customStyle="1" w:styleId="91">
    <w:name w:val="Normal_12"/>
    <w:qFormat/>
    <w:uiPriority w:val="0"/>
    <w:rPr>
      <w:rFonts w:ascii="黑体" w:hAnsi="黑体" w:eastAsia="黑体" w:cs="Times New Roman"/>
      <w:b/>
      <w:sz w:val="32"/>
      <w:szCs w:val="24"/>
      <w:lang w:val="en-US" w:eastAsia="zh-CN" w:bidi="ar-SA"/>
    </w:rPr>
  </w:style>
  <w:style w:type="paragraph" w:customStyle="1" w:styleId="92">
    <w:name w:val="正文_6_0_0"/>
    <w:basedOn w:val="93"/>
    <w:qFormat/>
    <w:uiPriority w:val="0"/>
    <w:rPr>
      <w:rFonts w:cs="Calibri"/>
      <w:szCs w:val="21"/>
    </w:rPr>
  </w:style>
  <w:style w:type="paragraph" w:customStyle="1" w:styleId="93">
    <w:name w:val="正文_0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94">
    <w:name w:val="正文_4_1_0"/>
    <w:basedOn w:val="95"/>
    <w:next w:val="96"/>
    <w:qFormat/>
    <w:uiPriority w:val="0"/>
    <w:rPr>
      <w:rFonts w:ascii="Times New Roman" w:hAnsi="Times New Roman"/>
      <w:szCs w:val="24"/>
    </w:rPr>
  </w:style>
  <w:style w:type="paragraph" w:customStyle="1" w:styleId="95">
    <w:name w:val="正文_4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96">
    <w:name w:val="引文目录标题_3_1_0"/>
    <w:basedOn w:val="94"/>
    <w:next w:val="94"/>
    <w:qFormat/>
    <w:uiPriority w:val="0"/>
    <w:pPr>
      <w:spacing w:before="120"/>
    </w:pPr>
    <w:rPr>
      <w:rFonts w:ascii="Cambria" w:hAnsi="Cambria"/>
      <w:sz w:val="24"/>
    </w:rPr>
  </w:style>
  <w:style w:type="character" w:customStyle="1" w:styleId="97">
    <w:name w:val="font31"/>
    <w:basedOn w:val="32"/>
    <w:qFormat/>
    <w:uiPriority w:val="0"/>
    <w:rPr>
      <w:rFonts w:hint="eastAsia" w:ascii="宋体" w:hAnsi="宋体" w:eastAsia="宋体" w:cs="宋体"/>
      <w:color w:val="000000"/>
      <w:sz w:val="18"/>
      <w:szCs w:val="18"/>
      <w:u w:val="none"/>
    </w:rPr>
  </w:style>
  <w:style w:type="character" w:customStyle="1" w:styleId="98">
    <w:name w:val="font71"/>
    <w:basedOn w:val="32"/>
    <w:qFormat/>
    <w:uiPriority w:val="0"/>
    <w:rPr>
      <w:rFonts w:hint="eastAsia" w:ascii="宋体" w:hAnsi="宋体" w:eastAsia="宋体" w:cs="宋体"/>
      <w:color w:val="FF0000"/>
      <w:sz w:val="18"/>
      <w:szCs w:val="18"/>
      <w:u w:val="none"/>
    </w:rPr>
  </w:style>
  <w:style w:type="character" w:customStyle="1" w:styleId="99">
    <w:name w:val="font01"/>
    <w:basedOn w:val="32"/>
    <w:qFormat/>
    <w:uiPriority w:val="0"/>
    <w:rPr>
      <w:rFonts w:hint="eastAsia" w:ascii="宋体" w:hAnsi="宋体" w:eastAsia="宋体" w:cs="宋体"/>
      <w:color w:val="000000"/>
      <w:sz w:val="22"/>
      <w:szCs w:val="22"/>
      <w:u w:val="none"/>
    </w:rPr>
  </w:style>
  <w:style w:type="character" w:customStyle="1" w:styleId="100">
    <w:name w:val="font51"/>
    <w:basedOn w:val="32"/>
    <w:qFormat/>
    <w:uiPriority w:val="0"/>
    <w:rPr>
      <w:rFonts w:hint="eastAsia" w:ascii="宋体" w:hAnsi="宋体" w:eastAsia="宋体" w:cs="宋体"/>
      <w:color w:val="FF0000"/>
      <w:sz w:val="18"/>
      <w:szCs w:val="18"/>
      <w:u w:val="none"/>
    </w:rPr>
  </w:style>
  <w:style w:type="character" w:customStyle="1" w:styleId="101">
    <w:name w:val="font41"/>
    <w:basedOn w:val="32"/>
    <w:qFormat/>
    <w:uiPriority w:val="0"/>
    <w:rPr>
      <w:rFonts w:hint="eastAsia" w:ascii="宋体" w:hAnsi="宋体" w:eastAsia="宋体" w:cs="宋体"/>
      <w:color w:val="000000"/>
      <w:sz w:val="20"/>
      <w:szCs w:val="20"/>
      <w:u w:val="none"/>
    </w:rPr>
  </w:style>
  <w:style w:type="character" w:customStyle="1" w:styleId="102">
    <w:name w:val="NormalCharacter"/>
    <w:qFormat/>
    <w:uiPriority w:val="0"/>
    <w:rPr>
      <w:rFonts w:ascii="宋体" w:hAnsi="宋体" w:eastAsia="宋体" w:cs="宋体"/>
      <w:kern w:val="2"/>
      <w:sz w:val="28"/>
      <w:szCs w:val="28"/>
      <w:lang w:val="en-US" w:eastAsia="zh-CN" w:bidi="ar-SA"/>
    </w:rPr>
  </w:style>
  <w:style w:type="paragraph" w:customStyle="1" w:styleId="103">
    <w:name w:val="LO-Normal"/>
    <w:qFormat/>
    <w:uiPriority w:val="0"/>
    <w:pPr>
      <w:suppressAutoHyphens/>
    </w:pPr>
    <w:rPr>
      <w:rFonts w:ascii="Times New Roman" w:hAnsi="Times New Roman" w:eastAsia="宋体" w:cs="Times New Roman"/>
      <w:sz w:val="24"/>
      <w:szCs w:val="24"/>
      <w:lang w:val="en-US" w:eastAsia="zh-CN" w:bidi="ar-SA"/>
    </w:rPr>
  </w:style>
  <w:style w:type="paragraph" w:styleId="104">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105">
    <w:name w:val="font141"/>
    <w:basedOn w:val="32"/>
    <w:qFormat/>
    <w:uiPriority w:val="0"/>
    <w:rPr>
      <w:rFonts w:ascii="仿宋" w:hAnsi="仿宋" w:eastAsia="仿宋" w:cs="仿宋"/>
      <w:color w:val="000000"/>
      <w:sz w:val="30"/>
      <w:szCs w:val="30"/>
      <w:u w:val="none"/>
    </w:rPr>
  </w:style>
  <w:style w:type="character" w:customStyle="1" w:styleId="106">
    <w:name w:val="font91"/>
    <w:basedOn w:val="32"/>
    <w:qFormat/>
    <w:uiPriority w:val="0"/>
    <w:rPr>
      <w:rFonts w:ascii="宋体" w:hAnsi="宋体" w:eastAsia="宋体" w:cs="宋体"/>
      <w:color w:val="000000"/>
      <w:sz w:val="24"/>
      <w:szCs w:val="24"/>
      <w:u w:val="none"/>
    </w:rPr>
  </w:style>
  <w:style w:type="character" w:customStyle="1" w:styleId="107">
    <w:name w:val="font101"/>
    <w:basedOn w:val="32"/>
    <w:qFormat/>
    <w:uiPriority w:val="0"/>
    <w:rPr>
      <w:rFonts w:ascii="宋体" w:hAnsi="宋体" w:eastAsia="宋体" w:cs="宋体"/>
      <w:color w:val="403040"/>
      <w:sz w:val="24"/>
      <w:szCs w:val="24"/>
      <w:u w:val="none"/>
    </w:rPr>
  </w:style>
  <w:style w:type="character" w:customStyle="1" w:styleId="108">
    <w:name w:val="font112"/>
    <w:basedOn w:val="32"/>
    <w:qFormat/>
    <w:uiPriority w:val="0"/>
    <w:rPr>
      <w:rFonts w:ascii="宋体" w:hAnsi="宋体" w:eastAsia="宋体" w:cs="宋体"/>
      <w:color w:val="000000"/>
      <w:sz w:val="24"/>
      <w:szCs w:val="24"/>
      <w:u w:val="none"/>
    </w:rPr>
  </w:style>
  <w:style w:type="character" w:customStyle="1" w:styleId="109">
    <w:name w:val="font81"/>
    <w:basedOn w:val="32"/>
    <w:qFormat/>
    <w:uiPriority w:val="0"/>
    <w:rPr>
      <w:rFonts w:hint="eastAsia" w:ascii="宋体" w:hAnsi="宋体" w:eastAsia="宋体" w:cs="宋体"/>
      <w:color w:val="000000"/>
      <w:sz w:val="22"/>
      <w:szCs w:val="22"/>
      <w:u w:val="none"/>
    </w:rPr>
  </w:style>
  <w:style w:type="character" w:customStyle="1" w:styleId="110">
    <w:name w:val="font131"/>
    <w:basedOn w:val="32"/>
    <w:qFormat/>
    <w:uiPriority w:val="0"/>
    <w:rPr>
      <w:rFonts w:ascii="宋体" w:hAnsi="宋体" w:eastAsia="宋体" w:cs="宋体"/>
      <w:color w:val="403040"/>
      <w:sz w:val="24"/>
      <w:szCs w:val="24"/>
      <w:u w:val="none"/>
    </w:rPr>
  </w:style>
  <w:style w:type="character" w:customStyle="1" w:styleId="111">
    <w:name w:val="font11"/>
    <w:basedOn w:val="32"/>
    <w:qFormat/>
    <w:uiPriority w:val="0"/>
    <w:rPr>
      <w:rFonts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93</Pages>
  <Words>2408</Words>
  <Characters>2842</Characters>
  <Lines>415</Lines>
  <Paragraphs>116</Paragraphs>
  <TotalTime>0</TotalTime>
  <ScaleCrop>false</ScaleCrop>
  <LinksUpToDate>false</LinksUpToDate>
  <CharactersWithSpaces>2890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2021-04-14T03:53:00Z</dcterms:created>
  <dc:creator>李航</dc:creator>
  <cp:lastModifiedBy>项目组</cp:lastModifiedBy>
  <cp:lastPrinted>2025-09-25T02:44:00Z</cp:lastPrinted>
  <dcterms:modified xsi:type="dcterms:W3CDTF">2026-05-15T09:36:53Z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AFFD7A61B9A5491588B66CFAD2CC50FD_13</vt:lpwstr>
  </property>
  <property fmtid="{D5CDD505-2E9C-101B-9397-08002B2CF9AE}" pid="4" name="KSOSaveFontToCloudKey">
    <vt:lpwstr>340659104_cloud</vt:lpwstr>
  </property>
  <property fmtid="{D5CDD505-2E9C-101B-9397-08002B2CF9AE}" pid="5" name="KSOTemplateDocerSaveRecord">
    <vt:lpwstr>eyJoZGlkIjoiODZmMzMyOWU4MTlkNGU4ODg5OWUzMGE1OWMxZTk1MjMiLCJ1c2VySWQiOiI1Nzg4MDM0MTYifQ==</vt:lpwstr>
  </property>
</Properties>
</file>