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05DC">
      <w:pPr>
        <w:adjustRightInd w:val="0"/>
        <w:spacing w:before="24" w:beforeLines="10" w:line="360" w:lineRule="auto"/>
        <w:ind w:firstLine="1285" w:firstLineChars="200"/>
        <w:jc w:val="center"/>
        <w:rPr>
          <w:rFonts w:hint="eastAsia" w:ascii="宋体" w:hAnsi="宋体" w:eastAsia="宋体" w:cs="宋体"/>
          <w:b/>
          <w:bCs/>
          <w:color w:val="auto"/>
          <w:sz w:val="64"/>
          <w:highlight w:val="none"/>
        </w:rPr>
      </w:pPr>
    </w:p>
    <w:p w14:paraId="2EF6854D">
      <w:pPr>
        <w:spacing w:line="360" w:lineRule="auto"/>
        <w:ind w:right="409" w:rightChars="195"/>
        <w:jc w:val="center"/>
        <w:rPr>
          <w:rFonts w:hint="eastAsia" w:ascii="宋体" w:hAnsi="宋体" w:eastAsia="宋体" w:cs="宋体"/>
          <w:b/>
          <w:color w:val="auto"/>
          <w:sz w:val="56"/>
          <w:szCs w:val="56"/>
          <w:highlight w:val="none"/>
          <w:lang w:eastAsia="zh-CN"/>
        </w:rPr>
      </w:pPr>
      <w:r>
        <w:rPr>
          <w:rFonts w:hint="eastAsia" w:ascii="宋体" w:hAnsi="宋体" w:eastAsia="宋体" w:cs="宋体"/>
          <w:b/>
          <w:color w:val="auto"/>
          <w:kern w:val="0"/>
          <w:sz w:val="52"/>
          <w:szCs w:val="52"/>
          <w:highlight w:val="none"/>
          <w:lang w:eastAsia="zh-CN"/>
        </w:rPr>
        <w:t>临沧市重点自然保护区生态安全风险监测预警能力建设项目</w:t>
      </w:r>
    </w:p>
    <w:p w14:paraId="502FF811">
      <w:pPr>
        <w:pStyle w:val="18"/>
        <w:spacing w:line="360" w:lineRule="auto"/>
        <w:jc w:val="center"/>
        <w:rPr>
          <w:rFonts w:hint="eastAsia" w:ascii="宋体" w:hAnsi="宋体" w:eastAsia="宋体" w:cs="宋体"/>
          <w:bCs/>
          <w:color w:val="auto"/>
          <w:sz w:val="48"/>
          <w:highlight w:val="none"/>
        </w:rPr>
      </w:pPr>
    </w:p>
    <w:p w14:paraId="0B3BC7A1">
      <w:pPr>
        <w:pStyle w:val="18"/>
        <w:spacing w:line="360" w:lineRule="auto"/>
        <w:jc w:val="center"/>
        <w:rPr>
          <w:rFonts w:hint="eastAsia" w:ascii="宋体" w:hAnsi="宋体" w:eastAsia="宋体" w:cs="宋体"/>
          <w:bCs/>
          <w:color w:val="auto"/>
          <w:sz w:val="72"/>
          <w:highlight w:val="none"/>
        </w:rPr>
      </w:pPr>
    </w:p>
    <w:p w14:paraId="22B5E076">
      <w:pPr>
        <w:pStyle w:val="18"/>
        <w:autoSpaceDE w:val="0"/>
        <w:autoSpaceDN w:val="0"/>
        <w:adjustRightInd w:val="0"/>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招标文件</w:t>
      </w:r>
    </w:p>
    <w:p w14:paraId="4F9910BE">
      <w:pPr>
        <w:pStyle w:val="18"/>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项目</w:t>
      </w:r>
      <w:r>
        <w:rPr>
          <w:rFonts w:hint="eastAsia" w:ascii="宋体" w:hAnsi="宋体" w:eastAsia="宋体" w:cs="宋体"/>
          <w:b/>
          <w:bCs/>
          <w:color w:val="auto"/>
          <w:kern w:val="0"/>
          <w:sz w:val="32"/>
          <w:szCs w:val="32"/>
          <w:highlight w:val="none"/>
        </w:rPr>
        <w:t>编号：</w:t>
      </w:r>
      <w:r>
        <w:rPr>
          <w:rFonts w:hint="eastAsia" w:hAnsi="宋体" w:cs="宋体"/>
          <w:b/>
          <w:bCs/>
          <w:color w:val="auto"/>
          <w:kern w:val="0"/>
          <w:sz w:val="32"/>
          <w:szCs w:val="32"/>
          <w:highlight w:val="none"/>
          <w:lang w:val="en-US" w:eastAsia="zh-CN"/>
        </w:rPr>
        <w:t xml:space="preserve"> LCZC2026-G1-00381-ZZGJ-0312</w:t>
      </w:r>
    </w:p>
    <w:p w14:paraId="0EF001EC">
      <w:pPr>
        <w:pStyle w:val="18"/>
        <w:jc w:val="center"/>
        <w:rPr>
          <w:rFonts w:hint="eastAsia" w:ascii="宋体" w:hAnsi="宋体" w:eastAsia="宋体" w:cs="宋体"/>
          <w:color w:val="auto"/>
          <w:highlight w:val="none"/>
        </w:rPr>
      </w:pPr>
      <w:r>
        <w:rPr>
          <w:rFonts w:hint="eastAsia" w:ascii="宋体" w:hAnsi="宋体" w:eastAsia="宋体" w:cs="宋体"/>
          <w:b/>
          <w:bCs/>
          <w:color w:val="auto"/>
          <w:kern w:val="0"/>
          <w:sz w:val="32"/>
          <w:szCs w:val="32"/>
          <w:highlight w:val="none"/>
          <w:lang w:val="en-US" w:eastAsia="zh-CN"/>
        </w:rPr>
        <w:t>代理机构</w:t>
      </w:r>
      <w:r>
        <w:rPr>
          <w:rFonts w:hint="eastAsia" w:ascii="宋体" w:hAnsi="宋体" w:eastAsia="宋体" w:cs="宋体"/>
          <w:b/>
          <w:bCs/>
          <w:color w:val="auto"/>
          <w:kern w:val="0"/>
          <w:sz w:val="32"/>
          <w:szCs w:val="32"/>
          <w:highlight w:val="none"/>
          <w:lang w:eastAsia="zh-CN"/>
        </w:rPr>
        <w:t>项目编号：</w:t>
      </w:r>
      <w:r>
        <w:rPr>
          <w:rFonts w:hint="eastAsia" w:hAnsi="宋体" w:cs="宋体"/>
          <w:b/>
          <w:bCs/>
          <w:color w:val="auto"/>
          <w:kern w:val="0"/>
          <w:sz w:val="32"/>
          <w:szCs w:val="32"/>
          <w:highlight w:val="none"/>
          <w:lang w:eastAsia="zh-CN"/>
        </w:rPr>
        <w:t>TC2697046</w:t>
      </w:r>
    </w:p>
    <w:p w14:paraId="5E9E2375">
      <w:pPr>
        <w:rPr>
          <w:rFonts w:hint="eastAsia" w:ascii="宋体" w:hAnsi="宋体" w:eastAsia="宋体" w:cs="宋体"/>
          <w:bCs/>
          <w:color w:val="auto"/>
          <w:sz w:val="32"/>
          <w:szCs w:val="32"/>
          <w:highlight w:val="none"/>
        </w:rPr>
      </w:pPr>
    </w:p>
    <w:p w14:paraId="5184B1B0">
      <w:pPr>
        <w:pStyle w:val="17"/>
        <w:rPr>
          <w:rFonts w:hint="eastAsia" w:ascii="宋体" w:hAnsi="宋体" w:eastAsia="宋体" w:cs="宋体"/>
          <w:color w:val="auto"/>
          <w:highlight w:val="none"/>
        </w:rPr>
      </w:pPr>
    </w:p>
    <w:p w14:paraId="618CC9F5">
      <w:pPr>
        <w:pStyle w:val="17"/>
        <w:rPr>
          <w:rFonts w:hint="eastAsia" w:ascii="宋体" w:hAnsi="宋体" w:eastAsia="宋体" w:cs="宋体"/>
          <w:color w:val="auto"/>
          <w:highlight w:val="none"/>
        </w:rPr>
      </w:pPr>
    </w:p>
    <w:p w14:paraId="77F3E949">
      <w:pPr>
        <w:pStyle w:val="18"/>
        <w:spacing w:line="360" w:lineRule="auto"/>
        <w:ind w:firstLine="2249" w:firstLineChars="700"/>
        <w:rPr>
          <w:rFonts w:hint="eastAsia" w:ascii="宋体" w:hAnsi="宋体" w:eastAsia="宋体" w:cs="宋体"/>
          <w:b/>
          <w:bCs/>
          <w:color w:val="auto"/>
          <w:sz w:val="32"/>
          <w:highlight w:val="none"/>
        </w:rPr>
      </w:pPr>
    </w:p>
    <w:p w14:paraId="4C4B9797">
      <w:pPr>
        <w:pStyle w:val="18"/>
        <w:spacing w:line="360" w:lineRule="auto"/>
        <w:jc w:val="center"/>
        <w:rPr>
          <w:rFonts w:hint="eastAsia" w:ascii="宋体" w:hAnsi="宋体" w:eastAsia="宋体" w:cs="宋体"/>
          <w:b/>
          <w:bCs/>
          <w:color w:val="auto"/>
          <w:sz w:val="32"/>
          <w:highlight w:val="none"/>
        </w:rPr>
      </w:pPr>
    </w:p>
    <w:p w14:paraId="651AD57F">
      <w:pPr>
        <w:pStyle w:val="18"/>
        <w:spacing w:line="360" w:lineRule="auto"/>
        <w:jc w:val="center"/>
        <w:rPr>
          <w:rFonts w:hint="eastAsia" w:ascii="宋体" w:hAnsi="宋体" w:eastAsia="宋体" w:cs="宋体"/>
          <w:b/>
          <w:bCs/>
          <w:color w:val="auto"/>
          <w:sz w:val="32"/>
          <w:highlight w:val="none"/>
        </w:rPr>
      </w:pPr>
    </w:p>
    <w:p w14:paraId="34DCF665">
      <w:pPr>
        <w:pStyle w:val="18"/>
        <w:spacing w:line="360" w:lineRule="auto"/>
        <w:jc w:val="center"/>
        <w:rPr>
          <w:rFonts w:hint="eastAsia" w:ascii="宋体" w:hAnsi="宋体" w:eastAsia="宋体" w:cs="宋体"/>
          <w:b/>
          <w:bCs/>
          <w:color w:val="auto"/>
          <w:sz w:val="32"/>
          <w:highlight w:val="none"/>
        </w:rPr>
      </w:pPr>
    </w:p>
    <w:p w14:paraId="7D7A7DF9">
      <w:pPr>
        <w:pStyle w:val="18"/>
        <w:spacing w:line="360" w:lineRule="auto"/>
        <w:jc w:val="center"/>
        <w:rPr>
          <w:rFonts w:hint="eastAsia" w:ascii="宋体" w:hAnsi="宋体" w:eastAsia="宋体" w:cs="宋体"/>
          <w:b/>
          <w:bCs/>
          <w:color w:val="auto"/>
          <w:sz w:val="32"/>
          <w:highlight w:val="none"/>
          <w:u w:val="single"/>
          <w:lang w:eastAsia="zh-CN"/>
        </w:rPr>
      </w:pPr>
      <w:r>
        <w:rPr>
          <w:rFonts w:hint="eastAsia" w:ascii="宋体" w:hAnsi="宋体" w:eastAsia="宋体" w:cs="宋体"/>
          <w:b/>
          <w:bCs/>
          <w:color w:val="auto"/>
          <w:sz w:val="32"/>
          <w:highlight w:val="none"/>
        </w:rPr>
        <w:t>采购人：</w:t>
      </w:r>
      <w:r>
        <w:rPr>
          <w:rFonts w:hint="eastAsia" w:ascii="宋体" w:hAnsi="宋体" w:eastAsia="宋体" w:cs="宋体"/>
          <w:b/>
          <w:bCs/>
          <w:color w:val="auto"/>
          <w:sz w:val="32"/>
          <w:highlight w:val="none"/>
          <w:lang w:eastAsia="zh-CN"/>
        </w:rPr>
        <w:t>临沧市生态环境局</w:t>
      </w:r>
    </w:p>
    <w:p w14:paraId="1470605F">
      <w:pPr>
        <w:pStyle w:val="18"/>
        <w:spacing w:line="360" w:lineRule="auto"/>
        <w:jc w:val="center"/>
        <w:rPr>
          <w:rFonts w:hint="eastAsia" w:ascii="宋体" w:hAnsi="宋体" w:eastAsia="宋体" w:cs="宋体"/>
          <w:b/>
          <w:bCs/>
          <w:color w:val="auto"/>
          <w:sz w:val="32"/>
          <w:highlight w:val="none"/>
          <w:lang w:eastAsia="zh-CN"/>
        </w:rPr>
      </w:pPr>
      <w:r>
        <w:rPr>
          <w:rFonts w:hint="eastAsia" w:ascii="宋体" w:hAnsi="宋体" w:eastAsia="宋体" w:cs="宋体"/>
          <w:b/>
          <w:bCs/>
          <w:color w:val="auto"/>
          <w:sz w:val="32"/>
          <w:highlight w:val="none"/>
        </w:rPr>
        <w:t>采购代理机构：</w:t>
      </w:r>
      <w:r>
        <w:rPr>
          <w:rFonts w:hint="eastAsia" w:ascii="宋体" w:hAnsi="宋体" w:eastAsia="宋体" w:cs="宋体"/>
          <w:b/>
          <w:color w:val="auto"/>
          <w:sz w:val="32"/>
          <w:szCs w:val="32"/>
          <w:highlight w:val="none"/>
          <w:lang w:eastAsia="zh-CN"/>
        </w:rPr>
        <w:t>中招国际招标有限公司</w:t>
      </w:r>
    </w:p>
    <w:p w14:paraId="2A3E533C">
      <w:pPr>
        <w:pStyle w:val="18"/>
        <w:spacing w:line="360" w:lineRule="auto"/>
        <w:jc w:val="center"/>
        <w:rPr>
          <w:rFonts w:hint="eastAsia" w:ascii="宋体" w:hAnsi="宋体" w:eastAsia="宋体" w:cs="宋体"/>
          <w:color w:val="auto"/>
          <w:sz w:val="52"/>
          <w:szCs w:val="22"/>
          <w:highlight w:val="none"/>
        </w:rPr>
      </w:pPr>
      <w:r>
        <w:rPr>
          <w:rFonts w:hint="eastAsia" w:ascii="宋体" w:hAnsi="宋体" w:eastAsia="宋体" w:cs="宋体"/>
          <w:b/>
          <w:bCs/>
          <w:color w:val="auto"/>
          <w:sz w:val="32"/>
          <w:highlight w:val="none"/>
        </w:rPr>
        <w:t>二〇二</w:t>
      </w:r>
      <w:r>
        <w:rPr>
          <w:rFonts w:hint="eastAsia" w:ascii="宋体" w:hAnsi="宋体" w:eastAsia="宋体" w:cs="宋体"/>
          <w:b/>
          <w:bCs/>
          <w:color w:val="auto"/>
          <w:sz w:val="32"/>
          <w:highlight w:val="none"/>
          <w:lang w:val="en-US" w:eastAsia="zh-CN"/>
        </w:rPr>
        <w:t>六</w:t>
      </w:r>
      <w:r>
        <w:rPr>
          <w:rFonts w:hint="eastAsia" w:ascii="宋体" w:hAnsi="宋体" w:eastAsia="宋体" w:cs="宋体"/>
          <w:b/>
          <w:bCs/>
          <w:color w:val="auto"/>
          <w:sz w:val="32"/>
          <w:highlight w:val="none"/>
        </w:rPr>
        <w:t>年</w:t>
      </w:r>
      <w:r>
        <w:rPr>
          <w:rFonts w:hint="eastAsia" w:hAnsi="宋体" w:cs="宋体"/>
          <w:b/>
          <w:bCs/>
          <w:color w:val="auto"/>
          <w:sz w:val="32"/>
          <w:highlight w:val="none"/>
          <w:lang w:val="en-US" w:eastAsia="zh-CN"/>
        </w:rPr>
        <w:t>五</w:t>
      </w:r>
      <w:r>
        <w:rPr>
          <w:rFonts w:hint="eastAsia" w:ascii="宋体" w:hAnsi="宋体" w:eastAsia="宋体" w:cs="宋体"/>
          <w:b/>
          <w:bCs/>
          <w:color w:val="auto"/>
          <w:sz w:val="32"/>
          <w:highlight w:val="none"/>
        </w:rPr>
        <w:t>月</w:t>
      </w:r>
    </w:p>
    <w:p w14:paraId="0F0D70B2">
      <w:pPr>
        <w:pStyle w:val="18"/>
        <w:spacing w:line="360" w:lineRule="auto"/>
        <w:jc w:val="center"/>
        <w:rPr>
          <w:rFonts w:hint="eastAsia" w:ascii="宋体" w:hAnsi="宋体" w:eastAsia="宋体" w:cs="宋体"/>
          <w:b/>
          <w:color w:val="auto"/>
          <w:sz w:val="40"/>
          <w:szCs w:val="40"/>
          <w:highlight w:val="none"/>
        </w:rPr>
        <w:sectPr>
          <w:headerReference r:id="rId4" w:type="first"/>
          <w:footerReference r:id="rId7" w:type="first"/>
          <w:headerReference r:id="rId3" w:type="default"/>
          <w:footerReference r:id="rId5" w:type="default"/>
          <w:footerReference r:id="rId6" w:type="even"/>
          <w:pgSz w:w="11905" w:h="16838"/>
          <w:pgMar w:top="1440" w:right="1757" w:bottom="1440" w:left="1757" w:header="850" w:footer="850" w:gutter="0"/>
          <w:pgNumType w:fmt="decimal"/>
          <w:cols w:space="720" w:num="1"/>
          <w:docGrid w:linePitch="331" w:charSpace="0"/>
        </w:sectPr>
      </w:pPr>
    </w:p>
    <w:p w14:paraId="372CF15F">
      <w:pPr>
        <w:pStyle w:val="18"/>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目录</w:t>
      </w:r>
    </w:p>
    <w:p w14:paraId="00B54C73">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TOC \o "1-2" \h \z \u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_Toc25456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第一章招标公告</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_Toc25456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6B2BC98D">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_Toc1463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第二章投标人须知</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_Toc1463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10</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17689EDB">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_Toc5459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投标人须知前附表</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_Toc5459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10</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54B2A8AB">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_Toc22587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一</w:t>
      </w:r>
      <w:r>
        <w:rPr>
          <w:rFonts w:hint="eastAsia" w:ascii="宋体" w:hAnsi="宋体" w:eastAsia="宋体" w:cs="宋体"/>
          <w:b w:val="0"/>
          <w:bCs/>
          <w:color w:val="auto"/>
          <w:kern w:val="44"/>
          <w:sz w:val="21"/>
          <w:szCs w:val="21"/>
          <w:highlight w:val="none"/>
        </w:rPr>
        <w:t>、总则</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_Toc22587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19</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5C447F13">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_Toc12860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二、招标文件</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_Toc12860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21</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7EECA1E8">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_Toc5184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三、投标文件</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_Toc5184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2B2F5A1C">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_Toc21901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四、投标文件的提交</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_Toc21901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25</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56F5711D">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_Toc30024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五、开标与评标</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_Toc30024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26</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1AE7B5D1">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_Toc24101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六、中标结果</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_Toc24101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28</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7736CFBC">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_Toc12943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七、其他事项</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_Toc12943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29</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2E38ACAA">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_Toc4802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第三章合同书样式及主要条款</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_Toc4802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31</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0602E80D">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_Toc29147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第四章投标文件格式</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_Toc29147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43</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5E3E6B93">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_Toc25358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一．开标一览表</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_Toc25358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44</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47DB4472">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_Toc15354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二、资格证明文件</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_Toc15354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45</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41D82BF6">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_Toc21976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三、商务</w:t>
      </w:r>
      <w:r>
        <w:rPr>
          <w:rFonts w:hint="eastAsia" w:ascii="宋体" w:hAnsi="宋体" w:eastAsia="宋体" w:cs="宋体"/>
          <w:b w:val="0"/>
          <w:bCs/>
          <w:color w:val="auto"/>
          <w:sz w:val="21"/>
          <w:szCs w:val="21"/>
          <w:highlight w:val="none"/>
          <w:lang w:val="en-US" w:eastAsia="zh-CN"/>
        </w:rPr>
        <w:t>技术</w:t>
      </w:r>
      <w:r>
        <w:rPr>
          <w:rFonts w:hint="eastAsia" w:ascii="宋体" w:hAnsi="宋体" w:eastAsia="宋体" w:cs="宋体"/>
          <w:b w:val="0"/>
          <w:bCs/>
          <w:color w:val="auto"/>
          <w:sz w:val="21"/>
          <w:szCs w:val="21"/>
          <w:highlight w:val="none"/>
        </w:rPr>
        <w:t>部分</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_Toc21976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56</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07808F6C">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_Toc3969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第五章采购需求</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_Toc3969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83</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0EDD925D">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_Toc19939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第六章资格评审标准</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_Toc19939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101</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08A146F6">
      <w:pPr>
        <w:pStyle w:val="22"/>
        <w:keepNext w:val="0"/>
        <w:keepLines w:val="0"/>
        <w:pageBreakBefore w:val="0"/>
        <w:widowControl w:val="0"/>
        <w:tabs>
          <w:tab w:val="right" w:leader="dot" w:pos="8391"/>
          <w:tab w:val="clear" w:pos="9628"/>
        </w:tabs>
        <w:kinsoku/>
        <w:wordWrap/>
        <w:overflowPunct/>
        <w:topLinePunct w:val="0"/>
        <w:autoSpaceDE/>
        <w:autoSpaceDN/>
        <w:bidi w:val="0"/>
        <w:adjustRightInd/>
        <w:spacing w:before="0" w:after="0"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val="0"/>
          <w:smallCaps/>
          <w:color w:val="auto"/>
          <w:sz w:val="21"/>
          <w:szCs w:val="21"/>
          <w:highlight w:val="none"/>
        </w:rPr>
        <w:fldChar w:fldCharType="begin"/>
      </w:r>
      <w:r>
        <w:rPr>
          <w:rFonts w:hint="eastAsia" w:ascii="宋体" w:hAnsi="宋体" w:eastAsia="宋体" w:cs="宋体"/>
          <w:b w:val="0"/>
          <w:bCs/>
          <w:caps w:val="0"/>
          <w:smallCaps/>
          <w:color w:val="auto"/>
          <w:sz w:val="21"/>
          <w:szCs w:val="21"/>
          <w:highlight w:val="none"/>
        </w:rPr>
        <w:instrText xml:space="preserve"> HYPERLINK \l _Toc855 </w:instrText>
      </w:r>
      <w:r>
        <w:rPr>
          <w:rFonts w:hint="eastAsia" w:ascii="宋体" w:hAnsi="宋体" w:eastAsia="宋体" w:cs="宋体"/>
          <w:b w:val="0"/>
          <w:bCs/>
          <w:caps w:val="0"/>
          <w:smallCaps/>
          <w:color w:val="auto"/>
          <w:sz w:val="21"/>
          <w:szCs w:val="21"/>
          <w:highlight w:val="none"/>
        </w:rPr>
        <w:fldChar w:fldCharType="separate"/>
      </w:r>
      <w:r>
        <w:rPr>
          <w:rFonts w:hint="eastAsia" w:ascii="宋体" w:hAnsi="宋体" w:eastAsia="宋体" w:cs="宋体"/>
          <w:b w:val="0"/>
          <w:bCs/>
          <w:color w:val="auto"/>
          <w:sz w:val="21"/>
          <w:szCs w:val="21"/>
          <w:highlight w:val="none"/>
        </w:rPr>
        <w:t>第七章评标方法（综合评分法）</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_Toc855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104</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val="0"/>
          <w:smallCaps/>
          <w:color w:val="auto"/>
          <w:sz w:val="21"/>
          <w:szCs w:val="21"/>
          <w:highlight w:val="none"/>
        </w:rPr>
        <w:fldChar w:fldCharType="end"/>
      </w:r>
    </w:p>
    <w:p w14:paraId="1514A027">
      <w:pPr>
        <w:pStyle w:val="23"/>
        <w:keepNext w:val="0"/>
        <w:keepLines w:val="0"/>
        <w:pageBreakBefore w:val="0"/>
        <w:widowControl w:val="0"/>
        <w:tabs>
          <w:tab w:val="right" w:leader="dot" w:pos="8391"/>
          <w:tab w:val="clear" w:pos="9628"/>
        </w:tabs>
        <w:kinsoku/>
        <w:wordWrap/>
        <w:overflowPunct/>
        <w:topLinePunct w:val="0"/>
        <w:autoSpaceDE/>
        <w:autoSpaceDN/>
        <w:bidi w:val="0"/>
        <w:adjustRightInd/>
        <w:spacing w:line="360" w:lineRule="auto"/>
        <w:ind w:left="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aps/>
          <w:smallCaps w:val="0"/>
          <w:color w:val="auto"/>
          <w:sz w:val="21"/>
          <w:szCs w:val="21"/>
          <w:highlight w:val="none"/>
        </w:rPr>
        <w:fldChar w:fldCharType="begin"/>
      </w:r>
      <w:r>
        <w:rPr>
          <w:rFonts w:hint="eastAsia" w:ascii="宋体" w:hAnsi="宋体" w:eastAsia="宋体" w:cs="宋体"/>
          <w:b w:val="0"/>
          <w:bCs/>
          <w:caps/>
          <w:smallCaps w:val="0"/>
          <w:color w:val="auto"/>
          <w:sz w:val="21"/>
          <w:szCs w:val="21"/>
          <w:highlight w:val="none"/>
        </w:rPr>
        <w:instrText xml:space="preserve"> HYPERLINK \l _Toc31922 </w:instrText>
      </w:r>
      <w:r>
        <w:rPr>
          <w:rFonts w:hint="eastAsia" w:ascii="宋体" w:hAnsi="宋体" w:eastAsia="宋体" w:cs="宋体"/>
          <w:b w:val="0"/>
          <w:bCs/>
          <w:caps/>
          <w:smallCaps w:val="0"/>
          <w:color w:val="auto"/>
          <w:sz w:val="21"/>
          <w:szCs w:val="21"/>
          <w:highlight w:val="none"/>
        </w:rPr>
        <w:fldChar w:fldCharType="separate"/>
      </w:r>
      <w:r>
        <w:rPr>
          <w:rFonts w:hint="eastAsia" w:ascii="宋体" w:hAnsi="宋体" w:eastAsia="宋体" w:cs="宋体"/>
          <w:b w:val="0"/>
          <w:bCs/>
          <w:color w:val="auto"/>
          <w:sz w:val="21"/>
          <w:szCs w:val="21"/>
          <w:highlight w:val="none"/>
        </w:rPr>
        <w:t>评标方法前附表</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_Toc31922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104</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aps/>
          <w:smallCaps w:val="0"/>
          <w:color w:val="auto"/>
          <w:sz w:val="21"/>
          <w:szCs w:val="21"/>
          <w:highlight w:val="none"/>
        </w:rPr>
        <w:fldChar w:fldCharType="end"/>
      </w:r>
    </w:p>
    <w:p w14:paraId="4B6494AD">
      <w:pPr>
        <w:pStyle w:val="23"/>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rFonts w:hint="eastAsia" w:ascii="宋体" w:hAnsi="宋体" w:eastAsia="宋体" w:cs="宋体"/>
          <w:color w:val="auto"/>
          <w:sz w:val="21"/>
          <w:szCs w:val="21"/>
          <w:highlight w:val="none"/>
        </w:rPr>
        <w:sectPr>
          <w:footerReference r:id="rId9" w:type="first"/>
          <w:footerReference r:id="rId8" w:type="default"/>
          <w:pgSz w:w="11905" w:h="16838"/>
          <w:pgMar w:top="1440" w:right="1757" w:bottom="1440" w:left="1757" w:header="850" w:footer="850" w:gutter="0"/>
          <w:pgNumType w:fmt="decimal" w:start="1"/>
          <w:cols w:space="720" w:num="1"/>
          <w:docGrid w:linePitch="331" w:charSpace="0"/>
        </w:sectPr>
      </w:pPr>
      <w:r>
        <w:rPr>
          <w:rFonts w:hint="eastAsia" w:ascii="宋体" w:hAnsi="宋体" w:eastAsia="宋体" w:cs="宋体"/>
          <w:b w:val="0"/>
          <w:bCs/>
          <w:caps/>
          <w:smallCaps w:val="0"/>
          <w:color w:val="auto"/>
          <w:sz w:val="21"/>
          <w:szCs w:val="21"/>
          <w:highlight w:val="none"/>
        </w:rPr>
        <w:fldChar w:fldCharType="end"/>
      </w:r>
    </w:p>
    <w:p w14:paraId="647B2181">
      <w:pPr>
        <w:pStyle w:val="2"/>
        <w:numPr>
          <w:ilvl w:val="0"/>
          <w:numId w:val="0"/>
        </w:numPr>
        <w:jc w:val="center"/>
        <w:rPr>
          <w:rFonts w:hint="eastAsia" w:ascii="宋体" w:hAnsi="宋体" w:eastAsia="宋体" w:cs="宋体"/>
          <w:color w:val="auto"/>
          <w:sz w:val="36"/>
          <w:highlight w:val="none"/>
        </w:rPr>
        <w:sectPr>
          <w:footerReference r:id="rId11" w:type="first"/>
          <w:footerReference r:id="rId10" w:type="default"/>
          <w:type w:val="continuous"/>
          <w:pgSz w:w="11905" w:h="16838"/>
          <w:pgMar w:top="1440" w:right="1757" w:bottom="1440" w:left="1757" w:header="850" w:footer="850" w:gutter="0"/>
          <w:pgNumType w:fmt="decimal"/>
          <w:cols w:space="720" w:num="1"/>
          <w:docGrid w:linePitch="331" w:charSpace="0"/>
        </w:sectPr>
      </w:pPr>
      <w:bookmarkStart w:id="0" w:name="_Toc393784369"/>
    </w:p>
    <w:p w14:paraId="26CC4CB8">
      <w:pPr>
        <w:pStyle w:val="2"/>
        <w:numPr>
          <w:ilvl w:val="0"/>
          <w:numId w:val="0"/>
        </w:numPr>
        <w:jc w:val="center"/>
        <w:rPr>
          <w:rFonts w:hint="eastAsia" w:ascii="宋体" w:hAnsi="宋体" w:eastAsia="宋体" w:cs="宋体"/>
          <w:color w:val="auto"/>
          <w:sz w:val="36"/>
          <w:highlight w:val="none"/>
        </w:rPr>
      </w:pPr>
      <w:bookmarkStart w:id="1" w:name="_Toc16321"/>
      <w:bookmarkStart w:id="2" w:name="_Toc18522"/>
      <w:bookmarkStart w:id="3" w:name="_Toc25456"/>
      <w:r>
        <w:rPr>
          <w:rFonts w:hint="eastAsia" w:ascii="宋体" w:hAnsi="宋体" w:eastAsia="宋体" w:cs="宋体"/>
          <w:color w:val="auto"/>
          <w:sz w:val="36"/>
          <w:highlight w:val="none"/>
        </w:rPr>
        <w:t>第一章</w:t>
      </w:r>
      <w:bookmarkEnd w:id="0"/>
      <w:r>
        <w:rPr>
          <w:rFonts w:hint="eastAsia" w:ascii="宋体" w:hAnsi="宋体" w:eastAsia="宋体" w:cs="宋体"/>
          <w:color w:val="auto"/>
          <w:sz w:val="36"/>
          <w:highlight w:val="none"/>
        </w:rPr>
        <w:t>招标公告</w:t>
      </w:r>
      <w:bookmarkEnd w:id="1"/>
      <w:bookmarkEnd w:id="2"/>
      <w:bookmarkEnd w:id="3"/>
    </w:p>
    <w:tbl>
      <w:tblPr>
        <w:tblStyle w:val="26"/>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7"/>
      </w:tblGrid>
      <w:tr w14:paraId="6EF5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737" w:type="dxa"/>
            <w:noWrap w:val="0"/>
            <w:vAlign w:val="top"/>
          </w:tcPr>
          <w:p w14:paraId="6A9DF92A">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kern w:val="0"/>
                <w:sz w:val="21"/>
                <w:szCs w:val="21"/>
                <w:highlight w:val="none"/>
                <w:lang w:eastAsia="zh-CN"/>
              </w:rPr>
            </w:pPr>
            <w:bookmarkStart w:id="4" w:name="_Toc39750575"/>
            <w:bookmarkStart w:id="5" w:name="OLE_LINK7"/>
            <w:bookmarkStart w:id="6" w:name="OLE_LINK6"/>
            <w:bookmarkStart w:id="7" w:name="OLE_LINK1"/>
            <w:bookmarkStart w:id="8" w:name="OLE_LINK3"/>
            <w:bookmarkStart w:id="9" w:name="OLE_LINK4"/>
            <w:bookmarkStart w:id="10" w:name="_Toc20450"/>
            <w:bookmarkStart w:id="11" w:name="_Toc9465"/>
            <w:r>
              <w:rPr>
                <w:rFonts w:hint="eastAsia" w:ascii="宋体" w:hAnsi="宋体" w:eastAsia="宋体" w:cs="宋体"/>
                <w:color w:val="auto"/>
                <w:kern w:val="0"/>
                <w:sz w:val="21"/>
                <w:szCs w:val="21"/>
                <w:highlight w:val="none"/>
              </w:rPr>
              <w:t>项目概况</w:t>
            </w:r>
          </w:p>
          <w:p w14:paraId="7E1C48C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r>
              <w:rPr>
                <w:rFonts w:hint="eastAsia" w:ascii="宋体" w:hAnsi="宋体" w:eastAsia="宋体" w:cs="宋体"/>
                <w:color w:val="auto"/>
                <w:sz w:val="21"/>
                <w:szCs w:val="21"/>
                <w:highlight w:val="none"/>
                <w:u w:val="single"/>
                <w:lang w:val="en-US" w:eastAsia="zh-CN"/>
              </w:rPr>
              <w:t>临沧市重点自然保护区生态安全风险监测预警能力建设项目</w:t>
            </w:r>
            <w:r>
              <w:rPr>
                <w:rFonts w:hint="eastAsia" w:ascii="宋体" w:hAnsi="宋体" w:eastAsia="宋体" w:cs="宋体"/>
                <w:color w:val="auto"/>
                <w:sz w:val="21"/>
                <w:szCs w:val="21"/>
                <w:highlight w:val="none"/>
                <w:u w:val="none"/>
                <w:lang w:val="en-US" w:eastAsia="zh-CN"/>
              </w:rPr>
              <w:t>招标项目的潜在投标人应在</w:t>
            </w:r>
            <w:r>
              <w:rPr>
                <w:rFonts w:hint="eastAsia" w:ascii="宋体" w:hAnsi="宋体" w:eastAsia="宋体" w:cs="宋体"/>
                <w:color w:val="auto"/>
                <w:sz w:val="21"/>
                <w:szCs w:val="21"/>
                <w:highlight w:val="none"/>
              </w:rPr>
              <w:t>云南省政府采购电子交易平台（政采云https://www.zcygov.cn/）</w:t>
            </w:r>
            <w:r>
              <w:rPr>
                <w:rFonts w:hint="eastAsia" w:ascii="宋体" w:hAnsi="宋体" w:eastAsia="宋体" w:cs="宋体"/>
                <w:color w:val="auto"/>
                <w:sz w:val="21"/>
                <w:szCs w:val="21"/>
                <w:highlight w:val="none"/>
                <w:u w:val="none"/>
                <w:lang w:val="en-US" w:eastAsia="zh-CN"/>
              </w:rPr>
              <w:t>获取招标文件，并于2026年</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en-US" w:eastAsia="zh-CN"/>
              </w:rPr>
              <w:t>日9时30分（北京时间）前</w:t>
            </w:r>
            <w:r>
              <w:rPr>
                <w:rFonts w:hint="eastAsia" w:ascii="宋体" w:hAnsi="宋体" w:eastAsia="宋体" w:cs="宋体"/>
                <w:color w:val="auto"/>
                <w:kern w:val="0"/>
                <w:sz w:val="21"/>
                <w:szCs w:val="21"/>
                <w:highlight w:val="none"/>
                <w:lang w:val="en-US" w:eastAsia="zh-CN"/>
              </w:rPr>
              <w:t>递交</w:t>
            </w:r>
            <w:r>
              <w:rPr>
                <w:rFonts w:hint="eastAsia" w:ascii="宋体" w:hAnsi="宋体" w:eastAsia="宋体" w:cs="宋体"/>
                <w:color w:val="auto"/>
                <w:kern w:val="0"/>
                <w:sz w:val="21"/>
                <w:szCs w:val="21"/>
                <w:highlight w:val="none"/>
              </w:rPr>
              <w:t>投标文件</w:t>
            </w:r>
            <w:r>
              <w:rPr>
                <w:rFonts w:hint="eastAsia" w:ascii="宋体" w:hAnsi="宋体" w:eastAsia="宋体" w:cs="宋体"/>
                <w:color w:val="auto"/>
                <w:sz w:val="21"/>
                <w:szCs w:val="21"/>
                <w:highlight w:val="none"/>
                <w:u w:val="none"/>
                <w:lang w:val="en-US" w:eastAsia="zh-CN"/>
              </w:rPr>
              <w:t>。</w:t>
            </w:r>
          </w:p>
        </w:tc>
      </w:tr>
    </w:tbl>
    <w:p w14:paraId="5B2C2407">
      <w:pPr>
        <w:pStyle w:val="3"/>
        <w:numPr>
          <w:ilvl w:val="0"/>
          <w:numId w:val="0"/>
        </w:numPr>
        <w:snapToGrid w:val="0"/>
        <w:spacing w:before="0"/>
        <w:ind w:left="-2" w:leftChars="-1"/>
        <w:rPr>
          <w:rFonts w:hint="eastAsia" w:ascii="宋体" w:hAnsi="宋体" w:eastAsia="宋体" w:cs="宋体"/>
          <w:color w:val="auto"/>
          <w:sz w:val="21"/>
          <w:szCs w:val="21"/>
          <w:highlight w:val="none"/>
        </w:rPr>
      </w:pPr>
      <w:bookmarkStart w:id="12" w:name="_Toc8420"/>
      <w:bookmarkStart w:id="13" w:name="_Toc5300"/>
      <w:bookmarkStart w:id="14" w:name="_Toc23323"/>
      <w:r>
        <w:rPr>
          <w:rFonts w:hint="eastAsia" w:ascii="宋体" w:hAnsi="宋体" w:eastAsia="宋体" w:cs="宋体"/>
          <w:color w:val="auto"/>
          <w:sz w:val="21"/>
          <w:szCs w:val="21"/>
          <w:highlight w:val="none"/>
        </w:rPr>
        <w:t>一、</w:t>
      </w:r>
      <w:bookmarkEnd w:id="4"/>
      <w:r>
        <w:rPr>
          <w:rFonts w:hint="eastAsia" w:ascii="宋体" w:hAnsi="宋体" w:eastAsia="宋体" w:cs="宋体"/>
          <w:color w:val="auto"/>
          <w:sz w:val="21"/>
          <w:szCs w:val="21"/>
          <w:highlight w:val="none"/>
        </w:rPr>
        <w:t>项目基本情况</w:t>
      </w:r>
      <w:bookmarkEnd w:id="12"/>
      <w:bookmarkEnd w:id="13"/>
      <w:bookmarkEnd w:id="14"/>
    </w:p>
    <w:p w14:paraId="294AB63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val="en-US" w:eastAsia="zh-CN"/>
        </w:rPr>
        <w:t xml:space="preserve"> LCZC2026-G1-00381-ZZGJ-0312</w:t>
      </w:r>
      <w:r>
        <w:rPr>
          <w:rFonts w:hint="eastAsia" w:ascii="宋体" w:hAnsi="宋体" w:eastAsia="宋体" w:cs="宋体"/>
          <w:color w:val="auto"/>
          <w:sz w:val="21"/>
          <w:szCs w:val="21"/>
          <w:highlight w:val="none"/>
          <w:lang w:eastAsia="zh-CN"/>
        </w:rPr>
        <w:t>（代理机构项目编号：</w:t>
      </w:r>
      <w:r>
        <w:rPr>
          <w:rFonts w:hint="eastAsia" w:ascii="宋体" w:hAnsi="宋体" w:cs="宋体"/>
          <w:color w:val="auto"/>
          <w:sz w:val="21"/>
          <w:szCs w:val="21"/>
          <w:highlight w:val="none"/>
          <w:lang w:eastAsia="zh-CN"/>
        </w:rPr>
        <w:t>TC2697046</w:t>
      </w:r>
      <w:r>
        <w:rPr>
          <w:rFonts w:hint="eastAsia" w:ascii="宋体" w:hAnsi="宋体" w:eastAsia="宋体" w:cs="宋体"/>
          <w:color w:val="auto"/>
          <w:sz w:val="21"/>
          <w:szCs w:val="21"/>
          <w:highlight w:val="none"/>
          <w:lang w:eastAsia="zh-CN"/>
        </w:rPr>
        <w:t>）</w:t>
      </w:r>
    </w:p>
    <w:p w14:paraId="3F4972C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临沧市重点自然保护区生态安全风险监测预警能力建设项目</w:t>
      </w:r>
    </w:p>
    <w:p w14:paraId="5FBAC6F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采购方式：公开招标</w:t>
      </w:r>
    </w:p>
    <w:p w14:paraId="65844FB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u w:val="single"/>
          <w:lang w:val="en-US" w:eastAsia="zh-CN"/>
        </w:rPr>
        <w:t>360.00</w:t>
      </w:r>
      <w:r>
        <w:rPr>
          <w:rFonts w:hint="eastAsia" w:ascii="宋体" w:hAnsi="宋体" w:eastAsia="宋体" w:cs="宋体"/>
          <w:color w:val="auto"/>
          <w:sz w:val="21"/>
          <w:szCs w:val="21"/>
          <w:highlight w:val="none"/>
          <w:lang w:val="en-US" w:eastAsia="zh-CN"/>
        </w:rPr>
        <w:t>万元；</w:t>
      </w:r>
    </w:p>
    <w:p w14:paraId="667571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u w:val="single"/>
          <w:lang w:val="en-US" w:eastAsia="zh-CN"/>
        </w:rPr>
        <w:t>360.00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w:t>
      </w:r>
    </w:p>
    <w:p w14:paraId="4768034B">
      <w:pPr>
        <w:spacing w:line="360" w:lineRule="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val="en-US" w:eastAsia="zh-CN"/>
        </w:rPr>
        <w:t>完成</w:t>
      </w:r>
      <w:r>
        <w:rPr>
          <w:rFonts w:hint="eastAsia" w:ascii="宋体" w:hAnsi="宋体" w:eastAsia="宋体" w:cs="宋体"/>
          <w:bCs/>
          <w:color w:val="auto"/>
          <w:kern w:val="0"/>
          <w:sz w:val="21"/>
          <w:szCs w:val="21"/>
          <w:highlight w:val="none"/>
          <w:lang w:eastAsia="zh-CN"/>
        </w:rPr>
        <w:t>临沧市重点自然保护区生态安全风险监测预警能力建设项目，环保监测设备</w:t>
      </w:r>
      <w:r>
        <w:rPr>
          <w:rFonts w:hint="eastAsia" w:ascii="宋体" w:hAnsi="宋体" w:eastAsia="宋体" w:cs="宋体"/>
          <w:bCs/>
          <w:color w:val="auto"/>
          <w:kern w:val="0"/>
          <w:sz w:val="21"/>
          <w:szCs w:val="21"/>
          <w:highlight w:val="none"/>
          <w:lang w:val="en-US" w:eastAsia="zh-CN"/>
        </w:rPr>
        <w:t>数量：1</w:t>
      </w:r>
      <w:r>
        <w:rPr>
          <w:rFonts w:hint="eastAsia" w:ascii="宋体" w:hAnsi="宋体" w:cs="宋体"/>
          <w:bCs/>
          <w:color w:val="auto"/>
          <w:kern w:val="0"/>
          <w:sz w:val="21"/>
          <w:szCs w:val="21"/>
          <w:highlight w:val="none"/>
          <w:lang w:val="en-US" w:eastAsia="zh-CN"/>
        </w:rPr>
        <w:t>批</w:t>
      </w:r>
      <w:r>
        <w:rPr>
          <w:rFonts w:hint="eastAsia" w:ascii="宋体" w:hAnsi="宋体" w:eastAsia="宋体" w:cs="宋体"/>
          <w:bCs/>
          <w:color w:val="auto"/>
          <w:kern w:val="0"/>
          <w:sz w:val="21"/>
          <w:szCs w:val="21"/>
          <w:highlight w:val="none"/>
          <w:lang w:val="en-US" w:eastAsia="zh-CN"/>
        </w:rPr>
        <w:t>，其他计算机软件</w:t>
      </w:r>
      <w:r>
        <w:rPr>
          <w:rFonts w:hint="eastAsia" w:ascii="宋体" w:hAnsi="宋体" w:cs="宋体"/>
          <w:bCs/>
          <w:color w:val="auto"/>
          <w:kern w:val="0"/>
          <w:sz w:val="21"/>
          <w:szCs w:val="21"/>
          <w:highlight w:val="none"/>
          <w:lang w:val="en-US" w:eastAsia="zh-CN"/>
        </w:rPr>
        <w:t>数量：1项。</w:t>
      </w:r>
      <w:r>
        <w:rPr>
          <w:rFonts w:hint="eastAsia" w:ascii="宋体" w:hAnsi="宋体" w:eastAsia="宋体" w:cs="宋体"/>
          <w:bCs/>
          <w:color w:val="auto"/>
          <w:kern w:val="0"/>
          <w:sz w:val="21"/>
          <w:szCs w:val="21"/>
          <w:highlight w:val="none"/>
          <w:lang w:val="en-US" w:eastAsia="zh-CN"/>
        </w:rPr>
        <w:t>在云南南滚河国家级自然保护区（耿马片区+沧源片区）开展以下工作：</w:t>
      </w:r>
    </w:p>
    <w:p w14:paraId="05B164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托卫星遥感、无人机、地面监测设备形成多维度监测网络，实现保护区生态系统格局、质量、服务功能，生物多样性，水、气、土环境要素，人为干扰活动，森林火灾、地质灾害等突发事件的全面、实时、智能化监测。</w:t>
      </w:r>
    </w:p>
    <w:p w14:paraId="44A81C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2.搭建生态安全风险监测预警信息平台，</w:t>
      </w:r>
      <w:r>
        <w:rPr>
          <w:rFonts w:hint="eastAsia" w:ascii="宋体" w:hAnsi="宋体" w:cs="宋体"/>
          <w:color w:val="auto"/>
          <w:sz w:val="21"/>
          <w:szCs w:val="21"/>
          <w:highlight w:val="none"/>
          <w:lang w:eastAsia="zh-CN"/>
        </w:rPr>
        <w:t>支持电脑端</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手机端</w:t>
      </w:r>
      <w:r>
        <w:rPr>
          <w:rFonts w:hint="eastAsia" w:ascii="宋体" w:hAnsi="宋体" w:cs="宋体"/>
          <w:color w:val="auto"/>
          <w:sz w:val="21"/>
          <w:szCs w:val="21"/>
          <w:highlight w:val="none"/>
          <w:lang w:val="en-US" w:eastAsia="zh-CN"/>
        </w:rPr>
        <w:t>信息共享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整合多源监测数据，实现数据的实时接入、清洗、融合、存储与可视化展示，具备风险智能识别、分析、预警功能，提升保护区生态安全风险防范、处置及监管的现代化、智慧化水平。</w:t>
      </w:r>
    </w:p>
    <w:p w14:paraId="314313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3.为保护区生态系统恢复、野生动植物资源保护、生物多样性维护提供持续的技术支撑和数据保障，筑牢祖国西南生物生态安全第一道屏障，为全省边境地区自然保护区生态安全风险监测预警工作提供示范。</w:t>
      </w:r>
    </w:p>
    <w:p w14:paraId="67BC2FB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4.形成完善的监测报告、数据集等成果，精准支撑临沧市生态环境保护监管决策，落实美丽云南、绿美临沧建设相关要求。</w:t>
      </w:r>
    </w:p>
    <w:p w14:paraId="5B5A0A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本项目除服务内容外的其他信息，详见本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文件第五章采购需求。</w:t>
      </w:r>
    </w:p>
    <w:p w14:paraId="29DCC1A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注：本项目共设一个</w:t>
      </w: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必须对本项目所有内容作出完整唯一的报价，不得出现缺项、漏项或无报价的情况，否则</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将按无效处理。</w:t>
      </w:r>
    </w:p>
    <w:p w14:paraId="130B1EA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项目实施周期：自合同签订之日起至项目整体验收合格之日止，不超过1年；运维服务期：自项目整体验收合格之日起免费运维3年。</w:t>
      </w:r>
    </w:p>
    <w:p w14:paraId="02D3AD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）接受联合体投标。</w:t>
      </w:r>
    </w:p>
    <w:p w14:paraId="3DAB3B1F">
      <w:pPr>
        <w:pStyle w:val="3"/>
        <w:numPr>
          <w:ilvl w:val="0"/>
          <w:numId w:val="0"/>
        </w:numPr>
        <w:snapToGrid w:val="0"/>
        <w:spacing w:before="0"/>
        <w:ind w:left="-2" w:leftChars="-1"/>
        <w:rPr>
          <w:rFonts w:hint="eastAsia" w:ascii="宋体" w:hAnsi="宋体" w:eastAsia="宋体" w:cs="宋体"/>
          <w:color w:val="auto"/>
          <w:sz w:val="21"/>
          <w:szCs w:val="21"/>
          <w:highlight w:val="none"/>
        </w:rPr>
      </w:pPr>
      <w:bookmarkStart w:id="15" w:name="_Toc39750576"/>
      <w:bookmarkStart w:id="16" w:name="_Toc10726"/>
      <w:bookmarkStart w:id="17" w:name="_Toc19866"/>
      <w:bookmarkStart w:id="18" w:name="_Toc4565"/>
      <w:r>
        <w:rPr>
          <w:rFonts w:hint="eastAsia" w:ascii="宋体" w:hAnsi="宋体" w:eastAsia="宋体" w:cs="宋体"/>
          <w:color w:val="auto"/>
          <w:sz w:val="21"/>
          <w:szCs w:val="21"/>
          <w:highlight w:val="none"/>
        </w:rPr>
        <w:t>二、</w:t>
      </w:r>
      <w:bookmarkEnd w:id="15"/>
      <w:r>
        <w:rPr>
          <w:rFonts w:hint="eastAsia" w:ascii="宋体" w:hAnsi="宋体" w:eastAsia="宋体" w:cs="宋体"/>
          <w:color w:val="auto"/>
          <w:sz w:val="21"/>
          <w:szCs w:val="21"/>
          <w:highlight w:val="none"/>
        </w:rPr>
        <w:t>申请人的资格要求：</w:t>
      </w:r>
      <w:bookmarkEnd w:id="16"/>
      <w:bookmarkEnd w:id="17"/>
      <w:bookmarkEnd w:id="18"/>
    </w:p>
    <w:p w14:paraId="734F8B50">
      <w:pPr>
        <w:spacing w:line="360" w:lineRule="auto"/>
        <w:ind w:firstLine="420" w:firstLineChars="200"/>
        <w:contextualSpacing/>
        <w:rPr>
          <w:rFonts w:hint="eastAsia" w:ascii="宋体" w:hAnsi="宋体" w:eastAsia="宋体" w:cs="宋体"/>
          <w:color w:val="auto"/>
          <w:sz w:val="21"/>
          <w:szCs w:val="21"/>
          <w:highlight w:val="none"/>
        </w:rPr>
      </w:pPr>
      <w:bookmarkStart w:id="19" w:name="_Toc534202177"/>
      <w:bookmarkStart w:id="20" w:name="_Toc39750578"/>
      <w:bookmarkStart w:id="21" w:name="_Toc15729"/>
      <w:bookmarkStart w:id="22" w:name="_Toc8835"/>
      <w:bookmarkStart w:id="23" w:name="_Toc304998754"/>
      <w:r>
        <w:rPr>
          <w:rFonts w:hint="eastAsia" w:ascii="宋体" w:hAnsi="宋体" w:eastAsia="宋体" w:cs="宋体"/>
          <w:color w:val="auto"/>
          <w:sz w:val="21"/>
          <w:szCs w:val="21"/>
          <w:highlight w:val="none"/>
        </w:rPr>
        <w:t>1.满足《中华人民共和国政府采购法》第二十二条规定：</w:t>
      </w:r>
    </w:p>
    <w:p w14:paraId="108B4878">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具有独立承担民事责任的能力：提供企业有效的法人营业执照、社团组织法人营业执照、事业单位法人证</w:t>
      </w:r>
      <w:r>
        <w:rPr>
          <w:rFonts w:hint="eastAsia" w:ascii="宋体" w:hAnsi="宋体" w:eastAsia="宋体" w:cs="宋体"/>
          <w:color w:val="auto"/>
          <w:sz w:val="21"/>
          <w:szCs w:val="21"/>
          <w:highlight w:val="none"/>
          <w:lang w:eastAsia="zh-CN"/>
        </w:rPr>
        <w:t>、自然人证明材料或其他组织证明材料（加盖电子公章）</w:t>
      </w:r>
      <w:r>
        <w:rPr>
          <w:rFonts w:hint="eastAsia" w:ascii="宋体" w:hAnsi="宋体" w:eastAsia="宋体" w:cs="宋体"/>
          <w:color w:val="auto"/>
          <w:sz w:val="21"/>
          <w:szCs w:val="21"/>
          <w:highlight w:val="none"/>
        </w:rPr>
        <w:t>；</w:t>
      </w:r>
    </w:p>
    <w:p w14:paraId="374D5EE3">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1.2、具有良好的商业信誉和健全的财务会计制度：</w:t>
      </w:r>
    </w:p>
    <w:p w14:paraId="078F9E31">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lang w:eastAsia="zh-CN"/>
        </w:rPr>
        <w:t>具有良好的商业信誉，</w:t>
      </w:r>
      <w:r>
        <w:rPr>
          <w:rFonts w:hint="eastAsia" w:ascii="宋体" w:hAnsi="宋体" w:eastAsia="宋体" w:cs="宋体"/>
          <w:color w:val="auto"/>
          <w:sz w:val="21"/>
          <w:szCs w:val="21"/>
          <w:highlight w:val="none"/>
          <w:lang w:val="en-US" w:eastAsia="zh-CN"/>
        </w:rPr>
        <w:t>在本项目</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提交截止时间前在国家企业信用信息公示系统（www.gsxt.gov.cn）“行政处罚信息”栏中查询的信息记录不得为参加政府采购活动前三年内因违法经营受到刑事处罚或者责令停产停业、吊销许可证或者执照、较大数额罚款等行政处罚，未出现列入经营异常名录且未被移出、未出现列入严重违法失信企业名单（黑名单）且未被移出等不良情况（查询时间为本公告发布之日起至提交</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截止之日止，查询结果以采购人、采购代理机构查询结果为准，并将查询记录和证据留存，事业单位不在该系统查询范围内）；</w:t>
      </w:r>
    </w:p>
    <w:p w14:paraId="2FA3FB4C">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（2）投标人具有</w:t>
      </w:r>
      <w:r>
        <w:rPr>
          <w:rFonts w:hint="eastAsia" w:ascii="宋体" w:hAnsi="宋体" w:eastAsia="宋体" w:cs="宋体"/>
          <w:color w:val="auto"/>
          <w:sz w:val="21"/>
          <w:szCs w:val="21"/>
          <w:highlight w:val="none"/>
          <w:lang w:eastAsia="zh-CN"/>
        </w:rPr>
        <w:t>健全的财务会计制度，</w:t>
      </w:r>
      <w:r>
        <w:rPr>
          <w:rFonts w:hint="eastAsia" w:ascii="宋体" w:hAnsi="宋体" w:eastAsia="宋体" w:cs="宋体"/>
          <w:color w:val="auto"/>
          <w:sz w:val="21"/>
          <w:szCs w:val="21"/>
          <w:highlight w:val="none"/>
          <w:lang w:val="en-US" w:eastAsia="zh-CN"/>
        </w:rPr>
        <w:t>提供以下任意一种证明材料均可：</w:t>
      </w:r>
    </w:p>
    <w:p w14:paraId="1F6E81C1">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①提供2023年至今任意一年度经第三方审计的审计报告</w:t>
      </w:r>
      <w:r>
        <w:rPr>
          <w:rFonts w:hint="eastAsia" w:ascii="宋体" w:hAnsi="宋体" w:eastAsia="宋体" w:cs="宋体"/>
          <w:color w:val="auto"/>
          <w:sz w:val="21"/>
          <w:szCs w:val="21"/>
          <w:highlight w:val="none"/>
          <w:lang w:val="en-US" w:eastAsia="zh-CN"/>
        </w:rPr>
        <w:t>及财务报表</w:t>
      </w:r>
      <w:r>
        <w:rPr>
          <w:rFonts w:hint="eastAsia" w:ascii="宋体" w:hAnsi="宋体" w:eastAsia="宋体" w:cs="宋体"/>
          <w:color w:val="auto"/>
          <w:sz w:val="21"/>
          <w:szCs w:val="21"/>
          <w:highlight w:val="none"/>
          <w:lang w:eastAsia="zh-CN"/>
        </w:rPr>
        <w:t>（报表至少包括资产负债表、利润表（损益表或收入费用表）、现金流量表）（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p>
    <w:p w14:paraId="4FCCC837">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②投标人自行编制的财务报表（报表至少包括资产负债表、利润表（损益表或收入费用表）、现金流量表）；</w:t>
      </w:r>
    </w:p>
    <w:p w14:paraId="48C18C1F">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③经政府部门认可的担保机构出具的担保证明，提供担保证明的同时还须提供专业担保机构经财政部门认可的证明文件（加盖电子公章）；</w:t>
      </w:r>
    </w:p>
    <w:p w14:paraId="669812D8">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④新成立不满1年的企业可提供近三个月内开户银行出具的资信证明或资金存款证明（加盖电子公章）；</w:t>
      </w:r>
    </w:p>
    <w:p w14:paraId="0C38BE58">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是事业单位无财务状况报告或财务状况报告不齐全的须在</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中提供说明并加盖电子公章。</w:t>
      </w:r>
    </w:p>
    <w:p w14:paraId="7110A9B6">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1.3、具有履行合同所必需的设备和专业技术能力：提供证明材料或书面承诺；</w:t>
      </w:r>
    </w:p>
    <w:p w14:paraId="3D256C43">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1.4、有依法缴纳税收和社会保障资金的良好记录：</w:t>
      </w:r>
    </w:p>
    <w:p w14:paraId="6EF08C89">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须提供2025年1月（含1月）至</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截止日期前任意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个月的税务局税收通用缴款书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件或银行电子缴税（费）凭证</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件或税务局出具纳税情况的相关证明（扫描件），依法免税的，应提供依法免税相关证明文件（扫描件），成立不足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个月的视实际情况自行提供；</w:t>
      </w:r>
    </w:p>
    <w:p w14:paraId="57F5E0BA">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（2）须提供2025年1月（含1月）月至</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截止日期前任意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个月的社会保险费缴款书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件或银行电子缴税（费）凭证</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件或税务局出具的有效的缴款证明</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件，依法免缴的，应提供依法免缴相关证明文件（扫描件），成立不足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个月的视实际情况自行提供。</w:t>
      </w:r>
    </w:p>
    <w:p w14:paraId="50DAE608">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1.5、提供参加政府采购活动前3年内在经营活动中没有重大违法记录的书面声明：重大违法记录，是指投标人因违法经营受到刑事处罚或者责令停产停业、吊销许可证或者执照、较大数额罚款等行政处罚（</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w:t>
      </w:r>
      <w:r>
        <w:rPr>
          <w:rFonts w:hint="eastAsia" w:ascii="宋体" w:hAnsi="宋体" w:eastAsia="宋体" w:cs="宋体"/>
          <w:color w:val="auto"/>
          <w:sz w:val="21"/>
          <w:szCs w:val="21"/>
          <w:highlight w:val="none"/>
          <w:lang w:val="en-US" w:eastAsia="zh-CN"/>
        </w:rPr>
        <w:t>声明</w:t>
      </w:r>
      <w:r>
        <w:rPr>
          <w:rFonts w:hint="eastAsia" w:ascii="宋体" w:hAnsi="宋体" w:eastAsia="宋体" w:cs="宋体"/>
          <w:color w:val="auto"/>
          <w:sz w:val="21"/>
          <w:szCs w:val="21"/>
          <w:highlight w:val="none"/>
          <w:lang w:eastAsia="zh-CN"/>
        </w:rPr>
        <w:t>）；</w:t>
      </w:r>
    </w:p>
    <w:p w14:paraId="3462AA0E">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1.6、法律、行政法规规定的其他条件：</w:t>
      </w:r>
    </w:p>
    <w:p w14:paraId="1AA16B17">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财政部关于在政府采购活动中查询及使用信用记录有关问题的通知》（财库〔2016〕125号）相关要求（事业单位除外），申请人应在“信用中国”网站（www.creditchina.gov.cn）未被列入失信被执行人记录（自动跳转到“中国执行信息公开网”（http://zxgk.court.gov.cn）进行失信被执行人结果查询）、重大税收违法失信主体；在中国政府采购网（www.ccgp.gov.cn）没有政府采购严重违法失信行为记录（被禁止在一定期限内参加政府采购活动但期限届满的除外）：参与本项目的申请人信用查询的时间：本项目采购公告发布之日起至</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递交截止时间</w:t>
      </w:r>
      <w:r>
        <w:rPr>
          <w:rFonts w:hint="eastAsia" w:ascii="宋体" w:hAnsi="宋体" w:eastAsia="宋体" w:cs="宋体"/>
          <w:color w:val="auto"/>
          <w:sz w:val="21"/>
          <w:szCs w:val="21"/>
          <w:highlight w:val="none"/>
          <w:lang w:eastAsia="zh-CN"/>
        </w:rPr>
        <w:t>，以采购人或采购代理机构查询结果为准；</w:t>
      </w:r>
    </w:p>
    <w:p w14:paraId="4D440B34">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（2）单位负责人为同一人或者存在直接控股、管理关系的不同投标人，不得参加同一合同项下的政府采购活动：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自行承诺；</w:t>
      </w:r>
    </w:p>
    <w:p w14:paraId="5B0834D9">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（3）为采购项目提供整体设计、规范编制或者项目管理、监理、检测等服务的投标人，不得再参加该采购项目的其他采购活动：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自行承诺；</w:t>
      </w:r>
    </w:p>
    <w:p w14:paraId="6377B241">
      <w:pPr>
        <w:pStyle w:val="37"/>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本项目接受联合体参与投标：如为联合体须提供联合体协议书，非联合体提交非联合体承诺书</w:t>
      </w:r>
      <w:r>
        <w:rPr>
          <w:rFonts w:hint="eastAsia" w:ascii="宋体" w:hAnsi="宋体" w:eastAsia="宋体" w:cs="宋体"/>
          <w:color w:val="auto"/>
          <w:sz w:val="21"/>
          <w:szCs w:val="21"/>
          <w:highlight w:val="none"/>
          <w:lang w:eastAsia="zh-CN"/>
        </w:rPr>
        <w:t>。</w:t>
      </w:r>
    </w:p>
    <w:p w14:paraId="6DF18CA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落实政府采购政策需满足的资格要求：无（本项目不属于专门面向中小企业、监狱企业、残疾人福利企业采购项目）。</w:t>
      </w:r>
    </w:p>
    <w:p w14:paraId="3EE53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2183B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本项目接受联合体投标，</w:t>
      </w:r>
      <w:r>
        <w:rPr>
          <w:rFonts w:hint="eastAsia" w:ascii="宋体" w:hAnsi="宋体" w:eastAsia="宋体" w:cs="宋体"/>
          <w:color w:val="auto"/>
          <w:sz w:val="21"/>
          <w:szCs w:val="21"/>
          <w:highlight w:val="none"/>
          <w:lang w:eastAsia="zh-CN"/>
        </w:rPr>
        <w:t>组成联合体的成员数不得超过</w:t>
      </w:r>
      <w:r>
        <w:rPr>
          <w:rFonts w:hint="eastAsia" w:ascii="宋体" w:hAnsi="宋体" w:eastAsia="宋体" w:cs="宋体"/>
          <w:color w:val="auto"/>
          <w:sz w:val="21"/>
          <w:szCs w:val="21"/>
          <w:highlight w:val="none"/>
          <w:lang w:val="en-US" w:eastAsia="zh-CN"/>
        </w:rPr>
        <w:t>3个，</w:t>
      </w:r>
      <w:r>
        <w:rPr>
          <w:rFonts w:hint="eastAsia" w:ascii="宋体" w:hAnsi="宋体" w:eastAsia="宋体" w:cs="宋体"/>
          <w:color w:val="auto"/>
          <w:sz w:val="21"/>
          <w:szCs w:val="21"/>
          <w:highlight w:val="none"/>
        </w:rPr>
        <w:t>联合体各方签订联合体协议</w:t>
      </w:r>
      <w:r>
        <w:rPr>
          <w:rFonts w:hint="eastAsia" w:ascii="宋体" w:hAnsi="宋体" w:eastAsia="宋体" w:cs="宋体"/>
          <w:color w:val="auto"/>
          <w:sz w:val="21"/>
          <w:szCs w:val="21"/>
          <w:highlight w:val="none"/>
          <w:lang w:val="en-US" w:eastAsia="zh-CN"/>
        </w:rPr>
        <w:t>时须确定各单位分工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并明确联合体牵头</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；联合体成员</w:t>
      </w:r>
      <w:r>
        <w:rPr>
          <w:rFonts w:hint="eastAsia" w:ascii="宋体" w:hAnsi="宋体" w:eastAsia="宋体" w:cs="宋体"/>
          <w:color w:val="auto"/>
          <w:sz w:val="21"/>
          <w:szCs w:val="21"/>
          <w:highlight w:val="none"/>
        </w:rPr>
        <w:t>不得再以</w:t>
      </w:r>
      <w:r>
        <w:rPr>
          <w:rFonts w:hint="eastAsia" w:ascii="宋体" w:hAnsi="宋体" w:eastAsia="宋体" w:cs="宋体"/>
          <w:color w:val="auto"/>
          <w:sz w:val="21"/>
          <w:szCs w:val="21"/>
          <w:highlight w:val="none"/>
          <w:lang w:val="en-US" w:eastAsia="zh-CN"/>
        </w:rPr>
        <w:t>本身</w:t>
      </w:r>
      <w:r>
        <w:rPr>
          <w:rFonts w:hint="eastAsia" w:ascii="宋体" w:hAnsi="宋体" w:eastAsia="宋体" w:cs="宋体"/>
          <w:color w:val="auto"/>
          <w:sz w:val="21"/>
          <w:szCs w:val="21"/>
          <w:highlight w:val="none"/>
        </w:rPr>
        <w:t>名义单独投标，也不得组成新的联合体或参加其他联合体在同一项目中投标，否则，其所有投标无效。</w:t>
      </w:r>
    </w:p>
    <w:p w14:paraId="7B49FA4D">
      <w:pPr>
        <w:pStyle w:val="3"/>
        <w:numPr>
          <w:ilvl w:val="0"/>
          <w:numId w:val="0"/>
        </w:numPr>
        <w:snapToGrid w:val="0"/>
        <w:spacing w:before="0"/>
        <w:ind w:left="-2" w:leftChars="-1"/>
        <w:rPr>
          <w:rFonts w:hint="eastAsia" w:ascii="宋体" w:hAnsi="宋体" w:eastAsia="宋体" w:cs="宋体"/>
          <w:color w:val="auto"/>
          <w:sz w:val="21"/>
          <w:szCs w:val="21"/>
          <w:highlight w:val="none"/>
        </w:rPr>
      </w:pPr>
      <w:bookmarkStart w:id="24" w:name="_Toc10665"/>
      <w:r>
        <w:rPr>
          <w:rFonts w:hint="eastAsia" w:ascii="宋体" w:hAnsi="宋体" w:eastAsia="宋体" w:cs="宋体"/>
          <w:color w:val="auto"/>
          <w:sz w:val="21"/>
          <w:szCs w:val="21"/>
          <w:highlight w:val="none"/>
        </w:rPr>
        <w:t>三、</w:t>
      </w:r>
      <w:bookmarkEnd w:id="19"/>
      <w:bookmarkEnd w:id="20"/>
      <w:r>
        <w:rPr>
          <w:rFonts w:hint="eastAsia" w:ascii="宋体" w:hAnsi="宋体" w:eastAsia="宋体" w:cs="宋体"/>
          <w:color w:val="auto"/>
          <w:sz w:val="21"/>
          <w:szCs w:val="21"/>
          <w:highlight w:val="none"/>
        </w:rPr>
        <w:t>获取招标文件</w:t>
      </w:r>
      <w:bookmarkEnd w:id="21"/>
      <w:bookmarkEnd w:id="22"/>
      <w:bookmarkEnd w:id="24"/>
    </w:p>
    <w:p w14:paraId="738BE20B">
      <w:pPr>
        <w:spacing w:line="360" w:lineRule="auto"/>
        <w:ind w:firstLine="420" w:firstLineChars="200"/>
        <w:contextualSpacing/>
        <w:rPr>
          <w:rFonts w:hint="eastAsia" w:ascii="宋体" w:hAnsi="宋体" w:eastAsia="宋体" w:cs="宋体"/>
          <w:color w:val="auto"/>
          <w:sz w:val="21"/>
          <w:szCs w:val="21"/>
          <w:highlight w:val="none"/>
        </w:rPr>
      </w:pPr>
      <w:bookmarkStart w:id="25" w:name="_Toc534202178"/>
      <w:bookmarkStart w:id="26" w:name="_Toc39750579"/>
      <w:bookmarkStart w:id="27" w:name="_Toc525147788"/>
      <w:bookmarkStart w:id="28" w:name="_Toc9153"/>
      <w:bookmarkStart w:id="29" w:name="_Toc21892"/>
      <w:bookmarkStart w:id="30" w:name="_Toc25673"/>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日，每天上午0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:00至12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00，下午12:00至23:59（北京时间）；</w:t>
      </w:r>
    </w:p>
    <w:p w14:paraId="76FEEBB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地点：云南省政府采购电子交易平台（政采云https://www.zcygov.cn/）线上获取。本项目不发放纸质</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可自行在“政采云”平台（http://www.zcygov.cn）下载</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（操作路径：云南省政府采购电子交易平台-我的工作台-项目采购-获取采购文件），请务必在规定期限内获取采购文件，逾期将无法获取。</w:t>
      </w:r>
    </w:p>
    <w:p w14:paraId="3C4340E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方式：1.凡有意参加投标者，须持与云南省政府采购电子交易平台（政采云）兼容的数字证书（CA），在平台绑定后，线上获取采购文件及其它采购资料。CA申领链接：https://middle.zcygov.cn/ca/apply/list?_app_=zcy.sys</w:t>
      </w:r>
      <w:r>
        <w:rPr>
          <w:rFonts w:hint="eastAsia" w:ascii="宋体" w:hAnsi="宋体" w:eastAsia="宋体" w:cs="宋体"/>
          <w:color w:val="auto"/>
          <w:sz w:val="21"/>
          <w:szCs w:val="21"/>
          <w:highlight w:val="none"/>
          <w:lang w:val="en-US" w:eastAsia="zh-CN"/>
        </w:rPr>
        <w:t>或https://yzt.ynsmartcert.cn</w:t>
      </w:r>
      <w:r>
        <w:rPr>
          <w:rFonts w:hint="eastAsia" w:ascii="宋体" w:hAnsi="宋体" w:eastAsia="宋体" w:cs="宋体"/>
          <w:color w:val="auto"/>
          <w:sz w:val="21"/>
          <w:szCs w:val="21"/>
          <w:highlight w:val="none"/>
        </w:rPr>
        <w:t>。</w:t>
      </w:r>
    </w:p>
    <w:p w14:paraId="6F0FE6B5">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按上述要求获取文件的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视为合法获取了本项目采购文件，具备本项目的投标资格。</w:t>
      </w:r>
    </w:p>
    <w:p w14:paraId="3CA9EAA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注：未在规定时间获取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w:t>
      </w:r>
    </w:p>
    <w:p w14:paraId="3129FF1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5D88B2A4">
      <w:pPr>
        <w:pStyle w:val="3"/>
        <w:numPr>
          <w:ilvl w:val="0"/>
          <w:numId w:val="0"/>
        </w:numPr>
        <w:snapToGrid w:val="0"/>
        <w:spacing w:before="0"/>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bookmarkEnd w:id="25"/>
      <w:bookmarkEnd w:id="26"/>
      <w:bookmarkEnd w:id="27"/>
      <w:r>
        <w:rPr>
          <w:rFonts w:hint="eastAsia" w:ascii="宋体" w:hAnsi="宋体" w:eastAsia="宋体" w:cs="宋体"/>
          <w:color w:val="auto"/>
          <w:sz w:val="21"/>
          <w:szCs w:val="21"/>
          <w:highlight w:val="none"/>
        </w:rPr>
        <w:t>提交投标文件截止时间、开标时间和地点</w:t>
      </w:r>
      <w:bookmarkEnd w:id="28"/>
      <w:bookmarkEnd w:id="29"/>
      <w:bookmarkEnd w:id="30"/>
    </w:p>
    <w:p w14:paraId="0403883C">
      <w:pPr>
        <w:pStyle w:val="3"/>
        <w:numPr>
          <w:ilvl w:val="0"/>
          <w:numId w:val="0"/>
        </w:numPr>
        <w:snapToGrid w:val="0"/>
        <w:spacing w:before="0"/>
        <w:ind w:left="-2" w:leftChars="-1" w:firstLine="420" w:firstLineChars="200"/>
        <w:rPr>
          <w:rFonts w:hint="eastAsia" w:ascii="宋体" w:hAnsi="宋体" w:eastAsia="宋体" w:cs="宋体"/>
          <w:b w:val="0"/>
          <w:bCs/>
          <w:color w:val="auto"/>
          <w:sz w:val="21"/>
          <w:szCs w:val="21"/>
          <w:highlight w:val="none"/>
          <w:lang w:eastAsia="zh-CN"/>
        </w:rPr>
      </w:pPr>
      <w:bookmarkStart w:id="31" w:name="_Toc39750580"/>
      <w:bookmarkStart w:id="32" w:name="_Toc534202179"/>
      <w:bookmarkStart w:id="33" w:name="_Toc18451"/>
      <w:bookmarkStart w:id="34" w:name="_Toc21929"/>
      <w:bookmarkStart w:id="35" w:name="_Toc19378"/>
      <w:r>
        <w:rPr>
          <w:rFonts w:hint="eastAsia" w:ascii="宋体" w:hAnsi="宋体" w:eastAsia="宋体" w:cs="宋体"/>
          <w:b w:val="0"/>
          <w:bCs/>
          <w:color w:val="auto"/>
          <w:sz w:val="21"/>
          <w:szCs w:val="21"/>
          <w:highlight w:val="none"/>
          <w:lang w:eastAsia="zh-CN"/>
        </w:rPr>
        <w:t>提交投标文件截止时间：2026年06月10日 09:30（北京时间）        </w:t>
      </w:r>
    </w:p>
    <w:p w14:paraId="229DE2CA">
      <w:pPr>
        <w:pStyle w:val="3"/>
        <w:numPr>
          <w:ilvl w:val="0"/>
          <w:numId w:val="0"/>
        </w:numPr>
        <w:snapToGrid w:val="0"/>
        <w:spacing w:before="0"/>
        <w:ind w:left="-2" w:leftChars="-1"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投标地点（网址）：请登录云南省政府采购电子交易平台（政采云）投标客户端投标。</w:t>
      </w:r>
      <w:r>
        <w:rPr>
          <w:rFonts w:hint="eastAsia" w:ascii="宋体" w:hAnsi="宋体" w:eastAsia="宋体" w:cs="宋体"/>
          <w:b w:val="0"/>
          <w:bCs/>
          <w:color w:val="auto"/>
          <w:sz w:val="21"/>
          <w:szCs w:val="21"/>
          <w:highlight w:val="none"/>
          <w:lang w:eastAsia="zh-CN"/>
        </w:rPr>
        <w:t>请登录云南省政府采购电子交易平台（政采云）投标客户端投标。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3E0DFEE7">
      <w:pPr>
        <w:pStyle w:val="3"/>
        <w:numPr>
          <w:ilvl w:val="0"/>
          <w:numId w:val="0"/>
        </w:numPr>
        <w:snapToGrid w:val="0"/>
        <w:spacing w:before="0"/>
        <w:ind w:left="-2" w:leftChars="-1"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开标时间：2026年06月10日 09:30</w:t>
      </w:r>
      <w:r>
        <w:rPr>
          <w:rFonts w:hint="eastAsia" w:ascii="宋体" w:hAnsi="宋体" w:eastAsia="宋体" w:cs="宋体"/>
          <w:b w:val="0"/>
          <w:bCs/>
          <w:color w:val="auto"/>
          <w:sz w:val="21"/>
          <w:szCs w:val="21"/>
          <w:highlight w:val="none"/>
          <w:lang w:eastAsia="zh-CN"/>
        </w:rPr>
        <w:t>（北京时间）</w:t>
      </w:r>
    </w:p>
    <w:p w14:paraId="2CB0AFD2">
      <w:pPr>
        <w:pStyle w:val="3"/>
        <w:numPr>
          <w:ilvl w:val="0"/>
          <w:numId w:val="0"/>
        </w:numPr>
        <w:snapToGrid w:val="0"/>
        <w:spacing w:before="0"/>
        <w:ind w:left="-2" w:leftChars="-1"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开标地点：</w:t>
      </w:r>
      <w:bookmarkStart w:id="263" w:name="_GoBack"/>
      <w:bookmarkEnd w:id="263"/>
      <w:r>
        <w:rPr>
          <w:rFonts w:hint="eastAsia" w:ascii="宋体" w:hAnsi="宋体" w:eastAsia="宋体" w:cs="宋体"/>
          <w:b w:val="0"/>
          <w:bCs/>
          <w:color w:val="auto"/>
          <w:sz w:val="21"/>
          <w:szCs w:val="21"/>
          <w:highlight w:val="none"/>
          <w:lang w:eastAsia="zh-CN"/>
        </w:rPr>
        <w:t>云南省昆明市五华区金泰国际一期9栋5楼中招国际招标有限公司云南分公司</w:t>
      </w:r>
    </w:p>
    <w:p w14:paraId="14B861E0">
      <w:pPr>
        <w:pStyle w:val="3"/>
        <w:numPr>
          <w:ilvl w:val="0"/>
          <w:numId w:val="0"/>
        </w:numPr>
        <w:snapToGrid w:val="0"/>
        <w:spacing w:before="0"/>
        <w:ind w:left="-2" w:leftChars="-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bookmarkEnd w:id="31"/>
      <w:bookmarkEnd w:id="32"/>
      <w:r>
        <w:rPr>
          <w:rFonts w:hint="eastAsia" w:ascii="宋体" w:hAnsi="宋体" w:eastAsia="宋体" w:cs="宋体"/>
          <w:color w:val="auto"/>
          <w:sz w:val="21"/>
          <w:szCs w:val="21"/>
          <w:highlight w:val="none"/>
        </w:rPr>
        <w:t>公告期限</w:t>
      </w:r>
      <w:bookmarkEnd w:id="33"/>
      <w:bookmarkEnd w:id="34"/>
      <w:bookmarkEnd w:id="35"/>
    </w:p>
    <w:p w14:paraId="000D718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4F69BF10">
      <w:pPr>
        <w:pStyle w:val="3"/>
        <w:numPr>
          <w:ilvl w:val="0"/>
          <w:numId w:val="0"/>
        </w:numPr>
        <w:snapToGrid w:val="0"/>
        <w:spacing w:before="0"/>
        <w:ind w:left="-2" w:leftChars="-1"/>
        <w:rPr>
          <w:rFonts w:hint="eastAsia" w:ascii="宋体" w:hAnsi="宋体" w:eastAsia="宋体" w:cs="宋体"/>
          <w:bCs/>
          <w:color w:val="auto"/>
          <w:sz w:val="21"/>
          <w:szCs w:val="21"/>
          <w:highlight w:val="none"/>
        </w:rPr>
      </w:pPr>
      <w:bookmarkStart w:id="36" w:name="_Toc1166"/>
      <w:bookmarkStart w:id="37" w:name="_Toc31411"/>
      <w:bookmarkStart w:id="38" w:name="_Toc23883"/>
      <w:r>
        <w:rPr>
          <w:rFonts w:hint="eastAsia" w:ascii="宋体" w:hAnsi="宋体" w:eastAsia="宋体" w:cs="宋体"/>
          <w:color w:val="auto"/>
          <w:sz w:val="21"/>
          <w:szCs w:val="21"/>
          <w:highlight w:val="none"/>
        </w:rPr>
        <w:t>六、</w:t>
      </w:r>
      <w:r>
        <w:rPr>
          <w:rFonts w:hint="eastAsia" w:ascii="宋体" w:hAnsi="宋体" w:eastAsia="宋体" w:cs="宋体"/>
          <w:bCs/>
          <w:color w:val="auto"/>
          <w:sz w:val="21"/>
          <w:szCs w:val="21"/>
          <w:highlight w:val="none"/>
        </w:rPr>
        <w:t>其他补充事宜</w:t>
      </w:r>
      <w:bookmarkEnd w:id="36"/>
      <w:bookmarkEnd w:id="37"/>
      <w:bookmarkEnd w:id="38"/>
    </w:p>
    <w:bookmarkEnd w:id="5"/>
    <w:bookmarkEnd w:id="6"/>
    <w:bookmarkEnd w:id="7"/>
    <w:bookmarkEnd w:id="8"/>
    <w:bookmarkEnd w:id="9"/>
    <w:bookmarkEnd w:id="23"/>
    <w:p w14:paraId="1007CCA1">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1.本次采购公告在云南省政府采购网上发布。请各位供应商在递交投标（响应）文件前随时查看，以获取最新的消息。采购人及采购代理机构对其他网站或媒体转载的公告及公告内容不承担任何责任。</w:t>
      </w:r>
    </w:p>
    <w:p w14:paraId="403E7A12">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2.本次项目采用全流程电子化采购方式，认真学习云南省政府采购电子交易平台（政采云）发布的相关操作手册。操作手册查询链接：https://helpcenter.zcygov.cn/document/#/document/dashboard?siteCode=yunnan。如有疑问联系95763。</w:t>
      </w:r>
    </w:p>
    <w:p w14:paraId="3778AFCB">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（1）供应商注册。供应商须在云南省政府采购电子交易平台注册后，方可参与项目。操作路径：云南省政府采购电子交易平台-业务支持-用户注册-供应商模块。</w:t>
      </w:r>
    </w:p>
    <w:p w14:paraId="15545B3C">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（2）CA数字证书办理。供应商须办理有效CA数字证书。申领链接：</w:t>
      </w:r>
      <w:r>
        <w:rPr>
          <w:rFonts w:hint="eastAsia" w:ascii="宋体" w:hAnsi="宋体" w:eastAsia="宋体" w:cs="宋体"/>
          <w:bCs/>
          <w:color w:val="auto"/>
          <w:sz w:val="21"/>
          <w:szCs w:val="21"/>
          <w:highlight w:val="none"/>
          <w:shd w:val="clear" w:color="auto" w:fill="FFFFFF"/>
          <w:lang w:eastAsia="zh-CN"/>
        </w:rPr>
        <w:fldChar w:fldCharType="begin"/>
      </w:r>
      <w:r>
        <w:rPr>
          <w:rFonts w:hint="eastAsia" w:ascii="宋体" w:hAnsi="宋体" w:eastAsia="宋体" w:cs="宋体"/>
          <w:bCs/>
          <w:color w:val="auto"/>
          <w:sz w:val="21"/>
          <w:szCs w:val="21"/>
          <w:highlight w:val="none"/>
          <w:shd w:val="clear" w:color="auto" w:fill="FFFFFF"/>
          <w:lang w:eastAsia="zh-CN"/>
        </w:rPr>
        <w:instrText xml:space="preserve"> HYPERLINK "https://middle.zcygov.cn/ca/apply/choose。" </w:instrText>
      </w:r>
      <w:r>
        <w:rPr>
          <w:rFonts w:hint="eastAsia" w:ascii="宋体" w:hAnsi="宋体" w:eastAsia="宋体" w:cs="宋体"/>
          <w:bCs/>
          <w:color w:val="auto"/>
          <w:sz w:val="21"/>
          <w:szCs w:val="21"/>
          <w:highlight w:val="none"/>
          <w:shd w:val="clear" w:color="auto" w:fill="FFFFFF"/>
          <w:lang w:eastAsia="zh-CN"/>
        </w:rPr>
        <w:fldChar w:fldCharType="separate"/>
      </w:r>
      <w:r>
        <w:rPr>
          <w:rStyle w:val="32"/>
          <w:rFonts w:hint="eastAsia" w:ascii="宋体" w:hAnsi="宋体" w:eastAsia="宋体" w:cs="宋体"/>
          <w:bCs/>
          <w:color w:val="auto"/>
          <w:sz w:val="21"/>
          <w:szCs w:val="21"/>
          <w:highlight w:val="none"/>
          <w:shd w:val="clear" w:color="auto" w:fill="FFFFFF"/>
          <w:lang w:eastAsia="zh-CN"/>
        </w:rPr>
        <w:t>https://middle.zcygov.cn/ca/apply/choose。</w:t>
      </w:r>
      <w:r>
        <w:rPr>
          <w:rFonts w:hint="eastAsia" w:ascii="宋体" w:hAnsi="宋体" w:eastAsia="宋体" w:cs="宋体"/>
          <w:bCs/>
          <w:color w:val="auto"/>
          <w:sz w:val="21"/>
          <w:szCs w:val="21"/>
          <w:highlight w:val="none"/>
          <w:shd w:val="clear" w:color="auto" w:fill="FFFFFF"/>
          <w:lang w:eastAsia="zh-CN"/>
        </w:rPr>
        <w:fldChar w:fldCharType="end"/>
      </w:r>
    </w:p>
    <w:p w14:paraId="35CE6994">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（3）CA数字证书绑定。供应商进行CA绑定。操作路径：云南省政府采购电子交易平台-我的工作台-系统管理-ca管理-ca绑定。</w:t>
      </w:r>
    </w:p>
    <w:p w14:paraId="5C736E6A">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52CA1F94">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lang w:eastAsia="zh-CN"/>
        </w:rPr>
        <w:t>（5）投标（响应）文件编制与递交。供应商须下载投标（响应）客户端，通过客户端编制投标（响应）文件，并线上递交。投标客户端下载路径：</w:t>
      </w:r>
      <w:r>
        <w:rPr>
          <w:rFonts w:hint="eastAsia" w:ascii="宋体" w:hAnsi="宋体" w:eastAsia="宋体" w:cs="宋体"/>
          <w:bCs/>
          <w:color w:val="auto"/>
          <w:sz w:val="21"/>
          <w:szCs w:val="21"/>
          <w:highlight w:val="none"/>
          <w:shd w:val="clear" w:color="auto" w:fill="FFFFFF"/>
          <w:lang w:eastAsia="zh-CN"/>
        </w:rPr>
        <w:fldChar w:fldCharType="begin"/>
      </w:r>
      <w:r>
        <w:rPr>
          <w:rFonts w:hint="eastAsia" w:ascii="宋体" w:hAnsi="宋体" w:eastAsia="宋体" w:cs="宋体"/>
          <w:bCs/>
          <w:color w:val="auto"/>
          <w:sz w:val="21"/>
          <w:szCs w:val="21"/>
          <w:highlight w:val="none"/>
          <w:shd w:val="clear" w:color="auto" w:fill="FFFFFF"/>
          <w:lang w:eastAsia="zh-CN"/>
        </w:rPr>
        <w:instrText xml:space="preserve"> HYPERLINK "https://market.zcygov.cn/application-market/#/download/list" </w:instrText>
      </w:r>
      <w:r>
        <w:rPr>
          <w:rFonts w:hint="eastAsia" w:ascii="宋体" w:hAnsi="宋体" w:eastAsia="宋体" w:cs="宋体"/>
          <w:bCs/>
          <w:color w:val="auto"/>
          <w:sz w:val="21"/>
          <w:szCs w:val="21"/>
          <w:highlight w:val="none"/>
          <w:shd w:val="clear" w:color="auto" w:fill="FFFFFF"/>
          <w:lang w:eastAsia="zh-CN"/>
        </w:rPr>
        <w:fldChar w:fldCharType="separate"/>
      </w:r>
      <w:r>
        <w:rPr>
          <w:rStyle w:val="32"/>
          <w:rFonts w:hint="eastAsia" w:ascii="宋体" w:hAnsi="宋体" w:eastAsia="宋体" w:cs="宋体"/>
          <w:bCs/>
          <w:color w:val="auto"/>
          <w:sz w:val="21"/>
          <w:szCs w:val="21"/>
          <w:highlight w:val="none"/>
          <w:shd w:val="clear" w:color="auto" w:fill="FFFFFF"/>
          <w:lang w:eastAsia="zh-CN"/>
        </w:rPr>
        <w:t>https://market.zcygov.cn/application-market/#/download/list</w:t>
      </w:r>
      <w:r>
        <w:rPr>
          <w:rFonts w:hint="eastAsia" w:ascii="宋体" w:hAnsi="宋体" w:eastAsia="宋体" w:cs="宋体"/>
          <w:bCs/>
          <w:color w:val="auto"/>
          <w:sz w:val="21"/>
          <w:szCs w:val="21"/>
          <w:highlight w:val="none"/>
          <w:shd w:val="clear" w:color="auto" w:fill="FFFFFF"/>
          <w:lang w:eastAsia="zh-CN"/>
        </w:rPr>
        <w:fldChar w:fldCharType="end"/>
      </w:r>
      <w:r>
        <w:rPr>
          <w:rFonts w:hint="eastAsia" w:ascii="宋体" w:hAnsi="宋体" w:eastAsia="宋体" w:cs="宋体"/>
          <w:bCs/>
          <w:color w:val="auto"/>
          <w:sz w:val="21"/>
          <w:szCs w:val="21"/>
          <w:highlight w:val="none"/>
          <w:shd w:val="clear" w:color="auto" w:fill="FFFFFF"/>
          <w:lang w:eastAsia="zh-CN"/>
        </w:rPr>
        <w:t>。</w:t>
      </w:r>
    </w:p>
    <w:p w14:paraId="47292DFC">
      <w:pPr>
        <w:spacing w:before="48" w:beforeLines="20" w:after="48" w:afterLines="20" w:line="360" w:lineRule="auto"/>
        <w:ind w:firstLine="420" w:firstLineChars="200"/>
        <w:rPr>
          <w:rFonts w:hint="eastAsia" w:ascii="宋体" w:hAnsi="宋体" w:eastAsia="宋体" w:cs="宋体"/>
          <w:bCs/>
          <w:color w:val="auto"/>
          <w:sz w:val="21"/>
          <w:szCs w:val="21"/>
          <w:highlight w:val="none"/>
          <w:shd w:val="clear" w:color="auto" w:fill="FFFFFF"/>
          <w:lang w:eastAsia="zh-CN"/>
        </w:rPr>
      </w:pPr>
      <w:r>
        <w:rPr>
          <w:rFonts w:hint="eastAsia" w:ascii="宋体" w:hAnsi="宋体" w:eastAsia="宋体" w:cs="宋体"/>
          <w:bCs/>
          <w:color w:val="auto"/>
          <w:sz w:val="21"/>
          <w:szCs w:val="21"/>
          <w:highlight w:val="none"/>
          <w:shd w:val="clear" w:color="auto" w:fill="FFFFFF"/>
          <w:lang w:eastAsia="zh-CN"/>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95E52BF">
      <w:pPr>
        <w:spacing w:before="48" w:beforeLines="20" w:after="48" w:afterLines="20" w:line="360" w:lineRule="auto"/>
        <w:ind w:firstLine="420" w:firstLineChars="200"/>
        <w:rPr>
          <w:rFonts w:hint="eastAsia" w:ascii="宋体" w:hAnsi="宋体" w:eastAsia="宋体" w:cs="宋体"/>
          <w:bCs/>
          <w:color w:val="auto"/>
          <w:sz w:val="21"/>
          <w:szCs w:val="21"/>
          <w:highlight w:val="none"/>
          <w:u w:val="single"/>
          <w:shd w:val="clear" w:color="auto" w:fill="FFFFFF"/>
        </w:rPr>
      </w:pPr>
      <w:r>
        <w:rPr>
          <w:rFonts w:hint="eastAsia" w:ascii="宋体" w:hAnsi="宋体" w:eastAsia="宋体" w:cs="宋体"/>
          <w:bCs/>
          <w:color w:val="auto"/>
          <w:sz w:val="21"/>
          <w:szCs w:val="21"/>
          <w:highlight w:val="none"/>
          <w:shd w:val="clear" w:color="auto" w:fill="FFFFFF"/>
          <w:lang w:val="en-US" w:eastAsia="zh-CN"/>
        </w:rPr>
        <w:t>3</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lang w:val="en-US" w:eastAsia="zh-CN"/>
        </w:rPr>
        <w:t>投标</w:t>
      </w:r>
      <w:r>
        <w:rPr>
          <w:rFonts w:hint="eastAsia" w:ascii="宋体" w:hAnsi="宋体" w:eastAsia="宋体" w:cs="宋体"/>
          <w:bCs/>
          <w:color w:val="auto"/>
          <w:sz w:val="21"/>
          <w:szCs w:val="21"/>
          <w:highlight w:val="none"/>
          <w:shd w:val="clear" w:color="auto" w:fill="FFFFFF"/>
        </w:rPr>
        <w:t>有效期</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日历天</w:t>
      </w:r>
      <w:r>
        <w:rPr>
          <w:rFonts w:hint="eastAsia" w:ascii="宋体" w:hAnsi="宋体" w:eastAsia="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Cs/>
          <w:color w:val="auto"/>
          <w:sz w:val="21"/>
          <w:szCs w:val="21"/>
          <w:highlight w:val="none"/>
          <w:u w:val="single"/>
          <w:shd w:val="clear" w:color="auto" w:fill="FFFFFF"/>
        </w:rPr>
        <w:t>90天</w:t>
      </w:r>
      <w:r>
        <w:rPr>
          <w:rFonts w:hint="eastAsia" w:ascii="宋体" w:hAnsi="宋体" w:eastAsia="宋体" w:cs="宋体"/>
          <w:bCs/>
          <w:color w:val="auto"/>
          <w:sz w:val="21"/>
          <w:szCs w:val="21"/>
          <w:highlight w:val="none"/>
          <w:shd w:val="clear" w:color="auto" w:fill="FFFFFF"/>
        </w:rPr>
        <w:t>。</w:t>
      </w:r>
    </w:p>
    <w:p w14:paraId="4ED16E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是否需要缴纳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u w:val="single"/>
        </w:rPr>
        <w:t>是</w:t>
      </w:r>
      <w:r>
        <w:rPr>
          <w:rFonts w:hint="eastAsia" w:ascii="宋体" w:hAnsi="宋体" w:eastAsia="宋体" w:cs="宋体"/>
          <w:color w:val="auto"/>
          <w:sz w:val="21"/>
          <w:szCs w:val="21"/>
          <w:highlight w:val="none"/>
        </w:rPr>
        <w:t>。</w:t>
      </w:r>
    </w:p>
    <w:p w14:paraId="47E920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保证金金额：</w:t>
      </w:r>
      <w:r>
        <w:rPr>
          <w:rFonts w:hint="eastAsia" w:ascii="宋体" w:hAnsi="宋体" w:eastAsia="宋体" w:cs="宋体"/>
          <w:color w:val="auto"/>
          <w:sz w:val="21"/>
          <w:szCs w:val="21"/>
          <w:highlight w:val="none"/>
          <w:u w:val="single"/>
        </w:rPr>
        <w:t>人民币</w:t>
      </w:r>
      <w:r>
        <w:rPr>
          <w:rFonts w:hint="eastAsia" w:ascii="宋体" w:hAnsi="宋体" w:eastAsia="宋体" w:cs="宋体"/>
          <w:color w:val="auto"/>
          <w:sz w:val="21"/>
          <w:szCs w:val="21"/>
          <w:highlight w:val="none"/>
          <w:u w:val="single"/>
          <w:lang w:val="en-US" w:eastAsia="zh-CN"/>
        </w:rPr>
        <w:t>30000.00</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p w14:paraId="524711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保证金缴纳方式：支票、汇票、本票、保函、保证保险、银行转账等非现金形式缴纳。</w:t>
      </w:r>
    </w:p>
    <w:p w14:paraId="722D3D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保证金缴纳截止时间：保证金到账截止时间为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截止时间，到账时间以实际到达专用账号时间为准，未按时到账的保证金视为未提交。</w:t>
      </w:r>
    </w:p>
    <w:p w14:paraId="1C3B49B5">
      <w:pPr>
        <w:numPr>
          <w:ilvl w:val="0"/>
          <w:numId w:val="0"/>
        </w:numPr>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本项目执行政府采购促进中小企业发展、支持监狱企业、促进残疾人就业、强制采购和优先采购节能、环保产品等政府采购政策。</w:t>
      </w:r>
    </w:p>
    <w:p w14:paraId="19A86E8F">
      <w:pPr>
        <w:numPr>
          <w:ilvl w:val="0"/>
          <w:numId w:val="0"/>
        </w:numPr>
        <w:spacing w:line="360" w:lineRule="auto"/>
        <w:ind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服务地点：云南南滚河国家级自然保护区（耿马片区+沧源片区）及临沧市生态环境局指定地点，其中设备安装于保护区内预设监测点位（耿马片区、沧源片区），平台部署于临沧市生态环境局指定的机房/服务器，成果交付至临沧市生态环境局。</w:t>
      </w:r>
    </w:p>
    <w:p w14:paraId="460309A1">
      <w:pPr>
        <w:spacing w:line="360" w:lineRule="auto"/>
        <w:ind w:firstLine="420" w:firstLineChars="200"/>
        <w:contextualSpacing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自身原因导致在规定时间内无法正常解密的（如：浏览器故障、未安装相关驱动、网络故障、加密CA与解密CA不一致等），代理机构不予异常处理，视为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自动弃标。</w:t>
      </w:r>
      <w:bookmarkStart w:id="39" w:name="_Toc11750"/>
    </w:p>
    <w:p w14:paraId="67AB645F">
      <w:pPr>
        <w:spacing w:line="360" w:lineRule="auto"/>
        <w:ind w:firstLine="0" w:firstLineChars="0"/>
        <w:contextualSpacing w:val="0"/>
        <w:outlineLvl w:val="9"/>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、凡对本次采购提出询问，请按以下方式联系：</w:t>
      </w:r>
      <w:bookmarkEnd w:id="39"/>
    </w:p>
    <w:p w14:paraId="1BE04F7D">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采购人信息</w:t>
      </w:r>
    </w:p>
    <w:p w14:paraId="7296245E">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采购人：临沧市生态环境局</w:t>
      </w:r>
    </w:p>
    <w:p w14:paraId="0B9C5949">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地址：临沧市临翔区玉带路202号</w:t>
      </w:r>
    </w:p>
    <w:p w14:paraId="16B0BAE2">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陈</w:t>
      </w:r>
      <w:r>
        <w:rPr>
          <w:rFonts w:hint="eastAsia" w:ascii="宋体" w:hAnsi="宋体" w:eastAsia="宋体" w:cs="宋体"/>
          <w:color w:val="auto"/>
          <w:sz w:val="21"/>
          <w:szCs w:val="21"/>
          <w:highlight w:val="none"/>
          <w:lang w:eastAsia="zh-CN"/>
        </w:rPr>
        <w:t>老师、</w:t>
      </w:r>
      <w:r>
        <w:rPr>
          <w:rFonts w:hint="eastAsia" w:ascii="宋体" w:hAnsi="宋体" w:eastAsia="宋体" w:cs="宋体"/>
          <w:color w:val="auto"/>
          <w:sz w:val="21"/>
          <w:szCs w:val="21"/>
          <w:highlight w:val="none"/>
          <w:lang w:val="en-US" w:eastAsia="zh-CN"/>
        </w:rPr>
        <w:t>罗老师</w:t>
      </w:r>
    </w:p>
    <w:p w14:paraId="13E7E36C">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电话：0883-21</w:t>
      </w:r>
      <w:r>
        <w:rPr>
          <w:rFonts w:hint="eastAsia" w:ascii="宋体" w:hAnsi="宋体" w:eastAsia="宋体" w:cs="宋体"/>
          <w:color w:val="auto"/>
          <w:sz w:val="21"/>
          <w:szCs w:val="21"/>
          <w:highlight w:val="none"/>
          <w:lang w:val="en-US" w:eastAsia="zh-CN"/>
        </w:rPr>
        <w:t>65010</w:t>
      </w:r>
    </w:p>
    <w:p w14:paraId="1167C31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采购代理机构</w:t>
      </w:r>
    </w:p>
    <w:p w14:paraId="4D0FAE77">
      <w:pPr>
        <w:spacing w:line="36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中招国际招标有限公司</w:t>
      </w:r>
    </w:p>
    <w:p w14:paraId="4C4B173A">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地址：云南省昆明市五华区科高路金泰国际9栋5楼</w:t>
      </w:r>
    </w:p>
    <w:p w14:paraId="0613533A">
      <w:pPr>
        <w:spacing w:line="360" w:lineRule="auto"/>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钱军、</w:t>
      </w:r>
      <w:r>
        <w:rPr>
          <w:rFonts w:hint="eastAsia" w:ascii="宋体" w:hAnsi="宋体" w:eastAsia="宋体" w:cs="宋体"/>
          <w:color w:val="auto"/>
          <w:sz w:val="21"/>
          <w:szCs w:val="21"/>
          <w:highlight w:val="none"/>
          <w:lang w:eastAsia="zh-CN"/>
        </w:rPr>
        <w:t>杨华、</w:t>
      </w:r>
      <w:r>
        <w:rPr>
          <w:rFonts w:hint="eastAsia" w:ascii="宋体" w:hAnsi="宋体" w:eastAsia="宋体" w:cs="宋体"/>
          <w:color w:val="auto"/>
          <w:sz w:val="21"/>
          <w:szCs w:val="21"/>
          <w:highlight w:val="none"/>
          <w:lang w:val="en-US" w:eastAsia="zh-CN"/>
        </w:rPr>
        <w:t>赵映娅，宁显尧、位亚宁</w:t>
      </w:r>
    </w:p>
    <w:p w14:paraId="5759DCBF">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0871-65172175、</w:t>
      </w:r>
      <w:r>
        <w:rPr>
          <w:rFonts w:hint="eastAsia" w:ascii="宋体" w:hAnsi="宋体" w:eastAsia="宋体" w:cs="宋体"/>
          <w:color w:val="auto"/>
          <w:sz w:val="21"/>
          <w:szCs w:val="21"/>
          <w:highlight w:val="none"/>
          <w:lang w:val="en-US" w:eastAsia="zh-CN"/>
        </w:rPr>
        <w:t>13888022567</w:t>
      </w:r>
    </w:p>
    <w:p w14:paraId="561C1D9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项目联系方式</w:t>
      </w:r>
    </w:p>
    <w:p w14:paraId="0793BED0">
      <w:pPr>
        <w:widowControl/>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钱军、</w:t>
      </w:r>
      <w:r>
        <w:rPr>
          <w:rFonts w:hint="eastAsia" w:ascii="宋体" w:hAnsi="宋体" w:eastAsia="宋体" w:cs="宋体"/>
          <w:color w:val="auto"/>
          <w:sz w:val="21"/>
          <w:szCs w:val="21"/>
          <w:highlight w:val="none"/>
          <w:lang w:eastAsia="zh-CN"/>
        </w:rPr>
        <w:t>杨华、</w:t>
      </w:r>
      <w:r>
        <w:rPr>
          <w:rFonts w:hint="eastAsia" w:ascii="宋体" w:hAnsi="宋体" w:eastAsia="宋体" w:cs="宋体"/>
          <w:color w:val="auto"/>
          <w:sz w:val="21"/>
          <w:szCs w:val="21"/>
          <w:highlight w:val="none"/>
          <w:lang w:val="en-US" w:eastAsia="zh-CN"/>
        </w:rPr>
        <w:t>赵映娅，宁显尧、位亚宁</w:t>
      </w:r>
    </w:p>
    <w:p w14:paraId="7A7EB184">
      <w:pPr>
        <w:spacing w:line="360" w:lineRule="auto"/>
        <w:ind w:firstLine="420"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0871-65172175、13</w:t>
      </w:r>
      <w:r>
        <w:rPr>
          <w:rFonts w:hint="eastAsia" w:ascii="宋体" w:hAnsi="宋体" w:eastAsia="宋体" w:cs="宋体"/>
          <w:color w:val="auto"/>
          <w:sz w:val="21"/>
          <w:szCs w:val="21"/>
          <w:highlight w:val="none"/>
          <w:lang w:val="en-US" w:eastAsia="zh-CN"/>
        </w:rPr>
        <w:t>888022567</w:t>
      </w:r>
    </w:p>
    <w:p w14:paraId="38FFD8D3">
      <w:pPr>
        <w:spacing w:before="240" w:after="24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政府采购电子交易平台</w:t>
      </w: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注意事项</w:t>
      </w:r>
    </w:p>
    <w:p w14:paraId="0FD2C9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为规范采购人、代理机构在政府采购电子交易平台（以下简称：“电子交易平台”）中编制电子采购文件，现就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使用电子交易平台注意事项如下：</w:t>
      </w:r>
    </w:p>
    <w:p w14:paraId="198626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一、电子采购文件获取</w:t>
      </w:r>
    </w:p>
    <w:p w14:paraId="3B7DA8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凡有意参加投标的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政府采购云平台办理数字证书（CA），CA申领链接：https://middle.zcygov.cn/ca/apply/list?_app_=zcy.sys或https://yzt.ynsmartcert.cn，并通过政采云绑定数字证书（CA）后在网上获取采购文件及其它采购资料，数字证书（CA）详见其办理流程。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如之前已在云南CA在线数字证书办理网进行过注册并办理过企业数字证书（CA）的，直接绑定即可，无需重复办理（202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年1月1日前在云南省公共资源交易平台办理过云南CA证书的需到原办理点进行升级后方可使用）。外省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在政府采购云平台办理的其他CA可直接使用，无需重复办理。</w:t>
      </w:r>
    </w:p>
    <w:p w14:paraId="260178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通过CA证书获取采购文件的视为合法获取了项目采购文件，具备本项目的投标资格。</w:t>
      </w:r>
    </w:p>
    <w:p w14:paraId="4739E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二、电子采购文件澄清与答疑</w:t>
      </w:r>
    </w:p>
    <w:p w14:paraId="4DE622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应仔细阅读和检查采购文件的全部内容。如发现缺页或附件不全，应及时向采购人或代理机构提出，以便补齐。如有疑问，应在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须知前附表规定的时间前在政府采购云平台“询问列表”提出，要求采购人或代理机构对采购文件予以澄清。</w:t>
      </w:r>
    </w:p>
    <w:p w14:paraId="424DDD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三、电子投标（响应）文件的编制</w:t>
      </w:r>
    </w:p>
    <w:p w14:paraId="7EC9B4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（一）电子投标（响应）文件应使用政府采购云平台（www.zcygov.cn）中下载的政采云电子投标客户端制作，并进行电子签章及加密后上传至政府采购云平台。编制要求见《电子投标文件编制要求》。</w:t>
      </w:r>
    </w:p>
    <w:p w14:paraId="48898B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提交的电子标书不符合（一）要求或开标时无法读取导入或解密，其投标（响应）文件将不予受理。</w:t>
      </w:r>
    </w:p>
    <w:p w14:paraId="44AD11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四、电子投标（响应）文件的递交</w:t>
      </w:r>
    </w:p>
    <w:p w14:paraId="2C4A28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在投标（响应）文件递交的截止时间（投标截止时间，下同）前，需在网上递交投标（响应）文件，具体要求：</w:t>
      </w:r>
    </w:p>
    <w:p w14:paraId="6B6615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登录政府采购云平台（www.zcygov.cn），</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须在投标截止时间前完成投标（响应）文件的电子签章、加密及上传，投标截止时间前未完成投标（响应）文件上传的，视为撤回投标（响应）文件。</w:t>
      </w:r>
    </w:p>
    <w:p w14:paraId="20A0D6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五、电子投标（响应）文件的修改与撤回</w:t>
      </w:r>
    </w:p>
    <w:p w14:paraId="348949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在投标截止时间前，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可以在政府采购云平台修改或撤回已在网上递交的投标（响应）文件，无须书面形式通知采购人。</w:t>
      </w:r>
    </w:p>
    <w:p w14:paraId="62D5E9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六、电子开标及投标（响应）文件解密</w:t>
      </w:r>
    </w:p>
    <w:p w14:paraId="4B8112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熟悉“政府采购云平台”相关投标程序，不到现场参加投标的，应提前在自有场地配置有音视频通话（带摄像头及话筒的电脑）功能的相应设备及稳定网络环境，并按“政府采购云平台”开标大厅中的提示完成采购活动。</w:t>
      </w:r>
    </w:p>
    <w:p w14:paraId="37F92F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（二）到现场参与投标的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提交截止时间前携带编制投标（响应）文件时的加密数字证书（CA）、具有摄像头及话筒的笔记本电脑至采购代理机构开标地点参与投标。</w:t>
      </w:r>
    </w:p>
    <w:p w14:paraId="18A1823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（三）采购人宣布开启电子投标（响应）文件后，</w:t>
      </w:r>
      <w:r>
        <w:rPr>
          <w:rFonts w:hint="eastAsia" w:ascii="宋体" w:hAnsi="宋体" w:eastAsia="宋体" w:cs="宋体"/>
          <w:color w:val="auto"/>
          <w:sz w:val="21"/>
          <w:szCs w:val="21"/>
          <w:highlight w:val="none"/>
          <w:lang w:eastAsia="zh-CN"/>
        </w:rPr>
        <w:t>投标人登录</w:t>
      </w:r>
      <w:r>
        <w:rPr>
          <w:rFonts w:hint="eastAsia" w:ascii="宋体" w:hAnsi="宋体" w:eastAsia="宋体" w:cs="宋体"/>
          <w:color w:val="auto"/>
          <w:sz w:val="21"/>
          <w:szCs w:val="21"/>
          <w:highlight w:val="none"/>
        </w:rPr>
        <w:t>“政府采购云平台”开标大厅，使用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编制投标（响应）文件时的加密数字证书对投标（响应）文件进行解密。</w:t>
      </w:r>
    </w:p>
    <w:p w14:paraId="29D657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七、技术支持</w:t>
      </w:r>
    </w:p>
    <w:p w14:paraId="21EC67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系统操作问题：请致电政采云，95763（客服热线）；</w:t>
      </w:r>
    </w:p>
    <w:p w14:paraId="2C594C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云南CA操作问题：请致电云南CA，4006727666；</w:t>
      </w:r>
    </w:p>
    <w:p w14:paraId="502ACF7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云南CA紧急联系方式：15288315056</w:t>
      </w:r>
      <w:r>
        <w:rPr>
          <w:rFonts w:hint="eastAsia" w:ascii="宋体" w:hAnsi="宋体" w:eastAsia="宋体" w:cs="宋体"/>
          <w:color w:val="auto"/>
          <w:sz w:val="21"/>
          <w:szCs w:val="21"/>
          <w:highlight w:val="none"/>
          <w:lang w:eastAsia="zh-CN"/>
        </w:rPr>
        <w:t>；</w:t>
      </w:r>
    </w:p>
    <w:p w14:paraId="1E2FCB7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云南壹证通CA操作问题：请致电云南壹证通CA，4000040628；</w:t>
      </w:r>
    </w:p>
    <w:p w14:paraId="4C3F630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云南壹证通CA紧急联系方式：19988166369。</w:t>
      </w:r>
    </w:p>
    <w:p w14:paraId="7AC37B03">
      <w:pPr>
        <w:pStyle w:val="14"/>
        <w:rPr>
          <w:rFonts w:hint="eastAsia" w:ascii="宋体" w:hAnsi="宋体" w:eastAsia="宋体" w:cs="宋体"/>
          <w:color w:val="auto"/>
          <w:sz w:val="21"/>
          <w:szCs w:val="21"/>
          <w:highlight w:val="none"/>
        </w:rPr>
      </w:pPr>
    </w:p>
    <w:p w14:paraId="6F506700">
      <w:pPr>
        <w:spacing w:before="240" w:after="24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电子投标文件编制要求</w:t>
      </w:r>
    </w:p>
    <w:p w14:paraId="6A66B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电子投标文件的制作应使用“政采云投标客户端”，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下载“政采云投标客户端”，通过“政采云投标客户端”编制并生成加密的投标文件。</w:t>
      </w:r>
    </w:p>
    <w:p w14:paraId="5D63E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“政采云投标客户端”提供数字证书（CA）对投标文件进行加密功能。</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对网上递交的投标文件应加密。如果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使用某个数字证书（CA）对投标文件进行了数字证书（CA）加密，需要在开标时使用该数字证书（CA）进行解密，才能读取或导入投标文件，因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原因造成投标文件未解密的，视为撤回其投标文件。</w:t>
      </w:r>
    </w:p>
    <w:p w14:paraId="26EC7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网上递交投标文件应根据采购文件要求，在投标截止时间前将电子投标文件通过政采云电子交易系统（网址：https://www.</w:t>
      </w:r>
      <w:r>
        <w:rPr>
          <w:rFonts w:hint="eastAsia" w:ascii="宋体" w:hAnsi="宋体" w:cs="宋体"/>
          <w:color w:val="auto"/>
          <w:sz w:val="21"/>
          <w:szCs w:val="21"/>
          <w:highlight w:val="none"/>
          <w:lang w:eastAsia="zh-CN"/>
        </w:rPr>
        <w:t>zcygov.cn</w:t>
      </w:r>
      <w:r>
        <w:rPr>
          <w:rFonts w:hint="eastAsia" w:ascii="宋体" w:hAnsi="宋体" w:eastAsia="宋体" w:cs="宋体"/>
          <w:color w:val="auto"/>
          <w:sz w:val="21"/>
          <w:szCs w:val="21"/>
          <w:highlight w:val="none"/>
        </w:rPr>
        <w:t>）上传至对应的项目，系统自动生成投标回执，以表明上传成功。</w:t>
      </w:r>
    </w:p>
    <w:p w14:paraId="687CBA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“政采云投标客户端”及CA驱动下载网址：</w:t>
      </w:r>
    </w:p>
    <w:p w14:paraId="2472C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https://customer.zcygov.cn/CA-driver-download?utm=web-ca-front.3ddc8fbb.0.0.91c6cff0db1311ec8cfbc9f613d30204</w:t>
      </w:r>
    </w:p>
    <w:p w14:paraId="49D23E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w:t>
      </w:r>
    </w:p>
    <w:p w14:paraId="64C392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系统操作问题：请致电政采云，95763（客服热线）；</w:t>
      </w:r>
    </w:p>
    <w:p w14:paraId="284C0E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云南CA操作问题：请致电云南CA，4006727666；</w:t>
      </w:r>
    </w:p>
    <w:p w14:paraId="5A44D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云南CA紧急联系方式：15288315056</w:t>
      </w:r>
      <w:r>
        <w:rPr>
          <w:rFonts w:hint="eastAsia" w:ascii="宋体" w:hAnsi="宋体" w:eastAsia="宋体" w:cs="宋体"/>
          <w:color w:val="auto"/>
          <w:sz w:val="21"/>
          <w:szCs w:val="21"/>
          <w:highlight w:val="none"/>
          <w:lang w:eastAsia="zh-CN"/>
        </w:rPr>
        <w:t>；</w:t>
      </w:r>
    </w:p>
    <w:p w14:paraId="740FCC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云南壹证通CA</w:t>
      </w:r>
      <w:r>
        <w:rPr>
          <w:rFonts w:hint="eastAsia" w:ascii="宋体" w:hAnsi="宋体" w:eastAsia="宋体" w:cs="宋体"/>
          <w:color w:val="auto"/>
          <w:sz w:val="21"/>
          <w:szCs w:val="21"/>
          <w:highlight w:val="none"/>
          <w:lang w:eastAsia="zh-CN"/>
        </w:rPr>
        <w:t>操作问题：请致电云南</w:t>
      </w:r>
      <w:r>
        <w:rPr>
          <w:rFonts w:hint="eastAsia" w:ascii="宋体" w:hAnsi="宋体" w:eastAsia="宋体" w:cs="宋体"/>
          <w:color w:val="auto"/>
          <w:sz w:val="21"/>
          <w:szCs w:val="21"/>
          <w:highlight w:val="none"/>
          <w:lang w:val="en-US" w:eastAsia="zh-CN"/>
        </w:rPr>
        <w:t>壹证通CA</w:t>
      </w:r>
      <w:r>
        <w:rPr>
          <w:rFonts w:hint="eastAsia" w:ascii="宋体" w:hAnsi="宋体" w:eastAsia="宋体" w:cs="宋体"/>
          <w:color w:val="auto"/>
          <w:sz w:val="21"/>
          <w:szCs w:val="21"/>
          <w:highlight w:val="none"/>
          <w:lang w:eastAsia="zh-CN"/>
        </w:rPr>
        <w:t>，4000040628；</w:t>
      </w:r>
    </w:p>
    <w:p w14:paraId="256C97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云南</w:t>
      </w:r>
      <w:r>
        <w:rPr>
          <w:rFonts w:hint="eastAsia" w:ascii="宋体" w:hAnsi="宋体" w:eastAsia="宋体" w:cs="宋体"/>
          <w:color w:val="auto"/>
          <w:sz w:val="21"/>
          <w:szCs w:val="21"/>
          <w:highlight w:val="none"/>
          <w:lang w:val="en-US" w:eastAsia="zh-CN"/>
        </w:rPr>
        <w:t>壹证通</w:t>
      </w:r>
      <w:r>
        <w:rPr>
          <w:rFonts w:hint="eastAsia" w:ascii="宋体" w:hAnsi="宋体" w:eastAsia="宋体" w:cs="宋体"/>
          <w:color w:val="auto"/>
          <w:sz w:val="21"/>
          <w:szCs w:val="21"/>
          <w:highlight w:val="none"/>
          <w:lang w:eastAsia="zh-CN"/>
        </w:rPr>
        <w:t>CA紧急联系方式：19988166369。</w:t>
      </w:r>
    </w:p>
    <w:p w14:paraId="415E46E2">
      <w:pPr>
        <w:spacing w:line="360" w:lineRule="auto"/>
        <w:ind w:firstLine="420" w:firstLineChars="200"/>
        <w:rPr>
          <w:rFonts w:hint="eastAsia" w:ascii="宋体" w:hAnsi="宋体" w:eastAsia="宋体" w:cs="宋体"/>
          <w:color w:val="auto"/>
          <w:sz w:val="21"/>
          <w:szCs w:val="21"/>
          <w:highlight w:val="none"/>
        </w:rPr>
      </w:pPr>
    </w:p>
    <w:p w14:paraId="2519B853">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4376F61">
      <w:pPr>
        <w:pStyle w:val="2"/>
        <w:numPr>
          <w:ilvl w:val="0"/>
          <w:numId w:val="0"/>
        </w:numPr>
        <w:jc w:val="center"/>
        <w:rPr>
          <w:rFonts w:hint="eastAsia" w:ascii="宋体" w:hAnsi="宋体" w:eastAsia="宋体" w:cs="宋体"/>
          <w:color w:val="auto"/>
          <w:sz w:val="36"/>
          <w:highlight w:val="none"/>
        </w:rPr>
      </w:pPr>
      <w:bookmarkStart w:id="40" w:name="_Toc1463"/>
      <w:r>
        <w:rPr>
          <w:rFonts w:hint="eastAsia" w:ascii="宋体" w:hAnsi="宋体" w:eastAsia="宋体" w:cs="宋体"/>
          <w:color w:val="auto"/>
          <w:sz w:val="36"/>
          <w:highlight w:val="none"/>
        </w:rPr>
        <w:t>第二章投标人须知</w:t>
      </w:r>
      <w:bookmarkEnd w:id="10"/>
      <w:bookmarkEnd w:id="11"/>
      <w:bookmarkEnd w:id="40"/>
    </w:p>
    <w:p w14:paraId="3953647A">
      <w:pPr>
        <w:pStyle w:val="3"/>
        <w:numPr>
          <w:ilvl w:val="0"/>
          <w:numId w:val="0"/>
        </w:numPr>
        <w:spacing w:before="0"/>
        <w:jc w:val="center"/>
        <w:rPr>
          <w:rFonts w:hint="eastAsia" w:ascii="宋体" w:hAnsi="宋体" w:eastAsia="宋体" w:cs="宋体"/>
          <w:bCs/>
          <w:color w:val="auto"/>
          <w:sz w:val="30"/>
          <w:szCs w:val="30"/>
          <w:highlight w:val="none"/>
        </w:rPr>
      </w:pPr>
      <w:bookmarkStart w:id="41" w:name="_Toc3430"/>
      <w:bookmarkStart w:id="42" w:name="_Toc5459"/>
      <w:bookmarkStart w:id="43" w:name="_Toc37325483"/>
      <w:bookmarkStart w:id="44" w:name="_Toc9143"/>
      <w:r>
        <w:rPr>
          <w:rFonts w:hint="eastAsia" w:ascii="宋体" w:hAnsi="宋体" w:eastAsia="宋体" w:cs="宋体"/>
          <w:bCs/>
          <w:color w:val="auto"/>
          <w:sz w:val="30"/>
          <w:szCs w:val="30"/>
          <w:highlight w:val="none"/>
        </w:rPr>
        <w:t>投标人须知前附表</w:t>
      </w:r>
      <w:bookmarkEnd w:id="41"/>
      <w:bookmarkEnd w:id="42"/>
      <w:bookmarkEnd w:id="43"/>
      <w:bookmarkEnd w:id="44"/>
    </w:p>
    <w:tbl>
      <w:tblPr>
        <w:tblStyle w:val="2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155"/>
        <w:gridCol w:w="6488"/>
      </w:tblGrid>
      <w:tr w14:paraId="34FA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35" w:type="dxa"/>
            <w:noWrap w:val="0"/>
            <w:vAlign w:val="center"/>
          </w:tcPr>
          <w:p w14:paraId="2FA70FD7">
            <w:pPr>
              <w:pStyle w:val="18"/>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55" w:type="dxa"/>
            <w:noWrap w:val="0"/>
            <w:vAlign w:val="center"/>
          </w:tcPr>
          <w:p w14:paraId="06CF9EB1">
            <w:pPr>
              <w:pStyle w:val="18"/>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488" w:type="dxa"/>
            <w:noWrap w:val="0"/>
            <w:vAlign w:val="center"/>
          </w:tcPr>
          <w:p w14:paraId="56D9C534">
            <w:pPr>
              <w:pStyle w:val="18"/>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4F7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 w:type="dxa"/>
            <w:vMerge w:val="restart"/>
            <w:noWrap w:val="0"/>
            <w:vAlign w:val="center"/>
          </w:tcPr>
          <w:p w14:paraId="3056ED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55" w:type="dxa"/>
            <w:noWrap w:val="0"/>
            <w:vAlign w:val="center"/>
          </w:tcPr>
          <w:p w14:paraId="48610DF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p>
        </w:tc>
        <w:tc>
          <w:tcPr>
            <w:tcW w:w="6488" w:type="dxa"/>
            <w:noWrap w:val="0"/>
            <w:vAlign w:val="center"/>
          </w:tcPr>
          <w:p w14:paraId="1AC03A73">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临沧市生态环境局</w:t>
            </w:r>
          </w:p>
        </w:tc>
      </w:tr>
      <w:tr w14:paraId="66D9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 w:type="dxa"/>
            <w:vMerge w:val="continue"/>
            <w:noWrap w:val="0"/>
            <w:vAlign w:val="center"/>
          </w:tcPr>
          <w:p w14:paraId="6F2A8B0B">
            <w:pPr>
              <w:spacing w:line="360" w:lineRule="auto"/>
              <w:jc w:val="center"/>
              <w:rPr>
                <w:rFonts w:hint="eastAsia" w:ascii="宋体" w:hAnsi="宋体" w:eastAsia="宋体" w:cs="宋体"/>
                <w:color w:val="auto"/>
                <w:szCs w:val="21"/>
                <w:highlight w:val="none"/>
              </w:rPr>
            </w:pPr>
          </w:p>
        </w:tc>
        <w:tc>
          <w:tcPr>
            <w:tcW w:w="2155" w:type="dxa"/>
            <w:noWrap w:val="0"/>
            <w:vAlign w:val="center"/>
          </w:tcPr>
          <w:p w14:paraId="4EE95B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488" w:type="dxa"/>
            <w:noWrap w:val="0"/>
            <w:vAlign w:val="center"/>
          </w:tcPr>
          <w:p w14:paraId="0DA20804">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中招国际招标有限公司</w:t>
            </w:r>
          </w:p>
        </w:tc>
      </w:tr>
      <w:tr w14:paraId="4CE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5" w:type="dxa"/>
            <w:vMerge w:val="continue"/>
            <w:noWrap w:val="0"/>
            <w:vAlign w:val="center"/>
          </w:tcPr>
          <w:p w14:paraId="4ABF6099">
            <w:pPr>
              <w:spacing w:line="360" w:lineRule="auto"/>
              <w:jc w:val="center"/>
              <w:rPr>
                <w:rFonts w:hint="eastAsia" w:ascii="宋体" w:hAnsi="宋体" w:eastAsia="宋体" w:cs="宋体"/>
                <w:color w:val="auto"/>
                <w:szCs w:val="21"/>
                <w:highlight w:val="none"/>
              </w:rPr>
            </w:pPr>
          </w:p>
        </w:tc>
        <w:tc>
          <w:tcPr>
            <w:tcW w:w="2155" w:type="dxa"/>
            <w:noWrap w:val="0"/>
            <w:vAlign w:val="center"/>
          </w:tcPr>
          <w:p w14:paraId="1D1F9EF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488" w:type="dxa"/>
            <w:noWrap w:val="0"/>
            <w:vAlign w:val="center"/>
          </w:tcPr>
          <w:p w14:paraId="2E79F53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临沧市重点自然保护区生态安全风险监测预警能力建设项目</w:t>
            </w:r>
          </w:p>
          <w:p w14:paraId="68D69B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 xml:space="preserve"> LCZC2026-G1-00381-ZZGJ-0312</w:t>
            </w:r>
          </w:p>
          <w:p w14:paraId="366319F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代理机构项目编号</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TC2697046</w:t>
            </w:r>
          </w:p>
        </w:tc>
      </w:tr>
      <w:tr w14:paraId="01D2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5" w:type="dxa"/>
            <w:noWrap w:val="0"/>
            <w:vAlign w:val="center"/>
          </w:tcPr>
          <w:p w14:paraId="3037FD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55" w:type="dxa"/>
            <w:noWrap w:val="0"/>
            <w:vAlign w:val="center"/>
          </w:tcPr>
          <w:p w14:paraId="280B5BE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6488" w:type="dxa"/>
            <w:noWrap w:val="0"/>
            <w:vAlign w:val="center"/>
          </w:tcPr>
          <w:p w14:paraId="36804B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财政性资金</w:t>
            </w:r>
          </w:p>
        </w:tc>
      </w:tr>
      <w:tr w14:paraId="63AB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5" w:type="dxa"/>
            <w:noWrap w:val="0"/>
            <w:vAlign w:val="center"/>
          </w:tcPr>
          <w:p w14:paraId="266800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55" w:type="dxa"/>
            <w:noWrap w:val="0"/>
            <w:vAlign w:val="center"/>
          </w:tcPr>
          <w:p w14:paraId="2DBEA64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6488" w:type="dxa"/>
            <w:noWrap w:val="0"/>
            <w:vAlign w:val="center"/>
          </w:tcPr>
          <w:p w14:paraId="55C1716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详见第一章招标公告“采购需求”及第五章采购需求中的具体内容。</w:t>
            </w:r>
          </w:p>
        </w:tc>
      </w:tr>
      <w:tr w14:paraId="44A3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35" w:type="dxa"/>
            <w:noWrap w:val="0"/>
            <w:vAlign w:val="center"/>
          </w:tcPr>
          <w:p w14:paraId="70EB51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155" w:type="dxa"/>
            <w:noWrap w:val="0"/>
            <w:vAlign w:val="center"/>
          </w:tcPr>
          <w:p w14:paraId="2D8091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服务期限、服务地点及质量要求</w:t>
            </w:r>
          </w:p>
        </w:tc>
        <w:tc>
          <w:tcPr>
            <w:tcW w:w="6488" w:type="dxa"/>
            <w:noWrap w:val="0"/>
            <w:vAlign w:val="center"/>
          </w:tcPr>
          <w:p w14:paraId="4697B3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项目实施周期：自合同签订之日起至项目整体验收合格之日止，不超过1年；运维服务期：自项目整体验收合格之日起免费运维3年。</w:t>
            </w:r>
          </w:p>
          <w:p w14:paraId="28E977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服务地点</w:t>
            </w:r>
            <w:r>
              <w:rPr>
                <w:rFonts w:hint="eastAsia" w:ascii="宋体" w:hAnsi="宋体" w:eastAsia="宋体" w:cs="宋体"/>
                <w:color w:val="auto"/>
                <w:szCs w:val="21"/>
                <w:highlight w:val="none"/>
              </w:rPr>
              <w:t>：云南南滚河国家级自然保护区（耿马片区+沧源片区）及临沧市生态环境局指定地点，其中设备安装于保护区内预设监测点位（耿马片区、沧源片区），平台部署于临沧市生态环境局指定的机房/服务器，成果交付至临沧市生态环境局。</w:t>
            </w:r>
          </w:p>
          <w:p w14:paraId="0F8206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质量要求：</w:t>
            </w:r>
            <w:r>
              <w:rPr>
                <w:rFonts w:hint="eastAsia" w:ascii="宋体" w:hAnsi="宋体" w:eastAsia="宋体" w:cs="宋体"/>
                <w:color w:val="auto"/>
                <w:szCs w:val="21"/>
                <w:highlight w:val="none"/>
                <w:lang w:val="en-US" w:eastAsia="zh-CN"/>
              </w:rPr>
              <w:t>满足招标文件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第五章采购需求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中的“质量要求”</w:t>
            </w:r>
            <w:r>
              <w:rPr>
                <w:rFonts w:hint="eastAsia" w:ascii="宋体" w:hAnsi="宋体" w:eastAsia="宋体" w:cs="宋体"/>
                <w:color w:val="auto"/>
                <w:szCs w:val="21"/>
                <w:highlight w:val="none"/>
              </w:rPr>
              <w:t>。</w:t>
            </w:r>
          </w:p>
        </w:tc>
      </w:tr>
      <w:tr w14:paraId="6892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35" w:type="dxa"/>
            <w:noWrap w:val="0"/>
            <w:vAlign w:val="center"/>
          </w:tcPr>
          <w:p w14:paraId="1FCAA5B6">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155" w:type="dxa"/>
            <w:noWrap w:val="0"/>
            <w:vAlign w:val="center"/>
          </w:tcPr>
          <w:p w14:paraId="0EFC3102">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投标人应具备《中华人民共和国政府采购法》第二十二条规定的条件</w:t>
            </w:r>
          </w:p>
        </w:tc>
        <w:tc>
          <w:tcPr>
            <w:tcW w:w="6488" w:type="dxa"/>
            <w:noWrap w:val="0"/>
            <w:vAlign w:val="center"/>
          </w:tcPr>
          <w:p w14:paraId="5B52C1DF">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具有独立承担民事责任的能力：提供企业有效的法人营业执照、社团组织法人营业执照、事业单位法人证</w:t>
            </w:r>
            <w:r>
              <w:rPr>
                <w:rFonts w:hint="eastAsia" w:ascii="宋体" w:hAnsi="宋体" w:eastAsia="宋体" w:cs="宋体"/>
                <w:color w:val="auto"/>
                <w:sz w:val="21"/>
                <w:szCs w:val="21"/>
                <w:highlight w:val="none"/>
                <w:lang w:eastAsia="zh-CN"/>
              </w:rPr>
              <w:t>、自然人证明材料或其他组织证明材料（加盖电子公章）</w:t>
            </w:r>
            <w:r>
              <w:rPr>
                <w:rFonts w:hint="eastAsia" w:ascii="宋体" w:hAnsi="宋体" w:eastAsia="宋体" w:cs="宋体"/>
                <w:color w:val="auto"/>
                <w:sz w:val="21"/>
                <w:szCs w:val="21"/>
                <w:highlight w:val="none"/>
              </w:rPr>
              <w:t>；</w:t>
            </w:r>
          </w:p>
          <w:p w14:paraId="10A6286F">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2、具有良好的商业信誉和健全的财务会计制度：</w:t>
            </w:r>
          </w:p>
          <w:p w14:paraId="14DCF1E8">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lang w:eastAsia="zh-CN"/>
              </w:rPr>
              <w:t>具有良好的商业信誉，</w:t>
            </w:r>
            <w:r>
              <w:rPr>
                <w:rFonts w:hint="eastAsia" w:ascii="宋体" w:hAnsi="宋体" w:eastAsia="宋体" w:cs="宋体"/>
                <w:color w:val="auto"/>
                <w:sz w:val="21"/>
                <w:szCs w:val="21"/>
                <w:highlight w:val="none"/>
                <w:lang w:val="en-US" w:eastAsia="zh-CN"/>
              </w:rPr>
              <w:t>在本项目</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提交截止时间前在国家企业信用信息公示系统（www.gsxt.gov.cn）“行政处罚信息”栏中查询的信息记录不得为参加政府采购活动前三年内因违法经营受到刑事处罚或者责令停产停业、吊销许可证或者执照、较大数额罚款等行政处罚，未出现列入经营异常名录且未被移出、未出现列入严重违法失信企业名单（黑名单）且未被移出等不良情况（查询时间为本公告发布之日起至提交</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截止之日止，查询结果以采购人、采购代理机构查询结果为准，并将查询记录和证据留存，事业单位不在该系统查询范围内）；</w:t>
            </w:r>
          </w:p>
          <w:p w14:paraId="1F1247BA">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（2）投标人具有</w:t>
            </w:r>
            <w:r>
              <w:rPr>
                <w:rFonts w:hint="eastAsia" w:ascii="宋体" w:hAnsi="宋体" w:eastAsia="宋体" w:cs="宋体"/>
                <w:color w:val="auto"/>
                <w:sz w:val="21"/>
                <w:szCs w:val="21"/>
                <w:highlight w:val="none"/>
                <w:lang w:eastAsia="zh-CN"/>
              </w:rPr>
              <w:t>健全的财务会计制度，</w:t>
            </w:r>
            <w:r>
              <w:rPr>
                <w:rFonts w:hint="eastAsia" w:ascii="宋体" w:hAnsi="宋体" w:eastAsia="宋体" w:cs="宋体"/>
                <w:color w:val="auto"/>
                <w:sz w:val="21"/>
                <w:szCs w:val="21"/>
                <w:highlight w:val="none"/>
                <w:lang w:val="en-US" w:eastAsia="zh-CN"/>
              </w:rPr>
              <w:t>提供以下任意一种证明材料均可：</w:t>
            </w:r>
          </w:p>
          <w:p w14:paraId="641F3E18">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①提供2023年至今任意一年度经第三方审计的审计报告</w:t>
            </w:r>
            <w:r>
              <w:rPr>
                <w:rFonts w:hint="eastAsia" w:ascii="宋体" w:hAnsi="宋体" w:eastAsia="宋体" w:cs="宋体"/>
                <w:color w:val="auto"/>
                <w:sz w:val="21"/>
                <w:szCs w:val="21"/>
                <w:highlight w:val="none"/>
                <w:lang w:val="en-US" w:eastAsia="zh-CN"/>
              </w:rPr>
              <w:t>及财务报表</w:t>
            </w:r>
            <w:r>
              <w:rPr>
                <w:rFonts w:hint="eastAsia" w:ascii="宋体" w:hAnsi="宋体" w:eastAsia="宋体" w:cs="宋体"/>
                <w:color w:val="auto"/>
                <w:sz w:val="21"/>
                <w:szCs w:val="21"/>
                <w:highlight w:val="none"/>
                <w:lang w:eastAsia="zh-CN"/>
              </w:rPr>
              <w:t>（报表至少包括资产负债表、利润表（损益表或收入费用表）、现金流量表）（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p>
          <w:p w14:paraId="4C0B9140">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②投标人自行编制的财务报表（报表至少包括资产负债表、利润表（损益表或收入费用表）、现金流量表）；</w:t>
            </w:r>
          </w:p>
          <w:p w14:paraId="691F0794">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③经政府部门认可的担保机构出具的担保证明，提供担保证明的同时还须提供专业担保机构经财政部门认可的证明文件（加盖电子公章）；</w:t>
            </w:r>
          </w:p>
          <w:p w14:paraId="4866B564">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④新成立不满1年的企业可提供近三个月内开户银行出具的资信证明或资金存款证明（加盖电子公章）；</w:t>
            </w:r>
          </w:p>
          <w:p w14:paraId="0D126EA1">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是事业单位无财务状况报告或财务状况报告不齐全的须在</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中提供说明并加盖电子公章。</w:t>
            </w:r>
          </w:p>
          <w:p w14:paraId="487B1012">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3、具有履行合同所必需的设备和专业技术能力：提供证明材料或书面承诺；</w:t>
            </w:r>
          </w:p>
          <w:p w14:paraId="61FC4944">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4、有依法缴纳税收和社会保障资金的良好记录：</w:t>
            </w:r>
          </w:p>
          <w:p w14:paraId="23F00215">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须提供2025年1月（含1月）至</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截止日期前任意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个月的税务局税收通用缴款书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件或银行电子缴税（费）凭证</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件或税务局出具纳税情况的相关证明（扫描件），依法免税的，应提供依法免税相关证明文件（扫描件），成立不足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个月的视实际情况自行提供；</w:t>
            </w:r>
          </w:p>
          <w:p w14:paraId="1E77177D">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（2）须提供2025年1月（含1月）月至</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截止日期前任意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个月的社会保险费缴款书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件或银行电子缴税（费）凭证</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件或税务局出具的有效的缴款证明</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件，依法免缴的，应提供依法免缴相关证明文件（扫描件），成立不足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个月的视实际情况自行提供。</w:t>
            </w:r>
          </w:p>
          <w:p w14:paraId="263AE61F">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5、提供参加政府采购活动前3年内在经营活动中没有重大违法记录的书面声明：重大违法记录，是指投标人因违法经营受到刑事处罚或者责令停产停业、吊销许可证或者执照、较大数额罚款等行政处罚（</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w:t>
            </w:r>
            <w:r>
              <w:rPr>
                <w:rFonts w:hint="eastAsia" w:ascii="宋体" w:hAnsi="宋体" w:eastAsia="宋体" w:cs="宋体"/>
                <w:color w:val="auto"/>
                <w:sz w:val="21"/>
                <w:szCs w:val="21"/>
                <w:highlight w:val="none"/>
                <w:lang w:val="en-US" w:eastAsia="zh-CN"/>
              </w:rPr>
              <w:t>声明</w:t>
            </w:r>
            <w:r>
              <w:rPr>
                <w:rFonts w:hint="eastAsia" w:ascii="宋体" w:hAnsi="宋体" w:eastAsia="宋体" w:cs="宋体"/>
                <w:color w:val="auto"/>
                <w:sz w:val="21"/>
                <w:szCs w:val="21"/>
                <w:highlight w:val="none"/>
                <w:lang w:eastAsia="zh-CN"/>
              </w:rPr>
              <w:t>）；</w:t>
            </w:r>
          </w:p>
          <w:p w14:paraId="7DF86246">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6、法律、行政法规规定的其他条件：</w:t>
            </w:r>
          </w:p>
          <w:p w14:paraId="325CEF2B">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财政部关于在政府采购活动中查询及使用信用记录有关问题的通知》（财库〔2016〕125号）相关要求（事业单位除外），申请人应在“信用中国”网站（www.creditchina.gov.cn）未被列入失信被执行人记录（自动跳转到“中国执行信息公开网”（http://zxgk.court.gov.cn）进行失信被执行人结果查询）、重大税收违法失信主体；在中国政府采购网（www.ccgp.gov.cn）没有政府采购严重违法失信行为记录（被禁止在一定期限内参加政府采购活动但期限届满的除外）：参与本项目的申请人信用查询的时间：本项目采购公告发布之日起至</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递交截止时间</w:t>
            </w:r>
            <w:r>
              <w:rPr>
                <w:rFonts w:hint="eastAsia" w:ascii="宋体" w:hAnsi="宋体" w:eastAsia="宋体" w:cs="宋体"/>
                <w:color w:val="auto"/>
                <w:sz w:val="21"/>
                <w:szCs w:val="21"/>
                <w:highlight w:val="none"/>
                <w:lang w:eastAsia="zh-CN"/>
              </w:rPr>
              <w:t>，以采购人或采购代理机构查询结果为准；</w:t>
            </w:r>
          </w:p>
          <w:p w14:paraId="4CF7673D">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（2）单位负责人为同一人或者存在直接控股、管理关系的不同投标人，不得参加同一合同项下的政府采购活动：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自行承诺；</w:t>
            </w:r>
          </w:p>
          <w:p w14:paraId="56095178">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（3）为采购项目提供整体设计、规范编制或者项目管理、监理、检测等服务的投标人，不得再参加该采购项目的其他采购活动：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自行承诺；</w:t>
            </w:r>
          </w:p>
          <w:p w14:paraId="1AD101E2">
            <w:pPr>
              <w:pStyle w:val="37"/>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本项目接受联合体参与投标：如为联合体须提供联合体协议书，非联合体提交非联合体承诺书</w:t>
            </w:r>
            <w:r>
              <w:rPr>
                <w:rFonts w:hint="eastAsia" w:ascii="宋体" w:hAnsi="宋体" w:eastAsia="宋体" w:cs="宋体"/>
                <w:color w:val="auto"/>
                <w:sz w:val="21"/>
                <w:szCs w:val="21"/>
                <w:highlight w:val="none"/>
                <w:lang w:eastAsia="zh-CN"/>
              </w:rPr>
              <w:t>。</w:t>
            </w:r>
          </w:p>
        </w:tc>
      </w:tr>
      <w:tr w14:paraId="158B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35" w:type="dxa"/>
            <w:noWrap w:val="0"/>
            <w:vAlign w:val="center"/>
          </w:tcPr>
          <w:p w14:paraId="5B910ABE">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2155" w:type="dxa"/>
            <w:noWrap w:val="0"/>
            <w:vAlign w:val="center"/>
          </w:tcPr>
          <w:p w14:paraId="5FCFFFE4">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采购人根据采购项目的特殊要求规定的特定条件</w:t>
            </w:r>
          </w:p>
        </w:tc>
        <w:tc>
          <w:tcPr>
            <w:tcW w:w="6488" w:type="dxa"/>
            <w:noWrap w:val="0"/>
            <w:vAlign w:val="center"/>
          </w:tcPr>
          <w:p w14:paraId="0473CD88">
            <w:pPr>
              <w:autoSpaceDE w:val="0"/>
              <w:autoSpaceDN w:val="0"/>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见第一章“招标公告”二、申请人资格要求</w:t>
            </w:r>
            <w:r>
              <w:rPr>
                <w:rFonts w:hint="eastAsia" w:ascii="宋体" w:hAnsi="宋体" w:eastAsia="宋体" w:cs="宋体"/>
                <w:color w:val="auto"/>
                <w:szCs w:val="21"/>
                <w:highlight w:val="none"/>
                <w:lang w:val="en-US" w:eastAsia="zh-CN"/>
              </w:rPr>
              <w:t>中“3.本项目的特定资格要求”</w:t>
            </w:r>
          </w:p>
        </w:tc>
      </w:tr>
      <w:tr w14:paraId="5B3D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35" w:type="dxa"/>
            <w:noWrap w:val="0"/>
            <w:vAlign w:val="center"/>
          </w:tcPr>
          <w:p w14:paraId="65D477DC">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2155" w:type="dxa"/>
            <w:noWrap w:val="0"/>
            <w:vAlign w:val="center"/>
          </w:tcPr>
          <w:p w14:paraId="418C18FB">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488" w:type="dxa"/>
            <w:noWrap w:val="0"/>
            <w:vAlign w:val="center"/>
          </w:tcPr>
          <w:p w14:paraId="27FAE2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本项目接受联合体投标，</w:t>
            </w:r>
            <w:r>
              <w:rPr>
                <w:rFonts w:hint="eastAsia" w:ascii="宋体" w:hAnsi="宋体" w:eastAsia="宋体" w:cs="宋体"/>
                <w:color w:val="auto"/>
                <w:sz w:val="21"/>
                <w:szCs w:val="21"/>
                <w:highlight w:val="none"/>
                <w:lang w:eastAsia="zh-CN"/>
              </w:rPr>
              <w:t>组成联合体的成员数不得超过</w:t>
            </w:r>
            <w:r>
              <w:rPr>
                <w:rFonts w:hint="eastAsia" w:ascii="宋体" w:hAnsi="宋体" w:eastAsia="宋体" w:cs="宋体"/>
                <w:color w:val="auto"/>
                <w:sz w:val="21"/>
                <w:szCs w:val="21"/>
                <w:highlight w:val="none"/>
                <w:lang w:val="en-US" w:eastAsia="zh-CN"/>
              </w:rPr>
              <w:t>3个，</w:t>
            </w:r>
            <w:r>
              <w:rPr>
                <w:rFonts w:hint="eastAsia" w:ascii="宋体" w:hAnsi="宋体" w:eastAsia="宋体" w:cs="宋体"/>
                <w:color w:val="auto"/>
                <w:sz w:val="21"/>
                <w:szCs w:val="21"/>
                <w:highlight w:val="none"/>
              </w:rPr>
              <w:t>联合体各方签订联合体协议</w:t>
            </w:r>
            <w:r>
              <w:rPr>
                <w:rFonts w:hint="eastAsia" w:ascii="宋体" w:hAnsi="宋体" w:eastAsia="宋体" w:cs="宋体"/>
                <w:color w:val="auto"/>
                <w:sz w:val="21"/>
                <w:szCs w:val="21"/>
                <w:highlight w:val="none"/>
                <w:lang w:val="en-US" w:eastAsia="zh-CN"/>
              </w:rPr>
              <w:t>时须确定各单位分工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并明确联合体牵头</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；联合体成员</w:t>
            </w:r>
            <w:r>
              <w:rPr>
                <w:rFonts w:hint="eastAsia" w:ascii="宋体" w:hAnsi="宋体" w:eastAsia="宋体" w:cs="宋体"/>
                <w:color w:val="auto"/>
                <w:sz w:val="21"/>
                <w:szCs w:val="21"/>
                <w:highlight w:val="none"/>
              </w:rPr>
              <w:t>不得再以</w:t>
            </w:r>
            <w:r>
              <w:rPr>
                <w:rFonts w:hint="eastAsia" w:ascii="宋体" w:hAnsi="宋体" w:eastAsia="宋体" w:cs="宋体"/>
                <w:color w:val="auto"/>
                <w:sz w:val="21"/>
                <w:szCs w:val="21"/>
                <w:highlight w:val="none"/>
                <w:lang w:val="en-US" w:eastAsia="zh-CN"/>
              </w:rPr>
              <w:t>本身</w:t>
            </w:r>
            <w:r>
              <w:rPr>
                <w:rFonts w:hint="eastAsia" w:ascii="宋体" w:hAnsi="宋体" w:eastAsia="宋体" w:cs="宋体"/>
                <w:color w:val="auto"/>
                <w:sz w:val="21"/>
                <w:szCs w:val="21"/>
                <w:highlight w:val="none"/>
              </w:rPr>
              <w:t>名义单独投标，也不得组成新的联合体或参加其他联合体在同一项目中投标，否则，其所有投标无效。</w:t>
            </w:r>
          </w:p>
        </w:tc>
      </w:tr>
      <w:tr w14:paraId="33D2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35" w:type="dxa"/>
            <w:noWrap w:val="0"/>
            <w:vAlign w:val="center"/>
          </w:tcPr>
          <w:p w14:paraId="7538B404">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155" w:type="dxa"/>
            <w:noWrap w:val="0"/>
            <w:vAlign w:val="center"/>
          </w:tcPr>
          <w:p w14:paraId="1D7072F0">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招标文件澄清截止时间</w:t>
            </w:r>
          </w:p>
        </w:tc>
        <w:tc>
          <w:tcPr>
            <w:tcW w:w="6488" w:type="dxa"/>
            <w:noWrap w:val="0"/>
            <w:vAlign w:val="center"/>
          </w:tcPr>
          <w:p w14:paraId="148E96FC">
            <w:pPr>
              <w:pStyle w:val="18"/>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提交投标文件截止时间15日前</w:t>
            </w:r>
          </w:p>
        </w:tc>
      </w:tr>
      <w:tr w14:paraId="771C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35" w:type="dxa"/>
            <w:noWrap w:val="0"/>
            <w:vAlign w:val="center"/>
          </w:tcPr>
          <w:p w14:paraId="60E7B145">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13.1.3</w:t>
            </w:r>
          </w:p>
        </w:tc>
        <w:tc>
          <w:tcPr>
            <w:tcW w:w="2155" w:type="dxa"/>
            <w:noWrap w:val="0"/>
            <w:vAlign w:val="center"/>
          </w:tcPr>
          <w:p w14:paraId="1D347DFF">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构成投标文件商务部分的其他资料</w:t>
            </w:r>
          </w:p>
        </w:tc>
        <w:tc>
          <w:tcPr>
            <w:tcW w:w="6488" w:type="dxa"/>
            <w:noWrap w:val="0"/>
            <w:vAlign w:val="center"/>
          </w:tcPr>
          <w:p w14:paraId="3A968A73">
            <w:pPr>
              <w:autoSpaceDE w:val="0"/>
              <w:autoSpaceDN w:val="0"/>
              <w:snapToGrid w:val="0"/>
              <w:spacing w:line="360" w:lineRule="auto"/>
              <w:textAlignment w:val="bottom"/>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招标文件中所涉及到的相关资料及证明文件或投标人认为必须提供的其他相关资料。</w:t>
            </w:r>
          </w:p>
        </w:tc>
      </w:tr>
      <w:tr w14:paraId="1417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35" w:type="dxa"/>
            <w:noWrap w:val="0"/>
            <w:vAlign w:val="center"/>
          </w:tcPr>
          <w:p w14:paraId="43A4C569">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13.1.4</w:t>
            </w:r>
          </w:p>
        </w:tc>
        <w:tc>
          <w:tcPr>
            <w:tcW w:w="2155" w:type="dxa"/>
            <w:noWrap w:val="0"/>
            <w:vAlign w:val="center"/>
          </w:tcPr>
          <w:p w14:paraId="5ACF716C">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构成投标文件技术部分的其他资料</w:t>
            </w:r>
          </w:p>
        </w:tc>
        <w:tc>
          <w:tcPr>
            <w:tcW w:w="6488" w:type="dxa"/>
            <w:noWrap w:val="0"/>
            <w:vAlign w:val="center"/>
          </w:tcPr>
          <w:p w14:paraId="10A1196A">
            <w:pPr>
              <w:autoSpaceDE w:val="0"/>
              <w:autoSpaceDN w:val="0"/>
              <w:snapToGrid w:val="0"/>
              <w:spacing w:line="360" w:lineRule="auto"/>
              <w:textAlignment w:val="bottom"/>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1、第五章“采购需求”中要求提供的其他资料；</w:t>
            </w:r>
          </w:p>
          <w:p w14:paraId="39BCEAB5">
            <w:pPr>
              <w:autoSpaceDE w:val="0"/>
              <w:autoSpaceDN w:val="0"/>
              <w:snapToGrid w:val="0"/>
              <w:spacing w:line="360" w:lineRule="auto"/>
              <w:textAlignment w:val="bottom"/>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2、招标文件中所涉及到的相关资料及证明文件或投标人认为必须提供的其他相关资料。</w:t>
            </w:r>
          </w:p>
        </w:tc>
      </w:tr>
      <w:tr w14:paraId="327E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35" w:type="dxa"/>
            <w:noWrap w:val="0"/>
            <w:vAlign w:val="center"/>
          </w:tcPr>
          <w:p w14:paraId="7044D09C">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2155" w:type="dxa"/>
            <w:noWrap w:val="0"/>
            <w:vAlign w:val="center"/>
          </w:tcPr>
          <w:p w14:paraId="469EF394">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本项目预算金额及最高限价</w:t>
            </w:r>
          </w:p>
        </w:tc>
        <w:tc>
          <w:tcPr>
            <w:tcW w:w="6488" w:type="dxa"/>
            <w:noWrap w:val="0"/>
            <w:vAlign w:val="center"/>
          </w:tcPr>
          <w:p w14:paraId="100ABB6C">
            <w:pPr>
              <w:autoSpaceDE w:val="0"/>
              <w:autoSpaceDN w:val="0"/>
              <w:snapToGrid w:val="0"/>
              <w:spacing w:line="360" w:lineRule="auto"/>
              <w:textAlignment w:val="bottom"/>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见第一章“招标公告”</w:t>
            </w:r>
          </w:p>
        </w:tc>
      </w:tr>
      <w:tr w14:paraId="0361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35" w:type="dxa"/>
            <w:noWrap w:val="0"/>
            <w:vAlign w:val="center"/>
          </w:tcPr>
          <w:p w14:paraId="2C43B9A8">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2155" w:type="dxa"/>
            <w:noWrap w:val="0"/>
            <w:vAlign w:val="center"/>
          </w:tcPr>
          <w:p w14:paraId="68AD5EAE">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88" w:type="dxa"/>
            <w:noWrap w:val="0"/>
            <w:vAlign w:val="center"/>
          </w:tcPr>
          <w:p w14:paraId="3B80A509">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从提交投标文件截止之日起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日历天</w:t>
            </w:r>
          </w:p>
        </w:tc>
      </w:tr>
      <w:tr w14:paraId="217F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35" w:type="dxa"/>
            <w:noWrap w:val="0"/>
            <w:vAlign w:val="center"/>
          </w:tcPr>
          <w:p w14:paraId="7B6F0B61">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p>
        </w:tc>
        <w:tc>
          <w:tcPr>
            <w:tcW w:w="2155" w:type="dxa"/>
            <w:noWrap w:val="0"/>
            <w:vAlign w:val="center"/>
          </w:tcPr>
          <w:p w14:paraId="0CF6329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488" w:type="dxa"/>
            <w:noWrap w:val="0"/>
            <w:vAlign w:val="center"/>
          </w:tcPr>
          <w:p w14:paraId="4FB73FB2">
            <w:pPr>
              <w:pStyle w:val="18"/>
              <w:spacing w:line="30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Cs w:val="21"/>
                <w:highlight w:val="none"/>
              </w:rPr>
              <w:t>本项目不得分包。</w:t>
            </w:r>
          </w:p>
          <w:p w14:paraId="4360B117">
            <w:pPr>
              <w:pStyle w:val="18"/>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highlight w:val="none"/>
              </w:rPr>
              <w:t>□本项目中，可以分包。</w:t>
            </w:r>
          </w:p>
        </w:tc>
      </w:tr>
      <w:tr w14:paraId="4DC1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3" w:hRule="atLeast"/>
          <w:jc w:val="center"/>
        </w:trPr>
        <w:tc>
          <w:tcPr>
            <w:tcW w:w="935" w:type="dxa"/>
            <w:noWrap w:val="0"/>
            <w:vAlign w:val="center"/>
          </w:tcPr>
          <w:p w14:paraId="08E41482">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155" w:type="dxa"/>
            <w:noWrap w:val="0"/>
            <w:vAlign w:val="center"/>
          </w:tcPr>
          <w:p w14:paraId="4A8E5722">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488" w:type="dxa"/>
            <w:noWrap w:val="0"/>
            <w:vAlign w:val="center"/>
          </w:tcPr>
          <w:p w14:paraId="469FE09A">
            <w:pPr>
              <w:spacing w:line="360" w:lineRule="auto"/>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不要求</w:t>
            </w:r>
          </w:p>
          <w:p w14:paraId="105D30C6">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lang w:val="en-US" w:eastAsia="zh-CN"/>
              </w:rPr>
              <w:t>具体内容见下：</w:t>
            </w:r>
          </w:p>
          <w:p w14:paraId="18879699">
            <w:pPr>
              <w:numPr>
                <w:ilvl w:val="0"/>
                <w:numId w:val="0"/>
              </w:num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w:t>
            </w:r>
            <w:r>
              <w:rPr>
                <w:rFonts w:hint="eastAsia" w:ascii="宋体" w:hAnsi="宋体" w:eastAsia="宋体" w:cs="宋体"/>
                <w:color w:val="auto"/>
                <w:sz w:val="21"/>
                <w:szCs w:val="21"/>
                <w:highlight w:val="none"/>
                <w:lang w:eastAsia="zh-CN"/>
              </w:rPr>
              <w:t>保证金金额：</w:t>
            </w:r>
            <w:r>
              <w:rPr>
                <w:rFonts w:hint="eastAsia" w:ascii="宋体" w:hAnsi="宋体" w:eastAsia="宋体" w:cs="宋体"/>
                <w:color w:val="auto"/>
                <w:sz w:val="21"/>
                <w:szCs w:val="21"/>
                <w:highlight w:val="none"/>
                <w:u w:val="single"/>
                <w:lang w:val="en-US" w:eastAsia="zh-CN"/>
              </w:rPr>
              <w:t>￥30000.00</w:t>
            </w:r>
            <w:r>
              <w:rPr>
                <w:rFonts w:hint="eastAsia" w:ascii="宋体" w:hAnsi="宋体" w:eastAsia="宋体" w:cs="宋体"/>
                <w:color w:val="auto"/>
                <w:sz w:val="21"/>
                <w:szCs w:val="21"/>
                <w:highlight w:val="none"/>
                <w:lang w:val="en-US" w:eastAsia="zh-CN"/>
              </w:rPr>
              <w:t>元（大写：人民币叁万元整）；</w:t>
            </w:r>
          </w:p>
          <w:p w14:paraId="628DEEA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2.保证金形式：</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支票、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汇票、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本票、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电汇、</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网银、</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转账、</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保函、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保证保险</w:t>
            </w:r>
          </w:p>
          <w:p w14:paraId="24146086">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保证金</w:t>
            </w:r>
            <w:r>
              <w:rPr>
                <w:rFonts w:hint="eastAsia" w:ascii="宋体" w:hAnsi="宋体" w:eastAsia="宋体" w:cs="宋体"/>
                <w:color w:val="auto"/>
                <w:sz w:val="21"/>
                <w:szCs w:val="21"/>
                <w:highlight w:val="none"/>
                <w:lang w:val="en-US" w:eastAsia="zh-CN"/>
              </w:rPr>
              <w:t>支付方式</w:t>
            </w:r>
            <w:r>
              <w:rPr>
                <w:rFonts w:hint="eastAsia" w:ascii="宋体" w:hAnsi="宋体" w:eastAsia="宋体" w:cs="宋体"/>
                <w:color w:val="auto"/>
                <w:sz w:val="21"/>
                <w:szCs w:val="21"/>
                <w:highlight w:val="none"/>
                <w:lang w:eastAsia="zh-CN"/>
              </w:rPr>
              <w:t>：</w:t>
            </w:r>
          </w:p>
          <w:p w14:paraId="517B1588">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（1）潜在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获取</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文件后，须在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文件递交截止时间前将保证金支付至如下账户：</w:t>
            </w:r>
          </w:p>
          <w:p w14:paraId="21052AE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收款人（接收人）：中招国际招标有限公司云南分公司；</w:t>
            </w:r>
          </w:p>
          <w:p w14:paraId="6DF10198">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开户行：中国工商银行昆明花园支行；</w:t>
            </w:r>
          </w:p>
          <w:p w14:paraId="4717D90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账号：2502124119024521401；</w:t>
            </w:r>
          </w:p>
          <w:p w14:paraId="06DD82F1">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注：汇款凭证的用途栏或空白处应注明“XX公司、</w:t>
            </w:r>
            <w:r>
              <w:rPr>
                <w:rFonts w:hint="eastAsia" w:ascii="宋体" w:hAnsi="宋体" w:cs="宋体"/>
                <w:color w:val="auto"/>
                <w:sz w:val="21"/>
                <w:szCs w:val="21"/>
                <w:highlight w:val="none"/>
                <w:lang w:val="en-US" w:eastAsia="zh-CN"/>
              </w:rPr>
              <w:t>代理机构项目编号</w:t>
            </w:r>
            <w:r>
              <w:rPr>
                <w:rFonts w:hint="eastAsia" w:ascii="宋体" w:hAnsi="宋体" w:eastAsia="宋体" w:cs="宋体"/>
                <w:color w:val="auto"/>
                <w:sz w:val="21"/>
                <w:szCs w:val="21"/>
                <w:highlight w:val="none"/>
                <w:lang w:eastAsia="zh-CN"/>
              </w:rPr>
              <w:t>”。</w:t>
            </w:r>
          </w:p>
          <w:p w14:paraId="346F068A">
            <w:pPr>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特别提醒：①请各供应商注意银行转账时间差，及时缴纳</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保证金；②采用电汇、网银、转账方式缴纳</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lang w:eastAsia="zh-CN"/>
              </w:rPr>
              <w:t>保证金的，须从</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eastAsia="zh-CN"/>
              </w:rPr>
              <w:t>基本账户转出。</w:t>
            </w:r>
          </w:p>
          <w:p w14:paraId="695424C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.提交截止时间：同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文件递交截止时间。</w:t>
            </w:r>
          </w:p>
          <w:p w14:paraId="1A4D16F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.有效期限：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保证金在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有效期内保持有效。</w:t>
            </w:r>
          </w:p>
          <w:p w14:paraId="4B2FD0F0">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有下列情况，其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保证金将不予退还：</w:t>
            </w:r>
          </w:p>
          <w:p w14:paraId="5AF285B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有效期内撤回其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p w14:paraId="17585A2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未能在规定期限内与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人签署合同；</w:t>
            </w:r>
          </w:p>
          <w:p w14:paraId="3A797E6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文件中提供虚假材料的；</w:t>
            </w:r>
          </w:p>
          <w:p w14:paraId="4DDFD8BB">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）除不可抗力或</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文件认可的情形以外，</w:t>
            </w:r>
            <w:r>
              <w:rPr>
                <w:rFonts w:hint="eastAsia" w:ascii="宋体" w:hAnsi="宋体" w:eastAsia="宋体" w:cs="宋体"/>
                <w:color w:val="auto"/>
                <w:sz w:val="21"/>
                <w:szCs w:val="21"/>
                <w:highlight w:val="none"/>
                <w:lang w:val="en-US" w:eastAsia="zh-CN"/>
              </w:rPr>
              <w:t>中标后</w:t>
            </w:r>
            <w:r>
              <w:rPr>
                <w:rFonts w:hint="eastAsia" w:ascii="宋体" w:hAnsi="宋体" w:eastAsia="宋体" w:cs="宋体"/>
                <w:color w:val="auto"/>
                <w:sz w:val="21"/>
                <w:szCs w:val="21"/>
                <w:highlight w:val="none"/>
                <w:lang w:eastAsia="zh-CN"/>
              </w:rPr>
              <w:t>不与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人签订合同的；</w:t>
            </w:r>
          </w:p>
          <w:p w14:paraId="76369B2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人、其他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或者代理机构恶意串通的；</w:t>
            </w:r>
          </w:p>
          <w:p w14:paraId="17151CB2">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提供虚假</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文件或虚假补充文件的，或者</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文件中提供虚假或无效的证明材料的；</w:t>
            </w:r>
          </w:p>
          <w:p w14:paraId="794FA391">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）法律法规或</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文件规定的其他情形的。</w:t>
            </w:r>
          </w:p>
        </w:tc>
      </w:tr>
      <w:tr w14:paraId="7178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5" w:type="dxa"/>
            <w:noWrap w:val="0"/>
            <w:vAlign w:val="center"/>
          </w:tcPr>
          <w:p w14:paraId="718629FB">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155" w:type="dxa"/>
            <w:noWrap w:val="0"/>
            <w:vAlign w:val="center"/>
          </w:tcPr>
          <w:p w14:paraId="1E00EC42">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投标文件的密封</w:t>
            </w:r>
          </w:p>
        </w:tc>
        <w:tc>
          <w:tcPr>
            <w:tcW w:w="6488" w:type="dxa"/>
            <w:noWrap w:val="0"/>
            <w:vAlign w:val="center"/>
          </w:tcPr>
          <w:p w14:paraId="204BF642">
            <w:pPr>
              <w:autoSpaceDE w:val="0"/>
              <w:autoSpaceDN w:val="0"/>
              <w:adjustRightInd w:val="0"/>
              <w:spacing w:line="360" w:lineRule="auto"/>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电子投标文件1份，投标人应按照"政采云"平台的要求编制、加密投标文件后在投标文件提交截止时间前上传至"政采云"平台，投标文件提交截止时间前未完成投标文件上传的，视为撤回投标文件。</w:t>
            </w:r>
          </w:p>
        </w:tc>
      </w:tr>
      <w:tr w14:paraId="5482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5" w:type="dxa"/>
            <w:noWrap w:val="0"/>
            <w:vAlign w:val="center"/>
          </w:tcPr>
          <w:p w14:paraId="1B385871">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155" w:type="dxa"/>
            <w:noWrap w:val="0"/>
            <w:vAlign w:val="center"/>
          </w:tcPr>
          <w:p w14:paraId="7826C7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投标文件的解密</w:t>
            </w:r>
          </w:p>
        </w:tc>
        <w:tc>
          <w:tcPr>
            <w:tcW w:w="6488" w:type="dxa"/>
            <w:noWrap w:val="0"/>
            <w:vAlign w:val="center"/>
          </w:tcPr>
          <w:p w14:paraId="73CAB74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按要求使用CA锁解密。</w:t>
            </w:r>
          </w:p>
        </w:tc>
      </w:tr>
      <w:tr w14:paraId="0AD6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5" w:type="dxa"/>
            <w:noWrap w:val="0"/>
            <w:vAlign w:val="center"/>
          </w:tcPr>
          <w:p w14:paraId="3CD709FF">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155" w:type="dxa"/>
            <w:noWrap w:val="0"/>
            <w:vAlign w:val="center"/>
          </w:tcPr>
          <w:p w14:paraId="418D929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p>
        </w:tc>
        <w:tc>
          <w:tcPr>
            <w:tcW w:w="6488" w:type="dxa"/>
            <w:noWrap w:val="0"/>
            <w:vAlign w:val="center"/>
          </w:tcPr>
          <w:p w14:paraId="249F7761">
            <w:pPr>
              <w:pStyle w:val="1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投标截止时间：202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月</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日</w:t>
            </w:r>
            <w:r>
              <w:rPr>
                <w:rFonts w:hint="eastAsia" w:ascii="宋体" w:hAnsi="宋体" w:eastAsia="宋体" w:cs="宋体"/>
                <w:bCs/>
                <w:color w:val="auto"/>
                <w:sz w:val="21"/>
                <w:szCs w:val="21"/>
                <w:highlight w:val="none"/>
                <w:lang w:val="en-US" w:eastAsia="zh-CN"/>
              </w:rPr>
              <w:t>09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分（北京时间）</w:t>
            </w:r>
          </w:p>
          <w:p w14:paraId="5E3FF45E">
            <w:pPr>
              <w:pStyle w:val="1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投标文件递交地点：</w:t>
            </w:r>
            <w:r>
              <w:rPr>
                <w:rFonts w:hint="eastAsia" w:ascii="宋体" w:hAnsi="宋体" w:eastAsia="宋体" w:cs="宋体"/>
                <w:color w:val="auto"/>
                <w:sz w:val="21"/>
                <w:szCs w:val="21"/>
                <w:highlight w:val="none"/>
              </w:rPr>
              <w:t>云南省政府采购电子交易平台（政采云https://www.zcygov.cn/）</w:t>
            </w:r>
          </w:p>
          <w:p w14:paraId="0130E0A7">
            <w:pPr>
              <w:pStyle w:val="1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投标文件递交注意事项：</w:t>
            </w:r>
          </w:p>
          <w:p w14:paraId="63F36C02">
            <w:pPr>
              <w:pStyle w:val="18"/>
              <w:spacing w:line="360" w:lineRule="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在投标文件递交的截止时间前，需将投标文件递交至</w:t>
            </w:r>
            <w:r>
              <w:rPr>
                <w:rFonts w:hint="eastAsia" w:ascii="宋体" w:hAnsi="宋体" w:eastAsia="宋体" w:cs="宋体"/>
                <w:color w:val="auto"/>
                <w:sz w:val="21"/>
                <w:szCs w:val="21"/>
                <w:highlight w:val="none"/>
              </w:rPr>
              <w:t>云南省政府采购电子交易平台（政采云https://www.zcygov.cn/）</w:t>
            </w:r>
            <w:r>
              <w:rPr>
                <w:rFonts w:hint="eastAsia" w:ascii="宋体" w:hAnsi="宋体" w:eastAsia="宋体" w:cs="宋体"/>
                <w:bCs/>
                <w:color w:val="auto"/>
                <w:sz w:val="21"/>
                <w:szCs w:val="21"/>
                <w:highlight w:val="none"/>
              </w:rPr>
              <w:t>，投标人须在投标截止时间前完成所有电子投标文件的上传，网上确认电子签名，投标截止时间前未完成投标文件传输的，视为自行放弃投标。</w:t>
            </w:r>
          </w:p>
        </w:tc>
      </w:tr>
      <w:tr w14:paraId="1265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35" w:type="dxa"/>
            <w:noWrap w:val="0"/>
            <w:vAlign w:val="center"/>
          </w:tcPr>
          <w:p w14:paraId="4F4F5DB2">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155" w:type="dxa"/>
            <w:noWrap w:val="0"/>
            <w:vAlign w:val="center"/>
          </w:tcPr>
          <w:p w14:paraId="35A1716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提交投标文件的地点</w:t>
            </w:r>
          </w:p>
        </w:tc>
        <w:tc>
          <w:tcPr>
            <w:tcW w:w="6488" w:type="dxa"/>
            <w:noWrap w:val="0"/>
            <w:vAlign w:val="center"/>
          </w:tcPr>
          <w:p w14:paraId="6C2932C0">
            <w:pPr>
              <w:pStyle w:val="18"/>
              <w:spacing w:line="360" w:lineRule="auto"/>
              <w:ind w:left="695" w:hanging="695" w:hangingChars="33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网上递交：</w:t>
            </w:r>
          </w:p>
          <w:p w14:paraId="1F4844B7">
            <w:pPr>
              <w:pStyle w:val="18"/>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（1）递交投标文件时，需在投标截止时间前用投标人企业机构数字证书登录</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网上递交需登录</w:t>
            </w:r>
            <w:r>
              <w:rPr>
                <w:rFonts w:hint="eastAsia" w:ascii="宋体" w:hAnsi="宋体" w:eastAsia="宋体" w:cs="宋体"/>
                <w:color w:val="auto"/>
                <w:sz w:val="21"/>
                <w:szCs w:val="21"/>
                <w:highlight w:val="none"/>
              </w:rPr>
              <w:t>云南省政府采购电子交易平台（政采云https://www.zcygov.cn/）</w:t>
            </w:r>
            <w:r>
              <w:rPr>
                <w:rFonts w:hint="eastAsia" w:ascii="宋体" w:hAnsi="宋体" w:eastAsia="宋体" w:cs="宋体"/>
                <w:bCs/>
                <w:color w:val="auto"/>
                <w:sz w:val="21"/>
                <w:szCs w:val="21"/>
                <w:highlight w:val="none"/>
              </w:rPr>
              <w:t>上传电子投标文件；</w:t>
            </w:r>
          </w:p>
          <w:p w14:paraId="5B45CF45">
            <w:pPr>
              <w:pStyle w:val="18"/>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Cs/>
                <w:color w:val="auto"/>
                <w:sz w:val="21"/>
                <w:szCs w:val="21"/>
                <w:highlight w:val="none"/>
              </w:rPr>
              <w:t>（2）投标人须在投标截止时间前完成所有电子投标文件的上传，网上确认电子签名，投标截止时间前未完成投标文件传输的，视为撤回投标文件；</w:t>
            </w:r>
          </w:p>
        </w:tc>
      </w:tr>
      <w:tr w14:paraId="3301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35" w:type="dxa"/>
            <w:noWrap w:val="0"/>
            <w:vAlign w:val="center"/>
          </w:tcPr>
          <w:p w14:paraId="311AE1C2">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155" w:type="dxa"/>
            <w:noWrap w:val="0"/>
            <w:vAlign w:val="center"/>
          </w:tcPr>
          <w:p w14:paraId="38B6EFB8">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投标文件的退还</w:t>
            </w:r>
          </w:p>
        </w:tc>
        <w:tc>
          <w:tcPr>
            <w:tcW w:w="6488" w:type="dxa"/>
            <w:noWrap w:val="0"/>
            <w:vAlign w:val="center"/>
          </w:tcPr>
          <w:p w14:paraId="2CBD8430">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不予退还</w:t>
            </w:r>
          </w:p>
        </w:tc>
      </w:tr>
      <w:tr w14:paraId="62E7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35" w:type="dxa"/>
            <w:noWrap w:val="0"/>
            <w:vAlign w:val="center"/>
          </w:tcPr>
          <w:p w14:paraId="45555F30">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155" w:type="dxa"/>
            <w:noWrap w:val="0"/>
            <w:vAlign w:val="center"/>
          </w:tcPr>
          <w:p w14:paraId="16782D78">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488" w:type="dxa"/>
            <w:noWrap w:val="0"/>
            <w:vAlign w:val="center"/>
          </w:tcPr>
          <w:p w14:paraId="4D40D080">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同提交投标文件截止时间和地点</w:t>
            </w:r>
          </w:p>
        </w:tc>
      </w:tr>
      <w:tr w14:paraId="39D9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noWrap w:val="0"/>
            <w:vAlign w:val="center"/>
          </w:tcPr>
          <w:p w14:paraId="5C3CEB1E">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w:t>
            </w:r>
          </w:p>
        </w:tc>
        <w:tc>
          <w:tcPr>
            <w:tcW w:w="2155" w:type="dxa"/>
            <w:noWrap w:val="0"/>
            <w:vAlign w:val="center"/>
          </w:tcPr>
          <w:p w14:paraId="51706F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488" w:type="dxa"/>
            <w:noWrap w:val="0"/>
            <w:vAlign w:val="center"/>
          </w:tcPr>
          <w:p w14:paraId="4B230A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开标顺序：</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随机开启</w:t>
            </w:r>
          </w:p>
          <w:p w14:paraId="7A9B262E">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□按递交先后顺序开启</w:t>
            </w:r>
          </w:p>
          <w:p w14:paraId="62ECC823">
            <w:pPr>
              <w:spacing w:line="360" w:lineRule="auto"/>
              <w:ind w:firstLine="1050" w:firstLineChars="5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□其他开启方式：</w:t>
            </w:r>
          </w:p>
        </w:tc>
      </w:tr>
      <w:tr w14:paraId="361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35" w:type="dxa"/>
            <w:noWrap w:val="0"/>
            <w:vAlign w:val="center"/>
          </w:tcPr>
          <w:p w14:paraId="34823CE0">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2155" w:type="dxa"/>
            <w:noWrap w:val="0"/>
            <w:vAlign w:val="center"/>
          </w:tcPr>
          <w:p w14:paraId="1B4FB5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评标委员会的组成</w:t>
            </w:r>
          </w:p>
        </w:tc>
        <w:tc>
          <w:tcPr>
            <w:tcW w:w="6488" w:type="dxa"/>
            <w:noWrap w:val="0"/>
            <w:vAlign w:val="center"/>
          </w:tcPr>
          <w:p w14:paraId="745127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人及以上单数，其中技术、经济专家不得少于成员总数的三分之二。</w:t>
            </w:r>
          </w:p>
          <w:p w14:paraId="6BF149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评标专家确定方式：从云南省政府采购评审专家库中随机抽取。</w:t>
            </w:r>
          </w:p>
        </w:tc>
      </w:tr>
      <w:tr w14:paraId="24C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5" w:type="dxa"/>
            <w:noWrap w:val="0"/>
            <w:vAlign w:val="center"/>
          </w:tcPr>
          <w:p w14:paraId="538B8CFD">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p>
        </w:tc>
        <w:tc>
          <w:tcPr>
            <w:tcW w:w="2155" w:type="dxa"/>
            <w:noWrap w:val="0"/>
            <w:vAlign w:val="center"/>
          </w:tcPr>
          <w:p w14:paraId="18B3B821">
            <w:pPr>
              <w:pStyle w:val="18"/>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评标方法</w:t>
            </w:r>
          </w:p>
        </w:tc>
        <w:tc>
          <w:tcPr>
            <w:tcW w:w="6488" w:type="dxa"/>
            <w:noWrap w:val="0"/>
            <w:vAlign w:val="center"/>
          </w:tcPr>
          <w:p w14:paraId="0C3999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p w14:paraId="1A176C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78EB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5" w:type="dxa"/>
            <w:noWrap w:val="0"/>
            <w:vAlign w:val="center"/>
          </w:tcPr>
          <w:p w14:paraId="3ECAD5FC">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155" w:type="dxa"/>
            <w:noWrap w:val="0"/>
            <w:vAlign w:val="center"/>
          </w:tcPr>
          <w:p w14:paraId="45DB78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6488" w:type="dxa"/>
            <w:noWrap w:val="0"/>
            <w:vAlign w:val="center"/>
          </w:tcPr>
          <w:p w14:paraId="2C564A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147CAB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43AC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5" w:type="dxa"/>
            <w:noWrap w:val="0"/>
            <w:vAlign w:val="center"/>
          </w:tcPr>
          <w:p w14:paraId="296F7979">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155" w:type="dxa"/>
            <w:noWrap w:val="0"/>
            <w:vAlign w:val="center"/>
          </w:tcPr>
          <w:p w14:paraId="3C6280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中标公告媒介及期限</w:t>
            </w:r>
          </w:p>
        </w:tc>
        <w:tc>
          <w:tcPr>
            <w:tcW w:w="6488" w:type="dxa"/>
            <w:noWrap w:val="0"/>
            <w:vAlign w:val="center"/>
          </w:tcPr>
          <w:p w14:paraId="055D8D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公告媒介：同发布招标公告的媒介</w:t>
            </w:r>
          </w:p>
          <w:p w14:paraId="4F10F9F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公告期限：1个工作日</w:t>
            </w:r>
          </w:p>
        </w:tc>
      </w:tr>
      <w:tr w14:paraId="6ACC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5" w:type="dxa"/>
            <w:noWrap w:val="0"/>
            <w:vAlign w:val="center"/>
          </w:tcPr>
          <w:p w14:paraId="33A97938">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2155" w:type="dxa"/>
            <w:noWrap w:val="0"/>
            <w:vAlign w:val="center"/>
          </w:tcPr>
          <w:p w14:paraId="1815A0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488" w:type="dxa"/>
            <w:noWrap w:val="0"/>
            <w:vAlign w:val="center"/>
          </w:tcPr>
          <w:p w14:paraId="001D7BFF">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w:t>
            </w:r>
            <w:r>
              <w:rPr>
                <w:rFonts w:hint="eastAsia" w:ascii="宋体" w:hAnsi="宋体" w:eastAsia="宋体" w:cs="宋体"/>
                <w:strike w:val="0"/>
                <w:color w:val="auto"/>
                <w:sz w:val="21"/>
                <w:szCs w:val="21"/>
                <w:highlight w:val="none"/>
                <w:lang w:val="en-US" w:eastAsia="zh-CN"/>
              </w:rPr>
              <w:t>中标人</w:t>
            </w:r>
            <w:r>
              <w:rPr>
                <w:rFonts w:hint="eastAsia" w:ascii="宋体" w:hAnsi="宋体" w:eastAsia="宋体" w:cs="宋体"/>
                <w:strike w:val="0"/>
                <w:color w:val="auto"/>
                <w:sz w:val="21"/>
                <w:szCs w:val="21"/>
                <w:highlight w:val="none"/>
              </w:rPr>
              <w:t>于合同签订后10</w:t>
            </w:r>
            <w:r>
              <w:rPr>
                <w:rFonts w:hint="eastAsia" w:ascii="宋体" w:hAnsi="宋体" w:eastAsia="宋体" w:cs="宋体"/>
                <w:strike w:val="0"/>
                <w:color w:val="auto"/>
                <w:sz w:val="21"/>
                <w:szCs w:val="21"/>
                <w:highlight w:val="none"/>
                <w:lang w:eastAsia="zh-CN"/>
              </w:rPr>
              <w:t>个</w:t>
            </w:r>
            <w:r>
              <w:rPr>
                <w:rFonts w:hint="eastAsia" w:ascii="宋体" w:hAnsi="宋体" w:eastAsia="宋体" w:cs="宋体"/>
                <w:strike w:val="0"/>
                <w:color w:val="auto"/>
                <w:sz w:val="21"/>
                <w:szCs w:val="21"/>
                <w:highlight w:val="none"/>
              </w:rPr>
              <w:t>工作日</w:t>
            </w:r>
            <w:r>
              <w:rPr>
                <w:rFonts w:hint="eastAsia" w:ascii="宋体" w:hAnsi="宋体" w:eastAsia="宋体" w:cs="宋体"/>
                <w:strike w:val="0"/>
                <w:color w:val="auto"/>
                <w:sz w:val="21"/>
                <w:szCs w:val="21"/>
                <w:highlight w:val="none"/>
                <w:lang w:val="en-US" w:eastAsia="zh-CN"/>
              </w:rPr>
              <w:t>内</w:t>
            </w:r>
            <w:r>
              <w:rPr>
                <w:rFonts w:hint="eastAsia" w:ascii="宋体" w:hAnsi="宋体" w:eastAsia="宋体" w:cs="宋体"/>
                <w:strike w:val="0"/>
                <w:color w:val="auto"/>
                <w:sz w:val="21"/>
                <w:szCs w:val="21"/>
                <w:highlight w:val="none"/>
              </w:rPr>
              <w:t>向甲方支付履约保证金；</w:t>
            </w:r>
          </w:p>
          <w:p w14:paraId="0A41CAA5">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2.履约保证金的形式：支票、汇票、本票、保函、保证保险、银行转账等非现金形式缴纳</w:t>
            </w: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签订合同时双方协商确定具体履约保证金缴纳形式</w:t>
            </w: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rPr>
              <w:t>，履约保证金为项目合同金额的</w:t>
            </w:r>
            <w:r>
              <w:rPr>
                <w:rFonts w:hint="eastAsia" w:ascii="宋体" w:hAnsi="宋体" w:eastAsia="宋体" w:cs="宋体"/>
                <w:strike w:val="0"/>
                <w:color w:val="auto"/>
                <w:sz w:val="21"/>
                <w:szCs w:val="21"/>
                <w:highlight w:val="none"/>
                <w:u w:val="none"/>
              </w:rPr>
              <w:t>5</w:t>
            </w:r>
            <w:r>
              <w:rPr>
                <w:rFonts w:hint="eastAsia" w:ascii="宋体" w:hAnsi="宋体" w:eastAsia="宋体" w:cs="宋体"/>
                <w:strike w:val="0"/>
                <w:color w:val="auto"/>
                <w:sz w:val="21"/>
                <w:szCs w:val="21"/>
                <w:highlight w:val="none"/>
              </w:rPr>
              <w:t>%；</w:t>
            </w:r>
          </w:p>
          <w:p w14:paraId="5CCCAFB4">
            <w:pPr>
              <w:spacing w:line="360" w:lineRule="auto"/>
              <w:rPr>
                <w:rFonts w:hint="eastAsia" w:ascii="宋体" w:hAnsi="宋体" w:eastAsia="宋体" w:cs="宋体"/>
                <w:color w:val="auto"/>
                <w:szCs w:val="21"/>
                <w:highlight w:val="none"/>
                <w:lang w:eastAsia="zh-CN"/>
              </w:rPr>
            </w:pPr>
            <w:r>
              <w:rPr>
                <w:rFonts w:hint="eastAsia" w:ascii="宋体" w:hAnsi="宋体" w:eastAsia="宋体" w:cs="宋体"/>
                <w:strike w:val="0"/>
                <w:color w:val="auto"/>
                <w:sz w:val="21"/>
                <w:szCs w:val="21"/>
                <w:highlight w:val="none"/>
              </w:rPr>
              <w:t>3.退还时间：</w:t>
            </w:r>
            <w:r>
              <w:rPr>
                <w:rFonts w:hint="eastAsia" w:ascii="宋体" w:hAnsi="宋体" w:cs="宋体"/>
                <w:strike w:val="0"/>
                <w:color w:val="auto"/>
                <w:sz w:val="21"/>
                <w:szCs w:val="21"/>
                <w:highlight w:val="none"/>
                <w:lang w:val="en-US" w:eastAsia="zh-CN"/>
              </w:rPr>
              <w:t>合同履行完成</w:t>
            </w:r>
            <w:r>
              <w:rPr>
                <w:rFonts w:hint="eastAsia" w:ascii="宋体" w:hAnsi="宋体" w:eastAsia="宋体" w:cs="宋体"/>
                <w:strike w:val="0"/>
                <w:color w:val="auto"/>
                <w:sz w:val="21"/>
                <w:szCs w:val="21"/>
                <w:highlight w:val="none"/>
              </w:rPr>
              <w:t>后</w:t>
            </w:r>
            <w:r>
              <w:rPr>
                <w:rFonts w:hint="eastAsia" w:ascii="宋体" w:hAnsi="宋体" w:cs="宋体"/>
                <w:strike w:val="0"/>
                <w:color w:val="auto"/>
                <w:sz w:val="21"/>
                <w:szCs w:val="21"/>
                <w:highlight w:val="none"/>
                <w:lang w:val="en-US" w:eastAsia="zh-CN"/>
              </w:rPr>
              <w:t>10个工作日</w:t>
            </w:r>
            <w:r>
              <w:rPr>
                <w:rFonts w:hint="eastAsia" w:ascii="宋体" w:hAnsi="宋体" w:eastAsia="宋体" w:cs="宋体"/>
                <w:strike w:val="0"/>
                <w:color w:val="auto"/>
                <w:sz w:val="21"/>
                <w:szCs w:val="21"/>
                <w:highlight w:val="none"/>
              </w:rPr>
              <w:t>内</w:t>
            </w:r>
            <w:r>
              <w:rPr>
                <w:rFonts w:hint="eastAsia" w:ascii="宋体" w:hAnsi="宋体" w:eastAsia="宋体" w:cs="宋体"/>
                <w:strike w:val="0"/>
                <w:color w:val="auto"/>
                <w:sz w:val="21"/>
                <w:szCs w:val="21"/>
                <w:highlight w:val="none"/>
                <w:lang w:eastAsia="zh-CN"/>
              </w:rPr>
              <w:t>一次</w:t>
            </w:r>
            <w:r>
              <w:rPr>
                <w:rFonts w:hint="eastAsia" w:ascii="宋体" w:hAnsi="宋体" w:eastAsia="宋体" w:cs="宋体"/>
                <w:strike w:val="0"/>
                <w:color w:val="auto"/>
                <w:sz w:val="21"/>
                <w:szCs w:val="21"/>
                <w:highlight w:val="none"/>
              </w:rPr>
              <w:t>退还。</w:t>
            </w:r>
          </w:p>
        </w:tc>
      </w:tr>
      <w:tr w14:paraId="582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35" w:type="dxa"/>
            <w:noWrap w:val="0"/>
            <w:vAlign w:val="center"/>
          </w:tcPr>
          <w:p w14:paraId="3C615EC3">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0"/>
                <w:szCs w:val="21"/>
                <w:highlight w:val="none"/>
                <w:lang w:val="en-US" w:eastAsia="zh-CN" w:bidi="ar-SA"/>
              </w:rPr>
              <w:t>32.2</w:t>
            </w:r>
          </w:p>
        </w:tc>
        <w:tc>
          <w:tcPr>
            <w:tcW w:w="2155" w:type="dxa"/>
            <w:noWrap w:val="0"/>
            <w:vAlign w:val="center"/>
          </w:tcPr>
          <w:p w14:paraId="7C9C9DE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w:t>
            </w:r>
          </w:p>
        </w:tc>
        <w:tc>
          <w:tcPr>
            <w:tcW w:w="6488" w:type="dxa"/>
            <w:noWrap w:val="0"/>
            <w:vAlign w:val="center"/>
          </w:tcPr>
          <w:p w14:paraId="1FCF8C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本项目不组织现场踏勘，如</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需要现场踏勘的，自行到现场踏勘，踏勘所需食宿、交通、安全等由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自行负责。</w:t>
            </w:r>
          </w:p>
        </w:tc>
      </w:tr>
      <w:tr w14:paraId="2F5B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 w:type="dxa"/>
            <w:noWrap w:val="0"/>
            <w:vAlign w:val="center"/>
          </w:tcPr>
          <w:p w14:paraId="143BA971">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w:t>
            </w:r>
          </w:p>
        </w:tc>
        <w:tc>
          <w:tcPr>
            <w:tcW w:w="2155" w:type="dxa"/>
            <w:noWrap w:val="0"/>
            <w:vAlign w:val="center"/>
          </w:tcPr>
          <w:p w14:paraId="550664CC">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备选方案</w:t>
            </w:r>
          </w:p>
        </w:tc>
        <w:tc>
          <w:tcPr>
            <w:tcW w:w="6488" w:type="dxa"/>
            <w:noWrap w:val="0"/>
            <w:vAlign w:val="center"/>
          </w:tcPr>
          <w:p w14:paraId="522287D1">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2886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5" w:type="dxa"/>
            <w:noWrap w:val="0"/>
            <w:vAlign w:val="center"/>
          </w:tcPr>
          <w:p w14:paraId="32B3AD06">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8643" w:type="dxa"/>
            <w:gridSpan w:val="2"/>
            <w:noWrap w:val="0"/>
            <w:vAlign w:val="center"/>
          </w:tcPr>
          <w:p w14:paraId="1C3D98B8">
            <w:pPr>
              <w:pStyle w:val="18"/>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53F0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5" w:type="dxa"/>
            <w:noWrap w:val="0"/>
            <w:vAlign w:val="center"/>
          </w:tcPr>
          <w:p w14:paraId="73459D27">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p>
        </w:tc>
        <w:tc>
          <w:tcPr>
            <w:tcW w:w="2155" w:type="dxa"/>
            <w:noWrap w:val="0"/>
            <w:vAlign w:val="center"/>
          </w:tcPr>
          <w:p w14:paraId="3AA74D4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信用查询具体要求</w:t>
            </w:r>
          </w:p>
        </w:tc>
        <w:tc>
          <w:tcPr>
            <w:tcW w:w="6488" w:type="dxa"/>
            <w:noWrap w:val="0"/>
            <w:vAlign w:val="center"/>
          </w:tcPr>
          <w:p w14:paraId="50CA9AE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本项目将执行在政府采购活动中查询及使用信用记录的规定，具体要求为：</w:t>
            </w:r>
          </w:p>
          <w:p w14:paraId="6A7B695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未被列入失信被执行人记录、重大税收违法失信主体；在中国政府采购网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没有被列入政府采购严重违法失信行为信息记录名单（被禁止在一定期限内参加政府采购活动但期限届满的除外）；</w:t>
            </w:r>
          </w:p>
          <w:p w14:paraId="310023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（2）信用信息查询的截止时点：投标截止时间；</w:t>
            </w:r>
          </w:p>
          <w:p w14:paraId="49E27B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（3）信用信息查询渠道：“信用中国”网站、“中国政府采购网”；</w:t>
            </w:r>
          </w:p>
          <w:p w14:paraId="243B87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（4）信用信息查询记录和证据留存具体方式：采购人、采购代理机构将经查询存在不良信用记录的潜在投标人查询结果证明材料作为查询记录和证据，与其他采购文件一并保存；</w:t>
            </w:r>
          </w:p>
          <w:p w14:paraId="710D22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信用信息的使用规则：本政府采购项目的投标人在信用信息查询截止时点（含）之前被列入失信被执行人、重大税收违法案件当事人名单、政府采购严重违法失信行为记录名单及其他不符合《中华人民共和国政府采购法》第二十二条规定条件的投标人，其投标无效；</w:t>
            </w:r>
          </w:p>
          <w:p w14:paraId="3529FBB3">
            <w:pPr>
              <w:pStyle w:val="14"/>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采购人、采购代理机构通过“信用中国”网站、“中国政府采购网”等渠道查询相关主体信用记录，若投标人存在被列入失信被执行人、重大税收违法失信主体、政府采购严重违法失信行为记录名单，则投标无效。</w:t>
            </w:r>
          </w:p>
        </w:tc>
      </w:tr>
      <w:tr w14:paraId="2FD5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5" w:type="dxa"/>
            <w:noWrap w:val="0"/>
            <w:vAlign w:val="center"/>
          </w:tcPr>
          <w:p w14:paraId="5A5F2961">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p>
        </w:tc>
        <w:tc>
          <w:tcPr>
            <w:tcW w:w="2155" w:type="dxa"/>
            <w:noWrap w:val="0"/>
            <w:vAlign w:val="center"/>
          </w:tcPr>
          <w:p w14:paraId="7B8086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落实政府采购的政策</w:t>
            </w:r>
          </w:p>
        </w:tc>
        <w:tc>
          <w:tcPr>
            <w:tcW w:w="6488" w:type="dxa"/>
            <w:noWrap w:val="0"/>
            <w:vAlign w:val="center"/>
          </w:tcPr>
          <w:p w14:paraId="562F5911">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关于中小企业：</w:t>
            </w:r>
          </w:p>
          <w:p w14:paraId="29EDD238">
            <w:pPr>
              <w:adjustRightInd w:val="0"/>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依据《政府采购促进中小企业发展管理办法》（财库〔2020〕46号）及《关于进一步加大政府采购支持中小企业力度的通知》（财库〔2022〕19号）规定，</w:t>
            </w:r>
            <w:r>
              <w:rPr>
                <w:rFonts w:hint="eastAsia" w:ascii="宋体" w:hAnsi="宋体" w:eastAsia="宋体" w:cs="宋体"/>
                <w:b w:val="0"/>
                <w:bCs w:val="0"/>
                <w:color w:val="auto"/>
                <w:szCs w:val="21"/>
                <w:highlight w:val="none"/>
                <w:lang w:eastAsia="zh-CN"/>
              </w:rPr>
              <w:t>专门面向中小企业采购</w:t>
            </w:r>
            <w:r>
              <w:rPr>
                <w:rFonts w:hint="eastAsia" w:ascii="宋体" w:hAnsi="宋体" w:eastAsia="宋体" w:cs="宋体"/>
                <w:b w:val="0"/>
                <w:bCs w:val="0"/>
                <w:color w:val="auto"/>
                <w:szCs w:val="21"/>
                <w:highlight w:val="none"/>
                <w:lang w:val="en-US" w:eastAsia="zh-CN"/>
              </w:rPr>
              <w:t>的项目，</w:t>
            </w:r>
            <w:r>
              <w:rPr>
                <w:rFonts w:hint="eastAsia" w:ascii="宋体" w:hAnsi="宋体" w:eastAsia="宋体" w:cs="宋体"/>
                <w:b w:val="0"/>
                <w:bCs w:val="0"/>
                <w:color w:val="auto"/>
                <w:szCs w:val="21"/>
                <w:highlight w:val="none"/>
                <w:lang w:eastAsia="zh-CN"/>
              </w:rPr>
              <w:t>对小微企业、残疾人福利性单位、监狱企业不进行价格折扣。</w:t>
            </w:r>
          </w:p>
          <w:p w14:paraId="49D79FD0">
            <w:pPr>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对于未预留份额专门面向中小企业采购的采购项目，以及预留份额项目中的非预留部分采购包，对小微企业报价给予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%的扣除，用扣除后的价格参加评审。</w:t>
            </w:r>
          </w:p>
          <w:p w14:paraId="1565D54A">
            <w:pPr>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965C76D">
            <w:pPr>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组成联合体或者接受分包的小微企业与联合体内其他企业、分包企业之间存在直接控股、管理关系的，不享受价格扣除优惠政策。</w:t>
            </w:r>
          </w:p>
          <w:p w14:paraId="415F004F">
            <w:pPr>
              <w:adjustRightInd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以联合体形式参加政府采购活动，联合体各方均为中小企业的，联合体视同中小企业。其中，联合体各方均为小微企业的，联合体视同小微企业。</w:t>
            </w:r>
          </w:p>
          <w:p w14:paraId="0B832F2B">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中小企业参加政府采购活动，应当按照</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文件给定的格式出具《中小企业声明函》，否则不得享受相关中小企业扶持政策。</w:t>
            </w:r>
          </w:p>
          <w:p w14:paraId="4E0DDF21">
            <w:pPr>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关于监狱企业、残疾人福利性单位：</w:t>
            </w:r>
          </w:p>
          <w:p w14:paraId="304954B0">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B90B3D5">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残疾人福利性单位：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中标、成交投标人为残疾人福利性单位的，采购人或者其委托的采购代理机构应当随中标、成交结果同时公告其《残疾人福利性单位声明函》，接受社会监督。</w:t>
            </w:r>
            <w:r>
              <w:rPr>
                <w:rFonts w:hint="eastAsia" w:ascii="宋体" w:hAnsi="宋体" w:eastAsia="宋体" w:cs="宋体"/>
                <w:color w:val="auto"/>
                <w:szCs w:val="21"/>
                <w:highlight w:val="none"/>
                <w:lang w:eastAsia="zh-CN"/>
              </w:rPr>
              <w:t>残疾人福利性单位按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文件要求提供了《残疾人福利性单位声明函》的，视同小微企业。</w:t>
            </w:r>
            <w:r>
              <w:rPr>
                <w:rFonts w:hint="eastAsia" w:ascii="宋体" w:hAnsi="宋体" w:eastAsia="宋体" w:cs="宋体"/>
                <w:color w:val="auto"/>
                <w:szCs w:val="21"/>
                <w:highlight w:val="none"/>
              </w:rPr>
              <w:t>投标人提供的《残疾人福利性单位声明函》与事实不符的，依照《</w:t>
            </w:r>
            <w:r>
              <w:rPr>
                <w:rFonts w:hint="eastAsia" w:ascii="宋体" w:hAnsi="宋体" w:eastAsia="宋体" w:cs="宋体"/>
                <w:color w:val="auto"/>
                <w:szCs w:val="21"/>
                <w:highlight w:val="none"/>
                <w:lang w:eastAsia="zh-CN"/>
              </w:rPr>
              <w:t>中华人民共和国政府采购法</w:t>
            </w:r>
            <w:r>
              <w:rPr>
                <w:rFonts w:hint="eastAsia" w:ascii="宋体" w:hAnsi="宋体" w:eastAsia="宋体" w:cs="宋体"/>
                <w:color w:val="auto"/>
                <w:szCs w:val="21"/>
                <w:highlight w:val="none"/>
              </w:rPr>
              <w:t>》第七十七条第一款的规定追究法律责任。</w:t>
            </w:r>
          </w:p>
          <w:p w14:paraId="768BE672">
            <w:pPr>
              <w:adjustRightIn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若供应商同时属于小型或微型企业、监狱企业、残疾人福利性单位中的两种及以上，将不重复享受小微企业价格扣减的优惠政策。</w:t>
            </w:r>
          </w:p>
          <w:p w14:paraId="32FD8D0F">
            <w:pPr>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节能、环境标志产品</w:t>
            </w:r>
          </w:p>
          <w:p w14:paraId="7A389C84">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1、节能产品是指列入财政部和</w:t>
            </w:r>
            <w:r>
              <w:rPr>
                <w:rFonts w:hint="eastAsia" w:ascii="宋体" w:hAnsi="宋体" w:eastAsia="宋体" w:cs="宋体"/>
                <w:color w:val="auto"/>
                <w:szCs w:val="21"/>
                <w:highlight w:val="none"/>
                <w:lang w:eastAsia="zh-CN"/>
              </w:rPr>
              <w:t>国家发展改革委</w:t>
            </w:r>
            <w:r>
              <w:rPr>
                <w:rFonts w:hint="eastAsia" w:ascii="宋体" w:hAnsi="宋体" w:eastAsia="宋体" w:cs="宋体"/>
                <w:color w:val="auto"/>
                <w:szCs w:val="21"/>
                <w:highlight w:val="none"/>
              </w:rPr>
              <w:t>公布的《节能产品政府采购品目清单》中的货物。政府强制采购节能产品是指《节能产品政府采购品目清单》中以“★”标注类别的产品。</w:t>
            </w:r>
          </w:p>
          <w:p w14:paraId="1E89F3C7">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2、环境标志产品是指列入财政部、生态环境部公布的《环境标志产品政府采购品目清单》中的货物。</w:t>
            </w:r>
          </w:p>
          <w:p w14:paraId="18A543BD">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采购清单中若有政府强制采购节能产品，只接受强制节能产品投标，投标人必须在投标文件中提供国家确定的认证机构出具的、处于有效期之内的节能产品认证证书。投标人必须选报，否则按不实质性响应招标文件要求处理。</w:t>
            </w:r>
          </w:p>
          <w:p w14:paraId="1899F822">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4、投标人应在投标文件中提供所投标产品国家确定的认证机构出具的、处于有效期之内的节能产品、环境标志产品认证证书，否则不予认可。</w:t>
            </w:r>
          </w:p>
          <w:p w14:paraId="30CE4328">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5、《节能产品政府采购品目清单》及《环境标志产品政府采购品目清单》可通过中国政府采购网（http</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//www.ccgp.gov.cn/）查阅、下载。</w:t>
            </w:r>
          </w:p>
          <w:p w14:paraId="4CDCB608">
            <w:pPr>
              <w:adjustRightInd w:val="0"/>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支持本国产品</w:t>
            </w:r>
            <w:r>
              <w:rPr>
                <w:rFonts w:hint="eastAsia" w:ascii="宋体" w:hAnsi="宋体" w:eastAsia="宋体" w:cs="宋体"/>
                <w:b/>
                <w:bCs/>
                <w:color w:val="auto"/>
                <w:sz w:val="21"/>
                <w:szCs w:val="21"/>
                <w:highlight w:val="none"/>
                <w:lang w:eastAsia="zh-CN"/>
              </w:rPr>
              <w:t>：</w:t>
            </w:r>
          </w:p>
          <w:p w14:paraId="4A402859">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内容：</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适用；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不适用</w:t>
            </w:r>
          </w:p>
          <w:p w14:paraId="48BA231C">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注：本项目不接受进口产品投标。</w:t>
            </w:r>
          </w:p>
        </w:tc>
      </w:tr>
      <w:tr w14:paraId="6CF3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5" w:type="dxa"/>
            <w:noWrap w:val="0"/>
            <w:vAlign w:val="center"/>
          </w:tcPr>
          <w:p w14:paraId="44CB69E4">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p>
        </w:tc>
        <w:tc>
          <w:tcPr>
            <w:tcW w:w="2155" w:type="dxa"/>
            <w:noWrap w:val="0"/>
            <w:vAlign w:val="center"/>
          </w:tcPr>
          <w:p w14:paraId="578A15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费用收取</w:t>
            </w:r>
          </w:p>
        </w:tc>
        <w:tc>
          <w:tcPr>
            <w:tcW w:w="6488" w:type="dxa"/>
            <w:noWrap w:val="0"/>
            <w:vAlign w:val="center"/>
          </w:tcPr>
          <w:p w14:paraId="155402EA">
            <w:pPr>
              <w:pStyle w:val="51"/>
              <w:spacing w:line="360"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1、投标人应承担所有与参加投标有关的自身的所有费用，不论采购的结果如何，采购代理机构和采购人在任何情况下均无义务和责任承担这些费用。</w:t>
            </w:r>
          </w:p>
          <w:p w14:paraId="711559F2">
            <w:pPr>
              <w:pStyle w:val="51"/>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2、中标服务费：按《云南省建设工程招标代理服务收费指导意见(试行)》执行，以单个项目（或标段）中标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通知书的中标金额为计费基数，按规定的收费标准下浮10%</w:t>
            </w:r>
            <w:r>
              <w:rPr>
                <w:rFonts w:hint="eastAsia" w:ascii="宋体" w:hAnsi="宋体" w:eastAsia="宋体" w:cs="宋体"/>
                <w:color w:val="auto"/>
                <w:szCs w:val="21"/>
                <w:highlight w:val="none"/>
                <w:lang w:val="en-US" w:eastAsia="zh-CN"/>
              </w:rPr>
              <w:t>收取</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在领取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通知书时一次性向招标代理机构支付</w:t>
            </w:r>
            <w:r>
              <w:rPr>
                <w:rFonts w:hint="eastAsia" w:ascii="宋体" w:hAnsi="宋体" w:eastAsia="宋体" w:cs="宋体"/>
                <w:color w:val="auto"/>
                <w:highlight w:val="none"/>
                <w:lang w:val="en-US" w:eastAsia="zh-CN"/>
              </w:rPr>
              <w:t>。本项目按</w:t>
            </w:r>
            <w:r>
              <w:rPr>
                <w:rFonts w:hint="eastAsia" w:ascii="宋体" w:hAnsi="宋体" w:cs="宋体"/>
                <w:color w:val="auto"/>
                <w:highlight w:val="none"/>
                <w:lang w:val="en-US" w:eastAsia="zh-CN"/>
              </w:rPr>
              <w:t>货物</w:t>
            </w:r>
            <w:r>
              <w:rPr>
                <w:rFonts w:hint="eastAsia" w:ascii="宋体" w:hAnsi="宋体" w:eastAsia="宋体" w:cs="宋体"/>
                <w:color w:val="auto"/>
                <w:highlight w:val="none"/>
                <w:lang w:val="en-US" w:eastAsia="zh-CN"/>
              </w:rPr>
              <w:t>类费率进行计算中标服务费。</w:t>
            </w:r>
          </w:p>
        </w:tc>
      </w:tr>
      <w:tr w14:paraId="306B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5" w:type="dxa"/>
            <w:noWrap w:val="0"/>
            <w:vAlign w:val="center"/>
          </w:tcPr>
          <w:p w14:paraId="6698C9A7">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p>
        </w:tc>
        <w:tc>
          <w:tcPr>
            <w:tcW w:w="2155" w:type="dxa"/>
            <w:noWrap w:val="0"/>
            <w:vAlign w:val="center"/>
          </w:tcPr>
          <w:p w14:paraId="0EE9C1C4">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所有权</w:t>
            </w:r>
          </w:p>
        </w:tc>
        <w:tc>
          <w:tcPr>
            <w:tcW w:w="6488" w:type="dxa"/>
            <w:noWrap w:val="0"/>
            <w:vAlign w:val="center"/>
          </w:tcPr>
          <w:p w14:paraId="60ABEE87">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本项目的成果归采购人所有。</w:t>
            </w:r>
          </w:p>
        </w:tc>
      </w:tr>
      <w:tr w14:paraId="7F49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5" w:type="dxa"/>
            <w:noWrap w:val="0"/>
            <w:vAlign w:val="center"/>
          </w:tcPr>
          <w:p w14:paraId="487F8AA0">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p>
        </w:tc>
        <w:tc>
          <w:tcPr>
            <w:tcW w:w="2155" w:type="dxa"/>
            <w:noWrap w:val="0"/>
            <w:vAlign w:val="center"/>
          </w:tcPr>
          <w:p w14:paraId="14C38E79">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w:t>
            </w:r>
          </w:p>
        </w:tc>
        <w:tc>
          <w:tcPr>
            <w:tcW w:w="6488" w:type="dxa"/>
            <w:noWrap w:val="0"/>
            <w:vAlign w:val="center"/>
          </w:tcPr>
          <w:p w14:paraId="25AF605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本项目不组织现场考察，如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需要现场考察的，自行到现场考察，所需食宿、交通、安全等由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自行负责。</w:t>
            </w:r>
          </w:p>
        </w:tc>
      </w:tr>
      <w:tr w14:paraId="5CF8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35" w:type="dxa"/>
            <w:noWrap w:val="0"/>
            <w:vAlign w:val="center"/>
          </w:tcPr>
          <w:p w14:paraId="2AAF6665">
            <w:pPr>
              <w:pStyle w:val="18"/>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p>
        </w:tc>
        <w:tc>
          <w:tcPr>
            <w:tcW w:w="2155" w:type="dxa"/>
            <w:noWrap w:val="0"/>
            <w:vAlign w:val="center"/>
          </w:tcPr>
          <w:p w14:paraId="7BF1DC0B">
            <w:pPr>
              <w:pStyle w:val="18"/>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本项目所属行业</w:t>
            </w:r>
          </w:p>
        </w:tc>
        <w:tc>
          <w:tcPr>
            <w:tcW w:w="6488" w:type="dxa"/>
            <w:noWrap w:val="0"/>
            <w:vAlign w:val="center"/>
          </w:tcPr>
          <w:p w14:paraId="3A582366">
            <w:pPr>
              <w:pStyle w:val="18"/>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符合条件的</w:t>
            </w: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应根据《关于印发中小企业划型标准规定的通知》中</w:t>
            </w:r>
            <w:r>
              <w:rPr>
                <w:rFonts w:hint="eastAsia" w:ascii="宋体" w:hAnsi="宋体" w:eastAsia="宋体" w:cs="宋体"/>
                <w:b/>
                <w:bCs/>
                <w:color w:val="auto"/>
                <w:sz w:val="21"/>
                <w:szCs w:val="21"/>
                <w:highlight w:val="none"/>
                <w:u w:val="single"/>
              </w:rPr>
              <w:t>其他未列明行业</w:t>
            </w:r>
            <w:r>
              <w:rPr>
                <w:rFonts w:hint="eastAsia" w:ascii="宋体" w:hAnsi="宋体" w:eastAsia="宋体" w:cs="宋体"/>
                <w:b w:val="0"/>
                <w:bCs w:val="0"/>
                <w:color w:val="auto"/>
                <w:sz w:val="21"/>
                <w:szCs w:val="21"/>
                <w:highlight w:val="none"/>
              </w:rPr>
              <w:t>划型标准进行划型。</w:t>
            </w:r>
          </w:p>
        </w:tc>
      </w:tr>
    </w:tbl>
    <w:p w14:paraId="0D92CF87">
      <w:pPr>
        <w:pStyle w:val="3"/>
        <w:numPr>
          <w:ilvl w:val="0"/>
          <w:numId w:val="0"/>
        </w:numPr>
        <w:ind w:left="425"/>
        <w:jc w:val="center"/>
        <w:rPr>
          <w:rFonts w:hint="eastAsia" w:ascii="宋体" w:hAnsi="宋体" w:eastAsia="宋体" w:cs="宋体"/>
          <w:b w:val="0"/>
          <w:color w:val="auto"/>
          <w:kern w:val="44"/>
          <w:sz w:val="36"/>
          <w:highlight w:val="none"/>
        </w:rPr>
      </w:pPr>
      <w:r>
        <w:rPr>
          <w:rFonts w:hint="eastAsia" w:ascii="宋体" w:hAnsi="宋体" w:eastAsia="宋体" w:cs="宋体"/>
          <w:color w:val="auto"/>
          <w:highlight w:val="none"/>
        </w:rPr>
        <w:br w:type="page"/>
      </w:r>
      <w:bookmarkStart w:id="45" w:name="_Toc37325484"/>
      <w:bookmarkStart w:id="46" w:name="_Toc21475"/>
      <w:bookmarkStart w:id="47" w:name="_Toc924"/>
      <w:bookmarkStart w:id="48" w:name="_Toc22587"/>
      <w:r>
        <w:rPr>
          <w:rFonts w:hint="eastAsia" w:ascii="宋体" w:hAnsi="宋体" w:eastAsia="宋体" w:cs="宋体"/>
          <w:color w:val="auto"/>
          <w:sz w:val="30"/>
          <w:szCs w:val="30"/>
          <w:highlight w:val="none"/>
        </w:rPr>
        <w:t>一</w:t>
      </w:r>
      <w:r>
        <w:rPr>
          <w:rFonts w:hint="eastAsia" w:ascii="宋体" w:hAnsi="宋体" w:eastAsia="宋体" w:cs="宋体"/>
          <w:color w:val="auto"/>
          <w:kern w:val="44"/>
          <w:sz w:val="36"/>
          <w:highlight w:val="none"/>
        </w:rPr>
        <w:t>、总则</w:t>
      </w:r>
      <w:bookmarkEnd w:id="45"/>
      <w:bookmarkEnd w:id="46"/>
      <w:bookmarkEnd w:id="47"/>
      <w:bookmarkEnd w:id="48"/>
    </w:p>
    <w:p w14:paraId="6A438825">
      <w:pPr>
        <w:pStyle w:val="18"/>
        <w:spacing w:line="360" w:lineRule="auto"/>
        <w:ind w:left="242" w:hanging="242" w:hangingChars="101"/>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1.采购人、采购代理机构、</w:t>
      </w:r>
      <w:r>
        <w:rPr>
          <w:rFonts w:hint="eastAsia" w:ascii="宋体" w:hAnsi="宋体" w:eastAsia="宋体" w:cs="宋体"/>
          <w:color w:val="auto"/>
          <w:sz w:val="24"/>
          <w:szCs w:val="24"/>
          <w:highlight w:val="none"/>
        </w:rPr>
        <w:t>项目名称及项目编号，详见招标文件“</w:t>
      </w:r>
      <w:r>
        <w:rPr>
          <w:rFonts w:hint="eastAsia" w:ascii="宋体" w:hAnsi="宋体" w:eastAsia="宋体" w:cs="宋体"/>
          <w:b/>
          <w:color w:val="auto"/>
          <w:sz w:val="24"/>
          <w:szCs w:val="24"/>
          <w:highlight w:val="none"/>
        </w:rPr>
        <w:t>投标人须知前附表</w:t>
      </w:r>
      <w:r>
        <w:rPr>
          <w:rFonts w:hint="eastAsia" w:ascii="宋体" w:hAnsi="宋体" w:eastAsia="宋体" w:cs="宋体"/>
          <w:color w:val="auto"/>
          <w:sz w:val="24"/>
          <w:szCs w:val="24"/>
          <w:highlight w:val="none"/>
        </w:rPr>
        <w:t>”。</w:t>
      </w:r>
    </w:p>
    <w:p w14:paraId="66835141">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2.资金来源</w:t>
      </w:r>
    </w:p>
    <w:p w14:paraId="70EA84A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b/>
          <w:color w:val="auto"/>
          <w:sz w:val="24"/>
          <w:highlight w:val="none"/>
        </w:rPr>
        <w:t>投标人须知前附表</w:t>
      </w:r>
      <w:r>
        <w:rPr>
          <w:rFonts w:hint="eastAsia" w:ascii="宋体" w:hAnsi="宋体" w:eastAsia="宋体" w:cs="宋体"/>
          <w:color w:val="auto"/>
          <w:sz w:val="24"/>
          <w:highlight w:val="none"/>
        </w:rPr>
        <w:t>”中所述的采购人财政性资金，用于采购“采购需求”所列服务。</w:t>
      </w:r>
    </w:p>
    <w:p w14:paraId="3C439675">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3.招标范围</w:t>
      </w:r>
    </w:p>
    <w:p w14:paraId="3AE4BC6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3.1本项目招标范围：见“</w:t>
      </w:r>
      <w:r>
        <w:rPr>
          <w:rFonts w:hint="eastAsia" w:ascii="宋体" w:hAnsi="宋体" w:eastAsia="宋体" w:cs="宋体"/>
          <w:b/>
          <w:color w:val="auto"/>
          <w:sz w:val="24"/>
          <w:highlight w:val="none"/>
        </w:rPr>
        <w:t>投标人须知前附表</w:t>
      </w:r>
      <w:r>
        <w:rPr>
          <w:rFonts w:hint="eastAsia" w:ascii="宋体" w:hAnsi="宋体" w:eastAsia="宋体" w:cs="宋体"/>
          <w:color w:val="auto"/>
          <w:sz w:val="24"/>
          <w:highlight w:val="none"/>
        </w:rPr>
        <w:t>”。</w:t>
      </w:r>
    </w:p>
    <w:p w14:paraId="61A2FBB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3.2本项目服务期限、服务地点及质量要求：见“</w:t>
      </w:r>
      <w:r>
        <w:rPr>
          <w:rFonts w:hint="eastAsia" w:ascii="宋体" w:hAnsi="宋体" w:eastAsia="宋体" w:cs="宋体"/>
          <w:b/>
          <w:color w:val="auto"/>
          <w:sz w:val="24"/>
          <w:highlight w:val="none"/>
        </w:rPr>
        <w:t>投标人须知前附表</w:t>
      </w:r>
      <w:r>
        <w:rPr>
          <w:rFonts w:hint="eastAsia" w:ascii="宋体" w:hAnsi="宋体" w:eastAsia="宋体" w:cs="宋体"/>
          <w:color w:val="auto"/>
          <w:sz w:val="24"/>
          <w:highlight w:val="none"/>
        </w:rPr>
        <w:t>”。</w:t>
      </w:r>
    </w:p>
    <w:p w14:paraId="6BC575D4">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4.合格的投标人</w:t>
      </w:r>
    </w:p>
    <w:p w14:paraId="6D7E204A">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4.1投标人应具备《中华人民共和国政府采购法》第二十二条规定的条件，并提供相关材料：内容详见投标人须知前附表</w:t>
      </w:r>
      <w:r>
        <w:rPr>
          <w:rFonts w:hint="eastAsia" w:ascii="宋体" w:hAnsi="宋体" w:eastAsia="宋体" w:cs="宋体"/>
          <w:color w:val="auto"/>
          <w:sz w:val="24"/>
          <w:highlight w:val="none"/>
          <w:lang w:eastAsia="zh-CN"/>
        </w:rPr>
        <w:t>。</w:t>
      </w:r>
    </w:p>
    <w:p w14:paraId="3BBD5AC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4.2投标人应符合</w:t>
      </w:r>
      <w:r>
        <w:rPr>
          <w:rFonts w:hint="eastAsia" w:ascii="宋体" w:hAnsi="宋体" w:eastAsia="宋体" w:cs="宋体"/>
          <w:color w:val="auto"/>
          <w:sz w:val="24"/>
          <w:highlight w:val="none"/>
          <w:lang w:eastAsia="zh-CN"/>
        </w:rPr>
        <w:t>落实政府采购政策需满足的资格要求</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采购人根据采购项目的特殊要求规定的特定条件。</w:t>
      </w:r>
      <w:r>
        <w:rPr>
          <w:rFonts w:hint="eastAsia" w:ascii="宋体" w:hAnsi="宋体" w:eastAsia="宋体" w:cs="宋体"/>
          <w:color w:val="auto"/>
          <w:sz w:val="24"/>
          <w:highlight w:val="none"/>
          <w:lang w:eastAsia="zh-CN"/>
        </w:rPr>
        <w:t>落实政府采购政策需满足的资格要求</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特定条件见“投标人须知前附表”。</w:t>
      </w:r>
    </w:p>
    <w:p w14:paraId="0D984C6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4.3单位负责人为同一人或者存在直接控股、管理关系的不同投标人，不得参加同一招标项目包的政府采购活动。</w:t>
      </w:r>
    </w:p>
    <w:p w14:paraId="619DB14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4.4信用记录查询及使用。根据《财政部关于在政府采购活动中查询及使用信用记录有关问题的通知》的规定，对列入失信被执行人、重大税收违法失信主体、政府采购严重违法失信行为记录名单及其他不符合《中华人民共和国政府采购法》第二十二条规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，应当拒绝其参与政府采购活动。</w:t>
      </w:r>
    </w:p>
    <w:p w14:paraId="5CA8667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w:t>
      </w:r>
      <w:r>
        <w:rPr>
          <w:rFonts w:hint="eastAsia" w:ascii="宋体" w:hAnsi="宋体" w:eastAsia="宋体" w:cs="宋体"/>
          <w:b/>
          <w:color w:val="auto"/>
          <w:sz w:val="24"/>
          <w:highlight w:val="none"/>
        </w:rPr>
        <w:t>投标人须知前附表</w:t>
      </w:r>
      <w:r>
        <w:rPr>
          <w:rFonts w:hint="eastAsia" w:ascii="宋体" w:hAnsi="宋体" w:eastAsia="宋体" w:cs="宋体"/>
          <w:color w:val="auto"/>
          <w:sz w:val="24"/>
          <w:highlight w:val="none"/>
        </w:rPr>
        <w:t>”规定接受联合体投标的，除应符合本章第4.1-4.4项和“</w:t>
      </w:r>
      <w:r>
        <w:rPr>
          <w:rFonts w:hint="eastAsia" w:ascii="宋体" w:hAnsi="宋体" w:eastAsia="宋体" w:cs="宋体"/>
          <w:b/>
          <w:color w:val="auto"/>
          <w:sz w:val="24"/>
          <w:highlight w:val="none"/>
        </w:rPr>
        <w:t>投标人须知前附表</w:t>
      </w:r>
      <w:r>
        <w:rPr>
          <w:rFonts w:hint="eastAsia" w:ascii="宋体" w:hAnsi="宋体" w:eastAsia="宋体" w:cs="宋体"/>
          <w:color w:val="auto"/>
          <w:sz w:val="24"/>
          <w:highlight w:val="none"/>
        </w:rPr>
        <w:t>”的要求外，还应遵守以下规定：</w:t>
      </w:r>
    </w:p>
    <w:p w14:paraId="17975895">
      <w:pPr>
        <w:spacing w:line="360" w:lineRule="auto"/>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联合体中有同类资质的投标人按照联合体分工承担相同工作的，应当按照资质等级较低的投标人确定资质等级；</w:t>
      </w:r>
    </w:p>
    <w:p w14:paraId="5C53F823">
      <w:pPr>
        <w:spacing w:line="360" w:lineRule="auto"/>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联合体各方之间应当签订共同投标协议，明确约定联合体各方承担的工作和相应的责任；</w:t>
      </w:r>
    </w:p>
    <w:p w14:paraId="6E720E8B">
      <w:pPr>
        <w:spacing w:line="360" w:lineRule="auto"/>
        <w:ind w:firstLine="43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以联合体形式参加政府采购活动的，联合体各方不得再单独参加或者与其他投标人另外组成联合体参加同一项目包下的政府采购活动。</w:t>
      </w:r>
    </w:p>
    <w:p w14:paraId="651463E8">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4.6符合上述条件的投标人应承担投标及履约中应承担的全部责任与义务。</w:t>
      </w:r>
      <w:r>
        <w:rPr>
          <w:rFonts w:hint="eastAsia" w:ascii="宋体" w:hAnsi="宋体" w:eastAsia="宋体" w:cs="宋体"/>
          <w:color w:val="auto"/>
          <w:sz w:val="24"/>
          <w:highlight w:val="none"/>
        </w:rPr>
        <w:cr/>
      </w:r>
      <w:r>
        <w:rPr>
          <w:rFonts w:hint="eastAsia" w:ascii="宋体" w:hAnsi="宋体" w:eastAsia="宋体" w:cs="宋体"/>
          <w:b/>
          <w:color w:val="auto"/>
          <w:sz w:val="24"/>
          <w:highlight w:val="none"/>
        </w:rPr>
        <w:t>5.投标费用</w:t>
      </w:r>
    </w:p>
    <w:p w14:paraId="3C187672">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5.1不论投标结果如何，投标人均应自行承担所有与准备和参加投标活动有关的全部费用。</w:t>
      </w:r>
    </w:p>
    <w:p w14:paraId="7DA86A0B">
      <w:pPr>
        <w:tabs>
          <w:tab w:val="left" w:pos="426"/>
          <w:tab w:val="left" w:pos="1588"/>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p>
    <w:p w14:paraId="16E62088">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投标人认为招标文件、招标过程和中标结果使自己的权益受到损害的，应当在知道或者应知其权益受到损害之日起7个工作日内，以书面形式向采购代理机构一次性提出针对同一采购程序环节的质疑。质疑内容不得含有虚假、恶意成分。当事人对自己提出的主张，有责任提供证据，提出质疑时应同时提交相关证据材料和注明事实的确切来源。</w:t>
      </w:r>
    </w:p>
    <w:p w14:paraId="64FB3811">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64D11941">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（1）质疑时效期间的起算日期为公告期限届满之日；</w:t>
      </w:r>
    </w:p>
    <w:p w14:paraId="345B8C05">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5A42F8C3">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（3）对中标结果提出质疑的，为中标结果公告期限届满之日。</w:t>
      </w:r>
    </w:p>
    <w:p w14:paraId="07942806">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6.3投标人提出质疑应符合中华人民共和国财政部第94号令《政府采购质疑和投诉办法》的规定。提出质疑应当提交质疑函和必要的证明材料。质疑函应当包括下列内容：</w:t>
      </w:r>
    </w:p>
    <w:p w14:paraId="2A58281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（一）投标人名称、地址、邮编、联系人及联系电话；</w:t>
      </w:r>
    </w:p>
    <w:p w14:paraId="77265836">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42EE068">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314FD973">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511A0B31">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49F7BAB2">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75725E3">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6.4质疑函应当由投标人的法定代表人、主要负责人，或者其</w:t>
      </w:r>
      <w:r>
        <w:rPr>
          <w:rFonts w:hint="eastAsia" w:ascii="宋体" w:hAnsi="宋体" w:eastAsia="宋体" w:cs="宋体"/>
          <w:color w:val="auto"/>
          <w:sz w:val="24"/>
          <w:szCs w:val="24"/>
          <w:highlight w:val="none"/>
          <w:lang w:val="en-US" w:eastAsia="zh-CN"/>
        </w:rPr>
        <w:t>委托代理人</w:t>
      </w:r>
      <w:r>
        <w:rPr>
          <w:rFonts w:hint="eastAsia" w:ascii="宋体" w:hAnsi="宋体" w:eastAsia="宋体" w:cs="宋体"/>
          <w:color w:val="auto"/>
          <w:sz w:val="24"/>
          <w:szCs w:val="24"/>
          <w:highlight w:val="none"/>
        </w:rPr>
        <w:t>签字或者盖章，并加盖公章。委托代理人进行质疑的，应当提交投标人的授权委托书。授权委托书应当载明代理人的姓名或者名称、代理事项、具体权限、期限和相关事项。授权委托书应当由法定代表人、主要负责人签字或者盖章，并加盖公章。</w:t>
      </w:r>
    </w:p>
    <w:p w14:paraId="27DC3448">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接收质疑函的方式：以书面形式递交由法定代表人、主要负责人签字或者盖章，并加盖公章的质疑函原件和必要的证明材料；邮寄送达的以邮件交邮日期为准。</w:t>
      </w:r>
    </w:p>
    <w:p w14:paraId="3273492A">
      <w:pPr>
        <w:pStyle w:val="1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联系电话：0871-65172175</w:t>
      </w:r>
    </w:p>
    <w:p w14:paraId="5C16FF51">
      <w:pPr>
        <w:pStyle w:val="18"/>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通讯地址：云南省昆明市五华区科高路金泰国际9栋5楼</w:t>
      </w:r>
    </w:p>
    <w:p w14:paraId="22A26460">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6.5采购代理机构将在收到投标人的质疑函后7个工作日内作出答复，并以书面形式通知质疑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2D466FF">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w:t>
      </w:r>
    </w:p>
    <w:p w14:paraId="68449B9F">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7.1投诉必须首先经过质疑程序。质疑人对采购代理机构的答复不满意，或者采购代理机构未在规定时间内作出答复的，可以在答复期满后15个工作</w:t>
      </w:r>
      <w:r>
        <w:rPr>
          <w:rFonts w:hint="eastAsia" w:ascii="宋体" w:hAnsi="宋体" w:eastAsia="宋体" w:cs="宋体"/>
          <w:color w:val="auto"/>
          <w:sz w:val="24"/>
          <w:szCs w:val="24"/>
          <w:highlight w:val="none"/>
          <w:lang w:eastAsia="zh-CN"/>
        </w:rPr>
        <w:t>日内</w:t>
      </w:r>
      <w:r>
        <w:rPr>
          <w:rFonts w:hint="eastAsia" w:ascii="宋体" w:hAnsi="宋体" w:eastAsia="宋体" w:cs="宋体"/>
          <w:color w:val="auto"/>
          <w:sz w:val="24"/>
          <w:szCs w:val="24"/>
          <w:highlight w:val="none"/>
        </w:rPr>
        <w:t>向本级财政部门提起投诉。</w:t>
      </w:r>
    </w:p>
    <w:p w14:paraId="47EEB80F">
      <w:pPr>
        <w:pStyle w:val="3"/>
        <w:numPr>
          <w:ilvl w:val="0"/>
          <w:numId w:val="0"/>
        </w:numPr>
        <w:ind w:left="425"/>
        <w:jc w:val="center"/>
        <w:rPr>
          <w:rFonts w:hint="eastAsia" w:ascii="宋体" w:hAnsi="宋体" w:eastAsia="宋体" w:cs="宋体"/>
          <w:color w:val="auto"/>
          <w:sz w:val="30"/>
          <w:szCs w:val="30"/>
          <w:highlight w:val="none"/>
        </w:rPr>
      </w:pPr>
      <w:bookmarkStart w:id="49" w:name="_Toc23749"/>
      <w:bookmarkStart w:id="50" w:name="_Toc6977"/>
      <w:bookmarkStart w:id="51" w:name="_Toc12860"/>
      <w:bookmarkStart w:id="52" w:name="_Toc37325485"/>
      <w:r>
        <w:rPr>
          <w:rFonts w:hint="eastAsia" w:ascii="宋体" w:hAnsi="宋体" w:eastAsia="宋体" w:cs="宋体"/>
          <w:color w:val="auto"/>
          <w:sz w:val="30"/>
          <w:szCs w:val="30"/>
          <w:highlight w:val="none"/>
        </w:rPr>
        <w:t>二、招标文件</w:t>
      </w:r>
      <w:bookmarkEnd w:id="49"/>
      <w:bookmarkEnd w:id="50"/>
      <w:bookmarkEnd w:id="51"/>
      <w:bookmarkEnd w:id="52"/>
    </w:p>
    <w:p w14:paraId="203C7A8E">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8.招标文件构成</w:t>
      </w:r>
    </w:p>
    <w:p w14:paraId="6BAFAAD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8.1要求提供的服务、采购过程及合同条款在招标文件中均有说明，招标文件共七章，各章的内容如下：</w:t>
      </w:r>
    </w:p>
    <w:p w14:paraId="74329933">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第一章招标公告</w:t>
      </w:r>
    </w:p>
    <w:p w14:paraId="22B7931A">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第二章投标人须知</w:t>
      </w:r>
    </w:p>
    <w:p w14:paraId="7B2F72C8">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第三章合同书样式及主要条款</w:t>
      </w:r>
    </w:p>
    <w:p w14:paraId="38C22E55">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第四章投标文件格式</w:t>
      </w:r>
    </w:p>
    <w:p w14:paraId="158DEDD6">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第五章采购需求</w:t>
      </w:r>
    </w:p>
    <w:p w14:paraId="15688DA8">
      <w:pPr>
        <w:pStyle w:val="18"/>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第六章资格评审标准</w:t>
      </w:r>
    </w:p>
    <w:p w14:paraId="7576DFB1">
      <w:pPr>
        <w:pStyle w:val="18"/>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第七章评标方法</w:t>
      </w:r>
    </w:p>
    <w:p w14:paraId="0B8B0F6B">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9.招标文件的澄清</w:t>
      </w:r>
    </w:p>
    <w:p w14:paraId="5E509DD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人应认真阅读招标文件的所有内容，如有疑问，投标人必须在收到招标文件后至“投标人须知前附表”规定截止时间前以信函或传真等书面形式（加盖公章）要求招标代理机构澄清，否则，由此产生的后果由投标人负责。</w:t>
      </w:r>
    </w:p>
    <w:p w14:paraId="73D0879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9.2招标代理机构将以书面形式进行答复、澄清，并以书面方式通知所有购买招标文件的潜在投标人（答复中不包含问题的来源），其他澄清方式为无效。该答复、澄清的内容为招标文件的组成部分。</w:t>
      </w:r>
    </w:p>
    <w:p w14:paraId="569E9E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9.3潜在投标人或者其他利害关系人对招标文件有异议的，应当在投标截止时间10日前提出。招标人自收到异议之日起3日内作出答复。</w:t>
      </w:r>
    </w:p>
    <w:p w14:paraId="66F89756">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10.招标文件的澄清或者修改</w:t>
      </w:r>
    </w:p>
    <w:p w14:paraId="58DD360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10.1采购代理机构对已发出的招标文件进行必要澄清或者修改的，于招标文件要求提交投标文件截止时间15日前，在财政部门指定的政府采购信息发布媒体上发布澄清公告。</w:t>
      </w:r>
    </w:p>
    <w:p w14:paraId="061EF0B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采购代理机构和采购单位可以视采购具体情况，延长投标截止时间和开标时间，但至少在招标文件要求提交投标文件的截止时间3日前，将变更时间通知所有购买招标文件的投标人，并在财政部门指定的政府采购信息发布媒体上发布变更公告。</w:t>
      </w:r>
    </w:p>
    <w:p w14:paraId="35B1B334">
      <w:pPr>
        <w:pStyle w:val="3"/>
        <w:numPr>
          <w:ilvl w:val="0"/>
          <w:numId w:val="0"/>
        </w:numPr>
        <w:ind w:left="425"/>
        <w:jc w:val="center"/>
        <w:rPr>
          <w:rFonts w:hint="eastAsia" w:ascii="宋体" w:hAnsi="宋体" w:eastAsia="宋体" w:cs="宋体"/>
          <w:color w:val="auto"/>
          <w:sz w:val="30"/>
          <w:szCs w:val="30"/>
          <w:highlight w:val="none"/>
        </w:rPr>
      </w:pPr>
      <w:bookmarkStart w:id="53" w:name="_Toc2889"/>
      <w:bookmarkStart w:id="54" w:name="_Toc24771"/>
      <w:bookmarkStart w:id="55" w:name="_Toc37325486"/>
      <w:bookmarkStart w:id="56" w:name="_Toc5184"/>
      <w:r>
        <w:rPr>
          <w:rFonts w:hint="eastAsia" w:ascii="宋体" w:hAnsi="宋体" w:eastAsia="宋体" w:cs="宋体"/>
          <w:color w:val="auto"/>
          <w:sz w:val="30"/>
          <w:szCs w:val="30"/>
          <w:highlight w:val="none"/>
        </w:rPr>
        <w:t>三、投标文件</w:t>
      </w:r>
      <w:bookmarkEnd w:id="53"/>
      <w:bookmarkEnd w:id="54"/>
      <w:bookmarkEnd w:id="55"/>
      <w:bookmarkEnd w:id="56"/>
    </w:p>
    <w:p w14:paraId="6F614E80">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11.投标文件编写注意事项</w:t>
      </w:r>
    </w:p>
    <w:p w14:paraId="0A39233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11.1投标人应仔细阅读招标文件，在完全了解采购的内容、技术性能要求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详见“采购需求</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和商务条件后，编写投标文件。招标文件中标注★号的条款为实质性要求和条件，投标文件必须响应招标文件的实质性要求和条件，不满足任何一条将导致投标无效。</w:t>
      </w:r>
    </w:p>
    <w:p w14:paraId="2E1E97F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11.2对招标文件提出的实质性要求和条件作出响应是指：投标人必须对招标文件中的实质性要求和条件的内容作出满足或者优于原要求和条件的承诺，并提供相应的证明材料。</w:t>
      </w:r>
    </w:p>
    <w:p w14:paraId="4B0A4CDD">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12.投标的语言及计量单位</w:t>
      </w:r>
    </w:p>
    <w:p w14:paraId="5CE1A38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12.1投标人的投标文件以及投标人与采购代理机构就有关投标的所有来往函电统一使用中文（特别规定除外）。</w:t>
      </w:r>
    </w:p>
    <w:p w14:paraId="233BF3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12.2投标文件中使用的计量单位除招标文件中有特殊规定外，一律使用中国法定计量单位。</w:t>
      </w:r>
    </w:p>
    <w:p w14:paraId="426E5122">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13.投标文件构成</w:t>
      </w:r>
    </w:p>
    <w:p w14:paraId="7123C5B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13.1投标人编写的投标文件应由下列部分构成，并按第四章“投标文件格式”要求填写。</w:t>
      </w:r>
    </w:p>
    <w:p w14:paraId="4992DDBE">
      <w:pPr>
        <w:spacing w:line="360" w:lineRule="auto"/>
        <w:ind w:firstLine="410" w:firstLineChars="1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13.1.1开标一览表；</w:t>
      </w:r>
    </w:p>
    <w:p w14:paraId="4F084A96">
      <w:pPr>
        <w:spacing w:line="360" w:lineRule="auto"/>
        <w:ind w:firstLine="410" w:firstLineChars="1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13.1.2资格证明文件；</w:t>
      </w:r>
    </w:p>
    <w:p w14:paraId="681458CC">
      <w:pPr>
        <w:spacing w:line="360" w:lineRule="auto"/>
        <w:ind w:firstLine="410" w:firstLineChars="1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13.1.3投标文件商务部分；</w:t>
      </w:r>
    </w:p>
    <w:p w14:paraId="4E8ECEC8">
      <w:pPr>
        <w:spacing w:line="360" w:lineRule="auto"/>
        <w:ind w:firstLine="410" w:firstLineChars="17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13.1.4投标文件技术部分。</w:t>
      </w:r>
    </w:p>
    <w:p w14:paraId="7194B08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13.2投标人同时投多个包（</w:t>
      </w:r>
      <w:r>
        <w:rPr>
          <w:rFonts w:hint="eastAsia" w:ascii="宋体" w:hAnsi="宋体" w:eastAsia="宋体" w:cs="宋体"/>
          <w:b/>
          <w:color w:val="auto"/>
          <w:sz w:val="24"/>
          <w:highlight w:val="none"/>
        </w:rPr>
        <w:t>若分包时</w:t>
      </w:r>
      <w:r>
        <w:rPr>
          <w:rFonts w:hint="eastAsia" w:ascii="宋体" w:hAnsi="宋体" w:eastAsia="宋体" w:cs="宋体"/>
          <w:color w:val="auto"/>
          <w:sz w:val="24"/>
          <w:highlight w:val="none"/>
        </w:rPr>
        <w:t>）的，投标文件应按包分别编制，单独成册。</w:t>
      </w:r>
    </w:p>
    <w:p w14:paraId="192ABD4F">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14.投标文件的格式要求</w:t>
      </w:r>
    </w:p>
    <w:p w14:paraId="2C0E522F">
      <w:pPr>
        <w:pStyle w:val="18"/>
        <w:tabs>
          <w:tab w:val="left" w:pos="3030"/>
        </w:tabs>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14.1投标人应按第四章“</w:t>
      </w:r>
      <w:r>
        <w:rPr>
          <w:rFonts w:hint="eastAsia" w:ascii="宋体" w:hAnsi="宋体" w:eastAsia="宋体" w:cs="宋体"/>
          <w:b/>
          <w:color w:val="auto"/>
          <w:sz w:val="24"/>
          <w:szCs w:val="24"/>
          <w:highlight w:val="none"/>
        </w:rPr>
        <w:t>投标文件格式</w:t>
      </w:r>
      <w:r>
        <w:rPr>
          <w:rFonts w:hint="eastAsia" w:ascii="宋体" w:hAnsi="宋体" w:eastAsia="宋体" w:cs="宋体"/>
          <w:color w:val="auto"/>
          <w:sz w:val="24"/>
          <w:szCs w:val="24"/>
          <w:highlight w:val="none"/>
        </w:rPr>
        <w:t>”提供的格式完整地填写。</w:t>
      </w:r>
    </w:p>
    <w:p w14:paraId="7AF97C9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15.投标报价</w:t>
      </w:r>
    </w:p>
    <w:p w14:paraId="46C5B34E">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15.1本项目预算金额及最高限价见“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”，若投标人的投标报价超过最高限价，</w:t>
      </w:r>
      <w:r>
        <w:rPr>
          <w:rFonts w:hint="eastAsia" w:ascii="宋体" w:hAnsi="宋体" w:eastAsia="宋体" w:cs="宋体"/>
          <w:bCs/>
          <w:color w:val="auto"/>
          <w:sz w:val="24"/>
          <w:szCs w:val="24"/>
          <w:highlight w:val="none"/>
        </w:rPr>
        <w:t>按不实质性响应招标文件要求处理</w:t>
      </w:r>
      <w:r>
        <w:rPr>
          <w:rFonts w:hint="eastAsia" w:ascii="宋体" w:hAnsi="宋体" w:eastAsia="宋体" w:cs="宋体"/>
          <w:color w:val="auto"/>
          <w:sz w:val="24"/>
          <w:szCs w:val="24"/>
          <w:highlight w:val="none"/>
        </w:rPr>
        <w:t>。</w:t>
      </w:r>
    </w:p>
    <w:p w14:paraId="0B028CC2">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15.2投标人须就“采购需求”中的</w:t>
      </w:r>
      <w:r>
        <w:rPr>
          <w:rFonts w:hint="eastAsia" w:ascii="宋体" w:hAnsi="宋体" w:eastAsia="宋体" w:cs="宋体"/>
          <w:b/>
          <w:bCs/>
          <w:color w:val="auto"/>
          <w:sz w:val="24"/>
          <w:szCs w:val="24"/>
          <w:highlight w:val="none"/>
        </w:rPr>
        <w:t>所投包服务内容作完整唯一报价</w:t>
      </w:r>
      <w:r>
        <w:rPr>
          <w:rFonts w:hint="eastAsia" w:ascii="宋体" w:hAnsi="宋体" w:eastAsia="宋体" w:cs="宋体"/>
          <w:color w:val="auto"/>
          <w:sz w:val="24"/>
          <w:szCs w:val="24"/>
          <w:highlight w:val="none"/>
        </w:rPr>
        <w:t>。</w:t>
      </w:r>
    </w:p>
    <w:p w14:paraId="1B06752E">
      <w:pPr>
        <w:pStyle w:val="18"/>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15.3投标人应依据招标文件的要求及有关资料，执行国家或行业现行技术经济标准、定额及规范，自行测算出满足采购要求的服务的竞争性报价。</w:t>
      </w:r>
      <w:r>
        <w:rPr>
          <w:rFonts w:hint="eastAsia" w:ascii="宋体" w:hAnsi="宋体" w:eastAsia="宋体" w:cs="宋体"/>
          <w:b/>
          <w:color w:val="auto"/>
          <w:sz w:val="24"/>
          <w:szCs w:val="24"/>
          <w:highlight w:val="none"/>
        </w:rPr>
        <w:t>报价包括但不仅限于卫星遥感监测服务费用、生态安全风险监测设备配备费用</w:t>
      </w:r>
      <w:r>
        <w:rPr>
          <w:rFonts w:hint="eastAsia" w:ascii="宋体" w:hAnsi="宋体" w:eastAsia="宋体" w:cs="宋体"/>
          <w:b/>
          <w:color w:val="auto"/>
          <w:sz w:val="24"/>
          <w:szCs w:val="24"/>
          <w:highlight w:val="none"/>
          <w:lang w:val="en-US" w:eastAsia="zh-CN"/>
        </w:rPr>
        <w:t>、监测预警平台研发费用、设备运维服务费用、样品检测费、</w:t>
      </w:r>
      <w:r>
        <w:rPr>
          <w:rFonts w:hint="eastAsia" w:ascii="宋体" w:hAnsi="宋体" w:eastAsia="宋体" w:cs="宋体"/>
          <w:b/>
          <w:color w:val="auto"/>
          <w:sz w:val="24"/>
          <w:szCs w:val="24"/>
          <w:highlight w:val="none"/>
        </w:rPr>
        <w:t>专家技术审查</w:t>
      </w:r>
      <w:r>
        <w:rPr>
          <w:rFonts w:hint="eastAsia" w:ascii="宋体" w:hAnsi="宋体" w:eastAsia="宋体" w:cs="宋体"/>
          <w:b/>
          <w:color w:val="auto"/>
          <w:sz w:val="24"/>
          <w:szCs w:val="24"/>
          <w:highlight w:val="none"/>
          <w:lang w:val="en-US" w:eastAsia="zh-CN"/>
        </w:rPr>
        <w:t>费用、投标人</w:t>
      </w:r>
      <w:r>
        <w:rPr>
          <w:rFonts w:hint="eastAsia" w:ascii="宋体" w:hAnsi="宋体" w:eastAsia="宋体" w:cs="宋体"/>
          <w:b/>
          <w:color w:val="auto"/>
          <w:sz w:val="24"/>
          <w:szCs w:val="24"/>
          <w:highlight w:val="none"/>
        </w:rPr>
        <w:t>人员工资、保险、福利，交通费、住宿费、伙食费，市场价格变化的风险费用、利润、税金等的总和，该报价应考虑市场风险、政策性风险、汇率风险等因素，并能保证投标人完成履行合同所需的全部工作。合同一旦签订，此价格在合同实施期间将不作调整。投标人应根据本企业的成本自行决定报价，但不得以低于成本的报价竞标。</w:t>
      </w:r>
    </w:p>
    <w:p w14:paraId="59F4C8FC">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15.4投标人</w:t>
      </w:r>
      <w:r>
        <w:rPr>
          <w:rFonts w:hint="eastAsia" w:ascii="宋体" w:hAnsi="宋体" w:eastAsia="宋体" w:cs="宋体"/>
          <w:color w:val="auto"/>
          <w:sz w:val="24"/>
          <w:highlight w:val="none"/>
        </w:rPr>
        <w:t>不得哄抬报价，也不应低于成本价（或进价）报价。</w:t>
      </w:r>
      <w:r>
        <w:rPr>
          <w:rFonts w:hint="eastAsia" w:ascii="宋体" w:hAnsi="宋体" w:eastAsia="宋体" w:cs="宋体"/>
          <w:color w:val="auto"/>
          <w:sz w:val="24"/>
          <w:highlight w:val="none"/>
          <w:lang w:val="en-US" w:eastAsia="zh-CN"/>
        </w:rPr>
        <w:t>政府采购评审中出现下列情形之一的，评标委员会应当启动异常低价投标（响应）审查程序：</w:t>
      </w:r>
    </w:p>
    <w:p w14:paraId="761D1D83">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15.4.1、投标（响应）报价低于全部通过符合性审查供应商投标（响应）报价平均值50%的，即投标（响应）报价&lt;全部通过符合性审查供应商投标（响应）报价平均值×50%；</w:t>
      </w:r>
    </w:p>
    <w:p w14:paraId="5F43896F">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15.4.2、投标（响应）报价低于通过符合性审查的次低报价供应商投标（响应）报价50%的，即投标（响应）报价&lt;通过符合性审查的次低报价供应商投标（响应）报价×50%；</w:t>
      </w:r>
    </w:p>
    <w:p w14:paraId="6447E871">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15.4.3、投标（响应）报价低于采购项目最高限价45%的，即投标（响应）报价&lt;采购项目最高限价×45%；</w:t>
      </w:r>
    </w:p>
    <w:p w14:paraId="213C4F3C">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15.4.4、评标委员会基于专业判断，认为供应商报价过低，有可能影响产品质量或者不能诚信履约的其他情形。</w:t>
      </w:r>
    </w:p>
    <w:p w14:paraId="4F7A6938">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15.4.5、相关法律法规对供应商报价有规定的，从其规定。</w:t>
      </w:r>
    </w:p>
    <w:p w14:paraId="29B82AA0">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15.5评标委员会启动异常低价投标（响应）审查后，属于前述第15.4.1项至第15.4.5项情形的，应当要求相关投标人在评审现场合理的时间内对投标（响应）价格作出解释，提供项目具体成本测算等与报价合理性相关的书面说明及必要的证明材料，包括但不限于原材料成本、人工成本、制造费用等，给予相关供应商的合理时间为30分钟。其中，属于第15.4.3项情形，供应商已随投标（响应）文件一并提交相关书面说明及必要的证明材料的，在评审现场可不再重复提交。</w:t>
      </w:r>
    </w:p>
    <w:p w14:paraId="4E7DD03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响应）处理。</w:t>
      </w:r>
    </w:p>
    <w:p w14:paraId="55937D3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D1BC33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异常低价投标（响应）审查的启动原因、审查意见和审查结果应当在评审报告中记录，并随投标人提供的相关书面说明及证明材料，以及评审委员会有关互联网浏览、查询历史一并归档。</w:t>
      </w:r>
    </w:p>
    <w:p w14:paraId="7119F52C">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16.投标货币</w:t>
      </w:r>
    </w:p>
    <w:p w14:paraId="606658AE">
      <w:pPr>
        <w:pStyle w:val="18"/>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16.1投标以人民币报价。</w:t>
      </w:r>
    </w:p>
    <w:p w14:paraId="63A392F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17.投标文件有效期</w:t>
      </w:r>
    </w:p>
    <w:p w14:paraId="046990A7">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”规定的投标有效期内，投标人不得要求撤销或修改其投标文件。</w:t>
      </w:r>
    </w:p>
    <w:p w14:paraId="7A4C96AA">
      <w:pPr>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17.2投标有效期从提交投标文件的截止之日起算。投标文件中承诺的投标有效期应当不少于招标文件中载明的投标有效期。投标有效期内投标人撤销投标文件的，采购代理机构可以不退还投标保证金。</w:t>
      </w:r>
    </w:p>
    <w:p w14:paraId="7247C0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17.3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7D20556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18.分包</w:t>
      </w:r>
    </w:p>
    <w:p w14:paraId="527D4C86">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18.1“</w:t>
      </w:r>
      <w:r>
        <w:rPr>
          <w:rFonts w:hint="eastAsia" w:ascii="宋体" w:hAnsi="宋体" w:eastAsia="宋体" w:cs="宋体"/>
          <w:b/>
          <w:color w:val="auto"/>
          <w:sz w:val="24"/>
          <w:highlight w:val="none"/>
        </w:rPr>
        <w:t>投标人须知前附表</w:t>
      </w:r>
      <w:r>
        <w:rPr>
          <w:rFonts w:hint="eastAsia" w:ascii="宋体" w:hAnsi="宋体" w:eastAsia="宋体" w:cs="宋体"/>
          <w:color w:val="auto"/>
          <w:sz w:val="24"/>
          <w:highlight w:val="none"/>
        </w:rPr>
        <w:t>”规定允许分包的项目，投标人在中标后只能将项目的非主体、</w:t>
      </w:r>
      <w:r>
        <w:rPr>
          <w:rFonts w:hint="eastAsia" w:ascii="宋体" w:hAnsi="宋体" w:eastAsia="宋体" w:cs="宋体"/>
          <w:color w:val="auto"/>
          <w:kern w:val="0"/>
          <w:sz w:val="24"/>
          <w:highlight w:val="none"/>
        </w:rPr>
        <w:t>非关键性工作分包。投标人应当在投标文件中载明分包承担主体，分包承担主体应当具备相应资质条件且不得再次分包。</w:t>
      </w:r>
    </w:p>
    <w:p w14:paraId="4C8B23EC">
      <w:pPr>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kern w:val="0"/>
          <w:sz w:val="24"/>
          <w:highlight w:val="none"/>
        </w:rPr>
        <w:t>19.投标人应当遵循公平竞争的原则，不得恶意串通，不得妨碍其他投标人的竞争行为，不得损害采购人或者其他投标人的合法权益</w:t>
      </w:r>
      <w:r>
        <w:rPr>
          <w:rFonts w:hint="eastAsia" w:ascii="宋体" w:hAnsi="宋体" w:eastAsia="宋体" w:cs="宋体"/>
          <w:color w:val="auto"/>
          <w:kern w:val="0"/>
          <w:sz w:val="24"/>
          <w:highlight w:val="none"/>
        </w:rPr>
        <w:t>。</w:t>
      </w:r>
    </w:p>
    <w:p w14:paraId="5DA832F8">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20.投标文件的编制</w:t>
      </w:r>
    </w:p>
    <w:p w14:paraId="1CB2A56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20.1投标文件按招标文件要求由投标人的法定代表人电子签名或电子签章并加盖投标人的电子公章。</w:t>
      </w:r>
    </w:p>
    <w:p w14:paraId="4940DE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20.2投标文件的书写应清楚工整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修改处应由投标人的法定代表人或其委托代理人签字盖章。</w:t>
      </w:r>
    </w:p>
    <w:p w14:paraId="12C16DF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20.3字迹潦草、表达不清、未按要求填写而导致非唯一理解，造成非实质性响应招标文件的投标文件将会被认定为无效的投标。</w:t>
      </w:r>
    </w:p>
    <w:p w14:paraId="1F8651A0">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20.4投标文件应由法定代表人或其委托代理人</w:t>
      </w:r>
      <w:r>
        <w:rPr>
          <w:rFonts w:hint="eastAsia" w:ascii="宋体" w:hAnsi="宋体" w:eastAsia="宋体" w:cs="宋体"/>
          <w:b/>
          <w:color w:val="auto"/>
          <w:sz w:val="24"/>
          <w:szCs w:val="24"/>
          <w:highlight w:val="none"/>
        </w:rPr>
        <w:t>在规定签署处逐一签字（或电子签章）并加盖单位公章（或电子签章）</w:t>
      </w:r>
      <w:r>
        <w:rPr>
          <w:rFonts w:hint="eastAsia" w:ascii="宋体" w:hAnsi="宋体" w:eastAsia="宋体" w:cs="宋体"/>
          <w:color w:val="auto"/>
          <w:sz w:val="24"/>
          <w:szCs w:val="24"/>
          <w:highlight w:val="none"/>
        </w:rPr>
        <w:t>。</w:t>
      </w:r>
    </w:p>
    <w:p w14:paraId="23F9E31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20.5投标人为联合体的，除招标文件规定须由联合体各方均应签字并加盖单位公章（或电子签章）的外，其余须签字并加盖单位公章处均由联合体的牵头</w:t>
      </w:r>
      <w:r>
        <w:rPr>
          <w:rFonts w:hint="eastAsia" w:ascii="宋体" w:hAnsi="宋体" w:cs="宋体"/>
          <w:color w:val="auto"/>
          <w:sz w:val="24"/>
          <w:highlight w:val="none"/>
          <w:lang w:val="en-US" w:eastAsia="zh-CN"/>
        </w:rPr>
        <w:t>方</w:t>
      </w:r>
      <w:r>
        <w:rPr>
          <w:rFonts w:hint="eastAsia" w:ascii="宋体" w:hAnsi="宋体" w:eastAsia="宋体" w:cs="宋体"/>
          <w:color w:val="auto"/>
          <w:sz w:val="24"/>
          <w:highlight w:val="none"/>
        </w:rPr>
        <w:t>签字并加盖单位公章（或电子签章）。</w:t>
      </w:r>
    </w:p>
    <w:p w14:paraId="2D06A994">
      <w:pPr>
        <w:spacing w:line="360" w:lineRule="auto"/>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20.6投标文件中提</w:t>
      </w:r>
      <w:r>
        <w:rPr>
          <w:rFonts w:hint="eastAsia" w:ascii="宋体" w:hAnsi="宋体" w:eastAsia="宋体" w:cs="宋体"/>
          <w:bCs/>
          <w:color w:val="auto"/>
          <w:sz w:val="24"/>
          <w:highlight w:val="none"/>
        </w:rPr>
        <w:t>供的资料，内容必须清晰可辨，若内容模糊，无法辨识，均视为未提供。</w:t>
      </w:r>
    </w:p>
    <w:p w14:paraId="67B495F3">
      <w:pPr>
        <w:spacing w:line="360" w:lineRule="auto"/>
        <w:jc w:val="left"/>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Cs/>
          <w:color w:val="auto"/>
          <w:sz w:val="24"/>
          <w:highlight w:val="none"/>
        </w:rPr>
        <w:t>20.7投标文件中对招标文件商务条款及技术要求的应答出现完全复制招标文件要求的，</w:t>
      </w:r>
      <w:r>
        <w:rPr>
          <w:rFonts w:hint="eastAsia" w:ascii="宋体" w:hAnsi="宋体" w:cs="宋体"/>
          <w:bCs/>
          <w:color w:val="auto"/>
          <w:sz w:val="24"/>
          <w:highlight w:val="none"/>
          <w:lang w:val="en-US" w:eastAsia="zh-CN"/>
        </w:rPr>
        <w:t>但未提供证明材料或技术支持资料的，</w:t>
      </w:r>
      <w:r>
        <w:rPr>
          <w:rFonts w:hint="eastAsia" w:ascii="宋体" w:hAnsi="宋体" w:eastAsia="宋体" w:cs="宋体"/>
          <w:bCs/>
          <w:color w:val="auto"/>
          <w:sz w:val="24"/>
          <w:highlight w:val="none"/>
        </w:rPr>
        <w:t>视为未实质性响应招标文件的投标文件。</w:t>
      </w:r>
    </w:p>
    <w:p w14:paraId="13D8160B">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21.投标保证金</w:t>
      </w:r>
    </w:p>
    <w:p w14:paraId="11A9CC05">
      <w:pPr>
        <w:pStyle w:val="18"/>
        <w:tabs>
          <w:tab w:val="left" w:pos="710"/>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21.1投标保证金为人民币。投标人应在提交投标文件截止时间以前按“</w:t>
      </w:r>
      <w:r>
        <w:rPr>
          <w:rFonts w:hint="eastAsia" w:ascii="宋体" w:hAnsi="宋体" w:eastAsia="宋体" w:cs="宋体"/>
          <w:b/>
          <w:color w:val="auto"/>
          <w:sz w:val="24"/>
          <w:szCs w:val="24"/>
          <w:highlight w:val="none"/>
        </w:rPr>
        <w:t>投标人须知前附表</w:t>
      </w:r>
      <w:r>
        <w:rPr>
          <w:rFonts w:hint="eastAsia" w:ascii="宋体" w:hAnsi="宋体" w:eastAsia="宋体" w:cs="宋体"/>
          <w:color w:val="auto"/>
          <w:sz w:val="24"/>
          <w:szCs w:val="24"/>
          <w:highlight w:val="none"/>
        </w:rPr>
        <w:t>”规定的金额及形式提交，并在规定的时间内保持有效。</w:t>
      </w:r>
      <w:r>
        <w:rPr>
          <w:rFonts w:hint="eastAsia" w:ascii="宋体" w:hAnsi="宋体" w:eastAsia="宋体" w:cs="宋体"/>
          <w:color w:val="auto"/>
          <w:sz w:val="24"/>
          <w:szCs w:val="24"/>
          <w:highlight w:val="none"/>
          <w:lang w:val="en-US" w:eastAsia="zh-CN"/>
        </w:rPr>
        <w:t>如为联合体投标的，由牵头</w:t>
      </w:r>
      <w:r>
        <w:rPr>
          <w:rFonts w:hint="eastAsia"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提交投标保证金。</w:t>
      </w:r>
    </w:p>
    <w:p w14:paraId="71B59159">
      <w:pPr>
        <w:pStyle w:val="18"/>
        <w:tabs>
          <w:tab w:val="left" w:pos="7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21.2投标人在投标截止时间前撤回已提交的投标文件的，采购代理机构将在自收到投标人书面撤回通知之日起5个工作日内，退还已收取的投标保证金，但因投标人自身原因导致无法及时退还的除外。</w:t>
      </w:r>
    </w:p>
    <w:p w14:paraId="74010342">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21.3未中标人的投标保证金将在中标公告发出后5个工作</w:t>
      </w:r>
      <w:r>
        <w:rPr>
          <w:rFonts w:hint="eastAsia" w:ascii="宋体" w:hAnsi="宋体" w:eastAsia="宋体" w:cs="宋体"/>
          <w:color w:val="auto"/>
          <w:sz w:val="24"/>
          <w:szCs w:val="24"/>
          <w:highlight w:val="none"/>
          <w:lang w:eastAsia="zh-CN"/>
        </w:rPr>
        <w:t>日内</w:t>
      </w:r>
      <w:r>
        <w:rPr>
          <w:rFonts w:hint="eastAsia" w:ascii="宋体" w:hAnsi="宋体" w:eastAsia="宋体" w:cs="宋体"/>
          <w:color w:val="auto"/>
          <w:sz w:val="24"/>
          <w:szCs w:val="24"/>
          <w:highlight w:val="none"/>
        </w:rPr>
        <w:t>退还；中标人的投标保证金将在采购合同签订之日起5个工作日内退还。</w:t>
      </w:r>
    </w:p>
    <w:p w14:paraId="096EEB46">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21.4投标保证金的退回只以网上银行转账的方式进行。</w:t>
      </w:r>
    </w:p>
    <w:p w14:paraId="3DD6A372">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21.5采购代理机构逾期退还投标保证金的，按照《政府采购货物和服务招标投标管理办法》相关规定执行，但因投标人自身原因导致无法及时退还的除外。</w:t>
      </w:r>
    </w:p>
    <w:p w14:paraId="3DA27275">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21.6下列情况发生时，投标保证金将不予退还</w:t>
      </w:r>
    </w:p>
    <w:p w14:paraId="3A20EEA2">
      <w:pPr>
        <w:pStyle w:val="18"/>
        <w:spacing w:line="360" w:lineRule="auto"/>
        <w:ind w:left="359" w:left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（1）投标人在投标有效期内撤销投标的；</w:t>
      </w:r>
    </w:p>
    <w:p w14:paraId="5815C3BC">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（2）中标人中标后无正当理由不与采购人签订合同的；</w:t>
      </w:r>
      <w:r>
        <w:rPr>
          <w:rFonts w:hint="eastAsia" w:ascii="宋体" w:hAnsi="宋体" w:eastAsia="宋体" w:cs="宋体"/>
          <w:color w:val="auto"/>
          <w:sz w:val="24"/>
          <w:highlight w:val="none"/>
        </w:rPr>
        <w:tab/>
      </w:r>
    </w:p>
    <w:p w14:paraId="5E8C93EE">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（3）中标人将中标项目转让给他人，或者在投标文件中未说明，且未经采购人同意，将中标项目分包给他人的；</w:t>
      </w:r>
    </w:p>
    <w:p w14:paraId="41D3453A">
      <w:pPr>
        <w:pStyle w:val="18"/>
        <w:spacing w:line="360" w:lineRule="auto"/>
        <w:ind w:left="359" w:left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（4）中标人拒绝履行合同义务的。</w:t>
      </w:r>
    </w:p>
    <w:p w14:paraId="523A12B8">
      <w:pPr>
        <w:pStyle w:val="3"/>
        <w:numPr>
          <w:ilvl w:val="0"/>
          <w:numId w:val="0"/>
        </w:numPr>
        <w:ind w:left="425"/>
        <w:jc w:val="center"/>
        <w:rPr>
          <w:rFonts w:hint="eastAsia" w:ascii="宋体" w:hAnsi="宋体" w:eastAsia="宋体" w:cs="宋体"/>
          <w:color w:val="auto"/>
          <w:sz w:val="30"/>
          <w:szCs w:val="30"/>
          <w:highlight w:val="none"/>
        </w:rPr>
      </w:pPr>
      <w:bookmarkStart w:id="57" w:name="_Toc37325487"/>
      <w:bookmarkStart w:id="58" w:name="_Toc21901"/>
      <w:bookmarkStart w:id="59" w:name="_Toc16247"/>
      <w:bookmarkStart w:id="60" w:name="_Toc7626"/>
      <w:r>
        <w:rPr>
          <w:rFonts w:hint="eastAsia" w:ascii="宋体" w:hAnsi="宋体" w:eastAsia="宋体" w:cs="宋体"/>
          <w:color w:val="auto"/>
          <w:sz w:val="30"/>
          <w:szCs w:val="30"/>
          <w:highlight w:val="none"/>
        </w:rPr>
        <w:t>四、投标文件的提交</w:t>
      </w:r>
      <w:bookmarkEnd w:id="57"/>
      <w:bookmarkEnd w:id="58"/>
      <w:bookmarkEnd w:id="59"/>
      <w:bookmarkEnd w:id="60"/>
    </w:p>
    <w:p w14:paraId="2724739B">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22.投标文件的密封与标记</w:t>
      </w:r>
    </w:p>
    <w:p w14:paraId="31D9575A">
      <w:pPr>
        <w:pStyle w:val="18"/>
        <w:spacing w:line="360" w:lineRule="auto"/>
        <w:ind w:left="359" w:leftChars="171"/>
        <w:rPr>
          <w:rFonts w:hint="eastAsia" w:ascii="宋体" w:hAnsi="宋体" w:eastAsia="宋体" w:cs="宋体"/>
          <w:color w:val="auto"/>
          <w:sz w:val="24"/>
          <w:szCs w:val="24"/>
          <w:highlight w:val="none"/>
        </w:rPr>
      </w:pPr>
      <w:bookmarkStart w:id="61" w:name="_Toc482610903"/>
      <w:r>
        <w:rPr>
          <w:rFonts w:hint="eastAsia" w:ascii="宋体" w:hAnsi="宋体" w:eastAsia="宋体" w:cs="宋体"/>
          <w:color w:val="auto"/>
          <w:sz w:val="24"/>
          <w:szCs w:val="24"/>
          <w:highlight w:val="none"/>
        </w:rPr>
        <w:t>22.1电子投标文件的密封和标记</w:t>
      </w:r>
    </w:p>
    <w:p w14:paraId="11006679">
      <w:pPr>
        <w:pStyle w:val="18"/>
        <w:spacing w:line="360" w:lineRule="auto"/>
        <w:ind w:left="359" w:left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网上递交的投标文件需要对投标文件进行加密，递交份数见“投标人须知前附表”。</w:t>
      </w:r>
    </w:p>
    <w:p w14:paraId="7E731343">
      <w:pPr>
        <w:pStyle w:val="18"/>
        <w:spacing w:line="360" w:lineRule="auto"/>
        <w:ind w:left="359" w:left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的截止时间前，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应按照本项目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和"政采云"平台的要求编制、加密后在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提交截止时间前上传至"政采云"平台，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提交截止时间前未完成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上传的，视为撤回</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。任何单位和个人不得在</w:t>
      </w:r>
      <w:r>
        <w:rPr>
          <w:rFonts w:hint="eastAsia" w:ascii="宋体" w:hAnsi="宋体" w:eastAsia="宋体" w:cs="宋体"/>
          <w:color w:val="auto"/>
          <w:sz w:val="24"/>
          <w:szCs w:val="24"/>
          <w:highlight w:val="none"/>
          <w:lang w:val="en-US" w:eastAsia="zh-CN"/>
        </w:rPr>
        <w:t>投标文件递交截止时间</w:t>
      </w:r>
      <w:r>
        <w:rPr>
          <w:rFonts w:hint="eastAsia" w:ascii="宋体" w:hAnsi="宋体" w:eastAsia="宋体" w:cs="宋体"/>
          <w:color w:val="auto"/>
          <w:sz w:val="24"/>
          <w:szCs w:val="24"/>
          <w:highlight w:val="none"/>
        </w:rPr>
        <w:t>前开启</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3166738">
      <w:pPr>
        <w:pStyle w:val="18"/>
        <w:spacing w:line="360" w:lineRule="auto"/>
        <w:ind w:left="359" w:left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的解密：采购代理机构将在“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投标截止</w:t>
      </w:r>
      <w:r>
        <w:rPr>
          <w:rFonts w:hint="eastAsia" w:ascii="宋体" w:hAnsi="宋体" w:eastAsia="宋体" w:cs="宋体"/>
          <w:color w:val="auto"/>
          <w:sz w:val="24"/>
          <w:szCs w:val="24"/>
          <w:highlight w:val="none"/>
        </w:rPr>
        <w:t>时间通过电子交易平台组织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开启，采购机构依托电子交易平台发起开始解密指令，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的法定代表人或其委托代理人须携带加密时所用的CA锁按平台提示和</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的规定登录到“政采云”平台电子开标大厅签到，并在发起解密指令之时起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0分钟内完成对电子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在线解密。发起解密指令之时起5分钟内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还未进行解密的，代理机构可通知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投标人没有</w:t>
      </w:r>
      <w:r>
        <w:rPr>
          <w:rFonts w:hint="eastAsia" w:ascii="宋体" w:hAnsi="宋体" w:eastAsia="宋体" w:cs="宋体"/>
          <w:color w:val="auto"/>
          <w:sz w:val="24"/>
          <w:szCs w:val="24"/>
          <w:highlight w:val="none"/>
        </w:rPr>
        <w:t>预留联系方式或预留联系方式无效，导致代理机构无法联系到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进行解密的，视为撤回</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成功解密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，但未在“政采云”电子开标大厅参加</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的，视同认可</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过程和结果，由此产生的后果由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自行负责。</w:t>
      </w:r>
    </w:p>
    <w:p w14:paraId="5F3E0449">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23.</w:t>
      </w:r>
      <w:r>
        <w:rPr>
          <w:rFonts w:hint="eastAsia" w:ascii="宋体" w:hAnsi="宋体" w:eastAsia="宋体" w:cs="宋体"/>
          <w:b/>
          <w:bCs/>
          <w:color w:val="auto"/>
          <w:sz w:val="24"/>
          <w:szCs w:val="24"/>
          <w:highlight w:val="none"/>
        </w:rPr>
        <w:t>提交投标文件的截止时间和地点</w:t>
      </w:r>
      <w:bookmarkEnd w:id="61"/>
    </w:p>
    <w:p w14:paraId="73A273C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23.1投标文件提交不得迟于“</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须知前附表</w:t>
      </w:r>
      <w:r>
        <w:rPr>
          <w:rFonts w:hint="eastAsia" w:ascii="宋体" w:hAnsi="宋体" w:eastAsia="宋体" w:cs="宋体"/>
          <w:color w:val="auto"/>
          <w:sz w:val="24"/>
          <w:highlight w:val="none"/>
        </w:rPr>
        <w:t>”规定的提交截止时间。</w:t>
      </w:r>
    </w:p>
    <w:p w14:paraId="00C072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必须在规定时间内将投标文件提交到“</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须知前附表</w:t>
      </w:r>
      <w:r>
        <w:rPr>
          <w:rFonts w:hint="eastAsia" w:ascii="宋体" w:hAnsi="宋体" w:eastAsia="宋体" w:cs="宋体"/>
          <w:color w:val="auto"/>
          <w:sz w:val="24"/>
          <w:highlight w:val="none"/>
        </w:rPr>
        <w:t>”规定的地点。</w:t>
      </w:r>
    </w:p>
    <w:p w14:paraId="158670A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23.3除“</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须知前附表</w:t>
      </w:r>
      <w:r>
        <w:rPr>
          <w:rFonts w:hint="eastAsia" w:ascii="宋体" w:hAnsi="宋体" w:eastAsia="宋体" w:cs="宋体"/>
          <w:color w:val="auto"/>
          <w:sz w:val="24"/>
          <w:highlight w:val="none"/>
        </w:rPr>
        <w:t>”另有规定外，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所递交的投标文件不予退还。</w:t>
      </w:r>
    </w:p>
    <w:p w14:paraId="48699C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23.4逾期送达的或者未送达指定地点的投标文件，采购代理机构不予受理。</w:t>
      </w:r>
    </w:p>
    <w:p w14:paraId="01F4F133">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24.</w:t>
      </w:r>
      <w:r>
        <w:rPr>
          <w:rFonts w:hint="eastAsia" w:ascii="宋体" w:hAnsi="宋体" w:eastAsia="宋体" w:cs="宋体"/>
          <w:b/>
          <w:bCs/>
          <w:color w:val="auto"/>
          <w:sz w:val="24"/>
          <w:szCs w:val="24"/>
          <w:highlight w:val="none"/>
        </w:rPr>
        <w:t>投标文件的修改与撤回</w:t>
      </w:r>
    </w:p>
    <w:p w14:paraId="1B8643C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24.1在投标截止时间前，投标人可以修改或撤回已递交的投标文件，无须书面形式通知招标人。</w:t>
      </w:r>
    </w:p>
    <w:p w14:paraId="0B15CC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24.2修改的投标文件应按照投标人须知前附表规定进行密封、标记和递交。</w:t>
      </w:r>
    </w:p>
    <w:p w14:paraId="302D4D2A">
      <w:pPr>
        <w:pStyle w:val="3"/>
        <w:numPr>
          <w:ilvl w:val="0"/>
          <w:numId w:val="0"/>
        </w:numPr>
        <w:ind w:left="425"/>
        <w:jc w:val="center"/>
        <w:rPr>
          <w:rFonts w:hint="eastAsia" w:ascii="宋体" w:hAnsi="宋体" w:eastAsia="宋体" w:cs="宋体"/>
          <w:color w:val="auto"/>
          <w:sz w:val="30"/>
          <w:szCs w:val="30"/>
          <w:highlight w:val="none"/>
        </w:rPr>
      </w:pPr>
      <w:bookmarkStart w:id="62" w:name="_Toc23773"/>
      <w:bookmarkStart w:id="63" w:name="_Toc37325488"/>
      <w:bookmarkStart w:id="64" w:name="_Toc30024"/>
      <w:bookmarkStart w:id="65" w:name="_Toc23179"/>
      <w:r>
        <w:rPr>
          <w:rFonts w:hint="eastAsia" w:ascii="宋体" w:hAnsi="宋体" w:eastAsia="宋体" w:cs="宋体"/>
          <w:color w:val="auto"/>
          <w:sz w:val="30"/>
          <w:szCs w:val="30"/>
          <w:highlight w:val="none"/>
        </w:rPr>
        <w:t>五、开标与评标</w:t>
      </w:r>
      <w:bookmarkEnd w:id="62"/>
      <w:bookmarkEnd w:id="63"/>
      <w:bookmarkEnd w:id="64"/>
      <w:bookmarkEnd w:id="65"/>
    </w:p>
    <w:p w14:paraId="04DFF5E5">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25.开标</w:t>
      </w:r>
    </w:p>
    <w:p w14:paraId="6E6FFD00">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25.1采购代理机构将在“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”规定的时间和地点进行开标，邀请各投标人的法定代表人或其委托代理人参加开标会，</w:t>
      </w:r>
      <w:r>
        <w:rPr>
          <w:rFonts w:hint="eastAsia" w:ascii="宋体" w:hAnsi="宋体" w:eastAsia="宋体" w:cs="宋体"/>
          <w:b/>
          <w:color w:val="auto"/>
          <w:sz w:val="24"/>
          <w:szCs w:val="24"/>
          <w:highlight w:val="none"/>
        </w:rPr>
        <w:t>如投标人未出席开标会，视为其默认现场唱标结果，由此产生的后果由投标人自行负责</w:t>
      </w:r>
      <w:r>
        <w:rPr>
          <w:rFonts w:hint="eastAsia" w:ascii="宋体" w:hAnsi="宋体" w:eastAsia="宋体" w:cs="宋体"/>
          <w:color w:val="auto"/>
          <w:sz w:val="24"/>
          <w:szCs w:val="24"/>
          <w:highlight w:val="none"/>
        </w:rPr>
        <w:t>。</w:t>
      </w:r>
    </w:p>
    <w:p w14:paraId="2740597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25.2投标截止后投标人不足3家的，不得开标。</w:t>
      </w:r>
    </w:p>
    <w:p w14:paraId="5448C03F">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25.3开标程序：</w:t>
      </w:r>
    </w:p>
    <w:p w14:paraId="04FAC91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（1）开标会由采购代理机构主持，主持人宣布开标会议开始；</w:t>
      </w:r>
    </w:p>
    <w:p w14:paraId="1FEBC40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（2）介绍参加开标会的人员；</w:t>
      </w:r>
    </w:p>
    <w:p w14:paraId="4CC6B4B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（3）开标时，电子投标文件开标顺序：按照交易平台自动提取所有投标人的顺序当众开标；</w:t>
      </w:r>
    </w:p>
    <w:p w14:paraId="12D94B97">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）宣布评标期间的有关事项；</w:t>
      </w:r>
    </w:p>
    <w:p w14:paraId="48267BC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）开标结束。</w:t>
      </w:r>
    </w:p>
    <w:p w14:paraId="50E233B4">
      <w:pPr>
        <w:pStyle w:val="18"/>
        <w:spacing w:line="360" w:lineRule="auto"/>
        <w:ind w:left="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25.4开标工作人员将做开标记录，参加开标的各投标人代表和相关工作人员须签字确认。</w:t>
      </w:r>
    </w:p>
    <w:p w14:paraId="1A50D780">
      <w:pPr>
        <w:pStyle w:val="18"/>
        <w:spacing w:line="360" w:lineRule="auto"/>
        <w:ind w:left="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72A4CF4">
      <w:pPr>
        <w:pStyle w:val="18"/>
        <w:spacing w:line="360" w:lineRule="auto"/>
        <w:ind w:left="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26.资格审查</w:t>
      </w:r>
    </w:p>
    <w:p w14:paraId="07F3E2F6">
      <w:pPr>
        <w:pStyle w:val="18"/>
        <w:spacing w:line="360" w:lineRule="auto"/>
        <w:ind w:left="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26.1开标结束后，采购人或者采购代理机构应当按照“第六章资格评审标准”依法对投标人的资格进行审查，合格投标人不足3家的，不得评标。</w:t>
      </w:r>
    </w:p>
    <w:p w14:paraId="4451A68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27.评标</w:t>
      </w:r>
    </w:p>
    <w:p w14:paraId="514854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27.1评标由采购人依法组建的评标委员会负责。评标委员会由采购人代表和有关技术、经济等方面的专家组成，成员人数应当为5人或以上单数。其中，技术、经济等方面的专家不得少于成员总数的三分之二。评标委员会应当推选组长，但采购人代表不得担任组长。</w:t>
      </w:r>
    </w:p>
    <w:p w14:paraId="7C9651B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采购人委派代表参加评标委员会的，要向采购代理机构出具授权函。</w:t>
      </w:r>
    </w:p>
    <w:p w14:paraId="3CE7E33D">
      <w:pPr>
        <w:pStyle w:val="18"/>
        <w:spacing w:line="360" w:lineRule="auto"/>
        <w:rPr>
          <w:rFonts w:hint="eastAsia" w:ascii="宋体" w:hAnsi="宋体" w:eastAsia="宋体" w:cs="宋体"/>
          <w:bCs/>
          <w:color w:val="auto"/>
          <w:sz w:val="24"/>
          <w:szCs w:val="24"/>
          <w:highlight w:val="none"/>
        </w:rPr>
      </w:pPr>
      <w:bookmarkStart w:id="66" w:name="_Toc191374422"/>
      <w:r>
        <w:rPr>
          <w:rFonts w:hint="eastAsia" w:ascii="宋体" w:hAnsi="宋体" w:eastAsia="宋体" w:cs="宋体"/>
          <w:bCs/>
          <w:color w:val="auto"/>
          <w:sz w:val="24"/>
          <w:szCs w:val="24"/>
          <w:highlight w:val="none"/>
        </w:rPr>
        <w:t>27.2评标原则</w:t>
      </w:r>
      <w:bookmarkEnd w:id="66"/>
      <w:r>
        <w:rPr>
          <w:rFonts w:hint="eastAsia" w:ascii="宋体" w:hAnsi="宋体" w:eastAsia="宋体" w:cs="宋体"/>
          <w:bCs/>
          <w:color w:val="auto"/>
          <w:sz w:val="24"/>
          <w:szCs w:val="24"/>
          <w:highlight w:val="none"/>
        </w:rPr>
        <w:t>及方法</w:t>
      </w:r>
    </w:p>
    <w:p w14:paraId="27A9646F">
      <w:pPr>
        <w:spacing w:line="360" w:lineRule="auto"/>
        <w:ind w:firstLine="566" w:firstLineChars="23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评标活动遵循公平、公正、科学和择优的原则。</w:t>
      </w:r>
    </w:p>
    <w:p w14:paraId="55BA0A3F">
      <w:pPr>
        <w:pStyle w:val="18"/>
        <w:spacing w:line="360" w:lineRule="auto"/>
        <w:ind w:left="720" w:hanging="720" w:hangingChars="3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27.3</w:t>
      </w:r>
      <w:r>
        <w:rPr>
          <w:rFonts w:hint="eastAsia" w:ascii="宋体" w:hAnsi="宋体" w:eastAsia="宋体" w:cs="宋体"/>
          <w:bCs/>
          <w:color w:val="auto"/>
          <w:sz w:val="24"/>
          <w:szCs w:val="24"/>
          <w:highlight w:val="none"/>
        </w:rPr>
        <w:t>评标方法</w:t>
      </w:r>
    </w:p>
    <w:p w14:paraId="6804BA9B">
      <w:pPr>
        <w:spacing w:line="360" w:lineRule="auto"/>
        <w:ind w:firstLine="540" w:firstLineChars="2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本项目按“</w:t>
      </w:r>
      <w:r>
        <w:rPr>
          <w:rFonts w:hint="eastAsia" w:ascii="宋体" w:hAnsi="宋体" w:eastAsia="宋体" w:cs="宋体"/>
          <w:b/>
          <w:bCs/>
          <w:color w:val="auto"/>
          <w:sz w:val="24"/>
          <w:highlight w:val="none"/>
        </w:rPr>
        <w:t>投标人须知前附表</w:t>
      </w:r>
      <w:r>
        <w:rPr>
          <w:rFonts w:hint="eastAsia" w:ascii="宋体" w:hAnsi="宋体" w:eastAsia="宋体" w:cs="宋体"/>
          <w:color w:val="auto"/>
          <w:sz w:val="24"/>
          <w:highlight w:val="none"/>
        </w:rPr>
        <w:t>”规定的评标方法评标。在评标中，不得改变招标文件中规定的评标标准、方法和中标条件。第七章“</w:t>
      </w:r>
      <w:r>
        <w:rPr>
          <w:rFonts w:hint="eastAsia" w:ascii="宋体" w:hAnsi="宋体" w:eastAsia="宋体" w:cs="宋体"/>
          <w:b/>
          <w:color w:val="auto"/>
          <w:sz w:val="24"/>
          <w:highlight w:val="none"/>
        </w:rPr>
        <w:t>评标方法</w:t>
      </w:r>
      <w:r>
        <w:rPr>
          <w:rFonts w:hint="eastAsia" w:ascii="宋体" w:hAnsi="宋体" w:eastAsia="宋体" w:cs="宋体"/>
          <w:color w:val="auto"/>
          <w:sz w:val="24"/>
          <w:highlight w:val="none"/>
        </w:rPr>
        <w:t>”没有规定的评审因素和标准，不作为评标依据。</w:t>
      </w:r>
    </w:p>
    <w:p w14:paraId="5A5D72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5519261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★27.5</w:t>
      </w:r>
      <w:r>
        <w:rPr>
          <w:rFonts w:hint="eastAsia" w:ascii="宋体" w:hAnsi="宋体" w:eastAsia="宋体" w:cs="宋体"/>
          <w:color w:val="auto"/>
          <w:kern w:val="0"/>
          <w:sz w:val="24"/>
          <w:highlight w:val="none"/>
        </w:rPr>
        <w:t>在评标过程中，评标委员会发现投标人有本须知19条款规定的情形，应当认定其投标无效，并书面报告本级财政部门。</w:t>
      </w:r>
    </w:p>
    <w:p w14:paraId="2DC9C31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27.6有下列情形之一的，视为投标人串通投标，其投标无效：</w:t>
      </w:r>
    </w:p>
    <w:p w14:paraId="57B12798">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（一）不同投标人的投标文件由同一单位或者个人编制；</w:t>
      </w:r>
    </w:p>
    <w:p w14:paraId="21BEA8C0">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（二）不同投标人委托同一单位或者个人办理投标事宜；</w:t>
      </w:r>
    </w:p>
    <w:p w14:paraId="2DF07C90">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（三）不同投标人的投标文件载明的项目管理成员或者联系人员为同一人；</w:t>
      </w:r>
    </w:p>
    <w:p w14:paraId="3BD577C6">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（四）不同投标人的投标文件异常一致或者投标报价呈规律性差异；</w:t>
      </w:r>
    </w:p>
    <w:p w14:paraId="600632C6">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（五）不同投标人的投标文件相互混装；</w:t>
      </w:r>
    </w:p>
    <w:p w14:paraId="1ECA5350">
      <w:pPr>
        <w:widowControl/>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（六）不同投标人的投标保证金从同一单位或者个人的账户转出。</w:t>
      </w:r>
    </w:p>
    <w:p w14:paraId="1ED36BD8">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★27.7若投标人提供的核心产品</w:t>
      </w:r>
      <w:r>
        <w:rPr>
          <w:rFonts w:hint="eastAsia" w:asciiTheme="minorEastAsia" w:hAnsiTheme="minorEastAsia" w:eastAsiaTheme="minorEastAsia" w:cstheme="minorEastAsia"/>
          <w:color w:val="auto"/>
          <w:kern w:val="0"/>
          <w:sz w:val="24"/>
          <w:szCs w:val="24"/>
          <w:highlight w:val="none"/>
        </w:rPr>
        <w:t>为相同品牌且通过资格审查、符合性审查的不同投标人参加同一招标项目包投标的，按一家投标人计算，评审后得分最高的同品牌投标人获得中标人推荐资格；评审得分相同的，评标委员会将依次按价格低优先、技术部分得分高优先、商务部分得分高优先的顺序确定；所有得分均相等的，按记名投票的方式确定中标候选人，其他同品牌投标人不作为中标候选人。</w:t>
      </w:r>
    </w:p>
    <w:p w14:paraId="3390522D">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27.8若单个项目包为非单一产品采购项目，对于招标文件第五章规定核心产品，多家投标人提供的核心产品品牌有一项品牌相同的，按27.7款规定处理。</w:t>
      </w:r>
    </w:p>
    <w:p w14:paraId="137CE9A3">
      <w:pPr>
        <w:spacing w:line="360" w:lineRule="auto"/>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★27.9按上述条款执行后，投标人不足3家的，本项目应予废标。</w:t>
      </w:r>
    </w:p>
    <w:p w14:paraId="11C7EE31">
      <w:pPr>
        <w:pStyle w:val="35"/>
        <w:ind w:firstLine="0" w:firstLineChars="0"/>
        <w:rPr>
          <w:rFonts w:hint="eastAsia"/>
          <w:color w:val="auto"/>
          <w:highlight w:val="none"/>
        </w:rPr>
      </w:pPr>
    </w:p>
    <w:p w14:paraId="0BEF5D0A">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w:t>
      </w:r>
      <w:r>
        <w:rPr>
          <w:rFonts w:hint="eastAsia" w:ascii="宋体" w:hAnsi="宋体" w:eastAsia="宋体" w:cs="宋体"/>
          <w:b/>
          <w:color w:val="auto"/>
          <w:sz w:val="24"/>
          <w:szCs w:val="24"/>
          <w:highlight w:val="none"/>
        </w:rPr>
        <w:t>在招标采购中，出现下列情形之一的，应予废标：</w:t>
      </w:r>
    </w:p>
    <w:p w14:paraId="49B46A0E">
      <w:pPr>
        <w:pStyle w:val="18"/>
        <w:spacing w:line="360" w:lineRule="auto"/>
        <w:ind w:left="719" w:leftChars="342" w:hanging="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rPr>
        <w:t>符合专业条件的投标人或者对招标文件作实质响应的投标人不足3家的；</w:t>
      </w:r>
    </w:p>
    <w:p w14:paraId="2ED02FD8">
      <w:pPr>
        <w:pStyle w:val="18"/>
        <w:spacing w:line="360" w:lineRule="auto"/>
        <w:ind w:left="719" w:leftChars="342" w:hanging="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w:t>
      </w:r>
      <w:r>
        <w:rPr>
          <w:rFonts w:hint="eastAsia" w:ascii="宋体" w:hAnsi="宋体" w:eastAsia="宋体" w:cs="宋体"/>
          <w:b/>
          <w:color w:val="auto"/>
          <w:sz w:val="24"/>
          <w:szCs w:val="24"/>
          <w:highlight w:val="none"/>
        </w:rPr>
        <w:t>出现影响采购公正的违法、违规行为的；</w:t>
      </w:r>
    </w:p>
    <w:p w14:paraId="45F87AE2">
      <w:pPr>
        <w:pStyle w:val="18"/>
        <w:spacing w:line="360" w:lineRule="auto"/>
        <w:ind w:left="719" w:leftChars="342" w:hanging="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rPr>
        <w:t>投标人的报价均超过了采购预算，采购人不能支付的；</w:t>
      </w:r>
    </w:p>
    <w:p w14:paraId="40619143">
      <w:pPr>
        <w:pStyle w:val="18"/>
        <w:spacing w:line="360" w:lineRule="auto"/>
        <w:ind w:left="719" w:leftChars="342" w:hanging="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（4）</w:t>
      </w:r>
      <w:r>
        <w:rPr>
          <w:rFonts w:hint="eastAsia" w:ascii="宋体" w:hAnsi="宋体" w:eastAsia="宋体" w:cs="宋体"/>
          <w:b/>
          <w:color w:val="auto"/>
          <w:sz w:val="24"/>
          <w:szCs w:val="24"/>
          <w:highlight w:val="none"/>
        </w:rPr>
        <w:t>因重大变故，采购任务取消的。</w:t>
      </w:r>
    </w:p>
    <w:p w14:paraId="2D81E117">
      <w:pPr>
        <w:pStyle w:val="18"/>
        <w:spacing w:line="360" w:lineRule="auto"/>
        <w:ind w:firstLine="708" w:firstLineChars="29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废标后，采购人应当将废标理由通知所有投标人。</w:t>
      </w:r>
    </w:p>
    <w:p w14:paraId="0B22E9A5">
      <w:pPr>
        <w:pStyle w:val="3"/>
        <w:numPr>
          <w:ilvl w:val="0"/>
          <w:numId w:val="0"/>
        </w:numPr>
        <w:ind w:left="425"/>
        <w:jc w:val="center"/>
        <w:rPr>
          <w:rFonts w:hint="eastAsia" w:ascii="宋体" w:hAnsi="宋体" w:eastAsia="宋体" w:cs="宋体"/>
          <w:color w:val="auto"/>
          <w:sz w:val="30"/>
          <w:szCs w:val="30"/>
          <w:highlight w:val="none"/>
        </w:rPr>
      </w:pPr>
      <w:bookmarkStart w:id="67" w:name="_Toc24101"/>
      <w:bookmarkStart w:id="68" w:name="_Toc37325489"/>
      <w:bookmarkStart w:id="69" w:name="_Toc2461"/>
      <w:bookmarkStart w:id="70" w:name="_Toc21799"/>
      <w:r>
        <w:rPr>
          <w:rFonts w:hint="eastAsia" w:ascii="宋体" w:hAnsi="宋体" w:eastAsia="宋体" w:cs="宋体"/>
          <w:color w:val="auto"/>
          <w:sz w:val="30"/>
          <w:szCs w:val="30"/>
          <w:highlight w:val="none"/>
        </w:rPr>
        <w:t>六、中标结果</w:t>
      </w:r>
      <w:bookmarkEnd w:id="67"/>
      <w:bookmarkEnd w:id="68"/>
      <w:bookmarkEnd w:id="69"/>
      <w:bookmarkEnd w:id="70"/>
    </w:p>
    <w:p w14:paraId="5ECB208A">
      <w:pPr>
        <w:pStyle w:val="18"/>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29.中标人的确定</w:t>
      </w:r>
    </w:p>
    <w:p w14:paraId="37B61C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29.1采购代理机构应当在评标结束之日起2个工作日内将评标报告送采购人确认。</w:t>
      </w:r>
    </w:p>
    <w:p w14:paraId="46DFE095">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29.2采购人应当在收到评标报告之日起5个工作日内，在评标报告中推荐的中标候选人中按顺序确定中标人。</w:t>
      </w:r>
    </w:p>
    <w:p w14:paraId="74D3E228">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30.中标通知书</w:t>
      </w:r>
    </w:p>
    <w:p w14:paraId="1B6BCE08">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30.1中标人确定之日起2个工作日内，采购代理机构在省级以上财政部门指定的媒体上公告中标结果，中标公告期限为1个工作日，同时向中标人发出中标通知书，向未中标人发出招标结果通知书。</w:t>
      </w:r>
    </w:p>
    <w:p w14:paraId="562D016A">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30.2中标通知书是合同的一个组成部分。</w:t>
      </w:r>
    </w:p>
    <w:p w14:paraId="0E5B05CA">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31.签订合同</w:t>
      </w:r>
    </w:p>
    <w:p w14:paraId="071F6AD6">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31.1采购人与中标人应当在中标通知书发出之日起30日内，按照招标文件和中标人投标文件的规定签订政府采购合同。</w:t>
      </w:r>
    </w:p>
    <w:p w14:paraId="527FE73D">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6CC35C7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31.3政府采购合同履行中，采购人需追加与合同标的相同的货物的，在不改变合同其他条款的前提下，可以与中标人协商签订补充合同，但所有补充合同的采购金额不得超过原合同采购金额的</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w:t>
      </w:r>
    </w:p>
    <w:p w14:paraId="339231DD">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32.履约担保</w:t>
      </w:r>
    </w:p>
    <w:p w14:paraId="2C261B67">
      <w:pPr>
        <w:pStyle w:val="18"/>
        <w:tabs>
          <w:tab w:val="left" w:pos="7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32.1中标人应按“</w:t>
      </w:r>
      <w:r>
        <w:rPr>
          <w:rFonts w:hint="eastAsia" w:ascii="宋体" w:hAnsi="宋体" w:eastAsia="宋体" w:cs="宋体"/>
          <w:b/>
          <w:color w:val="auto"/>
          <w:sz w:val="24"/>
          <w:szCs w:val="24"/>
          <w:highlight w:val="none"/>
        </w:rPr>
        <w:t>投标人须知前附表</w:t>
      </w:r>
      <w:r>
        <w:rPr>
          <w:rFonts w:hint="eastAsia" w:ascii="宋体" w:hAnsi="宋体" w:eastAsia="宋体" w:cs="宋体"/>
          <w:color w:val="auto"/>
          <w:sz w:val="24"/>
          <w:szCs w:val="24"/>
          <w:highlight w:val="none"/>
        </w:rPr>
        <w:t>”上确定的</w:t>
      </w:r>
      <w:r>
        <w:rPr>
          <w:rFonts w:hint="eastAsia" w:hAnsi="宋体" w:cs="宋体"/>
          <w:color w:val="auto"/>
          <w:sz w:val="24"/>
          <w:szCs w:val="24"/>
          <w:highlight w:val="none"/>
          <w:lang w:val="en-US" w:eastAsia="zh-CN"/>
        </w:rPr>
        <w:t>提交履约担保时间、</w:t>
      </w:r>
      <w:r>
        <w:rPr>
          <w:rFonts w:hint="eastAsia" w:ascii="宋体" w:hAnsi="宋体" w:eastAsia="宋体" w:cs="宋体"/>
          <w:color w:val="auto"/>
          <w:sz w:val="24"/>
          <w:szCs w:val="24"/>
          <w:highlight w:val="none"/>
        </w:rPr>
        <w:t>履约担保的金额及形式，向采购人提交履约担保，联合体中标的，其履约担保由牵头</w:t>
      </w:r>
      <w:r>
        <w:rPr>
          <w:rFonts w:hint="eastAsia" w:hAnsi="宋体" w:cs="宋体"/>
          <w:color w:val="auto"/>
          <w:sz w:val="24"/>
          <w:szCs w:val="24"/>
          <w:highlight w:val="none"/>
          <w:lang w:val="en-US" w:eastAsia="zh-CN"/>
        </w:rPr>
        <w:t>方</w:t>
      </w:r>
      <w:r>
        <w:rPr>
          <w:rFonts w:hint="eastAsia" w:ascii="宋体" w:hAnsi="宋体" w:eastAsia="宋体" w:cs="宋体"/>
          <w:color w:val="auto"/>
          <w:sz w:val="24"/>
          <w:szCs w:val="24"/>
          <w:highlight w:val="none"/>
        </w:rPr>
        <w:t>递交。否则，视为放弃中标项目，投标保证金将不予退还。</w:t>
      </w:r>
    </w:p>
    <w:p w14:paraId="4F840E55">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32.2签订合同后，如中标人不按双方签订合同约定履约，则没收其全部履约保证金，履约保证金不足以赔偿损失的，按实际损失赔偿。</w:t>
      </w:r>
    </w:p>
    <w:p w14:paraId="22607FF8">
      <w:pPr>
        <w:pStyle w:val="3"/>
        <w:numPr>
          <w:ilvl w:val="0"/>
          <w:numId w:val="0"/>
        </w:numPr>
        <w:ind w:left="425"/>
        <w:jc w:val="center"/>
        <w:rPr>
          <w:rFonts w:hint="eastAsia" w:ascii="宋体" w:hAnsi="宋体" w:eastAsia="宋体" w:cs="宋体"/>
          <w:color w:val="auto"/>
          <w:sz w:val="30"/>
          <w:szCs w:val="30"/>
          <w:highlight w:val="none"/>
        </w:rPr>
      </w:pPr>
      <w:bookmarkStart w:id="71" w:name="_Toc12943"/>
      <w:bookmarkStart w:id="72" w:name="_Toc37325490"/>
      <w:bookmarkStart w:id="73" w:name="_Toc27063"/>
      <w:bookmarkStart w:id="74" w:name="_Toc8232"/>
      <w:r>
        <w:rPr>
          <w:rFonts w:hint="eastAsia" w:ascii="宋体" w:hAnsi="宋体" w:eastAsia="宋体" w:cs="宋体"/>
          <w:color w:val="auto"/>
          <w:sz w:val="30"/>
          <w:szCs w:val="30"/>
          <w:highlight w:val="none"/>
        </w:rPr>
        <w:t>七、其他事项</w:t>
      </w:r>
      <w:bookmarkEnd w:id="71"/>
      <w:bookmarkEnd w:id="72"/>
      <w:bookmarkEnd w:id="73"/>
      <w:bookmarkEnd w:id="74"/>
    </w:p>
    <w:p w14:paraId="5F53EE90">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33.采购代理服务费</w:t>
      </w:r>
    </w:p>
    <w:p w14:paraId="22EAFFC2">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33.1采购代理机构按</w:t>
      </w:r>
      <w:r>
        <w:rPr>
          <w:rFonts w:hint="eastAsia" w:ascii="宋体" w:hAnsi="宋体" w:eastAsia="宋体" w:cs="宋体"/>
          <w:color w:val="auto"/>
          <w:sz w:val="24"/>
          <w:szCs w:val="24"/>
          <w:highlight w:val="none"/>
          <w:lang w:val="en-US" w:eastAsia="zh-CN"/>
        </w:rPr>
        <w:t>固定收费标准</w:t>
      </w:r>
      <w:r>
        <w:rPr>
          <w:rFonts w:hint="eastAsia" w:ascii="宋体" w:hAnsi="宋体" w:eastAsia="宋体" w:cs="宋体"/>
          <w:color w:val="auto"/>
          <w:sz w:val="24"/>
          <w:szCs w:val="24"/>
          <w:highlight w:val="none"/>
        </w:rPr>
        <w:t>向中标人收取招标代理服务费</w:t>
      </w:r>
      <w:r>
        <w:rPr>
          <w:rFonts w:hint="eastAsia" w:ascii="宋体" w:hAnsi="宋体" w:eastAsia="宋体" w:cs="宋体"/>
          <w:color w:val="auto"/>
          <w:sz w:val="24"/>
          <w:szCs w:val="24"/>
          <w:highlight w:val="none"/>
          <w:lang w:eastAsia="zh-CN"/>
        </w:rPr>
        <w:t>。</w:t>
      </w:r>
    </w:p>
    <w:p w14:paraId="6B6F4ACB">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33.2中标人应在接受“中标通知书”前向采购代理机构一次付清代理服务费，若因中标人原因未向代理机构缴纳中标服务费的，代理机构有权向当地人民法院提起诉讼。</w:t>
      </w:r>
    </w:p>
    <w:p w14:paraId="5033E2E5">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34.招标文件编制依据</w:t>
      </w:r>
    </w:p>
    <w:p w14:paraId="56487103">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34.1本招标文件根据《中华人民共和国政府采购法》及相关法律法规编制。</w:t>
      </w:r>
    </w:p>
    <w:p w14:paraId="4854DBE4">
      <w:pPr>
        <w:pStyle w:val="1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w:t>
      </w:r>
      <w:r>
        <w:rPr>
          <w:rFonts w:hint="eastAsia" w:ascii="宋体" w:hAnsi="宋体" w:eastAsia="宋体" w:cs="宋体"/>
          <w:b/>
          <w:color w:val="auto"/>
          <w:sz w:val="24"/>
          <w:szCs w:val="24"/>
          <w:highlight w:val="none"/>
        </w:rPr>
        <w:t>需要补充的其他内容</w:t>
      </w:r>
    </w:p>
    <w:p w14:paraId="3A4C30F6">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r>
        <w:rPr>
          <w:rFonts w:hint="eastAsia" w:ascii="宋体" w:hAnsi="宋体" w:eastAsia="宋体" w:cs="宋体"/>
          <w:b/>
          <w:color w:val="auto"/>
          <w:sz w:val="24"/>
          <w:szCs w:val="24"/>
          <w:highlight w:val="none"/>
        </w:rPr>
        <w:t>投标人须知前附表</w:t>
      </w:r>
      <w:r>
        <w:rPr>
          <w:rFonts w:hint="eastAsia" w:ascii="宋体" w:hAnsi="宋体" w:eastAsia="宋体" w:cs="宋体"/>
          <w:color w:val="auto"/>
          <w:sz w:val="24"/>
          <w:szCs w:val="24"/>
          <w:highlight w:val="none"/>
        </w:rPr>
        <w:t>”中若规定可以接受备选方案的，投标人在投标文件中只能提供一个备选方案，并注明主选方案，且备选方案的投标价格不得高于主选方案。凡提供两个以上备选方案或未注明主选方案的，该投标将被视为未实质性响应招标文件要求</w:t>
      </w:r>
    </w:p>
    <w:p w14:paraId="628FD2D8">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评标委员会在对有备选方案的投标人进行评审时，应当以主选方案为准进行评审，如考虑备选方案的，备选方案必须实质性响应招标文件要求。</w:t>
      </w:r>
    </w:p>
    <w:p w14:paraId="54C44F25">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需要补充的其他内容：见“</w:t>
      </w:r>
      <w:r>
        <w:rPr>
          <w:rFonts w:hint="eastAsia" w:ascii="宋体" w:hAnsi="宋体" w:eastAsia="宋体" w:cs="宋体"/>
          <w:b/>
          <w:color w:val="auto"/>
          <w:sz w:val="24"/>
          <w:szCs w:val="24"/>
          <w:highlight w:val="none"/>
        </w:rPr>
        <w:t>投标人须知前附表</w:t>
      </w:r>
      <w:r>
        <w:rPr>
          <w:rFonts w:hint="eastAsia" w:ascii="宋体" w:hAnsi="宋体" w:eastAsia="宋体" w:cs="宋体"/>
          <w:color w:val="auto"/>
          <w:sz w:val="24"/>
          <w:szCs w:val="24"/>
          <w:highlight w:val="none"/>
        </w:rPr>
        <w:t>”。</w:t>
      </w:r>
    </w:p>
    <w:p w14:paraId="7228ADDB">
      <w:pPr>
        <w:pStyle w:val="18"/>
        <w:spacing w:line="360" w:lineRule="auto"/>
        <w:rPr>
          <w:rFonts w:hint="eastAsia" w:ascii="宋体" w:hAnsi="宋体" w:eastAsia="宋体" w:cs="宋体"/>
          <w:color w:val="auto"/>
          <w:sz w:val="24"/>
          <w:szCs w:val="24"/>
          <w:highlight w:val="none"/>
        </w:rPr>
      </w:pPr>
    </w:p>
    <w:p w14:paraId="184373D3">
      <w:pPr>
        <w:pStyle w:val="2"/>
        <w:numPr>
          <w:ilvl w:val="0"/>
          <w:numId w:val="0"/>
        </w:numPr>
        <w:jc w:val="center"/>
        <w:rPr>
          <w:rFonts w:hint="eastAsia" w:ascii="宋体" w:hAnsi="宋体" w:eastAsia="宋体" w:cs="宋体"/>
          <w:b w:val="0"/>
          <w:bCs/>
          <w:color w:val="auto"/>
          <w:highlight w:val="none"/>
        </w:rPr>
      </w:pPr>
      <w:bookmarkStart w:id="75" w:name="_Toc13844"/>
      <w:bookmarkStart w:id="76" w:name="_Toc9996"/>
      <w:bookmarkStart w:id="77" w:name="_Toc213141090"/>
      <w:r>
        <w:rPr>
          <w:rFonts w:hint="eastAsia" w:ascii="宋体" w:hAnsi="宋体" w:eastAsia="宋体" w:cs="宋体"/>
          <w:color w:val="auto"/>
          <w:sz w:val="36"/>
          <w:highlight w:val="none"/>
        </w:rPr>
        <w:br w:type="page"/>
      </w:r>
      <w:bookmarkStart w:id="78" w:name="_Toc4802"/>
      <w:r>
        <w:rPr>
          <w:rFonts w:hint="eastAsia" w:ascii="宋体" w:hAnsi="宋体" w:eastAsia="宋体" w:cs="宋体"/>
          <w:color w:val="auto"/>
          <w:sz w:val="36"/>
          <w:highlight w:val="none"/>
        </w:rPr>
        <w:t>第三章合同书样式及主要条款</w:t>
      </w:r>
      <w:bookmarkEnd w:id="75"/>
      <w:bookmarkEnd w:id="76"/>
      <w:bookmarkEnd w:id="77"/>
      <w:bookmarkEnd w:id="78"/>
    </w:p>
    <w:p w14:paraId="57AA2897">
      <w:pPr>
        <w:rPr>
          <w:rFonts w:hint="eastAsia" w:ascii="宋体" w:hAnsi="宋体" w:eastAsia="宋体" w:cs="宋体"/>
          <w:b/>
          <w:bCs/>
          <w:color w:val="auto"/>
          <w:highlight w:val="none"/>
        </w:rPr>
      </w:pPr>
      <w:bookmarkStart w:id="79" w:name="_Toc14191"/>
      <w:bookmarkStart w:id="80" w:name="_Toc20666"/>
    </w:p>
    <w:p w14:paraId="4A887D3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color w:val="auto"/>
          <w:sz w:val="30"/>
          <w:szCs w:val="30"/>
          <w:highlight w:val="none"/>
        </w:rPr>
        <w:t>本合同仅供参考，最终合同以甲乙双方协商确定为准</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但最终合同应以招标文件、中标人投标文件及中标通知书为依据签订，不得对采购标的、数量、价格、质量、履行期限、付款条件等实质性内容作不利于采购结果公正性的变更</w:t>
      </w:r>
      <w:r>
        <w:rPr>
          <w:rFonts w:hint="eastAsia" w:ascii="宋体" w:hAnsi="宋体" w:eastAsia="宋体" w:cs="宋体"/>
          <w:b/>
          <w:color w:val="auto"/>
          <w:sz w:val="30"/>
          <w:szCs w:val="30"/>
          <w:highlight w:val="none"/>
        </w:rPr>
        <w:t>）</w:t>
      </w:r>
    </w:p>
    <w:p w14:paraId="35CC681A">
      <w:pPr>
        <w:rPr>
          <w:rFonts w:hint="eastAsia" w:ascii="宋体" w:hAnsi="宋体" w:eastAsia="宋体" w:cs="宋体"/>
          <w:b/>
          <w:bCs/>
          <w:color w:val="auto"/>
          <w:highlight w:val="none"/>
        </w:rPr>
      </w:pPr>
    </w:p>
    <w:p w14:paraId="220BB591">
      <w:pPr>
        <w:pStyle w:val="14"/>
        <w:jc w:val="center"/>
        <w:rPr>
          <w:rFonts w:hint="eastAsia" w:ascii="宋体" w:hAnsi="宋体" w:eastAsia="宋体" w:cs="宋体"/>
          <w:b/>
          <w:bCs/>
          <w:color w:val="auto"/>
          <w:spacing w:val="-20"/>
          <w:kern w:val="44"/>
          <w:sz w:val="48"/>
          <w:szCs w:val="48"/>
          <w:highlight w:val="none"/>
          <w:lang w:eastAsia="zh-CN"/>
        </w:rPr>
      </w:pPr>
    </w:p>
    <w:p w14:paraId="50A29B9A">
      <w:pPr>
        <w:pStyle w:val="14"/>
        <w:jc w:val="center"/>
        <w:rPr>
          <w:rFonts w:hint="eastAsia" w:ascii="宋体" w:hAnsi="宋体" w:eastAsia="宋体" w:cs="宋体"/>
          <w:b/>
          <w:bCs/>
          <w:color w:val="auto"/>
          <w:spacing w:val="-20"/>
          <w:kern w:val="44"/>
          <w:sz w:val="48"/>
          <w:szCs w:val="48"/>
          <w:highlight w:val="none"/>
          <w:lang w:eastAsia="zh-CN"/>
        </w:rPr>
      </w:pPr>
    </w:p>
    <w:p w14:paraId="78B09AB6">
      <w:pPr>
        <w:pStyle w:val="8"/>
        <w:jc w:val="center"/>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15"/>
          <w:sz w:val="72"/>
          <w:szCs w:val="72"/>
          <w:highlight w:val="none"/>
          <w:shd w:val="clear" w:color="auto" w:fill="FFFFFF"/>
          <w:lang w:eastAsia="zh-CN"/>
        </w:rPr>
        <w:t>政府采购合同</w:t>
      </w:r>
    </w:p>
    <w:p w14:paraId="0E568CAC">
      <w:pPr>
        <w:pStyle w:val="8"/>
        <w:jc w:val="center"/>
        <w:rPr>
          <w:rFonts w:hint="eastAsia" w:ascii="宋体" w:hAnsi="宋体" w:eastAsia="宋体" w:cs="宋体"/>
          <w:color w:val="auto"/>
          <w:sz w:val="40"/>
          <w:szCs w:val="40"/>
          <w:highlight w:val="none"/>
          <w:lang w:eastAsia="zh-CN"/>
        </w:rPr>
      </w:pPr>
      <w:r>
        <w:rPr>
          <w:rFonts w:hint="eastAsia" w:ascii="宋体" w:hAnsi="宋体" w:eastAsia="宋体" w:cs="宋体"/>
          <w:color w:val="auto"/>
          <w:sz w:val="40"/>
          <w:szCs w:val="40"/>
          <w:highlight w:val="none"/>
          <w:shd w:val="clear" w:color="auto" w:fill="FFFFFF"/>
          <w:lang w:eastAsia="zh-CN"/>
        </w:rPr>
        <w:t>（电子交易项目适用）</w:t>
      </w:r>
    </w:p>
    <w:p w14:paraId="210F20D7">
      <w:pPr>
        <w:pStyle w:val="8"/>
        <w:rPr>
          <w:rFonts w:hint="eastAsia" w:ascii="宋体" w:hAnsi="宋体" w:eastAsia="宋体" w:cs="宋体"/>
          <w:color w:val="auto"/>
          <w:sz w:val="44"/>
          <w:szCs w:val="44"/>
          <w:highlight w:val="none"/>
          <w:lang w:eastAsia="zh-CN"/>
        </w:rPr>
      </w:pPr>
    </w:p>
    <w:tbl>
      <w:tblPr>
        <w:tblStyle w:val="26"/>
        <w:tblW w:w="0" w:type="auto"/>
        <w:tblInd w:w="0" w:type="dxa"/>
        <w:shd w:val="clear" w:color="auto" w:fill="FFFFFF"/>
        <w:tblLayout w:type="autofit"/>
        <w:tblCellMar>
          <w:top w:w="15" w:type="dxa"/>
          <w:left w:w="15" w:type="dxa"/>
          <w:bottom w:w="15" w:type="dxa"/>
          <w:right w:w="15" w:type="dxa"/>
        </w:tblCellMar>
      </w:tblPr>
      <w:tblGrid>
        <w:gridCol w:w="3885"/>
        <w:gridCol w:w="5598"/>
      </w:tblGrid>
      <w:tr w14:paraId="6C970FF7">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26C9AE2">
            <w:pPr>
              <w:pStyle w:val="8"/>
              <w:wordWrap w:val="0"/>
              <w:ind w:left="0" w:leftChars="0" w:right="0" w:rightChars="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 目 名 称：</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4B079C1D">
            <w:pPr>
              <w:pStyle w:val="8"/>
              <w:wordWrap w:val="0"/>
              <w:ind w:left="0" w:leftChars="0" w:right="0" w:rightChars="0"/>
              <w:rPr>
                <w:rFonts w:hint="eastAsia" w:ascii="宋体" w:hAnsi="宋体" w:eastAsia="宋体" w:cs="宋体"/>
                <w:color w:val="auto"/>
                <w:sz w:val="32"/>
                <w:szCs w:val="32"/>
                <w:highlight w:val="none"/>
                <w:lang w:eastAsia="zh-CN"/>
              </w:rPr>
            </w:pPr>
            <w:r>
              <w:rPr>
                <w:rStyle w:val="34"/>
                <w:rFonts w:hint="eastAsia" w:ascii="宋体" w:hAnsi="宋体" w:eastAsia="宋体" w:cs="宋体"/>
                <w:color w:val="auto"/>
                <w:sz w:val="32"/>
                <w:szCs w:val="32"/>
                <w:highlight w:val="none"/>
                <w:u w:val="single"/>
                <w:lang w:eastAsia="zh-CN"/>
              </w:rPr>
              <w:t xml:space="preserve">                </w:t>
            </w:r>
          </w:p>
        </w:tc>
      </w:tr>
      <w:tr w14:paraId="5F164A3D">
        <w:tblPrEx>
          <w:tblCellMar>
            <w:top w:w="15" w:type="dxa"/>
            <w:left w:w="15" w:type="dxa"/>
            <w:bottom w:w="15" w:type="dxa"/>
            <w:right w:w="15" w:type="dxa"/>
          </w:tblCellMar>
        </w:tblPrEx>
        <w:trPr>
          <w:trHeight w:val="495" w:hRule="atLeast"/>
        </w:trPr>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765A43F8">
            <w:pPr>
              <w:pStyle w:val="8"/>
              <w:ind w:left="0" w:leftChars="0" w:right="0" w:rightChars="0"/>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5FACA7BC">
            <w:pPr>
              <w:pStyle w:val="8"/>
              <w:ind w:left="0" w:leftChars="0" w:right="0" w:rightChars="0"/>
              <w:rPr>
                <w:rFonts w:hint="eastAsia" w:ascii="宋体" w:hAnsi="宋体" w:eastAsia="宋体" w:cs="宋体"/>
                <w:color w:val="auto"/>
                <w:sz w:val="32"/>
                <w:szCs w:val="32"/>
                <w:highlight w:val="none"/>
              </w:rPr>
            </w:pPr>
          </w:p>
        </w:tc>
      </w:tr>
      <w:tr w14:paraId="4A4A66EB">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712F42E0">
            <w:pPr>
              <w:pStyle w:val="8"/>
              <w:wordWrap w:val="0"/>
              <w:ind w:left="0" w:leftChars="0" w:right="0" w:rightChars="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合 同 编 号：</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7093AD57">
            <w:pPr>
              <w:pStyle w:val="8"/>
              <w:wordWrap w:val="0"/>
              <w:ind w:left="0" w:leftChars="0" w:right="0" w:rightChars="0"/>
              <w:rPr>
                <w:rFonts w:hint="eastAsia" w:ascii="宋体" w:hAnsi="宋体" w:eastAsia="宋体" w:cs="宋体"/>
                <w:color w:val="auto"/>
                <w:sz w:val="32"/>
                <w:szCs w:val="32"/>
                <w:highlight w:val="none"/>
              </w:rPr>
            </w:pPr>
            <w:r>
              <w:rPr>
                <w:rStyle w:val="34"/>
                <w:rFonts w:hint="eastAsia" w:ascii="宋体" w:hAnsi="宋体" w:eastAsia="宋体" w:cs="宋体"/>
                <w:color w:val="auto"/>
                <w:sz w:val="32"/>
                <w:szCs w:val="32"/>
                <w:highlight w:val="none"/>
                <w:u w:val="single"/>
                <w:shd w:val="clear" w:color="auto" w:fill="FFFFFF"/>
                <w:lang w:eastAsia="zh-CN"/>
              </w:rPr>
              <w:t xml:space="preserve">               </w:t>
            </w:r>
            <w:r>
              <w:rPr>
                <w:rFonts w:hint="eastAsia" w:ascii="宋体" w:hAnsi="宋体" w:eastAsia="宋体" w:cs="宋体"/>
                <w:color w:val="auto"/>
                <w:sz w:val="32"/>
                <w:szCs w:val="32"/>
                <w:highlight w:val="none"/>
              </w:rPr>
              <w:t>（系统编号）</w:t>
            </w:r>
          </w:p>
        </w:tc>
      </w:tr>
      <w:tr w14:paraId="512C9AAD">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5BA19209">
            <w:pPr>
              <w:pStyle w:val="8"/>
              <w:ind w:left="0" w:leftChars="0" w:right="0" w:rightChars="0"/>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4EAD761E">
            <w:pPr>
              <w:pStyle w:val="8"/>
              <w:ind w:left="0" w:leftChars="0" w:right="0" w:rightChars="0"/>
              <w:rPr>
                <w:rFonts w:hint="eastAsia" w:ascii="宋体" w:hAnsi="宋体" w:eastAsia="宋体" w:cs="宋体"/>
                <w:color w:val="auto"/>
                <w:sz w:val="32"/>
                <w:szCs w:val="32"/>
                <w:highlight w:val="none"/>
              </w:rPr>
            </w:pPr>
          </w:p>
        </w:tc>
      </w:tr>
      <w:tr w14:paraId="3AC6D28C">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4444E873">
            <w:pPr>
              <w:pStyle w:val="8"/>
              <w:ind w:left="0" w:leftChars="0" w:right="0" w:rightChars="0"/>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02FB3E5">
            <w:pPr>
              <w:pStyle w:val="8"/>
              <w:wordWrap w:val="0"/>
              <w:ind w:left="0" w:leftChars="0" w:right="0" w:right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（自编号，如有）</w:t>
            </w:r>
          </w:p>
        </w:tc>
      </w:tr>
      <w:tr w14:paraId="676C8130">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00FB252C">
            <w:pPr>
              <w:pStyle w:val="8"/>
              <w:ind w:left="0" w:leftChars="0" w:right="0" w:rightChars="0"/>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1D9BE6B">
            <w:pPr>
              <w:pStyle w:val="8"/>
              <w:ind w:left="0" w:leftChars="0" w:right="0" w:rightChars="0"/>
              <w:rPr>
                <w:rFonts w:hint="eastAsia" w:ascii="宋体" w:hAnsi="宋体" w:eastAsia="宋体" w:cs="宋体"/>
                <w:color w:val="auto"/>
                <w:sz w:val="32"/>
                <w:szCs w:val="32"/>
                <w:highlight w:val="none"/>
              </w:rPr>
            </w:pPr>
          </w:p>
        </w:tc>
      </w:tr>
      <w:tr w14:paraId="6F83FF35">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40653721">
            <w:pPr>
              <w:pStyle w:val="8"/>
              <w:wordWrap w:val="0"/>
              <w:ind w:left="0" w:leftChars="0" w:right="0" w:rightChars="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 xml:space="preserve">甲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方：</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658DC73">
            <w:pPr>
              <w:pStyle w:val="8"/>
              <w:wordWrap w:val="0"/>
              <w:ind w:left="0" w:leftChars="0" w:right="0" w:rightChars="0"/>
              <w:rPr>
                <w:rFonts w:hint="eastAsia" w:ascii="宋体" w:hAnsi="宋体" w:eastAsia="宋体" w:cs="宋体"/>
                <w:color w:val="auto"/>
                <w:sz w:val="32"/>
                <w:szCs w:val="32"/>
                <w:highlight w:val="none"/>
                <w:lang w:eastAsia="zh-CN"/>
              </w:rPr>
            </w:pPr>
            <w:r>
              <w:rPr>
                <w:rStyle w:val="34"/>
                <w:rFonts w:hint="eastAsia" w:ascii="宋体" w:hAnsi="宋体" w:eastAsia="宋体" w:cs="宋体"/>
                <w:color w:val="auto"/>
                <w:sz w:val="32"/>
                <w:szCs w:val="32"/>
                <w:highlight w:val="none"/>
                <w:u w:val="single"/>
                <w:shd w:val="clear" w:color="auto" w:fill="FFFFFF"/>
                <w:lang w:eastAsia="zh-CN"/>
              </w:rPr>
              <w:t xml:space="preserve">                   </w:t>
            </w:r>
          </w:p>
        </w:tc>
      </w:tr>
      <w:tr w14:paraId="76A3252F">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49E5CEB3">
            <w:pPr>
              <w:pStyle w:val="8"/>
              <w:ind w:left="0" w:leftChars="0" w:right="0" w:rightChars="0"/>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EC952EC">
            <w:pPr>
              <w:pStyle w:val="8"/>
              <w:ind w:left="0" w:leftChars="0" w:right="0" w:rightChars="0"/>
              <w:rPr>
                <w:rFonts w:hint="eastAsia" w:ascii="宋体" w:hAnsi="宋体" w:eastAsia="宋体" w:cs="宋体"/>
                <w:color w:val="auto"/>
                <w:sz w:val="32"/>
                <w:szCs w:val="32"/>
                <w:highlight w:val="none"/>
              </w:rPr>
            </w:pPr>
          </w:p>
        </w:tc>
      </w:tr>
      <w:tr w14:paraId="34975B6D">
        <w:tblPrEx>
          <w:shd w:val="clear" w:color="auto" w:fill="FFFFFF"/>
          <w:tblCellMar>
            <w:top w:w="15" w:type="dxa"/>
            <w:left w:w="15" w:type="dxa"/>
            <w:bottom w:w="15" w:type="dxa"/>
            <w:right w:w="15" w:type="dxa"/>
          </w:tblCellMar>
        </w:tblPrEx>
        <w:trPr>
          <w:trHeight w:val="855" w:hRule="atLeast"/>
        </w:trPr>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174FB33">
            <w:pPr>
              <w:pStyle w:val="8"/>
              <w:wordWrap w:val="0"/>
              <w:ind w:left="0" w:leftChars="0" w:right="0" w:rightChars="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 xml:space="preserve">乙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方：</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1AE1BAF">
            <w:pPr>
              <w:pStyle w:val="8"/>
              <w:wordWrap w:val="0"/>
              <w:ind w:left="0" w:leftChars="0" w:right="0" w:rightChars="0"/>
              <w:rPr>
                <w:rFonts w:hint="eastAsia" w:ascii="宋体" w:hAnsi="宋体" w:eastAsia="宋体" w:cs="宋体"/>
                <w:color w:val="auto"/>
                <w:sz w:val="32"/>
                <w:szCs w:val="32"/>
                <w:highlight w:val="none"/>
                <w:lang w:eastAsia="zh-CN"/>
              </w:rPr>
            </w:pPr>
            <w:r>
              <w:rPr>
                <w:rStyle w:val="34"/>
                <w:rFonts w:hint="eastAsia" w:ascii="宋体" w:hAnsi="宋体" w:eastAsia="宋体" w:cs="宋体"/>
                <w:color w:val="auto"/>
                <w:sz w:val="32"/>
                <w:szCs w:val="32"/>
                <w:highlight w:val="none"/>
                <w:u w:val="single"/>
                <w:shd w:val="clear" w:color="auto" w:fill="FFFFFF"/>
                <w:lang w:eastAsia="zh-CN"/>
              </w:rPr>
              <w:t xml:space="preserve">                   </w:t>
            </w:r>
          </w:p>
        </w:tc>
      </w:tr>
    </w:tbl>
    <w:p w14:paraId="5EE08057">
      <w:pPr>
        <w:spacing w:line="360" w:lineRule="auto"/>
        <w:ind w:left="420" w:leftChars="20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br w:type="page"/>
      </w:r>
    </w:p>
    <w:tbl>
      <w:tblPr>
        <w:tblStyle w:val="26"/>
        <w:tblW w:w="0" w:type="auto"/>
        <w:jc w:val="center"/>
        <w:tblCellSpacing w:w="0" w:type="dxa"/>
        <w:tblLayout w:type="fixed"/>
        <w:tblCellMar>
          <w:top w:w="0" w:type="dxa"/>
          <w:left w:w="0" w:type="dxa"/>
          <w:bottom w:w="0" w:type="dxa"/>
          <w:right w:w="0" w:type="dxa"/>
        </w:tblCellMar>
      </w:tblPr>
      <w:tblGrid>
        <w:gridCol w:w="1600"/>
        <w:gridCol w:w="7811"/>
      </w:tblGrid>
      <w:tr w14:paraId="1AEAD1A4">
        <w:tblPrEx>
          <w:tblCellMar>
            <w:top w:w="0" w:type="dxa"/>
            <w:left w:w="0" w:type="dxa"/>
            <w:bottom w:w="0" w:type="dxa"/>
            <w:right w:w="0" w:type="dxa"/>
          </w:tblCellMar>
        </w:tblPrEx>
        <w:trPr>
          <w:tblCellSpacing w:w="0" w:type="dxa"/>
          <w:jc w:val="center"/>
        </w:trPr>
        <w:tc>
          <w:tcPr>
            <w:tcW w:w="9411" w:type="dxa"/>
            <w:gridSpan w:val="2"/>
            <w:noWrap w:val="0"/>
            <w:vAlign w:val="center"/>
          </w:tcPr>
          <w:p w14:paraId="4E819E14">
            <w:pPr>
              <w:spacing w:after="2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甲方（采购人公章）名称：</w:t>
            </w:r>
            <w:r>
              <w:rPr>
                <w:rFonts w:hint="eastAsia" w:ascii="宋体" w:hAnsi="宋体" w:eastAsia="宋体" w:cs="宋体"/>
                <w:color w:val="auto"/>
                <w:sz w:val="24"/>
                <w:highlight w:val="none"/>
                <w:lang w:val="en-US" w:eastAsia="zh-CN"/>
              </w:rPr>
              <w:t>临沧市生态环境局</w:t>
            </w:r>
          </w:p>
        </w:tc>
      </w:tr>
      <w:tr w14:paraId="66754E9B">
        <w:tblPrEx>
          <w:tblCellMar>
            <w:top w:w="0" w:type="dxa"/>
            <w:left w:w="0" w:type="dxa"/>
            <w:bottom w:w="0" w:type="dxa"/>
            <w:right w:w="0" w:type="dxa"/>
          </w:tblCellMar>
        </w:tblPrEx>
        <w:trPr>
          <w:tblCellSpacing w:w="0" w:type="dxa"/>
          <w:jc w:val="center"/>
        </w:trPr>
        <w:tc>
          <w:tcPr>
            <w:tcW w:w="1600" w:type="dxa"/>
            <w:noWrap w:val="0"/>
            <w:vAlign w:val="center"/>
          </w:tcPr>
          <w:p w14:paraId="30775D7D">
            <w:pPr>
              <w:rPr>
                <w:rFonts w:hint="eastAsia" w:ascii="宋体" w:hAnsi="宋体" w:eastAsia="宋体" w:cs="宋体"/>
                <w:color w:val="auto"/>
                <w:sz w:val="24"/>
                <w:highlight w:val="none"/>
                <w:lang w:eastAsia="zh-CN"/>
              </w:rPr>
            </w:pPr>
          </w:p>
        </w:tc>
        <w:tc>
          <w:tcPr>
            <w:tcW w:w="7811" w:type="dxa"/>
            <w:noWrap w:val="0"/>
            <w:vAlign w:val="center"/>
          </w:tcPr>
          <w:p w14:paraId="42656E5F">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136DC93D">
        <w:tblPrEx>
          <w:tblCellMar>
            <w:top w:w="0" w:type="dxa"/>
            <w:left w:w="0" w:type="dxa"/>
            <w:bottom w:w="0" w:type="dxa"/>
            <w:right w:w="0" w:type="dxa"/>
          </w:tblCellMar>
        </w:tblPrEx>
        <w:trPr>
          <w:tblCellSpacing w:w="0" w:type="dxa"/>
          <w:jc w:val="center"/>
        </w:trPr>
        <w:tc>
          <w:tcPr>
            <w:tcW w:w="1600" w:type="dxa"/>
            <w:noWrap w:val="0"/>
            <w:vAlign w:val="center"/>
          </w:tcPr>
          <w:p w14:paraId="56A8BBC7">
            <w:pPr>
              <w:rPr>
                <w:rFonts w:hint="eastAsia" w:ascii="宋体" w:hAnsi="宋体" w:eastAsia="宋体" w:cs="宋体"/>
                <w:color w:val="auto"/>
                <w:sz w:val="24"/>
                <w:highlight w:val="none"/>
              </w:rPr>
            </w:pPr>
          </w:p>
        </w:tc>
        <w:tc>
          <w:tcPr>
            <w:tcW w:w="7811" w:type="dxa"/>
            <w:noWrap w:val="0"/>
            <w:vAlign w:val="center"/>
          </w:tcPr>
          <w:p w14:paraId="78788273">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17E46C29">
        <w:tblPrEx>
          <w:tblCellMar>
            <w:top w:w="0" w:type="dxa"/>
            <w:left w:w="0" w:type="dxa"/>
            <w:bottom w:w="0" w:type="dxa"/>
            <w:right w:w="0" w:type="dxa"/>
          </w:tblCellMar>
        </w:tblPrEx>
        <w:trPr>
          <w:tblCellSpacing w:w="0" w:type="dxa"/>
          <w:jc w:val="center"/>
        </w:trPr>
        <w:tc>
          <w:tcPr>
            <w:tcW w:w="1600" w:type="dxa"/>
            <w:noWrap w:val="0"/>
            <w:vAlign w:val="center"/>
          </w:tcPr>
          <w:p w14:paraId="20CBA529">
            <w:pPr>
              <w:rPr>
                <w:rFonts w:hint="eastAsia" w:ascii="宋体" w:hAnsi="宋体" w:eastAsia="宋体" w:cs="宋体"/>
                <w:color w:val="auto"/>
                <w:sz w:val="24"/>
                <w:highlight w:val="none"/>
              </w:rPr>
            </w:pPr>
          </w:p>
        </w:tc>
        <w:tc>
          <w:tcPr>
            <w:tcW w:w="7811" w:type="dxa"/>
            <w:noWrap w:val="0"/>
            <w:vAlign w:val="center"/>
          </w:tcPr>
          <w:p w14:paraId="7C3BD77A">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p>
        </w:tc>
      </w:tr>
      <w:tr w14:paraId="28D77389">
        <w:tblPrEx>
          <w:tblCellMar>
            <w:top w:w="0" w:type="dxa"/>
            <w:left w:w="0" w:type="dxa"/>
            <w:bottom w:w="0" w:type="dxa"/>
            <w:right w:w="0" w:type="dxa"/>
          </w:tblCellMar>
        </w:tblPrEx>
        <w:trPr>
          <w:tblCellSpacing w:w="0" w:type="dxa"/>
          <w:jc w:val="center"/>
        </w:trPr>
        <w:tc>
          <w:tcPr>
            <w:tcW w:w="1600" w:type="dxa"/>
            <w:noWrap w:val="0"/>
            <w:vAlign w:val="center"/>
          </w:tcPr>
          <w:p w14:paraId="58CCD4E1">
            <w:pPr>
              <w:rPr>
                <w:rFonts w:hint="eastAsia" w:ascii="宋体" w:hAnsi="宋体" w:eastAsia="宋体" w:cs="宋体"/>
                <w:color w:val="auto"/>
                <w:sz w:val="24"/>
                <w:highlight w:val="none"/>
              </w:rPr>
            </w:pPr>
          </w:p>
        </w:tc>
        <w:tc>
          <w:tcPr>
            <w:tcW w:w="7811" w:type="dxa"/>
            <w:noWrap w:val="0"/>
            <w:vAlign w:val="center"/>
          </w:tcPr>
          <w:p w14:paraId="51D2CA91">
            <w:pPr>
              <w:spacing w:after="2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项目（技术）负责人：</w:t>
            </w:r>
          </w:p>
        </w:tc>
      </w:tr>
      <w:tr w14:paraId="4BB4D02E">
        <w:tblPrEx>
          <w:tblCellMar>
            <w:top w:w="0" w:type="dxa"/>
            <w:left w:w="0" w:type="dxa"/>
            <w:bottom w:w="0" w:type="dxa"/>
            <w:right w:w="0" w:type="dxa"/>
          </w:tblCellMar>
        </w:tblPrEx>
        <w:trPr>
          <w:tblCellSpacing w:w="0" w:type="dxa"/>
          <w:jc w:val="center"/>
        </w:trPr>
        <w:tc>
          <w:tcPr>
            <w:tcW w:w="1600" w:type="dxa"/>
            <w:noWrap w:val="0"/>
            <w:vAlign w:val="center"/>
          </w:tcPr>
          <w:p w14:paraId="4B0343E5">
            <w:pPr>
              <w:rPr>
                <w:rFonts w:hint="eastAsia" w:ascii="宋体" w:hAnsi="宋体" w:eastAsia="宋体" w:cs="宋体"/>
                <w:color w:val="auto"/>
                <w:sz w:val="24"/>
                <w:highlight w:val="none"/>
                <w:lang w:eastAsia="zh-CN"/>
              </w:rPr>
            </w:pPr>
          </w:p>
        </w:tc>
        <w:tc>
          <w:tcPr>
            <w:tcW w:w="7811" w:type="dxa"/>
            <w:noWrap w:val="0"/>
            <w:vAlign w:val="center"/>
          </w:tcPr>
          <w:p w14:paraId="6DF3F554">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4D7DD129">
        <w:tblPrEx>
          <w:tblCellMar>
            <w:top w:w="0" w:type="dxa"/>
            <w:left w:w="0" w:type="dxa"/>
            <w:bottom w:w="0" w:type="dxa"/>
            <w:right w:w="0" w:type="dxa"/>
          </w:tblCellMar>
        </w:tblPrEx>
        <w:trPr>
          <w:tblCellSpacing w:w="0" w:type="dxa"/>
          <w:jc w:val="center"/>
        </w:trPr>
        <w:tc>
          <w:tcPr>
            <w:tcW w:w="1600" w:type="dxa"/>
            <w:noWrap w:val="0"/>
            <w:vAlign w:val="center"/>
          </w:tcPr>
          <w:p w14:paraId="364C247E">
            <w:pPr>
              <w:rPr>
                <w:rFonts w:hint="eastAsia" w:ascii="宋体" w:hAnsi="宋体" w:eastAsia="宋体" w:cs="宋体"/>
                <w:color w:val="auto"/>
                <w:sz w:val="24"/>
                <w:highlight w:val="none"/>
              </w:rPr>
            </w:pPr>
          </w:p>
        </w:tc>
        <w:tc>
          <w:tcPr>
            <w:tcW w:w="7811" w:type="dxa"/>
            <w:noWrap w:val="0"/>
            <w:vAlign w:val="center"/>
          </w:tcPr>
          <w:p w14:paraId="73D29A51">
            <w:pPr>
              <w:spacing w:after="2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签订日期：</w:t>
            </w:r>
          </w:p>
          <w:p w14:paraId="08DD5024">
            <w:pPr>
              <w:pStyle w:val="43"/>
              <w:rPr>
                <w:rFonts w:hint="eastAsia" w:ascii="宋体" w:hAnsi="宋体" w:eastAsia="宋体" w:cs="宋体"/>
                <w:color w:val="auto"/>
                <w:highlight w:val="none"/>
              </w:rPr>
            </w:pPr>
          </w:p>
        </w:tc>
      </w:tr>
      <w:tr w14:paraId="181236BD">
        <w:tblPrEx>
          <w:tblCellMar>
            <w:top w:w="0" w:type="dxa"/>
            <w:left w:w="0" w:type="dxa"/>
            <w:bottom w:w="0" w:type="dxa"/>
            <w:right w:w="0" w:type="dxa"/>
          </w:tblCellMar>
        </w:tblPrEx>
        <w:trPr>
          <w:tblCellSpacing w:w="0" w:type="dxa"/>
          <w:jc w:val="center"/>
        </w:trPr>
        <w:tc>
          <w:tcPr>
            <w:tcW w:w="9411" w:type="dxa"/>
            <w:gridSpan w:val="2"/>
            <w:noWrap w:val="0"/>
            <w:vAlign w:val="center"/>
          </w:tcPr>
          <w:p w14:paraId="2E70295F">
            <w:pPr>
              <w:spacing w:after="2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乙方（投标人公章）名称：</w:t>
            </w:r>
          </w:p>
        </w:tc>
      </w:tr>
      <w:tr w14:paraId="68194D48">
        <w:tblPrEx>
          <w:tblCellMar>
            <w:top w:w="0" w:type="dxa"/>
            <w:left w:w="0" w:type="dxa"/>
            <w:bottom w:w="0" w:type="dxa"/>
            <w:right w:w="0" w:type="dxa"/>
          </w:tblCellMar>
        </w:tblPrEx>
        <w:trPr>
          <w:tblCellSpacing w:w="0" w:type="dxa"/>
          <w:jc w:val="center"/>
        </w:trPr>
        <w:tc>
          <w:tcPr>
            <w:tcW w:w="1600" w:type="dxa"/>
            <w:noWrap w:val="0"/>
            <w:vAlign w:val="center"/>
          </w:tcPr>
          <w:p w14:paraId="29C54D9E">
            <w:pPr>
              <w:rPr>
                <w:rFonts w:hint="eastAsia" w:ascii="宋体" w:hAnsi="宋体" w:eastAsia="宋体" w:cs="宋体"/>
                <w:color w:val="auto"/>
                <w:sz w:val="24"/>
                <w:highlight w:val="none"/>
                <w:lang w:eastAsia="zh-CN"/>
              </w:rPr>
            </w:pPr>
          </w:p>
        </w:tc>
        <w:tc>
          <w:tcPr>
            <w:tcW w:w="7811" w:type="dxa"/>
            <w:noWrap w:val="0"/>
            <w:vAlign w:val="center"/>
          </w:tcPr>
          <w:p w14:paraId="15C3D7B4">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14:paraId="4E38BA9E">
        <w:tblPrEx>
          <w:tblCellMar>
            <w:top w:w="0" w:type="dxa"/>
            <w:left w:w="0" w:type="dxa"/>
            <w:bottom w:w="0" w:type="dxa"/>
            <w:right w:w="0" w:type="dxa"/>
          </w:tblCellMar>
        </w:tblPrEx>
        <w:trPr>
          <w:tblCellSpacing w:w="0" w:type="dxa"/>
          <w:jc w:val="center"/>
        </w:trPr>
        <w:tc>
          <w:tcPr>
            <w:tcW w:w="1600" w:type="dxa"/>
            <w:noWrap w:val="0"/>
            <w:vAlign w:val="center"/>
          </w:tcPr>
          <w:p w14:paraId="529E25A7">
            <w:pPr>
              <w:rPr>
                <w:rFonts w:hint="eastAsia" w:ascii="宋体" w:hAnsi="宋体" w:eastAsia="宋体" w:cs="宋体"/>
                <w:color w:val="auto"/>
                <w:sz w:val="24"/>
                <w:highlight w:val="none"/>
              </w:rPr>
            </w:pPr>
          </w:p>
        </w:tc>
        <w:tc>
          <w:tcPr>
            <w:tcW w:w="7811" w:type="dxa"/>
            <w:noWrap w:val="0"/>
            <w:vAlign w:val="center"/>
          </w:tcPr>
          <w:p w14:paraId="60F5AE24">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14:paraId="5585F4C2">
        <w:tblPrEx>
          <w:tblCellMar>
            <w:top w:w="0" w:type="dxa"/>
            <w:left w:w="0" w:type="dxa"/>
            <w:bottom w:w="0" w:type="dxa"/>
            <w:right w:w="0" w:type="dxa"/>
          </w:tblCellMar>
        </w:tblPrEx>
        <w:trPr>
          <w:tblCellSpacing w:w="0" w:type="dxa"/>
          <w:jc w:val="center"/>
        </w:trPr>
        <w:tc>
          <w:tcPr>
            <w:tcW w:w="1600" w:type="dxa"/>
            <w:noWrap w:val="0"/>
            <w:vAlign w:val="center"/>
          </w:tcPr>
          <w:p w14:paraId="32AF7C61">
            <w:pPr>
              <w:rPr>
                <w:rFonts w:hint="eastAsia" w:ascii="宋体" w:hAnsi="宋体" w:eastAsia="宋体" w:cs="宋体"/>
                <w:color w:val="auto"/>
                <w:sz w:val="24"/>
                <w:highlight w:val="none"/>
              </w:rPr>
            </w:pPr>
          </w:p>
        </w:tc>
        <w:tc>
          <w:tcPr>
            <w:tcW w:w="7811" w:type="dxa"/>
            <w:noWrap w:val="0"/>
            <w:vAlign w:val="center"/>
          </w:tcPr>
          <w:p w14:paraId="3AA71B46">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p>
        </w:tc>
      </w:tr>
      <w:tr w14:paraId="6936535A">
        <w:tblPrEx>
          <w:tblCellMar>
            <w:top w:w="0" w:type="dxa"/>
            <w:left w:w="0" w:type="dxa"/>
            <w:bottom w:w="0" w:type="dxa"/>
            <w:right w:w="0" w:type="dxa"/>
          </w:tblCellMar>
        </w:tblPrEx>
        <w:trPr>
          <w:tblCellSpacing w:w="0" w:type="dxa"/>
          <w:jc w:val="center"/>
        </w:trPr>
        <w:tc>
          <w:tcPr>
            <w:tcW w:w="1600" w:type="dxa"/>
            <w:noWrap w:val="0"/>
            <w:vAlign w:val="center"/>
          </w:tcPr>
          <w:p w14:paraId="75490955">
            <w:pPr>
              <w:rPr>
                <w:rFonts w:hint="eastAsia" w:ascii="宋体" w:hAnsi="宋体" w:eastAsia="宋体" w:cs="宋体"/>
                <w:color w:val="auto"/>
                <w:sz w:val="24"/>
                <w:highlight w:val="none"/>
              </w:rPr>
            </w:pPr>
          </w:p>
        </w:tc>
        <w:tc>
          <w:tcPr>
            <w:tcW w:w="7811" w:type="dxa"/>
            <w:noWrap w:val="0"/>
            <w:vAlign w:val="center"/>
          </w:tcPr>
          <w:p w14:paraId="2FF7F333">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经办人：</w:t>
            </w:r>
          </w:p>
        </w:tc>
      </w:tr>
      <w:tr w14:paraId="6308B9F7">
        <w:tblPrEx>
          <w:tblCellMar>
            <w:top w:w="0" w:type="dxa"/>
            <w:left w:w="0" w:type="dxa"/>
            <w:bottom w:w="0" w:type="dxa"/>
            <w:right w:w="0" w:type="dxa"/>
          </w:tblCellMar>
        </w:tblPrEx>
        <w:trPr>
          <w:tblCellSpacing w:w="0" w:type="dxa"/>
          <w:jc w:val="center"/>
        </w:trPr>
        <w:tc>
          <w:tcPr>
            <w:tcW w:w="1600" w:type="dxa"/>
            <w:noWrap w:val="0"/>
            <w:vAlign w:val="center"/>
          </w:tcPr>
          <w:p w14:paraId="2F75E3AE">
            <w:pPr>
              <w:rPr>
                <w:rFonts w:hint="eastAsia" w:ascii="宋体" w:hAnsi="宋体" w:eastAsia="宋体" w:cs="宋体"/>
                <w:color w:val="auto"/>
                <w:sz w:val="24"/>
                <w:highlight w:val="none"/>
              </w:rPr>
            </w:pPr>
          </w:p>
        </w:tc>
        <w:tc>
          <w:tcPr>
            <w:tcW w:w="7811" w:type="dxa"/>
            <w:noWrap w:val="0"/>
            <w:vAlign w:val="center"/>
          </w:tcPr>
          <w:p w14:paraId="638AE2EF">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5AC51B44">
        <w:tblPrEx>
          <w:tblCellMar>
            <w:top w:w="0" w:type="dxa"/>
            <w:left w:w="0" w:type="dxa"/>
            <w:bottom w:w="0" w:type="dxa"/>
            <w:right w:w="0" w:type="dxa"/>
          </w:tblCellMar>
        </w:tblPrEx>
        <w:trPr>
          <w:tblCellSpacing w:w="0" w:type="dxa"/>
          <w:jc w:val="center"/>
        </w:trPr>
        <w:tc>
          <w:tcPr>
            <w:tcW w:w="1600" w:type="dxa"/>
            <w:noWrap w:val="0"/>
            <w:vAlign w:val="center"/>
          </w:tcPr>
          <w:p w14:paraId="608AEA57">
            <w:pPr>
              <w:rPr>
                <w:rFonts w:hint="eastAsia" w:ascii="宋体" w:hAnsi="宋体" w:eastAsia="宋体" w:cs="宋体"/>
                <w:color w:val="auto"/>
                <w:sz w:val="24"/>
                <w:highlight w:val="none"/>
              </w:rPr>
            </w:pPr>
          </w:p>
        </w:tc>
        <w:tc>
          <w:tcPr>
            <w:tcW w:w="7811" w:type="dxa"/>
            <w:noWrap w:val="0"/>
            <w:vAlign w:val="center"/>
          </w:tcPr>
          <w:p w14:paraId="157F93DA">
            <w:pPr>
              <w:spacing w:after="240"/>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p>
        </w:tc>
      </w:tr>
    </w:tbl>
    <w:p w14:paraId="1EF29A67">
      <w:pPr>
        <w:widowControl/>
        <w:jc w:val="center"/>
        <w:rPr>
          <w:rFonts w:hint="eastAsia" w:ascii="宋体" w:hAnsi="宋体" w:eastAsia="宋体" w:cs="宋体"/>
          <w:b/>
          <w:snapToGrid w:val="0"/>
          <w:color w:val="auto"/>
          <w:kern w:val="21"/>
          <w:sz w:val="34"/>
          <w:szCs w:val="32"/>
          <w:highlight w:val="none"/>
        </w:rPr>
      </w:pPr>
      <w:r>
        <w:rPr>
          <w:rFonts w:hint="eastAsia" w:ascii="宋体" w:hAnsi="宋体" w:eastAsia="宋体" w:cs="宋体"/>
          <w:b/>
          <w:color w:val="auto"/>
          <w:highlight w:val="none"/>
        </w:rPr>
        <w:br w:type="page"/>
      </w:r>
      <w:r>
        <w:rPr>
          <w:rFonts w:hint="eastAsia" w:ascii="宋体" w:hAnsi="宋体" w:eastAsia="宋体" w:cs="宋体"/>
          <w:b/>
          <w:snapToGrid w:val="0"/>
          <w:color w:val="auto"/>
          <w:kern w:val="21"/>
          <w:sz w:val="34"/>
          <w:szCs w:val="32"/>
          <w:highlight w:val="none"/>
        </w:rPr>
        <w:t>合同书样式</w:t>
      </w:r>
      <w:r>
        <w:rPr>
          <w:rFonts w:hint="eastAsia" w:ascii="宋体" w:hAnsi="宋体" w:eastAsia="宋体" w:cs="宋体"/>
          <w:b/>
          <w:snapToGrid w:val="0"/>
          <w:color w:val="auto"/>
          <w:kern w:val="21"/>
          <w:sz w:val="22"/>
          <w:szCs w:val="21"/>
          <w:highlight w:val="none"/>
        </w:rPr>
        <w:t>（此合同仅供参考）</w:t>
      </w:r>
    </w:p>
    <w:p w14:paraId="261CE93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0" w:firstLineChars="0"/>
        <w:textAlignment w:val="baseline"/>
        <w:rPr>
          <w:rFonts w:hint="eastAsia" w:ascii="宋体" w:hAnsi="宋体" w:eastAsia="宋体" w:cs="宋体"/>
          <w:b/>
          <w:bCs/>
          <w:color w:val="auto"/>
          <w:spacing w:val="0"/>
          <w:sz w:val="21"/>
          <w:szCs w:val="21"/>
          <w:highlight w:val="none"/>
        </w:rPr>
      </w:pPr>
    </w:p>
    <w:p w14:paraId="1113F6C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0" w:firstLine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甲方：</w:t>
      </w:r>
      <w:r>
        <w:rPr>
          <w:rFonts w:hint="eastAsia" w:ascii="宋体" w:hAnsi="宋体" w:eastAsia="宋体" w:cs="宋体"/>
          <w:b/>
          <w:bCs/>
          <w:color w:val="auto"/>
          <w:spacing w:val="0"/>
          <w:sz w:val="21"/>
          <w:szCs w:val="21"/>
          <w:highlight w:val="none"/>
          <w:u w:val="single" w:color="auto"/>
          <w:lang w:val="en-US" w:eastAsia="zh-CN"/>
        </w:rPr>
        <w:t>临沧</w:t>
      </w:r>
      <w:r>
        <w:rPr>
          <w:rFonts w:hint="eastAsia" w:ascii="宋体" w:hAnsi="宋体" w:eastAsia="宋体" w:cs="宋体"/>
          <w:b/>
          <w:bCs/>
          <w:color w:val="auto"/>
          <w:spacing w:val="0"/>
          <w:sz w:val="21"/>
          <w:szCs w:val="21"/>
          <w:highlight w:val="none"/>
          <w:u w:val="single" w:color="auto"/>
        </w:rPr>
        <w:t>市生态环境局</w:t>
      </w:r>
      <w:r>
        <w:rPr>
          <w:rFonts w:hint="eastAsia" w:ascii="宋体" w:hAnsi="宋体" w:eastAsia="宋体" w:cs="宋体"/>
          <w:b/>
          <w:bCs/>
          <w:color w:val="auto"/>
          <w:spacing w:val="0"/>
          <w:sz w:val="21"/>
          <w:szCs w:val="21"/>
          <w:highlight w:val="none"/>
          <w:u w:val="single" w:color="auto"/>
          <w:lang w:eastAsia="zh-CN"/>
        </w:rPr>
        <w:t>（</w:t>
      </w:r>
      <w:r>
        <w:rPr>
          <w:rFonts w:hint="eastAsia" w:ascii="宋体" w:hAnsi="宋体" w:eastAsia="宋体" w:cs="宋体"/>
          <w:b/>
          <w:bCs/>
          <w:color w:val="auto"/>
          <w:spacing w:val="0"/>
          <w:sz w:val="21"/>
          <w:szCs w:val="21"/>
          <w:highlight w:val="none"/>
          <w:u w:val="single" w:color="auto"/>
        </w:rPr>
        <w:t>采购人</w:t>
      </w:r>
      <w:r>
        <w:rPr>
          <w:rFonts w:hint="eastAsia" w:ascii="宋体" w:hAnsi="宋体" w:eastAsia="宋体" w:cs="宋体"/>
          <w:b/>
          <w:bCs/>
          <w:color w:val="auto"/>
          <w:spacing w:val="0"/>
          <w:sz w:val="21"/>
          <w:szCs w:val="21"/>
          <w:highlight w:val="none"/>
          <w:u w:val="single" w:color="auto"/>
          <w:lang w:eastAsia="zh-CN"/>
        </w:rPr>
        <w:t>）</w:t>
      </w:r>
    </w:p>
    <w:p w14:paraId="6BC2CD2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right="0" w:firstLine="0" w:firstLineChars="0"/>
        <w:textAlignment w:val="baseline"/>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rPr>
        <w:t>乙方</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u w:val="single" w:color="auto"/>
          <w:lang w:val="en-US" w:eastAsia="zh-CN"/>
        </w:rPr>
        <w:t>（中标人）</w:t>
      </w:r>
    </w:p>
    <w:p w14:paraId="4F59E09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0" w:firstLineChars="0"/>
        <w:textAlignment w:val="baseline"/>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（如为联合体中标，采用以下格式）</w:t>
      </w:r>
    </w:p>
    <w:p w14:paraId="0403A19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0" w:firstLineChars="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b/>
          <w:bCs/>
          <w:color w:val="auto"/>
          <w:spacing w:val="0"/>
          <w:sz w:val="21"/>
          <w:szCs w:val="21"/>
          <w:highlight w:val="none"/>
          <w:lang w:val="en-US" w:eastAsia="zh-CN"/>
        </w:rPr>
        <w:t>乙方</w:t>
      </w:r>
      <w:r>
        <w:rPr>
          <w:rFonts w:hint="eastAsia" w:ascii="宋体" w:hAnsi="宋体" w:eastAsia="宋体" w:cs="宋体"/>
          <w:b/>
          <w:bCs/>
          <w:color w:val="auto"/>
          <w:spacing w:val="0"/>
          <w:sz w:val="21"/>
          <w:szCs w:val="21"/>
          <w:highlight w:val="none"/>
        </w:rPr>
        <w:t>1(联合体牵头</w:t>
      </w:r>
      <w:r>
        <w:rPr>
          <w:rFonts w:hint="eastAsia" w:ascii="宋体" w:hAnsi="宋体" w:cs="宋体"/>
          <w:b/>
          <w:bCs/>
          <w:color w:val="auto"/>
          <w:spacing w:val="0"/>
          <w:sz w:val="21"/>
          <w:szCs w:val="21"/>
          <w:highlight w:val="none"/>
          <w:lang w:val="en-US" w:eastAsia="zh-CN"/>
        </w:rPr>
        <w:t>方</w:t>
      </w:r>
      <w:r>
        <w:rPr>
          <w:rFonts w:hint="eastAsia" w:ascii="宋体" w:hAnsi="宋体" w:eastAsia="宋体" w:cs="宋体"/>
          <w:b/>
          <w:bCs/>
          <w:color w:val="auto"/>
          <w:spacing w:val="0"/>
          <w:sz w:val="21"/>
          <w:szCs w:val="21"/>
          <w:highlight w:val="none"/>
        </w:rPr>
        <w:t>):</w:t>
      </w:r>
    </w:p>
    <w:p w14:paraId="7147563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0" w:firstLineChars="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b/>
          <w:bCs/>
          <w:color w:val="auto"/>
          <w:spacing w:val="0"/>
          <w:sz w:val="21"/>
          <w:szCs w:val="21"/>
          <w:highlight w:val="none"/>
        </w:rPr>
        <w:t>乙方2(联合体成员):</w:t>
      </w:r>
    </w:p>
    <w:p w14:paraId="58CB181B">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0" w:firstLineChars="0"/>
        <w:jc w:val="both"/>
        <w:textAlignment w:val="baseline"/>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乙方</w:t>
      </w:r>
      <w:r>
        <w:rPr>
          <w:rFonts w:hint="eastAsia" w:ascii="宋体" w:hAnsi="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(联合体成员):</w:t>
      </w:r>
    </w:p>
    <w:p w14:paraId="23147039">
      <w:pPr>
        <w:rPr>
          <w:rFonts w:hint="eastAsia"/>
          <w:color w:val="auto"/>
          <w:highlight w:val="none"/>
        </w:rPr>
      </w:pPr>
    </w:p>
    <w:p w14:paraId="63080FD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color w:val="auto"/>
          <w:spacing w:val="0"/>
          <w:sz w:val="21"/>
          <w:szCs w:val="21"/>
          <w:highlight w:val="none"/>
        </w:rPr>
      </w:pPr>
      <w:bookmarkStart w:id="81" w:name="_Toc30058"/>
      <w:bookmarkStart w:id="82" w:name="_Toc18956"/>
      <w:r>
        <w:rPr>
          <w:rFonts w:hint="eastAsia" w:ascii="宋体" w:hAnsi="宋体" w:eastAsia="宋体" w:cs="宋体"/>
          <w:color w:val="auto"/>
          <w:spacing w:val="0"/>
          <w:sz w:val="21"/>
          <w:szCs w:val="21"/>
          <w:highlight w:val="none"/>
        </w:rPr>
        <w:t xml:space="preserve">根据《中华人民共和国政府采购法》、《中华人民共和国民法典》等有关法律法规规定， </w:t>
      </w:r>
      <w:r>
        <w:rPr>
          <w:rFonts w:hint="eastAsia" w:ascii="宋体" w:hAnsi="宋体" w:eastAsia="宋体" w:cs="宋体"/>
          <w:color w:val="auto"/>
          <w:spacing w:val="0"/>
          <w:sz w:val="21"/>
          <w:szCs w:val="21"/>
          <w:highlight w:val="none"/>
          <w:u w:val="single" w:color="auto"/>
          <w:lang w:eastAsia="zh-CN"/>
        </w:rPr>
        <w:t>临沧市生态环境局</w:t>
      </w:r>
      <w:r>
        <w:rPr>
          <w:rFonts w:hint="eastAsia" w:ascii="宋体" w:hAnsi="宋体" w:eastAsia="宋体" w:cs="宋体"/>
          <w:color w:val="auto"/>
          <w:spacing w:val="0"/>
          <w:sz w:val="21"/>
          <w:szCs w:val="21"/>
          <w:highlight w:val="none"/>
          <w:u w:val="single" w:color="auto"/>
        </w:rPr>
        <w:t>(</w:t>
      </w:r>
      <w:r>
        <w:rPr>
          <w:rFonts w:hint="eastAsia" w:ascii="宋体" w:hAnsi="宋体" w:eastAsia="宋体" w:cs="宋体"/>
          <w:color w:val="auto"/>
          <w:spacing w:val="0"/>
          <w:sz w:val="21"/>
          <w:szCs w:val="21"/>
          <w:highlight w:val="none"/>
        </w:rPr>
        <w:t>以下简称：“甲方”)通过公开招标确定</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u w:val="single" w:color="auto"/>
          <w:lang w:val="en-US" w:eastAsia="zh-CN"/>
        </w:rPr>
        <w:t xml:space="preserve">                </w:t>
      </w:r>
      <w:r>
        <w:rPr>
          <w:rFonts w:hint="eastAsia" w:ascii="宋体" w:hAnsi="宋体" w:eastAsia="宋体" w:cs="宋体"/>
          <w:color w:val="auto"/>
          <w:spacing w:val="0"/>
          <w:sz w:val="21"/>
          <w:szCs w:val="21"/>
          <w:highlight w:val="none"/>
          <w:u w:val="single" w:color="auto"/>
        </w:rPr>
        <w:t>(</w:t>
      </w:r>
      <w:r>
        <w:rPr>
          <w:rFonts w:hint="eastAsia" w:ascii="宋体" w:hAnsi="宋体" w:eastAsia="宋体" w:cs="宋体"/>
          <w:color w:val="auto"/>
          <w:spacing w:val="0"/>
          <w:sz w:val="21"/>
          <w:szCs w:val="21"/>
          <w:highlight w:val="none"/>
        </w:rPr>
        <w:t>以下简称：“乙方” 为</w:t>
      </w:r>
      <w:r>
        <w:rPr>
          <w:rFonts w:hint="eastAsia" w:ascii="宋体" w:hAnsi="宋体" w:eastAsia="宋体" w:cs="宋体"/>
          <w:color w:val="auto"/>
          <w:spacing w:val="0"/>
          <w:sz w:val="21"/>
          <w:szCs w:val="21"/>
          <w:highlight w:val="none"/>
          <w:u w:val="single"/>
          <w:lang w:eastAsia="zh-CN"/>
        </w:rPr>
        <w:t>临沧市重点自然保护区生态安全风险监测预警能力建设项目</w:t>
      </w:r>
      <w:r>
        <w:rPr>
          <w:rFonts w:hint="eastAsia" w:ascii="宋体" w:hAnsi="宋体" w:eastAsia="宋体" w:cs="宋体"/>
          <w:color w:val="auto"/>
          <w:spacing w:val="0"/>
          <w:sz w:val="21"/>
          <w:szCs w:val="21"/>
          <w:highlight w:val="none"/>
          <w:u w:val="single" w:color="auto"/>
        </w:rPr>
        <w:t>(</w:t>
      </w:r>
      <w:r>
        <w:rPr>
          <w:rFonts w:hint="eastAsia" w:ascii="宋体" w:hAnsi="宋体" w:eastAsia="宋体" w:cs="宋体"/>
          <w:color w:val="auto"/>
          <w:spacing w:val="0"/>
          <w:sz w:val="21"/>
          <w:szCs w:val="21"/>
          <w:highlight w:val="none"/>
          <w:lang w:val="en-US" w:eastAsia="zh-CN"/>
        </w:rPr>
        <w:t>项目</w:t>
      </w:r>
      <w:r>
        <w:rPr>
          <w:rFonts w:hint="eastAsia" w:ascii="宋体" w:hAnsi="宋体" w:eastAsia="宋体" w:cs="宋体"/>
          <w:color w:val="auto"/>
          <w:spacing w:val="0"/>
          <w:sz w:val="21"/>
          <w:szCs w:val="21"/>
          <w:highlight w:val="none"/>
        </w:rPr>
        <w:t>编号：</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)的中标人。甲乙双方协商一致，签订本合同，同意按以下条款开展工作。</w:t>
      </w:r>
    </w:p>
    <w:p w14:paraId="743BAAA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一、合同金额</w:t>
      </w:r>
      <w:bookmarkEnd w:id="81"/>
      <w:bookmarkEnd w:id="82"/>
    </w:p>
    <w:p w14:paraId="61E0E9F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1.合同金额：</w:t>
      </w:r>
      <w:r>
        <w:rPr>
          <w:rFonts w:hint="eastAsia" w:ascii="宋体" w:hAnsi="宋体" w:eastAsia="宋体" w:cs="宋体"/>
          <w:color w:val="auto"/>
          <w:spacing w:val="0"/>
          <w:sz w:val="21"/>
          <w:szCs w:val="21"/>
          <w:highlight w:val="none"/>
          <w:lang w:val="en-US" w:eastAsia="zh-CN"/>
        </w:rPr>
        <w:t>大写：人民币</w:t>
      </w:r>
      <w:r>
        <w:rPr>
          <w:rFonts w:hint="eastAsia" w:ascii="宋体" w:hAnsi="宋体" w:eastAsia="宋体" w:cs="宋体"/>
          <w:color w:val="auto"/>
          <w:spacing w:val="0"/>
          <w:sz w:val="21"/>
          <w:szCs w:val="21"/>
          <w:highlight w:val="none"/>
          <w:u w:val="single" w:color="auto"/>
          <w:lang w:val="en-US" w:eastAsia="zh-CN"/>
        </w:rPr>
        <w:t xml:space="preserve">                     </w:t>
      </w:r>
      <w:r>
        <w:rPr>
          <w:rFonts w:hint="eastAsia" w:ascii="宋体" w:hAnsi="宋体" w:eastAsia="宋体" w:cs="宋体"/>
          <w:color w:val="auto"/>
          <w:spacing w:val="0"/>
          <w:sz w:val="21"/>
          <w:szCs w:val="21"/>
          <w:highlight w:val="none"/>
        </w:rPr>
        <w:t xml:space="preserve"> ( </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color="auto"/>
          <w:lang w:val="en-US" w:eastAsia="zh-CN"/>
        </w:rPr>
        <w:t xml:space="preserve">             </w:t>
      </w:r>
      <w:r>
        <w:rPr>
          <w:rFonts w:hint="eastAsia" w:ascii="宋体" w:hAnsi="宋体" w:eastAsia="宋体" w:cs="宋体"/>
          <w:color w:val="auto"/>
          <w:spacing w:val="0"/>
          <w:sz w:val="21"/>
          <w:szCs w:val="21"/>
          <w:highlight w:val="none"/>
        </w:rPr>
        <w:t>元 )</w:t>
      </w:r>
    </w:p>
    <w:p w14:paraId="2A6E055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val="en-US" w:eastAsia="zh-CN"/>
        </w:rPr>
        <w:t>甲方向乙方支付款项。如为联合体，</w:t>
      </w:r>
      <w:r>
        <w:rPr>
          <w:rFonts w:hint="eastAsia" w:ascii="宋体" w:hAnsi="宋体" w:eastAsia="宋体" w:cs="宋体"/>
          <w:color w:val="auto"/>
          <w:spacing w:val="0"/>
          <w:sz w:val="21"/>
          <w:szCs w:val="21"/>
          <w:highlight w:val="none"/>
        </w:rPr>
        <w:t>甲方仅向乙方联合体牵头方支付款项，甲方不向乙方其他成员付款，其他联合体成员不能要求甲方另行支付，乙方各联合体之间自行分配款项，若有纠纷，与甲方无关</w:t>
      </w:r>
      <w:r>
        <w:rPr>
          <w:rFonts w:hint="eastAsia" w:ascii="宋体" w:hAnsi="宋体" w:eastAsia="宋体" w:cs="宋体"/>
          <w:color w:val="auto"/>
          <w:spacing w:val="0"/>
          <w:sz w:val="21"/>
          <w:szCs w:val="21"/>
          <w:highlight w:val="none"/>
          <w:lang w:eastAsia="zh-CN"/>
        </w:rPr>
        <w:t>。</w:t>
      </w:r>
    </w:p>
    <w:p w14:paraId="34A637B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3.每笔款项的支付，必须坚持先开发票后付款的原则，否则甲方有权拒绝支付任何款项。</w:t>
      </w:r>
    </w:p>
    <w:p w14:paraId="227EDFA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83" w:name="_Toc154"/>
      <w:bookmarkStart w:id="84" w:name="_Toc7147"/>
      <w:r>
        <w:rPr>
          <w:rFonts w:hint="eastAsia" w:ascii="宋体" w:hAnsi="宋体" w:eastAsia="宋体" w:cs="宋体"/>
          <w:b/>
          <w:bCs/>
          <w:color w:val="auto"/>
          <w:spacing w:val="0"/>
          <w:sz w:val="21"/>
          <w:szCs w:val="21"/>
          <w:highlight w:val="none"/>
        </w:rPr>
        <w:t>二、</w:t>
      </w:r>
      <w:bookmarkEnd w:id="83"/>
      <w:bookmarkEnd w:id="84"/>
      <w:r>
        <w:rPr>
          <w:rFonts w:hint="eastAsia" w:ascii="宋体" w:hAnsi="宋体" w:eastAsia="宋体" w:cs="宋体"/>
          <w:b/>
          <w:bCs/>
          <w:color w:val="auto"/>
          <w:spacing w:val="0"/>
          <w:sz w:val="21"/>
          <w:szCs w:val="21"/>
          <w:highlight w:val="none"/>
        </w:rPr>
        <w:t>采购标的及内容</w:t>
      </w:r>
    </w:p>
    <w:p w14:paraId="71F8B8B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一）本合同标的为临沧市重点自然保护区生态安全风险监测预警能力建设项目全部内容，乙方负责按合同约定完成卫星遥感监测服务、生态安全风险监测设备配备（含采购、运输、安装、调试）、监测预警平台研发、设备运维服务等全部工作，并交付符合要求的成果及提供相关服务，具体内容如下：</w:t>
      </w:r>
    </w:p>
    <w:p w14:paraId="4BB06DF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卫星遥感监测服务：覆盖云南南滚河国家级自然保护区（耿马片区+沧源片区）≥500平方公里/次，完成生态格局变化、生态质量、生态系统服务功能、人为干扰活动、自然生态问题5项监测，输出规定格式的矢量文件、监测图、监测报告1份及配套数据集1套；</w:t>
      </w:r>
    </w:p>
    <w:p w14:paraId="62D380D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生态安全风险监测设备：共计123台</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套（含无人值守无人机场</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套、红外相机</w:t>
      </w:r>
      <w:r>
        <w:rPr>
          <w:rFonts w:hint="eastAsia" w:ascii="宋体" w:hAnsi="宋体" w:eastAsia="宋体" w:cs="宋体"/>
          <w:color w:val="auto"/>
          <w:spacing w:val="0"/>
          <w:sz w:val="21"/>
          <w:szCs w:val="21"/>
          <w:highlight w:val="none"/>
          <w:lang w:val="en-US" w:eastAsia="zh-CN"/>
        </w:rPr>
        <w:t>80</w:t>
      </w:r>
      <w:r>
        <w:rPr>
          <w:rFonts w:hint="eastAsia" w:ascii="宋体" w:hAnsi="宋体" w:eastAsia="宋体" w:cs="宋体"/>
          <w:color w:val="auto"/>
          <w:spacing w:val="0"/>
          <w:sz w:val="21"/>
          <w:szCs w:val="21"/>
          <w:highlight w:val="none"/>
        </w:rPr>
        <w:t>台、声纹监测仪</w:t>
      </w:r>
      <w:r>
        <w:rPr>
          <w:rFonts w:hint="eastAsia" w:ascii="宋体" w:hAnsi="宋体" w:eastAsia="宋体" w:cs="宋体"/>
          <w:color w:val="auto"/>
          <w:spacing w:val="0"/>
          <w:sz w:val="21"/>
          <w:szCs w:val="21"/>
          <w:highlight w:val="none"/>
          <w:lang w:val="en-US" w:eastAsia="zh-CN"/>
        </w:rPr>
        <w:t>12</w:t>
      </w:r>
      <w:r>
        <w:rPr>
          <w:rFonts w:hint="eastAsia" w:ascii="宋体" w:hAnsi="宋体" w:eastAsia="宋体" w:cs="宋体"/>
          <w:color w:val="auto"/>
          <w:spacing w:val="0"/>
          <w:sz w:val="21"/>
          <w:szCs w:val="21"/>
          <w:highlight w:val="none"/>
        </w:rPr>
        <w:t>台、雷达相机</w:t>
      </w:r>
      <w:r>
        <w:rPr>
          <w:rFonts w:hint="eastAsia" w:ascii="宋体" w:hAnsi="宋体" w:eastAsia="宋体" w:cs="宋体"/>
          <w:color w:val="auto"/>
          <w:spacing w:val="0"/>
          <w:sz w:val="21"/>
          <w:szCs w:val="21"/>
          <w:highlight w:val="none"/>
          <w:lang w:val="en-US" w:eastAsia="zh-CN"/>
        </w:rPr>
        <w:t>16</w:t>
      </w:r>
      <w:r>
        <w:rPr>
          <w:rFonts w:hint="eastAsia" w:ascii="宋体" w:hAnsi="宋体" w:eastAsia="宋体" w:cs="宋体"/>
          <w:color w:val="auto"/>
          <w:spacing w:val="0"/>
          <w:sz w:val="21"/>
          <w:szCs w:val="21"/>
          <w:highlight w:val="none"/>
        </w:rPr>
        <w:t>台、鸟类视频监控设备</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套、生态环境因子传感器</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套、物候监测仪</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套、土壤监测仪</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套、生态流量监测设备</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套、远程数据采集与传输设备</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套），技术参数符合</w:t>
      </w:r>
      <w:r>
        <w:rPr>
          <w:rFonts w:hint="eastAsia" w:ascii="宋体" w:hAnsi="宋体" w:eastAsia="宋体" w:cs="宋体"/>
          <w:color w:val="auto"/>
          <w:spacing w:val="0"/>
          <w:sz w:val="21"/>
          <w:szCs w:val="21"/>
          <w:highlight w:val="none"/>
          <w:lang w:val="en-US" w:eastAsia="zh-CN"/>
        </w:rPr>
        <w:t>招标文件中规定的技术参数</w:t>
      </w:r>
      <w:r>
        <w:rPr>
          <w:rFonts w:hint="eastAsia" w:ascii="宋体" w:hAnsi="宋体" w:eastAsia="宋体" w:cs="宋体"/>
          <w:color w:val="auto"/>
          <w:spacing w:val="0"/>
          <w:sz w:val="21"/>
          <w:szCs w:val="21"/>
          <w:highlight w:val="none"/>
        </w:rPr>
        <w:t>；</w:t>
      </w:r>
    </w:p>
    <w:p w14:paraId="0E96254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监测预警平台研发：开发含生态系统管理、无人机管理、环境要素管理、生物多样性管理、人为干扰活动管理、火情识别预警6大功能模块及生态安全风险监测预警信息平台“一张图”可视化模块的生态安全风险监测预警信息平台1套，实现多源数据接入、智能分析、风险预警等功能；</w:t>
      </w:r>
    </w:p>
    <w:p w14:paraId="5A7B325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设备运维服务：包含</w:t>
      </w:r>
      <w:r>
        <w:rPr>
          <w:rFonts w:hint="eastAsia" w:ascii="宋体" w:hAnsi="宋体" w:cs="宋体"/>
          <w:color w:val="auto"/>
          <w:spacing w:val="0"/>
          <w:sz w:val="21"/>
          <w:szCs w:val="21"/>
          <w:highlight w:val="none"/>
          <w:lang w:val="en-US" w:eastAsia="zh-CN"/>
        </w:rPr>
        <w:t>合同履行</w:t>
      </w:r>
      <w:r>
        <w:rPr>
          <w:rFonts w:hint="eastAsia" w:ascii="宋体" w:hAnsi="宋体" w:eastAsia="宋体" w:cs="宋体"/>
          <w:color w:val="auto"/>
          <w:spacing w:val="0"/>
          <w:sz w:val="21"/>
          <w:szCs w:val="21"/>
          <w:highlight w:val="none"/>
        </w:rPr>
        <w:t>期内所有设备安装与维护，</w:t>
      </w:r>
      <w:r>
        <w:rPr>
          <w:rFonts w:hint="eastAsia" w:ascii="宋体" w:hAnsi="宋体" w:cs="宋体"/>
          <w:color w:val="auto"/>
          <w:spacing w:val="0"/>
          <w:sz w:val="21"/>
          <w:szCs w:val="21"/>
          <w:highlight w:val="none"/>
          <w:lang w:val="en-US" w:eastAsia="zh-CN"/>
        </w:rPr>
        <w:t>通讯</w:t>
      </w:r>
      <w:r>
        <w:rPr>
          <w:rFonts w:hint="eastAsia" w:ascii="宋体" w:hAnsi="宋体" w:cs="宋体"/>
          <w:color w:val="auto"/>
          <w:sz w:val="21"/>
          <w:szCs w:val="21"/>
          <w:highlight w:val="none"/>
          <w:lang w:eastAsia="zh-CN"/>
        </w:rPr>
        <w:t>网络服务</w:t>
      </w:r>
      <w:r>
        <w:rPr>
          <w:rFonts w:hint="eastAsia" w:ascii="宋体" w:hAnsi="宋体" w:eastAsia="宋体" w:cs="宋体"/>
          <w:color w:val="auto"/>
          <w:spacing w:val="0"/>
          <w:sz w:val="21"/>
          <w:szCs w:val="21"/>
          <w:highlight w:val="none"/>
        </w:rPr>
        <w:t>及长期数据保障服务（含耗材更换、设备巡检、故障维修、</w:t>
      </w:r>
      <w:r>
        <w:rPr>
          <w:rFonts w:hint="eastAsia" w:ascii="宋体" w:hAnsi="宋体" w:cs="宋体"/>
          <w:color w:val="auto"/>
          <w:spacing w:val="0"/>
          <w:sz w:val="21"/>
          <w:szCs w:val="21"/>
          <w:highlight w:val="none"/>
          <w:lang w:eastAsia="zh-CN"/>
        </w:rPr>
        <w:t>设备监测点位调整、</w:t>
      </w:r>
      <w:r>
        <w:rPr>
          <w:rFonts w:hint="eastAsia" w:ascii="宋体" w:hAnsi="宋体" w:eastAsia="宋体" w:cs="宋体"/>
          <w:color w:val="auto"/>
          <w:spacing w:val="0"/>
          <w:sz w:val="21"/>
          <w:szCs w:val="21"/>
          <w:highlight w:val="none"/>
        </w:rPr>
        <w:t>人工补充调查等）。</w:t>
      </w:r>
    </w:p>
    <w:tbl>
      <w:tblPr>
        <w:tblStyle w:val="26"/>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8"/>
        <w:gridCol w:w="1786"/>
        <w:gridCol w:w="946"/>
        <w:gridCol w:w="946"/>
        <w:gridCol w:w="1307"/>
        <w:gridCol w:w="942"/>
        <w:gridCol w:w="516"/>
        <w:gridCol w:w="1043"/>
        <w:gridCol w:w="1701"/>
        <w:gridCol w:w="528"/>
      </w:tblGrid>
      <w:tr w14:paraId="2BD7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1" w:hRule="atLeast"/>
        </w:trPr>
        <w:tc>
          <w:tcPr>
            <w:tcW w:w="298" w:type="dxa"/>
            <w:noWrap w:val="0"/>
            <w:vAlign w:val="center"/>
          </w:tcPr>
          <w:p w14:paraId="25258CC6">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86" w:type="dxa"/>
            <w:noWrap w:val="0"/>
            <w:vAlign w:val="center"/>
          </w:tcPr>
          <w:p w14:paraId="2C4481EE">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946" w:type="dxa"/>
            <w:noWrap w:val="0"/>
            <w:vAlign w:val="center"/>
          </w:tcPr>
          <w:p w14:paraId="263F225F">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制造商名称、国别</w:t>
            </w:r>
          </w:p>
        </w:tc>
        <w:tc>
          <w:tcPr>
            <w:tcW w:w="946" w:type="dxa"/>
            <w:noWrap w:val="0"/>
            <w:vAlign w:val="center"/>
          </w:tcPr>
          <w:p w14:paraId="37D5CCDA">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品牌型号和规格</w:t>
            </w:r>
          </w:p>
        </w:tc>
        <w:tc>
          <w:tcPr>
            <w:tcW w:w="1307" w:type="dxa"/>
            <w:noWrap w:val="0"/>
            <w:vAlign w:val="center"/>
          </w:tcPr>
          <w:p w14:paraId="32048277">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是否小型或微型企业、残疾人福利性单位或监狱企业</w:t>
            </w:r>
          </w:p>
        </w:tc>
        <w:tc>
          <w:tcPr>
            <w:tcW w:w="942" w:type="dxa"/>
            <w:noWrap w:val="0"/>
            <w:vAlign w:val="center"/>
          </w:tcPr>
          <w:p w14:paraId="5D776FB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516" w:type="dxa"/>
            <w:noWrap w:val="0"/>
            <w:vAlign w:val="center"/>
          </w:tcPr>
          <w:p w14:paraId="37A595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w:t>
            </w:r>
          </w:p>
        </w:tc>
        <w:tc>
          <w:tcPr>
            <w:tcW w:w="1043" w:type="dxa"/>
            <w:noWrap w:val="0"/>
            <w:vAlign w:val="center"/>
          </w:tcPr>
          <w:p w14:paraId="32C9D14D">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单价（元）（2）</w:t>
            </w:r>
          </w:p>
        </w:tc>
        <w:tc>
          <w:tcPr>
            <w:tcW w:w="1701" w:type="dxa"/>
            <w:noWrap w:val="0"/>
            <w:vAlign w:val="center"/>
          </w:tcPr>
          <w:p w14:paraId="6B76CA87">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p w14:paraId="1E9CDCDB">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528" w:type="dxa"/>
            <w:noWrap w:val="0"/>
            <w:vAlign w:val="center"/>
          </w:tcPr>
          <w:p w14:paraId="568FD6FA">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960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6809CB05">
            <w:pPr>
              <w:widowControl/>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一、遥感监测服务</w:t>
            </w:r>
            <w:r>
              <w:rPr>
                <w:rFonts w:hint="eastAsia" w:ascii="宋体" w:hAnsi="宋体" w:cs="宋体"/>
                <w:color w:val="auto"/>
                <w:sz w:val="21"/>
                <w:szCs w:val="21"/>
                <w:highlight w:val="none"/>
                <w:lang w:val="en-US" w:eastAsia="zh-CN"/>
              </w:rPr>
              <w:t>（合同履行期内</w:t>
            </w:r>
            <w:r>
              <w:rPr>
                <w:rFonts w:hint="eastAsia" w:ascii="宋体" w:hAnsi="宋体" w:cs="宋体"/>
                <w:color w:val="auto"/>
                <w:sz w:val="21"/>
                <w:szCs w:val="21"/>
                <w:highlight w:val="none"/>
                <w:lang w:val="en-US" w:eastAsia="zh-CN"/>
              </w:rPr>
              <w:t>连续开展三年，每年开展1次，按要求提交成果资料</w:t>
            </w:r>
            <w:r>
              <w:rPr>
                <w:rFonts w:hint="eastAsia" w:ascii="宋体" w:hAnsi="宋体" w:cs="宋体"/>
                <w:color w:val="auto"/>
                <w:sz w:val="21"/>
                <w:szCs w:val="21"/>
                <w:highlight w:val="none"/>
                <w:lang w:val="en-US" w:eastAsia="zh-CN"/>
              </w:rPr>
              <w:t>）</w:t>
            </w:r>
          </w:p>
        </w:tc>
      </w:tr>
      <w:tr w14:paraId="219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7FE2F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6199510D">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生态格局变化监测</w:t>
            </w:r>
          </w:p>
        </w:tc>
        <w:tc>
          <w:tcPr>
            <w:tcW w:w="946" w:type="dxa"/>
            <w:noWrap w:val="0"/>
            <w:vAlign w:val="center"/>
          </w:tcPr>
          <w:p w14:paraId="38AAD524">
            <w:pPr>
              <w:widowControl/>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035B7F8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2C2EA797">
            <w:pPr>
              <w:widowControl/>
              <w:rPr>
                <w:rFonts w:hint="eastAsia" w:ascii="宋体" w:hAnsi="宋体" w:eastAsia="宋体" w:cs="宋体"/>
                <w:color w:val="auto"/>
                <w:sz w:val="18"/>
                <w:szCs w:val="18"/>
                <w:highlight w:val="none"/>
              </w:rPr>
            </w:pPr>
          </w:p>
        </w:tc>
        <w:tc>
          <w:tcPr>
            <w:tcW w:w="942" w:type="dxa"/>
            <w:noWrap w:val="0"/>
            <w:vAlign w:val="center"/>
          </w:tcPr>
          <w:p w14:paraId="7B209F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687C7332">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4668798E">
            <w:pPr>
              <w:widowControl/>
              <w:rPr>
                <w:rFonts w:hint="eastAsia" w:ascii="宋体" w:hAnsi="宋体" w:eastAsia="宋体" w:cs="宋体"/>
                <w:color w:val="auto"/>
                <w:sz w:val="18"/>
                <w:szCs w:val="18"/>
                <w:highlight w:val="none"/>
              </w:rPr>
            </w:pPr>
          </w:p>
        </w:tc>
        <w:tc>
          <w:tcPr>
            <w:tcW w:w="1701" w:type="dxa"/>
            <w:noWrap w:val="0"/>
            <w:vAlign w:val="top"/>
          </w:tcPr>
          <w:p w14:paraId="6B85DAD4">
            <w:pPr>
              <w:widowControl/>
              <w:rPr>
                <w:rFonts w:hint="eastAsia" w:ascii="宋体" w:hAnsi="宋体" w:eastAsia="宋体" w:cs="宋体"/>
                <w:color w:val="auto"/>
                <w:sz w:val="18"/>
                <w:szCs w:val="18"/>
                <w:highlight w:val="none"/>
              </w:rPr>
            </w:pPr>
          </w:p>
        </w:tc>
        <w:tc>
          <w:tcPr>
            <w:tcW w:w="528" w:type="dxa"/>
            <w:noWrap w:val="0"/>
            <w:vAlign w:val="top"/>
          </w:tcPr>
          <w:p w14:paraId="349F53F1">
            <w:pPr>
              <w:widowControl/>
              <w:rPr>
                <w:rFonts w:hint="eastAsia" w:ascii="宋体" w:hAnsi="宋体" w:eastAsia="宋体" w:cs="宋体"/>
                <w:color w:val="auto"/>
                <w:sz w:val="18"/>
                <w:szCs w:val="18"/>
                <w:highlight w:val="none"/>
              </w:rPr>
            </w:pPr>
          </w:p>
        </w:tc>
      </w:tr>
      <w:tr w14:paraId="5505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EA879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noWrap w:val="0"/>
            <w:vAlign w:val="center"/>
          </w:tcPr>
          <w:p w14:paraId="5FE2E91D">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生态质量监测</w:t>
            </w:r>
          </w:p>
        </w:tc>
        <w:tc>
          <w:tcPr>
            <w:tcW w:w="946" w:type="dxa"/>
            <w:noWrap w:val="0"/>
            <w:vAlign w:val="center"/>
          </w:tcPr>
          <w:p w14:paraId="342DCD7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4749733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43234D2D">
            <w:pPr>
              <w:widowControl/>
              <w:rPr>
                <w:rFonts w:hint="eastAsia" w:ascii="宋体" w:hAnsi="宋体" w:eastAsia="宋体" w:cs="宋体"/>
                <w:color w:val="auto"/>
                <w:sz w:val="18"/>
                <w:szCs w:val="18"/>
                <w:highlight w:val="none"/>
              </w:rPr>
            </w:pPr>
          </w:p>
        </w:tc>
        <w:tc>
          <w:tcPr>
            <w:tcW w:w="942" w:type="dxa"/>
            <w:noWrap w:val="0"/>
            <w:vAlign w:val="center"/>
          </w:tcPr>
          <w:p w14:paraId="192ED9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1BEB54EE">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2D2CC4F8">
            <w:pPr>
              <w:widowControl/>
              <w:rPr>
                <w:rFonts w:hint="eastAsia" w:ascii="宋体" w:hAnsi="宋体" w:eastAsia="宋体" w:cs="宋体"/>
                <w:color w:val="auto"/>
                <w:sz w:val="18"/>
                <w:szCs w:val="18"/>
                <w:highlight w:val="none"/>
              </w:rPr>
            </w:pPr>
          </w:p>
        </w:tc>
        <w:tc>
          <w:tcPr>
            <w:tcW w:w="1701" w:type="dxa"/>
            <w:noWrap w:val="0"/>
            <w:vAlign w:val="top"/>
          </w:tcPr>
          <w:p w14:paraId="5CABDA48">
            <w:pPr>
              <w:widowControl/>
              <w:rPr>
                <w:rFonts w:hint="eastAsia" w:ascii="宋体" w:hAnsi="宋体" w:eastAsia="宋体" w:cs="宋体"/>
                <w:color w:val="auto"/>
                <w:sz w:val="18"/>
                <w:szCs w:val="18"/>
                <w:highlight w:val="none"/>
              </w:rPr>
            </w:pPr>
          </w:p>
        </w:tc>
        <w:tc>
          <w:tcPr>
            <w:tcW w:w="528" w:type="dxa"/>
            <w:noWrap w:val="0"/>
            <w:vAlign w:val="top"/>
          </w:tcPr>
          <w:p w14:paraId="722FAA39">
            <w:pPr>
              <w:widowControl/>
              <w:rPr>
                <w:rFonts w:hint="eastAsia" w:ascii="宋体" w:hAnsi="宋体" w:eastAsia="宋体" w:cs="宋体"/>
                <w:color w:val="auto"/>
                <w:sz w:val="18"/>
                <w:szCs w:val="18"/>
                <w:highlight w:val="none"/>
              </w:rPr>
            </w:pPr>
          </w:p>
        </w:tc>
      </w:tr>
      <w:tr w14:paraId="4945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0F386D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noWrap w:val="0"/>
            <w:vAlign w:val="center"/>
          </w:tcPr>
          <w:p w14:paraId="4D865A5D">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生态系统服务功能监测</w:t>
            </w:r>
          </w:p>
        </w:tc>
        <w:tc>
          <w:tcPr>
            <w:tcW w:w="946" w:type="dxa"/>
            <w:noWrap w:val="0"/>
            <w:vAlign w:val="center"/>
          </w:tcPr>
          <w:p w14:paraId="06707A3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58214808">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04738430">
            <w:pPr>
              <w:widowControl/>
              <w:rPr>
                <w:rFonts w:hint="eastAsia" w:ascii="宋体" w:hAnsi="宋体" w:eastAsia="宋体" w:cs="宋体"/>
                <w:color w:val="auto"/>
                <w:sz w:val="18"/>
                <w:szCs w:val="18"/>
                <w:highlight w:val="none"/>
              </w:rPr>
            </w:pPr>
          </w:p>
        </w:tc>
        <w:tc>
          <w:tcPr>
            <w:tcW w:w="942" w:type="dxa"/>
            <w:noWrap w:val="0"/>
            <w:vAlign w:val="center"/>
          </w:tcPr>
          <w:p w14:paraId="1169B2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6661A84E">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227154CD">
            <w:pPr>
              <w:widowControl/>
              <w:rPr>
                <w:rFonts w:hint="eastAsia" w:ascii="宋体" w:hAnsi="宋体" w:eastAsia="宋体" w:cs="宋体"/>
                <w:color w:val="auto"/>
                <w:sz w:val="18"/>
                <w:szCs w:val="18"/>
                <w:highlight w:val="none"/>
              </w:rPr>
            </w:pPr>
          </w:p>
        </w:tc>
        <w:tc>
          <w:tcPr>
            <w:tcW w:w="1701" w:type="dxa"/>
            <w:noWrap w:val="0"/>
            <w:vAlign w:val="top"/>
          </w:tcPr>
          <w:p w14:paraId="65990A74">
            <w:pPr>
              <w:widowControl/>
              <w:rPr>
                <w:rFonts w:hint="eastAsia" w:ascii="宋体" w:hAnsi="宋体" w:eastAsia="宋体" w:cs="宋体"/>
                <w:color w:val="auto"/>
                <w:sz w:val="18"/>
                <w:szCs w:val="18"/>
                <w:highlight w:val="none"/>
              </w:rPr>
            </w:pPr>
          </w:p>
        </w:tc>
        <w:tc>
          <w:tcPr>
            <w:tcW w:w="528" w:type="dxa"/>
            <w:noWrap w:val="0"/>
            <w:vAlign w:val="top"/>
          </w:tcPr>
          <w:p w14:paraId="72145449">
            <w:pPr>
              <w:widowControl/>
              <w:rPr>
                <w:rFonts w:hint="eastAsia" w:ascii="宋体" w:hAnsi="宋体" w:eastAsia="宋体" w:cs="宋体"/>
                <w:color w:val="auto"/>
                <w:sz w:val="18"/>
                <w:szCs w:val="18"/>
                <w:highlight w:val="none"/>
              </w:rPr>
            </w:pPr>
          </w:p>
        </w:tc>
      </w:tr>
      <w:tr w14:paraId="05F4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197F0B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noWrap w:val="0"/>
            <w:vAlign w:val="center"/>
          </w:tcPr>
          <w:p w14:paraId="0B507865">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人为干扰活动监测</w:t>
            </w:r>
          </w:p>
        </w:tc>
        <w:tc>
          <w:tcPr>
            <w:tcW w:w="946" w:type="dxa"/>
            <w:noWrap w:val="0"/>
            <w:vAlign w:val="center"/>
          </w:tcPr>
          <w:p w14:paraId="24DEBCE9">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13E8DE2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7567C040">
            <w:pPr>
              <w:widowControl/>
              <w:rPr>
                <w:rFonts w:hint="eastAsia" w:ascii="宋体" w:hAnsi="宋体" w:eastAsia="宋体" w:cs="宋体"/>
                <w:color w:val="auto"/>
                <w:sz w:val="18"/>
                <w:szCs w:val="18"/>
                <w:highlight w:val="none"/>
              </w:rPr>
            </w:pPr>
          </w:p>
        </w:tc>
        <w:tc>
          <w:tcPr>
            <w:tcW w:w="942" w:type="dxa"/>
            <w:noWrap w:val="0"/>
            <w:vAlign w:val="center"/>
          </w:tcPr>
          <w:p w14:paraId="35DBA2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0299FB35">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1AF8165C">
            <w:pPr>
              <w:widowControl/>
              <w:rPr>
                <w:rFonts w:hint="eastAsia" w:ascii="宋体" w:hAnsi="宋体" w:eastAsia="宋体" w:cs="宋体"/>
                <w:color w:val="auto"/>
                <w:sz w:val="18"/>
                <w:szCs w:val="18"/>
                <w:highlight w:val="none"/>
              </w:rPr>
            </w:pPr>
          </w:p>
        </w:tc>
        <w:tc>
          <w:tcPr>
            <w:tcW w:w="1701" w:type="dxa"/>
            <w:noWrap w:val="0"/>
            <w:vAlign w:val="top"/>
          </w:tcPr>
          <w:p w14:paraId="60549FDC">
            <w:pPr>
              <w:widowControl/>
              <w:rPr>
                <w:rFonts w:hint="eastAsia" w:ascii="宋体" w:hAnsi="宋体" w:eastAsia="宋体" w:cs="宋体"/>
                <w:color w:val="auto"/>
                <w:sz w:val="18"/>
                <w:szCs w:val="18"/>
                <w:highlight w:val="none"/>
              </w:rPr>
            </w:pPr>
          </w:p>
        </w:tc>
        <w:tc>
          <w:tcPr>
            <w:tcW w:w="528" w:type="dxa"/>
            <w:noWrap w:val="0"/>
            <w:vAlign w:val="top"/>
          </w:tcPr>
          <w:p w14:paraId="3D9F0600">
            <w:pPr>
              <w:widowControl/>
              <w:rPr>
                <w:rFonts w:hint="eastAsia" w:ascii="宋体" w:hAnsi="宋体" w:eastAsia="宋体" w:cs="宋体"/>
                <w:color w:val="auto"/>
                <w:sz w:val="18"/>
                <w:szCs w:val="18"/>
                <w:highlight w:val="none"/>
              </w:rPr>
            </w:pPr>
          </w:p>
        </w:tc>
      </w:tr>
      <w:tr w14:paraId="5FA1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0B1070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noWrap w:val="0"/>
            <w:vAlign w:val="center"/>
          </w:tcPr>
          <w:p w14:paraId="0BB8E19D">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自然生态问题监测</w:t>
            </w:r>
          </w:p>
        </w:tc>
        <w:tc>
          <w:tcPr>
            <w:tcW w:w="946" w:type="dxa"/>
            <w:noWrap w:val="0"/>
            <w:vAlign w:val="center"/>
          </w:tcPr>
          <w:p w14:paraId="49CCE6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5F27C99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691375D1">
            <w:pPr>
              <w:widowControl/>
              <w:rPr>
                <w:rFonts w:hint="eastAsia" w:ascii="宋体" w:hAnsi="宋体" w:eastAsia="宋体" w:cs="宋体"/>
                <w:color w:val="auto"/>
                <w:sz w:val="18"/>
                <w:szCs w:val="18"/>
                <w:highlight w:val="none"/>
              </w:rPr>
            </w:pPr>
          </w:p>
        </w:tc>
        <w:tc>
          <w:tcPr>
            <w:tcW w:w="942" w:type="dxa"/>
            <w:noWrap w:val="0"/>
            <w:vAlign w:val="center"/>
          </w:tcPr>
          <w:p w14:paraId="75670A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6C43D1BE">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727D72B6">
            <w:pPr>
              <w:widowControl/>
              <w:rPr>
                <w:rFonts w:hint="eastAsia" w:ascii="宋体" w:hAnsi="宋体" w:eastAsia="宋体" w:cs="宋体"/>
                <w:color w:val="auto"/>
                <w:sz w:val="18"/>
                <w:szCs w:val="18"/>
                <w:highlight w:val="none"/>
              </w:rPr>
            </w:pPr>
          </w:p>
        </w:tc>
        <w:tc>
          <w:tcPr>
            <w:tcW w:w="1701" w:type="dxa"/>
            <w:noWrap w:val="0"/>
            <w:vAlign w:val="top"/>
          </w:tcPr>
          <w:p w14:paraId="640DB964">
            <w:pPr>
              <w:widowControl/>
              <w:rPr>
                <w:rFonts w:hint="eastAsia" w:ascii="宋体" w:hAnsi="宋体" w:eastAsia="宋体" w:cs="宋体"/>
                <w:color w:val="auto"/>
                <w:sz w:val="18"/>
                <w:szCs w:val="18"/>
                <w:highlight w:val="none"/>
              </w:rPr>
            </w:pPr>
          </w:p>
        </w:tc>
        <w:tc>
          <w:tcPr>
            <w:tcW w:w="528" w:type="dxa"/>
            <w:noWrap w:val="0"/>
            <w:vAlign w:val="top"/>
          </w:tcPr>
          <w:p w14:paraId="18378572">
            <w:pPr>
              <w:widowControl/>
              <w:rPr>
                <w:rFonts w:hint="eastAsia" w:ascii="宋体" w:hAnsi="宋体" w:eastAsia="宋体" w:cs="宋体"/>
                <w:color w:val="auto"/>
                <w:sz w:val="18"/>
                <w:szCs w:val="18"/>
                <w:highlight w:val="none"/>
              </w:rPr>
            </w:pPr>
          </w:p>
        </w:tc>
      </w:tr>
      <w:tr w14:paraId="41A5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038B2D4B">
            <w:pPr>
              <w:widowControl/>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二、生态安全风险监测设备配备</w:t>
            </w:r>
          </w:p>
        </w:tc>
      </w:tr>
      <w:tr w14:paraId="5600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E9FE5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2A6C1F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无人值守无人机场及配套多旋翼无人机</w:t>
            </w:r>
          </w:p>
        </w:tc>
        <w:tc>
          <w:tcPr>
            <w:tcW w:w="946" w:type="dxa"/>
            <w:noWrap w:val="0"/>
            <w:vAlign w:val="top"/>
          </w:tcPr>
          <w:p w14:paraId="03655592">
            <w:pPr>
              <w:widowControl/>
              <w:rPr>
                <w:rFonts w:hint="eastAsia" w:ascii="宋体" w:hAnsi="宋体" w:eastAsia="宋体" w:cs="宋体"/>
                <w:color w:val="auto"/>
                <w:sz w:val="18"/>
                <w:szCs w:val="18"/>
                <w:highlight w:val="none"/>
              </w:rPr>
            </w:pPr>
          </w:p>
        </w:tc>
        <w:tc>
          <w:tcPr>
            <w:tcW w:w="946" w:type="dxa"/>
            <w:noWrap w:val="0"/>
            <w:vAlign w:val="top"/>
          </w:tcPr>
          <w:p w14:paraId="3C851C87">
            <w:pPr>
              <w:widowControl/>
              <w:rPr>
                <w:rFonts w:hint="eastAsia" w:ascii="宋体" w:hAnsi="宋体" w:eastAsia="宋体" w:cs="宋体"/>
                <w:color w:val="auto"/>
                <w:sz w:val="18"/>
                <w:szCs w:val="18"/>
                <w:highlight w:val="none"/>
              </w:rPr>
            </w:pPr>
          </w:p>
        </w:tc>
        <w:tc>
          <w:tcPr>
            <w:tcW w:w="1307" w:type="dxa"/>
            <w:noWrap w:val="0"/>
            <w:vAlign w:val="top"/>
          </w:tcPr>
          <w:p w14:paraId="4D644F69">
            <w:pPr>
              <w:widowControl/>
              <w:rPr>
                <w:rFonts w:hint="eastAsia" w:ascii="宋体" w:hAnsi="宋体" w:eastAsia="宋体" w:cs="宋体"/>
                <w:color w:val="auto"/>
                <w:sz w:val="18"/>
                <w:szCs w:val="18"/>
                <w:highlight w:val="none"/>
              </w:rPr>
            </w:pPr>
          </w:p>
        </w:tc>
        <w:tc>
          <w:tcPr>
            <w:tcW w:w="942" w:type="dxa"/>
            <w:noWrap w:val="0"/>
            <w:vAlign w:val="center"/>
          </w:tcPr>
          <w:p w14:paraId="3CF693F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53BC22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1043" w:type="dxa"/>
            <w:noWrap w:val="0"/>
            <w:vAlign w:val="top"/>
          </w:tcPr>
          <w:p w14:paraId="1FE570F1">
            <w:pPr>
              <w:widowControl/>
              <w:rPr>
                <w:rFonts w:hint="eastAsia" w:ascii="宋体" w:hAnsi="宋体" w:eastAsia="宋体" w:cs="宋体"/>
                <w:color w:val="auto"/>
                <w:sz w:val="18"/>
                <w:szCs w:val="18"/>
                <w:highlight w:val="none"/>
              </w:rPr>
            </w:pPr>
          </w:p>
        </w:tc>
        <w:tc>
          <w:tcPr>
            <w:tcW w:w="1701" w:type="dxa"/>
            <w:noWrap w:val="0"/>
            <w:vAlign w:val="top"/>
          </w:tcPr>
          <w:p w14:paraId="47741D2A">
            <w:pPr>
              <w:widowControl/>
              <w:rPr>
                <w:rFonts w:hint="eastAsia" w:ascii="宋体" w:hAnsi="宋体" w:eastAsia="宋体" w:cs="宋体"/>
                <w:color w:val="auto"/>
                <w:sz w:val="18"/>
                <w:szCs w:val="18"/>
                <w:highlight w:val="none"/>
              </w:rPr>
            </w:pPr>
          </w:p>
        </w:tc>
        <w:tc>
          <w:tcPr>
            <w:tcW w:w="528" w:type="dxa"/>
            <w:noWrap w:val="0"/>
            <w:vAlign w:val="top"/>
          </w:tcPr>
          <w:p w14:paraId="7D11EEA7">
            <w:pPr>
              <w:widowControl/>
              <w:rPr>
                <w:rFonts w:hint="eastAsia" w:ascii="宋体" w:hAnsi="宋体" w:eastAsia="宋体" w:cs="宋体"/>
                <w:color w:val="auto"/>
                <w:sz w:val="18"/>
                <w:szCs w:val="18"/>
                <w:highlight w:val="none"/>
              </w:rPr>
            </w:pPr>
          </w:p>
        </w:tc>
      </w:tr>
      <w:tr w14:paraId="1332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6EB9A2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1786" w:type="dxa"/>
            <w:noWrap w:val="0"/>
            <w:vAlign w:val="center"/>
          </w:tcPr>
          <w:p w14:paraId="21C26D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红外相机</w:t>
            </w:r>
          </w:p>
        </w:tc>
        <w:tc>
          <w:tcPr>
            <w:tcW w:w="946" w:type="dxa"/>
            <w:noWrap w:val="0"/>
            <w:vAlign w:val="top"/>
          </w:tcPr>
          <w:p w14:paraId="4433895B">
            <w:pPr>
              <w:widowControl/>
              <w:rPr>
                <w:rFonts w:hint="eastAsia" w:ascii="宋体" w:hAnsi="宋体" w:eastAsia="宋体" w:cs="宋体"/>
                <w:color w:val="auto"/>
                <w:sz w:val="18"/>
                <w:szCs w:val="18"/>
                <w:highlight w:val="none"/>
              </w:rPr>
            </w:pPr>
          </w:p>
        </w:tc>
        <w:tc>
          <w:tcPr>
            <w:tcW w:w="946" w:type="dxa"/>
            <w:noWrap w:val="0"/>
            <w:vAlign w:val="top"/>
          </w:tcPr>
          <w:p w14:paraId="50BED254">
            <w:pPr>
              <w:widowControl/>
              <w:rPr>
                <w:rFonts w:hint="eastAsia" w:ascii="宋体" w:hAnsi="宋体" w:eastAsia="宋体" w:cs="宋体"/>
                <w:color w:val="auto"/>
                <w:sz w:val="18"/>
                <w:szCs w:val="18"/>
                <w:highlight w:val="none"/>
              </w:rPr>
            </w:pPr>
          </w:p>
        </w:tc>
        <w:tc>
          <w:tcPr>
            <w:tcW w:w="1307" w:type="dxa"/>
            <w:noWrap w:val="0"/>
            <w:vAlign w:val="top"/>
          </w:tcPr>
          <w:p w14:paraId="37D1E7A2">
            <w:pPr>
              <w:widowControl/>
              <w:rPr>
                <w:rFonts w:hint="eastAsia" w:ascii="宋体" w:hAnsi="宋体" w:eastAsia="宋体" w:cs="宋体"/>
                <w:color w:val="auto"/>
                <w:sz w:val="18"/>
                <w:szCs w:val="18"/>
                <w:highlight w:val="none"/>
              </w:rPr>
            </w:pPr>
          </w:p>
        </w:tc>
        <w:tc>
          <w:tcPr>
            <w:tcW w:w="942" w:type="dxa"/>
            <w:noWrap w:val="0"/>
            <w:vAlign w:val="center"/>
          </w:tcPr>
          <w:p w14:paraId="440A06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16" w:type="dxa"/>
            <w:noWrap w:val="0"/>
            <w:vAlign w:val="center"/>
          </w:tcPr>
          <w:p w14:paraId="5CF470C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043" w:type="dxa"/>
            <w:noWrap w:val="0"/>
            <w:vAlign w:val="top"/>
          </w:tcPr>
          <w:p w14:paraId="1E1AC82E">
            <w:pPr>
              <w:widowControl/>
              <w:rPr>
                <w:rFonts w:hint="eastAsia" w:ascii="宋体" w:hAnsi="宋体" w:eastAsia="宋体" w:cs="宋体"/>
                <w:color w:val="auto"/>
                <w:sz w:val="18"/>
                <w:szCs w:val="18"/>
                <w:highlight w:val="none"/>
              </w:rPr>
            </w:pPr>
          </w:p>
        </w:tc>
        <w:tc>
          <w:tcPr>
            <w:tcW w:w="1701" w:type="dxa"/>
            <w:noWrap w:val="0"/>
            <w:vAlign w:val="top"/>
          </w:tcPr>
          <w:p w14:paraId="737790FD">
            <w:pPr>
              <w:widowControl/>
              <w:rPr>
                <w:rFonts w:hint="eastAsia" w:ascii="宋体" w:hAnsi="宋体" w:eastAsia="宋体" w:cs="宋体"/>
                <w:color w:val="auto"/>
                <w:sz w:val="18"/>
                <w:szCs w:val="18"/>
                <w:highlight w:val="none"/>
              </w:rPr>
            </w:pPr>
          </w:p>
        </w:tc>
        <w:tc>
          <w:tcPr>
            <w:tcW w:w="528" w:type="dxa"/>
            <w:noWrap w:val="0"/>
            <w:vAlign w:val="top"/>
          </w:tcPr>
          <w:p w14:paraId="06EFCB2D">
            <w:pPr>
              <w:widowControl/>
              <w:rPr>
                <w:rFonts w:hint="eastAsia" w:ascii="宋体" w:hAnsi="宋体" w:eastAsia="宋体" w:cs="宋体"/>
                <w:color w:val="auto"/>
                <w:sz w:val="18"/>
                <w:szCs w:val="18"/>
                <w:highlight w:val="none"/>
              </w:rPr>
            </w:pPr>
          </w:p>
        </w:tc>
      </w:tr>
      <w:tr w14:paraId="7F25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694349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1786" w:type="dxa"/>
            <w:noWrap w:val="0"/>
            <w:vAlign w:val="center"/>
          </w:tcPr>
          <w:p w14:paraId="74A118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声纹监测仪</w:t>
            </w:r>
          </w:p>
        </w:tc>
        <w:tc>
          <w:tcPr>
            <w:tcW w:w="946" w:type="dxa"/>
            <w:noWrap w:val="0"/>
            <w:vAlign w:val="top"/>
          </w:tcPr>
          <w:p w14:paraId="65745AC5">
            <w:pPr>
              <w:widowControl/>
              <w:rPr>
                <w:rFonts w:hint="eastAsia" w:ascii="宋体" w:hAnsi="宋体" w:eastAsia="宋体" w:cs="宋体"/>
                <w:color w:val="auto"/>
                <w:sz w:val="18"/>
                <w:szCs w:val="18"/>
                <w:highlight w:val="none"/>
              </w:rPr>
            </w:pPr>
          </w:p>
        </w:tc>
        <w:tc>
          <w:tcPr>
            <w:tcW w:w="946" w:type="dxa"/>
            <w:noWrap w:val="0"/>
            <w:vAlign w:val="top"/>
          </w:tcPr>
          <w:p w14:paraId="383EA959">
            <w:pPr>
              <w:widowControl/>
              <w:rPr>
                <w:rFonts w:hint="eastAsia" w:ascii="宋体" w:hAnsi="宋体" w:eastAsia="宋体" w:cs="宋体"/>
                <w:color w:val="auto"/>
                <w:sz w:val="18"/>
                <w:szCs w:val="18"/>
                <w:highlight w:val="none"/>
              </w:rPr>
            </w:pPr>
          </w:p>
        </w:tc>
        <w:tc>
          <w:tcPr>
            <w:tcW w:w="1307" w:type="dxa"/>
            <w:noWrap w:val="0"/>
            <w:vAlign w:val="top"/>
          </w:tcPr>
          <w:p w14:paraId="287FD5E2">
            <w:pPr>
              <w:widowControl/>
              <w:rPr>
                <w:rFonts w:hint="eastAsia" w:ascii="宋体" w:hAnsi="宋体" w:eastAsia="宋体" w:cs="宋体"/>
                <w:color w:val="auto"/>
                <w:sz w:val="18"/>
                <w:szCs w:val="18"/>
                <w:highlight w:val="none"/>
              </w:rPr>
            </w:pPr>
          </w:p>
        </w:tc>
        <w:tc>
          <w:tcPr>
            <w:tcW w:w="942" w:type="dxa"/>
            <w:noWrap w:val="0"/>
            <w:vAlign w:val="center"/>
          </w:tcPr>
          <w:p w14:paraId="4DAED3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16" w:type="dxa"/>
            <w:noWrap w:val="0"/>
            <w:vAlign w:val="center"/>
          </w:tcPr>
          <w:p w14:paraId="796E94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043" w:type="dxa"/>
            <w:noWrap w:val="0"/>
            <w:vAlign w:val="top"/>
          </w:tcPr>
          <w:p w14:paraId="5375DEE7">
            <w:pPr>
              <w:widowControl/>
              <w:rPr>
                <w:rFonts w:hint="eastAsia" w:ascii="宋体" w:hAnsi="宋体" w:eastAsia="宋体" w:cs="宋体"/>
                <w:color w:val="auto"/>
                <w:sz w:val="18"/>
                <w:szCs w:val="18"/>
                <w:highlight w:val="none"/>
              </w:rPr>
            </w:pPr>
          </w:p>
        </w:tc>
        <w:tc>
          <w:tcPr>
            <w:tcW w:w="1701" w:type="dxa"/>
            <w:noWrap w:val="0"/>
            <w:vAlign w:val="top"/>
          </w:tcPr>
          <w:p w14:paraId="43EBA320">
            <w:pPr>
              <w:widowControl/>
              <w:rPr>
                <w:rFonts w:hint="eastAsia" w:ascii="宋体" w:hAnsi="宋体" w:eastAsia="宋体" w:cs="宋体"/>
                <w:color w:val="auto"/>
                <w:sz w:val="18"/>
                <w:szCs w:val="18"/>
                <w:highlight w:val="none"/>
              </w:rPr>
            </w:pPr>
          </w:p>
        </w:tc>
        <w:tc>
          <w:tcPr>
            <w:tcW w:w="528" w:type="dxa"/>
            <w:noWrap w:val="0"/>
            <w:vAlign w:val="top"/>
          </w:tcPr>
          <w:p w14:paraId="3A5683D2">
            <w:pPr>
              <w:widowControl/>
              <w:rPr>
                <w:rFonts w:hint="eastAsia" w:ascii="宋体" w:hAnsi="宋体" w:eastAsia="宋体" w:cs="宋体"/>
                <w:color w:val="auto"/>
                <w:sz w:val="18"/>
                <w:szCs w:val="18"/>
                <w:highlight w:val="none"/>
              </w:rPr>
            </w:pPr>
          </w:p>
        </w:tc>
      </w:tr>
      <w:tr w14:paraId="6075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6289B4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4</w:t>
            </w:r>
          </w:p>
        </w:tc>
        <w:tc>
          <w:tcPr>
            <w:tcW w:w="1786" w:type="dxa"/>
            <w:noWrap w:val="0"/>
            <w:vAlign w:val="center"/>
          </w:tcPr>
          <w:p w14:paraId="697BD07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雷达相机</w:t>
            </w:r>
          </w:p>
        </w:tc>
        <w:tc>
          <w:tcPr>
            <w:tcW w:w="946" w:type="dxa"/>
            <w:noWrap w:val="0"/>
            <w:vAlign w:val="top"/>
          </w:tcPr>
          <w:p w14:paraId="56A53674">
            <w:pPr>
              <w:widowControl/>
              <w:rPr>
                <w:rFonts w:hint="eastAsia" w:ascii="宋体" w:hAnsi="宋体" w:eastAsia="宋体" w:cs="宋体"/>
                <w:color w:val="auto"/>
                <w:sz w:val="18"/>
                <w:szCs w:val="18"/>
                <w:highlight w:val="none"/>
              </w:rPr>
            </w:pPr>
          </w:p>
        </w:tc>
        <w:tc>
          <w:tcPr>
            <w:tcW w:w="946" w:type="dxa"/>
            <w:noWrap w:val="0"/>
            <w:vAlign w:val="top"/>
          </w:tcPr>
          <w:p w14:paraId="36B4052F">
            <w:pPr>
              <w:widowControl/>
              <w:rPr>
                <w:rFonts w:hint="eastAsia" w:ascii="宋体" w:hAnsi="宋体" w:eastAsia="宋体" w:cs="宋体"/>
                <w:color w:val="auto"/>
                <w:sz w:val="18"/>
                <w:szCs w:val="18"/>
                <w:highlight w:val="none"/>
              </w:rPr>
            </w:pPr>
          </w:p>
        </w:tc>
        <w:tc>
          <w:tcPr>
            <w:tcW w:w="1307" w:type="dxa"/>
            <w:noWrap w:val="0"/>
            <w:vAlign w:val="top"/>
          </w:tcPr>
          <w:p w14:paraId="244B2AA1">
            <w:pPr>
              <w:widowControl/>
              <w:rPr>
                <w:rFonts w:hint="eastAsia" w:ascii="宋体" w:hAnsi="宋体" w:eastAsia="宋体" w:cs="宋体"/>
                <w:color w:val="auto"/>
                <w:sz w:val="18"/>
                <w:szCs w:val="18"/>
                <w:highlight w:val="none"/>
              </w:rPr>
            </w:pPr>
          </w:p>
        </w:tc>
        <w:tc>
          <w:tcPr>
            <w:tcW w:w="942" w:type="dxa"/>
            <w:noWrap w:val="0"/>
            <w:vAlign w:val="center"/>
          </w:tcPr>
          <w:p w14:paraId="4529C7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台</w:t>
            </w:r>
          </w:p>
        </w:tc>
        <w:tc>
          <w:tcPr>
            <w:tcW w:w="516" w:type="dxa"/>
            <w:noWrap w:val="0"/>
            <w:vAlign w:val="center"/>
          </w:tcPr>
          <w:p w14:paraId="632C92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043" w:type="dxa"/>
            <w:noWrap w:val="0"/>
            <w:vAlign w:val="top"/>
          </w:tcPr>
          <w:p w14:paraId="3F6DFEB4">
            <w:pPr>
              <w:widowControl/>
              <w:rPr>
                <w:rFonts w:hint="eastAsia" w:ascii="宋体" w:hAnsi="宋体" w:eastAsia="宋体" w:cs="宋体"/>
                <w:color w:val="auto"/>
                <w:sz w:val="18"/>
                <w:szCs w:val="18"/>
                <w:highlight w:val="none"/>
              </w:rPr>
            </w:pPr>
          </w:p>
        </w:tc>
        <w:tc>
          <w:tcPr>
            <w:tcW w:w="1701" w:type="dxa"/>
            <w:noWrap w:val="0"/>
            <w:vAlign w:val="top"/>
          </w:tcPr>
          <w:p w14:paraId="0B39FB20">
            <w:pPr>
              <w:widowControl/>
              <w:rPr>
                <w:rFonts w:hint="eastAsia" w:ascii="宋体" w:hAnsi="宋体" w:eastAsia="宋体" w:cs="宋体"/>
                <w:color w:val="auto"/>
                <w:sz w:val="18"/>
                <w:szCs w:val="18"/>
                <w:highlight w:val="none"/>
              </w:rPr>
            </w:pPr>
          </w:p>
        </w:tc>
        <w:tc>
          <w:tcPr>
            <w:tcW w:w="528" w:type="dxa"/>
            <w:noWrap w:val="0"/>
            <w:vAlign w:val="top"/>
          </w:tcPr>
          <w:p w14:paraId="6A77AC13">
            <w:pPr>
              <w:widowControl/>
              <w:rPr>
                <w:rFonts w:hint="eastAsia" w:ascii="宋体" w:hAnsi="宋体" w:eastAsia="宋体" w:cs="宋体"/>
                <w:color w:val="auto"/>
                <w:sz w:val="18"/>
                <w:szCs w:val="18"/>
                <w:highlight w:val="none"/>
              </w:rPr>
            </w:pPr>
          </w:p>
        </w:tc>
      </w:tr>
      <w:tr w14:paraId="35B5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26274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5</w:t>
            </w:r>
          </w:p>
        </w:tc>
        <w:tc>
          <w:tcPr>
            <w:tcW w:w="1786" w:type="dxa"/>
            <w:noWrap w:val="0"/>
            <w:vAlign w:val="center"/>
          </w:tcPr>
          <w:p w14:paraId="62AE54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鸟类视频监控设备</w:t>
            </w:r>
          </w:p>
        </w:tc>
        <w:tc>
          <w:tcPr>
            <w:tcW w:w="946" w:type="dxa"/>
            <w:noWrap w:val="0"/>
            <w:vAlign w:val="top"/>
          </w:tcPr>
          <w:p w14:paraId="333CBB42">
            <w:pPr>
              <w:widowControl/>
              <w:rPr>
                <w:rFonts w:hint="eastAsia" w:ascii="宋体" w:hAnsi="宋体" w:eastAsia="宋体" w:cs="宋体"/>
                <w:color w:val="auto"/>
                <w:sz w:val="18"/>
                <w:szCs w:val="18"/>
                <w:highlight w:val="none"/>
              </w:rPr>
            </w:pPr>
          </w:p>
        </w:tc>
        <w:tc>
          <w:tcPr>
            <w:tcW w:w="946" w:type="dxa"/>
            <w:noWrap w:val="0"/>
            <w:vAlign w:val="top"/>
          </w:tcPr>
          <w:p w14:paraId="030C87C3">
            <w:pPr>
              <w:widowControl/>
              <w:rPr>
                <w:rFonts w:hint="eastAsia" w:ascii="宋体" w:hAnsi="宋体" w:eastAsia="宋体" w:cs="宋体"/>
                <w:color w:val="auto"/>
                <w:sz w:val="18"/>
                <w:szCs w:val="18"/>
                <w:highlight w:val="none"/>
              </w:rPr>
            </w:pPr>
          </w:p>
        </w:tc>
        <w:tc>
          <w:tcPr>
            <w:tcW w:w="1307" w:type="dxa"/>
            <w:noWrap w:val="0"/>
            <w:vAlign w:val="top"/>
          </w:tcPr>
          <w:p w14:paraId="382C6D92">
            <w:pPr>
              <w:widowControl/>
              <w:rPr>
                <w:rFonts w:hint="eastAsia" w:ascii="宋体" w:hAnsi="宋体" w:eastAsia="宋体" w:cs="宋体"/>
                <w:color w:val="auto"/>
                <w:sz w:val="18"/>
                <w:szCs w:val="18"/>
                <w:highlight w:val="none"/>
              </w:rPr>
            </w:pPr>
          </w:p>
        </w:tc>
        <w:tc>
          <w:tcPr>
            <w:tcW w:w="942" w:type="dxa"/>
            <w:noWrap w:val="0"/>
            <w:vAlign w:val="center"/>
          </w:tcPr>
          <w:p w14:paraId="222197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03324F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2695B52E">
            <w:pPr>
              <w:widowControl/>
              <w:rPr>
                <w:rFonts w:hint="eastAsia" w:ascii="宋体" w:hAnsi="宋体" w:eastAsia="宋体" w:cs="宋体"/>
                <w:color w:val="auto"/>
                <w:sz w:val="18"/>
                <w:szCs w:val="18"/>
                <w:highlight w:val="none"/>
              </w:rPr>
            </w:pPr>
          </w:p>
        </w:tc>
        <w:tc>
          <w:tcPr>
            <w:tcW w:w="1701" w:type="dxa"/>
            <w:noWrap w:val="0"/>
            <w:vAlign w:val="top"/>
          </w:tcPr>
          <w:p w14:paraId="22DB6563">
            <w:pPr>
              <w:widowControl/>
              <w:rPr>
                <w:rFonts w:hint="eastAsia" w:ascii="宋体" w:hAnsi="宋体" w:eastAsia="宋体" w:cs="宋体"/>
                <w:color w:val="auto"/>
                <w:sz w:val="18"/>
                <w:szCs w:val="18"/>
                <w:highlight w:val="none"/>
              </w:rPr>
            </w:pPr>
          </w:p>
        </w:tc>
        <w:tc>
          <w:tcPr>
            <w:tcW w:w="528" w:type="dxa"/>
            <w:noWrap w:val="0"/>
            <w:vAlign w:val="top"/>
          </w:tcPr>
          <w:p w14:paraId="0E9B9D51">
            <w:pPr>
              <w:widowControl/>
              <w:rPr>
                <w:rFonts w:hint="eastAsia" w:ascii="宋体" w:hAnsi="宋体" w:eastAsia="宋体" w:cs="宋体"/>
                <w:color w:val="auto"/>
                <w:sz w:val="18"/>
                <w:szCs w:val="18"/>
                <w:highlight w:val="none"/>
              </w:rPr>
            </w:pPr>
          </w:p>
        </w:tc>
      </w:tr>
      <w:tr w14:paraId="5020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088E55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6</w:t>
            </w:r>
          </w:p>
        </w:tc>
        <w:tc>
          <w:tcPr>
            <w:tcW w:w="1786" w:type="dxa"/>
            <w:noWrap w:val="0"/>
            <w:vAlign w:val="center"/>
          </w:tcPr>
          <w:p w14:paraId="7328A1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生态环境因子传感器</w:t>
            </w:r>
          </w:p>
        </w:tc>
        <w:tc>
          <w:tcPr>
            <w:tcW w:w="946" w:type="dxa"/>
            <w:noWrap w:val="0"/>
            <w:vAlign w:val="top"/>
          </w:tcPr>
          <w:p w14:paraId="680C61D0">
            <w:pPr>
              <w:widowControl/>
              <w:rPr>
                <w:rFonts w:hint="eastAsia" w:ascii="宋体" w:hAnsi="宋体" w:eastAsia="宋体" w:cs="宋体"/>
                <w:color w:val="auto"/>
                <w:sz w:val="18"/>
                <w:szCs w:val="18"/>
                <w:highlight w:val="none"/>
              </w:rPr>
            </w:pPr>
          </w:p>
        </w:tc>
        <w:tc>
          <w:tcPr>
            <w:tcW w:w="946" w:type="dxa"/>
            <w:noWrap w:val="0"/>
            <w:vAlign w:val="top"/>
          </w:tcPr>
          <w:p w14:paraId="35D11319">
            <w:pPr>
              <w:widowControl/>
              <w:rPr>
                <w:rFonts w:hint="eastAsia" w:ascii="宋体" w:hAnsi="宋体" w:eastAsia="宋体" w:cs="宋体"/>
                <w:color w:val="auto"/>
                <w:sz w:val="18"/>
                <w:szCs w:val="18"/>
                <w:highlight w:val="none"/>
              </w:rPr>
            </w:pPr>
          </w:p>
        </w:tc>
        <w:tc>
          <w:tcPr>
            <w:tcW w:w="1307" w:type="dxa"/>
            <w:noWrap w:val="0"/>
            <w:vAlign w:val="top"/>
          </w:tcPr>
          <w:p w14:paraId="50D8130A">
            <w:pPr>
              <w:widowControl/>
              <w:rPr>
                <w:rFonts w:hint="eastAsia" w:ascii="宋体" w:hAnsi="宋体" w:eastAsia="宋体" w:cs="宋体"/>
                <w:color w:val="auto"/>
                <w:sz w:val="18"/>
                <w:szCs w:val="18"/>
                <w:highlight w:val="none"/>
              </w:rPr>
            </w:pPr>
          </w:p>
        </w:tc>
        <w:tc>
          <w:tcPr>
            <w:tcW w:w="942" w:type="dxa"/>
            <w:noWrap w:val="0"/>
            <w:vAlign w:val="center"/>
          </w:tcPr>
          <w:p w14:paraId="4A192D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6E5AE4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3719A5A7">
            <w:pPr>
              <w:widowControl/>
              <w:rPr>
                <w:rFonts w:hint="eastAsia" w:ascii="宋体" w:hAnsi="宋体" w:eastAsia="宋体" w:cs="宋体"/>
                <w:color w:val="auto"/>
                <w:sz w:val="18"/>
                <w:szCs w:val="18"/>
                <w:highlight w:val="none"/>
              </w:rPr>
            </w:pPr>
          </w:p>
        </w:tc>
        <w:tc>
          <w:tcPr>
            <w:tcW w:w="1701" w:type="dxa"/>
            <w:noWrap w:val="0"/>
            <w:vAlign w:val="top"/>
          </w:tcPr>
          <w:p w14:paraId="3D9416BB">
            <w:pPr>
              <w:widowControl/>
              <w:rPr>
                <w:rFonts w:hint="eastAsia" w:ascii="宋体" w:hAnsi="宋体" w:eastAsia="宋体" w:cs="宋体"/>
                <w:color w:val="auto"/>
                <w:sz w:val="18"/>
                <w:szCs w:val="18"/>
                <w:highlight w:val="none"/>
              </w:rPr>
            </w:pPr>
          </w:p>
        </w:tc>
        <w:tc>
          <w:tcPr>
            <w:tcW w:w="528" w:type="dxa"/>
            <w:noWrap w:val="0"/>
            <w:vAlign w:val="top"/>
          </w:tcPr>
          <w:p w14:paraId="04D94255">
            <w:pPr>
              <w:widowControl/>
              <w:rPr>
                <w:rFonts w:hint="eastAsia" w:ascii="宋体" w:hAnsi="宋体" w:eastAsia="宋体" w:cs="宋体"/>
                <w:color w:val="auto"/>
                <w:sz w:val="18"/>
                <w:szCs w:val="18"/>
                <w:highlight w:val="none"/>
              </w:rPr>
            </w:pPr>
          </w:p>
        </w:tc>
      </w:tr>
      <w:tr w14:paraId="2DCE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3DAD9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7</w:t>
            </w:r>
          </w:p>
        </w:tc>
        <w:tc>
          <w:tcPr>
            <w:tcW w:w="1786" w:type="dxa"/>
            <w:noWrap w:val="0"/>
            <w:vAlign w:val="center"/>
          </w:tcPr>
          <w:p w14:paraId="104326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物候监测仪</w:t>
            </w:r>
          </w:p>
        </w:tc>
        <w:tc>
          <w:tcPr>
            <w:tcW w:w="946" w:type="dxa"/>
            <w:noWrap w:val="0"/>
            <w:vAlign w:val="top"/>
          </w:tcPr>
          <w:p w14:paraId="004B02A8">
            <w:pPr>
              <w:widowControl/>
              <w:rPr>
                <w:rFonts w:hint="eastAsia" w:ascii="宋体" w:hAnsi="宋体" w:eastAsia="宋体" w:cs="宋体"/>
                <w:color w:val="auto"/>
                <w:sz w:val="18"/>
                <w:szCs w:val="18"/>
                <w:highlight w:val="none"/>
              </w:rPr>
            </w:pPr>
          </w:p>
        </w:tc>
        <w:tc>
          <w:tcPr>
            <w:tcW w:w="946" w:type="dxa"/>
            <w:noWrap w:val="0"/>
            <w:vAlign w:val="top"/>
          </w:tcPr>
          <w:p w14:paraId="05BA5556">
            <w:pPr>
              <w:widowControl/>
              <w:rPr>
                <w:rFonts w:hint="eastAsia" w:ascii="宋体" w:hAnsi="宋体" w:eastAsia="宋体" w:cs="宋体"/>
                <w:color w:val="auto"/>
                <w:sz w:val="18"/>
                <w:szCs w:val="18"/>
                <w:highlight w:val="none"/>
              </w:rPr>
            </w:pPr>
          </w:p>
        </w:tc>
        <w:tc>
          <w:tcPr>
            <w:tcW w:w="1307" w:type="dxa"/>
            <w:noWrap w:val="0"/>
            <w:vAlign w:val="top"/>
          </w:tcPr>
          <w:p w14:paraId="3CD7473A">
            <w:pPr>
              <w:widowControl/>
              <w:rPr>
                <w:rFonts w:hint="eastAsia" w:ascii="宋体" w:hAnsi="宋体" w:eastAsia="宋体" w:cs="宋体"/>
                <w:color w:val="auto"/>
                <w:sz w:val="18"/>
                <w:szCs w:val="18"/>
                <w:highlight w:val="none"/>
              </w:rPr>
            </w:pPr>
          </w:p>
        </w:tc>
        <w:tc>
          <w:tcPr>
            <w:tcW w:w="942" w:type="dxa"/>
            <w:noWrap w:val="0"/>
            <w:vAlign w:val="center"/>
          </w:tcPr>
          <w:p w14:paraId="087BBE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30B052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0815444B">
            <w:pPr>
              <w:widowControl/>
              <w:rPr>
                <w:rFonts w:hint="eastAsia" w:ascii="宋体" w:hAnsi="宋体" w:eastAsia="宋体" w:cs="宋体"/>
                <w:color w:val="auto"/>
                <w:sz w:val="18"/>
                <w:szCs w:val="18"/>
                <w:highlight w:val="none"/>
              </w:rPr>
            </w:pPr>
          </w:p>
        </w:tc>
        <w:tc>
          <w:tcPr>
            <w:tcW w:w="1701" w:type="dxa"/>
            <w:noWrap w:val="0"/>
            <w:vAlign w:val="top"/>
          </w:tcPr>
          <w:p w14:paraId="5DBA660E">
            <w:pPr>
              <w:widowControl/>
              <w:rPr>
                <w:rFonts w:hint="eastAsia" w:ascii="宋体" w:hAnsi="宋体" w:eastAsia="宋体" w:cs="宋体"/>
                <w:color w:val="auto"/>
                <w:sz w:val="18"/>
                <w:szCs w:val="18"/>
                <w:highlight w:val="none"/>
              </w:rPr>
            </w:pPr>
          </w:p>
        </w:tc>
        <w:tc>
          <w:tcPr>
            <w:tcW w:w="528" w:type="dxa"/>
            <w:noWrap w:val="0"/>
            <w:vAlign w:val="top"/>
          </w:tcPr>
          <w:p w14:paraId="22AA5E29">
            <w:pPr>
              <w:widowControl/>
              <w:rPr>
                <w:rFonts w:hint="eastAsia" w:ascii="宋体" w:hAnsi="宋体" w:eastAsia="宋体" w:cs="宋体"/>
                <w:color w:val="auto"/>
                <w:sz w:val="18"/>
                <w:szCs w:val="18"/>
                <w:highlight w:val="none"/>
              </w:rPr>
            </w:pPr>
          </w:p>
        </w:tc>
      </w:tr>
      <w:tr w14:paraId="499A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7CA4BE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8</w:t>
            </w:r>
          </w:p>
        </w:tc>
        <w:tc>
          <w:tcPr>
            <w:tcW w:w="1786" w:type="dxa"/>
            <w:shd w:val="clear" w:color="auto" w:fill="FFFFFF"/>
            <w:noWrap w:val="0"/>
            <w:vAlign w:val="center"/>
          </w:tcPr>
          <w:p w14:paraId="09D409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土壤监测仪</w:t>
            </w:r>
          </w:p>
        </w:tc>
        <w:tc>
          <w:tcPr>
            <w:tcW w:w="946" w:type="dxa"/>
            <w:shd w:val="clear" w:color="auto" w:fill="auto"/>
            <w:noWrap w:val="0"/>
            <w:vAlign w:val="top"/>
          </w:tcPr>
          <w:p w14:paraId="485C309A">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28AC57D5">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4CCD7A10">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0C7DE3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73956B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402E9545">
            <w:pPr>
              <w:widowControl/>
              <w:rPr>
                <w:rFonts w:hint="eastAsia" w:ascii="宋体" w:hAnsi="宋体" w:eastAsia="宋体" w:cs="宋体"/>
                <w:color w:val="auto"/>
                <w:sz w:val="18"/>
                <w:szCs w:val="18"/>
                <w:highlight w:val="none"/>
              </w:rPr>
            </w:pPr>
          </w:p>
        </w:tc>
        <w:tc>
          <w:tcPr>
            <w:tcW w:w="1701" w:type="dxa"/>
            <w:noWrap w:val="0"/>
            <w:vAlign w:val="top"/>
          </w:tcPr>
          <w:p w14:paraId="4A8C7ACA">
            <w:pPr>
              <w:widowControl/>
              <w:rPr>
                <w:rFonts w:hint="eastAsia" w:ascii="宋体" w:hAnsi="宋体" w:eastAsia="宋体" w:cs="宋体"/>
                <w:color w:val="auto"/>
                <w:sz w:val="18"/>
                <w:szCs w:val="18"/>
                <w:highlight w:val="none"/>
              </w:rPr>
            </w:pPr>
          </w:p>
        </w:tc>
        <w:tc>
          <w:tcPr>
            <w:tcW w:w="528" w:type="dxa"/>
            <w:noWrap w:val="0"/>
            <w:vAlign w:val="top"/>
          </w:tcPr>
          <w:p w14:paraId="7B5EF025">
            <w:pPr>
              <w:widowControl/>
              <w:rPr>
                <w:rFonts w:hint="eastAsia" w:ascii="宋体" w:hAnsi="宋体" w:eastAsia="宋体" w:cs="宋体"/>
                <w:color w:val="auto"/>
                <w:sz w:val="18"/>
                <w:szCs w:val="18"/>
                <w:highlight w:val="none"/>
              </w:rPr>
            </w:pPr>
          </w:p>
        </w:tc>
      </w:tr>
      <w:tr w14:paraId="3C9B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5F7787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9</w:t>
            </w:r>
          </w:p>
        </w:tc>
        <w:tc>
          <w:tcPr>
            <w:tcW w:w="1786" w:type="dxa"/>
            <w:noWrap w:val="0"/>
            <w:vAlign w:val="center"/>
          </w:tcPr>
          <w:p w14:paraId="20B54F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生态流量监测设备</w:t>
            </w:r>
          </w:p>
        </w:tc>
        <w:tc>
          <w:tcPr>
            <w:tcW w:w="946" w:type="dxa"/>
            <w:noWrap w:val="0"/>
            <w:vAlign w:val="top"/>
          </w:tcPr>
          <w:p w14:paraId="5220E27D">
            <w:pPr>
              <w:widowControl/>
              <w:rPr>
                <w:rFonts w:hint="eastAsia" w:ascii="宋体" w:hAnsi="宋体" w:eastAsia="宋体" w:cs="宋体"/>
                <w:color w:val="auto"/>
                <w:sz w:val="18"/>
                <w:szCs w:val="18"/>
                <w:highlight w:val="none"/>
              </w:rPr>
            </w:pPr>
          </w:p>
        </w:tc>
        <w:tc>
          <w:tcPr>
            <w:tcW w:w="946" w:type="dxa"/>
            <w:noWrap w:val="0"/>
            <w:vAlign w:val="top"/>
          </w:tcPr>
          <w:p w14:paraId="5791AC3E">
            <w:pPr>
              <w:widowControl/>
              <w:rPr>
                <w:rFonts w:hint="eastAsia" w:ascii="宋体" w:hAnsi="宋体" w:eastAsia="宋体" w:cs="宋体"/>
                <w:color w:val="auto"/>
                <w:sz w:val="18"/>
                <w:szCs w:val="18"/>
                <w:highlight w:val="none"/>
              </w:rPr>
            </w:pPr>
          </w:p>
        </w:tc>
        <w:tc>
          <w:tcPr>
            <w:tcW w:w="1307" w:type="dxa"/>
            <w:noWrap w:val="0"/>
            <w:vAlign w:val="top"/>
          </w:tcPr>
          <w:p w14:paraId="655AD0A4">
            <w:pPr>
              <w:widowControl/>
              <w:rPr>
                <w:rFonts w:hint="eastAsia" w:ascii="宋体" w:hAnsi="宋体" w:eastAsia="宋体" w:cs="宋体"/>
                <w:color w:val="auto"/>
                <w:sz w:val="18"/>
                <w:szCs w:val="18"/>
                <w:highlight w:val="none"/>
              </w:rPr>
            </w:pPr>
          </w:p>
        </w:tc>
        <w:tc>
          <w:tcPr>
            <w:tcW w:w="942" w:type="dxa"/>
            <w:noWrap w:val="0"/>
            <w:vAlign w:val="center"/>
          </w:tcPr>
          <w:p w14:paraId="3A77CA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671C2E9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043" w:type="dxa"/>
            <w:noWrap w:val="0"/>
            <w:vAlign w:val="top"/>
          </w:tcPr>
          <w:p w14:paraId="06CC8B85">
            <w:pPr>
              <w:widowControl/>
              <w:rPr>
                <w:rFonts w:hint="eastAsia" w:ascii="宋体" w:hAnsi="宋体" w:eastAsia="宋体" w:cs="宋体"/>
                <w:color w:val="auto"/>
                <w:sz w:val="18"/>
                <w:szCs w:val="18"/>
                <w:highlight w:val="none"/>
              </w:rPr>
            </w:pPr>
          </w:p>
        </w:tc>
        <w:tc>
          <w:tcPr>
            <w:tcW w:w="1701" w:type="dxa"/>
            <w:noWrap w:val="0"/>
            <w:vAlign w:val="top"/>
          </w:tcPr>
          <w:p w14:paraId="499F7F27">
            <w:pPr>
              <w:widowControl/>
              <w:rPr>
                <w:rFonts w:hint="eastAsia" w:ascii="宋体" w:hAnsi="宋体" w:eastAsia="宋体" w:cs="宋体"/>
                <w:color w:val="auto"/>
                <w:sz w:val="18"/>
                <w:szCs w:val="18"/>
                <w:highlight w:val="none"/>
              </w:rPr>
            </w:pPr>
          </w:p>
        </w:tc>
        <w:tc>
          <w:tcPr>
            <w:tcW w:w="528" w:type="dxa"/>
            <w:noWrap w:val="0"/>
            <w:vAlign w:val="top"/>
          </w:tcPr>
          <w:p w14:paraId="02415240">
            <w:pPr>
              <w:widowControl/>
              <w:rPr>
                <w:rFonts w:hint="eastAsia" w:ascii="宋体" w:hAnsi="宋体" w:eastAsia="宋体" w:cs="宋体"/>
                <w:color w:val="auto"/>
                <w:sz w:val="18"/>
                <w:szCs w:val="18"/>
                <w:highlight w:val="none"/>
              </w:rPr>
            </w:pPr>
          </w:p>
        </w:tc>
      </w:tr>
      <w:tr w14:paraId="4E01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1E5F3165">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10</w:t>
            </w:r>
          </w:p>
        </w:tc>
        <w:tc>
          <w:tcPr>
            <w:tcW w:w="1786" w:type="dxa"/>
            <w:shd w:val="clear" w:color="auto" w:fill="FFFFFF"/>
            <w:noWrap w:val="0"/>
            <w:vAlign w:val="center"/>
          </w:tcPr>
          <w:p w14:paraId="5C06C5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远程数据采集与传输设备</w:t>
            </w:r>
          </w:p>
        </w:tc>
        <w:tc>
          <w:tcPr>
            <w:tcW w:w="946" w:type="dxa"/>
            <w:shd w:val="clear" w:color="auto" w:fill="auto"/>
            <w:noWrap w:val="0"/>
            <w:vAlign w:val="top"/>
          </w:tcPr>
          <w:p w14:paraId="40D57135">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376EC836">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46385E20">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548F7E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7564C3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45F76A2E">
            <w:pPr>
              <w:widowControl/>
              <w:rPr>
                <w:rFonts w:hint="eastAsia" w:ascii="宋体" w:hAnsi="宋体" w:eastAsia="宋体" w:cs="宋体"/>
                <w:color w:val="auto"/>
                <w:sz w:val="18"/>
                <w:szCs w:val="18"/>
                <w:highlight w:val="none"/>
              </w:rPr>
            </w:pPr>
          </w:p>
        </w:tc>
        <w:tc>
          <w:tcPr>
            <w:tcW w:w="1701" w:type="dxa"/>
            <w:noWrap w:val="0"/>
            <w:vAlign w:val="top"/>
          </w:tcPr>
          <w:p w14:paraId="437C2D4E">
            <w:pPr>
              <w:widowControl/>
              <w:rPr>
                <w:rFonts w:hint="eastAsia" w:ascii="宋体" w:hAnsi="宋体" w:eastAsia="宋体" w:cs="宋体"/>
                <w:color w:val="auto"/>
                <w:sz w:val="18"/>
                <w:szCs w:val="18"/>
                <w:highlight w:val="none"/>
              </w:rPr>
            </w:pPr>
          </w:p>
        </w:tc>
        <w:tc>
          <w:tcPr>
            <w:tcW w:w="528" w:type="dxa"/>
            <w:noWrap w:val="0"/>
            <w:vAlign w:val="top"/>
          </w:tcPr>
          <w:p w14:paraId="047E7AF0">
            <w:pPr>
              <w:widowControl/>
              <w:rPr>
                <w:rFonts w:hint="eastAsia" w:ascii="宋体" w:hAnsi="宋体" w:eastAsia="宋体" w:cs="宋体"/>
                <w:color w:val="auto"/>
                <w:sz w:val="18"/>
                <w:szCs w:val="18"/>
                <w:highlight w:val="none"/>
              </w:rPr>
            </w:pPr>
          </w:p>
        </w:tc>
      </w:tr>
      <w:tr w14:paraId="6B42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4B2B6CD6">
            <w:pPr>
              <w:widowControl/>
              <w:rPr>
                <w:rFonts w:hint="eastAsia" w:ascii="宋体" w:hAnsi="宋体" w:eastAsia="宋体" w:cs="宋体"/>
                <w:color w:val="auto"/>
                <w:sz w:val="18"/>
                <w:szCs w:val="18"/>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三、监测预警平台开发</w:t>
            </w:r>
          </w:p>
        </w:tc>
      </w:tr>
      <w:tr w14:paraId="24A6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9FCA64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022934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生态系统管理模块</w:t>
            </w:r>
          </w:p>
        </w:tc>
        <w:tc>
          <w:tcPr>
            <w:tcW w:w="946" w:type="dxa"/>
            <w:noWrap w:val="0"/>
            <w:vAlign w:val="top"/>
          </w:tcPr>
          <w:p w14:paraId="4CEC7CAD">
            <w:pPr>
              <w:widowControl/>
              <w:rPr>
                <w:rFonts w:hint="eastAsia" w:ascii="宋体" w:hAnsi="宋体" w:eastAsia="宋体" w:cs="宋体"/>
                <w:color w:val="auto"/>
                <w:sz w:val="18"/>
                <w:szCs w:val="18"/>
                <w:highlight w:val="none"/>
              </w:rPr>
            </w:pPr>
          </w:p>
        </w:tc>
        <w:tc>
          <w:tcPr>
            <w:tcW w:w="946" w:type="dxa"/>
            <w:noWrap w:val="0"/>
            <w:vAlign w:val="top"/>
          </w:tcPr>
          <w:p w14:paraId="2E296607">
            <w:pPr>
              <w:widowControl/>
              <w:rPr>
                <w:rFonts w:hint="eastAsia" w:ascii="宋体" w:hAnsi="宋体" w:eastAsia="宋体" w:cs="宋体"/>
                <w:color w:val="auto"/>
                <w:sz w:val="18"/>
                <w:szCs w:val="18"/>
                <w:highlight w:val="none"/>
              </w:rPr>
            </w:pPr>
          </w:p>
        </w:tc>
        <w:tc>
          <w:tcPr>
            <w:tcW w:w="1307" w:type="dxa"/>
            <w:noWrap w:val="0"/>
            <w:vAlign w:val="top"/>
          </w:tcPr>
          <w:p w14:paraId="4E7B5096">
            <w:pPr>
              <w:widowControl/>
              <w:rPr>
                <w:rFonts w:hint="eastAsia" w:ascii="宋体" w:hAnsi="宋体" w:eastAsia="宋体" w:cs="宋体"/>
                <w:color w:val="auto"/>
                <w:sz w:val="18"/>
                <w:szCs w:val="18"/>
                <w:highlight w:val="none"/>
              </w:rPr>
            </w:pPr>
          </w:p>
        </w:tc>
        <w:tc>
          <w:tcPr>
            <w:tcW w:w="942" w:type="dxa"/>
            <w:noWrap w:val="0"/>
            <w:vAlign w:val="center"/>
          </w:tcPr>
          <w:p w14:paraId="103EF9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1F12D0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491F5A91">
            <w:pPr>
              <w:widowControl/>
              <w:rPr>
                <w:rFonts w:hint="eastAsia" w:ascii="宋体" w:hAnsi="宋体" w:eastAsia="宋体" w:cs="宋体"/>
                <w:color w:val="auto"/>
                <w:sz w:val="18"/>
                <w:szCs w:val="18"/>
                <w:highlight w:val="none"/>
              </w:rPr>
            </w:pPr>
          </w:p>
        </w:tc>
        <w:tc>
          <w:tcPr>
            <w:tcW w:w="1701" w:type="dxa"/>
            <w:noWrap w:val="0"/>
            <w:vAlign w:val="top"/>
          </w:tcPr>
          <w:p w14:paraId="423AEFD4">
            <w:pPr>
              <w:widowControl/>
              <w:rPr>
                <w:rFonts w:hint="eastAsia" w:ascii="宋体" w:hAnsi="宋体" w:eastAsia="宋体" w:cs="宋体"/>
                <w:color w:val="auto"/>
                <w:sz w:val="18"/>
                <w:szCs w:val="18"/>
                <w:highlight w:val="none"/>
              </w:rPr>
            </w:pPr>
          </w:p>
        </w:tc>
        <w:tc>
          <w:tcPr>
            <w:tcW w:w="528" w:type="dxa"/>
            <w:noWrap w:val="0"/>
            <w:vAlign w:val="top"/>
          </w:tcPr>
          <w:p w14:paraId="5CB7D1DF">
            <w:pPr>
              <w:widowControl/>
              <w:rPr>
                <w:rFonts w:hint="eastAsia" w:ascii="宋体" w:hAnsi="宋体" w:eastAsia="宋体" w:cs="宋体"/>
                <w:color w:val="auto"/>
                <w:sz w:val="18"/>
                <w:szCs w:val="18"/>
                <w:highlight w:val="none"/>
              </w:rPr>
            </w:pPr>
          </w:p>
        </w:tc>
      </w:tr>
      <w:tr w14:paraId="1D0B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1A717C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noWrap w:val="0"/>
            <w:vAlign w:val="center"/>
          </w:tcPr>
          <w:p w14:paraId="36E7FC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无人机管理模块</w:t>
            </w:r>
          </w:p>
        </w:tc>
        <w:tc>
          <w:tcPr>
            <w:tcW w:w="946" w:type="dxa"/>
            <w:noWrap w:val="0"/>
            <w:vAlign w:val="top"/>
          </w:tcPr>
          <w:p w14:paraId="53E007E8">
            <w:pPr>
              <w:widowControl/>
              <w:rPr>
                <w:rFonts w:hint="eastAsia" w:ascii="宋体" w:hAnsi="宋体" w:eastAsia="宋体" w:cs="宋体"/>
                <w:color w:val="auto"/>
                <w:sz w:val="18"/>
                <w:szCs w:val="18"/>
                <w:highlight w:val="none"/>
              </w:rPr>
            </w:pPr>
          </w:p>
        </w:tc>
        <w:tc>
          <w:tcPr>
            <w:tcW w:w="946" w:type="dxa"/>
            <w:noWrap w:val="0"/>
            <w:vAlign w:val="top"/>
          </w:tcPr>
          <w:p w14:paraId="52B42276">
            <w:pPr>
              <w:widowControl/>
              <w:rPr>
                <w:rFonts w:hint="eastAsia" w:ascii="宋体" w:hAnsi="宋体" w:eastAsia="宋体" w:cs="宋体"/>
                <w:color w:val="auto"/>
                <w:sz w:val="18"/>
                <w:szCs w:val="18"/>
                <w:highlight w:val="none"/>
              </w:rPr>
            </w:pPr>
          </w:p>
        </w:tc>
        <w:tc>
          <w:tcPr>
            <w:tcW w:w="1307" w:type="dxa"/>
            <w:noWrap w:val="0"/>
            <w:vAlign w:val="top"/>
          </w:tcPr>
          <w:p w14:paraId="5A28FFC3">
            <w:pPr>
              <w:widowControl/>
              <w:rPr>
                <w:rFonts w:hint="eastAsia" w:ascii="宋体" w:hAnsi="宋体" w:eastAsia="宋体" w:cs="宋体"/>
                <w:color w:val="auto"/>
                <w:sz w:val="18"/>
                <w:szCs w:val="18"/>
                <w:highlight w:val="none"/>
              </w:rPr>
            </w:pPr>
          </w:p>
        </w:tc>
        <w:tc>
          <w:tcPr>
            <w:tcW w:w="942" w:type="dxa"/>
            <w:noWrap w:val="0"/>
            <w:vAlign w:val="center"/>
          </w:tcPr>
          <w:p w14:paraId="603093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5A2EC9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5CD178AF">
            <w:pPr>
              <w:widowControl/>
              <w:rPr>
                <w:rFonts w:hint="eastAsia" w:ascii="宋体" w:hAnsi="宋体" w:eastAsia="宋体" w:cs="宋体"/>
                <w:color w:val="auto"/>
                <w:sz w:val="18"/>
                <w:szCs w:val="18"/>
                <w:highlight w:val="none"/>
              </w:rPr>
            </w:pPr>
          </w:p>
        </w:tc>
        <w:tc>
          <w:tcPr>
            <w:tcW w:w="1701" w:type="dxa"/>
            <w:noWrap w:val="0"/>
            <w:vAlign w:val="top"/>
          </w:tcPr>
          <w:p w14:paraId="1DC38D8B">
            <w:pPr>
              <w:widowControl/>
              <w:rPr>
                <w:rFonts w:hint="eastAsia" w:ascii="宋体" w:hAnsi="宋体" w:eastAsia="宋体" w:cs="宋体"/>
                <w:color w:val="auto"/>
                <w:sz w:val="18"/>
                <w:szCs w:val="18"/>
                <w:highlight w:val="none"/>
              </w:rPr>
            </w:pPr>
          </w:p>
        </w:tc>
        <w:tc>
          <w:tcPr>
            <w:tcW w:w="528" w:type="dxa"/>
            <w:noWrap w:val="0"/>
            <w:vAlign w:val="top"/>
          </w:tcPr>
          <w:p w14:paraId="3B18A9AD">
            <w:pPr>
              <w:widowControl/>
              <w:rPr>
                <w:rFonts w:hint="eastAsia" w:ascii="宋体" w:hAnsi="宋体" w:eastAsia="宋体" w:cs="宋体"/>
                <w:color w:val="auto"/>
                <w:sz w:val="18"/>
                <w:szCs w:val="18"/>
                <w:highlight w:val="none"/>
              </w:rPr>
            </w:pPr>
          </w:p>
        </w:tc>
      </w:tr>
      <w:tr w14:paraId="1F92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20D6BF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noWrap w:val="0"/>
            <w:vAlign w:val="center"/>
          </w:tcPr>
          <w:p w14:paraId="40CFEA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环境要素管理模块</w:t>
            </w:r>
          </w:p>
        </w:tc>
        <w:tc>
          <w:tcPr>
            <w:tcW w:w="946" w:type="dxa"/>
            <w:noWrap w:val="0"/>
            <w:vAlign w:val="top"/>
          </w:tcPr>
          <w:p w14:paraId="0B3E9693">
            <w:pPr>
              <w:widowControl/>
              <w:rPr>
                <w:rFonts w:hint="eastAsia" w:ascii="宋体" w:hAnsi="宋体" w:eastAsia="宋体" w:cs="宋体"/>
                <w:color w:val="auto"/>
                <w:sz w:val="18"/>
                <w:szCs w:val="18"/>
                <w:highlight w:val="none"/>
              </w:rPr>
            </w:pPr>
          </w:p>
        </w:tc>
        <w:tc>
          <w:tcPr>
            <w:tcW w:w="946" w:type="dxa"/>
            <w:noWrap w:val="0"/>
            <w:vAlign w:val="top"/>
          </w:tcPr>
          <w:p w14:paraId="6DB2B1E0">
            <w:pPr>
              <w:widowControl/>
              <w:rPr>
                <w:rFonts w:hint="eastAsia" w:ascii="宋体" w:hAnsi="宋体" w:eastAsia="宋体" w:cs="宋体"/>
                <w:color w:val="auto"/>
                <w:sz w:val="18"/>
                <w:szCs w:val="18"/>
                <w:highlight w:val="none"/>
              </w:rPr>
            </w:pPr>
          </w:p>
        </w:tc>
        <w:tc>
          <w:tcPr>
            <w:tcW w:w="1307" w:type="dxa"/>
            <w:noWrap w:val="0"/>
            <w:vAlign w:val="top"/>
          </w:tcPr>
          <w:p w14:paraId="60464930">
            <w:pPr>
              <w:widowControl/>
              <w:rPr>
                <w:rFonts w:hint="eastAsia" w:ascii="宋体" w:hAnsi="宋体" w:eastAsia="宋体" w:cs="宋体"/>
                <w:color w:val="auto"/>
                <w:sz w:val="18"/>
                <w:szCs w:val="18"/>
                <w:highlight w:val="none"/>
              </w:rPr>
            </w:pPr>
          </w:p>
        </w:tc>
        <w:tc>
          <w:tcPr>
            <w:tcW w:w="942" w:type="dxa"/>
            <w:noWrap w:val="0"/>
            <w:vAlign w:val="center"/>
          </w:tcPr>
          <w:p w14:paraId="2458F4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2AEEEE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352CBD5F">
            <w:pPr>
              <w:widowControl/>
              <w:rPr>
                <w:rFonts w:hint="eastAsia" w:ascii="宋体" w:hAnsi="宋体" w:eastAsia="宋体" w:cs="宋体"/>
                <w:color w:val="auto"/>
                <w:sz w:val="18"/>
                <w:szCs w:val="18"/>
                <w:highlight w:val="none"/>
              </w:rPr>
            </w:pPr>
          </w:p>
        </w:tc>
        <w:tc>
          <w:tcPr>
            <w:tcW w:w="1701" w:type="dxa"/>
            <w:noWrap w:val="0"/>
            <w:vAlign w:val="top"/>
          </w:tcPr>
          <w:p w14:paraId="67F72C6A">
            <w:pPr>
              <w:widowControl/>
              <w:rPr>
                <w:rFonts w:hint="eastAsia" w:ascii="宋体" w:hAnsi="宋体" w:eastAsia="宋体" w:cs="宋体"/>
                <w:color w:val="auto"/>
                <w:sz w:val="18"/>
                <w:szCs w:val="18"/>
                <w:highlight w:val="none"/>
              </w:rPr>
            </w:pPr>
          </w:p>
        </w:tc>
        <w:tc>
          <w:tcPr>
            <w:tcW w:w="528" w:type="dxa"/>
            <w:noWrap w:val="0"/>
            <w:vAlign w:val="top"/>
          </w:tcPr>
          <w:p w14:paraId="1841BC3A">
            <w:pPr>
              <w:widowControl/>
              <w:rPr>
                <w:rFonts w:hint="eastAsia" w:ascii="宋体" w:hAnsi="宋体" w:eastAsia="宋体" w:cs="宋体"/>
                <w:color w:val="auto"/>
                <w:sz w:val="18"/>
                <w:szCs w:val="18"/>
                <w:highlight w:val="none"/>
              </w:rPr>
            </w:pPr>
          </w:p>
        </w:tc>
      </w:tr>
      <w:tr w14:paraId="7D51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F4413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noWrap w:val="0"/>
            <w:vAlign w:val="center"/>
          </w:tcPr>
          <w:p w14:paraId="4038B9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生物多样性管理模块</w:t>
            </w:r>
          </w:p>
        </w:tc>
        <w:tc>
          <w:tcPr>
            <w:tcW w:w="946" w:type="dxa"/>
            <w:noWrap w:val="0"/>
            <w:vAlign w:val="top"/>
          </w:tcPr>
          <w:p w14:paraId="66786B39">
            <w:pPr>
              <w:widowControl/>
              <w:rPr>
                <w:rFonts w:hint="eastAsia" w:ascii="宋体" w:hAnsi="宋体" w:eastAsia="宋体" w:cs="宋体"/>
                <w:color w:val="auto"/>
                <w:sz w:val="18"/>
                <w:szCs w:val="18"/>
                <w:highlight w:val="none"/>
              </w:rPr>
            </w:pPr>
          </w:p>
        </w:tc>
        <w:tc>
          <w:tcPr>
            <w:tcW w:w="946" w:type="dxa"/>
            <w:noWrap w:val="0"/>
            <w:vAlign w:val="top"/>
          </w:tcPr>
          <w:p w14:paraId="73698750">
            <w:pPr>
              <w:widowControl/>
              <w:rPr>
                <w:rFonts w:hint="eastAsia" w:ascii="宋体" w:hAnsi="宋体" w:eastAsia="宋体" w:cs="宋体"/>
                <w:color w:val="auto"/>
                <w:sz w:val="18"/>
                <w:szCs w:val="18"/>
                <w:highlight w:val="none"/>
              </w:rPr>
            </w:pPr>
          </w:p>
        </w:tc>
        <w:tc>
          <w:tcPr>
            <w:tcW w:w="1307" w:type="dxa"/>
            <w:noWrap w:val="0"/>
            <w:vAlign w:val="top"/>
          </w:tcPr>
          <w:p w14:paraId="0A4DCEC9">
            <w:pPr>
              <w:widowControl/>
              <w:rPr>
                <w:rFonts w:hint="eastAsia" w:ascii="宋体" w:hAnsi="宋体" w:eastAsia="宋体" w:cs="宋体"/>
                <w:color w:val="auto"/>
                <w:sz w:val="18"/>
                <w:szCs w:val="18"/>
                <w:highlight w:val="none"/>
              </w:rPr>
            </w:pPr>
          </w:p>
        </w:tc>
        <w:tc>
          <w:tcPr>
            <w:tcW w:w="942" w:type="dxa"/>
            <w:noWrap w:val="0"/>
            <w:vAlign w:val="center"/>
          </w:tcPr>
          <w:p w14:paraId="5AFA25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422E98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199CFAD4">
            <w:pPr>
              <w:widowControl/>
              <w:rPr>
                <w:rFonts w:hint="eastAsia" w:ascii="宋体" w:hAnsi="宋体" w:eastAsia="宋体" w:cs="宋体"/>
                <w:color w:val="auto"/>
                <w:sz w:val="18"/>
                <w:szCs w:val="18"/>
                <w:highlight w:val="none"/>
              </w:rPr>
            </w:pPr>
          </w:p>
        </w:tc>
        <w:tc>
          <w:tcPr>
            <w:tcW w:w="1701" w:type="dxa"/>
            <w:noWrap w:val="0"/>
            <w:vAlign w:val="top"/>
          </w:tcPr>
          <w:p w14:paraId="44345F45">
            <w:pPr>
              <w:widowControl/>
              <w:rPr>
                <w:rFonts w:hint="eastAsia" w:ascii="宋体" w:hAnsi="宋体" w:eastAsia="宋体" w:cs="宋体"/>
                <w:color w:val="auto"/>
                <w:sz w:val="18"/>
                <w:szCs w:val="18"/>
                <w:highlight w:val="none"/>
              </w:rPr>
            </w:pPr>
          </w:p>
        </w:tc>
        <w:tc>
          <w:tcPr>
            <w:tcW w:w="528" w:type="dxa"/>
            <w:noWrap w:val="0"/>
            <w:vAlign w:val="top"/>
          </w:tcPr>
          <w:p w14:paraId="74FF2A70">
            <w:pPr>
              <w:widowControl/>
              <w:rPr>
                <w:rFonts w:hint="eastAsia" w:ascii="宋体" w:hAnsi="宋体" w:eastAsia="宋体" w:cs="宋体"/>
                <w:color w:val="auto"/>
                <w:sz w:val="18"/>
                <w:szCs w:val="18"/>
                <w:highlight w:val="none"/>
              </w:rPr>
            </w:pPr>
          </w:p>
        </w:tc>
      </w:tr>
      <w:tr w14:paraId="2D87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46EF0E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noWrap w:val="0"/>
            <w:vAlign w:val="center"/>
          </w:tcPr>
          <w:p w14:paraId="41408D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人为干扰活动管理模块</w:t>
            </w:r>
          </w:p>
        </w:tc>
        <w:tc>
          <w:tcPr>
            <w:tcW w:w="946" w:type="dxa"/>
            <w:noWrap w:val="0"/>
            <w:vAlign w:val="top"/>
          </w:tcPr>
          <w:p w14:paraId="1297FF8E">
            <w:pPr>
              <w:widowControl/>
              <w:rPr>
                <w:rFonts w:hint="eastAsia" w:ascii="宋体" w:hAnsi="宋体" w:eastAsia="宋体" w:cs="宋体"/>
                <w:color w:val="auto"/>
                <w:sz w:val="18"/>
                <w:szCs w:val="18"/>
                <w:highlight w:val="none"/>
              </w:rPr>
            </w:pPr>
          </w:p>
        </w:tc>
        <w:tc>
          <w:tcPr>
            <w:tcW w:w="946" w:type="dxa"/>
            <w:noWrap w:val="0"/>
            <w:vAlign w:val="top"/>
          </w:tcPr>
          <w:p w14:paraId="012450A4">
            <w:pPr>
              <w:widowControl/>
              <w:rPr>
                <w:rFonts w:hint="eastAsia" w:ascii="宋体" w:hAnsi="宋体" w:eastAsia="宋体" w:cs="宋体"/>
                <w:color w:val="auto"/>
                <w:sz w:val="18"/>
                <w:szCs w:val="18"/>
                <w:highlight w:val="none"/>
              </w:rPr>
            </w:pPr>
          </w:p>
        </w:tc>
        <w:tc>
          <w:tcPr>
            <w:tcW w:w="1307" w:type="dxa"/>
            <w:noWrap w:val="0"/>
            <w:vAlign w:val="top"/>
          </w:tcPr>
          <w:p w14:paraId="7662E6E3">
            <w:pPr>
              <w:widowControl/>
              <w:rPr>
                <w:rFonts w:hint="eastAsia" w:ascii="宋体" w:hAnsi="宋体" w:eastAsia="宋体" w:cs="宋体"/>
                <w:color w:val="auto"/>
                <w:sz w:val="18"/>
                <w:szCs w:val="18"/>
                <w:highlight w:val="none"/>
              </w:rPr>
            </w:pPr>
          </w:p>
        </w:tc>
        <w:tc>
          <w:tcPr>
            <w:tcW w:w="942" w:type="dxa"/>
            <w:noWrap w:val="0"/>
            <w:vAlign w:val="center"/>
          </w:tcPr>
          <w:p w14:paraId="19A136B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15778C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3E0E3765">
            <w:pPr>
              <w:widowControl/>
              <w:rPr>
                <w:rFonts w:hint="eastAsia" w:ascii="宋体" w:hAnsi="宋体" w:eastAsia="宋体" w:cs="宋体"/>
                <w:color w:val="auto"/>
                <w:sz w:val="18"/>
                <w:szCs w:val="18"/>
                <w:highlight w:val="none"/>
              </w:rPr>
            </w:pPr>
          </w:p>
        </w:tc>
        <w:tc>
          <w:tcPr>
            <w:tcW w:w="1701" w:type="dxa"/>
            <w:noWrap w:val="0"/>
            <w:vAlign w:val="top"/>
          </w:tcPr>
          <w:p w14:paraId="547D2BB8">
            <w:pPr>
              <w:widowControl/>
              <w:rPr>
                <w:rFonts w:hint="eastAsia" w:ascii="宋体" w:hAnsi="宋体" w:eastAsia="宋体" w:cs="宋体"/>
                <w:color w:val="auto"/>
                <w:sz w:val="18"/>
                <w:szCs w:val="18"/>
                <w:highlight w:val="none"/>
              </w:rPr>
            </w:pPr>
          </w:p>
        </w:tc>
        <w:tc>
          <w:tcPr>
            <w:tcW w:w="528" w:type="dxa"/>
            <w:noWrap w:val="0"/>
            <w:vAlign w:val="top"/>
          </w:tcPr>
          <w:p w14:paraId="40032141">
            <w:pPr>
              <w:widowControl/>
              <w:rPr>
                <w:rFonts w:hint="eastAsia" w:ascii="宋体" w:hAnsi="宋体" w:eastAsia="宋体" w:cs="宋体"/>
                <w:color w:val="auto"/>
                <w:sz w:val="18"/>
                <w:szCs w:val="18"/>
                <w:highlight w:val="none"/>
              </w:rPr>
            </w:pPr>
          </w:p>
        </w:tc>
      </w:tr>
      <w:tr w14:paraId="7E31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0F8CAA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shd w:val="clear" w:color="auto" w:fill="FFFFFF"/>
            <w:noWrap w:val="0"/>
            <w:vAlign w:val="center"/>
          </w:tcPr>
          <w:p w14:paraId="0A6F5C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火情识别预警模块</w:t>
            </w:r>
          </w:p>
        </w:tc>
        <w:tc>
          <w:tcPr>
            <w:tcW w:w="946" w:type="dxa"/>
            <w:shd w:val="clear" w:color="auto" w:fill="auto"/>
            <w:noWrap w:val="0"/>
            <w:vAlign w:val="top"/>
          </w:tcPr>
          <w:p w14:paraId="6C7ECCCE">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7B0844E6">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050F7606">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65B765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40D4F2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03FEABC6">
            <w:pPr>
              <w:widowControl/>
              <w:rPr>
                <w:rFonts w:hint="eastAsia" w:ascii="宋体" w:hAnsi="宋体" w:eastAsia="宋体" w:cs="宋体"/>
                <w:color w:val="auto"/>
                <w:sz w:val="18"/>
                <w:szCs w:val="18"/>
                <w:highlight w:val="none"/>
              </w:rPr>
            </w:pPr>
          </w:p>
        </w:tc>
        <w:tc>
          <w:tcPr>
            <w:tcW w:w="1701" w:type="dxa"/>
            <w:noWrap w:val="0"/>
            <w:vAlign w:val="top"/>
          </w:tcPr>
          <w:p w14:paraId="4ABD199D">
            <w:pPr>
              <w:widowControl/>
              <w:rPr>
                <w:rFonts w:hint="eastAsia" w:ascii="宋体" w:hAnsi="宋体" w:eastAsia="宋体" w:cs="宋体"/>
                <w:color w:val="auto"/>
                <w:sz w:val="18"/>
                <w:szCs w:val="18"/>
                <w:highlight w:val="none"/>
              </w:rPr>
            </w:pPr>
          </w:p>
        </w:tc>
        <w:tc>
          <w:tcPr>
            <w:tcW w:w="528" w:type="dxa"/>
            <w:noWrap w:val="0"/>
            <w:vAlign w:val="top"/>
          </w:tcPr>
          <w:p w14:paraId="38C5B45C">
            <w:pPr>
              <w:widowControl/>
              <w:rPr>
                <w:rFonts w:hint="eastAsia" w:ascii="宋体" w:hAnsi="宋体" w:eastAsia="宋体" w:cs="宋体"/>
                <w:color w:val="auto"/>
                <w:sz w:val="18"/>
                <w:szCs w:val="18"/>
                <w:highlight w:val="none"/>
              </w:rPr>
            </w:pPr>
          </w:p>
        </w:tc>
      </w:tr>
      <w:tr w14:paraId="65A8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25F197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shd w:val="clear" w:color="auto" w:fill="FFFFFF"/>
            <w:noWrap w:val="0"/>
            <w:vAlign w:val="center"/>
          </w:tcPr>
          <w:p w14:paraId="1A4825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生态安全风险监测预警信息平台“一张图”</w:t>
            </w:r>
          </w:p>
        </w:tc>
        <w:tc>
          <w:tcPr>
            <w:tcW w:w="946" w:type="dxa"/>
            <w:shd w:val="clear" w:color="auto" w:fill="auto"/>
            <w:noWrap w:val="0"/>
            <w:vAlign w:val="top"/>
          </w:tcPr>
          <w:p w14:paraId="0B5BBA81">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681DAE13">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786BCF76">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62932A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2F6709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753AF5D2">
            <w:pPr>
              <w:widowControl/>
              <w:rPr>
                <w:rFonts w:hint="eastAsia" w:ascii="宋体" w:hAnsi="宋体" w:eastAsia="宋体" w:cs="宋体"/>
                <w:color w:val="auto"/>
                <w:sz w:val="18"/>
                <w:szCs w:val="18"/>
                <w:highlight w:val="none"/>
              </w:rPr>
            </w:pPr>
          </w:p>
        </w:tc>
        <w:tc>
          <w:tcPr>
            <w:tcW w:w="1701" w:type="dxa"/>
            <w:noWrap w:val="0"/>
            <w:vAlign w:val="top"/>
          </w:tcPr>
          <w:p w14:paraId="61B9D2D4">
            <w:pPr>
              <w:widowControl/>
              <w:rPr>
                <w:rFonts w:hint="eastAsia" w:ascii="宋体" w:hAnsi="宋体" w:eastAsia="宋体" w:cs="宋体"/>
                <w:color w:val="auto"/>
                <w:sz w:val="18"/>
                <w:szCs w:val="18"/>
                <w:highlight w:val="none"/>
              </w:rPr>
            </w:pPr>
          </w:p>
        </w:tc>
        <w:tc>
          <w:tcPr>
            <w:tcW w:w="528" w:type="dxa"/>
            <w:noWrap w:val="0"/>
            <w:vAlign w:val="top"/>
          </w:tcPr>
          <w:p w14:paraId="2B4F70E9">
            <w:pPr>
              <w:widowControl/>
              <w:rPr>
                <w:rFonts w:hint="eastAsia" w:ascii="宋体" w:hAnsi="宋体" w:eastAsia="宋体" w:cs="宋体"/>
                <w:color w:val="auto"/>
                <w:sz w:val="18"/>
                <w:szCs w:val="18"/>
                <w:highlight w:val="none"/>
              </w:rPr>
            </w:pPr>
          </w:p>
        </w:tc>
      </w:tr>
      <w:tr w14:paraId="725B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6B6682B2">
            <w:pPr>
              <w:widowControl/>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四、设备运维服务</w:t>
            </w:r>
            <w:r>
              <w:rPr>
                <w:rFonts w:hint="eastAsia" w:ascii="宋体" w:hAnsi="宋体" w:cs="宋体"/>
                <w:color w:val="auto"/>
                <w:sz w:val="21"/>
                <w:szCs w:val="21"/>
                <w:highlight w:val="none"/>
                <w:lang w:val="en-US" w:eastAsia="zh-CN"/>
              </w:rPr>
              <w:t>（合同履行期限内）</w:t>
            </w:r>
          </w:p>
        </w:tc>
      </w:tr>
      <w:tr w14:paraId="19C4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5464747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0806AEB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设备安装与运维</w:t>
            </w:r>
          </w:p>
        </w:tc>
        <w:tc>
          <w:tcPr>
            <w:tcW w:w="946" w:type="dxa"/>
            <w:noWrap w:val="0"/>
            <w:vAlign w:val="center"/>
          </w:tcPr>
          <w:p w14:paraId="17EB736D">
            <w:pPr>
              <w:widowControl/>
              <w:rPr>
                <w:rFonts w:hint="eastAsia" w:ascii="宋体" w:hAnsi="宋体" w:eastAsia="宋体" w:cs="宋体"/>
                <w:color w:val="auto"/>
                <w:sz w:val="18"/>
                <w:szCs w:val="18"/>
                <w:highlight w:val="none"/>
              </w:rPr>
            </w:pPr>
          </w:p>
        </w:tc>
        <w:tc>
          <w:tcPr>
            <w:tcW w:w="946" w:type="dxa"/>
            <w:noWrap w:val="0"/>
            <w:vAlign w:val="center"/>
          </w:tcPr>
          <w:p w14:paraId="0A338035">
            <w:pPr>
              <w:widowControl/>
              <w:rPr>
                <w:rFonts w:hint="eastAsia" w:ascii="宋体" w:hAnsi="宋体" w:eastAsia="宋体" w:cs="宋体"/>
                <w:color w:val="auto"/>
                <w:sz w:val="18"/>
                <w:szCs w:val="18"/>
                <w:highlight w:val="none"/>
              </w:rPr>
            </w:pPr>
          </w:p>
        </w:tc>
        <w:tc>
          <w:tcPr>
            <w:tcW w:w="1307" w:type="dxa"/>
            <w:noWrap w:val="0"/>
            <w:vAlign w:val="top"/>
          </w:tcPr>
          <w:p w14:paraId="442FA1B2">
            <w:pPr>
              <w:widowControl/>
              <w:rPr>
                <w:rFonts w:hint="eastAsia" w:ascii="宋体" w:hAnsi="宋体" w:eastAsia="宋体" w:cs="宋体"/>
                <w:color w:val="auto"/>
                <w:sz w:val="18"/>
                <w:szCs w:val="18"/>
                <w:highlight w:val="none"/>
              </w:rPr>
            </w:pPr>
          </w:p>
        </w:tc>
        <w:tc>
          <w:tcPr>
            <w:tcW w:w="942" w:type="dxa"/>
            <w:noWrap w:val="0"/>
            <w:vAlign w:val="center"/>
          </w:tcPr>
          <w:p w14:paraId="2D7EA0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项</w:t>
            </w:r>
          </w:p>
        </w:tc>
        <w:tc>
          <w:tcPr>
            <w:tcW w:w="516" w:type="dxa"/>
            <w:noWrap w:val="0"/>
            <w:vAlign w:val="center"/>
          </w:tcPr>
          <w:p w14:paraId="23EC0E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03E6130E">
            <w:pPr>
              <w:widowControl/>
              <w:rPr>
                <w:rFonts w:hint="eastAsia" w:ascii="宋体" w:hAnsi="宋体" w:eastAsia="宋体" w:cs="宋体"/>
                <w:color w:val="auto"/>
                <w:sz w:val="18"/>
                <w:szCs w:val="18"/>
                <w:highlight w:val="none"/>
              </w:rPr>
            </w:pPr>
          </w:p>
        </w:tc>
        <w:tc>
          <w:tcPr>
            <w:tcW w:w="1701" w:type="dxa"/>
            <w:noWrap w:val="0"/>
            <w:vAlign w:val="top"/>
          </w:tcPr>
          <w:p w14:paraId="41F8B149">
            <w:pPr>
              <w:widowControl/>
              <w:rPr>
                <w:rFonts w:hint="eastAsia" w:ascii="宋体" w:hAnsi="宋体" w:eastAsia="宋体" w:cs="宋体"/>
                <w:color w:val="auto"/>
                <w:sz w:val="18"/>
                <w:szCs w:val="18"/>
                <w:highlight w:val="none"/>
              </w:rPr>
            </w:pPr>
          </w:p>
        </w:tc>
        <w:tc>
          <w:tcPr>
            <w:tcW w:w="528" w:type="dxa"/>
            <w:noWrap w:val="0"/>
            <w:vAlign w:val="top"/>
          </w:tcPr>
          <w:p w14:paraId="25524F51">
            <w:pPr>
              <w:widowControl/>
              <w:rPr>
                <w:rFonts w:hint="eastAsia" w:ascii="宋体" w:hAnsi="宋体" w:eastAsia="宋体" w:cs="宋体"/>
                <w:color w:val="auto"/>
                <w:sz w:val="18"/>
                <w:szCs w:val="18"/>
                <w:highlight w:val="none"/>
              </w:rPr>
            </w:pPr>
          </w:p>
        </w:tc>
      </w:tr>
      <w:tr w14:paraId="1320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234092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noWrap w:val="0"/>
            <w:vAlign w:val="center"/>
          </w:tcPr>
          <w:p w14:paraId="650C3E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长期数据专项保障</w:t>
            </w:r>
          </w:p>
        </w:tc>
        <w:tc>
          <w:tcPr>
            <w:tcW w:w="946" w:type="dxa"/>
            <w:noWrap w:val="0"/>
            <w:vAlign w:val="center"/>
          </w:tcPr>
          <w:p w14:paraId="65197267">
            <w:pPr>
              <w:widowControl/>
              <w:rPr>
                <w:rFonts w:hint="eastAsia" w:ascii="宋体" w:hAnsi="宋体" w:eastAsia="宋体" w:cs="宋体"/>
                <w:color w:val="auto"/>
                <w:sz w:val="18"/>
                <w:szCs w:val="18"/>
                <w:highlight w:val="none"/>
              </w:rPr>
            </w:pPr>
          </w:p>
        </w:tc>
        <w:tc>
          <w:tcPr>
            <w:tcW w:w="946" w:type="dxa"/>
            <w:noWrap w:val="0"/>
            <w:vAlign w:val="center"/>
          </w:tcPr>
          <w:p w14:paraId="2FF383A7">
            <w:pPr>
              <w:widowControl/>
              <w:rPr>
                <w:rFonts w:hint="eastAsia" w:ascii="宋体" w:hAnsi="宋体" w:eastAsia="宋体" w:cs="宋体"/>
                <w:color w:val="auto"/>
                <w:sz w:val="18"/>
                <w:szCs w:val="18"/>
                <w:highlight w:val="none"/>
              </w:rPr>
            </w:pPr>
          </w:p>
        </w:tc>
        <w:tc>
          <w:tcPr>
            <w:tcW w:w="1307" w:type="dxa"/>
            <w:noWrap w:val="0"/>
            <w:vAlign w:val="top"/>
          </w:tcPr>
          <w:p w14:paraId="67B1EF28">
            <w:pPr>
              <w:widowControl/>
              <w:rPr>
                <w:rFonts w:hint="eastAsia" w:ascii="宋体" w:hAnsi="宋体" w:eastAsia="宋体" w:cs="宋体"/>
                <w:color w:val="auto"/>
                <w:sz w:val="18"/>
                <w:szCs w:val="18"/>
                <w:highlight w:val="none"/>
              </w:rPr>
            </w:pPr>
          </w:p>
        </w:tc>
        <w:tc>
          <w:tcPr>
            <w:tcW w:w="942" w:type="dxa"/>
            <w:noWrap w:val="0"/>
            <w:vAlign w:val="center"/>
          </w:tcPr>
          <w:p w14:paraId="0F7F39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项</w:t>
            </w:r>
          </w:p>
        </w:tc>
        <w:tc>
          <w:tcPr>
            <w:tcW w:w="516" w:type="dxa"/>
            <w:noWrap w:val="0"/>
            <w:vAlign w:val="center"/>
          </w:tcPr>
          <w:p w14:paraId="1751B4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3CCABE41">
            <w:pPr>
              <w:widowControl/>
              <w:rPr>
                <w:rFonts w:hint="eastAsia" w:ascii="宋体" w:hAnsi="宋体" w:eastAsia="宋体" w:cs="宋体"/>
                <w:color w:val="auto"/>
                <w:sz w:val="18"/>
                <w:szCs w:val="18"/>
                <w:highlight w:val="none"/>
              </w:rPr>
            </w:pPr>
          </w:p>
        </w:tc>
        <w:tc>
          <w:tcPr>
            <w:tcW w:w="1701" w:type="dxa"/>
            <w:noWrap w:val="0"/>
            <w:vAlign w:val="top"/>
          </w:tcPr>
          <w:p w14:paraId="1219DC50">
            <w:pPr>
              <w:widowControl/>
              <w:rPr>
                <w:rFonts w:hint="eastAsia" w:ascii="宋体" w:hAnsi="宋体" w:eastAsia="宋体" w:cs="宋体"/>
                <w:color w:val="auto"/>
                <w:sz w:val="18"/>
                <w:szCs w:val="18"/>
                <w:highlight w:val="none"/>
              </w:rPr>
            </w:pPr>
          </w:p>
        </w:tc>
        <w:tc>
          <w:tcPr>
            <w:tcW w:w="528" w:type="dxa"/>
            <w:noWrap w:val="0"/>
            <w:vAlign w:val="top"/>
          </w:tcPr>
          <w:p w14:paraId="33D5D57C">
            <w:pPr>
              <w:widowControl/>
              <w:rPr>
                <w:rFonts w:hint="eastAsia" w:ascii="宋体" w:hAnsi="宋体" w:eastAsia="宋体" w:cs="宋体"/>
                <w:color w:val="auto"/>
                <w:sz w:val="18"/>
                <w:szCs w:val="18"/>
                <w:highlight w:val="none"/>
              </w:rPr>
            </w:pPr>
          </w:p>
        </w:tc>
      </w:tr>
      <w:tr w14:paraId="5A3F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7784" w:type="dxa"/>
            <w:gridSpan w:val="8"/>
            <w:noWrap w:val="0"/>
            <w:vAlign w:val="center"/>
          </w:tcPr>
          <w:p w14:paraId="5BC87787">
            <w:pPr>
              <w:widowControl/>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21"/>
                <w:szCs w:val="21"/>
                <w:highlight w:val="none"/>
                <w:lang w:val="en-US" w:eastAsia="zh-CN" w:bidi="ar-SA"/>
              </w:rPr>
              <w:t>合计（元）</w:t>
            </w:r>
          </w:p>
        </w:tc>
        <w:tc>
          <w:tcPr>
            <w:tcW w:w="1701" w:type="dxa"/>
            <w:noWrap w:val="0"/>
            <w:vAlign w:val="top"/>
          </w:tcPr>
          <w:p w14:paraId="07FAA755">
            <w:pPr>
              <w:widowControl/>
              <w:rPr>
                <w:rFonts w:hint="eastAsia" w:ascii="宋体" w:hAnsi="宋体" w:eastAsia="宋体" w:cs="宋体"/>
                <w:color w:val="auto"/>
                <w:sz w:val="18"/>
                <w:szCs w:val="18"/>
                <w:highlight w:val="none"/>
              </w:rPr>
            </w:pPr>
          </w:p>
        </w:tc>
        <w:tc>
          <w:tcPr>
            <w:tcW w:w="528" w:type="dxa"/>
            <w:noWrap w:val="0"/>
            <w:vAlign w:val="top"/>
          </w:tcPr>
          <w:p w14:paraId="30B09EB6">
            <w:pPr>
              <w:widowControl/>
              <w:rPr>
                <w:rFonts w:hint="eastAsia" w:ascii="宋体" w:hAnsi="宋体" w:eastAsia="宋体" w:cs="宋体"/>
                <w:color w:val="auto"/>
                <w:sz w:val="18"/>
                <w:szCs w:val="18"/>
                <w:highlight w:val="none"/>
              </w:rPr>
            </w:pPr>
          </w:p>
        </w:tc>
      </w:tr>
    </w:tbl>
    <w:p w14:paraId="4E0EF395">
      <w:pPr>
        <w:pStyle w:val="15"/>
        <w:rPr>
          <w:rFonts w:hint="eastAsia" w:ascii="宋体" w:hAnsi="宋体" w:eastAsia="宋体" w:cs="宋体"/>
          <w:color w:val="auto"/>
          <w:highlight w:val="none"/>
        </w:rPr>
      </w:pPr>
    </w:p>
    <w:p w14:paraId="5751F2B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二</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乙方必须按照上述第</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一</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项的内容按质、按量履行合同，否则视为乙方违约，乙方承担合同的违约责任。</w:t>
      </w:r>
    </w:p>
    <w:p w14:paraId="6E42B73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cs="宋体"/>
          <w:b/>
          <w:bCs/>
          <w:color w:val="auto"/>
          <w:szCs w:val="21"/>
          <w:highlight w:val="none"/>
        </w:rPr>
      </w:pPr>
      <w:bookmarkStart w:id="85" w:name="_Toc31137"/>
      <w:bookmarkStart w:id="86" w:name="_Toc31403"/>
      <w:r>
        <w:rPr>
          <w:rFonts w:hint="eastAsia" w:ascii="宋体" w:hAnsi="宋体" w:eastAsia="宋体" w:cs="宋体"/>
          <w:b/>
          <w:bCs/>
          <w:color w:val="auto"/>
          <w:spacing w:val="0"/>
          <w:sz w:val="21"/>
          <w:szCs w:val="21"/>
          <w:highlight w:val="none"/>
        </w:rPr>
        <w:t>三</w:t>
      </w:r>
      <w:r>
        <w:rPr>
          <w:rFonts w:hint="eastAsia" w:ascii="宋体" w:hAnsi="宋体" w:cs="宋体"/>
          <w:b/>
          <w:bCs/>
          <w:color w:val="auto"/>
          <w:szCs w:val="21"/>
          <w:highlight w:val="none"/>
        </w:rPr>
        <w:t>、产品使用要求</w:t>
      </w:r>
    </w:p>
    <w:p w14:paraId="409A773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b/>
          <w:bCs/>
          <w:color w:val="auto"/>
          <w:spacing w:val="0"/>
          <w:sz w:val="21"/>
          <w:szCs w:val="21"/>
          <w:highlight w:val="none"/>
          <w:lang w:eastAsia="zh-CN"/>
        </w:rPr>
      </w:pPr>
      <w:r>
        <w:rPr>
          <w:rFonts w:hint="eastAsia" w:ascii="宋体" w:hAnsi="宋体" w:cs="宋体"/>
          <w:b/>
          <w:bCs/>
          <w:color w:val="auto"/>
          <w:szCs w:val="21"/>
          <w:highlight w:val="none"/>
        </w:rPr>
        <w:t>产品使用符合国家和行业规定标准，并满足甲方技术要求</w:t>
      </w:r>
      <w:r>
        <w:rPr>
          <w:rFonts w:hint="eastAsia" w:ascii="宋体" w:hAnsi="宋体" w:cs="宋体"/>
          <w:b/>
          <w:bCs/>
          <w:color w:val="auto"/>
          <w:szCs w:val="21"/>
          <w:highlight w:val="none"/>
          <w:lang w:eastAsia="zh-CN"/>
        </w:rPr>
        <w:t>。</w:t>
      </w:r>
    </w:p>
    <w:p w14:paraId="070C1D0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cs="宋体"/>
          <w:b/>
          <w:bCs/>
          <w:color w:val="auto"/>
          <w:spacing w:val="0"/>
          <w:sz w:val="21"/>
          <w:szCs w:val="21"/>
          <w:highlight w:val="none"/>
          <w:lang w:eastAsia="zh-CN"/>
        </w:rPr>
        <w:t>四、</w:t>
      </w:r>
      <w:r>
        <w:rPr>
          <w:rFonts w:hint="eastAsia" w:ascii="宋体" w:hAnsi="宋体" w:eastAsia="宋体" w:cs="宋体"/>
          <w:b/>
          <w:bCs/>
          <w:color w:val="auto"/>
          <w:spacing w:val="0"/>
          <w:sz w:val="21"/>
          <w:szCs w:val="21"/>
          <w:highlight w:val="none"/>
        </w:rPr>
        <w:t>甲方乙方的权利和义务</w:t>
      </w:r>
      <w:bookmarkEnd w:id="85"/>
      <w:bookmarkEnd w:id="86"/>
    </w:p>
    <w:p w14:paraId="3947B95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一</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甲方的权利和义务</w:t>
      </w:r>
    </w:p>
    <w:p w14:paraId="4C807A1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1.在本合同的执行过程中，甲方将给乙方有关执行本合同所必需的支持和帮助，帮助协调执行本合同资料收集涉及单位的关系。</w:t>
      </w:r>
    </w:p>
    <w:p w14:paraId="34C08A1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2.在合同履行期限内，甲方有权了解乙方履行义务情况并监督乙方工作实施。有权对乙方的项目实施过程、工作质量、成果进度进行监督、检查和指导，发现问题有权要求乙方限期整改；如发现与协议要求不符</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有权向乙方提出质疑并提出解决问题的意见。</w:t>
      </w:r>
    </w:p>
    <w:p w14:paraId="24BB44F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3.有权对乙方交付的设备、成果进行验收，对不符合合同约定的，有权要求乙方返工、更换或赔偿损失</w:t>
      </w:r>
      <w:r>
        <w:rPr>
          <w:rFonts w:hint="eastAsia" w:ascii="宋体" w:hAnsi="宋体" w:eastAsia="宋体" w:cs="宋体"/>
          <w:color w:val="auto"/>
          <w:spacing w:val="0"/>
          <w:sz w:val="21"/>
          <w:szCs w:val="21"/>
          <w:highlight w:val="none"/>
          <w:lang w:eastAsia="zh-CN"/>
        </w:rPr>
        <w:t>。</w:t>
      </w:r>
    </w:p>
    <w:p w14:paraId="4049590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按合同约定及时支付合同价款，提供本项目实施所需的相关资料及现场配合（如协调保护区管护部门提供进场便利）</w:t>
      </w:r>
      <w:r>
        <w:rPr>
          <w:rFonts w:hint="eastAsia" w:ascii="宋体" w:hAnsi="宋体" w:eastAsia="宋体" w:cs="宋体"/>
          <w:color w:val="auto"/>
          <w:spacing w:val="0"/>
          <w:sz w:val="21"/>
          <w:szCs w:val="21"/>
          <w:highlight w:val="none"/>
          <w:lang w:eastAsia="zh-CN"/>
        </w:rPr>
        <w:t>。</w:t>
      </w:r>
    </w:p>
    <w:p w14:paraId="784779E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及时接收乙方交付的设备、成果，组织相关验收工作，在收到乙方验收申请及全套材料后1-2个月内完成验收</w:t>
      </w:r>
      <w:r>
        <w:rPr>
          <w:rFonts w:hint="eastAsia" w:ascii="宋体" w:hAnsi="宋体" w:eastAsia="宋体" w:cs="宋体"/>
          <w:color w:val="auto"/>
          <w:spacing w:val="0"/>
          <w:sz w:val="21"/>
          <w:szCs w:val="21"/>
          <w:highlight w:val="none"/>
          <w:lang w:eastAsia="zh-CN"/>
        </w:rPr>
        <w:t>。</w:t>
      </w:r>
    </w:p>
    <w:p w14:paraId="298BA4F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不得干预乙方的正常施工及服务工作，不得要求乙方提供合同约定外的工作内容。</w:t>
      </w:r>
    </w:p>
    <w:p w14:paraId="13E1022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.甲方按时向乙方支付合同费用。</w:t>
      </w:r>
    </w:p>
    <w:p w14:paraId="1DB9D50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二</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乙方的权利和义务</w:t>
      </w:r>
    </w:p>
    <w:p w14:paraId="5266458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bookmarkStart w:id="87" w:name="_Toc27954"/>
      <w:bookmarkStart w:id="88" w:name="_Toc5445"/>
      <w:r>
        <w:rPr>
          <w:rFonts w:hint="eastAsia" w:ascii="宋体" w:hAnsi="宋体" w:eastAsia="宋体" w:cs="宋体"/>
          <w:color w:val="auto"/>
          <w:spacing w:val="0"/>
          <w:sz w:val="21"/>
          <w:szCs w:val="21"/>
          <w:highlight w:val="none"/>
          <w:lang w:val="en-US" w:eastAsia="zh-CN"/>
        </w:rPr>
        <w:t>1.有权按合同约定收取合同价款。</w:t>
      </w:r>
    </w:p>
    <w:p w14:paraId="7135C17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2.严格按照本合同及招标文件、投标文件约定组织项目实施，确保工作质量、进度及成果符合要求。</w:t>
      </w:r>
    </w:p>
    <w:p w14:paraId="785A644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3.配备专业的项目实施团队（项目负责人及核心技术人员符合合同约定），团队人员保持稳定，如需更换需提前7个工作日书面通知甲方并经甲方同意。</w:t>
      </w:r>
    </w:p>
    <w:p w14:paraId="00F5767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4.严格遵守云南南滚河国家级自然保护区的管理规定，采取必要的生态保护措施，避免项目实施对保护区生态环境造成破坏，若造成破坏由乙方承担全部赔偿责任。</w:t>
      </w:r>
    </w:p>
    <w:p w14:paraId="63006F6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5.负责项目实施过程中的安全生产管理，承担因自身原因造成的安全事故、人员伤亡及财产损失的全部责任。</w:t>
      </w:r>
    </w:p>
    <w:p w14:paraId="213EEED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6.建立数据保密制度，对本项目所有监测数据、成果数据及甲方提供的相关资料承担保密义务，不得泄露、倒卖、擅自使用，保密义务至本合同终止后永久有效。</w:t>
      </w:r>
    </w:p>
    <w:p w14:paraId="3CEEDD2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7.按合同约定提供设备质保、平台质保及运维服务，及时响应甲方的技术咨询及故障报修需求；</w:t>
      </w:r>
    </w:p>
    <w:p w14:paraId="0DCF728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8.项目实施过程中，定期向甲方提交进度报告（每月至少1次），及时汇报项目进展及存在问题。</w:t>
      </w:r>
    </w:p>
    <w:p w14:paraId="512CCAD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b/>
          <w:bCs/>
          <w:color w:val="auto"/>
          <w:spacing w:val="0"/>
          <w:sz w:val="21"/>
          <w:szCs w:val="21"/>
          <w:highlight w:val="none"/>
        </w:rPr>
      </w:pPr>
      <w:r>
        <w:rPr>
          <w:rFonts w:hint="eastAsia" w:ascii="宋体" w:hAnsi="宋体" w:cs="宋体"/>
          <w:b/>
          <w:bCs/>
          <w:color w:val="auto"/>
          <w:spacing w:val="0"/>
          <w:sz w:val="21"/>
          <w:szCs w:val="21"/>
          <w:highlight w:val="none"/>
          <w:lang w:val="en-US" w:eastAsia="zh-CN"/>
        </w:rPr>
        <w:t>五</w:t>
      </w:r>
      <w:r>
        <w:rPr>
          <w:rFonts w:hint="eastAsia" w:ascii="宋体" w:hAnsi="宋体" w:eastAsia="宋体" w:cs="宋体"/>
          <w:b/>
          <w:bCs/>
          <w:color w:val="auto"/>
          <w:spacing w:val="0"/>
          <w:sz w:val="21"/>
          <w:szCs w:val="21"/>
          <w:highlight w:val="none"/>
        </w:rPr>
        <w:t>、</w:t>
      </w:r>
      <w:bookmarkEnd w:id="87"/>
      <w:bookmarkEnd w:id="88"/>
      <w:bookmarkStart w:id="89" w:name="_Toc17686"/>
      <w:bookmarkStart w:id="90" w:name="_Toc11070"/>
      <w:r>
        <w:rPr>
          <w:rFonts w:hint="eastAsia" w:ascii="宋体" w:hAnsi="宋体" w:cs="宋体"/>
          <w:b/>
          <w:bCs/>
          <w:color w:val="auto"/>
          <w:spacing w:val="0"/>
          <w:sz w:val="21"/>
          <w:szCs w:val="21"/>
          <w:highlight w:val="none"/>
          <w:lang w:eastAsia="zh-CN"/>
        </w:rPr>
        <w:t>合同履行期限</w:t>
      </w:r>
    </w:p>
    <w:p w14:paraId="686FE7D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cs="宋体"/>
          <w:color w:val="auto"/>
          <w:spacing w:val="0"/>
          <w:sz w:val="21"/>
          <w:szCs w:val="21"/>
          <w:highlight w:val="none"/>
          <w:lang w:val="en-US" w:eastAsia="zh-CN"/>
        </w:rPr>
      </w:pPr>
      <w:r>
        <w:rPr>
          <w:rFonts w:hint="eastAsia" w:ascii="宋体" w:hAnsi="宋体" w:cs="宋体"/>
          <w:color w:val="auto"/>
          <w:sz w:val="21"/>
          <w:szCs w:val="21"/>
          <w:highlight w:val="none"/>
          <w:lang w:val="en-US" w:eastAsia="zh-CN"/>
        </w:rPr>
        <w:t>项目实施周期：自合同签订之日起至项目整体验收合格之日止，不超过1年；运维服务期：自项目整体验收合格之日起免费运维3年。</w:t>
      </w:r>
    </w:p>
    <w:p w14:paraId="16B6BD7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cs="宋体"/>
          <w:color w:val="auto"/>
          <w:spacing w:val="0"/>
          <w:sz w:val="21"/>
          <w:szCs w:val="21"/>
          <w:highlight w:val="none"/>
          <w:lang w:val="en-US" w:eastAsia="zh-CN"/>
        </w:rPr>
      </w:pPr>
      <w:r>
        <w:rPr>
          <w:rFonts w:hint="eastAsia" w:ascii="宋体" w:hAnsi="宋体" w:cs="宋体"/>
          <w:b/>
          <w:bCs/>
          <w:color w:val="auto"/>
          <w:spacing w:val="0"/>
          <w:sz w:val="21"/>
          <w:szCs w:val="21"/>
          <w:highlight w:val="none"/>
          <w:lang w:val="en-US" w:eastAsia="zh-CN"/>
        </w:rPr>
        <w:t>六、</w:t>
      </w:r>
      <w:r>
        <w:rPr>
          <w:rFonts w:hint="eastAsia" w:ascii="宋体" w:hAnsi="宋体" w:eastAsia="宋体" w:cs="宋体"/>
          <w:b/>
          <w:bCs/>
          <w:color w:val="auto"/>
          <w:spacing w:val="0"/>
          <w:sz w:val="21"/>
          <w:szCs w:val="21"/>
          <w:highlight w:val="none"/>
        </w:rPr>
        <w:t>交付</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实施时间、地点及要求</w:t>
      </w:r>
    </w:p>
    <w:p w14:paraId="0B18E8C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cs="宋体"/>
          <w:color w:val="auto"/>
          <w:sz w:val="21"/>
          <w:szCs w:val="21"/>
          <w:highlight w:val="none"/>
          <w:lang w:val="en-US" w:eastAsia="zh-CN"/>
        </w:rPr>
      </w:pPr>
      <w:r>
        <w:rPr>
          <w:rFonts w:hint="eastAsia" w:ascii="宋体" w:hAnsi="宋体" w:eastAsia="宋体" w:cs="宋体"/>
          <w:b/>
          <w:bCs/>
          <w:color w:val="auto"/>
          <w:spacing w:val="0"/>
          <w:sz w:val="21"/>
          <w:szCs w:val="21"/>
          <w:highlight w:val="none"/>
        </w:rPr>
        <w:t>（一）实施周期</w:t>
      </w:r>
    </w:p>
    <w:p w14:paraId="2431492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本项目整体实施周期为合同签订生效后12个月内，各阶段关键工作完成时间要求：</w:t>
      </w:r>
    </w:p>
    <w:p w14:paraId="50C6EC5B">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1.</w:t>
      </w:r>
      <w:r>
        <w:rPr>
          <w:rFonts w:hint="eastAsia" w:ascii="宋体" w:hAnsi="宋体" w:eastAsia="宋体" w:cs="宋体"/>
          <w:b w:val="0"/>
          <w:bCs w:val="0"/>
          <w:color w:val="auto"/>
          <w:spacing w:val="0"/>
          <w:sz w:val="21"/>
          <w:szCs w:val="21"/>
          <w:highlight w:val="none"/>
        </w:rPr>
        <w:t>第1个月内：完成工作小组组建、方案细化，提交设备采购计划；</w:t>
      </w:r>
    </w:p>
    <w:p w14:paraId="1F9D694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2.</w:t>
      </w:r>
      <w:r>
        <w:rPr>
          <w:rFonts w:hint="eastAsia" w:ascii="宋体" w:hAnsi="宋体" w:eastAsia="宋体" w:cs="宋体"/>
          <w:b w:val="0"/>
          <w:bCs w:val="0"/>
          <w:color w:val="auto"/>
          <w:spacing w:val="0"/>
          <w:sz w:val="21"/>
          <w:szCs w:val="21"/>
          <w:highlight w:val="none"/>
        </w:rPr>
        <w:t>第3-5个月内：完成所有监测设备的现场安装、调试，达到试运行条件；</w:t>
      </w:r>
    </w:p>
    <w:p w14:paraId="457CAEE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3.</w:t>
      </w:r>
      <w:r>
        <w:rPr>
          <w:rFonts w:hint="eastAsia" w:ascii="宋体" w:hAnsi="宋体" w:eastAsia="宋体" w:cs="宋体"/>
          <w:b w:val="0"/>
          <w:bCs w:val="0"/>
          <w:color w:val="auto"/>
          <w:spacing w:val="0"/>
          <w:sz w:val="21"/>
          <w:szCs w:val="21"/>
          <w:highlight w:val="none"/>
        </w:rPr>
        <w:t>第3-6个月内：开展卫星遥感监测及地面设备数据采集工作；</w:t>
      </w:r>
    </w:p>
    <w:p w14:paraId="5023AAB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4.</w:t>
      </w:r>
      <w:r>
        <w:rPr>
          <w:rFonts w:hint="eastAsia" w:ascii="宋体" w:hAnsi="宋体" w:eastAsia="宋体" w:cs="宋体"/>
          <w:b w:val="0"/>
          <w:bCs w:val="0"/>
          <w:color w:val="auto"/>
          <w:spacing w:val="0"/>
          <w:sz w:val="21"/>
          <w:szCs w:val="21"/>
          <w:highlight w:val="none"/>
        </w:rPr>
        <w:t>第3-10个月内：完成监测预警平台开发、功能测试，实现多源数据对接并进入试运行；</w:t>
      </w:r>
    </w:p>
    <w:p w14:paraId="3A74028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5.</w:t>
      </w:r>
      <w:r>
        <w:rPr>
          <w:rFonts w:hint="eastAsia" w:ascii="宋体" w:hAnsi="宋体" w:eastAsia="宋体" w:cs="宋体"/>
          <w:b w:val="0"/>
          <w:bCs w:val="0"/>
          <w:color w:val="auto"/>
          <w:spacing w:val="0"/>
          <w:sz w:val="21"/>
          <w:szCs w:val="21"/>
          <w:highlight w:val="none"/>
        </w:rPr>
        <w:t>第11个月内：完成所有数据汇总、分析，编制监测报告及验收材料，提交甲方审核；</w:t>
      </w:r>
    </w:p>
    <w:p w14:paraId="1B680D3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6.</w:t>
      </w:r>
      <w:r>
        <w:rPr>
          <w:rFonts w:hint="eastAsia" w:ascii="宋体" w:hAnsi="宋体" w:eastAsia="宋体" w:cs="宋体"/>
          <w:b w:val="0"/>
          <w:bCs w:val="0"/>
          <w:color w:val="auto"/>
          <w:spacing w:val="0"/>
          <w:sz w:val="21"/>
          <w:szCs w:val="21"/>
          <w:highlight w:val="none"/>
        </w:rPr>
        <w:t>第12个月内：完成项目整体验收，交付全部成果。</w:t>
      </w:r>
    </w:p>
    <w:p w14:paraId="75B2939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（二）实施及交付地点</w:t>
      </w:r>
    </w:p>
    <w:p w14:paraId="43E40F2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1.</w:t>
      </w:r>
      <w:r>
        <w:rPr>
          <w:rFonts w:hint="eastAsia" w:ascii="宋体" w:hAnsi="宋体" w:eastAsia="宋体" w:cs="宋体"/>
          <w:b w:val="0"/>
          <w:bCs w:val="0"/>
          <w:color w:val="auto"/>
          <w:spacing w:val="0"/>
          <w:sz w:val="21"/>
          <w:szCs w:val="21"/>
          <w:highlight w:val="none"/>
        </w:rPr>
        <w:t>实施地点：云南南滚河国家级自然保护区（耿马片区+沧源片区）甲方指定监测点位；</w:t>
      </w:r>
    </w:p>
    <w:p w14:paraId="4177D94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2.</w:t>
      </w:r>
      <w:r>
        <w:rPr>
          <w:rFonts w:hint="eastAsia" w:ascii="宋体" w:hAnsi="宋体" w:eastAsia="宋体" w:cs="宋体"/>
          <w:b w:val="0"/>
          <w:bCs w:val="0"/>
          <w:color w:val="auto"/>
          <w:spacing w:val="0"/>
          <w:sz w:val="21"/>
          <w:szCs w:val="21"/>
          <w:highlight w:val="none"/>
        </w:rPr>
        <w:t>平台部署地点：甲方指定机房</w:t>
      </w:r>
      <w:r>
        <w:rPr>
          <w:rFonts w:hint="eastAsia" w:ascii="宋体" w:hAnsi="宋体" w:eastAsia="宋体" w:cs="宋体"/>
          <w:b w:val="0"/>
          <w:bCs w:val="0"/>
          <w:color w:val="auto"/>
          <w:spacing w:val="0"/>
          <w:sz w:val="21"/>
          <w:szCs w:val="21"/>
          <w:highlight w:val="none"/>
          <w:lang w:val="en-US" w:eastAsia="zh-CN"/>
        </w:rPr>
        <w:t>/</w:t>
      </w:r>
      <w:r>
        <w:rPr>
          <w:rFonts w:hint="eastAsia" w:ascii="宋体" w:hAnsi="宋体" w:eastAsia="宋体" w:cs="宋体"/>
          <w:b w:val="0"/>
          <w:bCs w:val="0"/>
          <w:color w:val="auto"/>
          <w:spacing w:val="0"/>
          <w:sz w:val="21"/>
          <w:szCs w:val="21"/>
          <w:highlight w:val="none"/>
        </w:rPr>
        <w:t>服务器；</w:t>
      </w:r>
    </w:p>
    <w:p w14:paraId="4BC1452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3.</w:t>
      </w:r>
      <w:r>
        <w:rPr>
          <w:rFonts w:hint="eastAsia" w:ascii="宋体" w:hAnsi="宋体" w:eastAsia="宋体" w:cs="宋体"/>
          <w:b w:val="0"/>
          <w:bCs w:val="0"/>
          <w:color w:val="auto"/>
          <w:spacing w:val="0"/>
          <w:sz w:val="21"/>
          <w:szCs w:val="21"/>
          <w:highlight w:val="none"/>
        </w:rPr>
        <w:t>成果交付地点：临沧市生态环境局甲方指定办公地点。</w:t>
      </w:r>
    </w:p>
    <w:p w14:paraId="7A49361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（三）交付要求</w:t>
      </w:r>
    </w:p>
    <w:p w14:paraId="35D2615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1.</w:t>
      </w:r>
      <w:r>
        <w:rPr>
          <w:rFonts w:hint="eastAsia" w:ascii="宋体" w:hAnsi="宋体" w:eastAsia="宋体" w:cs="宋体"/>
          <w:b w:val="0"/>
          <w:bCs w:val="0"/>
          <w:color w:val="auto"/>
          <w:spacing w:val="0"/>
          <w:sz w:val="21"/>
          <w:szCs w:val="21"/>
          <w:highlight w:val="none"/>
        </w:rPr>
        <w:t>设备交付：所有设备为全新正品，附产品合格证、检测报告、</w:t>
      </w:r>
      <w:r>
        <w:rPr>
          <w:rFonts w:hint="eastAsia" w:ascii="宋体" w:hAnsi="宋体" w:cs="宋体"/>
          <w:b w:val="0"/>
          <w:bCs w:val="0"/>
          <w:color w:val="auto"/>
          <w:spacing w:val="0"/>
          <w:sz w:val="21"/>
          <w:szCs w:val="21"/>
          <w:highlight w:val="none"/>
          <w:lang w:val="en-US" w:eastAsia="zh-CN"/>
        </w:rPr>
        <w:t>检定证书、</w:t>
      </w:r>
      <w:r>
        <w:rPr>
          <w:rFonts w:hint="eastAsia" w:ascii="宋体" w:hAnsi="宋体" w:eastAsia="宋体" w:cs="宋体"/>
          <w:b w:val="0"/>
          <w:bCs w:val="0"/>
          <w:color w:val="auto"/>
          <w:spacing w:val="0"/>
          <w:sz w:val="21"/>
          <w:szCs w:val="21"/>
          <w:highlight w:val="none"/>
        </w:rPr>
        <w:t>使用说明书等全套资料，配件齐全，运输至指定地点并完成安装调试；</w:t>
      </w:r>
    </w:p>
    <w:p w14:paraId="7342DAE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2.</w:t>
      </w:r>
      <w:r>
        <w:rPr>
          <w:rFonts w:hint="eastAsia" w:ascii="宋体" w:hAnsi="宋体" w:eastAsia="宋体" w:cs="宋体"/>
          <w:b w:val="0"/>
          <w:bCs w:val="0"/>
          <w:color w:val="auto"/>
          <w:spacing w:val="0"/>
          <w:sz w:val="21"/>
          <w:szCs w:val="21"/>
          <w:highlight w:val="none"/>
        </w:rPr>
        <w:t>成果交付：卫星遥感监测成果、平台开发相关文档、项目总结报告等所有成果，均提供纸质版一式5份（加盖乙方公章）及电子版一式2份（存储于U盘/移动硬盘，含可编辑格式及高清格式）；</w:t>
      </w:r>
    </w:p>
    <w:p w14:paraId="42658FF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3.</w:t>
      </w:r>
      <w:r>
        <w:rPr>
          <w:rFonts w:hint="eastAsia" w:ascii="宋体" w:hAnsi="宋体" w:eastAsia="宋体" w:cs="宋体"/>
          <w:b w:val="0"/>
          <w:bCs w:val="0"/>
          <w:color w:val="auto"/>
          <w:spacing w:val="0"/>
          <w:sz w:val="21"/>
          <w:szCs w:val="21"/>
          <w:highlight w:val="none"/>
        </w:rPr>
        <w:t>数据交付：所有监测数据、平台原始数据等，按甲方要求整理归档后完整移交，数据格式符合国家及行业标准。</w:t>
      </w:r>
    </w:p>
    <w:p w14:paraId="13A909D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right="0" w:firstLine="422" w:firstLineChars="200"/>
        <w:textAlignment w:val="baseline"/>
        <w:outlineLvl w:val="0"/>
        <w:rPr>
          <w:rFonts w:hint="eastAsia" w:ascii="宋体" w:hAnsi="宋体" w:eastAsia="宋体" w:cs="宋体"/>
          <w:b/>
          <w:bCs/>
          <w:color w:val="auto"/>
          <w:spacing w:val="0"/>
          <w:sz w:val="21"/>
          <w:szCs w:val="21"/>
          <w:highlight w:val="none"/>
        </w:rPr>
      </w:pPr>
      <w:r>
        <w:rPr>
          <w:rFonts w:hint="eastAsia" w:ascii="宋体" w:hAnsi="宋体" w:cs="宋体"/>
          <w:b/>
          <w:bCs/>
          <w:color w:val="auto"/>
          <w:spacing w:val="0"/>
          <w:sz w:val="21"/>
          <w:szCs w:val="21"/>
          <w:highlight w:val="none"/>
          <w:lang w:val="en-US" w:eastAsia="zh-CN"/>
        </w:rPr>
        <w:t>七</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质量标准及技术要求</w:t>
      </w:r>
    </w:p>
    <w:p w14:paraId="45B3C1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所有工作内容及成果均需严格遵守《中华人民共和国环境保护法》《生物多样性综合观测站建设标准》（HJ1341—2023）、《生物多样性观测技术导则红外相机技术》（HJ710.15—2023）等国家、行业及地方现行有效标准；</w:t>
      </w:r>
    </w:p>
    <w:p w14:paraId="3D0050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卫星遥感监测服务：数据真实准确，遥感解译精度符合行业规范，实地校核记录完整，成果报告分析科学、内容详实；</w:t>
      </w:r>
      <w:r>
        <w:rPr>
          <w:rFonts w:hint="eastAsia" w:ascii="宋体" w:hAnsi="宋体" w:cs="宋体"/>
          <w:color w:val="auto"/>
          <w:sz w:val="21"/>
          <w:szCs w:val="21"/>
          <w:highlight w:val="none"/>
          <w:lang w:val="en-US" w:eastAsia="zh-CN"/>
        </w:rPr>
        <w:t>服务期限</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自合同签订之日起，连续开展三年，每年开展1次全套监测任务，</w:t>
      </w:r>
      <w:r>
        <w:rPr>
          <w:rFonts w:hint="eastAsia" w:ascii="宋体" w:hAnsi="宋体" w:cs="宋体"/>
          <w:color w:val="auto"/>
          <w:szCs w:val="21"/>
          <w:highlight w:val="none"/>
          <w:lang w:val="en-US" w:eastAsia="zh-CN"/>
        </w:rPr>
        <w:t>并按要求提交</w:t>
      </w:r>
      <w:r>
        <w:rPr>
          <w:rFonts w:hint="eastAsia" w:ascii="宋体" w:hAnsi="宋体" w:cs="宋体"/>
          <w:color w:val="auto"/>
          <w:szCs w:val="21"/>
          <w:highlight w:val="none"/>
        </w:rPr>
        <w:t>成果</w:t>
      </w:r>
      <w:r>
        <w:rPr>
          <w:rFonts w:hint="eastAsia" w:ascii="宋体" w:hAnsi="宋体" w:cs="宋体"/>
          <w:color w:val="auto"/>
          <w:szCs w:val="21"/>
          <w:highlight w:val="none"/>
          <w:lang w:val="en-US" w:eastAsia="zh-CN"/>
        </w:rPr>
        <w:t>资料</w:t>
      </w:r>
      <w:r>
        <w:rPr>
          <w:rFonts w:hint="eastAsia" w:ascii="宋体" w:hAnsi="宋体" w:cs="宋体"/>
          <w:color w:val="auto"/>
          <w:szCs w:val="21"/>
          <w:highlight w:val="none"/>
        </w:rPr>
        <w:t>。成果要求：输出生态变化信息空间矢量文件（Shapefile格式）、监测图（JPG/PNG格式）、《基于卫星遥感的云南南滚河国家级自然保护区生态系统安全风险监测》报告1份及配套数据集1套。</w:t>
      </w:r>
    </w:p>
    <w:p w14:paraId="1D0EF3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监测设备：品牌、型号、技术参数均符合本合同附件1约定，核心硬性指标100%满足，户外设备防护等级不低于IP</w:t>
      </w:r>
      <w:r>
        <w:rPr>
          <w:rFonts w:hint="eastAsia" w:ascii="宋体" w:hAnsi="宋体" w:cs="宋体"/>
          <w:color w:val="auto"/>
          <w:sz w:val="21"/>
          <w:szCs w:val="21"/>
          <w:highlight w:val="none"/>
          <w:lang w:val="en-US" w:eastAsia="zh-CN"/>
        </w:rPr>
        <w:t>54</w:t>
      </w:r>
      <w:r>
        <w:rPr>
          <w:rFonts w:hint="eastAsia" w:ascii="宋体" w:hAnsi="宋体" w:eastAsia="宋体" w:cs="宋体"/>
          <w:color w:val="auto"/>
          <w:sz w:val="21"/>
          <w:szCs w:val="21"/>
          <w:highlight w:val="none"/>
        </w:rPr>
        <w:t>（特殊设备IP68），适应保护区-40℃至+80℃极端环境，设备正常运行率≥95%，数据采集完整率≥98%；</w:t>
      </w:r>
    </w:p>
    <w:p w14:paraId="414513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监测预警平台：系统稳定流畅，可用率≥99%，AI识别（物种、火情、人为干扰）精度≥85%，支持多源数据实时接入（延迟≤5分钟），具备风险分级预警、GIS可视化分析等功能，符合网络安全等级保护相关要求；</w:t>
      </w:r>
      <w:bookmarkStart w:id="91" w:name="OLE_LINK2"/>
      <w:r>
        <w:rPr>
          <w:rFonts w:hint="eastAsia" w:ascii="宋体" w:hAnsi="宋体" w:cs="宋体"/>
          <w:color w:val="auto"/>
          <w:sz w:val="21"/>
          <w:szCs w:val="21"/>
          <w:highlight w:val="none"/>
          <w:lang w:eastAsia="zh-CN"/>
        </w:rPr>
        <w:t>建成一套统一的预警</w:t>
      </w:r>
      <w:r>
        <w:rPr>
          <w:rFonts w:hint="eastAsia" w:ascii="宋体" w:hAnsi="宋体" w:cs="宋体"/>
          <w:color w:val="auto"/>
          <w:sz w:val="21"/>
          <w:szCs w:val="21"/>
          <w:highlight w:val="none"/>
          <w:lang w:val="en-US" w:eastAsia="zh-CN"/>
        </w:rPr>
        <w:t>信息</w:t>
      </w:r>
      <w:r>
        <w:rPr>
          <w:rFonts w:hint="eastAsia" w:ascii="宋体" w:hAnsi="宋体" w:cs="宋体"/>
          <w:color w:val="auto"/>
          <w:sz w:val="21"/>
          <w:szCs w:val="21"/>
          <w:highlight w:val="none"/>
          <w:lang w:eastAsia="zh-CN"/>
        </w:rPr>
        <w:t>平台，支持电脑端</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手机端</w:t>
      </w:r>
      <w:r>
        <w:rPr>
          <w:rFonts w:hint="eastAsia" w:ascii="宋体" w:hAnsi="宋体" w:cs="宋体"/>
          <w:color w:val="auto"/>
          <w:sz w:val="21"/>
          <w:szCs w:val="21"/>
          <w:highlight w:val="none"/>
          <w:lang w:val="en-US" w:eastAsia="zh-CN"/>
        </w:rPr>
        <w:t>信息共享</w:t>
      </w:r>
      <w:r>
        <w:rPr>
          <w:rFonts w:hint="eastAsia" w:ascii="宋体" w:hAnsi="宋体" w:cs="宋体"/>
          <w:color w:val="auto"/>
          <w:sz w:val="21"/>
          <w:szCs w:val="21"/>
          <w:highlight w:val="none"/>
          <w:lang w:eastAsia="zh-CN"/>
        </w:rPr>
        <w:t>。</w:t>
      </w:r>
      <w:bookmarkEnd w:id="91"/>
    </w:p>
    <w:p w14:paraId="4FB566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运维服务：建立完善运维台账，设备巡检、故障处理记录清晰，质保期内故障响应时间≤24小时，现场处理时间≤48小时（偏远地区≤72小时）。</w:t>
      </w:r>
    </w:p>
    <w:p w14:paraId="4B4CDCD2">
      <w:pPr>
        <w:widowControl/>
        <w:numPr>
          <w:ilvl w:val="0"/>
          <w:numId w:val="0"/>
        </w:numPr>
        <w:pBdr>
          <w:top w:val="none" w:color="auto" w:sz="0" w:space="0"/>
          <w:left w:val="none" w:color="auto" w:sz="0" w:space="0"/>
          <w:bottom w:val="none" w:color="auto" w:sz="0" w:space="0"/>
          <w:right w:val="none" w:color="auto" w:sz="0" w:space="0"/>
        </w:pBd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6.通讯网络服务：负责承担合同履行期限内所有设备通讯网络费用，确保监测预警平台运行流畅。</w:t>
      </w:r>
    </w:p>
    <w:p w14:paraId="2016863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cs="宋体"/>
          <w:b/>
          <w:bCs/>
          <w:color w:val="auto"/>
          <w:spacing w:val="0"/>
          <w:sz w:val="21"/>
          <w:szCs w:val="21"/>
          <w:highlight w:val="none"/>
          <w:lang w:val="en-US" w:eastAsia="zh-CN"/>
        </w:rPr>
        <w:t>八</w:t>
      </w:r>
      <w:r>
        <w:rPr>
          <w:rFonts w:hint="eastAsia" w:ascii="宋体" w:hAnsi="宋体" w:eastAsia="宋体" w:cs="宋体"/>
          <w:b/>
          <w:bCs/>
          <w:color w:val="auto"/>
          <w:spacing w:val="0"/>
          <w:sz w:val="21"/>
          <w:szCs w:val="21"/>
          <w:highlight w:val="none"/>
        </w:rPr>
        <w:t>、项目联系人</w:t>
      </w:r>
      <w:bookmarkEnd w:id="89"/>
      <w:bookmarkEnd w:id="90"/>
    </w:p>
    <w:p w14:paraId="03C0837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为便于合同的履行，甲乙双</w:t>
      </w:r>
      <w:r>
        <w:rPr>
          <w:rFonts w:hint="eastAsia" w:ascii="宋体" w:hAnsi="宋体" w:cs="宋体"/>
          <w:color w:val="auto"/>
          <w:spacing w:val="0"/>
          <w:sz w:val="21"/>
          <w:szCs w:val="21"/>
          <w:highlight w:val="none"/>
          <w:lang w:val="en-US" w:eastAsia="zh-CN"/>
        </w:rPr>
        <w:t>方</w:t>
      </w:r>
      <w:r>
        <w:rPr>
          <w:rFonts w:hint="eastAsia" w:ascii="宋体" w:hAnsi="宋体" w:eastAsia="宋体" w:cs="宋体"/>
          <w:color w:val="auto"/>
          <w:spacing w:val="0"/>
          <w:sz w:val="21"/>
          <w:szCs w:val="21"/>
          <w:highlight w:val="none"/>
        </w:rPr>
        <w:t>打协商确定，在合同有效期内，甲方指定【</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】为本方项目联系人，联系方式：【</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】。乙方指定【】为本方项目总联系人，联系方式：【</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】,另外乙方</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联合体牵头</w:t>
      </w:r>
      <w:r>
        <w:rPr>
          <w:rFonts w:hint="eastAsia" w:ascii="宋体" w:hAnsi="宋体" w:cs="宋体"/>
          <w:color w:val="auto"/>
          <w:spacing w:val="0"/>
          <w:sz w:val="21"/>
          <w:szCs w:val="21"/>
          <w:highlight w:val="none"/>
          <w:lang w:val="en-US" w:eastAsia="zh-CN"/>
        </w:rPr>
        <w:t>方</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指定【</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】为本方项目联系人，联系方式：</w:t>
      </w:r>
      <w:r>
        <w:rPr>
          <w:rFonts w:hint="eastAsia" w:ascii="宋体" w:hAnsi="宋体" w:eastAsia="宋体" w:cs="宋体"/>
          <w:b/>
          <w:bCs/>
          <w:color w:val="auto"/>
          <w:spacing w:val="0"/>
          <w:sz w:val="21"/>
          <w:szCs w:val="21"/>
          <w:highlight w:val="none"/>
        </w:rPr>
        <w:t>【</w:t>
      </w:r>
      <w:r>
        <w:rPr>
          <w:rFonts w:hint="eastAsia" w:ascii="宋体" w:hAnsi="宋体" w:cs="宋体"/>
          <w:b/>
          <w:bCs/>
          <w:color w:val="auto"/>
          <w:spacing w:val="0"/>
          <w:sz w:val="21"/>
          <w:szCs w:val="21"/>
          <w:highlight w:val="none"/>
          <w:lang w:val="en-US" w:eastAsia="zh-CN"/>
        </w:rPr>
        <w:t xml:space="preserve">    </w:t>
      </w:r>
      <w:r>
        <w:rPr>
          <w:rFonts w:hint="eastAsia" w:ascii="宋体" w:hAnsi="宋体" w:eastAsia="宋体" w:cs="宋体"/>
          <w:b/>
          <w:bCs/>
          <w:color w:val="auto"/>
          <w:spacing w:val="0"/>
          <w:sz w:val="21"/>
          <w:szCs w:val="21"/>
          <w:highlight w:val="none"/>
        </w:rPr>
        <w:t>】</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color w:val="auto"/>
          <w:spacing w:val="0"/>
          <w:sz w:val="21"/>
          <w:szCs w:val="21"/>
          <w:highlight w:val="none"/>
        </w:rPr>
        <w:t>乙方2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联合体成员</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指定【</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】为本方项目联系人，联系方式：【</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乙方3</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联合体成员</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指定【</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】为本方项目联系人，联系方式：【</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】。项目联系人承担以下责任：</w:t>
      </w:r>
    </w:p>
    <w:p w14:paraId="7E8CA90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负责甲乙双方日常项目工作联系；</w:t>
      </w:r>
    </w:p>
    <w:p w14:paraId="3F2659E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负责甲乙双方项目工作的协调和推进项目按工作计划实施；</w:t>
      </w:r>
    </w:p>
    <w:p w14:paraId="5CD1384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协助完成项目的验收工作。</w:t>
      </w:r>
    </w:p>
    <w:p w14:paraId="5A10DAF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92" w:name="_Toc2617"/>
      <w:bookmarkStart w:id="93" w:name="_Toc18636"/>
      <w:r>
        <w:rPr>
          <w:rFonts w:hint="eastAsia" w:ascii="宋体" w:hAnsi="宋体" w:cs="宋体"/>
          <w:b/>
          <w:bCs/>
          <w:color w:val="auto"/>
          <w:spacing w:val="0"/>
          <w:sz w:val="21"/>
          <w:szCs w:val="21"/>
          <w:highlight w:val="none"/>
          <w:lang w:val="en-US" w:eastAsia="zh-CN"/>
        </w:rPr>
        <w:t>九</w:t>
      </w:r>
      <w:r>
        <w:rPr>
          <w:rFonts w:hint="eastAsia" w:ascii="宋体" w:hAnsi="宋体" w:eastAsia="宋体" w:cs="宋体"/>
          <w:b/>
          <w:bCs/>
          <w:color w:val="auto"/>
          <w:spacing w:val="0"/>
          <w:sz w:val="21"/>
          <w:szCs w:val="21"/>
          <w:highlight w:val="none"/>
        </w:rPr>
        <w:t>、验收方式及验收标准</w:t>
      </w:r>
      <w:bookmarkEnd w:id="92"/>
      <w:bookmarkEnd w:id="93"/>
    </w:p>
    <w:p w14:paraId="447CB54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bookmarkStart w:id="94" w:name="_Toc703"/>
      <w:bookmarkStart w:id="95" w:name="_Toc17217"/>
      <w:r>
        <w:rPr>
          <w:rFonts w:hint="eastAsia" w:ascii="宋体" w:hAnsi="宋体" w:eastAsia="宋体" w:cs="宋体"/>
          <w:color w:val="auto"/>
          <w:spacing w:val="0"/>
          <w:sz w:val="21"/>
          <w:szCs w:val="21"/>
          <w:highlight w:val="none"/>
        </w:rPr>
        <w:t>（一）验收主体</w:t>
      </w:r>
    </w:p>
    <w:p w14:paraId="5002689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由甲方组建验收小组（3人及以上单数，含相关领域专家）负责本项目的分项验收及整体验收工作。</w:t>
      </w:r>
    </w:p>
    <w:p w14:paraId="3B387D9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（二）验收流程</w:t>
      </w:r>
    </w:p>
    <w:p w14:paraId="0F0ECB0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分项验收：乙方完成设备安装调试、平台开发、遥感监测等单项工作后，向甲方提交分项验收申请及相关材料，甲方组织验收小组进行验收，验收合格出具分项验收意见；</w:t>
      </w:r>
    </w:p>
    <w:p w14:paraId="405C104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整体验收：乙方完成本项目全部工作内容后，向甲方提交整体验收申请及全套验收材料（含设备资料、成果报告、平台文档</w:t>
      </w:r>
      <w:r>
        <w:rPr>
          <w:rFonts w:hint="eastAsia" w:ascii="宋体" w:hAnsi="宋体" w:cs="宋体"/>
          <w:color w:val="auto"/>
          <w:spacing w:val="0"/>
          <w:sz w:val="21"/>
          <w:szCs w:val="21"/>
          <w:highlight w:val="none"/>
          <w:lang w:eastAsia="zh-CN"/>
        </w:rPr>
        <w:t>（操作手册、设计说明书）</w:t>
      </w:r>
      <w:r>
        <w:rPr>
          <w:rFonts w:hint="eastAsia" w:ascii="宋体" w:hAnsi="宋体" w:eastAsia="宋体" w:cs="宋体"/>
          <w:color w:val="auto"/>
          <w:spacing w:val="0"/>
          <w:sz w:val="21"/>
          <w:szCs w:val="21"/>
          <w:highlight w:val="none"/>
        </w:rPr>
        <w:t>、运维台账等），甲方组织验收小组进行整体验收，验收合格出具《项目验收报告》，验收不合格的，乙方需在15个工作日内完成整改，整改后重新验收。</w:t>
      </w:r>
    </w:p>
    <w:p w14:paraId="2FEE16D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（三）验收标准</w:t>
      </w:r>
    </w:p>
    <w:p w14:paraId="1A04FD0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本项目验收标准严格遵循本合同第五条约定的质量标准及技术要求，同时满足本合同附件3《项目验收细则》约定，核心验收要求：</w:t>
      </w:r>
    </w:p>
    <w:p w14:paraId="5EF98EC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设备验收：数量、品牌、型号与合同一致，技术参数达标，运行正常，资料齐全，试运行30天内正常运行率≥95%；</w:t>
      </w:r>
    </w:p>
    <w:p w14:paraId="7D74010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遥感监测验收：监测范围、内容达标，成果齐全且格式规范，经专家审核合格；</w:t>
      </w:r>
    </w:p>
    <w:p w14:paraId="39823AF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平台验收：功能模块齐全，运行稳定，数据接入及分析正常，AI识别精度达标，培训到位，甲方人员能独立操作；</w:t>
      </w:r>
    </w:p>
    <w:p w14:paraId="18ABEED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整体验收：所有分项验收合格，完成全部工作内容，实现项目目标，成果归档规范，无安全事故及生态破坏问题，甲方及上级主管部门满意度≥90%。</w:t>
      </w:r>
    </w:p>
    <w:p w14:paraId="6F44AFE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（四）验收异议</w:t>
      </w:r>
    </w:p>
    <w:p w14:paraId="487A11B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若验收小组对验收结果存在异议，乙方应按要求配合复核、整改，直至验收合格。因乙方原因导致验收多次不合格的，甲方有权解除合同并要求乙方承担违约责任。</w:t>
      </w:r>
    </w:p>
    <w:p w14:paraId="5076BCA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cs="宋体"/>
          <w:b/>
          <w:bCs/>
          <w:color w:val="auto"/>
          <w:spacing w:val="0"/>
          <w:sz w:val="21"/>
          <w:szCs w:val="21"/>
          <w:highlight w:val="none"/>
          <w:lang w:val="en-US" w:eastAsia="zh-CN"/>
        </w:rPr>
        <w:t>十</w:t>
      </w:r>
      <w:r>
        <w:rPr>
          <w:rFonts w:hint="eastAsia" w:ascii="宋体" w:hAnsi="宋体" w:eastAsia="宋体" w:cs="宋体"/>
          <w:b/>
          <w:bCs/>
          <w:color w:val="auto"/>
          <w:spacing w:val="0"/>
          <w:sz w:val="21"/>
          <w:szCs w:val="21"/>
          <w:highlight w:val="none"/>
        </w:rPr>
        <w:t>、付款方式及进度</w:t>
      </w:r>
      <w:bookmarkEnd w:id="94"/>
      <w:bookmarkEnd w:id="95"/>
    </w:p>
    <w:p w14:paraId="5AA7428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1.本项目由</w:t>
      </w:r>
      <w:r>
        <w:rPr>
          <w:rFonts w:hint="eastAsia" w:ascii="宋体" w:hAnsi="宋体" w:eastAsia="宋体" w:cs="宋体"/>
          <w:color w:val="auto"/>
          <w:spacing w:val="0"/>
          <w:sz w:val="21"/>
          <w:szCs w:val="21"/>
          <w:highlight w:val="none"/>
          <w:lang w:val="en-US" w:eastAsia="zh-CN"/>
        </w:rPr>
        <w:t>乙方</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联合体中标的为</w:t>
      </w:r>
      <w:r>
        <w:rPr>
          <w:rFonts w:hint="eastAsia" w:ascii="宋体" w:hAnsi="宋体" w:eastAsia="宋体" w:cs="宋体"/>
          <w:color w:val="auto"/>
          <w:spacing w:val="0"/>
          <w:sz w:val="21"/>
          <w:szCs w:val="21"/>
          <w:highlight w:val="none"/>
        </w:rPr>
        <w:t>联合体牵头方)作为责任主体，</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联合体成员)、</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(联合体成员)为协作方。</w:t>
      </w:r>
    </w:p>
    <w:p w14:paraId="55ADE98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2.甲方只负责向乙方</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(联合体牵头方)付款，</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(联合体牵头方)和</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(联合体成员)、</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(联合体成员)的分配按其联合体协议的要求自行处理。</w:t>
      </w:r>
    </w:p>
    <w:p w14:paraId="234472E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3.付款方式：本项目分</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 xml:space="preserve">次付款。 </w:t>
      </w:r>
    </w:p>
    <w:p w14:paraId="0E2920C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4.付款进度：</w:t>
      </w:r>
    </w:p>
    <w:p w14:paraId="14552D1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第一次付款：合同签订后，甲方在收到乙方提交的付款申请和发票后，15个工作日内，甲方向乙方1</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b/>
          <w:bCs/>
          <w:color w:val="auto"/>
          <w:spacing w:val="0"/>
          <w:sz w:val="21"/>
          <w:szCs w:val="21"/>
          <w:highlight w:val="none"/>
          <w:u w:val="single"/>
        </w:rPr>
        <w:t xml:space="preserve"> (联合体牵头方</w:t>
      </w:r>
      <w:r>
        <w:rPr>
          <w:rFonts w:hint="eastAsia" w:ascii="宋体" w:hAnsi="宋体" w:cs="宋体"/>
          <w:b/>
          <w:bCs/>
          <w:color w:val="auto"/>
          <w:spacing w:val="0"/>
          <w:sz w:val="21"/>
          <w:szCs w:val="21"/>
          <w:highlight w:val="none"/>
          <w:u w:val="single"/>
          <w:lang w:eastAsia="zh-CN"/>
        </w:rPr>
        <w:t>）</w:t>
      </w:r>
      <w:r>
        <w:rPr>
          <w:rFonts w:hint="eastAsia" w:ascii="宋体" w:hAnsi="宋体" w:eastAsia="宋体" w:cs="宋体"/>
          <w:color w:val="auto"/>
          <w:spacing w:val="0"/>
          <w:sz w:val="21"/>
          <w:szCs w:val="21"/>
          <w:highlight w:val="none"/>
        </w:rPr>
        <w:t>支付合同金额的</w:t>
      </w:r>
      <w:r>
        <w:rPr>
          <w:rFonts w:hint="eastAsia" w:ascii="宋体" w:hAnsi="宋体" w:cs="宋体"/>
          <w:b/>
          <w:bCs/>
          <w:color w:val="auto"/>
          <w:spacing w:val="0"/>
          <w:sz w:val="21"/>
          <w:szCs w:val="21"/>
          <w:highlight w:val="none"/>
          <w:lang w:val="en-US" w:eastAsia="zh-CN"/>
        </w:rPr>
        <w:t>30</w:t>
      </w:r>
      <w:r>
        <w:rPr>
          <w:rFonts w:hint="eastAsia" w:ascii="宋体" w:hAnsi="宋体" w:eastAsia="宋体" w:cs="宋体"/>
          <w:b/>
          <w:bCs/>
          <w:color w:val="auto"/>
          <w:spacing w:val="0"/>
          <w:sz w:val="21"/>
          <w:szCs w:val="21"/>
          <w:highlight w:val="none"/>
        </w:rPr>
        <w:t>%,即￥</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元(大写</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人民币</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 xml:space="preserve"> )</w:t>
      </w:r>
      <w:r>
        <w:rPr>
          <w:rFonts w:hint="eastAsia" w:ascii="宋体" w:hAnsi="宋体" w:cs="宋体"/>
          <w:b/>
          <w:bCs/>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w:t>
      </w:r>
    </w:p>
    <w:p w14:paraId="23B2D80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第二次付款：乙方完成所有设备</w:t>
      </w:r>
      <w:r>
        <w:rPr>
          <w:rFonts w:hint="eastAsia" w:ascii="宋体" w:hAnsi="宋体" w:cs="宋体"/>
          <w:color w:val="auto"/>
          <w:spacing w:val="0"/>
          <w:sz w:val="21"/>
          <w:szCs w:val="21"/>
          <w:highlight w:val="none"/>
          <w:lang w:val="en-US" w:eastAsia="zh-CN"/>
        </w:rPr>
        <w:t>现场</w:t>
      </w:r>
      <w:r>
        <w:rPr>
          <w:rFonts w:hint="eastAsia" w:ascii="宋体" w:hAnsi="宋体" w:eastAsia="宋体" w:cs="宋体"/>
          <w:color w:val="auto"/>
          <w:spacing w:val="0"/>
          <w:sz w:val="21"/>
          <w:szCs w:val="21"/>
          <w:highlight w:val="none"/>
        </w:rPr>
        <w:t>安装调试并经甲方初验合格，且监测预警平台完成开发进入试运行后，甲方收到相关初验证明材料</w:t>
      </w:r>
      <w:r>
        <w:rPr>
          <w:rFonts w:hint="eastAsia" w:ascii="宋体" w:hAnsi="宋体" w:eastAsia="宋体" w:cs="宋体"/>
          <w:color w:val="auto"/>
          <w:spacing w:val="0"/>
          <w:sz w:val="21"/>
          <w:szCs w:val="21"/>
          <w:highlight w:val="none"/>
          <w:lang w:val="en-US" w:eastAsia="zh-CN"/>
        </w:rPr>
        <w:t>及</w:t>
      </w:r>
      <w:r>
        <w:rPr>
          <w:rFonts w:hint="eastAsia" w:ascii="宋体" w:hAnsi="宋体" w:eastAsia="宋体" w:cs="宋体"/>
          <w:color w:val="auto"/>
          <w:spacing w:val="0"/>
          <w:sz w:val="21"/>
          <w:szCs w:val="21"/>
          <w:highlight w:val="none"/>
        </w:rPr>
        <w:t>付款申请后</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乙方1</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b/>
          <w:bCs/>
          <w:color w:val="auto"/>
          <w:spacing w:val="0"/>
          <w:sz w:val="21"/>
          <w:szCs w:val="21"/>
          <w:highlight w:val="none"/>
          <w:u w:val="single"/>
        </w:rPr>
        <w:t xml:space="preserve"> (联合体牵头方)</w:t>
      </w:r>
      <w:r>
        <w:rPr>
          <w:rFonts w:hint="eastAsia" w:ascii="宋体" w:hAnsi="宋体" w:eastAsia="宋体" w:cs="宋体"/>
          <w:color w:val="auto"/>
          <w:spacing w:val="0"/>
          <w:sz w:val="21"/>
          <w:szCs w:val="21"/>
          <w:highlight w:val="none"/>
        </w:rPr>
        <w:t xml:space="preserve">向甲方开具对应金额发票后，15个工作日内，甲方向乙方1 </w:t>
      </w:r>
      <w:r>
        <w:rPr>
          <w:rFonts w:hint="eastAsia" w:ascii="宋体" w:hAnsi="宋体" w:eastAsia="宋体" w:cs="宋体"/>
          <w:b/>
          <w:bCs/>
          <w:color w:val="auto"/>
          <w:spacing w:val="0"/>
          <w:sz w:val="21"/>
          <w:szCs w:val="21"/>
          <w:highlight w:val="none"/>
          <w:u w:val="single"/>
        </w:rPr>
        <w:t xml:space="preserve">   </w:t>
      </w:r>
      <w:r>
        <w:rPr>
          <w:rFonts w:hint="eastAsia" w:ascii="宋体" w:hAnsi="宋体" w:eastAsia="宋体" w:cs="宋体"/>
          <w:b/>
          <w:bCs/>
          <w:color w:val="auto"/>
          <w:spacing w:val="0"/>
          <w:sz w:val="21"/>
          <w:szCs w:val="21"/>
          <w:highlight w:val="none"/>
          <w:u w:val="single"/>
          <w:lang w:val="en-US" w:eastAsia="zh-CN"/>
        </w:rPr>
        <w:t xml:space="preserve">   </w:t>
      </w:r>
      <w:r>
        <w:rPr>
          <w:rFonts w:hint="eastAsia" w:ascii="宋体" w:hAnsi="宋体" w:eastAsia="宋体" w:cs="宋体"/>
          <w:b/>
          <w:bCs/>
          <w:color w:val="auto"/>
          <w:spacing w:val="0"/>
          <w:sz w:val="21"/>
          <w:szCs w:val="21"/>
          <w:highlight w:val="none"/>
          <w:u w:val="single"/>
        </w:rPr>
        <w:t>(联合体牵头方)</w:t>
      </w:r>
      <w:r>
        <w:rPr>
          <w:rFonts w:hint="eastAsia" w:ascii="宋体" w:hAnsi="宋体" w:eastAsia="宋体" w:cs="宋体"/>
          <w:color w:val="auto"/>
          <w:spacing w:val="0"/>
          <w:sz w:val="21"/>
          <w:szCs w:val="21"/>
          <w:highlight w:val="none"/>
        </w:rPr>
        <w:t>支付合同价款的</w:t>
      </w:r>
      <w:r>
        <w:rPr>
          <w:rFonts w:hint="eastAsia" w:ascii="宋体" w:hAnsi="宋体" w:cs="宋体"/>
          <w:b/>
          <w:bCs/>
          <w:color w:val="auto"/>
          <w:spacing w:val="0"/>
          <w:sz w:val="21"/>
          <w:szCs w:val="21"/>
          <w:highlight w:val="none"/>
          <w:lang w:val="en-US" w:eastAsia="zh-CN"/>
        </w:rPr>
        <w:t>60</w:t>
      </w:r>
      <w:r>
        <w:rPr>
          <w:rFonts w:hint="eastAsia" w:ascii="宋体" w:hAnsi="宋体" w:eastAsia="宋体" w:cs="宋体"/>
          <w:b/>
          <w:bCs/>
          <w:color w:val="auto"/>
          <w:spacing w:val="0"/>
          <w:sz w:val="21"/>
          <w:szCs w:val="21"/>
          <w:highlight w:val="none"/>
        </w:rPr>
        <w:t>%,即¥</w:t>
      </w:r>
      <w:r>
        <w:rPr>
          <w:rFonts w:hint="eastAsia" w:ascii="宋体" w:hAnsi="宋体" w:cs="宋体"/>
          <w:b/>
          <w:bCs/>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元(大写：人民币</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 xml:space="preserve"> )。</w:t>
      </w:r>
    </w:p>
    <w:p w14:paraId="1A4D9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第</w:t>
      </w:r>
      <w:r>
        <w:rPr>
          <w:rFonts w:hint="eastAsia" w:ascii="宋体"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次付款：乙方完成本项目全部工作内容，经甲方整体验收合格并交付全部成果后，</w:t>
      </w:r>
      <w:r>
        <w:rPr>
          <w:rFonts w:hint="eastAsia" w:ascii="宋体" w:hAnsi="宋体" w:eastAsia="宋体" w:cs="宋体"/>
          <w:color w:val="auto"/>
          <w:spacing w:val="0"/>
          <w:sz w:val="21"/>
          <w:szCs w:val="21"/>
          <w:highlight w:val="none"/>
          <w:lang w:val="en-US" w:eastAsia="zh-CN"/>
        </w:rPr>
        <w:t>且乙方1</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b/>
          <w:bCs/>
          <w:color w:val="auto"/>
          <w:spacing w:val="0"/>
          <w:sz w:val="21"/>
          <w:szCs w:val="21"/>
          <w:highlight w:val="none"/>
          <w:u w:val="single"/>
        </w:rPr>
        <w:t xml:space="preserve"> (联合体牵头方</w:t>
      </w:r>
      <w:r>
        <w:rPr>
          <w:rFonts w:hint="eastAsia" w:ascii="宋体" w:hAnsi="宋体" w:cs="宋体"/>
          <w:b/>
          <w:bCs/>
          <w:color w:val="auto"/>
          <w:spacing w:val="0"/>
          <w:sz w:val="21"/>
          <w:szCs w:val="21"/>
          <w:highlight w:val="none"/>
          <w:u w:val="single"/>
          <w:lang w:eastAsia="zh-CN"/>
        </w:rPr>
        <w:t>）</w:t>
      </w:r>
      <w:r>
        <w:rPr>
          <w:rFonts w:hint="eastAsia" w:ascii="宋体" w:hAnsi="宋体" w:eastAsia="宋体" w:cs="宋体"/>
          <w:color w:val="auto"/>
          <w:spacing w:val="0"/>
          <w:sz w:val="21"/>
          <w:szCs w:val="21"/>
          <w:highlight w:val="none"/>
        </w:rPr>
        <w:t>向甲方开具对应金额发票后</w:t>
      </w:r>
      <w:r>
        <w:rPr>
          <w:rFonts w:hint="eastAsia" w:ascii="宋体" w:hAnsi="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15个工作日内，甲方向乙方</w:t>
      </w:r>
      <w:r>
        <w:rPr>
          <w:rFonts w:hint="eastAsia" w:ascii="宋体" w:hAnsi="宋体" w:eastAsia="宋体" w:cs="宋体"/>
          <w:b/>
          <w:bCs/>
          <w:color w:val="auto"/>
          <w:spacing w:val="0"/>
          <w:sz w:val="21"/>
          <w:szCs w:val="21"/>
          <w:highlight w:val="none"/>
          <w:u w:val="single"/>
        </w:rPr>
        <w:t>(联合体牵头方)</w:t>
      </w:r>
      <w:r>
        <w:rPr>
          <w:rFonts w:hint="eastAsia" w:ascii="宋体" w:hAnsi="宋体" w:eastAsia="宋体" w:cs="宋体"/>
          <w:color w:val="auto"/>
          <w:spacing w:val="0"/>
          <w:sz w:val="21"/>
          <w:szCs w:val="21"/>
          <w:highlight w:val="none"/>
        </w:rPr>
        <w:t>支付合同价款的</w:t>
      </w:r>
      <w:r>
        <w:rPr>
          <w:rFonts w:hint="eastAsia" w:ascii="宋体" w:hAnsi="宋体" w:cs="宋体"/>
          <w:b/>
          <w:bCs/>
          <w:color w:val="auto"/>
          <w:spacing w:val="0"/>
          <w:sz w:val="21"/>
          <w:szCs w:val="21"/>
          <w:highlight w:val="none"/>
          <w:lang w:val="en-US" w:eastAsia="zh-CN"/>
        </w:rPr>
        <w:t>1</w:t>
      </w:r>
      <w:r>
        <w:rPr>
          <w:rFonts w:hint="eastAsia" w:ascii="宋体" w:hAnsi="宋体" w:eastAsia="宋体" w:cs="宋体"/>
          <w:b/>
          <w:bCs/>
          <w:color w:val="auto"/>
          <w:spacing w:val="0"/>
          <w:sz w:val="21"/>
          <w:szCs w:val="21"/>
          <w:highlight w:val="none"/>
        </w:rPr>
        <w:t>0%,即¥</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元(大写：人民币</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 xml:space="preserve"> )。</w:t>
      </w:r>
    </w:p>
    <w:p w14:paraId="5F2D1FF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5.账户信息</w:t>
      </w:r>
    </w:p>
    <w:p w14:paraId="4B313666">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5.1、</w:t>
      </w:r>
      <w:r>
        <w:rPr>
          <w:rFonts w:hint="eastAsia" w:ascii="宋体" w:hAnsi="宋体" w:eastAsia="宋体" w:cs="宋体"/>
          <w:b w:val="0"/>
          <w:bCs w:val="0"/>
          <w:color w:val="auto"/>
          <w:spacing w:val="0"/>
          <w:sz w:val="21"/>
          <w:szCs w:val="21"/>
          <w:highlight w:val="none"/>
        </w:rPr>
        <w:t>甲方开户银行账户及发票开票信息如下：</w:t>
      </w:r>
    </w:p>
    <w:p w14:paraId="4EDE27E5">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甲方开户</w:t>
      </w:r>
      <w:r>
        <w:rPr>
          <w:rFonts w:hint="eastAsia" w:ascii="宋体" w:hAnsi="宋体" w:eastAsia="宋体" w:cs="宋体"/>
          <w:b w:val="0"/>
          <w:bCs w:val="0"/>
          <w:color w:val="auto"/>
          <w:spacing w:val="0"/>
          <w:sz w:val="21"/>
          <w:szCs w:val="21"/>
          <w:highlight w:val="none"/>
        </w:rPr>
        <w:t>名称：</w:t>
      </w:r>
    </w:p>
    <w:p w14:paraId="4EC694DE">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纳税人识别号：</w:t>
      </w:r>
    </w:p>
    <w:p w14:paraId="1EDD348C">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lang w:eastAsia="zh-CN"/>
        </w:rPr>
      </w:pPr>
      <w:r>
        <w:rPr>
          <w:rFonts w:hint="eastAsia" w:ascii="宋体" w:hAnsi="宋体" w:eastAsia="宋体" w:cs="宋体"/>
          <w:b w:val="0"/>
          <w:bCs w:val="0"/>
          <w:color w:val="auto"/>
          <w:spacing w:val="0"/>
          <w:sz w:val="21"/>
          <w:szCs w:val="21"/>
          <w:highlight w:val="none"/>
        </w:rPr>
        <w:t>地址、电话：</w:t>
      </w:r>
    </w:p>
    <w:p w14:paraId="2287709F">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开户银行：</w:t>
      </w:r>
    </w:p>
    <w:p w14:paraId="0CCDDB2B">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开户账号：</w:t>
      </w:r>
    </w:p>
    <w:p w14:paraId="3E1F98A8">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lang w:val="en-US" w:eastAsia="zh-CN"/>
        </w:rPr>
        <w:t>5.2、</w:t>
      </w:r>
      <w:r>
        <w:rPr>
          <w:rFonts w:hint="eastAsia" w:ascii="宋体" w:hAnsi="宋体" w:eastAsia="宋体" w:cs="宋体"/>
          <w:b w:val="0"/>
          <w:bCs w:val="0"/>
          <w:color w:val="auto"/>
          <w:spacing w:val="0"/>
          <w:sz w:val="21"/>
          <w:szCs w:val="21"/>
          <w:highlight w:val="none"/>
        </w:rPr>
        <w:t>乙方</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lang w:val="en-US" w:eastAsia="zh-CN"/>
        </w:rPr>
        <w:t>联合体牵头</w:t>
      </w:r>
      <w:r>
        <w:rPr>
          <w:rFonts w:hint="eastAsia" w:ascii="宋体" w:hAnsi="宋体" w:cs="宋体"/>
          <w:b w:val="0"/>
          <w:bCs w:val="0"/>
          <w:color w:val="auto"/>
          <w:spacing w:val="0"/>
          <w:sz w:val="21"/>
          <w:szCs w:val="21"/>
          <w:highlight w:val="none"/>
          <w:lang w:val="en-US" w:eastAsia="zh-CN"/>
        </w:rPr>
        <w:t>方</w:t>
      </w:r>
      <w:r>
        <w:rPr>
          <w:rFonts w:hint="eastAsia" w:ascii="宋体" w:hAnsi="宋体" w:eastAsia="宋体" w:cs="宋体"/>
          <w:b w:val="0"/>
          <w:bCs w:val="0"/>
          <w:color w:val="auto"/>
          <w:spacing w:val="0"/>
          <w:sz w:val="21"/>
          <w:szCs w:val="21"/>
          <w:highlight w:val="none"/>
          <w:lang w:eastAsia="zh-CN"/>
        </w:rPr>
        <w:t>）</w:t>
      </w:r>
      <w:r>
        <w:rPr>
          <w:rFonts w:hint="eastAsia" w:ascii="宋体" w:hAnsi="宋体" w:eastAsia="宋体" w:cs="宋体"/>
          <w:b w:val="0"/>
          <w:bCs w:val="0"/>
          <w:color w:val="auto"/>
          <w:spacing w:val="0"/>
          <w:sz w:val="21"/>
          <w:szCs w:val="21"/>
          <w:highlight w:val="none"/>
        </w:rPr>
        <w:t>指定收款账户：</w:t>
      </w:r>
    </w:p>
    <w:p w14:paraId="5A3C88A7">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乙方户名：</w:t>
      </w:r>
    </w:p>
    <w:p w14:paraId="65996D16">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开户账号：</w:t>
      </w:r>
    </w:p>
    <w:p w14:paraId="2773584D">
      <w:pPr>
        <w:keepNext w:val="0"/>
        <w:keepLines w:val="0"/>
        <w:pageBreakBefore w:val="0"/>
        <w:wordWrap/>
        <w:overflowPunct/>
        <w:topLinePunct w:val="0"/>
        <w:bidi w:val="0"/>
        <w:adjustRightInd w:val="0"/>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开户银行：</w:t>
      </w:r>
    </w:p>
    <w:p w14:paraId="6793321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6.履约保证金</w:t>
      </w:r>
    </w:p>
    <w:p w14:paraId="49EB6E4C">
      <w:pPr>
        <w:pStyle w:val="35"/>
        <w:spacing w:line="360" w:lineRule="auto"/>
        <w:rPr>
          <w:rFonts w:hint="eastAsia"/>
          <w:color w:val="auto"/>
          <w:highlight w:val="none"/>
        </w:rPr>
      </w:pPr>
      <w:r>
        <w:rPr>
          <w:rFonts w:hint="eastAsia" w:ascii="宋体" w:hAnsi="宋体" w:eastAsia="宋体" w:cs="宋体"/>
          <w:b w:val="0"/>
          <w:bCs w:val="0"/>
          <w:color w:val="auto"/>
          <w:sz w:val="21"/>
          <w:szCs w:val="21"/>
          <w:highlight w:val="none"/>
          <w:lang w:val="en-US" w:eastAsia="zh-CN"/>
        </w:rPr>
        <w:t>乙方于合同签订后10个工作日内向甲方提供履约担保，履约担保金额为项目合同金额的5%；履约担保形式：非现金形式，合同履行完成后10个工作日内退还。</w:t>
      </w:r>
    </w:p>
    <w:p w14:paraId="77D3B26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b/>
          <w:bCs/>
          <w:color w:val="auto"/>
          <w:spacing w:val="0"/>
          <w:sz w:val="21"/>
          <w:szCs w:val="21"/>
          <w:highlight w:val="none"/>
        </w:rPr>
      </w:pPr>
      <w:bookmarkStart w:id="96" w:name="_Toc12367"/>
      <w:bookmarkStart w:id="97" w:name="_Toc3065"/>
      <w:r>
        <w:rPr>
          <w:rFonts w:hint="eastAsia" w:ascii="宋体" w:hAnsi="宋体" w:cs="宋体"/>
          <w:b/>
          <w:bCs/>
          <w:color w:val="auto"/>
          <w:spacing w:val="0"/>
          <w:sz w:val="21"/>
          <w:szCs w:val="21"/>
          <w:highlight w:val="none"/>
          <w:lang w:val="en-US" w:eastAsia="zh-CN"/>
        </w:rPr>
        <w:t>十一</w:t>
      </w:r>
      <w:r>
        <w:rPr>
          <w:rFonts w:hint="eastAsia" w:ascii="宋体" w:hAnsi="宋体" w:eastAsia="宋体" w:cs="宋体"/>
          <w:b/>
          <w:bCs/>
          <w:color w:val="auto"/>
          <w:spacing w:val="0"/>
          <w:sz w:val="21"/>
          <w:szCs w:val="21"/>
          <w:highlight w:val="none"/>
          <w:lang w:val="en-US" w:eastAsia="zh-CN"/>
        </w:rPr>
        <w:t>、</w:t>
      </w:r>
      <w:r>
        <w:rPr>
          <w:rFonts w:hint="eastAsia" w:ascii="宋体" w:hAnsi="宋体" w:eastAsia="宋体" w:cs="宋体"/>
          <w:b/>
          <w:bCs/>
          <w:color w:val="auto"/>
          <w:spacing w:val="0"/>
          <w:sz w:val="21"/>
          <w:szCs w:val="21"/>
          <w:highlight w:val="none"/>
        </w:rPr>
        <w:t>质保与运维</w:t>
      </w:r>
    </w:p>
    <w:p w14:paraId="0C97A82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（一）质保期</w:t>
      </w:r>
    </w:p>
    <w:p w14:paraId="116AE3C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监测设备：质保期为自设备安装调试合格并经甲方</w:t>
      </w:r>
      <w:r>
        <w:rPr>
          <w:rFonts w:hint="eastAsia" w:ascii="宋体" w:hAnsi="宋体" w:cs="宋体"/>
          <w:color w:val="auto"/>
          <w:spacing w:val="0"/>
          <w:sz w:val="21"/>
          <w:szCs w:val="21"/>
          <w:highlight w:val="none"/>
          <w:lang w:val="en-US" w:eastAsia="zh-CN"/>
        </w:rPr>
        <w:t>终</w:t>
      </w:r>
      <w:r>
        <w:rPr>
          <w:rFonts w:hint="eastAsia" w:ascii="宋体" w:hAnsi="宋体" w:eastAsia="宋体" w:cs="宋体"/>
          <w:color w:val="auto"/>
          <w:spacing w:val="0"/>
          <w:sz w:val="21"/>
          <w:szCs w:val="21"/>
          <w:highlight w:val="none"/>
        </w:rPr>
        <w:t>验</w:t>
      </w:r>
      <w:r>
        <w:rPr>
          <w:rFonts w:hint="eastAsia" w:ascii="宋体" w:hAnsi="宋体" w:cs="宋体"/>
          <w:color w:val="auto"/>
          <w:spacing w:val="0"/>
          <w:sz w:val="21"/>
          <w:szCs w:val="21"/>
          <w:highlight w:val="none"/>
          <w:lang w:val="en-US" w:eastAsia="zh-CN"/>
        </w:rPr>
        <w:t>合格</w:t>
      </w:r>
      <w:r>
        <w:rPr>
          <w:rFonts w:hint="eastAsia" w:ascii="宋体" w:hAnsi="宋体" w:eastAsia="宋体" w:cs="宋体"/>
          <w:color w:val="auto"/>
          <w:spacing w:val="0"/>
          <w:sz w:val="21"/>
          <w:szCs w:val="21"/>
          <w:highlight w:val="none"/>
        </w:rPr>
        <w:t>之日起</w:t>
      </w:r>
      <w:r>
        <w:rPr>
          <w:rFonts w:hint="eastAsia" w:ascii="宋体" w:hAnsi="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年</w:t>
      </w:r>
      <w:r>
        <w:rPr>
          <w:rFonts w:hint="eastAsia" w:ascii="宋体" w:hAnsi="宋体" w:cs="宋体"/>
          <w:color w:val="auto"/>
          <w:spacing w:val="0"/>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无人值守无人机场</w:t>
      </w:r>
      <w:r>
        <w:rPr>
          <w:rFonts w:hint="eastAsia" w:ascii="宋体" w:hAnsi="宋体" w:cs="宋体"/>
          <w:i w:val="0"/>
          <w:iCs w:val="0"/>
          <w:color w:val="auto"/>
          <w:kern w:val="0"/>
          <w:sz w:val="21"/>
          <w:szCs w:val="21"/>
          <w:highlight w:val="none"/>
          <w:u w:val="none"/>
          <w:lang w:val="en-US" w:eastAsia="zh-CN" w:bidi="ar"/>
        </w:rPr>
        <w:t>及无人机</w:t>
      </w:r>
      <w:r>
        <w:rPr>
          <w:rFonts w:hint="eastAsia" w:ascii="宋体" w:hAnsi="宋体" w:cs="宋体"/>
          <w:color w:val="auto"/>
          <w:spacing w:val="0"/>
          <w:sz w:val="21"/>
          <w:szCs w:val="21"/>
          <w:highlight w:val="none"/>
          <w:lang w:val="en-US" w:eastAsia="zh-CN"/>
        </w:rPr>
        <w:t>保险均为3年，提供2块备用电池</w:t>
      </w:r>
      <w:r>
        <w:rPr>
          <w:rFonts w:hint="eastAsia" w:ascii="宋体" w:hAnsi="宋体" w:cs="宋体"/>
          <w:color w:val="auto"/>
          <w:kern w:val="0"/>
          <w:sz w:val="21"/>
          <w:szCs w:val="21"/>
          <w:highlight w:val="none"/>
          <w:u w:val="none"/>
          <w:lang w:val="en-US" w:eastAsia="zh-CN" w:bidi="ar"/>
        </w:rPr>
        <w:t>和2块4G图传模块，</w:t>
      </w:r>
      <w:r>
        <w:rPr>
          <w:rFonts w:hint="eastAsia" w:ascii="宋体" w:hAnsi="宋体" w:eastAsia="宋体" w:cs="宋体"/>
          <w:b w:val="0"/>
          <w:bCs w:val="0"/>
          <w:i w:val="0"/>
          <w:iCs w:val="0"/>
          <w:caps w:val="0"/>
          <w:color w:val="auto"/>
          <w:spacing w:val="-4"/>
          <w:sz w:val="21"/>
          <w:szCs w:val="21"/>
          <w:highlight w:val="none"/>
          <w:shd w:val="clear" w:fill="FFFFFF"/>
          <w:lang w:val="en-US" w:eastAsia="zh-CN"/>
        </w:rPr>
        <w:t>配备</w:t>
      </w:r>
      <w:r>
        <w:rPr>
          <w:rFonts w:hint="eastAsia" w:ascii="宋体" w:hAnsi="宋体" w:eastAsia="宋体" w:cs="宋体"/>
          <w:b w:val="0"/>
          <w:bCs w:val="0"/>
          <w:i w:val="0"/>
          <w:iCs w:val="0"/>
          <w:caps w:val="0"/>
          <w:color w:val="auto"/>
          <w:spacing w:val="-4"/>
          <w:sz w:val="21"/>
          <w:szCs w:val="21"/>
          <w:highlight w:val="none"/>
          <w:shd w:val="clear" w:fill="FFFFFF"/>
        </w:rPr>
        <w:t>一站式无人机管理平台</w:t>
      </w:r>
      <w:r>
        <w:rPr>
          <w:rFonts w:hint="eastAsia" w:ascii="宋体" w:hAnsi="宋体" w:eastAsia="宋体" w:cs="宋体"/>
          <w:color w:val="auto"/>
          <w:spacing w:val="0"/>
          <w:sz w:val="21"/>
          <w:szCs w:val="21"/>
          <w:highlight w:val="none"/>
        </w:rPr>
        <w:t>；</w:t>
      </w:r>
    </w:p>
    <w:p w14:paraId="460C854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监测预警平台：质保期为自平台试运行合格并经甲方</w:t>
      </w:r>
      <w:r>
        <w:rPr>
          <w:rFonts w:hint="eastAsia" w:ascii="宋体" w:hAnsi="宋体" w:cs="宋体"/>
          <w:color w:val="auto"/>
          <w:spacing w:val="0"/>
          <w:sz w:val="21"/>
          <w:szCs w:val="21"/>
          <w:highlight w:val="none"/>
          <w:lang w:val="en-US" w:eastAsia="zh-CN"/>
        </w:rPr>
        <w:t>终验合格</w:t>
      </w:r>
      <w:r>
        <w:rPr>
          <w:rFonts w:hint="eastAsia" w:ascii="宋体" w:hAnsi="宋体" w:eastAsia="宋体" w:cs="宋体"/>
          <w:color w:val="auto"/>
          <w:spacing w:val="0"/>
          <w:sz w:val="21"/>
          <w:szCs w:val="21"/>
          <w:highlight w:val="none"/>
        </w:rPr>
        <w:t>之日起</w:t>
      </w:r>
      <w:r>
        <w:rPr>
          <w:rFonts w:hint="eastAsia" w:ascii="宋体" w:hAnsi="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年；</w:t>
      </w:r>
    </w:p>
    <w:p w14:paraId="5B2F1B5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运维服务：</w:t>
      </w:r>
      <w:r>
        <w:rPr>
          <w:rFonts w:hint="eastAsia" w:ascii="宋体" w:hAnsi="宋体" w:cs="宋体"/>
          <w:color w:val="auto"/>
          <w:sz w:val="21"/>
          <w:szCs w:val="21"/>
          <w:highlight w:val="none"/>
          <w:lang w:val="en-US" w:eastAsia="zh-CN"/>
        </w:rPr>
        <w:t>项目免费运维期三年，自项目整体验收合格后免费运维三年</w:t>
      </w:r>
      <w:r>
        <w:rPr>
          <w:rFonts w:hint="eastAsia" w:ascii="宋体" w:hAnsi="宋体" w:cs="宋体"/>
          <w:color w:val="auto"/>
          <w:spacing w:val="0"/>
          <w:sz w:val="21"/>
          <w:szCs w:val="21"/>
          <w:highlight w:val="none"/>
          <w:lang w:val="en-US" w:eastAsia="zh-CN"/>
        </w:rPr>
        <w:t>。三年内提供</w:t>
      </w:r>
      <w:r>
        <w:rPr>
          <w:rFonts w:hint="eastAsia" w:ascii="宋体" w:hAnsi="宋体" w:eastAsia="宋体" w:cs="宋体"/>
          <w:color w:val="auto"/>
          <w:spacing w:val="0"/>
          <w:sz w:val="21"/>
          <w:szCs w:val="21"/>
          <w:highlight w:val="none"/>
        </w:rPr>
        <w:t>数据保障服务</w:t>
      </w:r>
      <w:r>
        <w:rPr>
          <w:rFonts w:hint="eastAsia" w:ascii="宋体" w:hAnsi="宋体" w:cs="宋体"/>
          <w:color w:val="auto"/>
          <w:spacing w:val="0"/>
          <w:sz w:val="21"/>
          <w:szCs w:val="21"/>
          <w:highlight w:val="none"/>
          <w:lang w:eastAsia="zh-CN"/>
        </w:rPr>
        <w:t>，包括</w:t>
      </w:r>
      <w:r>
        <w:rPr>
          <w:rFonts w:hint="eastAsia" w:ascii="宋体" w:hAnsi="宋体" w:eastAsia="宋体" w:cs="宋体"/>
          <w:color w:val="auto"/>
          <w:spacing w:val="0"/>
          <w:sz w:val="21"/>
          <w:szCs w:val="21"/>
          <w:highlight w:val="none"/>
        </w:rPr>
        <w:t>设备、平台</w:t>
      </w:r>
      <w:r>
        <w:rPr>
          <w:rFonts w:hint="eastAsia" w:ascii="宋体" w:hAnsi="宋体" w:cs="宋体"/>
          <w:color w:val="auto"/>
          <w:spacing w:val="0"/>
          <w:sz w:val="21"/>
          <w:szCs w:val="21"/>
          <w:highlight w:val="none"/>
          <w:lang w:eastAsia="zh-CN"/>
        </w:rPr>
        <w:t>正常使用</w:t>
      </w:r>
      <w:r>
        <w:rPr>
          <w:rFonts w:hint="eastAsia" w:ascii="宋体" w:hAnsi="宋体" w:cs="宋体"/>
          <w:color w:val="auto"/>
          <w:spacing w:val="0"/>
          <w:sz w:val="21"/>
          <w:szCs w:val="21"/>
          <w:highlight w:val="none"/>
          <w:lang w:val="en-US" w:eastAsia="zh-CN"/>
        </w:rPr>
        <w:t>三年。</w:t>
      </w:r>
    </w:p>
    <w:p w14:paraId="2E44261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（二）质保及运维义务</w:t>
      </w:r>
    </w:p>
    <w:p w14:paraId="08F2FAA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质保期内，乙方对设备、平台出现的非人为故障免费提供维修、更换零部件服务，对平台免费提供漏洞修复、功能优化、技术支持服务</w:t>
      </w:r>
      <w:r>
        <w:rPr>
          <w:rFonts w:hint="eastAsia" w:ascii="宋体" w:hAnsi="宋体" w:cs="宋体"/>
          <w:color w:val="auto"/>
          <w:spacing w:val="0"/>
          <w:sz w:val="21"/>
          <w:szCs w:val="21"/>
          <w:highlight w:val="none"/>
          <w:lang w:val="en-US" w:eastAsia="zh-CN"/>
        </w:rPr>
        <w:t>。</w:t>
      </w:r>
    </w:p>
    <w:p w14:paraId="74F2D83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2.</w:t>
      </w:r>
      <w:r>
        <w:rPr>
          <w:rFonts w:hint="eastAsia" w:ascii="宋体" w:hAnsi="宋体" w:cs="宋体"/>
          <w:color w:val="auto"/>
          <w:spacing w:val="0"/>
          <w:sz w:val="21"/>
          <w:szCs w:val="21"/>
          <w:highlight w:val="none"/>
          <w:lang w:val="en-US" w:eastAsia="zh-CN"/>
        </w:rPr>
        <w:t>在</w:t>
      </w:r>
      <w:r>
        <w:rPr>
          <w:rFonts w:hint="eastAsia" w:ascii="宋体" w:hAnsi="宋体" w:eastAsia="宋体" w:cs="宋体"/>
          <w:color w:val="auto"/>
          <w:spacing w:val="0"/>
          <w:sz w:val="21"/>
          <w:szCs w:val="21"/>
          <w:highlight w:val="none"/>
        </w:rPr>
        <w:t>3年长期数据保障服务期内，乙方每季度至少开展1次</w:t>
      </w:r>
      <w:r>
        <w:rPr>
          <w:rFonts w:hint="eastAsia" w:ascii="宋体" w:hAnsi="宋体" w:cs="宋体"/>
          <w:color w:val="auto"/>
          <w:spacing w:val="0"/>
          <w:sz w:val="21"/>
          <w:szCs w:val="21"/>
          <w:highlight w:val="none"/>
          <w:lang w:eastAsia="zh-CN"/>
        </w:rPr>
        <w:t>监测</w:t>
      </w:r>
      <w:r>
        <w:rPr>
          <w:rFonts w:hint="eastAsia" w:ascii="宋体" w:hAnsi="宋体" w:eastAsia="宋体" w:cs="宋体"/>
          <w:color w:val="auto"/>
          <w:spacing w:val="0"/>
          <w:sz w:val="21"/>
          <w:szCs w:val="21"/>
          <w:highlight w:val="none"/>
        </w:rPr>
        <w:t>设备现场巡检，</w:t>
      </w:r>
      <w:r>
        <w:rPr>
          <w:rFonts w:hint="eastAsia" w:ascii="宋体" w:hAnsi="宋体" w:cs="宋体"/>
          <w:color w:val="auto"/>
          <w:spacing w:val="0"/>
          <w:sz w:val="21"/>
          <w:szCs w:val="21"/>
          <w:highlight w:val="none"/>
          <w:lang w:eastAsia="zh-CN"/>
        </w:rPr>
        <w:t>开展设备检修，</w:t>
      </w:r>
      <w:r>
        <w:rPr>
          <w:rFonts w:hint="eastAsia" w:ascii="宋体" w:hAnsi="宋体" w:eastAsia="宋体" w:cs="宋体"/>
          <w:color w:val="auto"/>
          <w:spacing w:val="0"/>
          <w:sz w:val="21"/>
          <w:szCs w:val="21"/>
          <w:highlight w:val="none"/>
        </w:rPr>
        <w:t>及时更换电池、存储卡</w:t>
      </w:r>
      <w:r>
        <w:rPr>
          <w:rFonts w:hint="eastAsia" w:ascii="宋体" w:hAnsi="宋体" w:cs="宋体"/>
          <w:color w:val="auto"/>
          <w:spacing w:val="0"/>
          <w:sz w:val="21"/>
          <w:szCs w:val="21"/>
          <w:highlight w:val="none"/>
          <w:lang w:eastAsia="zh-CN"/>
        </w:rPr>
        <w:t>、</w:t>
      </w:r>
      <w:r>
        <w:rPr>
          <w:rFonts w:hint="eastAsia" w:ascii="宋体" w:hAnsi="宋体" w:cs="宋体"/>
          <w:color w:val="auto"/>
          <w:spacing w:val="0"/>
          <w:sz w:val="21"/>
          <w:szCs w:val="21"/>
          <w:highlight w:val="none"/>
          <w:lang w:val="en-US" w:eastAsia="zh-CN"/>
        </w:rPr>
        <w:t>设备配件</w:t>
      </w:r>
      <w:r>
        <w:rPr>
          <w:rFonts w:hint="eastAsia" w:ascii="宋体" w:hAnsi="宋体" w:eastAsia="宋体" w:cs="宋体"/>
          <w:color w:val="auto"/>
          <w:spacing w:val="0"/>
          <w:sz w:val="21"/>
          <w:szCs w:val="21"/>
          <w:highlight w:val="none"/>
        </w:rPr>
        <w:t>等耗材，根据甲方要求调整</w:t>
      </w:r>
      <w:r>
        <w:rPr>
          <w:rFonts w:hint="eastAsia" w:ascii="宋体" w:hAnsi="宋体" w:cs="宋体"/>
          <w:color w:val="auto"/>
          <w:spacing w:val="0"/>
          <w:sz w:val="21"/>
          <w:szCs w:val="21"/>
          <w:highlight w:val="none"/>
          <w:lang w:val="en-US" w:eastAsia="zh-CN"/>
        </w:rPr>
        <w:t>监测设备</w:t>
      </w:r>
      <w:r>
        <w:rPr>
          <w:rFonts w:hint="eastAsia" w:ascii="宋体" w:hAnsi="宋体" w:eastAsia="宋体" w:cs="宋体"/>
          <w:color w:val="auto"/>
          <w:spacing w:val="0"/>
          <w:sz w:val="21"/>
          <w:szCs w:val="21"/>
          <w:highlight w:val="none"/>
        </w:rPr>
        <w:t>位置，</w:t>
      </w:r>
      <w:r>
        <w:rPr>
          <w:rFonts w:hint="eastAsia" w:ascii="宋体" w:hAnsi="宋体" w:cs="宋体"/>
          <w:color w:val="auto"/>
          <w:spacing w:val="0"/>
          <w:sz w:val="21"/>
          <w:szCs w:val="21"/>
          <w:highlight w:val="none"/>
          <w:lang w:eastAsia="zh-CN"/>
        </w:rPr>
        <w:t>对部分指标开展现场人工补充调查，</w:t>
      </w:r>
      <w:r>
        <w:rPr>
          <w:rFonts w:hint="eastAsia" w:ascii="宋体" w:hAnsi="宋体" w:eastAsia="宋体" w:cs="宋体"/>
          <w:color w:val="auto"/>
          <w:spacing w:val="0"/>
          <w:sz w:val="21"/>
          <w:szCs w:val="21"/>
          <w:highlight w:val="none"/>
        </w:rPr>
        <w:t>对监测数据进行质量核查，确保数据完整有效</w:t>
      </w:r>
      <w:r>
        <w:rPr>
          <w:rFonts w:hint="eastAsia" w:ascii="宋体" w:hAnsi="宋体" w:cs="宋体"/>
          <w:color w:val="auto"/>
          <w:spacing w:val="0"/>
          <w:sz w:val="21"/>
          <w:szCs w:val="21"/>
          <w:highlight w:val="none"/>
          <w:lang w:eastAsia="zh-CN"/>
        </w:rPr>
        <w:t>；</w:t>
      </w:r>
      <w:r>
        <w:rPr>
          <w:rFonts w:hint="eastAsia" w:ascii="宋体" w:hAnsi="宋体" w:cs="宋体"/>
          <w:b w:val="0"/>
          <w:bCs w:val="0"/>
          <w:color w:val="auto"/>
          <w:szCs w:val="21"/>
          <w:highlight w:val="none"/>
        </w:rPr>
        <w:t>保障</w:t>
      </w:r>
      <w:r>
        <w:rPr>
          <w:rFonts w:hint="eastAsia" w:ascii="宋体" w:hAnsi="宋体" w:cs="宋体"/>
          <w:b w:val="0"/>
          <w:bCs w:val="0"/>
          <w:color w:val="auto"/>
          <w:szCs w:val="21"/>
          <w:highlight w:val="none"/>
          <w:lang w:eastAsia="zh-CN"/>
        </w:rPr>
        <w:t>生态安全风险监测预警信息平台</w:t>
      </w:r>
      <w:r>
        <w:rPr>
          <w:rFonts w:hint="eastAsia" w:ascii="宋体" w:hAnsi="宋体" w:cs="宋体"/>
          <w:b w:val="0"/>
          <w:bCs w:val="0"/>
          <w:color w:val="auto"/>
          <w:szCs w:val="21"/>
          <w:highlight w:val="none"/>
        </w:rPr>
        <w:t>正常运行，每季度对机房设备巡检维护并出具巡检报告。根据软件运行情况进行升级更新，损坏设备配件的更换维修等。提供软件平台网络安全运维，定期进行病毒查杀、风险预警、应急</w:t>
      </w:r>
      <w:r>
        <w:rPr>
          <w:rFonts w:hint="eastAsia" w:ascii="宋体" w:hAnsi="宋体" w:cs="宋体"/>
          <w:b w:val="0"/>
          <w:bCs w:val="0"/>
          <w:color w:val="auto"/>
          <w:szCs w:val="21"/>
          <w:highlight w:val="none"/>
          <w:lang w:eastAsia="zh-CN"/>
        </w:rPr>
        <w:t>处置</w:t>
      </w:r>
      <w:r>
        <w:rPr>
          <w:rFonts w:hint="eastAsia" w:ascii="宋体" w:hAnsi="宋体" w:cs="宋体"/>
          <w:b w:val="0"/>
          <w:bCs w:val="0"/>
          <w:color w:val="auto"/>
          <w:szCs w:val="21"/>
          <w:highlight w:val="none"/>
        </w:rPr>
        <w:t>等</w:t>
      </w:r>
      <w:r>
        <w:rPr>
          <w:rFonts w:hint="eastAsia" w:ascii="宋体" w:hAnsi="宋体" w:cs="宋体"/>
          <w:b w:val="0"/>
          <w:bCs w:val="0"/>
          <w:color w:val="auto"/>
          <w:szCs w:val="21"/>
          <w:highlight w:val="none"/>
          <w:lang w:eastAsia="zh-CN"/>
        </w:rPr>
        <w:t>；</w:t>
      </w:r>
      <w:r>
        <w:rPr>
          <w:rFonts w:hint="eastAsia" w:ascii="宋体" w:hAnsi="宋体" w:eastAsia="宋体" w:cs="宋体"/>
          <w:color w:val="auto"/>
          <w:spacing w:val="0"/>
          <w:sz w:val="21"/>
          <w:szCs w:val="21"/>
          <w:highlight w:val="none"/>
        </w:rPr>
        <w:t>每年向甲方提交1份运维总结报告</w:t>
      </w:r>
      <w:r>
        <w:rPr>
          <w:rFonts w:hint="eastAsia" w:ascii="宋体" w:hAnsi="宋体" w:cs="宋体"/>
          <w:color w:val="auto"/>
          <w:spacing w:val="0"/>
          <w:sz w:val="21"/>
          <w:szCs w:val="21"/>
          <w:highlight w:val="none"/>
          <w:lang w:eastAsia="zh-CN"/>
        </w:rPr>
        <w:t>。</w:t>
      </w:r>
    </w:p>
    <w:p w14:paraId="34AB899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质保及运维期内，乙方提供7×24小时技术支持，设备/平台故障报修后，远程响应≤1小时，现场处理≤48小时（偏远地区≤72小时）。</w:t>
      </w:r>
    </w:p>
    <w:p w14:paraId="673D62E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十</w:t>
      </w:r>
      <w:r>
        <w:rPr>
          <w:rFonts w:hint="eastAsia" w:ascii="宋体" w:hAnsi="宋体" w:cs="宋体"/>
          <w:b/>
          <w:bCs/>
          <w:color w:val="auto"/>
          <w:spacing w:val="0"/>
          <w:sz w:val="21"/>
          <w:szCs w:val="21"/>
          <w:highlight w:val="none"/>
          <w:lang w:val="en-US" w:eastAsia="zh-CN"/>
        </w:rPr>
        <w:t>二</w:t>
      </w:r>
      <w:r>
        <w:rPr>
          <w:rFonts w:hint="eastAsia" w:ascii="宋体" w:hAnsi="宋体" w:eastAsia="宋体" w:cs="宋体"/>
          <w:b/>
          <w:bCs/>
          <w:color w:val="auto"/>
          <w:spacing w:val="0"/>
          <w:sz w:val="21"/>
          <w:szCs w:val="21"/>
          <w:highlight w:val="none"/>
          <w:lang w:val="en-US" w:eastAsia="zh-CN"/>
        </w:rPr>
        <w:t>、违约责任</w:t>
      </w:r>
    </w:p>
    <w:p w14:paraId="52FAE94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（一）甲方违约责任</w:t>
      </w:r>
    </w:p>
    <w:p w14:paraId="6B46196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1.甲方未按合同约定支付合同价款的，每逾期1日，按逾期付款金额的万分之五向乙方支付违约金；逾期付款超过30日的，乙方有权暂停项目实施，由此造成的工期延误及损失由甲方承担；</w:t>
      </w:r>
    </w:p>
    <w:p w14:paraId="0E99088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2.因甲方原因导致项目实施延误的，工期相应顺延；</w:t>
      </w:r>
    </w:p>
    <w:p w14:paraId="296DA19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3.甲方无故拒收乙方符合合同约定的设备、成果的，需向乙方支付合同总价款5%的违约金，并承担乙方因此造成的实际损失。</w:t>
      </w:r>
    </w:p>
    <w:p w14:paraId="7C998A0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（二）乙方违约责任</w:t>
      </w:r>
    </w:p>
    <w:p w14:paraId="517B535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乙方未按合同约定的工期完成项目实施的，每逾期1日，按合同总价款的万分之五向甲方支付违约金；逾期超过30日的，甲方有权解除合同，乙方需退还甲方已支付的全部款项，并支付合同总价款20%的违约金，违约金不足以弥补甲方损失的，乙方需补足差额；</w:t>
      </w:r>
    </w:p>
    <w:p w14:paraId="3FF87D4B">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2.乙方交付的设备、成果质量不符合合同约定的，甲方有权</w:t>
      </w:r>
      <w:r>
        <w:rPr>
          <w:rFonts w:hint="eastAsia" w:ascii="宋体" w:hAnsi="宋体" w:cs="宋体"/>
          <w:color w:val="auto"/>
          <w:spacing w:val="0"/>
          <w:sz w:val="21"/>
          <w:szCs w:val="21"/>
          <w:highlight w:val="none"/>
          <w:lang w:val="en-US" w:eastAsia="zh-CN"/>
        </w:rPr>
        <w:t>拒收，并</w:t>
      </w:r>
      <w:r>
        <w:rPr>
          <w:rFonts w:hint="eastAsia" w:ascii="宋体" w:hAnsi="宋体" w:eastAsia="宋体" w:cs="宋体"/>
          <w:color w:val="auto"/>
          <w:spacing w:val="0"/>
          <w:sz w:val="21"/>
          <w:szCs w:val="21"/>
          <w:highlight w:val="none"/>
          <w:lang w:val="en-US" w:eastAsia="zh-CN"/>
        </w:rPr>
        <w:t>要求乙方</w:t>
      </w:r>
      <w:r>
        <w:rPr>
          <w:rFonts w:hint="eastAsia" w:ascii="宋体" w:hAnsi="宋体" w:cs="宋体"/>
          <w:color w:val="auto"/>
          <w:spacing w:val="0"/>
          <w:sz w:val="21"/>
          <w:szCs w:val="21"/>
          <w:highlight w:val="none"/>
          <w:lang w:val="en-US" w:eastAsia="zh-CN"/>
        </w:rPr>
        <w:t>更换</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返工</w:t>
      </w:r>
      <w:r>
        <w:rPr>
          <w:rFonts w:hint="eastAsia" w:ascii="宋体" w:hAnsi="宋体" w:eastAsia="宋体" w:cs="宋体"/>
          <w:color w:val="auto"/>
          <w:spacing w:val="0"/>
          <w:sz w:val="21"/>
          <w:szCs w:val="21"/>
          <w:highlight w:val="none"/>
          <w:lang w:val="en-US" w:eastAsia="zh-CN"/>
        </w:rPr>
        <w:t>或重新编制，返工/更换期限不计入合同工期，由此造成的工期延误，乙方按本条第1款承担违约责任；若返工/更换后仍不符合要求的，甲方有权解除合同，乙方需退还甲方已支付的全部款项，并支付合同总价款20%的违约金；</w:t>
      </w:r>
    </w:p>
    <w:p w14:paraId="24635F0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3.乙方未按合同约定履行质保、运维义务的，甲方有权自行委托第三方处理，产生的所有费用由乙方承担，同时乙方需向甲方支付合同总价款5%的违约金；</w:t>
      </w:r>
    </w:p>
    <w:p w14:paraId="57B24A0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4.乙方违反数据保密义务，泄露、倒卖、擅自使用本项目数据或甲方资料的，需向甲方支付合同总价款30%的违约金，若造成甲方损失的，乙方需承担全部赔偿责任；</w:t>
      </w:r>
    </w:p>
    <w:p w14:paraId="00E1946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5.乙方项目实施过程中造成保护区生态环境破坏或安全事故的，需承担全部赔偿责任，甲方有权解除合同，乙方需退还甲方已支付的全部款项，并支付合同总价款20%的违约金；</w:t>
      </w:r>
    </w:p>
    <w:p w14:paraId="6E9FFA2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6.乙方擅自更换项目负责人及核心技术人员，或项目实施团队不符合合同约定的，甲方有权要求乙方限期整改，乙方需向甲方支付合同总价款3%的违约金；整改后仍不符合要求的，甲方有权解除合同，乙方承担相应违约责任；</w:t>
      </w:r>
    </w:p>
    <w:p w14:paraId="3137520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7.乙方不得将本项目全部或部分工作转包、分包给第三方，否则甲方有权解除合同，乙方需退还甲方已支付的全部款项，并支付合同总价款20%的违约金。</w:t>
      </w:r>
    </w:p>
    <w:p w14:paraId="2276E94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（三）违约金上限</w:t>
      </w:r>
    </w:p>
    <w:p w14:paraId="0C58AD2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除本条另有约定外，乙方支付的违约金总额累计不超过合同总价款的30%。但本限额不适用于乙方因故意或重大过失造成的违约、乙方违反本合同知识产权或保密义务所造成的损失、以及乙方违约行为对甲方或第三方造成的人身、财产及生态环境重大损害等情形。违约金不足以弥补对方实际损失的，违约方需补足差额。</w:t>
      </w:r>
    </w:p>
    <w:p w14:paraId="4E12C506">
      <w:pPr>
        <w:pStyle w:val="14"/>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如遇财政预算、国库关门或财政资金未拨付等非甲方因素导致付款迟延的不视为甲方违约，甲方于资金到账之日起15个工作日内支付乙方。</w:t>
      </w:r>
    </w:p>
    <w:p w14:paraId="20ADB9D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cs="宋体"/>
          <w:b/>
          <w:bCs/>
          <w:color w:val="auto"/>
          <w:spacing w:val="0"/>
          <w:sz w:val="21"/>
          <w:szCs w:val="21"/>
          <w:highlight w:val="none"/>
          <w:lang w:val="en-US" w:eastAsia="zh-CN"/>
        </w:rPr>
      </w:pPr>
      <w:r>
        <w:rPr>
          <w:rFonts w:hint="eastAsia" w:ascii="宋体" w:hAnsi="宋体" w:cs="宋体"/>
          <w:b/>
          <w:bCs/>
          <w:color w:val="auto"/>
          <w:spacing w:val="0"/>
          <w:sz w:val="21"/>
          <w:szCs w:val="21"/>
          <w:highlight w:val="none"/>
          <w:lang w:val="en-US" w:eastAsia="zh-CN"/>
        </w:rPr>
        <w:t>十三、在合同履行期限内，甲方有权了解乙方的履行义务情况并监督乙方工作实施。如发现施工情况与合同要求不符，有权向乙方提出质疑并提出解决问题的意见，甲方认为乙方不能胜任工作的，有权单方解除合同，解除合同时，乙方须全额退回甲方已支付的款项。</w:t>
      </w:r>
    </w:p>
    <w:p w14:paraId="5C869CE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rPr>
          <w:rFonts w:hint="eastAsia" w:ascii="宋体" w:hAnsi="宋体" w:cs="宋体"/>
          <w:color w:val="auto"/>
          <w:sz w:val="21"/>
          <w:szCs w:val="21"/>
          <w:highlight w:val="none"/>
          <w:lang w:val="en-US" w:eastAsia="zh-CN"/>
        </w:rPr>
      </w:pPr>
      <w:r>
        <w:rPr>
          <w:rFonts w:hint="eastAsia" w:ascii="宋体" w:hAnsi="宋体" w:cs="宋体"/>
          <w:b/>
          <w:bCs/>
          <w:color w:val="auto"/>
          <w:spacing w:val="0"/>
          <w:sz w:val="21"/>
          <w:szCs w:val="21"/>
          <w:highlight w:val="none"/>
          <w:lang w:val="en-US" w:eastAsia="zh-CN"/>
        </w:rPr>
        <w:t>十四、乙方在履行本合同过程中如发生设备损毁、乙方工作人员安全事故及人身伤亡或乙方工作人员由于非甲方原因致甲方、甲方工作人员或第三人财产或人身受损的，一切法律责任与甲方无关，由乙方承担。</w:t>
      </w:r>
    </w:p>
    <w:p w14:paraId="10E44E1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十</w:t>
      </w:r>
      <w:r>
        <w:rPr>
          <w:rFonts w:hint="eastAsia" w:ascii="宋体" w:hAnsi="宋体" w:cs="宋体"/>
          <w:b/>
          <w:bCs/>
          <w:color w:val="auto"/>
          <w:spacing w:val="0"/>
          <w:sz w:val="21"/>
          <w:szCs w:val="21"/>
          <w:highlight w:val="none"/>
          <w:lang w:val="en-US" w:eastAsia="zh-CN"/>
        </w:rPr>
        <w:t>五</w:t>
      </w:r>
      <w:r>
        <w:rPr>
          <w:rFonts w:hint="eastAsia" w:ascii="宋体" w:hAnsi="宋体" w:eastAsia="宋体" w:cs="宋体"/>
          <w:b/>
          <w:bCs/>
          <w:color w:val="auto"/>
          <w:spacing w:val="0"/>
          <w:sz w:val="21"/>
          <w:szCs w:val="21"/>
          <w:highlight w:val="none"/>
        </w:rPr>
        <w:t>、知识产权归属</w:t>
      </w:r>
      <w:bookmarkEnd w:id="96"/>
      <w:bookmarkEnd w:id="97"/>
    </w:p>
    <w:p w14:paraId="296389C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1.乙方应保证本项目的投标技术、服务或其任何一部分不会产生因第三方提出侵犯其专利权、商标权或其他知识产权而引起的法律和经济纠纷。</w:t>
      </w:r>
    </w:p>
    <w:p w14:paraId="413DF99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2.乙方为本项目所收集的全部资料仅用于本次工作，未经相关方同意不得提供第三方使用。</w:t>
      </w:r>
    </w:p>
    <w:p w14:paraId="2005329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3.甲乙双方按本合同要求完成的技术成果归甲方所有，未经甲方同意，乙方不得随意使用。如发现以上情况，乙方承担由此引起的后果并承担全部责任。</w:t>
      </w:r>
    </w:p>
    <w:p w14:paraId="137C352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98" w:name="_Toc13626"/>
      <w:bookmarkStart w:id="99" w:name="_Toc21863"/>
      <w:r>
        <w:rPr>
          <w:rFonts w:hint="eastAsia" w:ascii="宋体" w:hAnsi="宋体" w:eastAsia="宋体" w:cs="宋体"/>
          <w:b/>
          <w:bCs/>
          <w:color w:val="auto"/>
          <w:spacing w:val="0"/>
          <w:sz w:val="21"/>
          <w:szCs w:val="21"/>
          <w:highlight w:val="none"/>
          <w:lang w:val="en-US" w:eastAsia="zh-CN"/>
        </w:rPr>
        <w:t>十</w:t>
      </w:r>
      <w:r>
        <w:rPr>
          <w:rFonts w:hint="eastAsia" w:ascii="宋体" w:hAnsi="宋体" w:cs="宋体"/>
          <w:b/>
          <w:bCs/>
          <w:color w:val="auto"/>
          <w:spacing w:val="0"/>
          <w:sz w:val="21"/>
          <w:szCs w:val="21"/>
          <w:highlight w:val="none"/>
          <w:lang w:val="en-US" w:eastAsia="zh-CN"/>
        </w:rPr>
        <w:t>六</w:t>
      </w:r>
      <w:r>
        <w:rPr>
          <w:rFonts w:hint="eastAsia" w:ascii="宋体" w:hAnsi="宋体" w:eastAsia="宋体" w:cs="宋体"/>
          <w:b/>
          <w:bCs/>
          <w:color w:val="auto"/>
          <w:spacing w:val="0"/>
          <w:sz w:val="21"/>
          <w:szCs w:val="21"/>
          <w:highlight w:val="none"/>
        </w:rPr>
        <w:t>、保密</w:t>
      </w:r>
      <w:bookmarkEnd w:id="98"/>
      <w:bookmarkEnd w:id="99"/>
    </w:p>
    <w:p w14:paraId="3790E19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甲、乙双方都有承担保守技术秘密的义务，并采取有效的保密措施。项目实施过程中至乙方正式向甲方交付技术文档资料时止，乙方必须采取措施对本项目实施过程中的数据、技术文档等资料保密，否则，由于乙方过错导致的上述资料泄密的，乙方必须承担一切责任。项目完成后，乙方有责任对本项目的技术保密承担责任。</w:t>
      </w:r>
    </w:p>
    <w:p w14:paraId="6743CD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drawing>
          <wp:anchor distT="0" distB="0" distL="114300" distR="114300" simplePos="0" relativeHeight="251659264" behindDoc="0" locked="0" layoutInCell="1" allowOverlap="1">
            <wp:simplePos x="0" y="0"/>
            <wp:positionH relativeFrom="column">
              <wp:posOffset>9168765</wp:posOffset>
            </wp:positionH>
            <wp:positionV relativeFrom="paragraph">
              <wp:posOffset>182880</wp:posOffset>
            </wp:positionV>
            <wp:extent cx="540385" cy="1810385"/>
            <wp:effectExtent l="0" t="0" r="12065" b="18415"/>
            <wp:wrapNone/>
            <wp:docPr id="8" name="IM 4"/>
            <wp:cNvGraphicFramePr/>
            <a:graphic xmlns:a="http://schemas.openxmlformats.org/drawingml/2006/main">
              <a:graphicData uri="http://schemas.openxmlformats.org/drawingml/2006/picture">
                <pic:pic xmlns:pic="http://schemas.openxmlformats.org/drawingml/2006/picture">
                  <pic:nvPicPr>
                    <pic:cNvPr id="8" name="IM 4"/>
                    <pic:cNvPicPr/>
                  </pic:nvPicPr>
                  <pic:blipFill>
                    <a:blip r:embed="rId18"/>
                    <a:stretch>
                      <a:fillRect/>
                    </a:stretch>
                  </pic:blipFill>
                  <pic:spPr>
                    <a:xfrm>
                      <a:off x="0" y="0"/>
                      <a:ext cx="540385" cy="1810385"/>
                    </a:xfrm>
                    <a:prstGeom prst="rect">
                      <a:avLst/>
                    </a:prstGeom>
                    <a:noFill/>
                    <a:ln>
                      <a:noFill/>
                    </a:ln>
                  </pic:spPr>
                </pic:pic>
              </a:graphicData>
            </a:graphic>
          </wp:anchor>
        </w:drawing>
      </w:r>
      <w:r>
        <w:rPr>
          <w:rFonts w:hint="eastAsia" w:ascii="宋体" w:hAnsi="宋体" w:eastAsia="宋体" w:cs="宋体"/>
          <w:b/>
          <w:bCs/>
          <w:color w:val="auto"/>
          <w:spacing w:val="0"/>
          <w:sz w:val="21"/>
          <w:szCs w:val="21"/>
          <w:highlight w:val="none"/>
        </w:rPr>
        <w:t>十</w:t>
      </w:r>
      <w:r>
        <w:rPr>
          <w:rFonts w:hint="eastAsia" w:ascii="宋体" w:hAnsi="宋体" w:cs="宋体"/>
          <w:b/>
          <w:bCs/>
          <w:color w:val="auto"/>
          <w:spacing w:val="0"/>
          <w:sz w:val="21"/>
          <w:szCs w:val="21"/>
          <w:highlight w:val="none"/>
          <w:lang w:val="en-US" w:eastAsia="zh-CN"/>
        </w:rPr>
        <w:t>七</w:t>
      </w:r>
      <w:r>
        <w:rPr>
          <w:rFonts w:hint="eastAsia" w:ascii="宋体" w:hAnsi="宋体" w:eastAsia="宋体" w:cs="宋体"/>
          <w:b/>
          <w:bCs/>
          <w:color w:val="auto"/>
          <w:spacing w:val="0"/>
          <w:sz w:val="21"/>
          <w:szCs w:val="21"/>
          <w:highlight w:val="none"/>
        </w:rPr>
        <w:t>、争端的解决</w:t>
      </w:r>
    </w:p>
    <w:p w14:paraId="5856E64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outlineLvl w:val="0"/>
        <w:rPr>
          <w:rFonts w:hint="eastAsia" w:ascii="宋体" w:hAnsi="宋体" w:eastAsia="宋体" w:cs="宋体"/>
          <w:color w:val="auto"/>
          <w:sz w:val="21"/>
          <w:szCs w:val="21"/>
          <w:highlight w:val="none"/>
        </w:rPr>
      </w:pPr>
      <w:bookmarkStart w:id="100" w:name="_Toc28445"/>
      <w:bookmarkStart w:id="101" w:name="_Toc14461"/>
      <w:r>
        <w:rPr>
          <w:rFonts w:hint="eastAsia" w:ascii="宋体" w:hAnsi="宋体" w:eastAsia="宋体" w:cs="宋体"/>
          <w:color w:val="auto"/>
          <w:sz w:val="21"/>
          <w:szCs w:val="21"/>
          <w:highlight w:val="none"/>
        </w:rPr>
        <w:t>本合同履行过程中发生的争议，双方应首先友好协商解决；协商不成的，任何一方均有权向</w:t>
      </w:r>
      <w:r>
        <w:rPr>
          <w:rStyle w:val="29"/>
          <w:rFonts w:hint="eastAsia" w:ascii="宋体" w:hAnsi="宋体" w:eastAsia="宋体" w:cs="宋体"/>
          <w:b/>
          <w:bCs/>
          <w:color w:val="auto"/>
          <w:sz w:val="21"/>
          <w:szCs w:val="21"/>
          <w:highlight w:val="none"/>
        </w:rPr>
        <w:t>甲方所在地有管辖权的人民法院</w:t>
      </w:r>
      <w:r>
        <w:rPr>
          <w:rFonts w:hint="eastAsia" w:ascii="宋体" w:hAnsi="宋体" w:eastAsia="宋体" w:cs="宋体"/>
          <w:color w:val="auto"/>
          <w:sz w:val="21"/>
          <w:szCs w:val="21"/>
          <w:highlight w:val="none"/>
        </w:rPr>
        <w:t>提起诉讼。</w:t>
      </w:r>
    </w:p>
    <w:p w14:paraId="3A2B893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十</w:t>
      </w:r>
      <w:r>
        <w:rPr>
          <w:rFonts w:hint="eastAsia" w:ascii="宋体" w:hAnsi="宋体" w:cs="宋体"/>
          <w:b/>
          <w:bCs/>
          <w:color w:val="auto"/>
          <w:spacing w:val="0"/>
          <w:sz w:val="21"/>
          <w:szCs w:val="21"/>
          <w:highlight w:val="none"/>
          <w:lang w:val="en-US" w:eastAsia="zh-CN"/>
        </w:rPr>
        <w:t>八</w:t>
      </w:r>
      <w:r>
        <w:rPr>
          <w:rFonts w:hint="eastAsia" w:ascii="宋体" w:hAnsi="宋体" w:eastAsia="宋体" w:cs="宋体"/>
          <w:b/>
          <w:bCs/>
          <w:color w:val="auto"/>
          <w:spacing w:val="0"/>
          <w:sz w:val="21"/>
          <w:szCs w:val="21"/>
          <w:highlight w:val="none"/>
        </w:rPr>
        <w:t>、不可抗力</w:t>
      </w:r>
      <w:bookmarkEnd w:id="100"/>
      <w:bookmarkEnd w:id="101"/>
    </w:p>
    <w:p w14:paraId="79A27DB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bookmarkStart w:id="102" w:name="_Toc9362"/>
      <w:bookmarkStart w:id="103" w:name="_Toc9549"/>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本合同所称不可抗力，是指不能预见、不能避免并不能克服的客观情况，包括但不限于自然灾害、战争、地震、洪水、台风、疫情等；</w:t>
      </w:r>
    </w:p>
    <w:p w14:paraId="55176951">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因不可抗力导致本合同无法履行或迟延履行的，遭遇不可抗力一方应立即通知对方，并在不可抗力发生后15个工作日内提供有效证明文件，双方根据不可抗力的影响，协商决定部分履行、延期履行或解除合同，互不承担违约责任；</w:t>
      </w:r>
    </w:p>
    <w:p w14:paraId="118EE92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遭遇不可抗力一方应采取合理措施减少不可抗力造成的损失，若未采取合理措施导致损失扩大的，需对扩大的损失承担赔偿责任。</w:t>
      </w:r>
    </w:p>
    <w:p w14:paraId="3800EC1A">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十</w:t>
      </w:r>
      <w:r>
        <w:rPr>
          <w:rFonts w:hint="eastAsia" w:ascii="宋体" w:hAnsi="宋体" w:cs="宋体"/>
          <w:b/>
          <w:bCs/>
          <w:color w:val="auto"/>
          <w:spacing w:val="0"/>
          <w:sz w:val="21"/>
          <w:szCs w:val="21"/>
          <w:highlight w:val="none"/>
          <w:lang w:val="en-US" w:eastAsia="zh-CN"/>
        </w:rPr>
        <w:t>九</w:t>
      </w:r>
      <w:r>
        <w:rPr>
          <w:rFonts w:hint="eastAsia" w:ascii="宋体" w:hAnsi="宋体" w:eastAsia="宋体" w:cs="宋体"/>
          <w:b/>
          <w:bCs/>
          <w:color w:val="auto"/>
          <w:spacing w:val="0"/>
          <w:sz w:val="21"/>
          <w:szCs w:val="21"/>
          <w:highlight w:val="none"/>
        </w:rPr>
        <w:t>、税费</w:t>
      </w:r>
      <w:bookmarkEnd w:id="102"/>
      <w:bookmarkEnd w:id="103"/>
    </w:p>
    <w:p w14:paraId="6239930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与本合同执行有关的一切税费均由乙方负担。</w:t>
      </w:r>
    </w:p>
    <w:p w14:paraId="2B4F639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104" w:name="_Toc16326"/>
      <w:r>
        <w:rPr>
          <w:rFonts w:hint="eastAsia" w:ascii="宋体" w:hAnsi="宋体" w:cs="宋体"/>
          <w:b/>
          <w:bCs/>
          <w:color w:val="auto"/>
          <w:spacing w:val="0"/>
          <w:sz w:val="21"/>
          <w:szCs w:val="21"/>
          <w:highlight w:val="none"/>
          <w:lang w:val="en-US" w:eastAsia="zh-CN"/>
        </w:rPr>
        <w:t>二十</w:t>
      </w:r>
      <w:r>
        <w:rPr>
          <w:rFonts w:hint="eastAsia" w:ascii="宋体" w:hAnsi="宋体" w:eastAsia="宋体" w:cs="宋体"/>
          <w:b/>
          <w:bCs/>
          <w:color w:val="auto"/>
          <w:spacing w:val="0"/>
          <w:sz w:val="21"/>
          <w:szCs w:val="21"/>
          <w:highlight w:val="none"/>
        </w:rPr>
        <w:t>、其它</w:t>
      </w:r>
      <w:bookmarkEnd w:id="104"/>
    </w:p>
    <w:p w14:paraId="7C1D30D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1.本合同所有附件、招标文件、投标文件、中标通知书均为合同的有效组成部分，与本合同具有同等法律效力。</w:t>
      </w:r>
    </w:p>
    <w:p w14:paraId="2E3DCF7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2.在执行本合同的过程中，所有经双方签署确认的文件(包括会议纪要、补充协议、往来信函)即成为本合同的有效组成部分。</w:t>
      </w:r>
    </w:p>
    <w:p w14:paraId="0C956B9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本合同所载的双方的单位地址为双方认可的双方之真实有效的联系地址。双方同意在本合同履行过程中，双方确保本合同所列联系方式在本合同履行过程中真实、有效，发生任何变化，双方均应提前5个工作日书面通知对方。合同签订、履行过程中以及在本合同所涉诉讼案件(如发生)中，以合同所列联系地址作为双方联络的依据和诉讼程序送达地址，合同对方或法院以EMS、挂号邮件等方式将信息文件送至本合同所列地址的，即视为有效送达对方。双方在此同意，文件发送方将文件在邮政部门寄出后，以文件接收方在回执上注明的收件日期为送达日期。文件因拒收等原因被退回的，退回之日即视为送达之日。</w:t>
      </w:r>
    </w:p>
    <w:p w14:paraId="55482E9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4)本合同其他未尽事宜，按《中华人民共和国民法典》的有关规定处理。</w:t>
      </w:r>
    </w:p>
    <w:p w14:paraId="2D570BA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105" w:name="_Toc31879"/>
      <w:bookmarkStart w:id="106" w:name="_Toc6085"/>
      <w:r>
        <w:rPr>
          <w:rFonts w:hint="eastAsia" w:ascii="宋体" w:hAnsi="宋体" w:cs="宋体"/>
          <w:b/>
          <w:bCs/>
          <w:color w:val="auto"/>
          <w:spacing w:val="0"/>
          <w:sz w:val="21"/>
          <w:szCs w:val="21"/>
          <w:highlight w:val="none"/>
          <w:lang w:val="en-US" w:eastAsia="zh-CN"/>
        </w:rPr>
        <w:t>二</w:t>
      </w:r>
      <w:r>
        <w:rPr>
          <w:rFonts w:hint="eastAsia" w:ascii="宋体" w:hAnsi="宋体" w:eastAsia="宋体" w:cs="宋体"/>
          <w:b/>
          <w:bCs/>
          <w:color w:val="auto"/>
          <w:spacing w:val="0"/>
          <w:sz w:val="21"/>
          <w:szCs w:val="21"/>
          <w:highlight w:val="none"/>
        </w:rPr>
        <w:t>十</w:t>
      </w:r>
      <w:r>
        <w:rPr>
          <w:rFonts w:hint="eastAsia" w:ascii="宋体" w:hAnsi="宋体" w:cs="宋体"/>
          <w:b/>
          <w:bCs/>
          <w:color w:val="auto"/>
          <w:spacing w:val="0"/>
          <w:sz w:val="21"/>
          <w:szCs w:val="21"/>
          <w:highlight w:val="none"/>
          <w:lang w:val="en-US" w:eastAsia="zh-CN"/>
        </w:rPr>
        <w:t>一</w:t>
      </w:r>
      <w:r>
        <w:rPr>
          <w:rFonts w:hint="eastAsia" w:ascii="宋体" w:hAnsi="宋体" w:eastAsia="宋体" w:cs="宋体"/>
          <w:b/>
          <w:bCs/>
          <w:color w:val="auto"/>
          <w:spacing w:val="0"/>
          <w:sz w:val="21"/>
          <w:szCs w:val="21"/>
          <w:highlight w:val="none"/>
        </w:rPr>
        <w:t>、合同生效</w:t>
      </w:r>
      <w:bookmarkEnd w:id="105"/>
      <w:bookmarkEnd w:id="106"/>
    </w:p>
    <w:p w14:paraId="73BB3EA7">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1.合同自甲乙双方法定代表人或其</w:t>
      </w:r>
      <w:r>
        <w:rPr>
          <w:rFonts w:hint="eastAsia" w:ascii="宋体" w:hAnsi="宋体" w:eastAsia="宋体" w:cs="宋体"/>
          <w:color w:val="auto"/>
          <w:spacing w:val="0"/>
          <w:sz w:val="21"/>
          <w:szCs w:val="21"/>
          <w:highlight w:val="none"/>
          <w:lang w:val="en-US" w:eastAsia="zh-CN"/>
        </w:rPr>
        <w:t>委托代理人</w:t>
      </w:r>
      <w:r>
        <w:rPr>
          <w:rFonts w:hint="eastAsia" w:ascii="宋体" w:hAnsi="宋体" w:eastAsia="宋体" w:cs="宋体"/>
          <w:color w:val="auto"/>
          <w:spacing w:val="0"/>
          <w:sz w:val="21"/>
          <w:szCs w:val="21"/>
          <w:highlight w:val="none"/>
        </w:rPr>
        <w:t>签字盖章之日起生效。</w:t>
      </w:r>
    </w:p>
    <w:p w14:paraId="76AED25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2.合同一式</w:t>
      </w:r>
      <w:r>
        <w:rPr>
          <w:rFonts w:hint="eastAsia" w:ascii="宋体" w:hAnsi="宋体" w:cs="宋体"/>
          <w:color w:val="auto"/>
          <w:spacing w:val="0"/>
          <w:sz w:val="21"/>
          <w:szCs w:val="21"/>
          <w:highlight w:val="none"/>
          <w:lang w:val="en-US" w:eastAsia="zh-CN"/>
        </w:rPr>
        <w:t>五</w:t>
      </w:r>
      <w:r>
        <w:rPr>
          <w:rFonts w:hint="eastAsia" w:ascii="宋体" w:hAnsi="宋体" w:eastAsia="宋体" w:cs="宋体"/>
          <w:color w:val="auto"/>
          <w:spacing w:val="0"/>
          <w:sz w:val="21"/>
          <w:szCs w:val="21"/>
          <w:highlight w:val="none"/>
        </w:rPr>
        <w:t>份，其中甲方</w:t>
      </w:r>
      <w:r>
        <w:rPr>
          <w:rFonts w:hint="eastAsia" w:ascii="宋体" w:hAnsi="宋体" w:eastAsia="宋体" w:cs="宋体"/>
          <w:color w:val="auto"/>
          <w:spacing w:val="0"/>
          <w:sz w:val="21"/>
          <w:szCs w:val="21"/>
          <w:highlight w:val="none"/>
          <w:lang w:eastAsia="zh-CN"/>
        </w:rPr>
        <w:t>三</w:t>
      </w:r>
      <w:r>
        <w:rPr>
          <w:rFonts w:hint="eastAsia" w:ascii="宋体" w:hAnsi="宋体" w:eastAsia="宋体" w:cs="宋体"/>
          <w:color w:val="auto"/>
          <w:spacing w:val="0"/>
          <w:sz w:val="21"/>
          <w:szCs w:val="21"/>
          <w:highlight w:val="none"/>
        </w:rPr>
        <w:t>份，乙方份、</w:t>
      </w:r>
      <w:r>
        <w:rPr>
          <w:rFonts w:hint="eastAsia" w:ascii="宋体" w:hAnsi="宋体" w:eastAsia="宋体" w:cs="宋体"/>
          <w:color w:val="auto"/>
          <w:spacing w:val="0"/>
          <w:sz w:val="21"/>
          <w:szCs w:val="21"/>
          <w:highlight w:val="none"/>
          <w:lang w:val="en-US" w:eastAsia="zh-CN"/>
        </w:rPr>
        <w:t>财政监管部门一份</w:t>
      </w:r>
      <w:r>
        <w:rPr>
          <w:rFonts w:hint="eastAsia" w:ascii="宋体" w:hAnsi="宋体" w:eastAsia="宋体" w:cs="宋体"/>
          <w:color w:val="auto"/>
          <w:spacing w:val="0"/>
          <w:sz w:val="21"/>
          <w:szCs w:val="21"/>
          <w:highlight w:val="none"/>
        </w:rPr>
        <w:t>。</w:t>
      </w:r>
    </w:p>
    <w:p w14:paraId="65F0BFFF">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107" w:name="_Toc3728"/>
      <w:bookmarkStart w:id="108" w:name="_Toc31522"/>
      <w:r>
        <w:rPr>
          <w:rFonts w:hint="eastAsia" w:ascii="宋体" w:hAnsi="宋体" w:cs="宋体"/>
          <w:b/>
          <w:bCs/>
          <w:color w:val="auto"/>
          <w:spacing w:val="0"/>
          <w:sz w:val="21"/>
          <w:szCs w:val="21"/>
          <w:highlight w:val="none"/>
          <w:lang w:val="en-US" w:eastAsia="zh-CN"/>
        </w:rPr>
        <w:t>二</w:t>
      </w:r>
      <w:r>
        <w:rPr>
          <w:rFonts w:hint="eastAsia" w:ascii="宋体" w:hAnsi="宋体" w:eastAsia="宋体" w:cs="宋体"/>
          <w:b/>
          <w:bCs/>
          <w:color w:val="auto"/>
          <w:spacing w:val="0"/>
          <w:sz w:val="21"/>
          <w:szCs w:val="21"/>
          <w:highlight w:val="none"/>
        </w:rPr>
        <w:t>十</w:t>
      </w:r>
      <w:r>
        <w:rPr>
          <w:rFonts w:hint="eastAsia" w:ascii="宋体" w:hAnsi="宋体" w:cs="宋体"/>
          <w:b/>
          <w:bCs/>
          <w:color w:val="auto"/>
          <w:spacing w:val="0"/>
          <w:sz w:val="21"/>
          <w:szCs w:val="21"/>
          <w:highlight w:val="none"/>
          <w:lang w:val="en-US" w:eastAsia="zh-CN"/>
        </w:rPr>
        <w:t>二</w:t>
      </w:r>
      <w:r>
        <w:rPr>
          <w:rFonts w:hint="eastAsia" w:ascii="宋体" w:hAnsi="宋体" w:eastAsia="宋体" w:cs="宋体"/>
          <w:b/>
          <w:bCs/>
          <w:color w:val="auto"/>
          <w:spacing w:val="0"/>
          <w:sz w:val="21"/>
          <w:szCs w:val="21"/>
          <w:highlight w:val="none"/>
        </w:rPr>
        <w:t>、本合同不可分割之部分及解释顺序</w:t>
      </w:r>
      <w:bookmarkEnd w:id="107"/>
      <w:bookmarkEnd w:id="108"/>
    </w:p>
    <w:p w14:paraId="78DA4BD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1.合同书附件；</w:t>
      </w:r>
    </w:p>
    <w:p w14:paraId="5B23DCBC">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2.中标通知书；</w:t>
      </w:r>
    </w:p>
    <w:p w14:paraId="445318CD">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3.乙方投标文件；</w:t>
      </w:r>
    </w:p>
    <w:p w14:paraId="10E2AC6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4.招标文件；</w:t>
      </w:r>
    </w:p>
    <w:p w14:paraId="2359D59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5.甲乙双方签订合同过程中形成的其他文件。</w:t>
      </w:r>
    </w:p>
    <w:p w14:paraId="22495526">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outlineLvl w:val="0"/>
        <w:rPr>
          <w:rFonts w:hint="eastAsia" w:ascii="宋体" w:hAnsi="宋体" w:eastAsia="宋体" w:cs="宋体"/>
          <w:color w:val="auto"/>
          <w:spacing w:val="0"/>
          <w:sz w:val="21"/>
          <w:szCs w:val="21"/>
          <w:highlight w:val="none"/>
        </w:rPr>
      </w:pPr>
      <w:bookmarkStart w:id="109" w:name="_Toc5739"/>
      <w:bookmarkStart w:id="110" w:name="_Toc31020"/>
      <w:r>
        <w:rPr>
          <w:rFonts w:hint="eastAsia" w:ascii="宋体" w:hAnsi="宋体" w:cs="宋体"/>
          <w:b/>
          <w:bCs/>
          <w:color w:val="auto"/>
          <w:spacing w:val="0"/>
          <w:sz w:val="21"/>
          <w:szCs w:val="21"/>
          <w:highlight w:val="none"/>
          <w:lang w:val="en-US" w:eastAsia="zh-CN"/>
        </w:rPr>
        <w:t>二</w:t>
      </w:r>
      <w:r>
        <w:rPr>
          <w:rFonts w:hint="eastAsia" w:ascii="宋体" w:hAnsi="宋体" w:eastAsia="宋体" w:cs="宋体"/>
          <w:b/>
          <w:bCs/>
          <w:color w:val="auto"/>
          <w:spacing w:val="0"/>
          <w:sz w:val="21"/>
          <w:szCs w:val="21"/>
          <w:highlight w:val="none"/>
        </w:rPr>
        <w:t>十</w:t>
      </w:r>
      <w:r>
        <w:rPr>
          <w:rFonts w:hint="eastAsia" w:ascii="宋体" w:hAnsi="宋体" w:cs="宋体"/>
          <w:b/>
          <w:bCs/>
          <w:color w:val="auto"/>
          <w:spacing w:val="0"/>
          <w:sz w:val="21"/>
          <w:szCs w:val="21"/>
          <w:highlight w:val="none"/>
          <w:lang w:val="en-US" w:eastAsia="zh-CN"/>
        </w:rPr>
        <w:t>三</w:t>
      </w:r>
      <w:r>
        <w:rPr>
          <w:rFonts w:hint="eastAsia" w:ascii="宋体" w:hAnsi="宋体" w:eastAsia="宋体" w:cs="宋体"/>
          <w:b/>
          <w:bCs/>
          <w:color w:val="auto"/>
          <w:spacing w:val="0"/>
          <w:sz w:val="21"/>
          <w:szCs w:val="21"/>
          <w:highlight w:val="none"/>
        </w:rPr>
        <w:t>、特别约定</w:t>
      </w:r>
      <w:bookmarkEnd w:id="109"/>
      <w:bookmarkEnd w:id="110"/>
    </w:p>
    <w:p w14:paraId="14FB8170">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乙方各联体向甲方承诺，乙方各联合体均承担履行本合同约定的属于乙方的全部合同义务，每个联合体承担履行了属于乙方的全部合同义务之后再进行内部追偿，并且与甲方无关。</w:t>
      </w:r>
    </w:p>
    <w:p w14:paraId="57C2C2A4">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2" w:firstLineChars="200"/>
        <w:textAlignment w:val="baseline"/>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(以下空白)</w:t>
      </w:r>
    </w:p>
    <w:p w14:paraId="1100ECED">
      <w:pPr>
        <w:rPr>
          <w:rFonts w:hint="eastAsia"/>
          <w:color w:val="auto"/>
          <w:highlight w:val="none"/>
        </w:rPr>
      </w:pPr>
    </w:p>
    <w:p w14:paraId="287E4D64">
      <w:pPr>
        <w:pStyle w:val="2"/>
        <w:numPr>
          <w:ilvl w:val="0"/>
          <w:numId w:val="0"/>
        </w:numPr>
        <w:ind w:firstLine="723" w:firstLineChars="200"/>
        <w:jc w:val="center"/>
        <w:rPr>
          <w:rFonts w:hint="eastAsia" w:ascii="宋体" w:hAnsi="宋体" w:eastAsia="宋体" w:cs="宋体"/>
          <w:b w:val="0"/>
          <w:color w:val="auto"/>
          <w:sz w:val="36"/>
          <w:highlight w:val="none"/>
        </w:rPr>
      </w:pPr>
      <w:r>
        <w:rPr>
          <w:rFonts w:hint="eastAsia" w:ascii="宋体" w:hAnsi="宋体" w:eastAsia="宋体" w:cs="宋体"/>
          <w:color w:val="auto"/>
          <w:sz w:val="36"/>
          <w:highlight w:val="none"/>
        </w:rPr>
        <w:br w:type="page"/>
      </w:r>
      <w:bookmarkStart w:id="111" w:name="_Toc29147"/>
      <w:r>
        <w:rPr>
          <w:rFonts w:hint="eastAsia" w:ascii="宋体" w:hAnsi="宋体" w:eastAsia="宋体" w:cs="宋体"/>
          <w:color w:val="auto"/>
          <w:sz w:val="36"/>
          <w:highlight w:val="none"/>
        </w:rPr>
        <w:t>第四章投标文件格式</w:t>
      </w:r>
      <w:bookmarkEnd w:id="79"/>
      <w:bookmarkEnd w:id="80"/>
      <w:bookmarkEnd w:id="111"/>
    </w:p>
    <w:p w14:paraId="4888CF77">
      <w:pPr>
        <w:pStyle w:val="18"/>
        <w:spacing w:line="360" w:lineRule="auto"/>
        <w:rPr>
          <w:rFonts w:hint="eastAsia" w:ascii="宋体" w:hAnsi="宋体" w:eastAsia="宋体" w:cs="宋体"/>
          <w:color w:val="auto"/>
          <w:szCs w:val="21"/>
          <w:highlight w:val="none"/>
        </w:rPr>
      </w:pPr>
    </w:p>
    <w:p w14:paraId="178A52AE">
      <w:pPr>
        <w:pStyle w:val="18"/>
        <w:spacing w:line="360" w:lineRule="auto"/>
        <w:rPr>
          <w:rFonts w:hint="eastAsia" w:ascii="宋体" w:hAnsi="宋体" w:eastAsia="宋体" w:cs="宋体"/>
          <w:color w:val="auto"/>
          <w:szCs w:val="21"/>
          <w:highlight w:val="none"/>
        </w:rPr>
      </w:pPr>
    </w:p>
    <w:p w14:paraId="77503EAC">
      <w:pPr>
        <w:pStyle w:val="18"/>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48"/>
          <w:szCs w:val="48"/>
          <w:highlight w:val="none"/>
          <w:u w:val="single"/>
        </w:rPr>
        <w:t>（项目名称）</w:t>
      </w:r>
    </w:p>
    <w:p w14:paraId="1B6A4B3D">
      <w:pPr>
        <w:pStyle w:val="18"/>
        <w:spacing w:line="360" w:lineRule="auto"/>
        <w:jc w:val="center"/>
        <w:rPr>
          <w:rFonts w:hint="eastAsia" w:ascii="宋体" w:hAnsi="宋体" w:eastAsia="宋体" w:cs="宋体"/>
          <w:b/>
          <w:color w:val="auto"/>
          <w:sz w:val="32"/>
          <w:szCs w:val="32"/>
          <w:highlight w:val="none"/>
        </w:rPr>
      </w:pPr>
    </w:p>
    <w:p w14:paraId="782C60BB">
      <w:pPr>
        <w:pStyle w:val="18"/>
        <w:spacing w:line="360" w:lineRule="auto"/>
        <w:jc w:val="center"/>
        <w:rPr>
          <w:rFonts w:hint="eastAsia" w:ascii="宋体" w:hAnsi="宋体" w:eastAsia="宋体" w:cs="宋体"/>
          <w:b/>
          <w:color w:val="auto"/>
          <w:sz w:val="32"/>
          <w:szCs w:val="32"/>
          <w:highlight w:val="none"/>
        </w:rPr>
      </w:pPr>
    </w:p>
    <w:p w14:paraId="0C3E6836">
      <w:pPr>
        <w:pStyle w:val="18"/>
        <w:spacing w:line="360" w:lineRule="auto"/>
        <w:jc w:val="center"/>
        <w:rPr>
          <w:rFonts w:hint="eastAsia" w:ascii="宋体" w:hAnsi="宋体" w:eastAsia="宋体" w:cs="宋体"/>
          <w:b/>
          <w:color w:val="auto"/>
          <w:sz w:val="32"/>
          <w:szCs w:val="32"/>
          <w:highlight w:val="none"/>
        </w:rPr>
      </w:pPr>
    </w:p>
    <w:p w14:paraId="75F6697E">
      <w:pPr>
        <w:spacing w:line="360" w:lineRule="auto"/>
        <w:rPr>
          <w:rFonts w:hint="eastAsia" w:ascii="宋体" w:hAnsi="宋体" w:eastAsia="宋体" w:cs="宋体"/>
          <w:color w:val="auto"/>
          <w:highlight w:val="none"/>
        </w:rPr>
      </w:pPr>
    </w:p>
    <w:p w14:paraId="22930375">
      <w:pPr>
        <w:pStyle w:val="18"/>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70C728DD">
      <w:pPr>
        <w:pStyle w:val="18"/>
        <w:spacing w:line="360" w:lineRule="auto"/>
        <w:jc w:val="center"/>
        <w:rPr>
          <w:rFonts w:hint="eastAsia" w:ascii="宋体" w:hAnsi="宋体" w:eastAsia="宋体" w:cs="宋体"/>
          <w:b/>
          <w:color w:val="auto"/>
          <w:sz w:val="72"/>
          <w:szCs w:val="72"/>
          <w:highlight w:val="none"/>
        </w:rPr>
      </w:pPr>
    </w:p>
    <w:p w14:paraId="6E117305">
      <w:pPr>
        <w:pStyle w:val="18"/>
        <w:spacing w:line="360" w:lineRule="auto"/>
        <w:ind w:firstLine="3092" w:firstLineChars="1100"/>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28"/>
          <w:szCs w:val="28"/>
          <w:highlight w:val="none"/>
        </w:rPr>
        <w:t>项目编号：</w:t>
      </w:r>
    </w:p>
    <w:p w14:paraId="44344A8A">
      <w:pPr>
        <w:pStyle w:val="37"/>
        <w:spacing w:line="360" w:lineRule="auto"/>
        <w:rPr>
          <w:rFonts w:hint="eastAsia" w:ascii="宋体" w:hAnsi="宋体" w:eastAsia="宋体" w:cs="宋体"/>
          <w:b/>
          <w:color w:val="auto"/>
          <w:sz w:val="72"/>
          <w:szCs w:val="72"/>
          <w:highlight w:val="none"/>
        </w:rPr>
      </w:pPr>
    </w:p>
    <w:p w14:paraId="1C6A6431">
      <w:pPr>
        <w:pStyle w:val="18"/>
        <w:spacing w:line="360" w:lineRule="auto"/>
        <w:jc w:val="center"/>
        <w:rPr>
          <w:rFonts w:hint="eastAsia" w:ascii="宋体" w:hAnsi="宋体" w:eastAsia="宋体" w:cs="宋体"/>
          <w:b/>
          <w:color w:val="auto"/>
          <w:sz w:val="72"/>
          <w:szCs w:val="72"/>
          <w:highlight w:val="none"/>
        </w:rPr>
      </w:pPr>
    </w:p>
    <w:p w14:paraId="178E140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（加盖投标人电子公章）</w:t>
      </w:r>
    </w:p>
    <w:p w14:paraId="167F4E8A">
      <w:pPr>
        <w:spacing w:line="360" w:lineRule="auto"/>
        <w:ind w:firstLine="2691" w:firstLineChars="1117"/>
        <w:jc w:val="center"/>
        <w:rPr>
          <w:rFonts w:hint="eastAsia" w:ascii="宋体" w:hAnsi="宋体" w:eastAsia="宋体" w:cs="宋体"/>
          <w:b/>
          <w:color w:val="auto"/>
          <w:sz w:val="24"/>
          <w:highlight w:val="none"/>
        </w:rPr>
      </w:pPr>
    </w:p>
    <w:p w14:paraId="2B4167F4">
      <w:pPr>
        <w:spacing w:line="360" w:lineRule="auto"/>
        <w:jc w:val="center"/>
        <w:rPr>
          <w:rFonts w:hint="eastAsia" w:ascii="宋体" w:hAnsi="宋体" w:eastAsia="宋体" w:cs="宋体"/>
          <w:b/>
          <w:color w:val="auto"/>
          <w:sz w:val="24"/>
          <w:highlight w:val="none"/>
          <w:u w:val="single"/>
          <w:lang w:eastAsia="zh-CN"/>
        </w:rPr>
      </w:pPr>
      <w:r>
        <w:rPr>
          <w:rFonts w:hint="eastAsia" w:ascii="宋体" w:hAnsi="宋体" w:eastAsia="宋体" w:cs="宋体"/>
          <w:b/>
          <w:color w:val="auto"/>
          <w:sz w:val="24"/>
          <w:highlight w:val="none"/>
        </w:rPr>
        <w:t>法定代表人：</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（电子签名或电子签章）</w:t>
      </w:r>
    </w:p>
    <w:p w14:paraId="209E9324">
      <w:pPr>
        <w:pStyle w:val="10"/>
        <w:spacing w:before="120"/>
        <w:ind w:firstLine="420"/>
        <w:rPr>
          <w:rFonts w:hint="eastAsia" w:ascii="宋体" w:hAnsi="宋体" w:eastAsia="宋体" w:cs="宋体"/>
          <w:color w:val="auto"/>
          <w:highlight w:val="none"/>
        </w:rPr>
      </w:pPr>
    </w:p>
    <w:p w14:paraId="6391B40A">
      <w:pPr>
        <w:spacing w:line="360" w:lineRule="auto"/>
        <w:ind w:firstLine="1928" w:firstLineChars="800"/>
        <w:rPr>
          <w:rFonts w:hint="eastAsia" w:ascii="宋体" w:hAnsi="宋体" w:eastAsia="宋体" w:cs="宋体"/>
          <w:b/>
          <w:color w:val="auto"/>
          <w:sz w:val="24"/>
          <w:highlight w:val="none"/>
        </w:rPr>
      </w:pPr>
      <w:r>
        <w:rPr>
          <w:rFonts w:hint="eastAsia" w:ascii="宋体" w:hAnsi="宋体" w:eastAsia="宋体" w:cs="宋体"/>
          <w:b/>
          <w:bCs w:val="0"/>
          <w:color w:val="auto"/>
          <w:sz w:val="24"/>
          <w:highlight w:val="none"/>
          <w:u w:val="none"/>
          <w:lang w:val="en-US" w:eastAsia="zh-CN"/>
        </w:rPr>
        <w:t>日期：</w:t>
      </w:r>
      <w:r>
        <w:rPr>
          <w:rFonts w:hint="eastAsia" w:ascii="宋体" w:hAnsi="宋体" w:cs="宋体"/>
          <w:b/>
          <w:bCs w:val="0"/>
          <w:color w:val="auto"/>
          <w:sz w:val="24"/>
          <w:highlight w:val="none"/>
          <w:u w:val="single"/>
          <w:lang w:val="en-US" w:eastAsia="zh-CN"/>
        </w:rPr>
        <w:t xml:space="preserve">     </w:t>
      </w:r>
      <w:r>
        <w:rPr>
          <w:rFonts w:hint="eastAsia" w:ascii="宋体" w:hAnsi="宋体" w:eastAsia="宋体" w:cs="宋体"/>
          <w:b/>
          <w:color w:val="auto"/>
          <w:sz w:val="24"/>
          <w:highlight w:val="none"/>
        </w:rPr>
        <w:t>年</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月</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日</w:t>
      </w:r>
    </w:p>
    <w:p w14:paraId="240E1F54">
      <w:pPr>
        <w:pStyle w:val="3"/>
        <w:numPr>
          <w:ilvl w:val="0"/>
          <w:numId w:val="0"/>
        </w:num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12" w:name="_Toc15282"/>
      <w:bookmarkStart w:id="113" w:name="_Toc15970"/>
      <w:bookmarkStart w:id="114" w:name="_Toc5618"/>
      <w:bookmarkStart w:id="115" w:name="_Toc25358"/>
      <w:r>
        <w:rPr>
          <w:rFonts w:hint="eastAsia" w:ascii="宋体" w:hAnsi="宋体" w:eastAsia="宋体" w:cs="宋体"/>
          <w:color w:val="auto"/>
          <w:sz w:val="32"/>
          <w:szCs w:val="32"/>
          <w:highlight w:val="none"/>
        </w:rPr>
        <w:t>开标一览表</w:t>
      </w:r>
      <w:bookmarkEnd w:id="112"/>
      <w:bookmarkEnd w:id="113"/>
      <w:bookmarkEnd w:id="114"/>
      <w:bookmarkEnd w:id="115"/>
    </w:p>
    <w:p w14:paraId="28C93EA0">
      <w:pPr>
        <w:spacing w:line="360" w:lineRule="auto"/>
        <w:rPr>
          <w:rFonts w:hint="eastAsia" w:ascii="宋体" w:hAnsi="宋体" w:eastAsia="宋体" w:cs="宋体"/>
          <w:color w:val="auto"/>
          <w:highlight w:val="none"/>
        </w:rPr>
      </w:pPr>
    </w:p>
    <w:p w14:paraId="126E0DB2">
      <w:pPr>
        <w:pStyle w:val="18"/>
        <w:spacing w:line="360" w:lineRule="auto"/>
        <w:rPr>
          <w:rFonts w:hint="eastAsia" w:ascii="宋体" w:hAnsi="宋体" w:eastAsia="宋体" w:cs="宋体"/>
          <w:b/>
          <w:color w:val="auto"/>
          <w:sz w:val="24"/>
          <w:szCs w:val="24"/>
          <w:highlight w:val="none"/>
        </w:rPr>
      </w:pPr>
    </w:p>
    <w:p w14:paraId="0AF7584B">
      <w:pPr>
        <w:pStyle w:val="18"/>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b/>
          <w:color w:val="auto"/>
          <w:sz w:val="24"/>
          <w:szCs w:val="24"/>
          <w:highlight w:val="none"/>
        </w:rPr>
        <w:t>项目名称：</w:t>
      </w:r>
      <w:r>
        <w:rPr>
          <w:rFonts w:hint="eastAsia"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项目编号：</w:t>
      </w:r>
    </w:p>
    <w:tbl>
      <w:tblPr>
        <w:tblStyle w:val="26"/>
        <w:tblpPr w:leftFromText="180" w:rightFromText="180" w:vertAnchor="text" w:horzAnchor="page" w:tblpX="1592" w:tblpY="402"/>
        <w:tblOverlap w:val="never"/>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711"/>
        <w:gridCol w:w="2056"/>
        <w:gridCol w:w="2329"/>
        <w:gridCol w:w="1314"/>
      </w:tblGrid>
      <w:tr w14:paraId="6E61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732" w:type="dxa"/>
            <w:noWrap w:val="0"/>
            <w:vAlign w:val="center"/>
          </w:tcPr>
          <w:p w14:paraId="0043238F">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投标人名称</w:t>
            </w:r>
          </w:p>
        </w:tc>
        <w:tc>
          <w:tcPr>
            <w:tcW w:w="1711" w:type="dxa"/>
            <w:noWrap w:val="0"/>
            <w:vAlign w:val="center"/>
          </w:tcPr>
          <w:p w14:paraId="38599586">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投标报价（元）</w:t>
            </w:r>
          </w:p>
        </w:tc>
        <w:tc>
          <w:tcPr>
            <w:tcW w:w="2056" w:type="dxa"/>
            <w:noWrap w:val="0"/>
            <w:vAlign w:val="center"/>
          </w:tcPr>
          <w:p w14:paraId="76F68F6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交付/实施时间</w:t>
            </w:r>
          </w:p>
        </w:tc>
        <w:tc>
          <w:tcPr>
            <w:tcW w:w="2329" w:type="dxa"/>
            <w:noWrap w:val="0"/>
            <w:vAlign w:val="center"/>
          </w:tcPr>
          <w:p w14:paraId="26E1990D">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交付/实施地点</w:t>
            </w:r>
          </w:p>
        </w:tc>
        <w:tc>
          <w:tcPr>
            <w:tcW w:w="1314" w:type="dxa"/>
            <w:noWrap w:val="0"/>
            <w:vAlign w:val="center"/>
          </w:tcPr>
          <w:p w14:paraId="59F4E35C">
            <w:pPr>
              <w:pStyle w:val="1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14:paraId="0712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1732" w:type="dxa"/>
            <w:noWrap w:val="0"/>
            <w:vAlign w:val="center"/>
          </w:tcPr>
          <w:p w14:paraId="3CE5F4E6">
            <w:pPr>
              <w:pStyle w:val="18"/>
              <w:spacing w:line="360" w:lineRule="auto"/>
              <w:rPr>
                <w:rFonts w:hint="eastAsia" w:ascii="宋体" w:hAnsi="宋体" w:eastAsia="宋体" w:cs="宋体"/>
                <w:b w:val="0"/>
                <w:bCs/>
                <w:color w:val="auto"/>
                <w:sz w:val="24"/>
                <w:szCs w:val="24"/>
                <w:highlight w:val="none"/>
              </w:rPr>
            </w:pPr>
          </w:p>
        </w:tc>
        <w:tc>
          <w:tcPr>
            <w:tcW w:w="1711" w:type="dxa"/>
            <w:noWrap w:val="0"/>
            <w:vAlign w:val="center"/>
          </w:tcPr>
          <w:p w14:paraId="2A99C48A">
            <w:pPr>
              <w:pStyle w:val="18"/>
              <w:spacing w:line="360" w:lineRule="auto"/>
              <w:rPr>
                <w:rFonts w:hint="eastAsia" w:ascii="宋体" w:hAnsi="宋体" w:eastAsia="宋体" w:cs="宋体"/>
                <w:b w:val="0"/>
                <w:bCs/>
                <w:color w:val="auto"/>
                <w:sz w:val="24"/>
                <w:szCs w:val="24"/>
                <w:highlight w:val="none"/>
              </w:rPr>
            </w:pPr>
          </w:p>
        </w:tc>
        <w:tc>
          <w:tcPr>
            <w:tcW w:w="2056" w:type="dxa"/>
            <w:noWrap w:val="0"/>
            <w:vAlign w:val="center"/>
          </w:tcPr>
          <w:p w14:paraId="6D600480">
            <w:pPr>
              <w:pStyle w:val="18"/>
              <w:spacing w:line="360" w:lineRule="auto"/>
              <w:rPr>
                <w:rFonts w:hint="eastAsia" w:ascii="宋体" w:hAnsi="宋体" w:eastAsia="宋体" w:cs="宋体"/>
                <w:b w:val="0"/>
                <w:bCs/>
                <w:color w:val="auto"/>
                <w:sz w:val="24"/>
                <w:szCs w:val="24"/>
                <w:highlight w:val="none"/>
              </w:rPr>
            </w:pPr>
          </w:p>
        </w:tc>
        <w:tc>
          <w:tcPr>
            <w:tcW w:w="2329" w:type="dxa"/>
            <w:noWrap w:val="0"/>
            <w:vAlign w:val="center"/>
          </w:tcPr>
          <w:p w14:paraId="6115009D">
            <w:pPr>
              <w:pStyle w:val="18"/>
              <w:spacing w:line="360" w:lineRule="auto"/>
              <w:rPr>
                <w:rFonts w:hint="eastAsia" w:ascii="宋体" w:hAnsi="宋体" w:eastAsia="宋体" w:cs="宋体"/>
                <w:b w:val="0"/>
                <w:bCs/>
                <w:color w:val="auto"/>
                <w:sz w:val="24"/>
                <w:szCs w:val="24"/>
                <w:highlight w:val="none"/>
              </w:rPr>
            </w:pPr>
          </w:p>
        </w:tc>
        <w:tc>
          <w:tcPr>
            <w:tcW w:w="1314" w:type="dxa"/>
            <w:noWrap w:val="0"/>
            <w:vAlign w:val="center"/>
          </w:tcPr>
          <w:p w14:paraId="1A0D03B5">
            <w:pPr>
              <w:pStyle w:val="18"/>
              <w:spacing w:line="360" w:lineRule="auto"/>
              <w:rPr>
                <w:rFonts w:hint="eastAsia" w:ascii="宋体" w:hAnsi="宋体" w:eastAsia="宋体" w:cs="宋体"/>
                <w:b w:val="0"/>
                <w:bCs/>
                <w:color w:val="auto"/>
                <w:sz w:val="24"/>
                <w:szCs w:val="24"/>
                <w:highlight w:val="none"/>
              </w:rPr>
            </w:pPr>
          </w:p>
        </w:tc>
      </w:tr>
    </w:tbl>
    <w:p w14:paraId="2DBC8206">
      <w:pPr>
        <w:spacing w:line="360" w:lineRule="auto"/>
        <w:ind w:firstLine="2" w:firstLineChars="1"/>
        <w:rPr>
          <w:rFonts w:hint="eastAsia" w:ascii="宋体" w:hAnsi="宋体" w:eastAsia="宋体" w:cs="宋体"/>
          <w:b w:val="0"/>
          <w:bCs/>
          <w:color w:val="auto"/>
          <w:sz w:val="24"/>
          <w:highlight w:val="none"/>
        </w:rPr>
      </w:pPr>
    </w:p>
    <w:p w14:paraId="5356F956">
      <w:pPr>
        <w:spacing w:line="360" w:lineRule="auto"/>
        <w:ind w:firstLine="2" w:firstLineChars="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投标人：</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（加盖投标人电子公章）</w:t>
      </w:r>
    </w:p>
    <w:p w14:paraId="0C39FBA0">
      <w:pPr>
        <w:spacing w:line="360" w:lineRule="auto"/>
        <w:ind w:firstLine="2" w:firstLineChars="1"/>
        <w:rPr>
          <w:rFonts w:hint="eastAsia" w:ascii="宋体" w:hAnsi="宋体" w:eastAsia="宋体" w:cs="宋体"/>
          <w:b w:val="0"/>
          <w:bCs/>
          <w:color w:val="auto"/>
          <w:sz w:val="24"/>
          <w:highlight w:val="none"/>
        </w:rPr>
      </w:pPr>
    </w:p>
    <w:p w14:paraId="0F9A4CB3">
      <w:pPr>
        <w:spacing w:line="360" w:lineRule="auto"/>
        <w:ind w:firstLine="2" w:firstLineChars="1"/>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法定代表人：</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（电子签名或电子签章）</w:t>
      </w:r>
    </w:p>
    <w:p w14:paraId="0C9BB494">
      <w:pPr>
        <w:spacing w:line="360" w:lineRule="auto"/>
        <w:ind w:firstLine="2" w:firstLineChars="1"/>
        <w:rPr>
          <w:rFonts w:hint="eastAsia" w:ascii="宋体" w:hAnsi="宋体" w:eastAsia="宋体" w:cs="宋体"/>
          <w:b w:val="0"/>
          <w:bCs/>
          <w:color w:val="auto"/>
          <w:sz w:val="24"/>
          <w:highlight w:val="none"/>
          <w:u w:val="single"/>
        </w:rPr>
      </w:pPr>
    </w:p>
    <w:p w14:paraId="54D33E7B">
      <w:pPr>
        <w:spacing w:line="360" w:lineRule="auto"/>
        <w:ind w:firstLine="2" w:firstLineChars="1"/>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u w:val="none"/>
          <w:lang w:val="en-US" w:eastAsia="zh-CN"/>
        </w:rPr>
        <w:t>日期：</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日</w:t>
      </w:r>
    </w:p>
    <w:p w14:paraId="6818EA01">
      <w:pPr>
        <w:pStyle w:val="18"/>
        <w:spacing w:line="360" w:lineRule="auto"/>
        <w:rPr>
          <w:rFonts w:hint="eastAsia" w:ascii="宋体" w:hAnsi="宋体" w:eastAsia="宋体" w:cs="宋体"/>
          <w:b/>
          <w:color w:val="auto"/>
          <w:sz w:val="24"/>
          <w:szCs w:val="24"/>
          <w:highlight w:val="none"/>
        </w:rPr>
      </w:pPr>
    </w:p>
    <w:p w14:paraId="003B97E7">
      <w:pPr>
        <w:pStyle w:val="18"/>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51AF174A">
      <w:pPr>
        <w:pStyle w:val="18"/>
        <w:numPr>
          <w:ilvl w:val="0"/>
          <w:numId w:val="5"/>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此表应放于投标文件封面后第一页。</w:t>
      </w:r>
    </w:p>
    <w:p w14:paraId="3C17F626">
      <w:pPr>
        <w:pStyle w:val="18"/>
        <w:spacing w:line="360" w:lineRule="auto"/>
        <w:ind w:left="779"/>
        <w:rPr>
          <w:rFonts w:hint="eastAsia" w:ascii="宋体" w:hAnsi="宋体" w:eastAsia="宋体" w:cs="宋体"/>
          <w:b/>
          <w:color w:val="auto"/>
          <w:sz w:val="24"/>
          <w:szCs w:val="24"/>
          <w:highlight w:val="none"/>
        </w:rPr>
      </w:pPr>
    </w:p>
    <w:p w14:paraId="67C97B50">
      <w:pPr>
        <w:pStyle w:val="18"/>
        <w:spacing w:line="360" w:lineRule="auto"/>
        <w:rPr>
          <w:rFonts w:hint="eastAsia" w:ascii="宋体" w:hAnsi="宋体" w:eastAsia="宋体" w:cs="宋体"/>
          <w:color w:val="auto"/>
          <w:sz w:val="24"/>
          <w:szCs w:val="24"/>
          <w:highlight w:val="none"/>
          <w:u w:val="single"/>
          <w:lang w:eastAsia="zh-CN"/>
        </w:rPr>
        <w:sectPr>
          <w:footerReference r:id="rId14" w:type="first"/>
          <w:headerReference r:id="rId12" w:type="default"/>
          <w:footerReference r:id="rId13" w:type="default"/>
          <w:pgSz w:w="11905" w:h="16838"/>
          <w:pgMar w:top="1440" w:right="1361" w:bottom="1440" w:left="1361" w:header="850" w:footer="850" w:gutter="0"/>
          <w:pgNumType w:fmt="decimal"/>
          <w:cols w:space="720" w:num="1"/>
          <w:docGrid w:linePitch="331" w:charSpace="0"/>
        </w:sectPr>
      </w:pPr>
    </w:p>
    <w:p w14:paraId="78577678">
      <w:pPr>
        <w:pStyle w:val="3"/>
        <w:numPr>
          <w:ilvl w:val="0"/>
          <w:numId w:val="0"/>
        </w:numPr>
        <w:ind w:left="425"/>
        <w:jc w:val="center"/>
        <w:rPr>
          <w:rFonts w:hint="eastAsia" w:ascii="宋体" w:hAnsi="宋体" w:eastAsia="宋体" w:cs="宋体"/>
          <w:color w:val="auto"/>
          <w:sz w:val="32"/>
          <w:szCs w:val="32"/>
          <w:highlight w:val="none"/>
        </w:rPr>
      </w:pPr>
      <w:bookmarkStart w:id="116" w:name="_Toc12464"/>
      <w:bookmarkStart w:id="117" w:name="_Toc37325497"/>
      <w:bookmarkStart w:id="118" w:name="_Toc26653"/>
      <w:bookmarkStart w:id="119" w:name="_Toc15910"/>
      <w:bookmarkStart w:id="120" w:name="_Toc15354"/>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rPr>
        <w:t>、资格文件</w:t>
      </w:r>
      <w:bookmarkEnd w:id="116"/>
      <w:bookmarkEnd w:id="117"/>
      <w:bookmarkEnd w:id="118"/>
      <w:bookmarkEnd w:id="119"/>
      <w:bookmarkEnd w:id="120"/>
    </w:p>
    <w:p w14:paraId="2E4C9E59">
      <w:pPr>
        <w:pStyle w:val="18"/>
        <w:spacing w:line="360" w:lineRule="auto"/>
        <w:rPr>
          <w:rFonts w:hint="eastAsia" w:ascii="宋体" w:hAnsi="宋体" w:eastAsia="宋体" w:cs="宋体"/>
          <w:color w:val="auto"/>
          <w:sz w:val="24"/>
          <w:szCs w:val="24"/>
          <w:highlight w:val="none"/>
        </w:rPr>
      </w:pPr>
    </w:p>
    <w:p w14:paraId="7445CB50">
      <w:pPr>
        <w:pStyle w:val="18"/>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投标人应按所附格式要求填写并提交。</w:t>
      </w:r>
    </w:p>
    <w:p w14:paraId="030ACF73">
      <w:pPr>
        <w:pStyle w:val="18"/>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资格声明中的签字人应保证全部声明和填写的内容是真实的和正确的。</w:t>
      </w:r>
    </w:p>
    <w:p w14:paraId="24AB2BAF">
      <w:pPr>
        <w:pStyle w:val="18"/>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投标人提交的材料将被保密，但不退还。</w:t>
      </w:r>
    </w:p>
    <w:p w14:paraId="438BCD42">
      <w:pPr>
        <w:pStyle w:val="18"/>
        <w:numPr>
          <w:ilvl w:val="0"/>
          <w:numId w:val="0"/>
        </w:numPr>
        <w:spacing w:line="360" w:lineRule="auto"/>
        <w:ind w:leftChars="0"/>
        <w:rPr>
          <w:rFonts w:hint="eastAsia" w:ascii="宋体" w:hAnsi="宋体" w:eastAsia="宋体" w:cs="宋体"/>
          <w:color w:val="auto"/>
          <w:sz w:val="21"/>
          <w:szCs w:val="21"/>
          <w:highlight w:val="none"/>
        </w:rPr>
      </w:pPr>
      <w:bookmarkStart w:id="121" w:name="_Toc13555"/>
      <w:bookmarkStart w:id="122" w:name="_Toc24134"/>
      <w:bookmarkStart w:id="123" w:name="_Toc26157"/>
      <w:bookmarkStart w:id="124" w:name="_Toc327190555"/>
    </w:p>
    <w:p w14:paraId="79A19BA8">
      <w:pPr>
        <w:pStyle w:val="18"/>
        <w:spacing w:line="600" w:lineRule="exact"/>
        <w:rPr>
          <w:rFonts w:hint="eastAsia" w:ascii="宋体" w:hAnsi="宋体" w:eastAsia="宋体" w:cs="宋体"/>
          <w:color w:val="auto"/>
          <w:sz w:val="24"/>
          <w:szCs w:val="24"/>
          <w:highlight w:val="none"/>
        </w:rPr>
      </w:pPr>
    </w:p>
    <w:p w14:paraId="03716350">
      <w:pPr>
        <w:rPr>
          <w:rFonts w:hint="eastAsia" w:ascii="宋体" w:hAnsi="宋体" w:eastAsia="宋体" w:cs="宋体"/>
          <w:color w:val="auto"/>
          <w:highlight w:val="none"/>
        </w:rPr>
      </w:pPr>
    </w:p>
    <w:p w14:paraId="2A334CDB">
      <w:pPr>
        <w:rPr>
          <w:rFonts w:hint="eastAsia" w:ascii="宋体" w:hAnsi="宋体" w:eastAsia="宋体" w:cs="宋体"/>
          <w:color w:val="auto"/>
          <w:highlight w:val="none"/>
        </w:rPr>
      </w:pPr>
    </w:p>
    <w:p w14:paraId="1299A6EE">
      <w:pPr>
        <w:rPr>
          <w:rFonts w:hint="eastAsia" w:ascii="宋体" w:hAnsi="宋体" w:eastAsia="宋体" w:cs="宋体"/>
          <w:color w:val="auto"/>
          <w:highlight w:val="none"/>
        </w:rPr>
      </w:pPr>
    </w:p>
    <w:p w14:paraId="41647D23">
      <w:pPr>
        <w:rPr>
          <w:rFonts w:hint="eastAsia" w:ascii="宋体" w:hAnsi="宋体" w:eastAsia="宋体" w:cs="宋体"/>
          <w:color w:val="auto"/>
          <w:highlight w:val="none"/>
        </w:rPr>
      </w:pPr>
    </w:p>
    <w:p w14:paraId="675BDA04">
      <w:pPr>
        <w:rPr>
          <w:rFonts w:hint="eastAsia" w:ascii="宋体" w:hAnsi="宋体" w:eastAsia="宋体" w:cs="宋体"/>
          <w:color w:val="auto"/>
          <w:highlight w:val="none"/>
        </w:rPr>
      </w:pPr>
    </w:p>
    <w:p w14:paraId="6DCEE10C">
      <w:pPr>
        <w:rPr>
          <w:rFonts w:hint="eastAsia" w:ascii="宋体" w:hAnsi="宋体" w:eastAsia="宋体" w:cs="宋体"/>
          <w:color w:val="auto"/>
          <w:highlight w:val="none"/>
        </w:rPr>
      </w:pPr>
    </w:p>
    <w:p w14:paraId="266EE29C">
      <w:pPr>
        <w:rPr>
          <w:rFonts w:hint="eastAsia" w:ascii="宋体" w:hAnsi="宋体" w:eastAsia="宋体" w:cs="宋体"/>
          <w:color w:val="auto"/>
          <w:highlight w:val="none"/>
        </w:rPr>
      </w:pPr>
    </w:p>
    <w:p w14:paraId="44D1525B">
      <w:pPr>
        <w:rPr>
          <w:rFonts w:hint="eastAsia" w:ascii="宋体" w:hAnsi="宋体" w:eastAsia="宋体" w:cs="宋体"/>
          <w:color w:val="auto"/>
          <w:highlight w:val="none"/>
        </w:rPr>
      </w:pPr>
    </w:p>
    <w:p w14:paraId="3990D0F8">
      <w:pPr>
        <w:rPr>
          <w:rFonts w:hint="eastAsia" w:ascii="宋体" w:hAnsi="宋体" w:eastAsia="宋体" w:cs="宋体"/>
          <w:color w:val="auto"/>
          <w:highlight w:val="none"/>
        </w:rPr>
      </w:pPr>
    </w:p>
    <w:p w14:paraId="33C33523">
      <w:pPr>
        <w:rPr>
          <w:rFonts w:hint="eastAsia" w:ascii="宋体" w:hAnsi="宋体" w:eastAsia="宋体" w:cs="宋体"/>
          <w:color w:val="auto"/>
          <w:highlight w:val="none"/>
        </w:rPr>
      </w:pPr>
    </w:p>
    <w:p w14:paraId="437B5295">
      <w:pPr>
        <w:rPr>
          <w:rFonts w:hint="eastAsia" w:ascii="宋体" w:hAnsi="宋体" w:eastAsia="宋体" w:cs="宋体"/>
          <w:color w:val="auto"/>
          <w:highlight w:val="none"/>
        </w:rPr>
      </w:pPr>
    </w:p>
    <w:p w14:paraId="7CDAE016">
      <w:pPr>
        <w:rPr>
          <w:rFonts w:hint="eastAsia" w:ascii="宋体" w:hAnsi="宋体" w:eastAsia="宋体" w:cs="宋体"/>
          <w:color w:val="auto"/>
          <w:highlight w:val="none"/>
        </w:rPr>
      </w:pPr>
    </w:p>
    <w:p w14:paraId="0F98E726">
      <w:pPr>
        <w:rPr>
          <w:rFonts w:hint="eastAsia" w:ascii="宋体" w:hAnsi="宋体" w:eastAsia="宋体" w:cs="宋体"/>
          <w:color w:val="auto"/>
          <w:highlight w:val="none"/>
        </w:rPr>
      </w:pPr>
    </w:p>
    <w:p w14:paraId="458B2DC0">
      <w:pPr>
        <w:rPr>
          <w:rFonts w:hint="eastAsia" w:ascii="宋体" w:hAnsi="宋体" w:eastAsia="宋体" w:cs="宋体"/>
          <w:color w:val="auto"/>
          <w:highlight w:val="none"/>
        </w:rPr>
      </w:pPr>
    </w:p>
    <w:p w14:paraId="0BBBA36B">
      <w:pPr>
        <w:rPr>
          <w:rFonts w:hint="eastAsia" w:ascii="宋体" w:hAnsi="宋体" w:eastAsia="宋体" w:cs="宋体"/>
          <w:color w:val="auto"/>
          <w:highlight w:val="none"/>
        </w:rPr>
      </w:pPr>
    </w:p>
    <w:p w14:paraId="1BF33FF3">
      <w:pPr>
        <w:rPr>
          <w:rFonts w:hint="eastAsia" w:ascii="宋体" w:hAnsi="宋体" w:eastAsia="宋体" w:cs="宋体"/>
          <w:color w:val="auto"/>
          <w:highlight w:val="none"/>
        </w:rPr>
      </w:pPr>
    </w:p>
    <w:p w14:paraId="26E2772D">
      <w:pPr>
        <w:rPr>
          <w:rFonts w:hint="eastAsia" w:ascii="宋体" w:hAnsi="宋体" w:eastAsia="宋体" w:cs="宋体"/>
          <w:color w:val="auto"/>
          <w:highlight w:val="none"/>
        </w:rPr>
      </w:pPr>
    </w:p>
    <w:p w14:paraId="6F0DE421">
      <w:pPr>
        <w:rPr>
          <w:rFonts w:hint="eastAsia" w:ascii="宋体" w:hAnsi="宋体" w:eastAsia="宋体" w:cs="宋体"/>
          <w:color w:val="auto"/>
          <w:highlight w:val="none"/>
        </w:rPr>
      </w:pPr>
    </w:p>
    <w:p w14:paraId="0770B4C6">
      <w:pPr>
        <w:rPr>
          <w:rFonts w:hint="eastAsia" w:ascii="宋体" w:hAnsi="宋体" w:eastAsia="宋体" w:cs="宋体"/>
          <w:color w:val="auto"/>
          <w:highlight w:val="none"/>
        </w:rPr>
      </w:pPr>
    </w:p>
    <w:p w14:paraId="52A5B146">
      <w:pPr>
        <w:tabs>
          <w:tab w:val="left" w:pos="864"/>
        </w:tabs>
        <w:rPr>
          <w:rFonts w:hint="eastAsia" w:ascii="宋体" w:hAnsi="宋体" w:eastAsia="宋体" w:cs="宋体"/>
          <w:color w:val="auto"/>
          <w:highlight w:val="none"/>
        </w:rPr>
      </w:pPr>
      <w:r>
        <w:rPr>
          <w:rFonts w:hint="eastAsia" w:ascii="宋体" w:hAnsi="宋体" w:eastAsia="宋体" w:cs="宋体"/>
          <w:color w:val="auto"/>
          <w:highlight w:val="none"/>
        </w:rPr>
        <w:tab/>
      </w:r>
    </w:p>
    <w:p w14:paraId="62D04938">
      <w:pPr>
        <w:rPr>
          <w:rFonts w:hint="eastAsia" w:ascii="宋体" w:hAnsi="宋体" w:eastAsia="宋体" w:cs="宋体"/>
          <w:color w:val="auto"/>
          <w:highlight w:val="none"/>
        </w:rPr>
      </w:pPr>
    </w:p>
    <w:p w14:paraId="5037775A">
      <w:pPr>
        <w:rPr>
          <w:rFonts w:hint="eastAsia" w:ascii="宋体" w:hAnsi="宋体" w:eastAsia="宋体" w:cs="宋体"/>
          <w:color w:val="auto"/>
          <w:highlight w:val="none"/>
        </w:rPr>
      </w:pPr>
    </w:p>
    <w:p w14:paraId="1525023E">
      <w:pPr>
        <w:rPr>
          <w:rFonts w:hint="eastAsia" w:ascii="宋体" w:hAnsi="宋体" w:eastAsia="宋体" w:cs="宋体"/>
          <w:color w:val="auto"/>
          <w:highlight w:val="none"/>
        </w:rPr>
      </w:pPr>
    </w:p>
    <w:p w14:paraId="5CFC0241">
      <w:pPr>
        <w:rPr>
          <w:rFonts w:hint="eastAsia" w:ascii="宋体" w:hAnsi="宋体" w:eastAsia="宋体" w:cs="宋体"/>
          <w:color w:val="auto"/>
          <w:highlight w:val="none"/>
        </w:rPr>
      </w:pPr>
    </w:p>
    <w:p w14:paraId="22CC5649">
      <w:pPr>
        <w:rPr>
          <w:rFonts w:hint="eastAsia" w:ascii="宋体" w:hAnsi="宋体" w:eastAsia="宋体" w:cs="宋体"/>
          <w:color w:val="auto"/>
          <w:highlight w:val="none"/>
        </w:rPr>
      </w:pPr>
    </w:p>
    <w:p w14:paraId="1BD5A703">
      <w:pPr>
        <w:pStyle w:val="4"/>
        <w:numPr>
          <w:ilvl w:val="0"/>
          <w:numId w:val="0"/>
        </w:num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5" w:name="_Toc29767"/>
      <w:bookmarkStart w:id="126" w:name="_Toc503861951"/>
      <w:bookmarkStart w:id="127" w:name="_Toc509218496"/>
      <w:bookmarkStart w:id="128" w:name="_Toc406162619"/>
      <w:bookmarkStart w:id="129" w:name="_Toc391301873"/>
      <w:bookmarkStart w:id="130" w:name="_Toc383636414"/>
      <w:bookmarkStart w:id="131" w:name="_Toc416253669"/>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基本情况表</w:t>
      </w:r>
      <w:bookmarkEnd w:id="125"/>
      <w:bookmarkEnd w:id="126"/>
      <w:bookmarkEnd w:id="12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400"/>
        <w:gridCol w:w="2824"/>
        <w:gridCol w:w="1456"/>
        <w:gridCol w:w="2058"/>
      </w:tblGrid>
      <w:tr w14:paraId="3967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63A779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申请人名称</w:t>
            </w:r>
          </w:p>
        </w:tc>
        <w:tc>
          <w:tcPr>
            <w:tcW w:w="7738" w:type="dxa"/>
            <w:gridSpan w:val="4"/>
            <w:tcBorders>
              <w:top w:val="single" w:color="auto" w:sz="4" w:space="0"/>
              <w:left w:val="nil"/>
              <w:bottom w:val="single" w:color="auto" w:sz="4" w:space="0"/>
              <w:right w:val="single" w:color="auto" w:sz="4" w:space="0"/>
            </w:tcBorders>
            <w:noWrap w:val="0"/>
            <w:vAlign w:val="center"/>
          </w:tcPr>
          <w:p w14:paraId="78BF0B0B">
            <w:pPr>
              <w:jc w:val="center"/>
              <w:rPr>
                <w:rFonts w:hint="eastAsia" w:ascii="宋体" w:hAnsi="宋体" w:eastAsia="宋体" w:cs="宋体"/>
                <w:color w:val="auto"/>
                <w:sz w:val="24"/>
                <w:highlight w:val="none"/>
              </w:rPr>
            </w:pPr>
          </w:p>
        </w:tc>
      </w:tr>
      <w:tr w14:paraId="148F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460FC30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4224" w:type="dxa"/>
            <w:gridSpan w:val="2"/>
            <w:tcBorders>
              <w:top w:val="single" w:color="auto" w:sz="4" w:space="0"/>
              <w:left w:val="nil"/>
              <w:bottom w:val="single" w:color="auto" w:sz="4" w:space="0"/>
              <w:right w:val="single" w:color="auto" w:sz="4" w:space="0"/>
            </w:tcBorders>
            <w:noWrap w:val="0"/>
            <w:vAlign w:val="center"/>
          </w:tcPr>
          <w:p w14:paraId="6C2BEB6B">
            <w:pPr>
              <w:jc w:val="center"/>
              <w:rPr>
                <w:rFonts w:hint="eastAsia" w:ascii="宋体" w:hAnsi="宋体" w:eastAsia="宋体" w:cs="宋体"/>
                <w:color w:val="auto"/>
                <w:sz w:val="24"/>
                <w:highlight w:val="none"/>
              </w:rPr>
            </w:pPr>
          </w:p>
        </w:tc>
        <w:tc>
          <w:tcPr>
            <w:tcW w:w="1456" w:type="dxa"/>
            <w:tcBorders>
              <w:top w:val="single" w:color="auto" w:sz="4" w:space="0"/>
              <w:left w:val="nil"/>
              <w:bottom w:val="single" w:color="auto" w:sz="4" w:space="0"/>
              <w:right w:val="single" w:color="auto" w:sz="4" w:space="0"/>
            </w:tcBorders>
            <w:noWrap w:val="0"/>
            <w:vAlign w:val="center"/>
          </w:tcPr>
          <w:p w14:paraId="5F48CD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2058" w:type="dxa"/>
            <w:tcBorders>
              <w:top w:val="single" w:color="auto" w:sz="4" w:space="0"/>
              <w:left w:val="nil"/>
              <w:bottom w:val="single" w:color="auto" w:sz="4" w:space="0"/>
              <w:right w:val="single" w:color="auto" w:sz="4" w:space="0"/>
            </w:tcBorders>
            <w:noWrap w:val="0"/>
            <w:vAlign w:val="center"/>
          </w:tcPr>
          <w:p w14:paraId="4FCC6DC8">
            <w:pPr>
              <w:jc w:val="center"/>
              <w:rPr>
                <w:rFonts w:hint="eastAsia" w:ascii="宋体" w:hAnsi="宋体" w:eastAsia="宋体" w:cs="宋体"/>
                <w:color w:val="auto"/>
                <w:sz w:val="24"/>
                <w:highlight w:val="none"/>
              </w:rPr>
            </w:pPr>
          </w:p>
        </w:tc>
      </w:tr>
      <w:tr w14:paraId="0967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4392E2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7738" w:type="dxa"/>
            <w:gridSpan w:val="4"/>
            <w:tcBorders>
              <w:top w:val="single" w:color="auto" w:sz="4" w:space="0"/>
              <w:left w:val="nil"/>
              <w:bottom w:val="single" w:color="auto" w:sz="4" w:space="0"/>
              <w:right w:val="single" w:color="auto" w:sz="4" w:space="0"/>
            </w:tcBorders>
            <w:noWrap w:val="0"/>
            <w:vAlign w:val="center"/>
          </w:tcPr>
          <w:p w14:paraId="0D3B3774">
            <w:pPr>
              <w:jc w:val="center"/>
              <w:rPr>
                <w:rFonts w:hint="eastAsia" w:ascii="宋体" w:hAnsi="宋体" w:eastAsia="宋体" w:cs="宋体"/>
                <w:color w:val="auto"/>
                <w:sz w:val="24"/>
                <w:highlight w:val="none"/>
              </w:rPr>
            </w:pPr>
          </w:p>
        </w:tc>
      </w:tr>
      <w:tr w14:paraId="43E1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7E2DAD2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4224" w:type="dxa"/>
            <w:gridSpan w:val="2"/>
            <w:tcBorders>
              <w:top w:val="single" w:color="auto" w:sz="4" w:space="0"/>
              <w:left w:val="nil"/>
              <w:bottom w:val="single" w:color="auto" w:sz="4" w:space="0"/>
              <w:right w:val="single" w:color="auto" w:sz="4" w:space="0"/>
            </w:tcBorders>
            <w:noWrap w:val="0"/>
            <w:vAlign w:val="center"/>
          </w:tcPr>
          <w:p w14:paraId="1CA5496F">
            <w:pPr>
              <w:jc w:val="center"/>
              <w:rPr>
                <w:rFonts w:hint="eastAsia" w:ascii="宋体" w:hAnsi="宋体" w:eastAsia="宋体" w:cs="宋体"/>
                <w:color w:val="auto"/>
                <w:sz w:val="24"/>
                <w:highlight w:val="none"/>
              </w:rPr>
            </w:pPr>
          </w:p>
        </w:tc>
        <w:tc>
          <w:tcPr>
            <w:tcW w:w="1456" w:type="dxa"/>
            <w:tcBorders>
              <w:top w:val="single" w:color="auto" w:sz="4" w:space="0"/>
              <w:left w:val="nil"/>
              <w:bottom w:val="single" w:color="auto" w:sz="4" w:space="0"/>
              <w:right w:val="single" w:color="auto" w:sz="4" w:space="0"/>
            </w:tcBorders>
            <w:noWrap w:val="0"/>
            <w:vAlign w:val="center"/>
          </w:tcPr>
          <w:p w14:paraId="50F57E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员工总数</w:t>
            </w:r>
          </w:p>
        </w:tc>
        <w:tc>
          <w:tcPr>
            <w:tcW w:w="2058" w:type="dxa"/>
            <w:tcBorders>
              <w:top w:val="single" w:color="auto" w:sz="4" w:space="0"/>
              <w:left w:val="nil"/>
              <w:bottom w:val="single" w:color="auto" w:sz="4" w:space="0"/>
              <w:right w:val="single" w:color="auto" w:sz="4" w:space="0"/>
            </w:tcBorders>
            <w:noWrap w:val="0"/>
            <w:vAlign w:val="center"/>
          </w:tcPr>
          <w:p w14:paraId="4D263464">
            <w:pPr>
              <w:jc w:val="center"/>
              <w:rPr>
                <w:rFonts w:hint="eastAsia" w:ascii="宋体" w:hAnsi="宋体" w:eastAsia="宋体" w:cs="宋体"/>
                <w:color w:val="auto"/>
                <w:sz w:val="24"/>
                <w:highlight w:val="none"/>
              </w:rPr>
            </w:pPr>
          </w:p>
        </w:tc>
      </w:tr>
      <w:tr w14:paraId="0EA1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vMerge w:val="restart"/>
            <w:tcBorders>
              <w:top w:val="nil"/>
              <w:left w:val="single" w:color="auto" w:sz="4" w:space="0"/>
              <w:bottom w:val="single" w:color="auto" w:sz="4" w:space="0"/>
              <w:right w:val="single" w:color="auto" w:sz="4" w:space="0"/>
            </w:tcBorders>
            <w:noWrap w:val="0"/>
            <w:vAlign w:val="center"/>
          </w:tcPr>
          <w:p w14:paraId="4188D4A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1400" w:type="dxa"/>
            <w:tcBorders>
              <w:top w:val="single" w:color="auto" w:sz="4" w:space="0"/>
              <w:left w:val="nil"/>
              <w:bottom w:val="single" w:color="auto" w:sz="4" w:space="0"/>
              <w:right w:val="single" w:color="auto" w:sz="4" w:space="0"/>
            </w:tcBorders>
            <w:noWrap w:val="0"/>
            <w:vAlign w:val="center"/>
          </w:tcPr>
          <w:p w14:paraId="77CB3A8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824" w:type="dxa"/>
            <w:tcBorders>
              <w:top w:val="single" w:color="auto" w:sz="4" w:space="0"/>
              <w:left w:val="nil"/>
              <w:bottom w:val="single" w:color="auto" w:sz="4" w:space="0"/>
              <w:right w:val="single" w:color="auto" w:sz="4" w:space="0"/>
            </w:tcBorders>
            <w:noWrap w:val="0"/>
            <w:vAlign w:val="center"/>
          </w:tcPr>
          <w:p w14:paraId="2774C144">
            <w:pPr>
              <w:jc w:val="center"/>
              <w:rPr>
                <w:rFonts w:hint="eastAsia" w:ascii="宋体" w:hAnsi="宋体" w:eastAsia="宋体" w:cs="宋体"/>
                <w:color w:val="auto"/>
                <w:sz w:val="24"/>
                <w:highlight w:val="none"/>
              </w:rPr>
            </w:pPr>
          </w:p>
        </w:tc>
        <w:tc>
          <w:tcPr>
            <w:tcW w:w="1456" w:type="dxa"/>
            <w:tcBorders>
              <w:top w:val="single" w:color="auto" w:sz="4" w:space="0"/>
              <w:left w:val="nil"/>
              <w:bottom w:val="single" w:color="auto" w:sz="4" w:space="0"/>
              <w:right w:val="single" w:color="auto" w:sz="4" w:space="0"/>
            </w:tcBorders>
            <w:noWrap w:val="0"/>
            <w:vAlign w:val="center"/>
          </w:tcPr>
          <w:p w14:paraId="24300E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058" w:type="dxa"/>
            <w:tcBorders>
              <w:top w:val="single" w:color="auto" w:sz="4" w:space="0"/>
              <w:left w:val="nil"/>
              <w:bottom w:val="single" w:color="auto" w:sz="4" w:space="0"/>
              <w:right w:val="single" w:color="auto" w:sz="4" w:space="0"/>
            </w:tcBorders>
            <w:noWrap w:val="0"/>
            <w:vAlign w:val="center"/>
          </w:tcPr>
          <w:p w14:paraId="278C45EF">
            <w:pPr>
              <w:jc w:val="center"/>
              <w:rPr>
                <w:rFonts w:hint="eastAsia" w:ascii="宋体" w:hAnsi="宋体" w:eastAsia="宋体" w:cs="宋体"/>
                <w:color w:val="auto"/>
                <w:sz w:val="24"/>
                <w:highlight w:val="none"/>
              </w:rPr>
            </w:pPr>
          </w:p>
        </w:tc>
      </w:tr>
      <w:tr w14:paraId="4B0F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vMerge w:val="continue"/>
            <w:tcBorders>
              <w:top w:val="nil"/>
              <w:left w:val="single" w:color="auto" w:sz="4" w:space="0"/>
              <w:bottom w:val="single" w:color="auto" w:sz="4" w:space="0"/>
              <w:right w:val="single" w:color="auto" w:sz="4" w:space="0"/>
            </w:tcBorders>
            <w:noWrap w:val="0"/>
            <w:vAlign w:val="center"/>
          </w:tcPr>
          <w:p w14:paraId="4CBA769E">
            <w:pPr>
              <w:rPr>
                <w:rFonts w:hint="eastAsia" w:ascii="宋体" w:hAnsi="宋体" w:eastAsia="宋体" w:cs="宋体"/>
                <w:color w:val="auto"/>
                <w:sz w:val="24"/>
                <w:highlight w:val="none"/>
              </w:rPr>
            </w:pPr>
          </w:p>
        </w:tc>
        <w:tc>
          <w:tcPr>
            <w:tcW w:w="1400" w:type="dxa"/>
            <w:tcBorders>
              <w:top w:val="single" w:color="auto" w:sz="4" w:space="0"/>
              <w:left w:val="nil"/>
              <w:bottom w:val="single" w:color="auto" w:sz="4" w:space="0"/>
              <w:right w:val="single" w:color="auto" w:sz="4" w:space="0"/>
            </w:tcBorders>
            <w:noWrap w:val="0"/>
            <w:vAlign w:val="center"/>
          </w:tcPr>
          <w:p w14:paraId="52285B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824" w:type="dxa"/>
            <w:tcBorders>
              <w:top w:val="single" w:color="auto" w:sz="4" w:space="0"/>
              <w:left w:val="nil"/>
              <w:bottom w:val="single" w:color="auto" w:sz="4" w:space="0"/>
              <w:right w:val="single" w:color="auto" w:sz="4" w:space="0"/>
            </w:tcBorders>
            <w:noWrap w:val="0"/>
            <w:vAlign w:val="center"/>
          </w:tcPr>
          <w:p w14:paraId="14ABD132">
            <w:pPr>
              <w:jc w:val="center"/>
              <w:rPr>
                <w:rFonts w:hint="eastAsia" w:ascii="宋体" w:hAnsi="宋体" w:eastAsia="宋体" w:cs="宋体"/>
                <w:color w:val="auto"/>
                <w:sz w:val="24"/>
                <w:highlight w:val="none"/>
              </w:rPr>
            </w:pPr>
          </w:p>
        </w:tc>
        <w:tc>
          <w:tcPr>
            <w:tcW w:w="1456" w:type="dxa"/>
            <w:tcBorders>
              <w:top w:val="single" w:color="auto" w:sz="4" w:space="0"/>
              <w:left w:val="nil"/>
              <w:bottom w:val="single" w:color="auto" w:sz="4" w:space="0"/>
              <w:right w:val="single" w:color="auto" w:sz="4" w:space="0"/>
            </w:tcBorders>
            <w:noWrap w:val="0"/>
            <w:vAlign w:val="center"/>
          </w:tcPr>
          <w:p w14:paraId="4026CA6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058" w:type="dxa"/>
            <w:tcBorders>
              <w:top w:val="single" w:color="auto" w:sz="4" w:space="0"/>
              <w:left w:val="nil"/>
              <w:bottom w:val="single" w:color="auto" w:sz="4" w:space="0"/>
              <w:right w:val="single" w:color="auto" w:sz="4" w:space="0"/>
            </w:tcBorders>
            <w:noWrap w:val="0"/>
            <w:vAlign w:val="center"/>
          </w:tcPr>
          <w:p w14:paraId="7792C9FD">
            <w:pPr>
              <w:jc w:val="center"/>
              <w:rPr>
                <w:rFonts w:hint="eastAsia" w:ascii="宋体" w:hAnsi="宋体" w:eastAsia="宋体" w:cs="宋体"/>
                <w:color w:val="auto"/>
                <w:sz w:val="24"/>
                <w:highlight w:val="none"/>
              </w:rPr>
            </w:pPr>
          </w:p>
        </w:tc>
      </w:tr>
      <w:tr w14:paraId="3F82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3E6AB0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DA100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（单位负责人</w:t>
            </w:r>
            <w:r>
              <w:rPr>
                <w:rFonts w:hint="eastAsia" w:ascii="宋体" w:hAnsi="宋体" w:eastAsia="宋体" w:cs="宋体"/>
                <w:color w:val="auto"/>
                <w:sz w:val="24"/>
                <w:highlight w:val="none"/>
                <w:lang w:eastAsia="zh-CN"/>
              </w:rPr>
              <w:t>）</w:t>
            </w:r>
          </w:p>
        </w:tc>
        <w:tc>
          <w:tcPr>
            <w:tcW w:w="1400" w:type="dxa"/>
            <w:tcBorders>
              <w:top w:val="single" w:color="auto" w:sz="4" w:space="0"/>
              <w:left w:val="nil"/>
              <w:bottom w:val="single" w:color="auto" w:sz="4" w:space="0"/>
              <w:right w:val="single" w:color="auto" w:sz="4" w:space="0"/>
            </w:tcBorders>
            <w:noWrap w:val="0"/>
            <w:vAlign w:val="center"/>
          </w:tcPr>
          <w:p w14:paraId="411C5F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824" w:type="dxa"/>
            <w:tcBorders>
              <w:top w:val="single" w:color="auto" w:sz="4" w:space="0"/>
              <w:left w:val="nil"/>
              <w:bottom w:val="single" w:color="auto" w:sz="4" w:space="0"/>
              <w:right w:val="single" w:color="auto" w:sz="4" w:space="0"/>
            </w:tcBorders>
            <w:noWrap w:val="0"/>
            <w:vAlign w:val="center"/>
          </w:tcPr>
          <w:p w14:paraId="31405949">
            <w:pPr>
              <w:jc w:val="center"/>
              <w:rPr>
                <w:rFonts w:hint="eastAsia" w:ascii="宋体" w:hAnsi="宋体" w:eastAsia="宋体" w:cs="宋体"/>
                <w:color w:val="auto"/>
                <w:sz w:val="24"/>
                <w:highlight w:val="none"/>
              </w:rPr>
            </w:pPr>
          </w:p>
        </w:tc>
        <w:tc>
          <w:tcPr>
            <w:tcW w:w="1456" w:type="dxa"/>
            <w:tcBorders>
              <w:top w:val="single" w:color="auto" w:sz="4" w:space="0"/>
              <w:left w:val="nil"/>
              <w:bottom w:val="single" w:color="auto" w:sz="4" w:space="0"/>
              <w:right w:val="single" w:color="auto" w:sz="4" w:space="0"/>
            </w:tcBorders>
            <w:noWrap w:val="0"/>
            <w:vAlign w:val="center"/>
          </w:tcPr>
          <w:p w14:paraId="7AFC979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058" w:type="dxa"/>
            <w:tcBorders>
              <w:top w:val="single" w:color="auto" w:sz="4" w:space="0"/>
              <w:left w:val="nil"/>
              <w:bottom w:val="single" w:color="auto" w:sz="4" w:space="0"/>
              <w:right w:val="single" w:color="auto" w:sz="4" w:space="0"/>
            </w:tcBorders>
            <w:noWrap w:val="0"/>
            <w:vAlign w:val="center"/>
          </w:tcPr>
          <w:p w14:paraId="2304BF8E">
            <w:pPr>
              <w:jc w:val="center"/>
              <w:rPr>
                <w:rFonts w:hint="eastAsia" w:ascii="宋体" w:hAnsi="宋体" w:eastAsia="宋体" w:cs="宋体"/>
                <w:color w:val="auto"/>
                <w:sz w:val="24"/>
                <w:highlight w:val="none"/>
              </w:rPr>
            </w:pPr>
          </w:p>
        </w:tc>
      </w:tr>
      <w:tr w14:paraId="15B2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28AA7E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申请人须知要求申请人需具有的各类资质证书（若有</w:t>
            </w:r>
            <w:r>
              <w:rPr>
                <w:rFonts w:hint="eastAsia" w:ascii="宋体" w:hAnsi="宋体" w:eastAsia="宋体" w:cs="宋体"/>
                <w:color w:val="auto"/>
                <w:sz w:val="24"/>
                <w:highlight w:val="none"/>
                <w:lang w:eastAsia="zh-CN"/>
              </w:rPr>
              <w:t>）</w:t>
            </w:r>
          </w:p>
        </w:tc>
        <w:tc>
          <w:tcPr>
            <w:tcW w:w="7738" w:type="dxa"/>
            <w:gridSpan w:val="4"/>
            <w:tcBorders>
              <w:top w:val="single" w:color="auto" w:sz="4" w:space="0"/>
              <w:left w:val="nil"/>
              <w:bottom w:val="single" w:color="auto" w:sz="4" w:space="0"/>
              <w:right w:val="single" w:color="auto" w:sz="4" w:space="0"/>
            </w:tcBorders>
            <w:noWrap w:val="0"/>
            <w:vAlign w:val="center"/>
          </w:tcPr>
          <w:p w14:paraId="28D14908">
            <w:pPr>
              <w:rPr>
                <w:rFonts w:hint="eastAsia" w:ascii="宋体" w:hAnsi="宋体" w:eastAsia="宋体" w:cs="宋体"/>
                <w:color w:val="auto"/>
                <w:sz w:val="24"/>
                <w:highlight w:val="none"/>
              </w:rPr>
            </w:pPr>
            <w:r>
              <w:rPr>
                <w:rFonts w:hint="eastAsia" w:ascii="宋体" w:hAnsi="宋体" w:eastAsia="宋体" w:cs="宋体"/>
                <w:color w:val="auto"/>
                <w:sz w:val="24"/>
                <w:highlight w:val="none"/>
              </w:rPr>
              <w:t>类型：等级：证书号：</w:t>
            </w:r>
          </w:p>
        </w:tc>
      </w:tr>
      <w:tr w14:paraId="7D8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7FBD2A0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7738" w:type="dxa"/>
            <w:gridSpan w:val="4"/>
            <w:tcBorders>
              <w:top w:val="single" w:color="auto" w:sz="4" w:space="0"/>
              <w:left w:val="nil"/>
              <w:bottom w:val="single" w:color="auto" w:sz="4" w:space="0"/>
              <w:right w:val="single" w:color="auto" w:sz="4" w:space="0"/>
            </w:tcBorders>
            <w:noWrap w:val="0"/>
            <w:vAlign w:val="center"/>
          </w:tcPr>
          <w:p w14:paraId="0B78EE40">
            <w:pPr>
              <w:jc w:val="center"/>
              <w:rPr>
                <w:rFonts w:hint="eastAsia" w:ascii="宋体" w:hAnsi="宋体" w:eastAsia="宋体" w:cs="宋体"/>
                <w:color w:val="auto"/>
                <w:sz w:val="24"/>
                <w:highlight w:val="none"/>
              </w:rPr>
            </w:pPr>
          </w:p>
        </w:tc>
      </w:tr>
      <w:tr w14:paraId="427B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128E9BF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基本账户银行账号</w:t>
            </w:r>
          </w:p>
        </w:tc>
        <w:tc>
          <w:tcPr>
            <w:tcW w:w="7738" w:type="dxa"/>
            <w:gridSpan w:val="4"/>
            <w:tcBorders>
              <w:top w:val="single" w:color="auto" w:sz="4" w:space="0"/>
              <w:left w:val="nil"/>
              <w:bottom w:val="single" w:color="auto" w:sz="4" w:space="0"/>
              <w:right w:val="single" w:color="auto" w:sz="4" w:space="0"/>
            </w:tcBorders>
            <w:noWrap w:val="0"/>
            <w:vAlign w:val="center"/>
          </w:tcPr>
          <w:p w14:paraId="58FBA991">
            <w:pPr>
              <w:jc w:val="center"/>
              <w:rPr>
                <w:rFonts w:hint="eastAsia" w:ascii="宋体" w:hAnsi="宋体" w:eastAsia="宋体" w:cs="宋体"/>
                <w:color w:val="auto"/>
                <w:sz w:val="24"/>
                <w:highlight w:val="none"/>
              </w:rPr>
            </w:pPr>
          </w:p>
        </w:tc>
      </w:tr>
      <w:tr w14:paraId="20C5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515E63E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申请人关联企业情况（包括但不限于与申请人法定代表人（单位负责人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为同一人或者存在控股、管理关系的不同单位</w:t>
            </w:r>
            <w:r>
              <w:rPr>
                <w:rFonts w:hint="eastAsia" w:ascii="宋体" w:hAnsi="宋体" w:eastAsia="宋体" w:cs="宋体"/>
                <w:color w:val="auto"/>
                <w:sz w:val="24"/>
                <w:highlight w:val="none"/>
                <w:lang w:eastAsia="zh-CN"/>
              </w:rPr>
              <w:t>）</w:t>
            </w:r>
          </w:p>
        </w:tc>
        <w:tc>
          <w:tcPr>
            <w:tcW w:w="7738" w:type="dxa"/>
            <w:gridSpan w:val="4"/>
            <w:tcBorders>
              <w:top w:val="single" w:color="auto" w:sz="4" w:space="0"/>
              <w:left w:val="nil"/>
              <w:bottom w:val="single" w:color="auto" w:sz="4" w:space="0"/>
              <w:right w:val="single" w:color="auto" w:sz="4" w:space="0"/>
            </w:tcBorders>
            <w:noWrap w:val="0"/>
            <w:vAlign w:val="center"/>
          </w:tcPr>
          <w:p w14:paraId="60BDFB78">
            <w:pPr>
              <w:jc w:val="center"/>
              <w:rPr>
                <w:rFonts w:hint="eastAsia" w:ascii="宋体" w:hAnsi="宋体" w:eastAsia="宋体" w:cs="宋体"/>
                <w:color w:val="auto"/>
                <w:sz w:val="24"/>
                <w:highlight w:val="none"/>
              </w:rPr>
            </w:pPr>
          </w:p>
        </w:tc>
      </w:tr>
      <w:tr w14:paraId="7D9D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6764C2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738" w:type="dxa"/>
            <w:gridSpan w:val="4"/>
            <w:tcBorders>
              <w:top w:val="single" w:color="auto" w:sz="4" w:space="0"/>
              <w:left w:val="nil"/>
              <w:bottom w:val="single" w:color="auto" w:sz="4" w:space="0"/>
              <w:right w:val="single" w:color="auto" w:sz="4" w:space="0"/>
            </w:tcBorders>
            <w:noWrap w:val="0"/>
            <w:vAlign w:val="center"/>
          </w:tcPr>
          <w:p w14:paraId="0F098682">
            <w:pPr>
              <w:jc w:val="center"/>
              <w:rPr>
                <w:rFonts w:hint="eastAsia" w:ascii="宋体" w:hAnsi="宋体" w:eastAsia="宋体" w:cs="宋体"/>
                <w:color w:val="auto"/>
                <w:sz w:val="24"/>
                <w:highlight w:val="none"/>
              </w:rPr>
            </w:pPr>
          </w:p>
        </w:tc>
      </w:tr>
    </w:tbl>
    <w:p w14:paraId="4307352D">
      <w:pPr>
        <w:spacing w:line="360" w:lineRule="auto"/>
        <w:rPr>
          <w:rFonts w:hint="eastAsia" w:ascii="宋体" w:hAnsi="宋体" w:eastAsia="宋体" w:cs="宋体"/>
          <w:color w:val="auto"/>
          <w:sz w:val="24"/>
          <w:highlight w:val="none"/>
        </w:rPr>
      </w:pPr>
    </w:p>
    <w:p w14:paraId="5FA817D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7552A83">
      <w:pPr>
        <w:pStyle w:val="4"/>
        <w:numPr>
          <w:ilvl w:val="0"/>
          <w:numId w:val="0"/>
        </w:numPr>
        <w:jc w:val="center"/>
        <w:rPr>
          <w:rFonts w:hint="eastAsia" w:ascii="宋体" w:hAnsi="宋体" w:eastAsia="宋体" w:cs="宋体"/>
          <w:color w:val="auto"/>
          <w:highlight w:val="none"/>
        </w:rPr>
      </w:pPr>
      <w:bookmarkStart w:id="132" w:name="_Toc2146"/>
      <w:bookmarkStart w:id="133" w:name="_Toc509218497"/>
      <w:bookmarkStart w:id="134" w:name="_Toc503861952"/>
      <w:r>
        <w:rPr>
          <w:rFonts w:hint="eastAsia" w:ascii="宋体" w:hAnsi="宋体" w:eastAsia="宋体" w:cs="宋体"/>
          <w:color w:val="auto"/>
          <w:highlight w:val="none"/>
        </w:rPr>
        <w:t>2、资格证明文件</w:t>
      </w:r>
      <w:bookmarkEnd w:id="132"/>
      <w:bookmarkEnd w:id="133"/>
      <w:bookmarkEnd w:id="134"/>
    </w:p>
    <w:p w14:paraId="2016A17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1.满足《中华人民共和国政府采购法》第二十二条规定：</w:t>
      </w:r>
    </w:p>
    <w:p w14:paraId="669BB8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具有独立承担民事责任的能力：提供企业有效的法人营业执照、社团组织法人营业执照、事业单位法人证</w:t>
      </w:r>
      <w:r>
        <w:rPr>
          <w:rFonts w:hint="eastAsia" w:ascii="宋体" w:hAnsi="宋体" w:eastAsia="宋体" w:cs="宋体"/>
          <w:color w:val="auto"/>
          <w:sz w:val="24"/>
          <w:highlight w:val="none"/>
          <w:lang w:eastAsia="zh-CN"/>
        </w:rPr>
        <w:t>、自然人证明材料或其他组织证明材料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彩色扫描件</w:t>
      </w:r>
      <w:r>
        <w:rPr>
          <w:rFonts w:hint="eastAsia" w:ascii="宋体" w:hAnsi="宋体" w:cs="宋体"/>
          <w:color w:val="auto"/>
          <w:sz w:val="24"/>
          <w:highlight w:val="none"/>
          <w:lang w:val="en-US" w:eastAsia="zh-CN"/>
        </w:rPr>
        <w:t>加盖电子公章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如为联合体参与投标的，联合体各方均须提供</w:t>
      </w:r>
      <w:r>
        <w:rPr>
          <w:rFonts w:hint="eastAsia" w:ascii="宋体" w:hAnsi="宋体" w:eastAsia="宋体" w:cs="宋体"/>
          <w:color w:val="auto"/>
          <w:sz w:val="24"/>
          <w:highlight w:val="none"/>
        </w:rPr>
        <w:t>）；</w:t>
      </w:r>
    </w:p>
    <w:p w14:paraId="088CBE65">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具有良好的商业信誉和健全的财务会计制度</w:t>
      </w:r>
      <w:r>
        <w:rPr>
          <w:rFonts w:hint="eastAsia" w:ascii="宋体" w:hAnsi="宋体" w:eastAsia="宋体" w:cs="宋体"/>
          <w:color w:val="auto"/>
          <w:sz w:val="24"/>
          <w:highlight w:val="none"/>
          <w:lang w:eastAsia="zh-CN"/>
        </w:rPr>
        <w:t>：</w:t>
      </w:r>
    </w:p>
    <w:p w14:paraId="76F280BE">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（1）投标人</w:t>
      </w:r>
      <w:r>
        <w:rPr>
          <w:rFonts w:hint="eastAsia" w:ascii="宋体" w:hAnsi="宋体" w:eastAsia="宋体" w:cs="宋体"/>
          <w:color w:val="auto"/>
          <w:sz w:val="24"/>
          <w:highlight w:val="none"/>
        </w:rPr>
        <w:t>具有良好的商业信誉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本项目投标文件提交截止时间前在国家企业信用信息公示系统（www.gsxt.gov.cn）“行政处罚信息”栏中查询的信息记录不得为参加政府采购活动前三年内因违法经营受到刑事处罚或者责令停产停业、吊销许可证或者执照、较大数额罚款等行政处罚，未出现列入经营异常名录且未被移出、未出现列入严重违法失信企业名单（黑名单）且未被移出等不良情况（查询时间为本公告发布之日起至提交投标文件截止之日止，查询结果以采购人、采购代理机构查询结果为准，并将查询记录和证据留存，事业单位不在该系统查询范围内）；</w:t>
      </w:r>
    </w:p>
    <w:p w14:paraId="7ED5793B">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（2）投标人具有</w:t>
      </w:r>
      <w:r>
        <w:rPr>
          <w:rFonts w:hint="eastAsia" w:ascii="宋体" w:hAnsi="宋体" w:eastAsia="宋体" w:cs="宋体"/>
          <w:color w:val="auto"/>
          <w:sz w:val="24"/>
          <w:highlight w:val="none"/>
        </w:rPr>
        <w:t>健全的财务会计制度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提供以下任意一种证明材料均可：</w:t>
      </w:r>
    </w:p>
    <w:p w14:paraId="0679AC6F">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①提供202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年至今任意一年度经第三方审计的</w:t>
      </w:r>
      <w:r>
        <w:rPr>
          <w:rFonts w:hint="eastAsia" w:ascii="宋体" w:hAnsi="宋体" w:eastAsia="宋体" w:cs="宋体"/>
          <w:color w:val="auto"/>
          <w:sz w:val="24"/>
          <w:highlight w:val="none"/>
          <w:lang w:eastAsia="zh-CN"/>
        </w:rPr>
        <w:t>财务报表（报表至少包括资产负债表、利润表（损益表或收入费用表）、现金流量表）及审计报告（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p>
    <w:p w14:paraId="52266A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②投标人</w:t>
      </w:r>
      <w:r>
        <w:rPr>
          <w:rFonts w:hint="eastAsia" w:ascii="宋体" w:hAnsi="宋体" w:eastAsia="宋体" w:cs="宋体"/>
          <w:color w:val="auto"/>
          <w:sz w:val="24"/>
          <w:highlight w:val="none"/>
        </w:rPr>
        <w:t>自行编制的财务报表</w:t>
      </w:r>
      <w:r>
        <w:rPr>
          <w:rFonts w:hint="eastAsia" w:ascii="宋体" w:hAnsi="宋体" w:eastAsia="宋体" w:cs="宋体"/>
          <w:color w:val="auto"/>
          <w:sz w:val="24"/>
          <w:highlight w:val="none"/>
          <w:lang w:eastAsia="zh-CN"/>
        </w:rPr>
        <w:t>（报表至少包括资产负债表、利润表（损益表或收入费用表）、现金流量表）；</w:t>
      </w:r>
    </w:p>
    <w:p w14:paraId="705B136F">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③经政府部门认可的担保机构出具的担保证明，提供担保证明的同时还须提供专业担保机构经财政部门认可的证明文件（</w:t>
      </w:r>
      <w:r>
        <w:rPr>
          <w:rFonts w:hint="eastAsia" w:ascii="宋体" w:hAnsi="宋体" w:eastAsia="宋体" w:cs="宋体"/>
          <w:color w:val="auto"/>
          <w:sz w:val="24"/>
          <w:highlight w:val="none"/>
          <w:lang w:eastAsia="zh-CN"/>
        </w:rPr>
        <w:t>加盖电子公章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5B0F864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④新成立不满1年的企业可提供近三个月内开户银行出具的资信证明或资金存款证明（</w:t>
      </w:r>
      <w:r>
        <w:rPr>
          <w:rFonts w:hint="eastAsia" w:ascii="宋体" w:hAnsi="宋体" w:eastAsia="宋体" w:cs="宋体"/>
          <w:color w:val="auto"/>
          <w:sz w:val="24"/>
          <w:highlight w:val="none"/>
          <w:lang w:eastAsia="zh-CN"/>
        </w:rPr>
        <w:t>加盖电子公章</w:t>
      </w:r>
      <w:r>
        <w:rPr>
          <w:rFonts w:hint="eastAsia" w:ascii="宋体" w:hAnsi="宋体" w:eastAsia="宋体" w:cs="宋体"/>
          <w:color w:val="auto"/>
          <w:sz w:val="24"/>
          <w:highlight w:val="none"/>
        </w:rPr>
        <w:t>）；</w:t>
      </w:r>
    </w:p>
    <w:p w14:paraId="74CEF25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是事业单位无财务状况报告或财务状况报告不齐全的须在</w:t>
      </w:r>
      <w:r>
        <w:rPr>
          <w:rFonts w:hint="eastAsia" w:ascii="宋体" w:hAnsi="宋体" w:eastAsia="宋体" w:cs="宋体"/>
          <w:color w:val="auto"/>
          <w:sz w:val="24"/>
          <w:highlight w:val="none"/>
          <w:lang w:val="en-US" w:eastAsia="zh-CN"/>
        </w:rPr>
        <w:t>投标文件</w:t>
      </w:r>
      <w:r>
        <w:rPr>
          <w:rFonts w:hint="eastAsia" w:ascii="宋体" w:hAnsi="宋体" w:eastAsia="宋体" w:cs="宋体"/>
          <w:color w:val="auto"/>
          <w:sz w:val="24"/>
          <w:highlight w:val="none"/>
        </w:rPr>
        <w:t>中提供说明并</w:t>
      </w:r>
      <w:r>
        <w:rPr>
          <w:rFonts w:hint="eastAsia" w:ascii="宋体" w:hAnsi="宋体" w:eastAsia="宋体" w:cs="宋体"/>
          <w:color w:val="auto"/>
          <w:sz w:val="24"/>
          <w:highlight w:val="none"/>
          <w:lang w:eastAsia="zh-CN"/>
        </w:rPr>
        <w:t>加盖电子公章</w:t>
      </w:r>
      <w:r>
        <w:rPr>
          <w:rFonts w:hint="eastAsia" w:ascii="宋体" w:hAnsi="宋体" w:eastAsia="宋体" w:cs="宋体"/>
          <w:color w:val="auto"/>
          <w:sz w:val="24"/>
          <w:highlight w:val="none"/>
        </w:rPr>
        <w:t>。</w:t>
      </w:r>
    </w:p>
    <w:p w14:paraId="7E9FCB76">
      <w:pPr>
        <w:pStyle w:val="14"/>
        <w:rPr>
          <w:rFonts w:hint="eastAsia" w:ascii="宋体" w:hAnsi="宋体" w:eastAsia="宋体" w:cs="宋体"/>
          <w:color w:val="auto"/>
          <w:highlight w:val="none"/>
        </w:rPr>
      </w:pPr>
    </w:p>
    <w:p w14:paraId="754342E6">
      <w:pPr>
        <w:spacing w:line="360" w:lineRule="auto"/>
        <w:ind w:firstLine="480" w:firstLineChars="200"/>
        <w:contextualSpacing/>
        <w:rPr>
          <w:rFonts w:hint="eastAsia" w:ascii="宋体" w:hAnsi="宋体" w:eastAsia="宋体" w:cs="宋体"/>
          <w:color w:val="auto"/>
          <w:sz w:val="24"/>
          <w:highlight w:val="none"/>
        </w:rPr>
      </w:pPr>
    </w:p>
    <w:p w14:paraId="2521FE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具有履行合同所必需的设备和专业技术能力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提供证明材料或书面承诺；</w:t>
      </w:r>
    </w:p>
    <w:p w14:paraId="7DAE29E9">
      <w:pPr>
        <w:pStyle w:val="3"/>
        <w:numPr>
          <w:ilvl w:val="0"/>
          <w:numId w:val="0"/>
        </w:numPr>
        <w:ind w:left="1021" w:hanging="596"/>
        <w:jc w:val="center"/>
        <w:rPr>
          <w:rFonts w:hint="eastAsia" w:ascii="宋体" w:hAnsi="宋体" w:eastAsia="宋体" w:cs="宋体"/>
          <w:b/>
          <w:bCs/>
          <w:color w:val="auto"/>
          <w:sz w:val="24"/>
          <w:highlight w:val="none"/>
          <w:lang w:val="en-US" w:eastAsia="zh-CN"/>
        </w:rPr>
      </w:pPr>
      <w:bookmarkStart w:id="135" w:name="_Toc19676"/>
      <w:bookmarkStart w:id="136" w:name="_Toc17417"/>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如为联合体参与投标，联合体各方均须提供，联合体各成员方须分别承诺，承诺书上须加盖联合体各方对应单位公章或电子签章）</w:t>
      </w:r>
      <w:bookmarkEnd w:id="135"/>
      <w:bookmarkEnd w:id="136"/>
    </w:p>
    <w:p w14:paraId="28F49A49">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有依法缴纳税收和社会保障资金的良好记录</w:t>
      </w:r>
      <w:r>
        <w:rPr>
          <w:rFonts w:hint="eastAsia" w:ascii="宋体" w:hAnsi="宋体" w:eastAsia="宋体" w:cs="宋体"/>
          <w:color w:val="auto"/>
          <w:sz w:val="24"/>
          <w:highlight w:val="none"/>
          <w:lang w:eastAsia="zh-CN"/>
        </w:rPr>
        <w:t>：</w:t>
      </w:r>
    </w:p>
    <w:p w14:paraId="7B973C51">
      <w:pPr>
        <w:numPr>
          <w:ilvl w:val="0"/>
          <w:numId w:val="7"/>
        </w:num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须提供</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年1月</w:t>
      </w:r>
      <w:r>
        <w:rPr>
          <w:rFonts w:hint="eastAsia" w:ascii="宋体" w:hAnsi="宋体" w:eastAsia="宋体" w:cs="宋体"/>
          <w:color w:val="auto"/>
          <w:sz w:val="24"/>
          <w:highlight w:val="none"/>
        </w:rPr>
        <w:t>（含01月）至</w:t>
      </w:r>
      <w:r>
        <w:rPr>
          <w:rFonts w:hint="eastAsia" w:ascii="宋体" w:hAnsi="宋体" w:eastAsia="宋体" w:cs="宋体"/>
          <w:color w:val="auto"/>
          <w:sz w:val="24"/>
          <w:highlight w:val="none"/>
          <w:lang w:val="en-US" w:eastAsia="zh-CN"/>
        </w:rPr>
        <w:t>投标文件递交</w:t>
      </w:r>
      <w:r>
        <w:rPr>
          <w:rFonts w:hint="eastAsia" w:ascii="宋体" w:hAnsi="宋体" w:eastAsia="宋体" w:cs="宋体"/>
          <w:color w:val="auto"/>
          <w:sz w:val="24"/>
          <w:highlight w:val="none"/>
        </w:rPr>
        <w:t>截止日期前任意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个月的税务局税收通用缴款书</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件或银行电子缴税（费）凭证</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件或税务局出具纳税情况的相关证明（扫描件），</w:t>
      </w:r>
      <w:r>
        <w:rPr>
          <w:rFonts w:hint="eastAsia" w:ascii="宋体" w:hAnsi="宋体" w:eastAsia="宋体" w:cs="宋体"/>
          <w:b/>
          <w:bCs/>
          <w:color w:val="auto"/>
          <w:sz w:val="24"/>
          <w:highlight w:val="none"/>
        </w:rPr>
        <w:t>依法免税的，应提供依法免税相关证明文件（扫描件）</w:t>
      </w:r>
      <w:r>
        <w:rPr>
          <w:rFonts w:hint="eastAsia" w:ascii="宋体" w:hAnsi="宋体" w:eastAsia="宋体" w:cs="宋体"/>
          <w:color w:val="auto"/>
          <w:sz w:val="24"/>
          <w:highlight w:val="none"/>
        </w:rPr>
        <w:t>，成立不足</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个月的视实际情况自行提供；</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如为联合体参与投标，联合体各方均须提供</w:t>
      </w:r>
      <w:r>
        <w:rPr>
          <w:rFonts w:hint="eastAsia" w:ascii="宋体" w:hAnsi="宋体" w:eastAsia="宋体" w:cs="宋体"/>
          <w:b/>
          <w:bCs/>
          <w:color w:val="auto"/>
          <w:sz w:val="24"/>
          <w:highlight w:val="none"/>
          <w:lang w:eastAsia="zh-CN"/>
        </w:rPr>
        <w:t>）</w:t>
      </w:r>
    </w:p>
    <w:p w14:paraId="6E6D9559">
      <w:pPr>
        <w:numPr>
          <w:ilvl w:val="0"/>
          <w:numId w:val="0"/>
        </w:numPr>
        <w:spacing w:line="360" w:lineRule="auto"/>
        <w:ind w:firstLine="420" w:firstLineChars="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（2）须提供</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年1月</w:t>
      </w:r>
      <w:r>
        <w:rPr>
          <w:rFonts w:hint="eastAsia" w:ascii="宋体" w:hAnsi="宋体" w:eastAsia="宋体" w:cs="宋体"/>
          <w:color w:val="auto"/>
          <w:sz w:val="24"/>
          <w:highlight w:val="none"/>
        </w:rPr>
        <w:t>（含01月）月至</w:t>
      </w:r>
      <w:r>
        <w:rPr>
          <w:rFonts w:hint="eastAsia" w:ascii="宋体" w:hAnsi="宋体" w:eastAsia="宋体" w:cs="宋体"/>
          <w:color w:val="auto"/>
          <w:sz w:val="24"/>
          <w:highlight w:val="none"/>
          <w:lang w:val="en-US" w:eastAsia="zh-CN"/>
        </w:rPr>
        <w:t>投标文件递交</w:t>
      </w:r>
      <w:r>
        <w:rPr>
          <w:rFonts w:hint="eastAsia" w:ascii="宋体" w:hAnsi="宋体" w:eastAsia="宋体" w:cs="宋体"/>
          <w:color w:val="auto"/>
          <w:sz w:val="24"/>
          <w:highlight w:val="none"/>
        </w:rPr>
        <w:t>截止日期前任意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个月的社会保险费缴款书</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件或银行电子缴税（费）凭证</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件或税务局出具的有效的缴款证明</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eastAsia="宋体" w:cs="宋体"/>
          <w:b/>
          <w:bCs/>
          <w:color w:val="auto"/>
          <w:sz w:val="24"/>
          <w:highlight w:val="none"/>
        </w:rPr>
        <w:t>依法免缴的，应提供依法免缴相关证明文件（扫描件）</w:t>
      </w:r>
      <w:r>
        <w:rPr>
          <w:rFonts w:hint="eastAsia" w:ascii="宋体" w:hAnsi="宋体" w:eastAsia="宋体" w:cs="宋体"/>
          <w:color w:val="auto"/>
          <w:sz w:val="24"/>
          <w:highlight w:val="none"/>
        </w:rPr>
        <w:t>，成立不足</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个月的视实际情况自行提供</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如为联合体参与投标，联合体各方均须提供</w:t>
      </w:r>
      <w:r>
        <w:rPr>
          <w:rFonts w:hint="eastAsia" w:ascii="宋体" w:hAnsi="宋体" w:eastAsia="宋体" w:cs="宋体"/>
          <w:b/>
          <w:bCs/>
          <w:color w:val="auto"/>
          <w:sz w:val="24"/>
          <w:highlight w:val="none"/>
          <w:lang w:eastAsia="zh-CN"/>
        </w:rPr>
        <w:t>）</w:t>
      </w:r>
    </w:p>
    <w:p w14:paraId="27AC057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提供参加政府采购活动前3年内在经营活动中没有重大违法记录的书面声明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重大违法记录，是指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因违法经营受到刑事处罚或者责令停产停业、吊销许可证或者执照、较大数额罚款等行政处罚（</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w:t>
      </w:r>
      <w:r>
        <w:rPr>
          <w:rFonts w:hint="eastAsia" w:ascii="宋体" w:hAnsi="宋体" w:eastAsia="宋体" w:cs="宋体"/>
          <w:color w:val="auto"/>
          <w:sz w:val="24"/>
          <w:highlight w:val="none"/>
          <w:lang w:val="en-US" w:eastAsia="zh-CN"/>
        </w:rPr>
        <w:t>声明</w:t>
      </w:r>
      <w:r>
        <w:rPr>
          <w:rFonts w:hint="eastAsia" w:ascii="宋体" w:hAnsi="宋体" w:eastAsia="宋体" w:cs="宋体"/>
          <w:color w:val="auto"/>
          <w:sz w:val="24"/>
          <w:highlight w:val="none"/>
        </w:rPr>
        <w:t>）；</w:t>
      </w:r>
    </w:p>
    <w:p w14:paraId="7A0282CE">
      <w:pPr>
        <w:spacing w:line="360" w:lineRule="auto"/>
        <w:ind w:firstLine="480" w:firstLineChars="200"/>
        <w:contextualSpacing/>
        <w:rPr>
          <w:rFonts w:hint="eastAsia" w:ascii="宋体" w:hAnsi="宋体" w:eastAsia="宋体" w:cs="宋体"/>
          <w:color w:val="auto"/>
          <w:sz w:val="24"/>
          <w:highlight w:val="none"/>
        </w:rPr>
      </w:pPr>
    </w:p>
    <w:p w14:paraId="7C0A5518">
      <w:pPr>
        <w:spacing w:line="360" w:lineRule="auto"/>
        <w:ind w:firstLine="482" w:firstLineChars="200"/>
        <w:contextualSpacing/>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如为联合体参与投标，联合体各方均须提供，联合体各成员方须分别承诺，承诺书上须加盖联合体各方对应单位公章或电子签章）</w:t>
      </w:r>
    </w:p>
    <w:p w14:paraId="2C77D738">
      <w:pPr>
        <w:spacing w:line="240" w:lineRule="auto"/>
        <w:ind w:firstLine="0" w:firstLineChars="0"/>
        <w:contextualSpacing w:val="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14:paraId="5E211271">
      <w:pPr>
        <w:spacing w:line="360" w:lineRule="auto"/>
        <w:ind w:firstLine="480" w:firstLineChars="200"/>
        <w:contextualSpacing/>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法律、行政法规规定的其他条件</w:t>
      </w:r>
      <w:r>
        <w:rPr>
          <w:rFonts w:hint="eastAsia" w:ascii="宋体" w:hAnsi="宋体" w:eastAsia="宋体" w:cs="宋体"/>
          <w:color w:val="auto"/>
          <w:sz w:val="24"/>
          <w:highlight w:val="none"/>
          <w:lang w:eastAsia="zh-CN"/>
        </w:rPr>
        <w:t>：</w:t>
      </w:r>
    </w:p>
    <w:p w14:paraId="2145CF1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（1）按照《财政部关于在政府采购活动中查询及使用信用记录有关问题的通知》（财库</w:t>
      </w:r>
      <w:r>
        <w:rPr>
          <w:rFonts w:hint="eastAsia" w:ascii="宋体" w:hAnsi="宋体" w:eastAsia="宋体" w:cs="宋体"/>
          <w:color w:val="auto"/>
          <w:sz w:val="24"/>
          <w:highlight w:val="none"/>
          <w:lang w:eastAsia="zh-CN"/>
        </w:rPr>
        <w:t>〔2016〕125号</w:t>
      </w:r>
      <w:r>
        <w:rPr>
          <w:rFonts w:hint="eastAsia" w:ascii="宋体" w:hAnsi="宋体" w:eastAsia="宋体" w:cs="宋体"/>
          <w:color w:val="auto"/>
          <w:sz w:val="24"/>
          <w:highlight w:val="none"/>
        </w:rPr>
        <w:t>）相关要求（事业单位除外），申请人应在“信用中国”网站（www.creditchina.gov.cn）未被列入失信被执行人记录（自动跳转到“中国执行信息公开网”（http://zxgk.court.gov.cn）进行失信被执行人结果查询）、重大税收违法失信主体；在中国政府采购网（www.ccgp.gov.cn）没有政府采购严重违法失信行为记录（被禁止在一定期限内参加政府采购活动但期限届满的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参与本项目的申请人信用查询的时间：本项目采购公告发布之日起至</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截止时间，以采购人或采购代理机构查询结果为准；</w:t>
      </w:r>
    </w:p>
    <w:p w14:paraId="5448A087">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（2）单位负责人为同一人或者存在直接控股、管理关系的不同</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，不得参加同一合同项下的政府采购活动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自行承诺；</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如为联合体参与投标，联合体各方均须提供，联合体各成员方须分别承诺，承诺书上须加盖联合体各方对应单位公章或电子签章</w:t>
      </w:r>
      <w:r>
        <w:rPr>
          <w:rFonts w:hint="eastAsia" w:ascii="宋体" w:hAnsi="宋体" w:eastAsia="宋体" w:cs="宋体"/>
          <w:b/>
          <w:bCs/>
          <w:color w:val="auto"/>
          <w:sz w:val="24"/>
          <w:highlight w:val="none"/>
          <w:lang w:eastAsia="zh-CN"/>
        </w:rPr>
        <w:t>）</w:t>
      </w:r>
    </w:p>
    <w:p w14:paraId="7CA515C6">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（3）为采购项目提供整体设计、规范编制或者项目管理、监理、检测等服务的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，不得再参加该采购项目的其他采购活动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自行承诺</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如为联合体参与投标，联合体各方均须提供，联合体各成员方须分别承诺，承诺书上须加盖联合体各方对应单位公章或电子签章</w:t>
      </w:r>
      <w:r>
        <w:rPr>
          <w:rFonts w:hint="eastAsia" w:ascii="宋体" w:hAnsi="宋体" w:eastAsia="宋体" w:cs="宋体"/>
          <w:b/>
          <w:bCs/>
          <w:color w:val="auto"/>
          <w:sz w:val="24"/>
          <w:highlight w:val="none"/>
          <w:lang w:eastAsia="zh-CN"/>
        </w:rPr>
        <w:t>）</w:t>
      </w:r>
    </w:p>
    <w:p w14:paraId="104D6AA0">
      <w:pPr>
        <w:pStyle w:val="3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本项目接受联合体参与投标：如为联合体须提供联合体协议书，非联合体提交非联合体承诺书</w:t>
      </w:r>
      <w:r>
        <w:rPr>
          <w:rFonts w:hint="eastAsia" w:ascii="宋体" w:hAnsi="宋体" w:eastAsia="宋体" w:cs="宋体"/>
          <w:b/>
          <w:bCs/>
          <w:color w:val="auto"/>
          <w:sz w:val="24"/>
          <w:highlight w:val="none"/>
          <w:lang w:val="en-US" w:eastAsia="zh-CN"/>
        </w:rPr>
        <w:t>（联合体投标的，按下列格式提供联合体协议书；非联合体投标的，提供非联合体承诺书，投标人</w:t>
      </w:r>
      <w:r>
        <w:rPr>
          <w:rFonts w:hint="eastAsia" w:ascii="宋体" w:hAnsi="宋体" w:eastAsia="宋体" w:cs="宋体"/>
          <w:b/>
          <w:bCs/>
          <w:color w:val="auto"/>
          <w:sz w:val="24"/>
          <w:highlight w:val="none"/>
        </w:rPr>
        <w:t>自行承诺</w:t>
      </w:r>
      <w:r>
        <w:rPr>
          <w:rFonts w:hint="eastAsia" w:ascii="宋体" w:hAnsi="宋体" w:eastAsia="宋体" w:cs="宋体"/>
          <w:b/>
          <w:bCs/>
          <w:color w:val="auto"/>
          <w:sz w:val="24"/>
          <w:highlight w:val="none"/>
          <w:lang w:val="en-US" w:eastAsia="zh-CN"/>
        </w:rPr>
        <w:t>）</w:t>
      </w:r>
      <w:r>
        <w:rPr>
          <w:rFonts w:hint="eastAsia" w:ascii="宋体" w:hAnsi="宋体" w:eastAsia="宋体" w:cs="宋体"/>
          <w:color w:val="auto"/>
          <w:sz w:val="24"/>
          <w:highlight w:val="none"/>
          <w:lang w:val="en-US" w:eastAsia="zh-CN"/>
        </w:rPr>
        <w:t>。</w:t>
      </w:r>
    </w:p>
    <w:p w14:paraId="6F2148D2">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56B373B">
      <w:pPr>
        <w:pStyle w:val="3"/>
        <w:numPr>
          <w:ilvl w:val="0"/>
          <w:numId w:val="0"/>
        </w:numPr>
        <w:bidi w:val="0"/>
        <w:ind w:left="425" w:leftChars="0"/>
        <w:jc w:val="center"/>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t>联合体协议书（</w:t>
      </w:r>
      <w:r>
        <w:rPr>
          <w:rFonts w:hint="eastAsia" w:ascii="宋体" w:hAnsi="宋体" w:eastAsia="宋体" w:cs="宋体"/>
          <w:color w:val="auto"/>
          <w:sz w:val="32"/>
          <w:szCs w:val="32"/>
          <w:highlight w:val="none"/>
          <w:lang w:val="en-US" w:eastAsia="zh-CN"/>
        </w:rPr>
        <w:t>联合体投标时须提供</w:t>
      </w:r>
      <w:r>
        <w:rPr>
          <w:rFonts w:hint="eastAsia" w:ascii="宋体" w:hAnsi="宋体" w:eastAsia="宋体" w:cs="宋体"/>
          <w:color w:val="auto"/>
          <w:sz w:val="32"/>
          <w:szCs w:val="32"/>
          <w:highlight w:val="none"/>
        </w:rPr>
        <w:t>）</w:t>
      </w:r>
    </w:p>
    <w:p w14:paraId="20062E61">
      <w:pPr>
        <w:widowControl/>
        <w:spacing w:line="276" w:lineRule="auto"/>
        <w:ind w:firstLine="480" w:firstLineChars="200"/>
        <w:jc w:val="left"/>
        <w:rPr>
          <w:rFonts w:hint="eastAsia" w:ascii="宋体" w:hAnsi="宋体" w:eastAsia="宋体" w:cs="宋体"/>
          <w:color w:val="auto"/>
          <w:kern w:val="0"/>
          <w:sz w:val="24"/>
          <w:szCs w:val="24"/>
          <w:highlight w:val="none"/>
        </w:rPr>
      </w:pPr>
    </w:p>
    <w:p w14:paraId="35CF0428">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（所有成员单位名称）</w:t>
      </w:r>
      <w:r>
        <w:rPr>
          <w:rFonts w:hint="eastAsia" w:ascii="宋体" w:hAnsi="宋体" w:eastAsia="宋体" w:cs="宋体"/>
          <w:bCs/>
          <w:color w:val="auto"/>
          <w:sz w:val="24"/>
          <w:szCs w:val="24"/>
          <w:highlight w:val="none"/>
        </w:rPr>
        <w:t>自愿组成联合体，共同参加</w:t>
      </w:r>
      <w:r>
        <w:rPr>
          <w:rFonts w:hint="eastAsia" w:ascii="宋体" w:hAnsi="宋体" w:eastAsia="宋体" w:cs="宋体"/>
          <w:bCs/>
          <w:color w:val="auto"/>
          <w:sz w:val="24"/>
          <w:szCs w:val="24"/>
          <w:highlight w:val="none"/>
          <w:u w:val="single"/>
        </w:rPr>
        <w:t>（项目名称）</w:t>
      </w:r>
      <w:r>
        <w:rPr>
          <w:rFonts w:hint="eastAsia" w:ascii="宋体" w:hAnsi="宋体" w:eastAsia="宋体" w:cs="宋体"/>
          <w:bCs/>
          <w:color w:val="auto"/>
          <w:sz w:val="24"/>
          <w:szCs w:val="24"/>
          <w:highlight w:val="none"/>
        </w:rPr>
        <w:t>的投标。现就联合体投标事宜订立如下协议。</w:t>
      </w:r>
    </w:p>
    <w:p w14:paraId="0089F3DE">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u w:val="single"/>
        </w:rPr>
        <w:t>（某成员单位名称）</w:t>
      </w:r>
      <w:r>
        <w:rPr>
          <w:rFonts w:hint="eastAsia" w:ascii="宋体" w:hAnsi="宋体" w:eastAsia="宋体" w:cs="宋体"/>
          <w:bCs/>
          <w:color w:val="auto"/>
          <w:sz w:val="24"/>
          <w:szCs w:val="24"/>
          <w:highlight w:val="none"/>
        </w:rPr>
        <w:t>为联合体牵头</w:t>
      </w:r>
      <w:r>
        <w:rPr>
          <w:rFonts w:hint="eastAsia" w:ascii="宋体" w:hAnsi="宋体" w:cs="宋体"/>
          <w:bCs/>
          <w:color w:val="auto"/>
          <w:sz w:val="24"/>
          <w:szCs w:val="24"/>
          <w:highlight w:val="none"/>
          <w:lang w:val="en-US" w:eastAsia="zh-CN"/>
        </w:rPr>
        <w:t>方</w:t>
      </w:r>
      <w:r>
        <w:rPr>
          <w:rFonts w:hint="eastAsia" w:ascii="宋体" w:hAnsi="宋体" w:eastAsia="宋体" w:cs="宋体"/>
          <w:bCs/>
          <w:color w:val="auto"/>
          <w:sz w:val="24"/>
          <w:szCs w:val="24"/>
          <w:highlight w:val="none"/>
        </w:rPr>
        <w:t>。</w:t>
      </w:r>
    </w:p>
    <w:p w14:paraId="394E1A7A">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2、联合体牵头</w:t>
      </w:r>
      <w:r>
        <w:rPr>
          <w:rFonts w:hint="eastAsia" w:ascii="宋体" w:hAnsi="宋体" w:cs="宋体"/>
          <w:bCs/>
          <w:color w:val="auto"/>
          <w:sz w:val="24"/>
          <w:szCs w:val="24"/>
          <w:highlight w:val="none"/>
          <w:lang w:val="en-US" w:eastAsia="zh-CN"/>
        </w:rPr>
        <w:t>方</w:t>
      </w:r>
      <w:r>
        <w:rPr>
          <w:rFonts w:hint="eastAsia" w:ascii="宋体" w:hAnsi="宋体" w:eastAsia="宋体" w:cs="宋体"/>
          <w:bCs/>
          <w:color w:val="auto"/>
          <w:sz w:val="24"/>
          <w:szCs w:val="24"/>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14:paraId="4A585D6F">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3、联合体将严格按照招标文件的各项要求，递交投标文件，履行合同，并对外承担连带责任。</w:t>
      </w:r>
    </w:p>
    <w:p w14:paraId="17ED9DE4">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4、联合体各成员单位内部的职责分工如下：。</w:t>
      </w:r>
    </w:p>
    <w:p w14:paraId="77B66E3A">
      <w:pPr>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5、本协议书自签署之日起生效，合同履行完毕后自动失效。</w:t>
      </w:r>
    </w:p>
    <w:p w14:paraId="1B6A7AB8">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6、本协议书一式</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份，联合体成员执</w:t>
      </w:r>
      <w:r>
        <w:rPr>
          <w:rFonts w:hint="eastAsia" w:ascii="宋体" w:hAnsi="宋体" w:eastAsia="宋体" w:cs="宋体"/>
          <w:bCs/>
          <w:color w:val="auto"/>
          <w:sz w:val="24"/>
          <w:szCs w:val="24"/>
          <w:highlight w:val="none"/>
          <w:lang w:val="en-US" w:eastAsia="zh-CN"/>
        </w:rPr>
        <w:t>三份</w:t>
      </w:r>
      <w:r>
        <w:rPr>
          <w:rFonts w:hint="eastAsia" w:ascii="宋体" w:hAnsi="宋体" w:eastAsia="宋体" w:cs="宋体"/>
          <w:bCs/>
          <w:color w:val="auto"/>
          <w:sz w:val="24"/>
          <w:szCs w:val="24"/>
          <w:highlight w:val="none"/>
        </w:rPr>
        <w:t>和采购人执两份。</w:t>
      </w:r>
    </w:p>
    <w:p w14:paraId="3C071375">
      <w:pPr>
        <w:snapToGrid w:val="0"/>
        <w:spacing w:line="360" w:lineRule="auto"/>
        <w:ind w:firstLine="480" w:firstLineChars="200"/>
        <w:rPr>
          <w:rFonts w:hint="eastAsia" w:ascii="宋体" w:hAnsi="宋体" w:eastAsia="宋体" w:cs="宋体"/>
          <w:bCs/>
          <w:color w:val="auto"/>
          <w:sz w:val="24"/>
          <w:szCs w:val="24"/>
          <w:highlight w:val="none"/>
        </w:rPr>
      </w:pPr>
    </w:p>
    <w:p w14:paraId="76464F3F">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注：本协议书由委托代理人签字或盖章的，应附法定代表人签字或盖章的授权委托书。</w:t>
      </w:r>
    </w:p>
    <w:p w14:paraId="792A1D10">
      <w:pPr>
        <w:snapToGrid w:val="0"/>
        <w:spacing w:line="360" w:lineRule="auto"/>
        <w:rPr>
          <w:rFonts w:hint="eastAsia" w:ascii="宋体" w:hAnsi="宋体" w:eastAsia="宋体" w:cs="宋体"/>
          <w:b/>
          <w:bCs/>
          <w:color w:val="auto"/>
          <w:sz w:val="24"/>
          <w:szCs w:val="24"/>
          <w:highlight w:val="none"/>
        </w:rPr>
      </w:pPr>
    </w:p>
    <w:p w14:paraId="478C0F9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牵头</w:t>
      </w:r>
      <w:r>
        <w:rPr>
          <w:rFonts w:hint="eastAsia" w:ascii="宋体" w:hAnsi="宋体" w:cs="宋体"/>
          <w:bCs/>
          <w:color w:val="auto"/>
          <w:sz w:val="24"/>
          <w:szCs w:val="24"/>
          <w:highlight w:val="none"/>
          <w:lang w:val="en-US" w:eastAsia="zh-CN"/>
        </w:rPr>
        <w:t>方</w:t>
      </w:r>
      <w:r>
        <w:rPr>
          <w:rFonts w:hint="eastAsia" w:ascii="宋体" w:hAnsi="宋体" w:eastAsia="宋体" w:cs="宋体"/>
          <w:bCs/>
          <w:color w:val="auto"/>
          <w:sz w:val="24"/>
          <w:szCs w:val="24"/>
          <w:highlight w:val="none"/>
        </w:rPr>
        <w:t>名称：（盖章）</w:t>
      </w:r>
    </w:p>
    <w:p w14:paraId="4B2B207C">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法定代表人或其委托代理人：（签字或盖章）</w:t>
      </w:r>
    </w:p>
    <w:p w14:paraId="1157C0D4">
      <w:pPr>
        <w:snapToGrid w:val="0"/>
        <w:spacing w:line="360" w:lineRule="auto"/>
        <w:ind w:firstLine="480" w:firstLineChars="200"/>
        <w:rPr>
          <w:rFonts w:hint="eastAsia" w:ascii="宋体" w:hAnsi="宋体" w:eastAsia="宋体" w:cs="宋体"/>
          <w:bCs/>
          <w:color w:val="auto"/>
          <w:sz w:val="24"/>
          <w:szCs w:val="24"/>
          <w:highlight w:val="none"/>
        </w:rPr>
      </w:pPr>
    </w:p>
    <w:p w14:paraId="4CE1743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成员一名称：（盖章）</w:t>
      </w:r>
    </w:p>
    <w:p w14:paraId="1BAB72CC">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法定代表人或其委托代理人：（签字或盖章）</w:t>
      </w:r>
    </w:p>
    <w:p w14:paraId="5CD7BE39">
      <w:pPr>
        <w:snapToGrid w:val="0"/>
        <w:spacing w:line="360" w:lineRule="auto"/>
        <w:ind w:firstLine="480" w:firstLineChars="200"/>
        <w:rPr>
          <w:rFonts w:hint="eastAsia" w:ascii="宋体" w:hAnsi="宋体" w:eastAsia="宋体" w:cs="宋体"/>
          <w:bCs/>
          <w:color w:val="auto"/>
          <w:sz w:val="24"/>
          <w:szCs w:val="24"/>
          <w:highlight w:val="none"/>
        </w:rPr>
      </w:pPr>
    </w:p>
    <w:p w14:paraId="4F788A0E">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成员</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名称：（盖章）</w:t>
      </w:r>
    </w:p>
    <w:p w14:paraId="5DB72795">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法定代表人或其委托代理人：（签字或盖章）</w:t>
      </w:r>
    </w:p>
    <w:p w14:paraId="4D016899">
      <w:pPr>
        <w:snapToGrid w:val="0"/>
        <w:spacing w:line="360" w:lineRule="auto"/>
        <w:ind w:firstLine="480" w:firstLineChars="200"/>
        <w:rPr>
          <w:rFonts w:hint="eastAsia" w:ascii="宋体" w:hAnsi="宋体" w:eastAsia="宋体" w:cs="宋体"/>
          <w:bCs/>
          <w:color w:val="auto"/>
          <w:sz w:val="24"/>
          <w:szCs w:val="24"/>
          <w:highlight w:val="none"/>
        </w:rPr>
      </w:pPr>
    </w:p>
    <w:p w14:paraId="526338F0">
      <w:pPr>
        <w:snapToGrid w:val="0"/>
        <w:spacing w:line="360" w:lineRule="auto"/>
        <w:rPr>
          <w:rFonts w:hint="eastAsia" w:ascii="宋体" w:hAnsi="宋体" w:eastAsia="宋体" w:cs="宋体"/>
          <w:bCs/>
          <w:color w:val="auto"/>
          <w:sz w:val="24"/>
          <w:szCs w:val="24"/>
          <w:highlight w:val="none"/>
        </w:rPr>
      </w:pPr>
    </w:p>
    <w:p w14:paraId="6BB0C4B0">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BAE05EB">
      <w:pPr>
        <w:snapToGrid w:val="0"/>
        <w:ind w:firstLine="240" w:firstLineChars="1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76EE2BF6">
      <w:pPr>
        <w:pStyle w:val="3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highlight w:val="none"/>
          <w:lang w:val="en-US" w:eastAsia="zh-CN"/>
        </w:rPr>
      </w:pPr>
    </w:p>
    <w:p w14:paraId="19B44128">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2、落实政府采购政策需满足的资格要求：无（本项目不属于专门面向中小企业、监狱企业、残疾人福利企业采购项目）。</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无须提供证明材料</w:t>
      </w:r>
      <w:r>
        <w:rPr>
          <w:rFonts w:hint="eastAsia" w:ascii="宋体" w:hAnsi="宋体" w:eastAsia="宋体" w:cs="宋体"/>
          <w:b/>
          <w:bCs/>
          <w:color w:val="auto"/>
          <w:sz w:val="24"/>
          <w:highlight w:val="none"/>
          <w:lang w:eastAsia="zh-CN"/>
        </w:rPr>
        <w:t>）</w:t>
      </w:r>
    </w:p>
    <w:p w14:paraId="2CFFCFCE">
      <w:pPr>
        <w:keepNext w:val="0"/>
        <w:keepLines w:val="0"/>
        <w:pageBreakBefore w:val="0"/>
        <w:widowControl w:val="0"/>
        <w:kinsoku/>
        <w:wordWrap/>
        <w:overflowPunct/>
        <w:topLinePunct w:val="0"/>
        <w:bidi w:val="0"/>
        <w:snapToGrid/>
        <w:spacing w:line="360" w:lineRule="auto"/>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3、本项目的特定资格要求：本项目接受联合体投标，</w:t>
      </w:r>
      <w:r>
        <w:rPr>
          <w:rFonts w:hint="eastAsia" w:ascii="宋体" w:hAnsi="宋体" w:eastAsia="宋体" w:cs="宋体"/>
          <w:b/>
          <w:bCs/>
          <w:color w:val="auto"/>
          <w:sz w:val="24"/>
          <w:highlight w:val="none"/>
          <w:lang w:eastAsia="zh-CN"/>
        </w:rPr>
        <w:t>组成联合体的成员数不得超过</w:t>
      </w:r>
      <w:r>
        <w:rPr>
          <w:rFonts w:hint="eastAsia" w:ascii="宋体" w:hAnsi="宋体" w:eastAsia="宋体" w:cs="宋体"/>
          <w:b/>
          <w:bCs/>
          <w:color w:val="auto"/>
          <w:sz w:val="24"/>
          <w:highlight w:val="none"/>
          <w:lang w:val="en-US" w:eastAsia="zh-CN"/>
        </w:rPr>
        <w:t>3个，</w:t>
      </w:r>
      <w:r>
        <w:rPr>
          <w:rFonts w:hint="eastAsia" w:ascii="宋体" w:hAnsi="宋体" w:eastAsia="宋体" w:cs="宋体"/>
          <w:b/>
          <w:bCs/>
          <w:color w:val="auto"/>
          <w:sz w:val="24"/>
          <w:highlight w:val="none"/>
        </w:rPr>
        <w:t>不能同时具备以上资格要求的</w:t>
      </w:r>
      <w:r>
        <w:rPr>
          <w:rFonts w:hint="eastAsia" w:ascii="宋体" w:hAnsi="宋体" w:eastAsia="宋体" w:cs="宋体"/>
          <w:b/>
          <w:bCs/>
          <w:color w:val="auto"/>
          <w:sz w:val="24"/>
          <w:highlight w:val="none"/>
          <w:lang w:val="en-US" w:eastAsia="zh-CN"/>
        </w:rPr>
        <w:t>单位</w:t>
      </w:r>
      <w:r>
        <w:rPr>
          <w:rFonts w:hint="eastAsia" w:ascii="宋体" w:hAnsi="宋体" w:eastAsia="宋体" w:cs="宋体"/>
          <w:b/>
          <w:bCs/>
          <w:color w:val="auto"/>
          <w:sz w:val="24"/>
          <w:highlight w:val="none"/>
        </w:rPr>
        <w:t>可组成联合体投标，联合体各方签订联合体协议</w:t>
      </w:r>
      <w:r>
        <w:rPr>
          <w:rFonts w:hint="eastAsia" w:ascii="宋体" w:hAnsi="宋体" w:eastAsia="宋体" w:cs="宋体"/>
          <w:b/>
          <w:bCs/>
          <w:color w:val="auto"/>
          <w:sz w:val="24"/>
          <w:highlight w:val="none"/>
          <w:lang w:val="en-US" w:eastAsia="zh-CN"/>
        </w:rPr>
        <w:t>时须确定各单位分工</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并明确联合体牵头</w:t>
      </w:r>
      <w:r>
        <w:rPr>
          <w:rFonts w:hint="eastAsia" w:ascii="宋体" w:hAnsi="宋体" w:cs="宋体"/>
          <w:b/>
          <w:bCs/>
          <w:color w:val="auto"/>
          <w:sz w:val="24"/>
          <w:highlight w:val="none"/>
          <w:lang w:val="en-US" w:eastAsia="zh-CN"/>
        </w:rPr>
        <w:t>方</w:t>
      </w:r>
      <w:r>
        <w:rPr>
          <w:rFonts w:hint="eastAsia" w:ascii="宋体" w:hAnsi="宋体" w:eastAsia="宋体" w:cs="宋体"/>
          <w:b/>
          <w:bCs/>
          <w:color w:val="auto"/>
          <w:sz w:val="24"/>
          <w:highlight w:val="none"/>
          <w:lang w:val="en-US" w:eastAsia="zh-CN"/>
        </w:rPr>
        <w:t>；联合体成员</w:t>
      </w:r>
      <w:r>
        <w:rPr>
          <w:rFonts w:hint="eastAsia" w:ascii="宋体" w:hAnsi="宋体" w:eastAsia="宋体" w:cs="宋体"/>
          <w:b/>
          <w:bCs/>
          <w:color w:val="auto"/>
          <w:sz w:val="24"/>
          <w:highlight w:val="none"/>
        </w:rPr>
        <w:t>不得再以</w:t>
      </w:r>
      <w:r>
        <w:rPr>
          <w:rFonts w:hint="eastAsia" w:ascii="宋体" w:hAnsi="宋体" w:eastAsia="宋体" w:cs="宋体"/>
          <w:b/>
          <w:bCs/>
          <w:color w:val="auto"/>
          <w:sz w:val="24"/>
          <w:highlight w:val="none"/>
          <w:lang w:val="en-US" w:eastAsia="zh-CN"/>
        </w:rPr>
        <w:t>本身</w:t>
      </w:r>
      <w:r>
        <w:rPr>
          <w:rFonts w:hint="eastAsia" w:ascii="宋体" w:hAnsi="宋体" w:eastAsia="宋体" w:cs="宋体"/>
          <w:b/>
          <w:bCs/>
          <w:color w:val="auto"/>
          <w:sz w:val="24"/>
          <w:highlight w:val="none"/>
        </w:rPr>
        <w:t>名义单独投标，也不得组成新的联合体或参加其他联合体在同一项目中投标，否则，其所有投标无效。</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按格式提供《联合体协议书》</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须提供加盖各方公章的联合体协议书原件扫描件）</w:t>
      </w:r>
    </w:p>
    <w:p w14:paraId="121F21A4">
      <w:pPr>
        <w:pStyle w:val="14"/>
        <w:rPr>
          <w:rFonts w:hint="eastAsia" w:ascii="宋体" w:hAnsi="宋体" w:eastAsia="宋体" w:cs="宋体"/>
          <w:color w:val="auto"/>
          <w:highlight w:val="none"/>
        </w:rPr>
      </w:pPr>
    </w:p>
    <w:bookmarkEnd w:id="128"/>
    <w:bookmarkEnd w:id="129"/>
    <w:bookmarkEnd w:id="130"/>
    <w:bookmarkEnd w:id="131"/>
    <w:p w14:paraId="0EF14213">
      <w:pPr>
        <w:rPr>
          <w:rFonts w:hint="eastAsia" w:ascii="宋体" w:hAnsi="宋体" w:eastAsia="宋体" w:cs="宋体"/>
          <w:b/>
          <w:bCs/>
          <w:color w:val="auto"/>
          <w:sz w:val="24"/>
          <w:highlight w:val="none"/>
          <w:lang w:val="en-US" w:eastAsia="zh-CN"/>
        </w:rPr>
      </w:pPr>
      <w:bookmarkStart w:id="137" w:name="_Toc509218504"/>
      <w:bookmarkStart w:id="138" w:name="_Toc503861959"/>
      <w:bookmarkStart w:id="139" w:name="_Toc20433"/>
      <w:r>
        <w:rPr>
          <w:rFonts w:hint="eastAsia" w:ascii="宋体" w:hAnsi="宋体" w:eastAsia="宋体" w:cs="宋体"/>
          <w:b/>
          <w:bCs/>
          <w:color w:val="auto"/>
          <w:sz w:val="24"/>
          <w:highlight w:val="none"/>
          <w:lang w:val="en-US" w:eastAsia="zh-CN"/>
        </w:rPr>
        <w:br w:type="page"/>
      </w:r>
    </w:p>
    <w:p w14:paraId="446BAD21">
      <w:pPr>
        <w:keepNext w:val="0"/>
        <w:keepLines w:val="0"/>
        <w:pageBreakBefore w:val="0"/>
        <w:widowControl w:val="0"/>
        <w:kinsoku/>
        <w:wordWrap/>
        <w:overflowPunct/>
        <w:topLinePunct w:val="0"/>
        <w:bidi w:val="0"/>
        <w:snapToGrid/>
        <w:spacing w:line="360" w:lineRule="auto"/>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认为如果满足</w:t>
      </w:r>
      <w:r>
        <w:rPr>
          <w:rFonts w:hint="eastAsia" w:ascii="宋体" w:hAnsi="宋体" w:eastAsia="宋体" w:cs="宋体"/>
          <w:b/>
          <w:bCs/>
          <w:color w:val="auto"/>
          <w:sz w:val="24"/>
          <w:highlight w:val="none"/>
          <w:lang w:eastAsia="zh-CN"/>
        </w:rPr>
        <w:t>招标文件</w:t>
      </w:r>
      <w:r>
        <w:rPr>
          <w:rFonts w:hint="eastAsia" w:ascii="宋体" w:hAnsi="宋体" w:eastAsia="宋体" w:cs="宋体"/>
          <w:b/>
          <w:bCs/>
          <w:color w:val="auto"/>
          <w:sz w:val="24"/>
          <w:highlight w:val="none"/>
          <w:lang w:val="en-US" w:eastAsia="zh-CN"/>
        </w:rPr>
        <w:t>要求</w:t>
      </w:r>
      <w:r>
        <w:rPr>
          <w:rFonts w:hint="eastAsia" w:ascii="宋体" w:hAnsi="宋体" w:eastAsia="宋体" w:cs="宋体"/>
          <w:b/>
          <w:bCs/>
          <w:color w:val="auto"/>
          <w:sz w:val="24"/>
          <w:highlight w:val="none"/>
        </w:rPr>
        <w:t>中所涉及的相关资料及证明文件或</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认为必须提供的</w:t>
      </w:r>
      <w:r>
        <w:rPr>
          <w:rFonts w:hint="eastAsia" w:ascii="宋体" w:hAnsi="宋体" w:eastAsia="宋体" w:cs="宋体"/>
          <w:b/>
          <w:bCs/>
          <w:color w:val="auto"/>
          <w:sz w:val="24"/>
          <w:highlight w:val="none"/>
          <w:lang w:val="en-US" w:eastAsia="zh-CN"/>
        </w:rPr>
        <w:t>其他</w:t>
      </w:r>
      <w:r>
        <w:rPr>
          <w:rFonts w:hint="eastAsia" w:ascii="宋体" w:hAnsi="宋体" w:eastAsia="宋体" w:cs="宋体"/>
          <w:b/>
          <w:bCs/>
          <w:color w:val="auto"/>
          <w:sz w:val="24"/>
          <w:highlight w:val="none"/>
        </w:rPr>
        <w:t>资格证明文件</w:t>
      </w:r>
      <w:bookmarkEnd w:id="137"/>
      <w:bookmarkEnd w:id="138"/>
      <w:bookmarkEnd w:id="139"/>
    </w:p>
    <w:p w14:paraId="76E25DAB">
      <w:pPr>
        <w:rPr>
          <w:rFonts w:hint="eastAsia" w:ascii="宋体" w:hAnsi="宋体" w:eastAsia="宋体" w:cs="宋体"/>
          <w:color w:val="auto"/>
          <w:sz w:val="28"/>
          <w:szCs w:val="20"/>
          <w:highlight w:val="none"/>
        </w:rPr>
      </w:pPr>
    </w:p>
    <w:p w14:paraId="0C479522">
      <w:pPr>
        <w:jc w:val="center"/>
        <w:outlineLvl w:val="1"/>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4"/>
          <w:highlight w:val="none"/>
        </w:rPr>
        <w:br w:type="page"/>
      </w:r>
      <w:bookmarkStart w:id="140" w:name="_Toc21976"/>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、商务</w:t>
      </w:r>
      <w:r>
        <w:rPr>
          <w:rFonts w:hint="eastAsia" w:ascii="宋体" w:hAnsi="宋体" w:eastAsia="宋体" w:cs="宋体"/>
          <w:b/>
          <w:color w:val="auto"/>
          <w:sz w:val="32"/>
          <w:szCs w:val="32"/>
          <w:highlight w:val="none"/>
          <w:lang w:val="en-US" w:eastAsia="zh-CN"/>
        </w:rPr>
        <w:t>报价</w:t>
      </w:r>
      <w:bookmarkEnd w:id="121"/>
      <w:bookmarkEnd w:id="122"/>
      <w:bookmarkEnd w:id="123"/>
      <w:bookmarkEnd w:id="140"/>
      <w:r>
        <w:rPr>
          <w:rFonts w:hint="eastAsia" w:ascii="宋体" w:hAnsi="宋体" w:eastAsia="宋体" w:cs="宋体"/>
          <w:b/>
          <w:color w:val="auto"/>
          <w:sz w:val="32"/>
          <w:szCs w:val="32"/>
          <w:highlight w:val="none"/>
          <w:lang w:val="en-US" w:eastAsia="zh-CN"/>
        </w:rPr>
        <w:t>文件</w:t>
      </w:r>
    </w:p>
    <w:p w14:paraId="1BB292B5">
      <w:pPr>
        <w:pStyle w:val="3"/>
        <w:numPr>
          <w:ilvl w:val="0"/>
          <w:numId w:val="0"/>
        </w:numPr>
        <w:ind w:left="425"/>
        <w:jc w:val="center"/>
        <w:rPr>
          <w:rFonts w:hint="eastAsia" w:ascii="宋体" w:hAnsi="宋体" w:eastAsia="宋体" w:cs="宋体"/>
          <w:color w:val="auto"/>
          <w:sz w:val="28"/>
          <w:szCs w:val="28"/>
          <w:highlight w:val="none"/>
        </w:rPr>
      </w:pPr>
      <w:bookmarkStart w:id="141" w:name="_Toc493600031"/>
      <w:bookmarkStart w:id="142" w:name="_Toc13872"/>
      <w:bookmarkStart w:id="143" w:name="_Toc37325510"/>
      <w:bookmarkStart w:id="144" w:name="_Toc13808"/>
      <w:bookmarkStart w:id="145" w:name="_Toc9202"/>
      <w:bookmarkStart w:id="146" w:name="_Toc23499"/>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投标函</w:t>
      </w:r>
      <w:bookmarkEnd w:id="141"/>
      <w:bookmarkEnd w:id="142"/>
      <w:bookmarkEnd w:id="143"/>
      <w:bookmarkEnd w:id="144"/>
      <w:bookmarkEnd w:id="145"/>
      <w:bookmarkEnd w:id="146"/>
    </w:p>
    <w:p w14:paraId="0FEEF052">
      <w:pPr>
        <w:pStyle w:val="18"/>
        <w:spacing w:line="360" w:lineRule="auto"/>
        <w:rPr>
          <w:rFonts w:hint="eastAsia" w:ascii="宋体" w:hAnsi="宋体" w:eastAsia="宋体" w:cs="宋体"/>
          <w:color w:val="auto"/>
          <w:sz w:val="24"/>
          <w:szCs w:val="24"/>
          <w:highlight w:val="none"/>
        </w:rPr>
      </w:pPr>
    </w:p>
    <w:p w14:paraId="5254A7B6">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lang w:eastAsia="zh-CN"/>
        </w:rPr>
        <w:t>）</w:t>
      </w:r>
    </w:p>
    <w:p w14:paraId="7CAF2161">
      <w:pPr>
        <w:pStyle w:val="18"/>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我方仔细研究了</w:t>
      </w:r>
      <w:r>
        <w:rPr>
          <w:rFonts w:hint="eastAsia" w:ascii="宋体" w:hAnsi="宋体" w:eastAsia="宋体" w:cs="宋体"/>
          <w:color w:val="auto"/>
          <w:sz w:val="24"/>
          <w:szCs w:val="24"/>
          <w:highlight w:val="none"/>
          <w:u w:val="single"/>
        </w:rPr>
        <w:t>（采购项目名称）</w:t>
      </w:r>
      <w:r>
        <w:rPr>
          <w:rFonts w:hint="eastAsia" w:ascii="宋体" w:hAnsi="宋体" w:eastAsia="宋体" w:cs="宋体"/>
          <w:color w:val="auto"/>
          <w:sz w:val="24"/>
          <w:szCs w:val="24"/>
          <w:highlight w:val="none"/>
        </w:rPr>
        <w:t>（项目编号：）项目招标文件的全部内容，我公司决定参加投标，并提交电子版投标文件一份。</w:t>
      </w:r>
    </w:p>
    <w:p w14:paraId="79858C3A">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据此函，我公司兹宣布同意如下：</w:t>
      </w:r>
    </w:p>
    <w:p w14:paraId="0C20E027">
      <w:pPr>
        <w:pStyle w:val="18"/>
        <w:spacing w:line="360" w:lineRule="auto"/>
        <w:ind w:left="660" w:leftChars="20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1、按招标文件采购需求和报价组成表，投标报价（大写），人民币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（服务期限）</w:t>
      </w:r>
      <w:r>
        <w:rPr>
          <w:rFonts w:hint="eastAsia" w:ascii="宋体" w:hAnsi="宋体" w:eastAsia="宋体" w:cs="宋体"/>
          <w:color w:val="auto"/>
          <w:sz w:val="24"/>
          <w:szCs w:val="24"/>
          <w:highlight w:val="none"/>
        </w:rPr>
        <w:t>完成服务。</w:t>
      </w:r>
    </w:p>
    <w:p w14:paraId="6E5241C2">
      <w:pPr>
        <w:pStyle w:val="18"/>
        <w:spacing w:line="360" w:lineRule="auto"/>
        <w:ind w:firstLine="42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0"/>
          <w:sz w:val="24"/>
          <w:szCs w:val="24"/>
          <w:highlight w:val="none"/>
        </w:rPr>
        <w:t>我方已详细审查全部招标文件，包括</w:t>
      </w:r>
      <w:r>
        <w:rPr>
          <w:rFonts w:hint="eastAsia" w:ascii="宋体" w:hAnsi="宋体" w:eastAsia="宋体" w:cs="宋体"/>
          <w:i/>
          <w:color w:val="auto"/>
          <w:spacing w:val="-10"/>
          <w:sz w:val="24"/>
          <w:szCs w:val="24"/>
          <w:highlight w:val="none"/>
          <w:u w:val="single"/>
        </w:rPr>
        <w:t>（澄清文件）</w:t>
      </w:r>
      <w:r>
        <w:rPr>
          <w:rFonts w:hint="eastAsia" w:ascii="宋体" w:hAnsi="宋体" w:eastAsia="宋体" w:cs="宋体"/>
          <w:i/>
          <w:color w:val="auto"/>
          <w:spacing w:val="-10"/>
          <w:sz w:val="24"/>
          <w:szCs w:val="24"/>
          <w:highlight w:val="none"/>
          <w:u w:val="single"/>
          <w:lang w:eastAsia="zh-CN"/>
        </w:rPr>
        <w:t>（</w:t>
      </w:r>
      <w:r>
        <w:rPr>
          <w:rFonts w:hint="eastAsia" w:ascii="宋体" w:hAnsi="宋体" w:eastAsia="宋体" w:cs="宋体"/>
          <w:color w:val="auto"/>
          <w:spacing w:val="-10"/>
          <w:sz w:val="24"/>
          <w:szCs w:val="24"/>
          <w:highlight w:val="none"/>
          <w:u w:val="single"/>
        </w:rPr>
        <w:t>如有</w:t>
      </w:r>
      <w:r>
        <w:rPr>
          <w:rFonts w:hint="eastAsia" w:ascii="宋体" w:hAnsi="宋体" w:eastAsia="宋体" w:cs="宋体"/>
          <w:color w:val="auto"/>
          <w:spacing w:val="-10"/>
          <w:sz w:val="24"/>
          <w:szCs w:val="24"/>
          <w:highlight w:val="none"/>
          <w:u w:val="single"/>
          <w:lang w:eastAsia="zh-CN"/>
        </w:rPr>
        <w:t>）</w:t>
      </w:r>
      <w:r>
        <w:rPr>
          <w:rFonts w:hint="eastAsia" w:ascii="宋体" w:hAnsi="宋体" w:eastAsia="宋体" w:cs="宋体"/>
          <w:color w:val="auto"/>
          <w:spacing w:val="-10"/>
          <w:sz w:val="24"/>
          <w:szCs w:val="24"/>
          <w:highlight w:val="none"/>
        </w:rPr>
        <w:t>。我方完全理解相关文件要求，并承担对这方面有不明及误解的后果。</w:t>
      </w:r>
    </w:p>
    <w:p w14:paraId="360FB639">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3、在投标人须知规定的开标日期起遵循本投标文件，并在投标人须知第17.1条规定的投标文件有效期满之前均具有约束力。</w:t>
      </w:r>
    </w:p>
    <w:p w14:paraId="39BD0513">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4、同意投标人须知中关于投标保证金不予退还的规定。</w:t>
      </w:r>
    </w:p>
    <w:p w14:paraId="28649B8B">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5、同意应贵方要求提供与本投标有关的任何数据或资料，并保证数据和资料的完整性和真实性。</w:t>
      </w:r>
    </w:p>
    <w:p w14:paraId="523B90ED">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6、完全理解贵方不一定要接受最低报价的投标人为中标人的行为。</w:t>
      </w:r>
    </w:p>
    <w:p w14:paraId="3C005D0B">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如我方中标：</w:t>
      </w:r>
    </w:p>
    <w:p w14:paraId="75ABA5BC">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（1）我方承诺在收到中标通知书后，在中标通知书规定的期限内与你方签订合同，并履行相应的合同责任和义务。</w:t>
      </w:r>
    </w:p>
    <w:p w14:paraId="34736CB5">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14:paraId="59A6D55E">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（3）我方承诺将承担售后服务及保修责任。</w:t>
      </w:r>
    </w:p>
    <w:p w14:paraId="59F94B61">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我方在此声明，所递交的投标文件及有关资料内容完整、真实和准确。</w:t>
      </w:r>
    </w:p>
    <w:p w14:paraId="70FD9E50">
      <w:pPr>
        <w:pStyle w:val="1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（其他补充说明）</w:t>
      </w:r>
      <w:r>
        <w:rPr>
          <w:rFonts w:hint="eastAsia" w:ascii="宋体" w:hAnsi="宋体" w:eastAsia="宋体" w:cs="宋体"/>
          <w:color w:val="auto"/>
          <w:sz w:val="24"/>
          <w:szCs w:val="24"/>
          <w:highlight w:val="none"/>
        </w:rPr>
        <w:t>。</w:t>
      </w:r>
    </w:p>
    <w:p w14:paraId="2D695BC0">
      <w:pPr>
        <w:pStyle w:val="18"/>
        <w:spacing w:line="360" w:lineRule="auto"/>
        <w:ind w:firstLine="420"/>
        <w:rPr>
          <w:rFonts w:hint="eastAsia" w:ascii="宋体" w:hAnsi="宋体" w:eastAsia="宋体" w:cs="宋体"/>
          <w:color w:val="auto"/>
          <w:sz w:val="24"/>
          <w:szCs w:val="24"/>
          <w:highlight w:val="none"/>
        </w:rPr>
      </w:pPr>
    </w:p>
    <w:p w14:paraId="1E70816B">
      <w:pPr>
        <w:pStyle w:val="18"/>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与本投标有关的正式通讯地址为：</w:t>
      </w:r>
      <w:r>
        <w:rPr>
          <w:rFonts w:hint="eastAsia" w:hAnsi="宋体" w:cs="宋体"/>
          <w:color w:val="auto"/>
          <w:sz w:val="24"/>
          <w:szCs w:val="24"/>
          <w:highlight w:val="none"/>
          <w:u w:val="single"/>
          <w:lang w:val="en-US" w:eastAsia="zh-CN"/>
        </w:rPr>
        <w:t xml:space="preserve">                              </w:t>
      </w:r>
    </w:p>
    <w:p w14:paraId="2357D963">
      <w:pPr>
        <w:pStyle w:val="18"/>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邮政编码：</w:t>
      </w:r>
      <w:r>
        <w:rPr>
          <w:rFonts w:hint="eastAsia" w:hAnsi="宋体" w:cs="宋体"/>
          <w:color w:val="auto"/>
          <w:sz w:val="24"/>
          <w:szCs w:val="24"/>
          <w:highlight w:val="none"/>
          <w:u w:val="single"/>
          <w:lang w:val="en-US" w:eastAsia="zh-CN"/>
        </w:rPr>
        <w:t xml:space="preserve">               </w:t>
      </w:r>
    </w:p>
    <w:p w14:paraId="6F9B821A">
      <w:pPr>
        <w:pStyle w:val="18"/>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电话：</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传真：</w:t>
      </w:r>
      <w:r>
        <w:rPr>
          <w:rFonts w:hint="eastAsia" w:hAnsi="宋体" w:cs="宋体"/>
          <w:color w:val="auto"/>
          <w:sz w:val="24"/>
          <w:szCs w:val="24"/>
          <w:highlight w:val="none"/>
          <w:u w:val="single"/>
          <w:lang w:val="en-US" w:eastAsia="zh-CN"/>
        </w:rPr>
        <w:t xml:space="preserve">                      </w:t>
      </w:r>
    </w:p>
    <w:p w14:paraId="25C7DF4F">
      <w:pPr>
        <w:pStyle w:val="18"/>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开户名称：</w:t>
      </w:r>
      <w:r>
        <w:rPr>
          <w:rFonts w:hint="eastAsia" w:hAnsi="宋体" w:cs="宋体"/>
          <w:color w:val="auto"/>
          <w:sz w:val="24"/>
          <w:szCs w:val="24"/>
          <w:highlight w:val="none"/>
          <w:u w:val="single"/>
          <w:lang w:val="en-US" w:eastAsia="zh-CN"/>
        </w:rPr>
        <w:t xml:space="preserve">                         </w:t>
      </w:r>
    </w:p>
    <w:p w14:paraId="3A3F2EF6">
      <w:pPr>
        <w:pStyle w:val="18"/>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开户银行：</w:t>
      </w:r>
      <w:r>
        <w:rPr>
          <w:rFonts w:hint="eastAsia" w:hAnsi="宋体" w:cs="宋体"/>
          <w:color w:val="auto"/>
          <w:sz w:val="24"/>
          <w:szCs w:val="24"/>
          <w:highlight w:val="none"/>
          <w:u w:val="single"/>
          <w:lang w:val="en-US" w:eastAsia="zh-CN"/>
        </w:rPr>
        <w:t xml:space="preserve">                           </w:t>
      </w:r>
    </w:p>
    <w:p w14:paraId="550CC3A9">
      <w:pPr>
        <w:pStyle w:val="18"/>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账号：</w:t>
      </w:r>
      <w:r>
        <w:rPr>
          <w:rFonts w:hint="eastAsia" w:hAnsi="宋体" w:cs="宋体"/>
          <w:color w:val="auto"/>
          <w:sz w:val="24"/>
          <w:szCs w:val="24"/>
          <w:highlight w:val="none"/>
          <w:u w:val="single"/>
          <w:lang w:val="en-US" w:eastAsia="zh-CN"/>
        </w:rPr>
        <w:t xml:space="preserve">                            </w:t>
      </w:r>
    </w:p>
    <w:p w14:paraId="28E85FE1">
      <w:pPr>
        <w:pStyle w:val="18"/>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60EAD53C">
      <w:pPr>
        <w:pStyle w:val="18"/>
        <w:spacing w:line="360" w:lineRule="auto"/>
        <w:ind w:firstLine="42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772F99A7">
      <w:pPr>
        <w:pStyle w:val="18"/>
        <w:spacing w:line="360" w:lineRule="auto"/>
        <w:ind w:firstLine="420"/>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5C22551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DB802C0">
      <w:pPr>
        <w:pStyle w:val="3"/>
        <w:numPr>
          <w:ilvl w:val="0"/>
          <w:numId w:val="0"/>
        </w:numPr>
        <w:ind w:left="425"/>
        <w:jc w:val="center"/>
        <w:rPr>
          <w:rFonts w:hint="eastAsia" w:ascii="宋体" w:hAnsi="宋体" w:eastAsia="宋体" w:cs="宋体"/>
          <w:color w:val="auto"/>
          <w:highlight w:val="none"/>
        </w:rPr>
      </w:pPr>
      <w:bookmarkStart w:id="147" w:name="_Toc9100"/>
      <w:bookmarkStart w:id="148" w:name="_Toc503861953"/>
      <w:bookmarkStart w:id="149" w:name="_Toc9206"/>
      <w:bookmarkStart w:id="150" w:name="_Toc19199"/>
      <w:bookmarkStart w:id="151" w:name="_Toc383636415"/>
      <w:bookmarkStart w:id="152" w:name="_Toc391301874"/>
      <w:bookmarkStart w:id="153" w:name="_Toc406162620"/>
      <w:bookmarkStart w:id="154" w:name="_Toc509218498"/>
      <w:r>
        <w:rPr>
          <w:rFonts w:hint="eastAsia" w:ascii="宋体" w:hAnsi="宋体" w:eastAsia="宋体" w:cs="宋体"/>
          <w:b/>
          <w:color w:val="auto"/>
          <w:sz w:val="28"/>
          <w:szCs w:val="28"/>
          <w:highlight w:val="none"/>
          <w:lang w:val="en-US" w:eastAsia="zh-CN"/>
        </w:rPr>
        <w:t>2、法定代表人身份证明书</w:t>
      </w:r>
      <w:bookmarkEnd w:id="147"/>
      <w:bookmarkEnd w:id="148"/>
      <w:bookmarkEnd w:id="149"/>
      <w:bookmarkEnd w:id="150"/>
      <w:bookmarkEnd w:id="151"/>
      <w:bookmarkEnd w:id="152"/>
      <w:bookmarkEnd w:id="153"/>
      <w:bookmarkEnd w:id="154"/>
    </w:p>
    <w:p w14:paraId="1382D574">
      <w:pPr>
        <w:pStyle w:val="10"/>
        <w:spacing w:before="120" w:line="420" w:lineRule="exact"/>
        <w:ind w:firstLine="480"/>
        <w:rPr>
          <w:rFonts w:hint="eastAsia" w:ascii="宋体" w:hAnsi="宋体" w:eastAsia="宋体" w:cs="宋体"/>
          <w:color w:val="auto"/>
          <w:sz w:val="24"/>
          <w:szCs w:val="24"/>
          <w:highlight w:val="none"/>
        </w:rPr>
      </w:pPr>
    </w:p>
    <w:p w14:paraId="2ACCCE85">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单位名称：</w:t>
      </w:r>
      <w:r>
        <w:rPr>
          <w:rFonts w:hint="eastAsia" w:ascii="宋体" w:hAnsi="宋体" w:cs="宋体"/>
          <w:color w:val="auto"/>
          <w:sz w:val="24"/>
          <w:highlight w:val="none"/>
          <w:u w:val="single"/>
          <w:lang w:val="en-US" w:eastAsia="zh-CN"/>
        </w:rPr>
        <w:t xml:space="preserve">                                    </w:t>
      </w:r>
    </w:p>
    <w:p w14:paraId="261C728A">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单位性质：</w:t>
      </w:r>
      <w:r>
        <w:rPr>
          <w:rFonts w:hint="eastAsia" w:ascii="宋体" w:hAnsi="宋体" w:cs="宋体"/>
          <w:color w:val="auto"/>
          <w:sz w:val="24"/>
          <w:highlight w:val="none"/>
          <w:u w:val="single"/>
          <w:lang w:val="en-US" w:eastAsia="zh-CN"/>
        </w:rPr>
        <w:t xml:space="preserve">                                    </w:t>
      </w:r>
    </w:p>
    <w:p w14:paraId="3F0E00BD">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注册资金：</w:t>
      </w:r>
      <w:r>
        <w:rPr>
          <w:rFonts w:hint="eastAsia" w:ascii="宋体" w:hAnsi="宋体" w:cs="宋体"/>
          <w:color w:val="auto"/>
          <w:sz w:val="24"/>
          <w:highlight w:val="none"/>
          <w:u w:val="single"/>
          <w:lang w:val="en-US" w:eastAsia="zh-CN"/>
        </w:rPr>
        <w:t xml:space="preserve">                                    </w:t>
      </w:r>
    </w:p>
    <w:p w14:paraId="66198F61">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u w:val="single"/>
          <w:lang w:val="en-US" w:eastAsia="zh-CN"/>
        </w:rPr>
        <w:t xml:space="preserve">                                        </w:t>
      </w:r>
    </w:p>
    <w:p w14:paraId="26B5FCFA">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成立时间：</w:t>
      </w:r>
      <w:r>
        <w:rPr>
          <w:rFonts w:hint="eastAsia" w:ascii="宋体" w:hAnsi="宋体" w:cs="宋体"/>
          <w:color w:val="auto"/>
          <w:sz w:val="24"/>
          <w:highlight w:val="none"/>
          <w:u w:val="single"/>
          <w:lang w:val="en-US" w:eastAsia="zh-CN"/>
        </w:rPr>
        <w:t xml:space="preserve">                                    </w:t>
      </w:r>
    </w:p>
    <w:p w14:paraId="5D319513">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经营期限：</w:t>
      </w:r>
      <w:r>
        <w:rPr>
          <w:rFonts w:hint="eastAsia" w:ascii="宋体" w:hAnsi="宋体" w:cs="宋体"/>
          <w:color w:val="auto"/>
          <w:sz w:val="24"/>
          <w:highlight w:val="none"/>
          <w:u w:val="single"/>
          <w:lang w:val="en-US" w:eastAsia="zh-CN"/>
        </w:rPr>
        <w:t xml:space="preserve">                                    </w:t>
      </w:r>
    </w:p>
    <w:p w14:paraId="267BF588">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rPr>
        <w:t>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职务：</w:t>
      </w:r>
      <w:r>
        <w:rPr>
          <w:rFonts w:hint="eastAsia" w:ascii="宋体" w:hAnsi="宋体" w:cs="宋体"/>
          <w:color w:val="auto"/>
          <w:sz w:val="24"/>
          <w:highlight w:val="none"/>
          <w:u w:val="single"/>
          <w:lang w:val="en-US" w:eastAsia="zh-CN"/>
        </w:rPr>
        <w:t xml:space="preserve">          </w:t>
      </w:r>
    </w:p>
    <w:p w14:paraId="3D9E2C5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投标人名称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的法定代表人</w:t>
      </w:r>
    </w:p>
    <w:p w14:paraId="08B5ECD4">
      <w:pPr>
        <w:spacing w:line="360" w:lineRule="auto"/>
        <w:rPr>
          <w:rFonts w:hint="eastAsia" w:ascii="宋体" w:hAnsi="宋体" w:eastAsia="宋体" w:cs="宋体"/>
          <w:color w:val="auto"/>
          <w:sz w:val="24"/>
          <w:highlight w:val="none"/>
        </w:rPr>
      </w:pPr>
    </w:p>
    <w:p w14:paraId="06F7F4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966A82C">
      <w:pPr>
        <w:spacing w:line="360" w:lineRule="auto"/>
        <w:rPr>
          <w:rFonts w:hint="eastAsia" w:ascii="宋体" w:hAnsi="宋体" w:eastAsia="宋体" w:cs="宋体"/>
          <w:color w:val="auto"/>
          <w:sz w:val="24"/>
          <w:highlight w:val="none"/>
        </w:rPr>
      </w:pPr>
    </w:p>
    <w:p w14:paraId="567BE119">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szCs w:val="24"/>
          <w:highlight w:val="none"/>
        </w:rPr>
        <w:t>（加盖投标人电子公章）</w:t>
      </w:r>
      <w:r>
        <w:rPr>
          <w:rFonts w:hint="eastAsia" w:ascii="宋体" w:hAnsi="宋体" w:eastAsia="宋体" w:cs="宋体"/>
          <w:color w:val="auto"/>
          <w:sz w:val="24"/>
          <w:highlight w:val="none"/>
        </w:rPr>
        <w:t>：</w:t>
      </w:r>
    </w:p>
    <w:p w14:paraId="05E1D3F9">
      <w:pPr>
        <w:spacing w:line="360" w:lineRule="auto"/>
        <w:rPr>
          <w:rFonts w:hint="eastAsia" w:ascii="宋体" w:hAnsi="宋体" w:eastAsia="宋体" w:cs="宋体"/>
          <w:color w:val="auto"/>
          <w:sz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6C2DB883">
      <w:pPr>
        <w:spacing w:line="420" w:lineRule="exact"/>
        <w:rPr>
          <w:rFonts w:hint="eastAsia" w:ascii="宋体" w:hAnsi="宋体" w:eastAsia="宋体" w:cs="宋体"/>
          <w:color w:val="auto"/>
          <w:sz w:val="24"/>
          <w:highlight w:val="none"/>
        </w:rPr>
      </w:pPr>
    </w:p>
    <w:p w14:paraId="4ABBEA59">
      <w:pPr>
        <w:spacing w:line="420" w:lineRule="exact"/>
        <w:jc w:val="both"/>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附：</w:t>
      </w:r>
      <w:r>
        <w:rPr>
          <w:rFonts w:hint="eastAsia" w:ascii="宋体" w:hAnsi="宋体" w:eastAsia="宋体" w:cs="宋体"/>
          <w:b/>
          <w:color w:val="auto"/>
          <w:sz w:val="24"/>
          <w:highlight w:val="none"/>
        </w:rPr>
        <w:t>法定代表人有效的身份证</w:t>
      </w:r>
      <w:r>
        <w:rPr>
          <w:rFonts w:hint="eastAsia" w:ascii="宋体" w:hAnsi="宋体" w:eastAsia="宋体" w:cs="宋体"/>
          <w:b/>
          <w:color w:val="auto"/>
          <w:sz w:val="24"/>
          <w:highlight w:val="none"/>
          <w:lang w:val="en-US" w:eastAsia="zh-CN"/>
        </w:rPr>
        <w:t>正反面扫描</w:t>
      </w:r>
      <w:r>
        <w:rPr>
          <w:rFonts w:hint="eastAsia" w:ascii="宋体" w:hAnsi="宋体" w:eastAsia="宋体" w:cs="宋体"/>
          <w:b/>
          <w:color w:val="auto"/>
          <w:sz w:val="24"/>
          <w:highlight w:val="none"/>
        </w:rPr>
        <w:t>件</w:t>
      </w:r>
      <w:r>
        <w:rPr>
          <w:rFonts w:hint="eastAsia" w:ascii="宋体" w:hAnsi="宋体" w:eastAsia="宋体" w:cs="宋体"/>
          <w:b/>
          <w:color w:val="auto"/>
          <w:sz w:val="24"/>
          <w:highlight w:val="none"/>
          <w:lang w:eastAsia="zh-CN"/>
        </w:rPr>
        <w:t>（注明国徽面，人像面）</w:t>
      </w:r>
    </w:p>
    <w:p w14:paraId="54EEB20D">
      <w:pPr>
        <w:spacing w:line="420" w:lineRule="exact"/>
        <w:rPr>
          <w:rFonts w:hint="eastAsia" w:ascii="宋体" w:hAnsi="宋体" w:eastAsia="宋体" w:cs="宋体"/>
          <w:color w:val="auto"/>
          <w:sz w:val="24"/>
          <w:highlight w:val="none"/>
        </w:rPr>
      </w:pPr>
    </w:p>
    <w:p w14:paraId="3F97CF9B">
      <w:pPr>
        <w:spacing w:line="420" w:lineRule="exact"/>
        <w:rPr>
          <w:rFonts w:hint="eastAsia" w:ascii="宋体" w:hAnsi="宋体" w:eastAsia="宋体" w:cs="宋体"/>
          <w:color w:val="auto"/>
          <w:sz w:val="24"/>
          <w:highlight w:val="none"/>
        </w:rPr>
      </w:pPr>
    </w:p>
    <w:p w14:paraId="350A9925">
      <w:pPr>
        <w:spacing w:line="420" w:lineRule="exact"/>
        <w:rPr>
          <w:rFonts w:hint="eastAsia" w:ascii="宋体" w:hAnsi="宋体" w:eastAsia="宋体" w:cs="宋体"/>
          <w:color w:val="auto"/>
          <w:sz w:val="24"/>
          <w:highlight w:val="none"/>
        </w:rPr>
      </w:pPr>
    </w:p>
    <w:p w14:paraId="2FE0862C">
      <w:pPr>
        <w:spacing w:line="420" w:lineRule="exact"/>
        <w:rPr>
          <w:rFonts w:hint="eastAsia" w:ascii="宋体" w:hAnsi="宋体" w:eastAsia="宋体" w:cs="宋体"/>
          <w:color w:val="auto"/>
          <w:sz w:val="24"/>
          <w:highlight w:val="none"/>
        </w:rPr>
      </w:pPr>
    </w:p>
    <w:p w14:paraId="01252C1B">
      <w:pPr>
        <w:spacing w:line="420" w:lineRule="exact"/>
        <w:rPr>
          <w:rFonts w:hint="eastAsia" w:ascii="宋体" w:hAnsi="宋体" w:eastAsia="宋体" w:cs="宋体"/>
          <w:color w:val="auto"/>
          <w:sz w:val="24"/>
          <w:highlight w:val="none"/>
        </w:rPr>
      </w:pPr>
    </w:p>
    <w:p w14:paraId="04EB9F13">
      <w:pPr>
        <w:spacing w:line="420" w:lineRule="exact"/>
        <w:rPr>
          <w:rFonts w:hint="eastAsia" w:ascii="宋体" w:hAnsi="宋体" w:eastAsia="宋体" w:cs="宋体"/>
          <w:color w:val="auto"/>
          <w:sz w:val="24"/>
          <w:highlight w:val="none"/>
        </w:rPr>
      </w:pPr>
    </w:p>
    <w:p w14:paraId="23CBF54F">
      <w:pPr>
        <w:spacing w:line="420" w:lineRule="exact"/>
        <w:rPr>
          <w:rFonts w:hint="eastAsia" w:ascii="宋体" w:hAnsi="宋体" w:eastAsia="宋体" w:cs="宋体"/>
          <w:color w:val="auto"/>
          <w:sz w:val="24"/>
          <w:highlight w:val="none"/>
        </w:rPr>
      </w:pPr>
    </w:p>
    <w:p w14:paraId="1380AD85">
      <w:pPr>
        <w:spacing w:line="420" w:lineRule="exact"/>
        <w:rPr>
          <w:rFonts w:hint="eastAsia" w:ascii="宋体" w:hAnsi="宋体" w:eastAsia="宋体" w:cs="宋体"/>
          <w:color w:val="auto"/>
          <w:sz w:val="24"/>
          <w:highlight w:val="none"/>
        </w:rPr>
      </w:pPr>
    </w:p>
    <w:p w14:paraId="1466A4D4">
      <w:pPr>
        <w:spacing w:line="420" w:lineRule="exact"/>
        <w:rPr>
          <w:rFonts w:hint="eastAsia" w:ascii="宋体" w:hAnsi="宋体" w:eastAsia="宋体" w:cs="宋体"/>
          <w:color w:val="auto"/>
          <w:sz w:val="24"/>
          <w:highlight w:val="none"/>
        </w:rPr>
      </w:pPr>
    </w:p>
    <w:p w14:paraId="09CBDC56">
      <w:pPr>
        <w:pStyle w:val="4"/>
        <w:numPr>
          <w:ilvl w:val="0"/>
          <w:numId w:val="0"/>
        </w:numPr>
        <w:tabs>
          <w:tab w:val="clear" w:pos="900"/>
          <w:tab w:val="clear" w:pos="1588"/>
        </w:tabs>
        <w:jc w:val="center"/>
        <w:rPr>
          <w:rFonts w:hint="eastAsia" w:ascii="宋体" w:hAnsi="宋体" w:eastAsia="宋体" w:cs="宋体"/>
          <w:b/>
          <w:color w:val="auto"/>
          <w:kern w:val="0"/>
          <w:sz w:val="32"/>
          <w:szCs w:val="32"/>
          <w:highlight w:val="none"/>
          <w:lang w:val="en-US" w:eastAsia="zh-CN" w:bidi="ar-SA"/>
        </w:rPr>
      </w:pPr>
      <w:bookmarkStart w:id="155" w:name="_Toc503861954"/>
      <w:bookmarkStart w:id="156" w:name="_Toc430214793"/>
      <w:bookmarkStart w:id="157" w:name="_Toc509218499"/>
      <w:bookmarkStart w:id="158" w:name="_Toc30710"/>
      <w:bookmarkStart w:id="159" w:name="_Toc383636418"/>
      <w:bookmarkStart w:id="160" w:name="_Toc406162622"/>
      <w:bookmarkStart w:id="161" w:name="_Toc391301876"/>
      <w:r>
        <w:rPr>
          <w:rFonts w:hint="eastAsia" w:ascii="宋体" w:hAnsi="宋体" w:eastAsia="宋体" w:cs="宋体"/>
          <w:b/>
          <w:color w:val="auto"/>
          <w:kern w:val="0"/>
          <w:sz w:val="32"/>
          <w:szCs w:val="32"/>
          <w:highlight w:val="none"/>
          <w:lang w:val="en-US" w:eastAsia="zh-CN" w:bidi="ar-SA"/>
        </w:rPr>
        <w:br w:type="page"/>
      </w:r>
      <w:r>
        <w:rPr>
          <w:rFonts w:hint="eastAsia" w:ascii="宋体" w:hAnsi="宋体" w:eastAsia="宋体" w:cs="宋体"/>
          <w:b/>
          <w:color w:val="auto"/>
          <w:kern w:val="0"/>
          <w:sz w:val="28"/>
          <w:szCs w:val="28"/>
          <w:highlight w:val="none"/>
          <w:lang w:val="en-US" w:eastAsia="zh-CN" w:bidi="ar-SA"/>
        </w:rPr>
        <w:t>3、法定代表人授权委托书</w:t>
      </w:r>
      <w:bookmarkEnd w:id="155"/>
      <w:bookmarkEnd w:id="156"/>
      <w:bookmarkEnd w:id="157"/>
      <w:bookmarkEnd w:id="158"/>
    </w:p>
    <w:p w14:paraId="6AC73C76">
      <w:pPr>
        <w:spacing w:line="420" w:lineRule="exact"/>
        <w:ind w:firstLine="540" w:firstLineChars="225"/>
        <w:rPr>
          <w:rFonts w:hint="eastAsia" w:ascii="宋体" w:hAnsi="宋体" w:eastAsia="宋体" w:cs="宋体"/>
          <w:color w:val="auto"/>
          <w:sz w:val="24"/>
          <w:highlight w:val="none"/>
        </w:rPr>
      </w:pPr>
    </w:p>
    <w:p w14:paraId="5ADB7C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为我公司代理人，以公司名义参加</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的项目的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活动。代理人在</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过程中所签署的一切文件和处理与之有关的一切事务，我</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均予承认。</w:t>
      </w:r>
    </w:p>
    <w:p w14:paraId="3CD11F8E">
      <w:pPr>
        <w:spacing w:line="360" w:lineRule="auto"/>
        <w:ind w:firstLine="480" w:firstLineChars="200"/>
        <w:rPr>
          <w:rFonts w:hint="eastAsia" w:ascii="宋体" w:hAnsi="宋体" w:eastAsia="宋体" w:cs="宋体"/>
          <w:color w:val="auto"/>
          <w:sz w:val="24"/>
          <w:highlight w:val="none"/>
        </w:rPr>
      </w:pPr>
    </w:p>
    <w:p w14:paraId="0A6E8479">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代理人：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性别：</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14:paraId="58AD617D">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部门：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rPr>
        <w:t>职务：</w:t>
      </w:r>
      <w:r>
        <w:rPr>
          <w:rFonts w:hint="eastAsia" w:ascii="宋体" w:hAnsi="宋体" w:cs="宋体"/>
          <w:color w:val="auto"/>
          <w:sz w:val="24"/>
          <w:highlight w:val="none"/>
          <w:u w:val="single"/>
          <w:lang w:val="en-US" w:eastAsia="zh-CN"/>
        </w:rPr>
        <w:t xml:space="preserve">                  </w:t>
      </w:r>
    </w:p>
    <w:p w14:paraId="673982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代理人无转委权。特此委托。</w:t>
      </w:r>
    </w:p>
    <w:p w14:paraId="60E3E43A">
      <w:pPr>
        <w:pStyle w:val="18"/>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30EFBE02">
      <w:pPr>
        <w:pStyle w:val="18"/>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327617B4">
      <w:pPr>
        <w:spacing w:line="360" w:lineRule="auto"/>
        <w:ind w:firstLine="480" w:firstLineChars="200"/>
        <w:rPr>
          <w:rFonts w:hint="eastAsia" w:ascii="宋体" w:hAnsi="宋体" w:eastAsia="宋体" w:cs="宋体"/>
          <w:color w:val="auto"/>
          <w:sz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556B6D2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注：附授权委托代理人身份证复印件，如</w:t>
      </w:r>
      <w:r>
        <w:rPr>
          <w:rFonts w:hint="eastAsia" w:ascii="宋体" w:hAnsi="宋体" w:eastAsia="宋体" w:cs="宋体"/>
          <w:b/>
          <w:color w:val="auto"/>
          <w:sz w:val="24"/>
          <w:highlight w:val="none"/>
          <w:lang w:val="en-US" w:eastAsia="zh-CN"/>
        </w:rPr>
        <w:t>由</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法定代表人亲自签署</w:t>
      </w:r>
      <w:r>
        <w:rPr>
          <w:rFonts w:hint="eastAsia" w:ascii="宋体" w:hAnsi="宋体" w:eastAsia="宋体" w:cs="宋体"/>
          <w:b/>
          <w:bCs/>
          <w:color w:val="auto"/>
          <w:sz w:val="24"/>
          <w:highlight w:val="none"/>
          <w:lang w:val="en-US" w:eastAsia="zh-CN"/>
        </w:rPr>
        <w:t>投标文件</w:t>
      </w:r>
      <w:r>
        <w:rPr>
          <w:rFonts w:hint="eastAsia" w:ascii="宋体" w:hAnsi="宋体" w:eastAsia="宋体" w:cs="宋体"/>
          <w:b/>
          <w:color w:val="auto"/>
          <w:sz w:val="24"/>
          <w:highlight w:val="none"/>
        </w:rPr>
        <w:t>并参与相关活动，则不需要办理授权</w:t>
      </w:r>
      <w:r>
        <w:rPr>
          <w:rFonts w:hint="eastAsia" w:ascii="宋体" w:hAnsi="宋体" w:eastAsia="宋体" w:cs="宋体"/>
          <w:b/>
          <w:color w:val="auto"/>
          <w:sz w:val="24"/>
          <w:highlight w:val="none"/>
          <w:lang w:eastAsia="zh-CN"/>
        </w:rPr>
        <w:t>，不必提供此内容（法定代表人授权委托书）</w:t>
      </w:r>
      <w:r>
        <w:rPr>
          <w:rFonts w:hint="eastAsia" w:ascii="宋体" w:hAnsi="宋体" w:eastAsia="宋体" w:cs="宋体"/>
          <w:b/>
          <w:color w:val="auto"/>
          <w:sz w:val="24"/>
          <w:highlight w:val="none"/>
        </w:rPr>
        <w:t>。如有被授权的代理人签署上述文件，则必须填报并提交授权书，否则被授权的代理人将不被认可。</w:t>
      </w:r>
    </w:p>
    <w:p w14:paraId="1E1E36C7">
      <w:pPr>
        <w:spacing w:line="360" w:lineRule="auto"/>
        <w:ind w:firstLine="480"/>
        <w:rPr>
          <w:rFonts w:hint="eastAsia" w:ascii="宋体" w:hAnsi="宋体" w:eastAsia="宋体" w:cs="宋体"/>
          <w:b/>
          <w:color w:val="auto"/>
          <w:sz w:val="24"/>
          <w:highlight w:val="none"/>
        </w:rPr>
      </w:pPr>
    </w:p>
    <w:p w14:paraId="143D65AD">
      <w:pPr>
        <w:spacing w:line="4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委托代理人有效的身份证</w:t>
      </w:r>
      <w:r>
        <w:rPr>
          <w:rFonts w:hint="eastAsia" w:ascii="宋体" w:hAnsi="宋体" w:eastAsia="宋体" w:cs="宋体"/>
          <w:b/>
          <w:color w:val="auto"/>
          <w:sz w:val="24"/>
          <w:highlight w:val="none"/>
          <w:lang w:val="en-US" w:eastAsia="zh-CN"/>
        </w:rPr>
        <w:t>正反面扫描</w:t>
      </w:r>
      <w:r>
        <w:rPr>
          <w:rFonts w:hint="eastAsia" w:ascii="宋体" w:hAnsi="宋体" w:eastAsia="宋体" w:cs="宋体"/>
          <w:b/>
          <w:color w:val="auto"/>
          <w:sz w:val="24"/>
          <w:highlight w:val="none"/>
        </w:rPr>
        <w:t>件</w:t>
      </w:r>
      <w:r>
        <w:rPr>
          <w:rFonts w:hint="eastAsia" w:ascii="宋体" w:hAnsi="宋体" w:eastAsia="宋体" w:cs="宋体"/>
          <w:b/>
          <w:color w:val="auto"/>
          <w:sz w:val="24"/>
          <w:highlight w:val="none"/>
          <w:lang w:eastAsia="zh-CN"/>
        </w:rPr>
        <w:t>（注明国徽面，人像面）</w:t>
      </w:r>
    </w:p>
    <w:p w14:paraId="68F06EC2">
      <w:pPr>
        <w:spacing w:line="360" w:lineRule="auto"/>
        <w:ind w:firstLine="482"/>
        <w:rPr>
          <w:rFonts w:hint="eastAsia" w:ascii="宋体" w:hAnsi="宋体" w:eastAsia="宋体" w:cs="宋体"/>
          <w:b/>
          <w:color w:val="auto"/>
          <w:sz w:val="24"/>
          <w:highlight w:val="none"/>
        </w:rPr>
      </w:pPr>
    </w:p>
    <w:p w14:paraId="74FE30C8">
      <w:pPr>
        <w:spacing w:line="360" w:lineRule="auto"/>
        <w:ind w:firstLine="482"/>
        <w:rPr>
          <w:rFonts w:hint="eastAsia" w:ascii="宋体" w:hAnsi="宋体" w:eastAsia="宋体" w:cs="宋体"/>
          <w:b/>
          <w:color w:val="auto"/>
          <w:sz w:val="24"/>
          <w:highlight w:val="none"/>
        </w:rPr>
      </w:pPr>
    </w:p>
    <w:p w14:paraId="5AC5104F">
      <w:pPr>
        <w:spacing w:line="360" w:lineRule="auto"/>
        <w:ind w:firstLine="482"/>
        <w:rPr>
          <w:rFonts w:hint="eastAsia" w:ascii="宋体" w:hAnsi="宋体" w:eastAsia="宋体" w:cs="宋体"/>
          <w:b/>
          <w:color w:val="auto"/>
          <w:sz w:val="24"/>
          <w:highlight w:val="none"/>
        </w:rPr>
      </w:pPr>
    </w:p>
    <w:bookmarkEnd w:id="159"/>
    <w:bookmarkEnd w:id="160"/>
    <w:bookmarkEnd w:id="161"/>
    <w:p w14:paraId="3C203A68">
      <w:pPr>
        <w:pStyle w:val="4"/>
        <w:numPr>
          <w:ilvl w:val="2"/>
          <w:numId w:val="0"/>
        </w:numPr>
        <w:tabs>
          <w:tab w:val="clear" w:pos="900"/>
          <w:tab w:val="clear" w:pos="1588"/>
        </w:tabs>
        <w:jc w:val="center"/>
        <w:rPr>
          <w:rFonts w:hint="eastAsia" w:ascii="宋体" w:hAnsi="宋体" w:eastAsia="宋体" w:cs="宋体"/>
          <w:b/>
          <w:color w:val="auto"/>
          <w:kern w:val="0"/>
          <w:sz w:val="32"/>
          <w:szCs w:val="32"/>
          <w:highlight w:val="none"/>
          <w:lang w:val="en-US" w:eastAsia="zh-CN" w:bidi="ar-SA"/>
        </w:rPr>
      </w:pPr>
      <w:bookmarkStart w:id="162" w:name="_Toc503861958"/>
      <w:bookmarkStart w:id="163" w:name="_Toc383636420"/>
      <w:bookmarkStart w:id="164" w:name="_Toc509218503"/>
      <w:bookmarkStart w:id="165" w:name="_Toc391301879"/>
      <w:bookmarkStart w:id="166" w:name="_Toc406162625"/>
      <w:bookmarkStart w:id="167" w:name="_Toc31812"/>
      <w:r>
        <w:rPr>
          <w:rFonts w:hint="eastAsia" w:ascii="宋体" w:hAnsi="宋体" w:eastAsia="宋体" w:cs="宋体"/>
          <w:color w:val="auto"/>
          <w:highlight w:val="none"/>
          <w:lang w:val="en-US" w:eastAsia="zh-CN"/>
        </w:rPr>
        <w:br w:type="page"/>
      </w:r>
      <w:r>
        <w:rPr>
          <w:rFonts w:hint="eastAsia" w:ascii="宋体" w:hAnsi="宋体" w:eastAsia="宋体" w:cs="宋体"/>
          <w:b/>
          <w:color w:val="auto"/>
          <w:kern w:val="0"/>
          <w:sz w:val="28"/>
          <w:szCs w:val="28"/>
          <w:highlight w:val="none"/>
          <w:lang w:val="en-US" w:eastAsia="zh-CN" w:bidi="ar-SA"/>
        </w:rPr>
        <w:t>4、</w:t>
      </w:r>
      <w:bookmarkEnd w:id="162"/>
      <w:bookmarkEnd w:id="163"/>
      <w:bookmarkEnd w:id="164"/>
      <w:bookmarkEnd w:id="165"/>
      <w:bookmarkEnd w:id="166"/>
      <w:r>
        <w:rPr>
          <w:rFonts w:hint="eastAsia" w:ascii="宋体" w:hAnsi="宋体" w:eastAsia="宋体" w:cs="宋体"/>
          <w:b/>
          <w:color w:val="auto"/>
          <w:kern w:val="0"/>
          <w:sz w:val="28"/>
          <w:szCs w:val="28"/>
          <w:highlight w:val="none"/>
          <w:lang w:val="en-US" w:eastAsia="zh-CN" w:bidi="ar-SA"/>
        </w:rPr>
        <w:t>投标</w:t>
      </w:r>
      <w:bookmarkEnd w:id="167"/>
      <w:r>
        <w:rPr>
          <w:rFonts w:hint="eastAsia" w:ascii="宋体" w:hAnsi="宋体" w:eastAsia="宋体" w:cs="宋体"/>
          <w:b/>
          <w:color w:val="auto"/>
          <w:kern w:val="0"/>
          <w:sz w:val="28"/>
          <w:szCs w:val="28"/>
          <w:highlight w:val="none"/>
          <w:lang w:val="en-US" w:eastAsia="zh-CN" w:bidi="ar-SA"/>
        </w:rPr>
        <w:t>担保</w:t>
      </w:r>
    </w:p>
    <w:p w14:paraId="01CC0A8D">
      <w:pPr>
        <w:rPr>
          <w:rFonts w:hint="eastAsia" w:ascii="宋体" w:hAnsi="宋体" w:eastAsia="宋体" w:cs="宋体"/>
          <w:color w:val="auto"/>
          <w:highlight w:val="none"/>
        </w:rPr>
      </w:pPr>
    </w:p>
    <w:p w14:paraId="0A390C5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（包括但不限于：1、投标保证金缴纳凭证复印件</w:t>
      </w:r>
      <w:r>
        <w:rPr>
          <w:rFonts w:hint="eastAsia" w:ascii="宋体" w:hAnsi="宋体" w:cs="宋体"/>
          <w:color w:val="auto"/>
          <w:highlight w:val="none"/>
          <w:lang w:val="en-US" w:eastAsia="zh-CN"/>
        </w:rPr>
        <w:t>、保函扫描件、保证保险扫描件等</w:t>
      </w:r>
      <w:r>
        <w:rPr>
          <w:rFonts w:hint="eastAsia" w:ascii="宋体" w:hAnsi="宋体" w:eastAsia="宋体" w:cs="宋体"/>
          <w:color w:val="auto"/>
          <w:highlight w:val="none"/>
          <w:lang w:val="en-US" w:eastAsia="zh-CN"/>
        </w:rPr>
        <w:t>；2、基本户《开户许可证》或《基本存款账户信息》）</w:t>
      </w:r>
    </w:p>
    <w:p w14:paraId="27AAE452">
      <w:pPr>
        <w:rPr>
          <w:rFonts w:hint="eastAsia" w:ascii="宋体" w:hAnsi="宋体" w:eastAsia="宋体" w:cs="宋体"/>
          <w:color w:val="auto"/>
          <w:highlight w:val="none"/>
        </w:rPr>
      </w:pPr>
    </w:p>
    <w:p w14:paraId="2ECFDD7B">
      <w:pPr>
        <w:pStyle w:val="18"/>
        <w:spacing w:line="600" w:lineRule="exact"/>
        <w:jc w:val="left"/>
        <w:rPr>
          <w:rFonts w:hint="eastAsia" w:ascii="宋体" w:hAnsi="宋体" w:eastAsia="宋体" w:cs="宋体"/>
          <w:b/>
          <w:color w:val="auto"/>
          <w:sz w:val="28"/>
          <w:szCs w:val="28"/>
          <w:highlight w:val="none"/>
        </w:rPr>
      </w:pPr>
    </w:p>
    <w:p w14:paraId="13ABF86E">
      <w:pPr>
        <w:pStyle w:val="3"/>
        <w:numPr>
          <w:ilvl w:val="0"/>
          <w:numId w:val="0"/>
        </w:numPr>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br w:type="page"/>
      </w:r>
      <w:bookmarkStart w:id="168" w:name="_Toc159334719"/>
      <w:bookmarkStart w:id="169" w:name="_Toc7027"/>
      <w:bookmarkStart w:id="170" w:name="_Toc5253"/>
      <w:bookmarkStart w:id="171" w:name="_Toc159334647"/>
      <w:bookmarkStart w:id="172" w:name="_Toc15319"/>
      <w:bookmarkStart w:id="173" w:name="_Toc18216"/>
      <w:r>
        <w:rPr>
          <w:rFonts w:hint="eastAsia" w:ascii="宋体" w:hAnsi="宋体" w:eastAsia="宋体" w:cs="宋体"/>
          <w:b/>
          <w:color w:val="auto"/>
          <w:spacing w:val="40"/>
          <w:sz w:val="28"/>
          <w:szCs w:val="28"/>
          <w:highlight w:val="none"/>
          <w:lang w:val="en-US" w:eastAsia="zh-CN"/>
        </w:rPr>
        <w:t>5、</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一览表</w:t>
      </w:r>
    </w:p>
    <w:p w14:paraId="1FDD3C7C">
      <w:pPr>
        <w:spacing w:line="360" w:lineRule="auto"/>
        <w:rPr>
          <w:rFonts w:hint="eastAsia" w:ascii="宋体" w:hAnsi="宋体" w:eastAsia="宋体" w:cs="宋体"/>
          <w:color w:val="auto"/>
          <w:highlight w:val="none"/>
        </w:rPr>
      </w:pPr>
    </w:p>
    <w:p w14:paraId="3896EDFA">
      <w:pPr>
        <w:pStyle w:val="18"/>
        <w:spacing w:line="360" w:lineRule="auto"/>
        <w:rPr>
          <w:rFonts w:hint="eastAsia" w:ascii="宋体" w:hAnsi="宋体" w:eastAsia="宋体" w:cs="宋体"/>
          <w:b/>
          <w:color w:val="auto"/>
          <w:sz w:val="24"/>
          <w:szCs w:val="24"/>
          <w:highlight w:val="none"/>
        </w:rPr>
      </w:pPr>
    </w:p>
    <w:p w14:paraId="52481917">
      <w:pPr>
        <w:pStyle w:val="18"/>
        <w:spacing w:line="360" w:lineRule="auto"/>
        <w:ind w:firstLine="482"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b/>
          <w:color w:val="auto"/>
          <w:sz w:val="24"/>
          <w:szCs w:val="24"/>
          <w:highlight w:val="none"/>
        </w:rPr>
        <w:t>项目名称：</w:t>
      </w:r>
      <w:r>
        <w:rPr>
          <w:rFonts w:hint="eastAsia"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项目编号：</w:t>
      </w:r>
    </w:p>
    <w:tbl>
      <w:tblPr>
        <w:tblStyle w:val="26"/>
        <w:tblpPr w:leftFromText="180" w:rightFromText="180" w:vertAnchor="text" w:horzAnchor="page" w:tblpX="1592" w:tblpY="402"/>
        <w:tblOverlap w:val="never"/>
        <w:tblW w:w="9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711"/>
        <w:gridCol w:w="2056"/>
        <w:gridCol w:w="2200"/>
        <w:gridCol w:w="1314"/>
      </w:tblGrid>
      <w:tr w14:paraId="203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732" w:type="dxa"/>
            <w:noWrap w:val="0"/>
            <w:vAlign w:val="center"/>
          </w:tcPr>
          <w:p w14:paraId="3208ED1E">
            <w:pPr>
              <w:pStyle w:val="1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w:t>
            </w:r>
          </w:p>
        </w:tc>
        <w:tc>
          <w:tcPr>
            <w:tcW w:w="1711" w:type="dxa"/>
            <w:noWrap w:val="0"/>
            <w:vAlign w:val="center"/>
          </w:tcPr>
          <w:p w14:paraId="6E515B3E">
            <w:pPr>
              <w:pStyle w:val="1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投标报价（元）</w:t>
            </w:r>
          </w:p>
        </w:tc>
        <w:tc>
          <w:tcPr>
            <w:tcW w:w="2056" w:type="dxa"/>
            <w:noWrap w:val="0"/>
            <w:vAlign w:val="center"/>
          </w:tcPr>
          <w:p w14:paraId="568400DF">
            <w:pPr>
              <w:pStyle w:val="18"/>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交付/实施时间</w:t>
            </w:r>
          </w:p>
        </w:tc>
        <w:tc>
          <w:tcPr>
            <w:tcW w:w="2200" w:type="dxa"/>
            <w:noWrap w:val="0"/>
            <w:vAlign w:val="center"/>
          </w:tcPr>
          <w:p w14:paraId="799CAE77">
            <w:pPr>
              <w:pStyle w:val="1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交付/实施地点</w:t>
            </w:r>
          </w:p>
        </w:tc>
        <w:tc>
          <w:tcPr>
            <w:tcW w:w="1314" w:type="dxa"/>
            <w:noWrap w:val="0"/>
            <w:vAlign w:val="center"/>
          </w:tcPr>
          <w:p w14:paraId="379F3C97">
            <w:pPr>
              <w:pStyle w:val="18"/>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2E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1732" w:type="dxa"/>
            <w:noWrap w:val="0"/>
            <w:vAlign w:val="center"/>
          </w:tcPr>
          <w:p w14:paraId="55844570">
            <w:pPr>
              <w:pStyle w:val="18"/>
              <w:spacing w:line="360" w:lineRule="auto"/>
              <w:rPr>
                <w:rFonts w:hint="eastAsia" w:ascii="宋体" w:hAnsi="宋体" w:eastAsia="宋体" w:cs="宋体"/>
                <w:color w:val="auto"/>
                <w:sz w:val="24"/>
                <w:szCs w:val="24"/>
                <w:highlight w:val="none"/>
              </w:rPr>
            </w:pPr>
          </w:p>
        </w:tc>
        <w:tc>
          <w:tcPr>
            <w:tcW w:w="1711" w:type="dxa"/>
            <w:noWrap w:val="0"/>
            <w:vAlign w:val="center"/>
          </w:tcPr>
          <w:p w14:paraId="6112BE9D">
            <w:pPr>
              <w:pStyle w:val="18"/>
              <w:spacing w:line="360" w:lineRule="auto"/>
              <w:rPr>
                <w:rFonts w:hint="eastAsia" w:ascii="宋体" w:hAnsi="宋体" w:eastAsia="宋体" w:cs="宋体"/>
                <w:color w:val="auto"/>
                <w:sz w:val="24"/>
                <w:szCs w:val="24"/>
                <w:highlight w:val="none"/>
              </w:rPr>
            </w:pPr>
          </w:p>
        </w:tc>
        <w:tc>
          <w:tcPr>
            <w:tcW w:w="2056" w:type="dxa"/>
            <w:noWrap w:val="0"/>
            <w:vAlign w:val="center"/>
          </w:tcPr>
          <w:p w14:paraId="3EF68CE2">
            <w:pPr>
              <w:pStyle w:val="18"/>
              <w:spacing w:line="360" w:lineRule="auto"/>
              <w:rPr>
                <w:rFonts w:hint="eastAsia" w:ascii="宋体" w:hAnsi="宋体" w:eastAsia="宋体" w:cs="宋体"/>
                <w:color w:val="auto"/>
                <w:sz w:val="24"/>
                <w:szCs w:val="24"/>
                <w:highlight w:val="none"/>
              </w:rPr>
            </w:pPr>
          </w:p>
        </w:tc>
        <w:tc>
          <w:tcPr>
            <w:tcW w:w="2200" w:type="dxa"/>
            <w:noWrap w:val="0"/>
            <w:vAlign w:val="center"/>
          </w:tcPr>
          <w:p w14:paraId="0D856F30">
            <w:pPr>
              <w:pStyle w:val="18"/>
              <w:spacing w:line="360" w:lineRule="auto"/>
              <w:rPr>
                <w:rFonts w:hint="eastAsia" w:ascii="宋体" w:hAnsi="宋体" w:eastAsia="宋体" w:cs="宋体"/>
                <w:color w:val="auto"/>
                <w:sz w:val="24"/>
                <w:szCs w:val="24"/>
                <w:highlight w:val="none"/>
              </w:rPr>
            </w:pPr>
          </w:p>
        </w:tc>
        <w:tc>
          <w:tcPr>
            <w:tcW w:w="1314" w:type="dxa"/>
            <w:noWrap w:val="0"/>
            <w:vAlign w:val="center"/>
          </w:tcPr>
          <w:p w14:paraId="32AA3BB1">
            <w:pPr>
              <w:pStyle w:val="18"/>
              <w:spacing w:line="360" w:lineRule="auto"/>
              <w:rPr>
                <w:rFonts w:hint="eastAsia" w:ascii="宋体" w:hAnsi="宋体" w:eastAsia="宋体" w:cs="宋体"/>
                <w:color w:val="auto"/>
                <w:sz w:val="24"/>
                <w:szCs w:val="24"/>
                <w:highlight w:val="none"/>
              </w:rPr>
            </w:pPr>
          </w:p>
        </w:tc>
      </w:tr>
    </w:tbl>
    <w:p w14:paraId="5B6603F5">
      <w:pPr>
        <w:spacing w:line="360" w:lineRule="auto"/>
        <w:ind w:firstLine="2" w:firstLineChars="1"/>
        <w:rPr>
          <w:rFonts w:hint="eastAsia" w:ascii="宋体" w:hAnsi="宋体" w:eastAsia="宋体" w:cs="宋体"/>
          <w:color w:val="auto"/>
          <w:sz w:val="24"/>
          <w:highlight w:val="none"/>
        </w:rPr>
      </w:pPr>
    </w:p>
    <w:p w14:paraId="7EA4A919">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3F4F47D7">
      <w:pPr>
        <w:pStyle w:val="18"/>
        <w:spacing w:line="360" w:lineRule="auto"/>
        <w:rPr>
          <w:rFonts w:hint="eastAsia" w:ascii="宋体" w:hAnsi="宋体" w:eastAsia="宋体" w:cs="宋体"/>
          <w:color w:val="auto"/>
          <w:sz w:val="24"/>
          <w:szCs w:val="24"/>
          <w:highlight w:val="none"/>
        </w:rPr>
      </w:pPr>
    </w:p>
    <w:p w14:paraId="5E4C030C">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6C97A1DE">
      <w:pPr>
        <w:spacing w:line="360" w:lineRule="auto"/>
        <w:ind w:firstLine="2" w:firstLineChars="1"/>
        <w:rPr>
          <w:rFonts w:hint="eastAsia" w:ascii="宋体" w:hAnsi="宋体" w:cs="宋体"/>
          <w:bCs/>
          <w:color w:val="auto"/>
          <w:sz w:val="24"/>
          <w:szCs w:val="24"/>
          <w:highlight w:val="none"/>
          <w:lang w:val="en-US" w:eastAsia="zh-CN"/>
        </w:rPr>
      </w:pPr>
    </w:p>
    <w:p w14:paraId="03ED3681">
      <w:pPr>
        <w:spacing w:line="360" w:lineRule="auto"/>
        <w:ind w:firstLine="2" w:firstLineChars="1"/>
        <w:rPr>
          <w:rFonts w:hint="eastAsia" w:ascii="宋体" w:hAnsi="宋体" w:eastAsia="宋体" w:cs="宋体"/>
          <w:b w:val="0"/>
          <w:bCs/>
          <w:color w:val="auto"/>
          <w:sz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7E6FD256">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br w:type="page"/>
      </w:r>
    </w:p>
    <w:p w14:paraId="0F64D0B6">
      <w:pPr>
        <w:pStyle w:val="3"/>
        <w:numPr>
          <w:ilvl w:val="0"/>
          <w:numId w:val="0"/>
        </w:numPr>
        <w:ind w:left="-171" w:leftChars="0"/>
        <w:jc w:val="center"/>
        <w:rPr>
          <w:rFonts w:hint="eastAsia" w:ascii="宋体" w:hAnsi="宋体" w:eastAsia="宋体" w:cs="宋体"/>
          <w:color w:val="auto"/>
          <w:highlight w:val="none"/>
        </w:rPr>
      </w:pPr>
      <w:bookmarkStart w:id="174" w:name="_Toc14219"/>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报价汇总表</w:t>
      </w:r>
      <w:bookmarkEnd w:id="174"/>
    </w:p>
    <w:p w14:paraId="689CDA43">
      <w:pPr>
        <w:pStyle w:val="18"/>
        <w:spacing w:after="120" w:afterLines="50"/>
        <w:ind w:firstLine="422" w:firstLineChars="200"/>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项目名称：</w:t>
      </w:r>
      <w:r>
        <w:rPr>
          <w:rFonts w:hint="eastAsia"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p>
    <w:tbl>
      <w:tblPr>
        <w:tblStyle w:val="26"/>
        <w:tblW w:w="9526" w:type="dxa"/>
        <w:tblInd w:w="-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0"/>
        <w:gridCol w:w="3134"/>
        <w:gridCol w:w="3333"/>
        <w:gridCol w:w="2159"/>
      </w:tblGrid>
      <w:tr w14:paraId="4666F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A9D01F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134" w:type="dxa"/>
            <w:tcBorders>
              <w:top w:val="single" w:color="auto" w:sz="6" w:space="0"/>
              <w:left w:val="single" w:color="auto" w:sz="6" w:space="0"/>
              <w:bottom w:val="single" w:color="auto" w:sz="6" w:space="0"/>
              <w:right w:val="single" w:color="auto" w:sz="6" w:space="0"/>
            </w:tcBorders>
            <w:noWrap w:val="0"/>
            <w:vAlign w:val="center"/>
          </w:tcPr>
          <w:p w14:paraId="4BEE08D3">
            <w:pPr>
              <w:spacing w:line="360" w:lineRule="auto"/>
              <w:ind w:firstLine="9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报价内容</w:t>
            </w:r>
          </w:p>
        </w:tc>
        <w:tc>
          <w:tcPr>
            <w:tcW w:w="3333" w:type="dxa"/>
            <w:tcBorders>
              <w:top w:val="single" w:color="auto" w:sz="6" w:space="0"/>
              <w:left w:val="single" w:color="auto" w:sz="6" w:space="0"/>
              <w:bottom w:val="single" w:color="auto" w:sz="6" w:space="0"/>
              <w:right w:val="single" w:color="auto" w:sz="4" w:space="0"/>
            </w:tcBorders>
            <w:noWrap w:val="0"/>
            <w:vAlign w:val="center"/>
          </w:tcPr>
          <w:p w14:paraId="5FCD8B3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合计价（元）</w:t>
            </w:r>
          </w:p>
        </w:tc>
        <w:tc>
          <w:tcPr>
            <w:tcW w:w="2159" w:type="dxa"/>
            <w:tcBorders>
              <w:top w:val="single" w:color="auto" w:sz="6" w:space="0"/>
              <w:left w:val="single" w:color="auto" w:sz="4" w:space="0"/>
              <w:bottom w:val="single" w:color="auto" w:sz="6" w:space="0"/>
              <w:right w:val="single" w:color="auto" w:sz="6" w:space="0"/>
            </w:tcBorders>
            <w:noWrap w:val="0"/>
            <w:vAlign w:val="center"/>
          </w:tcPr>
          <w:p w14:paraId="333E2E44">
            <w:pPr>
              <w:pStyle w:val="48"/>
              <w:widowControl w:val="0"/>
              <w:spacing w:before="0" w:beforeAutospacing="0" w:after="0" w:afterAutospacing="0"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tc>
      </w:tr>
      <w:tr w14:paraId="1644A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2312AFA3">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34" w:type="dxa"/>
            <w:tcBorders>
              <w:top w:val="single" w:color="auto" w:sz="6" w:space="0"/>
              <w:left w:val="single" w:color="auto" w:sz="6" w:space="0"/>
              <w:bottom w:val="single" w:color="auto" w:sz="6" w:space="0"/>
              <w:right w:val="single" w:color="auto" w:sz="6" w:space="0"/>
            </w:tcBorders>
            <w:noWrap w:val="0"/>
            <w:vAlign w:val="center"/>
          </w:tcPr>
          <w:p w14:paraId="6E7F38DF">
            <w:pPr>
              <w:pStyle w:val="1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遥感监测服务</w:t>
            </w:r>
            <w:r>
              <w:rPr>
                <w:rFonts w:hint="eastAsia" w:ascii="宋体" w:hAnsi="宋体" w:eastAsia="宋体" w:cs="宋体"/>
                <w:color w:val="auto"/>
                <w:sz w:val="21"/>
                <w:szCs w:val="21"/>
                <w:highlight w:val="none"/>
                <w:lang w:val="en-US" w:eastAsia="zh-CN"/>
              </w:rPr>
              <w:t>费用</w:t>
            </w:r>
          </w:p>
        </w:tc>
        <w:tc>
          <w:tcPr>
            <w:tcW w:w="3333" w:type="dxa"/>
            <w:tcBorders>
              <w:top w:val="single" w:color="auto" w:sz="6" w:space="0"/>
              <w:left w:val="single" w:color="auto" w:sz="6" w:space="0"/>
              <w:bottom w:val="single" w:color="auto" w:sz="6" w:space="0"/>
              <w:right w:val="single" w:color="auto" w:sz="4" w:space="0"/>
            </w:tcBorders>
            <w:noWrap w:val="0"/>
            <w:vAlign w:val="center"/>
          </w:tcPr>
          <w:p w14:paraId="16702961">
            <w:pPr>
              <w:spacing w:line="360" w:lineRule="auto"/>
              <w:jc w:val="center"/>
              <w:rPr>
                <w:rFonts w:hint="eastAsia" w:ascii="宋体" w:hAnsi="宋体" w:eastAsia="宋体" w:cs="宋体"/>
                <w:color w:val="auto"/>
                <w:szCs w:val="21"/>
                <w:highlight w:val="none"/>
              </w:rPr>
            </w:pPr>
          </w:p>
        </w:tc>
        <w:tc>
          <w:tcPr>
            <w:tcW w:w="2159" w:type="dxa"/>
            <w:tcBorders>
              <w:top w:val="single" w:color="auto" w:sz="6" w:space="0"/>
              <w:left w:val="single" w:color="auto" w:sz="4" w:space="0"/>
              <w:bottom w:val="single" w:color="auto" w:sz="6" w:space="0"/>
              <w:right w:val="single" w:color="auto" w:sz="6" w:space="0"/>
            </w:tcBorders>
            <w:noWrap w:val="0"/>
            <w:vAlign w:val="center"/>
          </w:tcPr>
          <w:p w14:paraId="15C08C2E">
            <w:pPr>
              <w:spacing w:line="360" w:lineRule="auto"/>
              <w:jc w:val="center"/>
              <w:rPr>
                <w:rFonts w:hint="eastAsia" w:ascii="宋体" w:hAnsi="宋体" w:eastAsia="宋体" w:cs="宋体"/>
                <w:color w:val="auto"/>
                <w:szCs w:val="21"/>
                <w:highlight w:val="none"/>
              </w:rPr>
            </w:pPr>
          </w:p>
        </w:tc>
      </w:tr>
      <w:tr w14:paraId="0C29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4672CF36">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34" w:type="dxa"/>
            <w:tcBorders>
              <w:top w:val="single" w:color="auto" w:sz="6" w:space="0"/>
              <w:left w:val="single" w:color="auto" w:sz="6" w:space="0"/>
              <w:bottom w:val="single" w:color="auto" w:sz="6" w:space="0"/>
              <w:right w:val="single" w:color="auto" w:sz="6" w:space="0"/>
            </w:tcBorders>
            <w:noWrap w:val="0"/>
            <w:vAlign w:val="center"/>
          </w:tcPr>
          <w:p w14:paraId="3A732303">
            <w:pPr>
              <w:pStyle w:val="18"/>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生态安全风险监测设备</w:t>
            </w:r>
            <w:r>
              <w:rPr>
                <w:rFonts w:hint="eastAsia" w:ascii="宋体" w:hAnsi="宋体" w:eastAsia="宋体" w:cs="宋体"/>
                <w:color w:val="auto"/>
                <w:spacing w:val="-6"/>
                <w:sz w:val="21"/>
                <w:szCs w:val="21"/>
                <w:highlight w:val="none"/>
                <w:lang w:val="en-US" w:eastAsia="zh-CN"/>
              </w:rPr>
              <w:t>配备费用</w:t>
            </w:r>
          </w:p>
        </w:tc>
        <w:tc>
          <w:tcPr>
            <w:tcW w:w="3333" w:type="dxa"/>
            <w:tcBorders>
              <w:top w:val="single" w:color="auto" w:sz="6" w:space="0"/>
              <w:left w:val="single" w:color="auto" w:sz="6" w:space="0"/>
              <w:bottom w:val="single" w:color="auto" w:sz="6" w:space="0"/>
              <w:right w:val="single" w:color="auto" w:sz="4" w:space="0"/>
            </w:tcBorders>
            <w:noWrap w:val="0"/>
            <w:vAlign w:val="center"/>
          </w:tcPr>
          <w:p w14:paraId="47B5E94B">
            <w:pPr>
              <w:spacing w:line="360" w:lineRule="auto"/>
              <w:jc w:val="center"/>
              <w:rPr>
                <w:rFonts w:hint="eastAsia" w:ascii="宋体" w:hAnsi="宋体" w:eastAsia="宋体" w:cs="宋体"/>
                <w:color w:val="auto"/>
                <w:szCs w:val="21"/>
                <w:highlight w:val="none"/>
              </w:rPr>
            </w:pPr>
          </w:p>
        </w:tc>
        <w:tc>
          <w:tcPr>
            <w:tcW w:w="2159" w:type="dxa"/>
            <w:tcBorders>
              <w:top w:val="single" w:color="auto" w:sz="6" w:space="0"/>
              <w:left w:val="single" w:color="auto" w:sz="4" w:space="0"/>
              <w:bottom w:val="single" w:color="auto" w:sz="6" w:space="0"/>
              <w:right w:val="single" w:color="auto" w:sz="6" w:space="0"/>
            </w:tcBorders>
            <w:noWrap w:val="0"/>
            <w:vAlign w:val="center"/>
          </w:tcPr>
          <w:p w14:paraId="6EA5A037">
            <w:pPr>
              <w:spacing w:line="360" w:lineRule="auto"/>
              <w:jc w:val="center"/>
              <w:rPr>
                <w:rFonts w:hint="eastAsia" w:ascii="宋体" w:hAnsi="宋体" w:eastAsia="宋体" w:cs="宋体"/>
                <w:color w:val="auto"/>
                <w:szCs w:val="21"/>
                <w:highlight w:val="none"/>
              </w:rPr>
            </w:pPr>
          </w:p>
        </w:tc>
      </w:tr>
      <w:tr w14:paraId="76AC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0F9E5FCB">
            <w:pPr>
              <w:pStyle w:val="18"/>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w:t>
            </w:r>
          </w:p>
        </w:tc>
        <w:tc>
          <w:tcPr>
            <w:tcW w:w="3134" w:type="dxa"/>
            <w:tcBorders>
              <w:top w:val="single" w:color="auto" w:sz="6" w:space="0"/>
              <w:left w:val="single" w:color="auto" w:sz="6" w:space="0"/>
              <w:bottom w:val="single" w:color="auto" w:sz="6" w:space="0"/>
              <w:right w:val="single" w:color="auto" w:sz="6" w:space="0"/>
            </w:tcBorders>
            <w:noWrap w:val="0"/>
            <w:vAlign w:val="center"/>
          </w:tcPr>
          <w:p w14:paraId="37D0AE7C">
            <w:pPr>
              <w:pStyle w:val="18"/>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highlight w:val="none"/>
              </w:rPr>
              <w:t>监测预警平台开发</w:t>
            </w:r>
            <w:r>
              <w:rPr>
                <w:rFonts w:hint="eastAsia" w:ascii="宋体" w:hAnsi="宋体" w:eastAsia="宋体" w:cs="宋体"/>
                <w:color w:val="auto"/>
                <w:sz w:val="21"/>
                <w:szCs w:val="21"/>
                <w:highlight w:val="none"/>
                <w:lang w:val="en-US" w:eastAsia="zh-CN"/>
              </w:rPr>
              <w:t>费用</w:t>
            </w:r>
          </w:p>
        </w:tc>
        <w:tc>
          <w:tcPr>
            <w:tcW w:w="3333" w:type="dxa"/>
            <w:tcBorders>
              <w:top w:val="single" w:color="auto" w:sz="6" w:space="0"/>
              <w:left w:val="single" w:color="auto" w:sz="6" w:space="0"/>
              <w:bottom w:val="single" w:color="auto" w:sz="6" w:space="0"/>
              <w:right w:val="single" w:color="auto" w:sz="4" w:space="0"/>
            </w:tcBorders>
            <w:noWrap w:val="0"/>
            <w:vAlign w:val="top"/>
          </w:tcPr>
          <w:p w14:paraId="1BF8E644">
            <w:pPr>
              <w:pStyle w:val="18"/>
              <w:spacing w:after="165" w:afterLines="50"/>
              <w:jc w:val="center"/>
              <w:rPr>
                <w:rFonts w:hint="eastAsia" w:ascii="宋体" w:hAnsi="宋体" w:eastAsia="宋体" w:cs="宋体"/>
                <w:b/>
                <w:color w:val="auto"/>
                <w:sz w:val="21"/>
                <w:szCs w:val="21"/>
                <w:highlight w:val="none"/>
                <w:u w:val="single"/>
              </w:rPr>
            </w:pPr>
          </w:p>
        </w:tc>
        <w:tc>
          <w:tcPr>
            <w:tcW w:w="2159" w:type="dxa"/>
            <w:tcBorders>
              <w:top w:val="single" w:color="auto" w:sz="6" w:space="0"/>
              <w:left w:val="single" w:color="auto" w:sz="4" w:space="0"/>
              <w:bottom w:val="single" w:color="auto" w:sz="6" w:space="0"/>
              <w:right w:val="single" w:color="auto" w:sz="6" w:space="0"/>
            </w:tcBorders>
            <w:noWrap w:val="0"/>
            <w:vAlign w:val="center"/>
          </w:tcPr>
          <w:p w14:paraId="3A641C0B">
            <w:pPr>
              <w:spacing w:line="360" w:lineRule="auto"/>
              <w:jc w:val="center"/>
              <w:rPr>
                <w:rFonts w:hint="eastAsia" w:ascii="宋体" w:hAnsi="宋体" w:eastAsia="宋体" w:cs="宋体"/>
                <w:color w:val="auto"/>
                <w:szCs w:val="21"/>
                <w:highlight w:val="none"/>
              </w:rPr>
            </w:pPr>
          </w:p>
        </w:tc>
      </w:tr>
      <w:tr w14:paraId="2C640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B617B77">
            <w:pPr>
              <w:pStyle w:val="18"/>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4</w:t>
            </w:r>
          </w:p>
        </w:tc>
        <w:tc>
          <w:tcPr>
            <w:tcW w:w="3134" w:type="dxa"/>
            <w:tcBorders>
              <w:top w:val="single" w:color="auto" w:sz="6" w:space="0"/>
              <w:left w:val="single" w:color="auto" w:sz="6" w:space="0"/>
              <w:bottom w:val="single" w:color="auto" w:sz="6" w:space="0"/>
              <w:right w:val="single" w:color="auto" w:sz="6" w:space="0"/>
            </w:tcBorders>
            <w:noWrap w:val="0"/>
            <w:vAlign w:val="center"/>
          </w:tcPr>
          <w:p w14:paraId="0BFC31AD">
            <w:pPr>
              <w:pStyle w:val="18"/>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设备运维服务</w:t>
            </w:r>
            <w:r>
              <w:rPr>
                <w:rFonts w:hint="eastAsia" w:ascii="宋体" w:hAnsi="宋体" w:eastAsia="宋体" w:cs="宋体"/>
                <w:color w:val="auto"/>
                <w:spacing w:val="-6"/>
                <w:sz w:val="21"/>
                <w:szCs w:val="21"/>
                <w:highlight w:val="none"/>
                <w:lang w:val="en-US" w:eastAsia="zh-CN"/>
              </w:rPr>
              <w:t>费用</w:t>
            </w:r>
          </w:p>
        </w:tc>
        <w:tc>
          <w:tcPr>
            <w:tcW w:w="3333" w:type="dxa"/>
            <w:tcBorders>
              <w:top w:val="single" w:color="auto" w:sz="6" w:space="0"/>
              <w:left w:val="single" w:color="auto" w:sz="6" w:space="0"/>
              <w:bottom w:val="single" w:color="auto" w:sz="6" w:space="0"/>
              <w:right w:val="single" w:color="auto" w:sz="4" w:space="0"/>
            </w:tcBorders>
            <w:noWrap w:val="0"/>
            <w:vAlign w:val="top"/>
          </w:tcPr>
          <w:p w14:paraId="34734472">
            <w:pPr>
              <w:pStyle w:val="18"/>
              <w:spacing w:after="165" w:afterLines="50"/>
              <w:jc w:val="center"/>
              <w:rPr>
                <w:rFonts w:hint="eastAsia" w:ascii="宋体" w:hAnsi="宋体" w:eastAsia="宋体" w:cs="宋体"/>
                <w:b/>
                <w:color w:val="auto"/>
                <w:sz w:val="21"/>
                <w:szCs w:val="21"/>
                <w:highlight w:val="none"/>
                <w:u w:val="single"/>
              </w:rPr>
            </w:pPr>
          </w:p>
        </w:tc>
        <w:tc>
          <w:tcPr>
            <w:tcW w:w="2159" w:type="dxa"/>
            <w:tcBorders>
              <w:top w:val="single" w:color="auto" w:sz="6" w:space="0"/>
              <w:left w:val="single" w:color="auto" w:sz="4" w:space="0"/>
              <w:bottom w:val="single" w:color="auto" w:sz="6" w:space="0"/>
              <w:right w:val="single" w:color="auto" w:sz="6" w:space="0"/>
            </w:tcBorders>
            <w:noWrap w:val="0"/>
            <w:vAlign w:val="center"/>
          </w:tcPr>
          <w:p w14:paraId="737F7995">
            <w:pPr>
              <w:spacing w:line="360" w:lineRule="auto"/>
              <w:jc w:val="center"/>
              <w:rPr>
                <w:rFonts w:hint="eastAsia" w:ascii="宋体" w:hAnsi="宋体" w:eastAsia="宋体" w:cs="宋体"/>
                <w:color w:val="auto"/>
                <w:szCs w:val="21"/>
                <w:highlight w:val="none"/>
              </w:rPr>
            </w:pPr>
          </w:p>
        </w:tc>
      </w:tr>
      <w:tr w14:paraId="5B55F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trPr>
        <w:tc>
          <w:tcPr>
            <w:tcW w:w="4034" w:type="dxa"/>
            <w:gridSpan w:val="2"/>
            <w:vMerge w:val="restart"/>
            <w:tcBorders>
              <w:top w:val="single" w:color="auto" w:sz="6" w:space="0"/>
              <w:left w:val="single" w:color="auto" w:sz="6" w:space="0"/>
              <w:right w:val="single" w:color="auto" w:sz="6" w:space="0"/>
            </w:tcBorders>
            <w:noWrap w:val="0"/>
            <w:vAlign w:val="center"/>
          </w:tcPr>
          <w:p w14:paraId="65826926">
            <w:pPr>
              <w:spacing w:line="360" w:lineRule="auto"/>
              <w:ind w:firstLine="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投标总报价（元）</w:t>
            </w:r>
          </w:p>
        </w:tc>
        <w:tc>
          <w:tcPr>
            <w:tcW w:w="5492" w:type="dxa"/>
            <w:gridSpan w:val="2"/>
            <w:tcBorders>
              <w:top w:val="single" w:color="auto" w:sz="6" w:space="0"/>
              <w:left w:val="single" w:color="auto" w:sz="6" w:space="0"/>
              <w:bottom w:val="single" w:color="auto" w:sz="6" w:space="0"/>
              <w:right w:val="single" w:color="auto" w:sz="6" w:space="0"/>
            </w:tcBorders>
            <w:noWrap w:val="0"/>
            <w:vAlign w:val="center"/>
          </w:tcPr>
          <w:p w14:paraId="5A79BFB5">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r>
      <w:tr w14:paraId="111A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6" w:hRule="atLeast"/>
        </w:trPr>
        <w:tc>
          <w:tcPr>
            <w:tcW w:w="4034" w:type="dxa"/>
            <w:gridSpan w:val="2"/>
            <w:vMerge w:val="continue"/>
            <w:tcBorders>
              <w:left w:val="single" w:color="auto" w:sz="6" w:space="0"/>
              <w:bottom w:val="single" w:color="auto" w:sz="6" w:space="0"/>
              <w:right w:val="single" w:color="auto" w:sz="6" w:space="0"/>
            </w:tcBorders>
            <w:noWrap w:val="0"/>
            <w:vAlign w:val="center"/>
          </w:tcPr>
          <w:p w14:paraId="2BCCF855">
            <w:pPr>
              <w:spacing w:line="360" w:lineRule="auto"/>
              <w:ind w:firstLine="92"/>
              <w:jc w:val="center"/>
              <w:rPr>
                <w:rFonts w:hint="eastAsia" w:ascii="宋体" w:hAnsi="宋体" w:eastAsia="宋体" w:cs="宋体"/>
                <w:color w:val="auto"/>
                <w:sz w:val="21"/>
                <w:szCs w:val="21"/>
                <w:highlight w:val="none"/>
              </w:rPr>
            </w:pPr>
          </w:p>
        </w:tc>
        <w:tc>
          <w:tcPr>
            <w:tcW w:w="5492" w:type="dxa"/>
            <w:gridSpan w:val="2"/>
            <w:tcBorders>
              <w:top w:val="single" w:color="auto" w:sz="6" w:space="0"/>
              <w:left w:val="single" w:color="auto" w:sz="6" w:space="0"/>
              <w:bottom w:val="single" w:color="auto" w:sz="6" w:space="0"/>
              <w:right w:val="single" w:color="auto" w:sz="6" w:space="0"/>
            </w:tcBorders>
            <w:noWrap w:val="0"/>
            <w:vAlign w:val="center"/>
          </w:tcPr>
          <w:p w14:paraId="62B36108">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p>
        </w:tc>
      </w:tr>
    </w:tbl>
    <w:p w14:paraId="43503701">
      <w:pPr>
        <w:autoSpaceDE w:val="0"/>
        <w:autoSpaceDN w:val="0"/>
        <w:adjustRightInd w:val="0"/>
        <w:ind w:firstLine="632" w:firstLineChars="300"/>
        <w:jc w:val="left"/>
        <w:rPr>
          <w:rFonts w:hint="eastAsia" w:ascii="宋体" w:hAnsi="宋体" w:eastAsia="宋体" w:cs="宋体"/>
          <w:b/>
          <w:color w:val="auto"/>
          <w:kern w:val="0"/>
          <w:szCs w:val="21"/>
          <w:highlight w:val="none"/>
          <w:u w:val="single"/>
        </w:rPr>
      </w:pPr>
    </w:p>
    <w:p w14:paraId="01F67B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21511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总报价”项价格应与“</w:t>
      </w:r>
      <w:r>
        <w:rPr>
          <w:rFonts w:hint="eastAsia" w:ascii="宋体" w:hAnsi="宋体" w:eastAsia="宋体" w:cs="宋体"/>
          <w:color w:val="auto"/>
          <w:szCs w:val="21"/>
          <w:highlight w:val="none"/>
          <w:lang w:val="en-US" w:eastAsia="zh-CN"/>
        </w:rPr>
        <w:t>开标</w:t>
      </w:r>
      <w:r>
        <w:rPr>
          <w:rFonts w:hint="eastAsia" w:ascii="宋体" w:hAnsi="宋体" w:eastAsia="宋体" w:cs="宋体"/>
          <w:color w:val="auto"/>
          <w:szCs w:val="21"/>
          <w:highlight w:val="none"/>
        </w:rPr>
        <w:t>一览表”中</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报价一致。</w:t>
      </w:r>
    </w:p>
    <w:p w14:paraId="783D550B">
      <w:pPr>
        <w:pStyle w:val="18"/>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szCs w:val="21"/>
          <w:highlight w:val="none"/>
          <w:lang w:val="en-US" w:eastAsia="zh-CN"/>
        </w:rPr>
        <w:t>.</w:t>
      </w:r>
      <w:r>
        <w:rPr>
          <w:rFonts w:hint="eastAsia" w:ascii="宋体" w:hAnsi="宋体" w:eastAsia="宋体" w:cs="宋体"/>
          <w:color w:val="auto"/>
          <w:szCs w:val="21"/>
          <w:highlight w:val="none"/>
        </w:rPr>
        <w:t>投标报价包括但不仅限于卫星遥感监测服务费用、生态安全风险监测设备配备费用</w:t>
      </w:r>
      <w:r>
        <w:rPr>
          <w:rFonts w:hint="eastAsia" w:ascii="宋体" w:hAnsi="宋体" w:eastAsia="宋体" w:cs="宋体"/>
          <w:color w:val="auto"/>
          <w:szCs w:val="21"/>
          <w:highlight w:val="none"/>
          <w:lang w:val="en-US" w:eastAsia="zh-CN"/>
        </w:rPr>
        <w:t>、监测预警平台研发费用、设备运维服务费用、</w:t>
      </w:r>
      <w:r>
        <w:rPr>
          <w:rFonts w:hint="eastAsia" w:hAnsi="宋体" w:cs="宋体"/>
          <w:color w:val="auto"/>
          <w:szCs w:val="21"/>
          <w:highlight w:val="none"/>
          <w:lang w:val="en-US" w:eastAsia="zh-CN"/>
        </w:rPr>
        <w:t>无人机保险费用、设备通讯网络费用、</w:t>
      </w:r>
      <w:r>
        <w:rPr>
          <w:rFonts w:hint="eastAsia" w:ascii="宋体" w:hAnsi="宋体" w:eastAsia="宋体" w:cs="宋体"/>
          <w:color w:val="auto"/>
          <w:szCs w:val="21"/>
          <w:highlight w:val="none"/>
          <w:lang w:val="en-US" w:eastAsia="zh-CN"/>
        </w:rPr>
        <w:t>样品检测费、</w:t>
      </w:r>
      <w:r>
        <w:rPr>
          <w:rFonts w:hint="eastAsia" w:ascii="宋体" w:hAnsi="宋体" w:eastAsia="宋体" w:cs="宋体"/>
          <w:color w:val="auto"/>
          <w:szCs w:val="21"/>
          <w:highlight w:val="none"/>
        </w:rPr>
        <w:t>专家技术审查</w:t>
      </w:r>
      <w:r>
        <w:rPr>
          <w:rFonts w:hint="eastAsia" w:ascii="宋体" w:hAnsi="宋体" w:eastAsia="宋体" w:cs="宋体"/>
          <w:color w:val="auto"/>
          <w:szCs w:val="21"/>
          <w:highlight w:val="none"/>
          <w:lang w:val="en-US" w:eastAsia="zh-CN"/>
        </w:rPr>
        <w:t>费用、投标人</w:t>
      </w:r>
      <w:r>
        <w:rPr>
          <w:rFonts w:hint="eastAsia" w:ascii="宋体" w:hAnsi="宋体" w:eastAsia="宋体" w:cs="宋体"/>
          <w:color w:val="auto"/>
          <w:szCs w:val="21"/>
          <w:highlight w:val="none"/>
        </w:rPr>
        <w:t>人员工资、保险、福利，交通费、住宿费、伙食费，市场价格变化的风险费用、利润、税金等的总和，该报价应考虑市场风险、政策性风险、汇率风险等因素，并能保证投标人完成履行合同所需的全部工作。合同一旦签订，此价格在合同实施期间将不作调整。</w:t>
      </w:r>
    </w:p>
    <w:p w14:paraId="187F5643">
      <w:pPr>
        <w:spacing w:line="360" w:lineRule="auto"/>
        <w:rPr>
          <w:rFonts w:hint="eastAsia" w:ascii="宋体" w:hAnsi="宋体" w:eastAsia="宋体" w:cs="宋体"/>
          <w:b/>
          <w:color w:val="auto"/>
          <w:sz w:val="24"/>
          <w:highlight w:val="none"/>
        </w:rPr>
      </w:pPr>
    </w:p>
    <w:p w14:paraId="575FD440">
      <w:pPr>
        <w:spacing w:line="360" w:lineRule="auto"/>
        <w:ind w:firstLine="1859" w:firstLineChars="882"/>
        <w:rPr>
          <w:rFonts w:hint="eastAsia" w:ascii="宋体" w:hAnsi="宋体" w:eastAsia="宋体" w:cs="宋体"/>
          <w:b/>
          <w:color w:val="auto"/>
          <w:sz w:val="21"/>
          <w:szCs w:val="21"/>
          <w:highlight w:val="none"/>
        </w:rPr>
      </w:pPr>
    </w:p>
    <w:p w14:paraId="554FC153">
      <w:pPr>
        <w:rPr>
          <w:rFonts w:hint="eastAsia" w:ascii="宋体" w:hAnsi="宋体" w:eastAsia="宋体" w:cs="宋体"/>
          <w:b/>
          <w:color w:val="auto"/>
          <w:highlight w:val="none"/>
          <w:lang w:val="en-US" w:eastAsia="zh-CN"/>
        </w:rPr>
      </w:pPr>
      <w:bookmarkStart w:id="175" w:name="_Toc6463"/>
      <w:r>
        <w:rPr>
          <w:rFonts w:hint="eastAsia" w:ascii="宋体" w:hAnsi="宋体" w:eastAsia="宋体" w:cs="宋体"/>
          <w:b/>
          <w:color w:val="auto"/>
          <w:highlight w:val="none"/>
          <w:lang w:val="en-US" w:eastAsia="zh-CN"/>
        </w:rPr>
        <w:br w:type="page"/>
      </w:r>
    </w:p>
    <w:p w14:paraId="3486B484">
      <w:pPr>
        <w:pStyle w:val="3"/>
        <w:numPr>
          <w:ilvl w:val="0"/>
          <w:numId w:val="0"/>
        </w:numPr>
        <w:ind w:leftChars="200"/>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7、投标分项报价表</w:t>
      </w:r>
      <w:bookmarkEnd w:id="175"/>
    </w:p>
    <w:p w14:paraId="264A7850">
      <w:pPr>
        <w:numPr>
          <w:ilvl w:val="0"/>
          <w:numId w:val="0"/>
        </w:numPr>
        <w:ind w:leftChars="200"/>
        <w:jc w:val="center"/>
        <w:rPr>
          <w:rFonts w:hint="eastAsia" w:ascii="宋体" w:hAnsi="宋体" w:eastAsia="宋体" w:cs="宋体"/>
          <w:color w:val="auto"/>
          <w:sz w:val="24"/>
          <w:szCs w:val="24"/>
          <w:highlight w:val="none"/>
          <w:lang w:val="en-US" w:eastAsia="zh-CN"/>
        </w:rPr>
      </w:pPr>
    </w:p>
    <w:p w14:paraId="6E0E6F72">
      <w:pPr>
        <w:pStyle w:val="18"/>
        <w:spacing w:after="165" w:afterLines="50"/>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p>
    <w:tbl>
      <w:tblPr>
        <w:tblStyle w:val="26"/>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8"/>
        <w:gridCol w:w="1786"/>
        <w:gridCol w:w="946"/>
        <w:gridCol w:w="946"/>
        <w:gridCol w:w="1307"/>
        <w:gridCol w:w="942"/>
        <w:gridCol w:w="516"/>
        <w:gridCol w:w="1043"/>
        <w:gridCol w:w="1701"/>
        <w:gridCol w:w="528"/>
      </w:tblGrid>
      <w:tr w14:paraId="7832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2" w:hRule="atLeast"/>
        </w:trPr>
        <w:tc>
          <w:tcPr>
            <w:tcW w:w="298" w:type="dxa"/>
            <w:noWrap w:val="0"/>
            <w:vAlign w:val="center"/>
          </w:tcPr>
          <w:p w14:paraId="4A5F1247">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86" w:type="dxa"/>
            <w:noWrap w:val="0"/>
            <w:vAlign w:val="center"/>
          </w:tcPr>
          <w:p w14:paraId="1C99AAA5">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946" w:type="dxa"/>
            <w:noWrap w:val="0"/>
            <w:vAlign w:val="center"/>
          </w:tcPr>
          <w:p w14:paraId="6A852186">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制造商名称、国别</w:t>
            </w:r>
          </w:p>
        </w:tc>
        <w:tc>
          <w:tcPr>
            <w:tcW w:w="946" w:type="dxa"/>
            <w:noWrap w:val="0"/>
            <w:vAlign w:val="center"/>
          </w:tcPr>
          <w:p w14:paraId="47D4B23D">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品牌型号和规格</w:t>
            </w:r>
          </w:p>
        </w:tc>
        <w:tc>
          <w:tcPr>
            <w:tcW w:w="1307" w:type="dxa"/>
            <w:noWrap w:val="0"/>
            <w:vAlign w:val="center"/>
          </w:tcPr>
          <w:p w14:paraId="14DBA08E">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是否小型或微型企业、残疾人福利性单位或监狱企业</w:t>
            </w:r>
          </w:p>
        </w:tc>
        <w:tc>
          <w:tcPr>
            <w:tcW w:w="942" w:type="dxa"/>
            <w:noWrap w:val="0"/>
            <w:vAlign w:val="center"/>
          </w:tcPr>
          <w:p w14:paraId="50DB28C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516" w:type="dxa"/>
            <w:noWrap w:val="0"/>
            <w:vAlign w:val="center"/>
          </w:tcPr>
          <w:p w14:paraId="7940E1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w:t>
            </w:r>
          </w:p>
        </w:tc>
        <w:tc>
          <w:tcPr>
            <w:tcW w:w="1043" w:type="dxa"/>
            <w:noWrap w:val="0"/>
            <w:vAlign w:val="center"/>
          </w:tcPr>
          <w:p w14:paraId="7D0EC123">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单价（元）（2）</w:t>
            </w:r>
          </w:p>
        </w:tc>
        <w:tc>
          <w:tcPr>
            <w:tcW w:w="1701" w:type="dxa"/>
            <w:noWrap w:val="0"/>
            <w:vAlign w:val="center"/>
          </w:tcPr>
          <w:p w14:paraId="4190F777">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p w14:paraId="290C2EEC">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528" w:type="dxa"/>
            <w:noWrap w:val="0"/>
            <w:vAlign w:val="center"/>
          </w:tcPr>
          <w:p w14:paraId="72A0484F">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5CE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437B3E13">
            <w:pPr>
              <w:widowControl/>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一、遥感监测服务</w:t>
            </w:r>
            <w:r>
              <w:rPr>
                <w:rFonts w:hint="eastAsia" w:ascii="宋体" w:hAnsi="宋体" w:cs="宋体"/>
                <w:color w:val="auto"/>
                <w:sz w:val="21"/>
                <w:szCs w:val="21"/>
                <w:highlight w:val="none"/>
                <w:lang w:val="en-US" w:eastAsia="zh-CN"/>
              </w:rPr>
              <w:t>（合同履行期内</w:t>
            </w:r>
            <w:r>
              <w:rPr>
                <w:rFonts w:hint="eastAsia" w:ascii="宋体" w:hAnsi="宋体" w:cs="宋体"/>
                <w:color w:val="auto"/>
                <w:sz w:val="21"/>
                <w:szCs w:val="21"/>
                <w:highlight w:val="none"/>
                <w:lang w:val="en-US" w:eastAsia="zh-CN"/>
              </w:rPr>
              <w:t>连续开展三年，每年开展1次，按要求提交成果资料</w:t>
            </w:r>
            <w:r>
              <w:rPr>
                <w:rFonts w:hint="eastAsia" w:ascii="宋体" w:hAnsi="宋体" w:cs="宋体"/>
                <w:color w:val="auto"/>
                <w:sz w:val="21"/>
                <w:szCs w:val="21"/>
                <w:highlight w:val="none"/>
                <w:lang w:val="en-US" w:eastAsia="zh-CN"/>
              </w:rPr>
              <w:t>）</w:t>
            </w:r>
          </w:p>
        </w:tc>
      </w:tr>
      <w:tr w14:paraId="0E4C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AF9EF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69544AE5">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生态格局变化监测</w:t>
            </w:r>
          </w:p>
        </w:tc>
        <w:tc>
          <w:tcPr>
            <w:tcW w:w="946" w:type="dxa"/>
            <w:noWrap w:val="0"/>
            <w:vAlign w:val="center"/>
          </w:tcPr>
          <w:p w14:paraId="36DA2365">
            <w:pPr>
              <w:widowControl/>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0E35E46E">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441973A1">
            <w:pPr>
              <w:widowControl/>
              <w:rPr>
                <w:rFonts w:hint="eastAsia" w:ascii="宋体" w:hAnsi="宋体" w:eastAsia="宋体" w:cs="宋体"/>
                <w:color w:val="auto"/>
                <w:sz w:val="18"/>
                <w:szCs w:val="18"/>
                <w:highlight w:val="none"/>
              </w:rPr>
            </w:pPr>
          </w:p>
        </w:tc>
        <w:tc>
          <w:tcPr>
            <w:tcW w:w="942" w:type="dxa"/>
            <w:noWrap w:val="0"/>
            <w:vAlign w:val="center"/>
          </w:tcPr>
          <w:p w14:paraId="7EF341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3C1D82D4">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477CBFAA">
            <w:pPr>
              <w:widowControl/>
              <w:rPr>
                <w:rFonts w:hint="eastAsia" w:ascii="宋体" w:hAnsi="宋体" w:eastAsia="宋体" w:cs="宋体"/>
                <w:color w:val="auto"/>
                <w:sz w:val="18"/>
                <w:szCs w:val="18"/>
                <w:highlight w:val="none"/>
              </w:rPr>
            </w:pPr>
          </w:p>
        </w:tc>
        <w:tc>
          <w:tcPr>
            <w:tcW w:w="1701" w:type="dxa"/>
            <w:noWrap w:val="0"/>
            <w:vAlign w:val="top"/>
          </w:tcPr>
          <w:p w14:paraId="0120F38F">
            <w:pPr>
              <w:widowControl/>
              <w:rPr>
                <w:rFonts w:hint="eastAsia" w:ascii="宋体" w:hAnsi="宋体" w:eastAsia="宋体" w:cs="宋体"/>
                <w:color w:val="auto"/>
                <w:sz w:val="18"/>
                <w:szCs w:val="18"/>
                <w:highlight w:val="none"/>
              </w:rPr>
            </w:pPr>
          </w:p>
        </w:tc>
        <w:tc>
          <w:tcPr>
            <w:tcW w:w="528" w:type="dxa"/>
            <w:noWrap w:val="0"/>
            <w:vAlign w:val="top"/>
          </w:tcPr>
          <w:p w14:paraId="7CADC3D0">
            <w:pPr>
              <w:widowControl/>
              <w:rPr>
                <w:rFonts w:hint="eastAsia" w:ascii="宋体" w:hAnsi="宋体" w:eastAsia="宋体" w:cs="宋体"/>
                <w:color w:val="auto"/>
                <w:sz w:val="18"/>
                <w:szCs w:val="18"/>
                <w:highlight w:val="none"/>
              </w:rPr>
            </w:pPr>
          </w:p>
        </w:tc>
      </w:tr>
      <w:tr w14:paraId="1296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298" w:type="dxa"/>
            <w:noWrap w:val="0"/>
            <w:vAlign w:val="center"/>
          </w:tcPr>
          <w:p w14:paraId="326E5E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noWrap w:val="0"/>
            <w:vAlign w:val="center"/>
          </w:tcPr>
          <w:p w14:paraId="39B0369B">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生态质量监测</w:t>
            </w:r>
          </w:p>
        </w:tc>
        <w:tc>
          <w:tcPr>
            <w:tcW w:w="946" w:type="dxa"/>
            <w:noWrap w:val="0"/>
            <w:vAlign w:val="center"/>
          </w:tcPr>
          <w:p w14:paraId="6AD12AE3">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4C103B7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27FE3C55">
            <w:pPr>
              <w:widowControl/>
              <w:rPr>
                <w:rFonts w:hint="eastAsia" w:ascii="宋体" w:hAnsi="宋体" w:eastAsia="宋体" w:cs="宋体"/>
                <w:color w:val="auto"/>
                <w:sz w:val="18"/>
                <w:szCs w:val="18"/>
                <w:highlight w:val="none"/>
              </w:rPr>
            </w:pPr>
          </w:p>
        </w:tc>
        <w:tc>
          <w:tcPr>
            <w:tcW w:w="942" w:type="dxa"/>
            <w:noWrap w:val="0"/>
            <w:vAlign w:val="center"/>
          </w:tcPr>
          <w:p w14:paraId="07F2F7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34C26443">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543BE8DD">
            <w:pPr>
              <w:widowControl/>
              <w:rPr>
                <w:rFonts w:hint="eastAsia" w:ascii="宋体" w:hAnsi="宋体" w:eastAsia="宋体" w:cs="宋体"/>
                <w:color w:val="auto"/>
                <w:sz w:val="18"/>
                <w:szCs w:val="18"/>
                <w:highlight w:val="none"/>
              </w:rPr>
            </w:pPr>
          </w:p>
        </w:tc>
        <w:tc>
          <w:tcPr>
            <w:tcW w:w="1701" w:type="dxa"/>
            <w:noWrap w:val="0"/>
            <w:vAlign w:val="top"/>
          </w:tcPr>
          <w:p w14:paraId="764A7CDD">
            <w:pPr>
              <w:widowControl/>
              <w:rPr>
                <w:rFonts w:hint="eastAsia" w:ascii="宋体" w:hAnsi="宋体" w:eastAsia="宋体" w:cs="宋体"/>
                <w:color w:val="auto"/>
                <w:sz w:val="18"/>
                <w:szCs w:val="18"/>
                <w:highlight w:val="none"/>
              </w:rPr>
            </w:pPr>
          </w:p>
        </w:tc>
        <w:tc>
          <w:tcPr>
            <w:tcW w:w="528" w:type="dxa"/>
            <w:noWrap w:val="0"/>
            <w:vAlign w:val="top"/>
          </w:tcPr>
          <w:p w14:paraId="67417689">
            <w:pPr>
              <w:widowControl/>
              <w:rPr>
                <w:rFonts w:hint="eastAsia" w:ascii="宋体" w:hAnsi="宋体" w:eastAsia="宋体" w:cs="宋体"/>
                <w:color w:val="auto"/>
                <w:sz w:val="18"/>
                <w:szCs w:val="18"/>
                <w:highlight w:val="none"/>
              </w:rPr>
            </w:pPr>
          </w:p>
        </w:tc>
      </w:tr>
      <w:tr w14:paraId="4E04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FF2FE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noWrap w:val="0"/>
            <w:vAlign w:val="center"/>
          </w:tcPr>
          <w:p w14:paraId="4BA2FE22">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生态系统服务功能监测</w:t>
            </w:r>
          </w:p>
        </w:tc>
        <w:tc>
          <w:tcPr>
            <w:tcW w:w="946" w:type="dxa"/>
            <w:noWrap w:val="0"/>
            <w:vAlign w:val="center"/>
          </w:tcPr>
          <w:p w14:paraId="0D9BF37A">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2BC4D42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42B0F34B">
            <w:pPr>
              <w:widowControl/>
              <w:rPr>
                <w:rFonts w:hint="eastAsia" w:ascii="宋体" w:hAnsi="宋体" w:eastAsia="宋体" w:cs="宋体"/>
                <w:color w:val="auto"/>
                <w:sz w:val="18"/>
                <w:szCs w:val="18"/>
                <w:highlight w:val="none"/>
              </w:rPr>
            </w:pPr>
          </w:p>
        </w:tc>
        <w:tc>
          <w:tcPr>
            <w:tcW w:w="942" w:type="dxa"/>
            <w:noWrap w:val="0"/>
            <w:vAlign w:val="center"/>
          </w:tcPr>
          <w:p w14:paraId="21F791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64EDD3FF">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4A3D873F">
            <w:pPr>
              <w:widowControl/>
              <w:rPr>
                <w:rFonts w:hint="eastAsia" w:ascii="宋体" w:hAnsi="宋体" w:eastAsia="宋体" w:cs="宋体"/>
                <w:color w:val="auto"/>
                <w:sz w:val="18"/>
                <w:szCs w:val="18"/>
                <w:highlight w:val="none"/>
              </w:rPr>
            </w:pPr>
          </w:p>
        </w:tc>
        <w:tc>
          <w:tcPr>
            <w:tcW w:w="1701" w:type="dxa"/>
            <w:noWrap w:val="0"/>
            <w:vAlign w:val="top"/>
          </w:tcPr>
          <w:p w14:paraId="5D82826A">
            <w:pPr>
              <w:widowControl/>
              <w:rPr>
                <w:rFonts w:hint="eastAsia" w:ascii="宋体" w:hAnsi="宋体" w:eastAsia="宋体" w:cs="宋体"/>
                <w:color w:val="auto"/>
                <w:sz w:val="18"/>
                <w:szCs w:val="18"/>
                <w:highlight w:val="none"/>
              </w:rPr>
            </w:pPr>
          </w:p>
        </w:tc>
        <w:tc>
          <w:tcPr>
            <w:tcW w:w="528" w:type="dxa"/>
            <w:noWrap w:val="0"/>
            <w:vAlign w:val="top"/>
          </w:tcPr>
          <w:p w14:paraId="43178748">
            <w:pPr>
              <w:widowControl/>
              <w:rPr>
                <w:rFonts w:hint="eastAsia" w:ascii="宋体" w:hAnsi="宋体" w:eastAsia="宋体" w:cs="宋体"/>
                <w:color w:val="auto"/>
                <w:sz w:val="18"/>
                <w:szCs w:val="18"/>
                <w:highlight w:val="none"/>
              </w:rPr>
            </w:pPr>
          </w:p>
        </w:tc>
      </w:tr>
      <w:tr w14:paraId="0F96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1C32C4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noWrap w:val="0"/>
            <w:vAlign w:val="center"/>
          </w:tcPr>
          <w:p w14:paraId="1F15B65A">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人为干扰活动监测</w:t>
            </w:r>
          </w:p>
        </w:tc>
        <w:tc>
          <w:tcPr>
            <w:tcW w:w="946" w:type="dxa"/>
            <w:noWrap w:val="0"/>
            <w:vAlign w:val="center"/>
          </w:tcPr>
          <w:p w14:paraId="2855F8A5">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2D6AB0A1">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63875E80">
            <w:pPr>
              <w:widowControl/>
              <w:rPr>
                <w:rFonts w:hint="eastAsia" w:ascii="宋体" w:hAnsi="宋体" w:eastAsia="宋体" w:cs="宋体"/>
                <w:color w:val="auto"/>
                <w:sz w:val="18"/>
                <w:szCs w:val="18"/>
                <w:highlight w:val="none"/>
              </w:rPr>
            </w:pPr>
          </w:p>
        </w:tc>
        <w:tc>
          <w:tcPr>
            <w:tcW w:w="942" w:type="dxa"/>
            <w:noWrap w:val="0"/>
            <w:vAlign w:val="center"/>
          </w:tcPr>
          <w:p w14:paraId="4BC9CB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3D92526E">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10436134">
            <w:pPr>
              <w:widowControl/>
              <w:rPr>
                <w:rFonts w:hint="eastAsia" w:ascii="宋体" w:hAnsi="宋体" w:eastAsia="宋体" w:cs="宋体"/>
                <w:color w:val="auto"/>
                <w:sz w:val="18"/>
                <w:szCs w:val="18"/>
                <w:highlight w:val="none"/>
              </w:rPr>
            </w:pPr>
          </w:p>
        </w:tc>
        <w:tc>
          <w:tcPr>
            <w:tcW w:w="1701" w:type="dxa"/>
            <w:noWrap w:val="0"/>
            <w:vAlign w:val="top"/>
          </w:tcPr>
          <w:p w14:paraId="1FA8082A">
            <w:pPr>
              <w:widowControl/>
              <w:rPr>
                <w:rFonts w:hint="eastAsia" w:ascii="宋体" w:hAnsi="宋体" w:eastAsia="宋体" w:cs="宋体"/>
                <w:color w:val="auto"/>
                <w:sz w:val="18"/>
                <w:szCs w:val="18"/>
                <w:highlight w:val="none"/>
              </w:rPr>
            </w:pPr>
          </w:p>
        </w:tc>
        <w:tc>
          <w:tcPr>
            <w:tcW w:w="528" w:type="dxa"/>
            <w:noWrap w:val="0"/>
            <w:vAlign w:val="top"/>
          </w:tcPr>
          <w:p w14:paraId="3368BEA1">
            <w:pPr>
              <w:widowControl/>
              <w:rPr>
                <w:rFonts w:hint="eastAsia" w:ascii="宋体" w:hAnsi="宋体" w:eastAsia="宋体" w:cs="宋体"/>
                <w:color w:val="auto"/>
                <w:sz w:val="18"/>
                <w:szCs w:val="18"/>
                <w:highlight w:val="none"/>
              </w:rPr>
            </w:pPr>
          </w:p>
        </w:tc>
      </w:tr>
      <w:tr w14:paraId="59E4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5287B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noWrap w:val="0"/>
            <w:vAlign w:val="center"/>
          </w:tcPr>
          <w:p w14:paraId="6D3B15D0">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自然生态问题监测</w:t>
            </w:r>
          </w:p>
        </w:tc>
        <w:tc>
          <w:tcPr>
            <w:tcW w:w="946" w:type="dxa"/>
            <w:noWrap w:val="0"/>
            <w:vAlign w:val="center"/>
          </w:tcPr>
          <w:p w14:paraId="03BDB95C">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54E85F37">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center"/>
          </w:tcPr>
          <w:p w14:paraId="4725F417">
            <w:pPr>
              <w:widowControl/>
              <w:rPr>
                <w:rFonts w:hint="eastAsia" w:ascii="宋体" w:hAnsi="宋体" w:eastAsia="宋体" w:cs="宋体"/>
                <w:color w:val="auto"/>
                <w:sz w:val="18"/>
                <w:szCs w:val="18"/>
                <w:highlight w:val="none"/>
              </w:rPr>
            </w:pPr>
          </w:p>
        </w:tc>
        <w:tc>
          <w:tcPr>
            <w:tcW w:w="942" w:type="dxa"/>
            <w:noWrap w:val="0"/>
            <w:vAlign w:val="center"/>
          </w:tcPr>
          <w:p w14:paraId="2894D1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516" w:type="dxa"/>
            <w:noWrap w:val="0"/>
            <w:vAlign w:val="center"/>
          </w:tcPr>
          <w:p w14:paraId="705B5D4F">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043" w:type="dxa"/>
            <w:noWrap w:val="0"/>
            <w:vAlign w:val="top"/>
          </w:tcPr>
          <w:p w14:paraId="0820234E">
            <w:pPr>
              <w:widowControl/>
              <w:rPr>
                <w:rFonts w:hint="eastAsia" w:ascii="宋体" w:hAnsi="宋体" w:eastAsia="宋体" w:cs="宋体"/>
                <w:color w:val="auto"/>
                <w:sz w:val="18"/>
                <w:szCs w:val="18"/>
                <w:highlight w:val="none"/>
              </w:rPr>
            </w:pPr>
          </w:p>
        </w:tc>
        <w:tc>
          <w:tcPr>
            <w:tcW w:w="1701" w:type="dxa"/>
            <w:noWrap w:val="0"/>
            <w:vAlign w:val="top"/>
          </w:tcPr>
          <w:p w14:paraId="7CB46B75">
            <w:pPr>
              <w:widowControl/>
              <w:rPr>
                <w:rFonts w:hint="eastAsia" w:ascii="宋体" w:hAnsi="宋体" w:eastAsia="宋体" w:cs="宋体"/>
                <w:color w:val="auto"/>
                <w:sz w:val="18"/>
                <w:szCs w:val="18"/>
                <w:highlight w:val="none"/>
              </w:rPr>
            </w:pPr>
          </w:p>
        </w:tc>
        <w:tc>
          <w:tcPr>
            <w:tcW w:w="528" w:type="dxa"/>
            <w:noWrap w:val="0"/>
            <w:vAlign w:val="top"/>
          </w:tcPr>
          <w:p w14:paraId="4A5D00AE">
            <w:pPr>
              <w:widowControl/>
              <w:rPr>
                <w:rFonts w:hint="eastAsia" w:ascii="宋体" w:hAnsi="宋体" w:eastAsia="宋体" w:cs="宋体"/>
                <w:color w:val="auto"/>
                <w:sz w:val="18"/>
                <w:szCs w:val="18"/>
                <w:highlight w:val="none"/>
              </w:rPr>
            </w:pPr>
          </w:p>
        </w:tc>
      </w:tr>
      <w:tr w14:paraId="384B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7784" w:type="dxa"/>
            <w:gridSpan w:val="8"/>
            <w:noWrap w:val="0"/>
            <w:vAlign w:val="center"/>
          </w:tcPr>
          <w:p w14:paraId="43D07205">
            <w:pPr>
              <w:widowControl/>
              <w:jc w:val="center"/>
              <w:rPr>
                <w:rFonts w:hint="default" w:ascii="宋体" w:hAnsi="宋体" w:eastAsia="宋体" w:cs="宋体"/>
                <w:color w:val="auto"/>
                <w:sz w:val="18"/>
                <w:szCs w:val="18"/>
                <w:highlight w:val="none"/>
                <w:lang w:val="en-US"/>
              </w:rPr>
            </w:pPr>
            <w:r>
              <w:rPr>
                <w:rFonts w:hint="eastAsia" w:ascii="宋体" w:hAnsi="宋体" w:eastAsia="宋体" w:cs="宋体"/>
                <w:color w:val="auto"/>
                <w:sz w:val="21"/>
                <w:szCs w:val="21"/>
                <w:highlight w:val="none"/>
              </w:rPr>
              <w:t>遥感监测服务</w:t>
            </w:r>
            <w:r>
              <w:rPr>
                <w:rFonts w:hint="eastAsia" w:ascii="宋体" w:hAnsi="宋体" w:eastAsia="宋体" w:cs="宋体"/>
                <w:color w:val="auto"/>
                <w:sz w:val="21"/>
                <w:szCs w:val="21"/>
                <w:highlight w:val="none"/>
                <w:lang w:val="en-US" w:eastAsia="zh-CN"/>
              </w:rPr>
              <w:t>费用</w:t>
            </w:r>
            <w:r>
              <w:rPr>
                <w:rFonts w:hint="eastAsia" w:ascii="宋体" w:hAnsi="宋体" w:cs="宋体"/>
                <w:color w:val="auto"/>
                <w:sz w:val="21"/>
                <w:szCs w:val="21"/>
                <w:highlight w:val="none"/>
                <w:lang w:val="en-US" w:eastAsia="zh-CN"/>
              </w:rPr>
              <w:t>合计</w:t>
            </w:r>
            <w:r>
              <w:rPr>
                <w:rFonts w:hint="eastAsia" w:ascii="宋体" w:hAnsi="宋体" w:eastAsia="宋体" w:cs="宋体"/>
                <w:color w:val="auto"/>
                <w:kern w:val="2"/>
                <w:sz w:val="21"/>
                <w:szCs w:val="21"/>
                <w:highlight w:val="none"/>
                <w:lang w:val="en-US" w:eastAsia="zh-CN" w:bidi="ar-SA"/>
              </w:rPr>
              <w:t>（元）</w:t>
            </w:r>
          </w:p>
        </w:tc>
        <w:tc>
          <w:tcPr>
            <w:tcW w:w="1701" w:type="dxa"/>
            <w:noWrap w:val="0"/>
            <w:vAlign w:val="top"/>
          </w:tcPr>
          <w:p w14:paraId="0F8162FA">
            <w:pPr>
              <w:widowControl/>
              <w:rPr>
                <w:rFonts w:hint="eastAsia" w:ascii="宋体" w:hAnsi="宋体" w:eastAsia="宋体" w:cs="宋体"/>
                <w:color w:val="auto"/>
                <w:sz w:val="18"/>
                <w:szCs w:val="18"/>
                <w:highlight w:val="none"/>
              </w:rPr>
            </w:pPr>
          </w:p>
        </w:tc>
        <w:tc>
          <w:tcPr>
            <w:tcW w:w="528" w:type="dxa"/>
            <w:noWrap w:val="0"/>
            <w:vAlign w:val="top"/>
          </w:tcPr>
          <w:p w14:paraId="27548E19">
            <w:pPr>
              <w:widowControl/>
              <w:rPr>
                <w:rFonts w:hint="eastAsia" w:ascii="宋体" w:hAnsi="宋体" w:eastAsia="宋体" w:cs="宋体"/>
                <w:color w:val="auto"/>
                <w:sz w:val="18"/>
                <w:szCs w:val="18"/>
                <w:highlight w:val="none"/>
              </w:rPr>
            </w:pPr>
          </w:p>
        </w:tc>
      </w:tr>
      <w:tr w14:paraId="76B0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559304FE">
            <w:pPr>
              <w:widowControl/>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二、生态安全风险监测设备配备</w:t>
            </w:r>
          </w:p>
        </w:tc>
      </w:tr>
      <w:tr w14:paraId="14E8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0086D9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559AD6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无人值守无人机场及配套多旋翼无人机</w:t>
            </w:r>
          </w:p>
        </w:tc>
        <w:tc>
          <w:tcPr>
            <w:tcW w:w="946" w:type="dxa"/>
            <w:noWrap w:val="0"/>
            <w:vAlign w:val="top"/>
          </w:tcPr>
          <w:p w14:paraId="2FC31BFF">
            <w:pPr>
              <w:widowControl/>
              <w:rPr>
                <w:rFonts w:hint="eastAsia" w:ascii="宋体" w:hAnsi="宋体" w:eastAsia="宋体" w:cs="宋体"/>
                <w:color w:val="auto"/>
                <w:sz w:val="18"/>
                <w:szCs w:val="18"/>
                <w:highlight w:val="none"/>
              </w:rPr>
            </w:pPr>
          </w:p>
        </w:tc>
        <w:tc>
          <w:tcPr>
            <w:tcW w:w="946" w:type="dxa"/>
            <w:noWrap w:val="0"/>
            <w:vAlign w:val="top"/>
          </w:tcPr>
          <w:p w14:paraId="4BD711CB">
            <w:pPr>
              <w:widowControl/>
              <w:rPr>
                <w:rFonts w:hint="eastAsia" w:ascii="宋体" w:hAnsi="宋体" w:eastAsia="宋体" w:cs="宋体"/>
                <w:color w:val="auto"/>
                <w:sz w:val="18"/>
                <w:szCs w:val="18"/>
                <w:highlight w:val="none"/>
              </w:rPr>
            </w:pPr>
          </w:p>
        </w:tc>
        <w:tc>
          <w:tcPr>
            <w:tcW w:w="1307" w:type="dxa"/>
            <w:noWrap w:val="0"/>
            <w:vAlign w:val="top"/>
          </w:tcPr>
          <w:p w14:paraId="0C7322C8">
            <w:pPr>
              <w:widowControl/>
              <w:rPr>
                <w:rFonts w:hint="eastAsia" w:ascii="宋体" w:hAnsi="宋体" w:eastAsia="宋体" w:cs="宋体"/>
                <w:color w:val="auto"/>
                <w:sz w:val="18"/>
                <w:szCs w:val="18"/>
                <w:highlight w:val="none"/>
              </w:rPr>
            </w:pPr>
          </w:p>
        </w:tc>
        <w:tc>
          <w:tcPr>
            <w:tcW w:w="942" w:type="dxa"/>
            <w:noWrap w:val="0"/>
            <w:vAlign w:val="center"/>
          </w:tcPr>
          <w:p w14:paraId="030A7F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68F736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1043" w:type="dxa"/>
            <w:noWrap w:val="0"/>
            <w:vAlign w:val="top"/>
          </w:tcPr>
          <w:p w14:paraId="0881BECD">
            <w:pPr>
              <w:widowControl/>
              <w:rPr>
                <w:rFonts w:hint="eastAsia" w:ascii="宋体" w:hAnsi="宋体" w:eastAsia="宋体" w:cs="宋体"/>
                <w:color w:val="auto"/>
                <w:sz w:val="18"/>
                <w:szCs w:val="18"/>
                <w:highlight w:val="none"/>
              </w:rPr>
            </w:pPr>
          </w:p>
        </w:tc>
        <w:tc>
          <w:tcPr>
            <w:tcW w:w="1701" w:type="dxa"/>
            <w:noWrap w:val="0"/>
            <w:vAlign w:val="top"/>
          </w:tcPr>
          <w:p w14:paraId="46C5FA78">
            <w:pPr>
              <w:widowControl/>
              <w:rPr>
                <w:rFonts w:hint="eastAsia" w:ascii="宋体" w:hAnsi="宋体" w:eastAsia="宋体" w:cs="宋体"/>
                <w:color w:val="auto"/>
                <w:sz w:val="18"/>
                <w:szCs w:val="18"/>
                <w:highlight w:val="none"/>
              </w:rPr>
            </w:pPr>
          </w:p>
        </w:tc>
        <w:tc>
          <w:tcPr>
            <w:tcW w:w="528" w:type="dxa"/>
            <w:noWrap w:val="0"/>
            <w:vAlign w:val="top"/>
          </w:tcPr>
          <w:p w14:paraId="77F54D7A">
            <w:pPr>
              <w:widowControl/>
              <w:rPr>
                <w:rFonts w:hint="eastAsia" w:ascii="宋体" w:hAnsi="宋体" w:eastAsia="宋体" w:cs="宋体"/>
                <w:color w:val="auto"/>
                <w:sz w:val="18"/>
                <w:szCs w:val="18"/>
                <w:highlight w:val="none"/>
              </w:rPr>
            </w:pPr>
          </w:p>
        </w:tc>
      </w:tr>
      <w:tr w14:paraId="6817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69D9F2E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1786" w:type="dxa"/>
            <w:noWrap w:val="0"/>
            <w:vAlign w:val="center"/>
          </w:tcPr>
          <w:p w14:paraId="6F3571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红外相机</w:t>
            </w:r>
          </w:p>
        </w:tc>
        <w:tc>
          <w:tcPr>
            <w:tcW w:w="946" w:type="dxa"/>
            <w:noWrap w:val="0"/>
            <w:vAlign w:val="top"/>
          </w:tcPr>
          <w:p w14:paraId="4450C7CA">
            <w:pPr>
              <w:widowControl/>
              <w:rPr>
                <w:rFonts w:hint="eastAsia" w:ascii="宋体" w:hAnsi="宋体" w:eastAsia="宋体" w:cs="宋体"/>
                <w:color w:val="auto"/>
                <w:sz w:val="18"/>
                <w:szCs w:val="18"/>
                <w:highlight w:val="none"/>
              </w:rPr>
            </w:pPr>
          </w:p>
        </w:tc>
        <w:tc>
          <w:tcPr>
            <w:tcW w:w="946" w:type="dxa"/>
            <w:noWrap w:val="0"/>
            <w:vAlign w:val="top"/>
          </w:tcPr>
          <w:p w14:paraId="7F3A6A42">
            <w:pPr>
              <w:widowControl/>
              <w:rPr>
                <w:rFonts w:hint="eastAsia" w:ascii="宋体" w:hAnsi="宋体" w:eastAsia="宋体" w:cs="宋体"/>
                <w:color w:val="auto"/>
                <w:sz w:val="18"/>
                <w:szCs w:val="18"/>
                <w:highlight w:val="none"/>
              </w:rPr>
            </w:pPr>
          </w:p>
        </w:tc>
        <w:tc>
          <w:tcPr>
            <w:tcW w:w="1307" w:type="dxa"/>
            <w:noWrap w:val="0"/>
            <w:vAlign w:val="top"/>
          </w:tcPr>
          <w:p w14:paraId="5D2BB3B9">
            <w:pPr>
              <w:widowControl/>
              <w:rPr>
                <w:rFonts w:hint="eastAsia" w:ascii="宋体" w:hAnsi="宋体" w:eastAsia="宋体" w:cs="宋体"/>
                <w:color w:val="auto"/>
                <w:sz w:val="18"/>
                <w:szCs w:val="18"/>
                <w:highlight w:val="none"/>
              </w:rPr>
            </w:pPr>
          </w:p>
        </w:tc>
        <w:tc>
          <w:tcPr>
            <w:tcW w:w="942" w:type="dxa"/>
            <w:noWrap w:val="0"/>
            <w:vAlign w:val="center"/>
          </w:tcPr>
          <w:p w14:paraId="489D3C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16" w:type="dxa"/>
            <w:noWrap w:val="0"/>
            <w:vAlign w:val="center"/>
          </w:tcPr>
          <w:p w14:paraId="2958F6E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043" w:type="dxa"/>
            <w:noWrap w:val="0"/>
            <w:vAlign w:val="top"/>
          </w:tcPr>
          <w:p w14:paraId="187A9762">
            <w:pPr>
              <w:widowControl/>
              <w:rPr>
                <w:rFonts w:hint="eastAsia" w:ascii="宋体" w:hAnsi="宋体" w:eastAsia="宋体" w:cs="宋体"/>
                <w:color w:val="auto"/>
                <w:sz w:val="18"/>
                <w:szCs w:val="18"/>
                <w:highlight w:val="none"/>
              </w:rPr>
            </w:pPr>
          </w:p>
        </w:tc>
        <w:tc>
          <w:tcPr>
            <w:tcW w:w="1701" w:type="dxa"/>
            <w:noWrap w:val="0"/>
            <w:vAlign w:val="top"/>
          </w:tcPr>
          <w:p w14:paraId="508DA62E">
            <w:pPr>
              <w:widowControl/>
              <w:rPr>
                <w:rFonts w:hint="eastAsia" w:ascii="宋体" w:hAnsi="宋体" w:eastAsia="宋体" w:cs="宋体"/>
                <w:color w:val="auto"/>
                <w:sz w:val="18"/>
                <w:szCs w:val="18"/>
                <w:highlight w:val="none"/>
              </w:rPr>
            </w:pPr>
          </w:p>
        </w:tc>
        <w:tc>
          <w:tcPr>
            <w:tcW w:w="528" w:type="dxa"/>
            <w:noWrap w:val="0"/>
            <w:vAlign w:val="top"/>
          </w:tcPr>
          <w:p w14:paraId="02368FAC">
            <w:pPr>
              <w:widowControl/>
              <w:rPr>
                <w:rFonts w:hint="eastAsia" w:ascii="宋体" w:hAnsi="宋体" w:eastAsia="宋体" w:cs="宋体"/>
                <w:color w:val="auto"/>
                <w:sz w:val="18"/>
                <w:szCs w:val="18"/>
                <w:highlight w:val="none"/>
              </w:rPr>
            </w:pPr>
          </w:p>
        </w:tc>
      </w:tr>
      <w:tr w14:paraId="14D2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F95BE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1786" w:type="dxa"/>
            <w:noWrap w:val="0"/>
            <w:vAlign w:val="center"/>
          </w:tcPr>
          <w:p w14:paraId="7FCABB8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声纹监测仪</w:t>
            </w:r>
          </w:p>
        </w:tc>
        <w:tc>
          <w:tcPr>
            <w:tcW w:w="946" w:type="dxa"/>
            <w:noWrap w:val="0"/>
            <w:vAlign w:val="top"/>
          </w:tcPr>
          <w:p w14:paraId="1313F23B">
            <w:pPr>
              <w:widowControl/>
              <w:rPr>
                <w:rFonts w:hint="eastAsia" w:ascii="宋体" w:hAnsi="宋体" w:eastAsia="宋体" w:cs="宋体"/>
                <w:color w:val="auto"/>
                <w:sz w:val="18"/>
                <w:szCs w:val="18"/>
                <w:highlight w:val="none"/>
              </w:rPr>
            </w:pPr>
          </w:p>
        </w:tc>
        <w:tc>
          <w:tcPr>
            <w:tcW w:w="946" w:type="dxa"/>
            <w:noWrap w:val="0"/>
            <w:vAlign w:val="top"/>
          </w:tcPr>
          <w:p w14:paraId="43FC9806">
            <w:pPr>
              <w:widowControl/>
              <w:rPr>
                <w:rFonts w:hint="eastAsia" w:ascii="宋体" w:hAnsi="宋体" w:eastAsia="宋体" w:cs="宋体"/>
                <w:color w:val="auto"/>
                <w:sz w:val="18"/>
                <w:szCs w:val="18"/>
                <w:highlight w:val="none"/>
              </w:rPr>
            </w:pPr>
          </w:p>
        </w:tc>
        <w:tc>
          <w:tcPr>
            <w:tcW w:w="1307" w:type="dxa"/>
            <w:noWrap w:val="0"/>
            <w:vAlign w:val="top"/>
          </w:tcPr>
          <w:p w14:paraId="0D8B3CED">
            <w:pPr>
              <w:widowControl/>
              <w:rPr>
                <w:rFonts w:hint="eastAsia" w:ascii="宋体" w:hAnsi="宋体" w:eastAsia="宋体" w:cs="宋体"/>
                <w:color w:val="auto"/>
                <w:sz w:val="18"/>
                <w:szCs w:val="18"/>
                <w:highlight w:val="none"/>
              </w:rPr>
            </w:pPr>
          </w:p>
        </w:tc>
        <w:tc>
          <w:tcPr>
            <w:tcW w:w="942" w:type="dxa"/>
            <w:noWrap w:val="0"/>
            <w:vAlign w:val="center"/>
          </w:tcPr>
          <w:p w14:paraId="3902E05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516" w:type="dxa"/>
            <w:noWrap w:val="0"/>
            <w:vAlign w:val="center"/>
          </w:tcPr>
          <w:p w14:paraId="57F780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043" w:type="dxa"/>
            <w:noWrap w:val="0"/>
            <w:vAlign w:val="top"/>
          </w:tcPr>
          <w:p w14:paraId="72BC6808">
            <w:pPr>
              <w:widowControl/>
              <w:rPr>
                <w:rFonts w:hint="eastAsia" w:ascii="宋体" w:hAnsi="宋体" w:eastAsia="宋体" w:cs="宋体"/>
                <w:color w:val="auto"/>
                <w:sz w:val="18"/>
                <w:szCs w:val="18"/>
                <w:highlight w:val="none"/>
              </w:rPr>
            </w:pPr>
          </w:p>
        </w:tc>
        <w:tc>
          <w:tcPr>
            <w:tcW w:w="1701" w:type="dxa"/>
            <w:noWrap w:val="0"/>
            <w:vAlign w:val="top"/>
          </w:tcPr>
          <w:p w14:paraId="45C04487">
            <w:pPr>
              <w:widowControl/>
              <w:rPr>
                <w:rFonts w:hint="eastAsia" w:ascii="宋体" w:hAnsi="宋体" w:eastAsia="宋体" w:cs="宋体"/>
                <w:color w:val="auto"/>
                <w:sz w:val="18"/>
                <w:szCs w:val="18"/>
                <w:highlight w:val="none"/>
              </w:rPr>
            </w:pPr>
          </w:p>
        </w:tc>
        <w:tc>
          <w:tcPr>
            <w:tcW w:w="528" w:type="dxa"/>
            <w:noWrap w:val="0"/>
            <w:vAlign w:val="top"/>
          </w:tcPr>
          <w:p w14:paraId="172DF82F">
            <w:pPr>
              <w:widowControl/>
              <w:rPr>
                <w:rFonts w:hint="eastAsia" w:ascii="宋体" w:hAnsi="宋体" w:eastAsia="宋体" w:cs="宋体"/>
                <w:color w:val="auto"/>
                <w:sz w:val="18"/>
                <w:szCs w:val="18"/>
                <w:highlight w:val="none"/>
              </w:rPr>
            </w:pPr>
          </w:p>
        </w:tc>
      </w:tr>
      <w:tr w14:paraId="30E2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43E5364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4</w:t>
            </w:r>
          </w:p>
        </w:tc>
        <w:tc>
          <w:tcPr>
            <w:tcW w:w="1786" w:type="dxa"/>
            <w:noWrap w:val="0"/>
            <w:vAlign w:val="center"/>
          </w:tcPr>
          <w:p w14:paraId="5E5EA2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雷达相机</w:t>
            </w:r>
          </w:p>
        </w:tc>
        <w:tc>
          <w:tcPr>
            <w:tcW w:w="946" w:type="dxa"/>
            <w:noWrap w:val="0"/>
            <w:vAlign w:val="top"/>
          </w:tcPr>
          <w:p w14:paraId="205664F6">
            <w:pPr>
              <w:widowControl/>
              <w:rPr>
                <w:rFonts w:hint="eastAsia" w:ascii="宋体" w:hAnsi="宋体" w:eastAsia="宋体" w:cs="宋体"/>
                <w:color w:val="auto"/>
                <w:sz w:val="18"/>
                <w:szCs w:val="18"/>
                <w:highlight w:val="none"/>
              </w:rPr>
            </w:pPr>
          </w:p>
        </w:tc>
        <w:tc>
          <w:tcPr>
            <w:tcW w:w="946" w:type="dxa"/>
            <w:noWrap w:val="0"/>
            <w:vAlign w:val="top"/>
          </w:tcPr>
          <w:p w14:paraId="4E491FCD">
            <w:pPr>
              <w:widowControl/>
              <w:rPr>
                <w:rFonts w:hint="eastAsia" w:ascii="宋体" w:hAnsi="宋体" w:eastAsia="宋体" w:cs="宋体"/>
                <w:color w:val="auto"/>
                <w:sz w:val="18"/>
                <w:szCs w:val="18"/>
                <w:highlight w:val="none"/>
              </w:rPr>
            </w:pPr>
          </w:p>
        </w:tc>
        <w:tc>
          <w:tcPr>
            <w:tcW w:w="1307" w:type="dxa"/>
            <w:noWrap w:val="0"/>
            <w:vAlign w:val="top"/>
          </w:tcPr>
          <w:p w14:paraId="4A109C2C">
            <w:pPr>
              <w:widowControl/>
              <w:rPr>
                <w:rFonts w:hint="eastAsia" w:ascii="宋体" w:hAnsi="宋体" w:eastAsia="宋体" w:cs="宋体"/>
                <w:color w:val="auto"/>
                <w:sz w:val="18"/>
                <w:szCs w:val="18"/>
                <w:highlight w:val="none"/>
              </w:rPr>
            </w:pPr>
          </w:p>
        </w:tc>
        <w:tc>
          <w:tcPr>
            <w:tcW w:w="942" w:type="dxa"/>
            <w:noWrap w:val="0"/>
            <w:vAlign w:val="center"/>
          </w:tcPr>
          <w:p w14:paraId="49B554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台</w:t>
            </w:r>
          </w:p>
        </w:tc>
        <w:tc>
          <w:tcPr>
            <w:tcW w:w="516" w:type="dxa"/>
            <w:noWrap w:val="0"/>
            <w:vAlign w:val="center"/>
          </w:tcPr>
          <w:p w14:paraId="339FE7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043" w:type="dxa"/>
            <w:noWrap w:val="0"/>
            <w:vAlign w:val="top"/>
          </w:tcPr>
          <w:p w14:paraId="6F5CB79A">
            <w:pPr>
              <w:widowControl/>
              <w:rPr>
                <w:rFonts w:hint="eastAsia" w:ascii="宋体" w:hAnsi="宋体" w:eastAsia="宋体" w:cs="宋体"/>
                <w:color w:val="auto"/>
                <w:sz w:val="18"/>
                <w:szCs w:val="18"/>
                <w:highlight w:val="none"/>
              </w:rPr>
            </w:pPr>
          </w:p>
        </w:tc>
        <w:tc>
          <w:tcPr>
            <w:tcW w:w="1701" w:type="dxa"/>
            <w:noWrap w:val="0"/>
            <w:vAlign w:val="top"/>
          </w:tcPr>
          <w:p w14:paraId="4E531403">
            <w:pPr>
              <w:widowControl/>
              <w:rPr>
                <w:rFonts w:hint="eastAsia" w:ascii="宋体" w:hAnsi="宋体" w:eastAsia="宋体" w:cs="宋体"/>
                <w:color w:val="auto"/>
                <w:sz w:val="18"/>
                <w:szCs w:val="18"/>
                <w:highlight w:val="none"/>
              </w:rPr>
            </w:pPr>
          </w:p>
        </w:tc>
        <w:tc>
          <w:tcPr>
            <w:tcW w:w="528" w:type="dxa"/>
            <w:noWrap w:val="0"/>
            <w:vAlign w:val="top"/>
          </w:tcPr>
          <w:p w14:paraId="78EB02AF">
            <w:pPr>
              <w:widowControl/>
              <w:rPr>
                <w:rFonts w:hint="eastAsia" w:ascii="宋体" w:hAnsi="宋体" w:eastAsia="宋体" w:cs="宋体"/>
                <w:color w:val="auto"/>
                <w:sz w:val="18"/>
                <w:szCs w:val="18"/>
                <w:highlight w:val="none"/>
              </w:rPr>
            </w:pPr>
          </w:p>
        </w:tc>
      </w:tr>
      <w:tr w14:paraId="7F10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71CC425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5</w:t>
            </w:r>
          </w:p>
        </w:tc>
        <w:tc>
          <w:tcPr>
            <w:tcW w:w="1786" w:type="dxa"/>
            <w:noWrap w:val="0"/>
            <w:vAlign w:val="center"/>
          </w:tcPr>
          <w:p w14:paraId="45992C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鸟类视频监控设备</w:t>
            </w:r>
          </w:p>
        </w:tc>
        <w:tc>
          <w:tcPr>
            <w:tcW w:w="946" w:type="dxa"/>
            <w:noWrap w:val="0"/>
            <w:vAlign w:val="top"/>
          </w:tcPr>
          <w:p w14:paraId="2E65514A">
            <w:pPr>
              <w:widowControl/>
              <w:rPr>
                <w:rFonts w:hint="eastAsia" w:ascii="宋体" w:hAnsi="宋体" w:eastAsia="宋体" w:cs="宋体"/>
                <w:color w:val="auto"/>
                <w:sz w:val="18"/>
                <w:szCs w:val="18"/>
                <w:highlight w:val="none"/>
              </w:rPr>
            </w:pPr>
          </w:p>
        </w:tc>
        <w:tc>
          <w:tcPr>
            <w:tcW w:w="946" w:type="dxa"/>
            <w:noWrap w:val="0"/>
            <w:vAlign w:val="top"/>
          </w:tcPr>
          <w:p w14:paraId="6A8FE85D">
            <w:pPr>
              <w:widowControl/>
              <w:rPr>
                <w:rFonts w:hint="eastAsia" w:ascii="宋体" w:hAnsi="宋体" w:eastAsia="宋体" w:cs="宋体"/>
                <w:color w:val="auto"/>
                <w:sz w:val="18"/>
                <w:szCs w:val="18"/>
                <w:highlight w:val="none"/>
              </w:rPr>
            </w:pPr>
          </w:p>
        </w:tc>
        <w:tc>
          <w:tcPr>
            <w:tcW w:w="1307" w:type="dxa"/>
            <w:noWrap w:val="0"/>
            <w:vAlign w:val="top"/>
          </w:tcPr>
          <w:p w14:paraId="733E213A">
            <w:pPr>
              <w:widowControl/>
              <w:rPr>
                <w:rFonts w:hint="eastAsia" w:ascii="宋体" w:hAnsi="宋体" w:eastAsia="宋体" w:cs="宋体"/>
                <w:color w:val="auto"/>
                <w:sz w:val="18"/>
                <w:szCs w:val="18"/>
                <w:highlight w:val="none"/>
              </w:rPr>
            </w:pPr>
          </w:p>
        </w:tc>
        <w:tc>
          <w:tcPr>
            <w:tcW w:w="942" w:type="dxa"/>
            <w:noWrap w:val="0"/>
            <w:vAlign w:val="center"/>
          </w:tcPr>
          <w:p w14:paraId="3FC617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79FCD2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2D654D47">
            <w:pPr>
              <w:widowControl/>
              <w:rPr>
                <w:rFonts w:hint="eastAsia" w:ascii="宋体" w:hAnsi="宋体" w:eastAsia="宋体" w:cs="宋体"/>
                <w:color w:val="auto"/>
                <w:sz w:val="18"/>
                <w:szCs w:val="18"/>
                <w:highlight w:val="none"/>
              </w:rPr>
            </w:pPr>
          </w:p>
        </w:tc>
        <w:tc>
          <w:tcPr>
            <w:tcW w:w="1701" w:type="dxa"/>
            <w:noWrap w:val="0"/>
            <w:vAlign w:val="top"/>
          </w:tcPr>
          <w:p w14:paraId="736988E3">
            <w:pPr>
              <w:widowControl/>
              <w:rPr>
                <w:rFonts w:hint="eastAsia" w:ascii="宋体" w:hAnsi="宋体" w:eastAsia="宋体" w:cs="宋体"/>
                <w:color w:val="auto"/>
                <w:sz w:val="18"/>
                <w:szCs w:val="18"/>
                <w:highlight w:val="none"/>
              </w:rPr>
            </w:pPr>
          </w:p>
        </w:tc>
        <w:tc>
          <w:tcPr>
            <w:tcW w:w="528" w:type="dxa"/>
            <w:noWrap w:val="0"/>
            <w:vAlign w:val="top"/>
          </w:tcPr>
          <w:p w14:paraId="3F8053CB">
            <w:pPr>
              <w:widowControl/>
              <w:rPr>
                <w:rFonts w:hint="eastAsia" w:ascii="宋体" w:hAnsi="宋体" w:eastAsia="宋体" w:cs="宋体"/>
                <w:color w:val="auto"/>
                <w:sz w:val="18"/>
                <w:szCs w:val="18"/>
                <w:highlight w:val="none"/>
              </w:rPr>
            </w:pPr>
          </w:p>
        </w:tc>
      </w:tr>
      <w:tr w14:paraId="2E54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AAB67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6</w:t>
            </w:r>
          </w:p>
        </w:tc>
        <w:tc>
          <w:tcPr>
            <w:tcW w:w="1786" w:type="dxa"/>
            <w:noWrap w:val="0"/>
            <w:vAlign w:val="center"/>
          </w:tcPr>
          <w:p w14:paraId="7E7A50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生态环境因子传感器</w:t>
            </w:r>
          </w:p>
        </w:tc>
        <w:tc>
          <w:tcPr>
            <w:tcW w:w="946" w:type="dxa"/>
            <w:noWrap w:val="0"/>
            <w:vAlign w:val="top"/>
          </w:tcPr>
          <w:p w14:paraId="471C9B11">
            <w:pPr>
              <w:widowControl/>
              <w:rPr>
                <w:rFonts w:hint="eastAsia" w:ascii="宋体" w:hAnsi="宋体" w:eastAsia="宋体" w:cs="宋体"/>
                <w:color w:val="auto"/>
                <w:sz w:val="18"/>
                <w:szCs w:val="18"/>
                <w:highlight w:val="none"/>
              </w:rPr>
            </w:pPr>
          </w:p>
        </w:tc>
        <w:tc>
          <w:tcPr>
            <w:tcW w:w="946" w:type="dxa"/>
            <w:noWrap w:val="0"/>
            <w:vAlign w:val="top"/>
          </w:tcPr>
          <w:p w14:paraId="7D900B2C">
            <w:pPr>
              <w:widowControl/>
              <w:rPr>
                <w:rFonts w:hint="eastAsia" w:ascii="宋体" w:hAnsi="宋体" w:eastAsia="宋体" w:cs="宋体"/>
                <w:color w:val="auto"/>
                <w:sz w:val="18"/>
                <w:szCs w:val="18"/>
                <w:highlight w:val="none"/>
              </w:rPr>
            </w:pPr>
          </w:p>
        </w:tc>
        <w:tc>
          <w:tcPr>
            <w:tcW w:w="1307" w:type="dxa"/>
            <w:noWrap w:val="0"/>
            <w:vAlign w:val="top"/>
          </w:tcPr>
          <w:p w14:paraId="3214223C">
            <w:pPr>
              <w:widowControl/>
              <w:rPr>
                <w:rFonts w:hint="eastAsia" w:ascii="宋体" w:hAnsi="宋体" w:eastAsia="宋体" w:cs="宋体"/>
                <w:color w:val="auto"/>
                <w:sz w:val="18"/>
                <w:szCs w:val="18"/>
                <w:highlight w:val="none"/>
              </w:rPr>
            </w:pPr>
          </w:p>
        </w:tc>
        <w:tc>
          <w:tcPr>
            <w:tcW w:w="942" w:type="dxa"/>
            <w:noWrap w:val="0"/>
            <w:vAlign w:val="center"/>
          </w:tcPr>
          <w:p w14:paraId="566C023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1A9AA0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1718FBA2">
            <w:pPr>
              <w:widowControl/>
              <w:rPr>
                <w:rFonts w:hint="eastAsia" w:ascii="宋体" w:hAnsi="宋体" w:eastAsia="宋体" w:cs="宋体"/>
                <w:color w:val="auto"/>
                <w:sz w:val="18"/>
                <w:szCs w:val="18"/>
                <w:highlight w:val="none"/>
              </w:rPr>
            </w:pPr>
          </w:p>
        </w:tc>
        <w:tc>
          <w:tcPr>
            <w:tcW w:w="1701" w:type="dxa"/>
            <w:noWrap w:val="0"/>
            <w:vAlign w:val="top"/>
          </w:tcPr>
          <w:p w14:paraId="79394B63">
            <w:pPr>
              <w:widowControl/>
              <w:rPr>
                <w:rFonts w:hint="eastAsia" w:ascii="宋体" w:hAnsi="宋体" w:eastAsia="宋体" w:cs="宋体"/>
                <w:color w:val="auto"/>
                <w:sz w:val="18"/>
                <w:szCs w:val="18"/>
                <w:highlight w:val="none"/>
              </w:rPr>
            </w:pPr>
          </w:p>
        </w:tc>
        <w:tc>
          <w:tcPr>
            <w:tcW w:w="528" w:type="dxa"/>
            <w:noWrap w:val="0"/>
            <w:vAlign w:val="top"/>
          </w:tcPr>
          <w:p w14:paraId="00919032">
            <w:pPr>
              <w:widowControl/>
              <w:rPr>
                <w:rFonts w:hint="eastAsia" w:ascii="宋体" w:hAnsi="宋体" w:eastAsia="宋体" w:cs="宋体"/>
                <w:color w:val="auto"/>
                <w:sz w:val="18"/>
                <w:szCs w:val="18"/>
                <w:highlight w:val="none"/>
              </w:rPr>
            </w:pPr>
          </w:p>
        </w:tc>
      </w:tr>
      <w:tr w14:paraId="0769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206302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7</w:t>
            </w:r>
          </w:p>
        </w:tc>
        <w:tc>
          <w:tcPr>
            <w:tcW w:w="1786" w:type="dxa"/>
            <w:noWrap w:val="0"/>
            <w:vAlign w:val="center"/>
          </w:tcPr>
          <w:p w14:paraId="19D2A4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物候监测仪</w:t>
            </w:r>
          </w:p>
        </w:tc>
        <w:tc>
          <w:tcPr>
            <w:tcW w:w="946" w:type="dxa"/>
            <w:noWrap w:val="0"/>
            <w:vAlign w:val="top"/>
          </w:tcPr>
          <w:p w14:paraId="2786C5D2">
            <w:pPr>
              <w:widowControl/>
              <w:rPr>
                <w:rFonts w:hint="eastAsia" w:ascii="宋体" w:hAnsi="宋体" w:eastAsia="宋体" w:cs="宋体"/>
                <w:color w:val="auto"/>
                <w:sz w:val="18"/>
                <w:szCs w:val="18"/>
                <w:highlight w:val="none"/>
              </w:rPr>
            </w:pPr>
          </w:p>
        </w:tc>
        <w:tc>
          <w:tcPr>
            <w:tcW w:w="946" w:type="dxa"/>
            <w:noWrap w:val="0"/>
            <w:vAlign w:val="top"/>
          </w:tcPr>
          <w:p w14:paraId="32CB10E8">
            <w:pPr>
              <w:widowControl/>
              <w:rPr>
                <w:rFonts w:hint="eastAsia" w:ascii="宋体" w:hAnsi="宋体" w:eastAsia="宋体" w:cs="宋体"/>
                <w:color w:val="auto"/>
                <w:sz w:val="18"/>
                <w:szCs w:val="18"/>
                <w:highlight w:val="none"/>
              </w:rPr>
            </w:pPr>
          </w:p>
        </w:tc>
        <w:tc>
          <w:tcPr>
            <w:tcW w:w="1307" w:type="dxa"/>
            <w:noWrap w:val="0"/>
            <w:vAlign w:val="top"/>
          </w:tcPr>
          <w:p w14:paraId="0223CE09">
            <w:pPr>
              <w:widowControl/>
              <w:rPr>
                <w:rFonts w:hint="eastAsia" w:ascii="宋体" w:hAnsi="宋体" w:eastAsia="宋体" w:cs="宋体"/>
                <w:color w:val="auto"/>
                <w:sz w:val="18"/>
                <w:szCs w:val="18"/>
                <w:highlight w:val="none"/>
              </w:rPr>
            </w:pPr>
          </w:p>
        </w:tc>
        <w:tc>
          <w:tcPr>
            <w:tcW w:w="942" w:type="dxa"/>
            <w:noWrap w:val="0"/>
            <w:vAlign w:val="center"/>
          </w:tcPr>
          <w:p w14:paraId="4D701B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3F271D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77E98B1E">
            <w:pPr>
              <w:widowControl/>
              <w:rPr>
                <w:rFonts w:hint="eastAsia" w:ascii="宋体" w:hAnsi="宋体" w:eastAsia="宋体" w:cs="宋体"/>
                <w:color w:val="auto"/>
                <w:sz w:val="18"/>
                <w:szCs w:val="18"/>
                <w:highlight w:val="none"/>
              </w:rPr>
            </w:pPr>
          </w:p>
        </w:tc>
        <w:tc>
          <w:tcPr>
            <w:tcW w:w="1701" w:type="dxa"/>
            <w:noWrap w:val="0"/>
            <w:vAlign w:val="top"/>
          </w:tcPr>
          <w:p w14:paraId="3187380A">
            <w:pPr>
              <w:widowControl/>
              <w:rPr>
                <w:rFonts w:hint="eastAsia" w:ascii="宋体" w:hAnsi="宋体" w:eastAsia="宋体" w:cs="宋体"/>
                <w:color w:val="auto"/>
                <w:sz w:val="18"/>
                <w:szCs w:val="18"/>
                <w:highlight w:val="none"/>
              </w:rPr>
            </w:pPr>
          </w:p>
        </w:tc>
        <w:tc>
          <w:tcPr>
            <w:tcW w:w="528" w:type="dxa"/>
            <w:noWrap w:val="0"/>
            <w:vAlign w:val="top"/>
          </w:tcPr>
          <w:p w14:paraId="3D785D81">
            <w:pPr>
              <w:widowControl/>
              <w:rPr>
                <w:rFonts w:hint="eastAsia" w:ascii="宋体" w:hAnsi="宋体" w:eastAsia="宋体" w:cs="宋体"/>
                <w:color w:val="auto"/>
                <w:sz w:val="18"/>
                <w:szCs w:val="18"/>
                <w:highlight w:val="none"/>
              </w:rPr>
            </w:pPr>
          </w:p>
        </w:tc>
      </w:tr>
      <w:tr w14:paraId="395B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69E15E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8</w:t>
            </w:r>
          </w:p>
        </w:tc>
        <w:tc>
          <w:tcPr>
            <w:tcW w:w="1786" w:type="dxa"/>
            <w:shd w:val="clear" w:color="auto" w:fill="FFFFFF"/>
            <w:noWrap w:val="0"/>
            <w:vAlign w:val="center"/>
          </w:tcPr>
          <w:p w14:paraId="648546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土壤监测仪</w:t>
            </w:r>
          </w:p>
        </w:tc>
        <w:tc>
          <w:tcPr>
            <w:tcW w:w="946" w:type="dxa"/>
            <w:shd w:val="clear" w:color="auto" w:fill="auto"/>
            <w:noWrap w:val="0"/>
            <w:vAlign w:val="top"/>
          </w:tcPr>
          <w:p w14:paraId="6D9EF2B5">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70ED8FC6">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6AC9257E">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08D9CD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201538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08763B83">
            <w:pPr>
              <w:widowControl/>
              <w:rPr>
                <w:rFonts w:hint="eastAsia" w:ascii="宋体" w:hAnsi="宋体" w:eastAsia="宋体" w:cs="宋体"/>
                <w:color w:val="auto"/>
                <w:sz w:val="18"/>
                <w:szCs w:val="18"/>
                <w:highlight w:val="none"/>
              </w:rPr>
            </w:pPr>
          </w:p>
        </w:tc>
        <w:tc>
          <w:tcPr>
            <w:tcW w:w="1701" w:type="dxa"/>
            <w:noWrap w:val="0"/>
            <w:vAlign w:val="top"/>
          </w:tcPr>
          <w:p w14:paraId="142990DA">
            <w:pPr>
              <w:widowControl/>
              <w:rPr>
                <w:rFonts w:hint="eastAsia" w:ascii="宋体" w:hAnsi="宋体" w:eastAsia="宋体" w:cs="宋体"/>
                <w:color w:val="auto"/>
                <w:sz w:val="18"/>
                <w:szCs w:val="18"/>
                <w:highlight w:val="none"/>
              </w:rPr>
            </w:pPr>
          </w:p>
        </w:tc>
        <w:tc>
          <w:tcPr>
            <w:tcW w:w="528" w:type="dxa"/>
            <w:noWrap w:val="0"/>
            <w:vAlign w:val="top"/>
          </w:tcPr>
          <w:p w14:paraId="210965E5">
            <w:pPr>
              <w:widowControl/>
              <w:rPr>
                <w:rFonts w:hint="eastAsia" w:ascii="宋体" w:hAnsi="宋体" w:eastAsia="宋体" w:cs="宋体"/>
                <w:color w:val="auto"/>
                <w:sz w:val="18"/>
                <w:szCs w:val="18"/>
                <w:highlight w:val="none"/>
              </w:rPr>
            </w:pPr>
          </w:p>
        </w:tc>
      </w:tr>
      <w:tr w14:paraId="7690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204DA6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9</w:t>
            </w:r>
          </w:p>
        </w:tc>
        <w:tc>
          <w:tcPr>
            <w:tcW w:w="1786" w:type="dxa"/>
            <w:noWrap w:val="0"/>
            <w:vAlign w:val="center"/>
          </w:tcPr>
          <w:p w14:paraId="71B0EF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生态流量监测设备</w:t>
            </w:r>
          </w:p>
        </w:tc>
        <w:tc>
          <w:tcPr>
            <w:tcW w:w="946" w:type="dxa"/>
            <w:noWrap w:val="0"/>
            <w:vAlign w:val="top"/>
          </w:tcPr>
          <w:p w14:paraId="65501173">
            <w:pPr>
              <w:widowControl/>
              <w:rPr>
                <w:rFonts w:hint="eastAsia" w:ascii="宋体" w:hAnsi="宋体" w:eastAsia="宋体" w:cs="宋体"/>
                <w:color w:val="auto"/>
                <w:sz w:val="18"/>
                <w:szCs w:val="18"/>
                <w:highlight w:val="none"/>
              </w:rPr>
            </w:pPr>
          </w:p>
        </w:tc>
        <w:tc>
          <w:tcPr>
            <w:tcW w:w="946" w:type="dxa"/>
            <w:noWrap w:val="0"/>
            <w:vAlign w:val="top"/>
          </w:tcPr>
          <w:p w14:paraId="365ED6E6">
            <w:pPr>
              <w:widowControl/>
              <w:rPr>
                <w:rFonts w:hint="eastAsia" w:ascii="宋体" w:hAnsi="宋体" w:eastAsia="宋体" w:cs="宋体"/>
                <w:color w:val="auto"/>
                <w:sz w:val="18"/>
                <w:szCs w:val="18"/>
                <w:highlight w:val="none"/>
              </w:rPr>
            </w:pPr>
          </w:p>
        </w:tc>
        <w:tc>
          <w:tcPr>
            <w:tcW w:w="1307" w:type="dxa"/>
            <w:noWrap w:val="0"/>
            <w:vAlign w:val="top"/>
          </w:tcPr>
          <w:p w14:paraId="63150A62">
            <w:pPr>
              <w:widowControl/>
              <w:rPr>
                <w:rFonts w:hint="eastAsia" w:ascii="宋体" w:hAnsi="宋体" w:eastAsia="宋体" w:cs="宋体"/>
                <w:color w:val="auto"/>
                <w:sz w:val="18"/>
                <w:szCs w:val="18"/>
                <w:highlight w:val="none"/>
              </w:rPr>
            </w:pPr>
          </w:p>
        </w:tc>
        <w:tc>
          <w:tcPr>
            <w:tcW w:w="942" w:type="dxa"/>
            <w:noWrap w:val="0"/>
            <w:vAlign w:val="center"/>
          </w:tcPr>
          <w:p w14:paraId="625020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noWrap w:val="0"/>
            <w:vAlign w:val="center"/>
          </w:tcPr>
          <w:p w14:paraId="1B0293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043" w:type="dxa"/>
            <w:noWrap w:val="0"/>
            <w:vAlign w:val="top"/>
          </w:tcPr>
          <w:p w14:paraId="0A678A1E">
            <w:pPr>
              <w:widowControl/>
              <w:rPr>
                <w:rFonts w:hint="eastAsia" w:ascii="宋体" w:hAnsi="宋体" w:eastAsia="宋体" w:cs="宋体"/>
                <w:color w:val="auto"/>
                <w:sz w:val="18"/>
                <w:szCs w:val="18"/>
                <w:highlight w:val="none"/>
              </w:rPr>
            </w:pPr>
          </w:p>
        </w:tc>
        <w:tc>
          <w:tcPr>
            <w:tcW w:w="1701" w:type="dxa"/>
            <w:noWrap w:val="0"/>
            <w:vAlign w:val="top"/>
          </w:tcPr>
          <w:p w14:paraId="65F96DBD">
            <w:pPr>
              <w:widowControl/>
              <w:rPr>
                <w:rFonts w:hint="eastAsia" w:ascii="宋体" w:hAnsi="宋体" w:eastAsia="宋体" w:cs="宋体"/>
                <w:color w:val="auto"/>
                <w:sz w:val="18"/>
                <w:szCs w:val="18"/>
                <w:highlight w:val="none"/>
              </w:rPr>
            </w:pPr>
          </w:p>
        </w:tc>
        <w:tc>
          <w:tcPr>
            <w:tcW w:w="528" w:type="dxa"/>
            <w:noWrap w:val="0"/>
            <w:vAlign w:val="top"/>
          </w:tcPr>
          <w:p w14:paraId="47FBB1CA">
            <w:pPr>
              <w:widowControl/>
              <w:rPr>
                <w:rFonts w:hint="eastAsia" w:ascii="宋体" w:hAnsi="宋体" w:eastAsia="宋体" w:cs="宋体"/>
                <w:color w:val="auto"/>
                <w:sz w:val="18"/>
                <w:szCs w:val="18"/>
                <w:highlight w:val="none"/>
              </w:rPr>
            </w:pPr>
          </w:p>
        </w:tc>
      </w:tr>
      <w:tr w14:paraId="393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6666A8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p>
        </w:tc>
        <w:tc>
          <w:tcPr>
            <w:tcW w:w="1786" w:type="dxa"/>
            <w:shd w:val="clear" w:color="auto" w:fill="FFFFFF"/>
            <w:noWrap w:val="0"/>
            <w:vAlign w:val="center"/>
          </w:tcPr>
          <w:p w14:paraId="54902B8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远程数据采集与传输设备</w:t>
            </w:r>
          </w:p>
        </w:tc>
        <w:tc>
          <w:tcPr>
            <w:tcW w:w="946" w:type="dxa"/>
            <w:shd w:val="clear" w:color="auto" w:fill="auto"/>
            <w:noWrap w:val="0"/>
            <w:vAlign w:val="top"/>
          </w:tcPr>
          <w:p w14:paraId="38450F4E">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395B8C51">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42BB1FF6">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3EC726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76995C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18742E03">
            <w:pPr>
              <w:widowControl/>
              <w:rPr>
                <w:rFonts w:hint="eastAsia" w:ascii="宋体" w:hAnsi="宋体" w:eastAsia="宋体" w:cs="宋体"/>
                <w:color w:val="auto"/>
                <w:sz w:val="18"/>
                <w:szCs w:val="18"/>
                <w:highlight w:val="none"/>
              </w:rPr>
            </w:pPr>
          </w:p>
        </w:tc>
        <w:tc>
          <w:tcPr>
            <w:tcW w:w="1701" w:type="dxa"/>
            <w:noWrap w:val="0"/>
            <w:vAlign w:val="top"/>
          </w:tcPr>
          <w:p w14:paraId="224BC735">
            <w:pPr>
              <w:widowControl/>
              <w:rPr>
                <w:rFonts w:hint="eastAsia" w:ascii="宋体" w:hAnsi="宋体" w:eastAsia="宋体" w:cs="宋体"/>
                <w:color w:val="auto"/>
                <w:sz w:val="18"/>
                <w:szCs w:val="18"/>
                <w:highlight w:val="none"/>
              </w:rPr>
            </w:pPr>
          </w:p>
        </w:tc>
        <w:tc>
          <w:tcPr>
            <w:tcW w:w="528" w:type="dxa"/>
            <w:noWrap w:val="0"/>
            <w:vAlign w:val="top"/>
          </w:tcPr>
          <w:p w14:paraId="3F4F3AA3">
            <w:pPr>
              <w:widowControl/>
              <w:rPr>
                <w:rFonts w:hint="eastAsia" w:ascii="宋体" w:hAnsi="宋体" w:eastAsia="宋体" w:cs="宋体"/>
                <w:color w:val="auto"/>
                <w:sz w:val="18"/>
                <w:szCs w:val="18"/>
                <w:highlight w:val="none"/>
              </w:rPr>
            </w:pPr>
          </w:p>
        </w:tc>
      </w:tr>
      <w:tr w14:paraId="457B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7784" w:type="dxa"/>
            <w:gridSpan w:val="8"/>
            <w:shd w:val="clear" w:color="auto" w:fill="auto"/>
            <w:noWrap w:val="0"/>
            <w:vAlign w:val="center"/>
          </w:tcPr>
          <w:p w14:paraId="0DC5E2D1">
            <w:pPr>
              <w:widowControl/>
              <w:jc w:val="center"/>
              <w:rPr>
                <w:rFonts w:hint="default" w:ascii="宋体" w:hAnsi="宋体" w:eastAsia="宋体" w:cs="宋体"/>
                <w:color w:val="auto"/>
                <w:sz w:val="18"/>
                <w:szCs w:val="18"/>
                <w:highlight w:val="none"/>
                <w:lang w:val="en-US"/>
              </w:rPr>
            </w:pPr>
            <w:r>
              <w:rPr>
                <w:rFonts w:hint="eastAsia" w:ascii="宋体" w:hAnsi="宋体" w:eastAsia="宋体" w:cs="宋体"/>
                <w:color w:val="auto"/>
                <w:sz w:val="21"/>
                <w:szCs w:val="21"/>
                <w:highlight w:val="none"/>
                <w:lang w:val="en-US" w:eastAsia="zh-CN"/>
              </w:rPr>
              <w:t>生态安全风险监测设备配备</w:t>
            </w:r>
            <w:r>
              <w:rPr>
                <w:rFonts w:hint="eastAsia" w:ascii="宋体" w:hAnsi="宋体" w:cs="宋体"/>
                <w:color w:val="auto"/>
                <w:sz w:val="21"/>
                <w:szCs w:val="21"/>
                <w:highlight w:val="none"/>
                <w:lang w:val="en-US" w:eastAsia="zh-CN"/>
              </w:rPr>
              <w:t>费用合计</w:t>
            </w:r>
            <w:r>
              <w:rPr>
                <w:rFonts w:hint="eastAsia" w:ascii="宋体" w:hAnsi="宋体" w:eastAsia="宋体" w:cs="宋体"/>
                <w:color w:val="auto"/>
                <w:kern w:val="2"/>
                <w:sz w:val="21"/>
                <w:szCs w:val="21"/>
                <w:highlight w:val="none"/>
                <w:lang w:val="en-US" w:eastAsia="zh-CN" w:bidi="ar-SA"/>
              </w:rPr>
              <w:t>（元）</w:t>
            </w:r>
          </w:p>
        </w:tc>
        <w:tc>
          <w:tcPr>
            <w:tcW w:w="1701" w:type="dxa"/>
            <w:noWrap w:val="0"/>
            <w:vAlign w:val="top"/>
          </w:tcPr>
          <w:p w14:paraId="5F2B81DC">
            <w:pPr>
              <w:widowControl/>
              <w:rPr>
                <w:rFonts w:hint="eastAsia" w:ascii="宋体" w:hAnsi="宋体" w:eastAsia="宋体" w:cs="宋体"/>
                <w:color w:val="auto"/>
                <w:sz w:val="18"/>
                <w:szCs w:val="18"/>
                <w:highlight w:val="none"/>
              </w:rPr>
            </w:pPr>
          </w:p>
        </w:tc>
        <w:tc>
          <w:tcPr>
            <w:tcW w:w="528" w:type="dxa"/>
            <w:noWrap w:val="0"/>
            <w:vAlign w:val="top"/>
          </w:tcPr>
          <w:p w14:paraId="39C73E97">
            <w:pPr>
              <w:widowControl/>
              <w:rPr>
                <w:rFonts w:hint="eastAsia" w:ascii="宋体" w:hAnsi="宋体" w:eastAsia="宋体" w:cs="宋体"/>
                <w:color w:val="auto"/>
                <w:sz w:val="18"/>
                <w:szCs w:val="18"/>
                <w:highlight w:val="none"/>
              </w:rPr>
            </w:pPr>
          </w:p>
        </w:tc>
      </w:tr>
      <w:tr w14:paraId="42A2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10013" w:type="dxa"/>
            <w:gridSpan w:val="10"/>
            <w:noWrap w:val="0"/>
            <w:vAlign w:val="center"/>
          </w:tcPr>
          <w:p w14:paraId="71449D54">
            <w:pPr>
              <w:widowControl/>
              <w:rPr>
                <w:rFonts w:hint="eastAsia" w:ascii="宋体" w:hAnsi="宋体" w:eastAsia="宋体" w:cs="宋体"/>
                <w:color w:val="auto"/>
                <w:sz w:val="18"/>
                <w:szCs w:val="18"/>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三、监测预警平台开发</w:t>
            </w:r>
          </w:p>
        </w:tc>
      </w:tr>
      <w:tr w14:paraId="672A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17EC77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0B8970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生态系统管理模块</w:t>
            </w:r>
          </w:p>
        </w:tc>
        <w:tc>
          <w:tcPr>
            <w:tcW w:w="946" w:type="dxa"/>
            <w:noWrap w:val="0"/>
            <w:vAlign w:val="top"/>
          </w:tcPr>
          <w:p w14:paraId="6BE76191">
            <w:pPr>
              <w:widowControl/>
              <w:rPr>
                <w:rFonts w:hint="eastAsia" w:ascii="宋体" w:hAnsi="宋体" w:eastAsia="宋体" w:cs="宋体"/>
                <w:color w:val="auto"/>
                <w:sz w:val="18"/>
                <w:szCs w:val="18"/>
                <w:highlight w:val="none"/>
              </w:rPr>
            </w:pPr>
          </w:p>
        </w:tc>
        <w:tc>
          <w:tcPr>
            <w:tcW w:w="946" w:type="dxa"/>
            <w:noWrap w:val="0"/>
            <w:vAlign w:val="top"/>
          </w:tcPr>
          <w:p w14:paraId="4873E593">
            <w:pPr>
              <w:widowControl/>
              <w:rPr>
                <w:rFonts w:hint="eastAsia" w:ascii="宋体" w:hAnsi="宋体" w:eastAsia="宋体" w:cs="宋体"/>
                <w:color w:val="auto"/>
                <w:sz w:val="18"/>
                <w:szCs w:val="18"/>
                <w:highlight w:val="none"/>
              </w:rPr>
            </w:pPr>
          </w:p>
        </w:tc>
        <w:tc>
          <w:tcPr>
            <w:tcW w:w="1307" w:type="dxa"/>
            <w:noWrap w:val="0"/>
            <w:vAlign w:val="top"/>
          </w:tcPr>
          <w:p w14:paraId="3D52EF85">
            <w:pPr>
              <w:widowControl/>
              <w:rPr>
                <w:rFonts w:hint="eastAsia" w:ascii="宋体" w:hAnsi="宋体" w:eastAsia="宋体" w:cs="宋体"/>
                <w:color w:val="auto"/>
                <w:sz w:val="18"/>
                <w:szCs w:val="18"/>
                <w:highlight w:val="none"/>
              </w:rPr>
            </w:pPr>
          </w:p>
        </w:tc>
        <w:tc>
          <w:tcPr>
            <w:tcW w:w="942" w:type="dxa"/>
            <w:noWrap w:val="0"/>
            <w:vAlign w:val="center"/>
          </w:tcPr>
          <w:p w14:paraId="7B8043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537BBC4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37208EA6">
            <w:pPr>
              <w:widowControl/>
              <w:rPr>
                <w:rFonts w:hint="eastAsia" w:ascii="宋体" w:hAnsi="宋体" w:eastAsia="宋体" w:cs="宋体"/>
                <w:color w:val="auto"/>
                <w:sz w:val="18"/>
                <w:szCs w:val="18"/>
                <w:highlight w:val="none"/>
              </w:rPr>
            </w:pPr>
          </w:p>
        </w:tc>
        <w:tc>
          <w:tcPr>
            <w:tcW w:w="1701" w:type="dxa"/>
            <w:noWrap w:val="0"/>
            <w:vAlign w:val="top"/>
          </w:tcPr>
          <w:p w14:paraId="45CB75DF">
            <w:pPr>
              <w:widowControl/>
              <w:rPr>
                <w:rFonts w:hint="eastAsia" w:ascii="宋体" w:hAnsi="宋体" w:eastAsia="宋体" w:cs="宋体"/>
                <w:color w:val="auto"/>
                <w:sz w:val="18"/>
                <w:szCs w:val="18"/>
                <w:highlight w:val="none"/>
              </w:rPr>
            </w:pPr>
          </w:p>
        </w:tc>
        <w:tc>
          <w:tcPr>
            <w:tcW w:w="528" w:type="dxa"/>
            <w:noWrap w:val="0"/>
            <w:vAlign w:val="top"/>
          </w:tcPr>
          <w:p w14:paraId="1688882E">
            <w:pPr>
              <w:widowControl/>
              <w:rPr>
                <w:rFonts w:hint="eastAsia" w:ascii="宋体" w:hAnsi="宋体" w:eastAsia="宋体" w:cs="宋体"/>
                <w:color w:val="auto"/>
                <w:sz w:val="18"/>
                <w:szCs w:val="18"/>
                <w:highlight w:val="none"/>
              </w:rPr>
            </w:pPr>
          </w:p>
        </w:tc>
      </w:tr>
      <w:tr w14:paraId="6E04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E958A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noWrap w:val="0"/>
            <w:vAlign w:val="center"/>
          </w:tcPr>
          <w:p w14:paraId="561909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无人机管理模块</w:t>
            </w:r>
          </w:p>
        </w:tc>
        <w:tc>
          <w:tcPr>
            <w:tcW w:w="946" w:type="dxa"/>
            <w:noWrap w:val="0"/>
            <w:vAlign w:val="top"/>
          </w:tcPr>
          <w:p w14:paraId="1341982E">
            <w:pPr>
              <w:widowControl/>
              <w:rPr>
                <w:rFonts w:hint="eastAsia" w:ascii="宋体" w:hAnsi="宋体" w:eastAsia="宋体" w:cs="宋体"/>
                <w:color w:val="auto"/>
                <w:sz w:val="18"/>
                <w:szCs w:val="18"/>
                <w:highlight w:val="none"/>
              </w:rPr>
            </w:pPr>
          </w:p>
        </w:tc>
        <w:tc>
          <w:tcPr>
            <w:tcW w:w="946" w:type="dxa"/>
            <w:noWrap w:val="0"/>
            <w:vAlign w:val="top"/>
          </w:tcPr>
          <w:p w14:paraId="3DC4A05C">
            <w:pPr>
              <w:widowControl/>
              <w:rPr>
                <w:rFonts w:hint="eastAsia" w:ascii="宋体" w:hAnsi="宋体" w:eastAsia="宋体" w:cs="宋体"/>
                <w:color w:val="auto"/>
                <w:sz w:val="18"/>
                <w:szCs w:val="18"/>
                <w:highlight w:val="none"/>
              </w:rPr>
            </w:pPr>
          </w:p>
        </w:tc>
        <w:tc>
          <w:tcPr>
            <w:tcW w:w="1307" w:type="dxa"/>
            <w:noWrap w:val="0"/>
            <w:vAlign w:val="top"/>
          </w:tcPr>
          <w:p w14:paraId="75B5F997">
            <w:pPr>
              <w:widowControl/>
              <w:rPr>
                <w:rFonts w:hint="eastAsia" w:ascii="宋体" w:hAnsi="宋体" w:eastAsia="宋体" w:cs="宋体"/>
                <w:color w:val="auto"/>
                <w:sz w:val="18"/>
                <w:szCs w:val="18"/>
                <w:highlight w:val="none"/>
              </w:rPr>
            </w:pPr>
          </w:p>
        </w:tc>
        <w:tc>
          <w:tcPr>
            <w:tcW w:w="942" w:type="dxa"/>
            <w:noWrap w:val="0"/>
            <w:vAlign w:val="center"/>
          </w:tcPr>
          <w:p w14:paraId="1BEB9E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4258E6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7B41CFED">
            <w:pPr>
              <w:widowControl/>
              <w:rPr>
                <w:rFonts w:hint="eastAsia" w:ascii="宋体" w:hAnsi="宋体" w:eastAsia="宋体" w:cs="宋体"/>
                <w:color w:val="auto"/>
                <w:sz w:val="18"/>
                <w:szCs w:val="18"/>
                <w:highlight w:val="none"/>
              </w:rPr>
            </w:pPr>
          </w:p>
        </w:tc>
        <w:tc>
          <w:tcPr>
            <w:tcW w:w="1701" w:type="dxa"/>
            <w:noWrap w:val="0"/>
            <w:vAlign w:val="top"/>
          </w:tcPr>
          <w:p w14:paraId="77D2663D">
            <w:pPr>
              <w:widowControl/>
              <w:rPr>
                <w:rFonts w:hint="eastAsia" w:ascii="宋体" w:hAnsi="宋体" w:eastAsia="宋体" w:cs="宋体"/>
                <w:color w:val="auto"/>
                <w:sz w:val="18"/>
                <w:szCs w:val="18"/>
                <w:highlight w:val="none"/>
              </w:rPr>
            </w:pPr>
          </w:p>
        </w:tc>
        <w:tc>
          <w:tcPr>
            <w:tcW w:w="528" w:type="dxa"/>
            <w:noWrap w:val="0"/>
            <w:vAlign w:val="top"/>
          </w:tcPr>
          <w:p w14:paraId="444AB598">
            <w:pPr>
              <w:widowControl/>
              <w:rPr>
                <w:rFonts w:hint="eastAsia" w:ascii="宋体" w:hAnsi="宋体" w:eastAsia="宋体" w:cs="宋体"/>
                <w:color w:val="auto"/>
                <w:sz w:val="18"/>
                <w:szCs w:val="18"/>
                <w:highlight w:val="none"/>
              </w:rPr>
            </w:pPr>
          </w:p>
        </w:tc>
      </w:tr>
      <w:tr w14:paraId="17AC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2FD99D2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86" w:type="dxa"/>
            <w:noWrap w:val="0"/>
            <w:vAlign w:val="center"/>
          </w:tcPr>
          <w:p w14:paraId="152C58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环境要素管理模块</w:t>
            </w:r>
          </w:p>
        </w:tc>
        <w:tc>
          <w:tcPr>
            <w:tcW w:w="946" w:type="dxa"/>
            <w:noWrap w:val="0"/>
            <w:vAlign w:val="top"/>
          </w:tcPr>
          <w:p w14:paraId="45352F86">
            <w:pPr>
              <w:widowControl/>
              <w:rPr>
                <w:rFonts w:hint="eastAsia" w:ascii="宋体" w:hAnsi="宋体" w:eastAsia="宋体" w:cs="宋体"/>
                <w:color w:val="auto"/>
                <w:sz w:val="18"/>
                <w:szCs w:val="18"/>
                <w:highlight w:val="none"/>
              </w:rPr>
            </w:pPr>
          </w:p>
        </w:tc>
        <w:tc>
          <w:tcPr>
            <w:tcW w:w="946" w:type="dxa"/>
            <w:noWrap w:val="0"/>
            <w:vAlign w:val="top"/>
          </w:tcPr>
          <w:p w14:paraId="3175F6E5">
            <w:pPr>
              <w:widowControl/>
              <w:rPr>
                <w:rFonts w:hint="eastAsia" w:ascii="宋体" w:hAnsi="宋体" w:eastAsia="宋体" w:cs="宋体"/>
                <w:color w:val="auto"/>
                <w:sz w:val="18"/>
                <w:szCs w:val="18"/>
                <w:highlight w:val="none"/>
              </w:rPr>
            </w:pPr>
          </w:p>
        </w:tc>
        <w:tc>
          <w:tcPr>
            <w:tcW w:w="1307" w:type="dxa"/>
            <w:noWrap w:val="0"/>
            <w:vAlign w:val="top"/>
          </w:tcPr>
          <w:p w14:paraId="44BE1709">
            <w:pPr>
              <w:widowControl/>
              <w:rPr>
                <w:rFonts w:hint="eastAsia" w:ascii="宋体" w:hAnsi="宋体" w:eastAsia="宋体" w:cs="宋体"/>
                <w:color w:val="auto"/>
                <w:sz w:val="18"/>
                <w:szCs w:val="18"/>
                <w:highlight w:val="none"/>
              </w:rPr>
            </w:pPr>
          </w:p>
        </w:tc>
        <w:tc>
          <w:tcPr>
            <w:tcW w:w="942" w:type="dxa"/>
            <w:noWrap w:val="0"/>
            <w:vAlign w:val="center"/>
          </w:tcPr>
          <w:p w14:paraId="1790FD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5F7A96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6CDC4B05">
            <w:pPr>
              <w:widowControl/>
              <w:rPr>
                <w:rFonts w:hint="eastAsia" w:ascii="宋体" w:hAnsi="宋体" w:eastAsia="宋体" w:cs="宋体"/>
                <w:color w:val="auto"/>
                <w:sz w:val="18"/>
                <w:szCs w:val="18"/>
                <w:highlight w:val="none"/>
              </w:rPr>
            </w:pPr>
          </w:p>
        </w:tc>
        <w:tc>
          <w:tcPr>
            <w:tcW w:w="1701" w:type="dxa"/>
            <w:noWrap w:val="0"/>
            <w:vAlign w:val="top"/>
          </w:tcPr>
          <w:p w14:paraId="6F5F95FE">
            <w:pPr>
              <w:widowControl/>
              <w:rPr>
                <w:rFonts w:hint="eastAsia" w:ascii="宋体" w:hAnsi="宋体" w:eastAsia="宋体" w:cs="宋体"/>
                <w:color w:val="auto"/>
                <w:sz w:val="18"/>
                <w:szCs w:val="18"/>
                <w:highlight w:val="none"/>
              </w:rPr>
            </w:pPr>
          </w:p>
        </w:tc>
        <w:tc>
          <w:tcPr>
            <w:tcW w:w="528" w:type="dxa"/>
            <w:noWrap w:val="0"/>
            <w:vAlign w:val="top"/>
          </w:tcPr>
          <w:p w14:paraId="1A754273">
            <w:pPr>
              <w:widowControl/>
              <w:rPr>
                <w:rFonts w:hint="eastAsia" w:ascii="宋体" w:hAnsi="宋体" w:eastAsia="宋体" w:cs="宋体"/>
                <w:color w:val="auto"/>
                <w:sz w:val="18"/>
                <w:szCs w:val="18"/>
                <w:highlight w:val="none"/>
              </w:rPr>
            </w:pPr>
          </w:p>
        </w:tc>
      </w:tr>
      <w:tr w14:paraId="17DC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1B9A4D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86" w:type="dxa"/>
            <w:noWrap w:val="0"/>
            <w:vAlign w:val="center"/>
          </w:tcPr>
          <w:p w14:paraId="31159D4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生物多样性管理模块</w:t>
            </w:r>
          </w:p>
        </w:tc>
        <w:tc>
          <w:tcPr>
            <w:tcW w:w="946" w:type="dxa"/>
            <w:noWrap w:val="0"/>
            <w:vAlign w:val="top"/>
          </w:tcPr>
          <w:p w14:paraId="2AC9B435">
            <w:pPr>
              <w:widowControl/>
              <w:rPr>
                <w:rFonts w:hint="eastAsia" w:ascii="宋体" w:hAnsi="宋体" w:eastAsia="宋体" w:cs="宋体"/>
                <w:color w:val="auto"/>
                <w:sz w:val="18"/>
                <w:szCs w:val="18"/>
                <w:highlight w:val="none"/>
              </w:rPr>
            </w:pPr>
          </w:p>
        </w:tc>
        <w:tc>
          <w:tcPr>
            <w:tcW w:w="946" w:type="dxa"/>
            <w:noWrap w:val="0"/>
            <w:vAlign w:val="top"/>
          </w:tcPr>
          <w:p w14:paraId="5850B0FC">
            <w:pPr>
              <w:widowControl/>
              <w:rPr>
                <w:rFonts w:hint="eastAsia" w:ascii="宋体" w:hAnsi="宋体" w:eastAsia="宋体" w:cs="宋体"/>
                <w:color w:val="auto"/>
                <w:sz w:val="18"/>
                <w:szCs w:val="18"/>
                <w:highlight w:val="none"/>
              </w:rPr>
            </w:pPr>
          </w:p>
        </w:tc>
        <w:tc>
          <w:tcPr>
            <w:tcW w:w="1307" w:type="dxa"/>
            <w:noWrap w:val="0"/>
            <w:vAlign w:val="top"/>
          </w:tcPr>
          <w:p w14:paraId="5B1C9261">
            <w:pPr>
              <w:widowControl/>
              <w:rPr>
                <w:rFonts w:hint="eastAsia" w:ascii="宋体" w:hAnsi="宋体" w:eastAsia="宋体" w:cs="宋体"/>
                <w:color w:val="auto"/>
                <w:sz w:val="18"/>
                <w:szCs w:val="18"/>
                <w:highlight w:val="none"/>
              </w:rPr>
            </w:pPr>
          </w:p>
        </w:tc>
        <w:tc>
          <w:tcPr>
            <w:tcW w:w="942" w:type="dxa"/>
            <w:noWrap w:val="0"/>
            <w:vAlign w:val="center"/>
          </w:tcPr>
          <w:p w14:paraId="1210C4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61E876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7BEF60BD">
            <w:pPr>
              <w:widowControl/>
              <w:rPr>
                <w:rFonts w:hint="eastAsia" w:ascii="宋体" w:hAnsi="宋体" w:eastAsia="宋体" w:cs="宋体"/>
                <w:color w:val="auto"/>
                <w:sz w:val="18"/>
                <w:szCs w:val="18"/>
                <w:highlight w:val="none"/>
              </w:rPr>
            </w:pPr>
          </w:p>
        </w:tc>
        <w:tc>
          <w:tcPr>
            <w:tcW w:w="1701" w:type="dxa"/>
            <w:noWrap w:val="0"/>
            <w:vAlign w:val="top"/>
          </w:tcPr>
          <w:p w14:paraId="5A74E734">
            <w:pPr>
              <w:widowControl/>
              <w:rPr>
                <w:rFonts w:hint="eastAsia" w:ascii="宋体" w:hAnsi="宋体" w:eastAsia="宋体" w:cs="宋体"/>
                <w:color w:val="auto"/>
                <w:sz w:val="18"/>
                <w:szCs w:val="18"/>
                <w:highlight w:val="none"/>
              </w:rPr>
            </w:pPr>
          </w:p>
        </w:tc>
        <w:tc>
          <w:tcPr>
            <w:tcW w:w="528" w:type="dxa"/>
            <w:noWrap w:val="0"/>
            <w:vAlign w:val="top"/>
          </w:tcPr>
          <w:p w14:paraId="4F27E6BB">
            <w:pPr>
              <w:widowControl/>
              <w:rPr>
                <w:rFonts w:hint="eastAsia" w:ascii="宋体" w:hAnsi="宋体" w:eastAsia="宋体" w:cs="宋体"/>
                <w:color w:val="auto"/>
                <w:sz w:val="18"/>
                <w:szCs w:val="18"/>
                <w:highlight w:val="none"/>
              </w:rPr>
            </w:pPr>
          </w:p>
        </w:tc>
      </w:tr>
      <w:tr w14:paraId="36EE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218F78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86" w:type="dxa"/>
            <w:noWrap w:val="0"/>
            <w:vAlign w:val="center"/>
          </w:tcPr>
          <w:p w14:paraId="4640403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人为干扰活动管理模块</w:t>
            </w:r>
          </w:p>
        </w:tc>
        <w:tc>
          <w:tcPr>
            <w:tcW w:w="946" w:type="dxa"/>
            <w:noWrap w:val="0"/>
            <w:vAlign w:val="top"/>
          </w:tcPr>
          <w:p w14:paraId="435AEDB8">
            <w:pPr>
              <w:widowControl/>
              <w:rPr>
                <w:rFonts w:hint="eastAsia" w:ascii="宋体" w:hAnsi="宋体" w:eastAsia="宋体" w:cs="宋体"/>
                <w:color w:val="auto"/>
                <w:sz w:val="18"/>
                <w:szCs w:val="18"/>
                <w:highlight w:val="none"/>
              </w:rPr>
            </w:pPr>
          </w:p>
        </w:tc>
        <w:tc>
          <w:tcPr>
            <w:tcW w:w="946" w:type="dxa"/>
            <w:noWrap w:val="0"/>
            <w:vAlign w:val="top"/>
          </w:tcPr>
          <w:p w14:paraId="64673B0C">
            <w:pPr>
              <w:widowControl/>
              <w:rPr>
                <w:rFonts w:hint="eastAsia" w:ascii="宋体" w:hAnsi="宋体" w:eastAsia="宋体" w:cs="宋体"/>
                <w:color w:val="auto"/>
                <w:sz w:val="18"/>
                <w:szCs w:val="18"/>
                <w:highlight w:val="none"/>
              </w:rPr>
            </w:pPr>
          </w:p>
        </w:tc>
        <w:tc>
          <w:tcPr>
            <w:tcW w:w="1307" w:type="dxa"/>
            <w:noWrap w:val="0"/>
            <w:vAlign w:val="top"/>
          </w:tcPr>
          <w:p w14:paraId="277EEF70">
            <w:pPr>
              <w:widowControl/>
              <w:rPr>
                <w:rFonts w:hint="eastAsia" w:ascii="宋体" w:hAnsi="宋体" w:eastAsia="宋体" w:cs="宋体"/>
                <w:color w:val="auto"/>
                <w:sz w:val="18"/>
                <w:szCs w:val="18"/>
                <w:highlight w:val="none"/>
              </w:rPr>
            </w:pPr>
          </w:p>
        </w:tc>
        <w:tc>
          <w:tcPr>
            <w:tcW w:w="942" w:type="dxa"/>
            <w:noWrap w:val="0"/>
            <w:vAlign w:val="center"/>
          </w:tcPr>
          <w:p w14:paraId="4C4AC3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noWrap w:val="0"/>
            <w:vAlign w:val="center"/>
          </w:tcPr>
          <w:p w14:paraId="246650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0670A20C">
            <w:pPr>
              <w:widowControl/>
              <w:rPr>
                <w:rFonts w:hint="eastAsia" w:ascii="宋体" w:hAnsi="宋体" w:eastAsia="宋体" w:cs="宋体"/>
                <w:color w:val="auto"/>
                <w:sz w:val="18"/>
                <w:szCs w:val="18"/>
                <w:highlight w:val="none"/>
              </w:rPr>
            </w:pPr>
          </w:p>
        </w:tc>
        <w:tc>
          <w:tcPr>
            <w:tcW w:w="1701" w:type="dxa"/>
            <w:noWrap w:val="0"/>
            <w:vAlign w:val="top"/>
          </w:tcPr>
          <w:p w14:paraId="455815F3">
            <w:pPr>
              <w:widowControl/>
              <w:rPr>
                <w:rFonts w:hint="eastAsia" w:ascii="宋体" w:hAnsi="宋体" w:eastAsia="宋体" w:cs="宋体"/>
                <w:color w:val="auto"/>
                <w:sz w:val="18"/>
                <w:szCs w:val="18"/>
                <w:highlight w:val="none"/>
              </w:rPr>
            </w:pPr>
          </w:p>
        </w:tc>
        <w:tc>
          <w:tcPr>
            <w:tcW w:w="528" w:type="dxa"/>
            <w:noWrap w:val="0"/>
            <w:vAlign w:val="top"/>
          </w:tcPr>
          <w:p w14:paraId="02FFB644">
            <w:pPr>
              <w:widowControl/>
              <w:rPr>
                <w:rFonts w:hint="eastAsia" w:ascii="宋体" w:hAnsi="宋体" w:eastAsia="宋体" w:cs="宋体"/>
                <w:color w:val="auto"/>
                <w:sz w:val="18"/>
                <w:szCs w:val="18"/>
                <w:highlight w:val="none"/>
              </w:rPr>
            </w:pPr>
          </w:p>
        </w:tc>
      </w:tr>
      <w:tr w14:paraId="58F2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3E025F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786" w:type="dxa"/>
            <w:shd w:val="clear" w:color="auto" w:fill="FFFFFF"/>
            <w:noWrap w:val="0"/>
            <w:vAlign w:val="center"/>
          </w:tcPr>
          <w:p w14:paraId="4C137F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火情识别预警模块</w:t>
            </w:r>
          </w:p>
        </w:tc>
        <w:tc>
          <w:tcPr>
            <w:tcW w:w="946" w:type="dxa"/>
            <w:shd w:val="clear" w:color="auto" w:fill="auto"/>
            <w:noWrap w:val="0"/>
            <w:vAlign w:val="top"/>
          </w:tcPr>
          <w:p w14:paraId="25C15DFE">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6A2BFD3C">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58786462">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27F5E5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4F227BC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7C10E3C9">
            <w:pPr>
              <w:widowControl/>
              <w:rPr>
                <w:rFonts w:hint="eastAsia" w:ascii="宋体" w:hAnsi="宋体" w:eastAsia="宋体" w:cs="宋体"/>
                <w:color w:val="auto"/>
                <w:sz w:val="18"/>
                <w:szCs w:val="18"/>
                <w:highlight w:val="none"/>
              </w:rPr>
            </w:pPr>
          </w:p>
        </w:tc>
        <w:tc>
          <w:tcPr>
            <w:tcW w:w="1701" w:type="dxa"/>
            <w:noWrap w:val="0"/>
            <w:vAlign w:val="top"/>
          </w:tcPr>
          <w:p w14:paraId="418CC273">
            <w:pPr>
              <w:widowControl/>
              <w:rPr>
                <w:rFonts w:hint="eastAsia" w:ascii="宋体" w:hAnsi="宋体" w:eastAsia="宋体" w:cs="宋体"/>
                <w:color w:val="auto"/>
                <w:sz w:val="18"/>
                <w:szCs w:val="18"/>
                <w:highlight w:val="none"/>
              </w:rPr>
            </w:pPr>
          </w:p>
        </w:tc>
        <w:tc>
          <w:tcPr>
            <w:tcW w:w="528" w:type="dxa"/>
            <w:noWrap w:val="0"/>
            <w:vAlign w:val="top"/>
          </w:tcPr>
          <w:p w14:paraId="05A4A972">
            <w:pPr>
              <w:widowControl/>
              <w:rPr>
                <w:rFonts w:hint="eastAsia" w:ascii="宋体" w:hAnsi="宋体" w:eastAsia="宋体" w:cs="宋体"/>
                <w:color w:val="auto"/>
                <w:sz w:val="18"/>
                <w:szCs w:val="18"/>
                <w:highlight w:val="none"/>
              </w:rPr>
            </w:pPr>
          </w:p>
        </w:tc>
      </w:tr>
      <w:tr w14:paraId="421A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shd w:val="clear" w:color="auto" w:fill="auto"/>
            <w:noWrap w:val="0"/>
            <w:vAlign w:val="center"/>
          </w:tcPr>
          <w:p w14:paraId="4BD3B6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786" w:type="dxa"/>
            <w:shd w:val="clear" w:color="auto" w:fill="FFFFFF"/>
            <w:noWrap w:val="0"/>
            <w:vAlign w:val="center"/>
          </w:tcPr>
          <w:p w14:paraId="37578E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生态安全风险监测预警信息平台“一张图”</w:t>
            </w:r>
          </w:p>
        </w:tc>
        <w:tc>
          <w:tcPr>
            <w:tcW w:w="946" w:type="dxa"/>
            <w:shd w:val="clear" w:color="auto" w:fill="auto"/>
            <w:noWrap w:val="0"/>
            <w:vAlign w:val="top"/>
          </w:tcPr>
          <w:p w14:paraId="140A8FBA">
            <w:pPr>
              <w:widowControl/>
              <w:rPr>
                <w:rFonts w:hint="eastAsia" w:ascii="宋体" w:hAnsi="宋体" w:eastAsia="宋体" w:cs="宋体"/>
                <w:color w:val="auto"/>
                <w:sz w:val="18"/>
                <w:szCs w:val="18"/>
                <w:highlight w:val="none"/>
              </w:rPr>
            </w:pPr>
          </w:p>
        </w:tc>
        <w:tc>
          <w:tcPr>
            <w:tcW w:w="946" w:type="dxa"/>
            <w:shd w:val="clear" w:color="auto" w:fill="auto"/>
            <w:noWrap w:val="0"/>
            <w:vAlign w:val="top"/>
          </w:tcPr>
          <w:p w14:paraId="087E5953">
            <w:pPr>
              <w:widowControl/>
              <w:rPr>
                <w:rFonts w:hint="eastAsia" w:ascii="宋体" w:hAnsi="宋体" w:eastAsia="宋体" w:cs="宋体"/>
                <w:color w:val="auto"/>
                <w:sz w:val="18"/>
                <w:szCs w:val="18"/>
                <w:highlight w:val="none"/>
              </w:rPr>
            </w:pPr>
          </w:p>
        </w:tc>
        <w:tc>
          <w:tcPr>
            <w:tcW w:w="1307" w:type="dxa"/>
            <w:shd w:val="clear" w:color="auto" w:fill="auto"/>
            <w:noWrap w:val="0"/>
            <w:vAlign w:val="top"/>
          </w:tcPr>
          <w:p w14:paraId="75F22B8A">
            <w:pPr>
              <w:widowControl/>
              <w:rPr>
                <w:rFonts w:hint="eastAsia" w:ascii="宋体" w:hAnsi="宋体" w:eastAsia="宋体" w:cs="宋体"/>
                <w:color w:val="auto"/>
                <w:sz w:val="18"/>
                <w:szCs w:val="18"/>
                <w:highlight w:val="none"/>
              </w:rPr>
            </w:pPr>
          </w:p>
        </w:tc>
        <w:tc>
          <w:tcPr>
            <w:tcW w:w="942" w:type="dxa"/>
            <w:shd w:val="clear" w:color="auto" w:fill="FFFFFF"/>
            <w:noWrap w:val="0"/>
            <w:vAlign w:val="center"/>
          </w:tcPr>
          <w:p w14:paraId="754337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516" w:type="dxa"/>
            <w:shd w:val="clear" w:color="auto" w:fill="FFFFFF"/>
            <w:noWrap w:val="0"/>
            <w:vAlign w:val="center"/>
          </w:tcPr>
          <w:p w14:paraId="21A6456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43" w:type="dxa"/>
            <w:noWrap w:val="0"/>
            <w:vAlign w:val="top"/>
          </w:tcPr>
          <w:p w14:paraId="1EBACEF5">
            <w:pPr>
              <w:widowControl/>
              <w:rPr>
                <w:rFonts w:hint="eastAsia" w:ascii="宋体" w:hAnsi="宋体" w:eastAsia="宋体" w:cs="宋体"/>
                <w:color w:val="auto"/>
                <w:sz w:val="18"/>
                <w:szCs w:val="18"/>
                <w:highlight w:val="none"/>
              </w:rPr>
            </w:pPr>
          </w:p>
        </w:tc>
        <w:tc>
          <w:tcPr>
            <w:tcW w:w="1701" w:type="dxa"/>
            <w:noWrap w:val="0"/>
            <w:vAlign w:val="top"/>
          </w:tcPr>
          <w:p w14:paraId="7C816810">
            <w:pPr>
              <w:widowControl/>
              <w:rPr>
                <w:rFonts w:hint="eastAsia" w:ascii="宋体" w:hAnsi="宋体" w:eastAsia="宋体" w:cs="宋体"/>
                <w:color w:val="auto"/>
                <w:sz w:val="18"/>
                <w:szCs w:val="18"/>
                <w:highlight w:val="none"/>
              </w:rPr>
            </w:pPr>
          </w:p>
        </w:tc>
        <w:tc>
          <w:tcPr>
            <w:tcW w:w="528" w:type="dxa"/>
            <w:noWrap w:val="0"/>
            <w:vAlign w:val="top"/>
          </w:tcPr>
          <w:p w14:paraId="5DA9EA6F">
            <w:pPr>
              <w:widowControl/>
              <w:rPr>
                <w:rFonts w:hint="eastAsia" w:ascii="宋体" w:hAnsi="宋体" w:eastAsia="宋体" w:cs="宋体"/>
                <w:color w:val="auto"/>
                <w:sz w:val="18"/>
                <w:szCs w:val="18"/>
                <w:highlight w:val="none"/>
              </w:rPr>
            </w:pPr>
          </w:p>
        </w:tc>
      </w:tr>
      <w:tr w14:paraId="71FE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7784" w:type="dxa"/>
            <w:gridSpan w:val="8"/>
            <w:shd w:val="clear" w:color="auto" w:fill="auto"/>
            <w:noWrap w:val="0"/>
            <w:vAlign w:val="center"/>
          </w:tcPr>
          <w:p w14:paraId="0DAA3DF9">
            <w:pPr>
              <w:widowControl/>
              <w:jc w:val="center"/>
              <w:rPr>
                <w:rFonts w:hint="default" w:ascii="宋体" w:hAnsi="宋体" w:eastAsia="宋体" w:cs="宋体"/>
                <w:color w:val="auto"/>
                <w:sz w:val="18"/>
                <w:szCs w:val="18"/>
                <w:highlight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监测预警平台开发</w:t>
            </w:r>
            <w:r>
              <w:rPr>
                <w:rFonts w:hint="eastAsia" w:ascii="宋体" w:hAnsi="宋体" w:cs="宋体"/>
                <w:b w:val="0"/>
                <w:bCs w:val="0"/>
                <w:i w:val="0"/>
                <w:iCs w:val="0"/>
                <w:color w:val="auto"/>
                <w:kern w:val="0"/>
                <w:sz w:val="21"/>
                <w:szCs w:val="21"/>
                <w:highlight w:val="none"/>
                <w:u w:val="none"/>
                <w:lang w:val="en-US" w:eastAsia="zh-CN" w:bidi="ar"/>
              </w:rPr>
              <w:t>费用合计</w:t>
            </w:r>
            <w:r>
              <w:rPr>
                <w:rFonts w:hint="eastAsia" w:ascii="宋体" w:hAnsi="宋体" w:eastAsia="宋体" w:cs="宋体"/>
                <w:color w:val="auto"/>
                <w:kern w:val="2"/>
                <w:sz w:val="21"/>
                <w:szCs w:val="21"/>
                <w:highlight w:val="none"/>
                <w:lang w:val="en-US" w:eastAsia="zh-CN" w:bidi="ar-SA"/>
              </w:rPr>
              <w:t>（元）</w:t>
            </w:r>
          </w:p>
        </w:tc>
        <w:tc>
          <w:tcPr>
            <w:tcW w:w="1701" w:type="dxa"/>
            <w:noWrap w:val="0"/>
            <w:vAlign w:val="top"/>
          </w:tcPr>
          <w:p w14:paraId="5576C666">
            <w:pPr>
              <w:widowControl/>
              <w:rPr>
                <w:rFonts w:hint="eastAsia" w:ascii="宋体" w:hAnsi="宋体" w:eastAsia="宋体" w:cs="宋体"/>
                <w:color w:val="auto"/>
                <w:sz w:val="18"/>
                <w:szCs w:val="18"/>
                <w:highlight w:val="none"/>
              </w:rPr>
            </w:pPr>
          </w:p>
        </w:tc>
        <w:tc>
          <w:tcPr>
            <w:tcW w:w="528" w:type="dxa"/>
            <w:noWrap w:val="0"/>
            <w:vAlign w:val="top"/>
          </w:tcPr>
          <w:p w14:paraId="1F19D515">
            <w:pPr>
              <w:widowControl/>
              <w:rPr>
                <w:rFonts w:hint="eastAsia" w:ascii="宋体" w:hAnsi="宋体" w:eastAsia="宋体" w:cs="宋体"/>
                <w:color w:val="auto"/>
                <w:sz w:val="18"/>
                <w:szCs w:val="18"/>
                <w:highlight w:val="none"/>
              </w:rPr>
            </w:pPr>
          </w:p>
        </w:tc>
      </w:tr>
      <w:tr w14:paraId="7772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0013" w:type="dxa"/>
            <w:gridSpan w:val="10"/>
            <w:noWrap w:val="0"/>
            <w:vAlign w:val="center"/>
          </w:tcPr>
          <w:p w14:paraId="2A0791F0">
            <w:pPr>
              <w:widowControl/>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四、设备运维服务</w:t>
            </w:r>
            <w:r>
              <w:rPr>
                <w:rFonts w:hint="eastAsia" w:ascii="宋体" w:hAnsi="宋体" w:cs="宋体"/>
                <w:color w:val="auto"/>
                <w:sz w:val="21"/>
                <w:szCs w:val="21"/>
                <w:highlight w:val="none"/>
                <w:lang w:val="en-US" w:eastAsia="zh-CN"/>
              </w:rPr>
              <w:t>（合同履行期限内）</w:t>
            </w:r>
          </w:p>
        </w:tc>
      </w:tr>
      <w:tr w14:paraId="1B2D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381F05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86" w:type="dxa"/>
            <w:noWrap w:val="0"/>
            <w:vAlign w:val="center"/>
          </w:tcPr>
          <w:p w14:paraId="5A53A51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设备安装与运维</w:t>
            </w:r>
          </w:p>
        </w:tc>
        <w:tc>
          <w:tcPr>
            <w:tcW w:w="946" w:type="dxa"/>
            <w:noWrap w:val="0"/>
            <w:vAlign w:val="center"/>
          </w:tcPr>
          <w:p w14:paraId="40645EC6">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5B2F1B6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top"/>
          </w:tcPr>
          <w:p w14:paraId="17E57D26">
            <w:pPr>
              <w:widowControl/>
              <w:rPr>
                <w:rFonts w:hint="eastAsia" w:ascii="宋体" w:hAnsi="宋体" w:eastAsia="宋体" w:cs="宋体"/>
                <w:color w:val="auto"/>
                <w:sz w:val="18"/>
                <w:szCs w:val="18"/>
                <w:highlight w:val="none"/>
              </w:rPr>
            </w:pPr>
          </w:p>
        </w:tc>
        <w:tc>
          <w:tcPr>
            <w:tcW w:w="942" w:type="dxa"/>
            <w:noWrap w:val="0"/>
            <w:vAlign w:val="center"/>
          </w:tcPr>
          <w:p w14:paraId="3A64F2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项</w:t>
            </w:r>
          </w:p>
        </w:tc>
        <w:tc>
          <w:tcPr>
            <w:tcW w:w="516" w:type="dxa"/>
            <w:noWrap w:val="0"/>
            <w:vAlign w:val="center"/>
          </w:tcPr>
          <w:p w14:paraId="670853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1F65C24D">
            <w:pPr>
              <w:widowControl/>
              <w:rPr>
                <w:rFonts w:hint="eastAsia" w:ascii="宋体" w:hAnsi="宋体" w:eastAsia="宋体" w:cs="宋体"/>
                <w:color w:val="auto"/>
                <w:sz w:val="18"/>
                <w:szCs w:val="18"/>
                <w:highlight w:val="none"/>
              </w:rPr>
            </w:pPr>
          </w:p>
        </w:tc>
        <w:tc>
          <w:tcPr>
            <w:tcW w:w="1701" w:type="dxa"/>
            <w:noWrap w:val="0"/>
            <w:vAlign w:val="top"/>
          </w:tcPr>
          <w:p w14:paraId="5E92E4DF">
            <w:pPr>
              <w:widowControl/>
              <w:rPr>
                <w:rFonts w:hint="eastAsia" w:ascii="宋体" w:hAnsi="宋体" w:eastAsia="宋体" w:cs="宋体"/>
                <w:color w:val="auto"/>
                <w:sz w:val="18"/>
                <w:szCs w:val="18"/>
                <w:highlight w:val="none"/>
              </w:rPr>
            </w:pPr>
          </w:p>
        </w:tc>
        <w:tc>
          <w:tcPr>
            <w:tcW w:w="528" w:type="dxa"/>
            <w:noWrap w:val="0"/>
            <w:vAlign w:val="top"/>
          </w:tcPr>
          <w:p w14:paraId="3BFF56E1">
            <w:pPr>
              <w:widowControl/>
              <w:rPr>
                <w:rFonts w:hint="eastAsia" w:ascii="宋体" w:hAnsi="宋体" w:eastAsia="宋体" w:cs="宋体"/>
                <w:color w:val="auto"/>
                <w:sz w:val="18"/>
                <w:szCs w:val="18"/>
                <w:highlight w:val="none"/>
              </w:rPr>
            </w:pPr>
          </w:p>
        </w:tc>
      </w:tr>
      <w:tr w14:paraId="7E2D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298" w:type="dxa"/>
            <w:noWrap w:val="0"/>
            <w:vAlign w:val="center"/>
          </w:tcPr>
          <w:p w14:paraId="2F9826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86" w:type="dxa"/>
            <w:noWrap w:val="0"/>
            <w:vAlign w:val="center"/>
          </w:tcPr>
          <w:p w14:paraId="1705B7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长期数据专项保障</w:t>
            </w:r>
          </w:p>
        </w:tc>
        <w:tc>
          <w:tcPr>
            <w:tcW w:w="946" w:type="dxa"/>
            <w:noWrap w:val="0"/>
            <w:vAlign w:val="center"/>
          </w:tcPr>
          <w:p w14:paraId="740F1BC2">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946" w:type="dxa"/>
            <w:noWrap w:val="0"/>
            <w:vAlign w:val="center"/>
          </w:tcPr>
          <w:p w14:paraId="6F15DFE0">
            <w:pPr>
              <w:widowControl/>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w:t>
            </w:r>
          </w:p>
        </w:tc>
        <w:tc>
          <w:tcPr>
            <w:tcW w:w="1307" w:type="dxa"/>
            <w:noWrap w:val="0"/>
            <w:vAlign w:val="top"/>
          </w:tcPr>
          <w:p w14:paraId="7596A094">
            <w:pPr>
              <w:widowControl/>
              <w:rPr>
                <w:rFonts w:hint="eastAsia" w:ascii="宋体" w:hAnsi="宋体" w:eastAsia="宋体" w:cs="宋体"/>
                <w:color w:val="auto"/>
                <w:sz w:val="18"/>
                <w:szCs w:val="18"/>
                <w:highlight w:val="none"/>
              </w:rPr>
            </w:pPr>
          </w:p>
        </w:tc>
        <w:tc>
          <w:tcPr>
            <w:tcW w:w="942" w:type="dxa"/>
            <w:noWrap w:val="0"/>
            <w:vAlign w:val="center"/>
          </w:tcPr>
          <w:p w14:paraId="7D960F9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项</w:t>
            </w:r>
          </w:p>
        </w:tc>
        <w:tc>
          <w:tcPr>
            <w:tcW w:w="516" w:type="dxa"/>
            <w:noWrap w:val="0"/>
            <w:vAlign w:val="center"/>
          </w:tcPr>
          <w:p w14:paraId="4D1EA3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43" w:type="dxa"/>
            <w:noWrap w:val="0"/>
            <w:vAlign w:val="top"/>
          </w:tcPr>
          <w:p w14:paraId="4899FBD1">
            <w:pPr>
              <w:widowControl/>
              <w:rPr>
                <w:rFonts w:hint="eastAsia" w:ascii="宋体" w:hAnsi="宋体" w:eastAsia="宋体" w:cs="宋体"/>
                <w:color w:val="auto"/>
                <w:sz w:val="18"/>
                <w:szCs w:val="18"/>
                <w:highlight w:val="none"/>
              </w:rPr>
            </w:pPr>
          </w:p>
        </w:tc>
        <w:tc>
          <w:tcPr>
            <w:tcW w:w="1701" w:type="dxa"/>
            <w:noWrap w:val="0"/>
            <w:vAlign w:val="top"/>
          </w:tcPr>
          <w:p w14:paraId="45CB0038">
            <w:pPr>
              <w:widowControl/>
              <w:rPr>
                <w:rFonts w:hint="eastAsia" w:ascii="宋体" w:hAnsi="宋体" w:eastAsia="宋体" w:cs="宋体"/>
                <w:color w:val="auto"/>
                <w:sz w:val="18"/>
                <w:szCs w:val="18"/>
                <w:highlight w:val="none"/>
              </w:rPr>
            </w:pPr>
          </w:p>
        </w:tc>
        <w:tc>
          <w:tcPr>
            <w:tcW w:w="528" w:type="dxa"/>
            <w:noWrap w:val="0"/>
            <w:vAlign w:val="top"/>
          </w:tcPr>
          <w:p w14:paraId="668C8F0B">
            <w:pPr>
              <w:widowControl/>
              <w:rPr>
                <w:rFonts w:hint="eastAsia" w:ascii="宋体" w:hAnsi="宋体" w:eastAsia="宋体" w:cs="宋体"/>
                <w:color w:val="auto"/>
                <w:sz w:val="18"/>
                <w:szCs w:val="18"/>
                <w:highlight w:val="none"/>
              </w:rPr>
            </w:pPr>
          </w:p>
        </w:tc>
      </w:tr>
      <w:tr w14:paraId="7469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7784" w:type="dxa"/>
            <w:gridSpan w:val="8"/>
            <w:noWrap w:val="0"/>
            <w:vAlign w:val="center"/>
          </w:tcPr>
          <w:p w14:paraId="6F7CA55D">
            <w:pPr>
              <w:widowControl/>
              <w:jc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设备运维服务费用合计</w:t>
            </w:r>
            <w:r>
              <w:rPr>
                <w:rFonts w:hint="eastAsia" w:ascii="宋体" w:hAnsi="宋体" w:eastAsia="宋体" w:cs="宋体"/>
                <w:color w:val="auto"/>
                <w:kern w:val="2"/>
                <w:sz w:val="21"/>
                <w:szCs w:val="21"/>
                <w:highlight w:val="none"/>
                <w:lang w:val="en-US" w:eastAsia="zh-CN" w:bidi="ar-SA"/>
              </w:rPr>
              <w:t>（元）</w:t>
            </w:r>
          </w:p>
        </w:tc>
        <w:tc>
          <w:tcPr>
            <w:tcW w:w="1701" w:type="dxa"/>
            <w:noWrap w:val="0"/>
            <w:vAlign w:val="top"/>
          </w:tcPr>
          <w:p w14:paraId="71218B13">
            <w:pPr>
              <w:widowControl/>
              <w:rPr>
                <w:rFonts w:hint="eastAsia" w:ascii="宋体" w:hAnsi="宋体" w:eastAsia="宋体" w:cs="宋体"/>
                <w:color w:val="auto"/>
                <w:sz w:val="18"/>
                <w:szCs w:val="18"/>
                <w:highlight w:val="none"/>
              </w:rPr>
            </w:pPr>
          </w:p>
        </w:tc>
        <w:tc>
          <w:tcPr>
            <w:tcW w:w="528" w:type="dxa"/>
            <w:noWrap w:val="0"/>
            <w:vAlign w:val="top"/>
          </w:tcPr>
          <w:p w14:paraId="7910BEC0">
            <w:pPr>
              <w:widowControl/>
              <w:rPr>
                <w:rFonts w:hint="eastAsia" w:ascii="宋体" w:hAnsi="宋体" w:eastAsia="宋体" w:cs="宋体"/>
                <w:color w:val="auto"/>
                <w:sz w:val="18"/>
                <w:szCs w:val="18"/>
                <w:highlight w:val="none"/>
              </w:rPr>
            </w:pPr>
          </w:p>
        </w:tc>
      </w:tr>
      <w:tr w14:paraId="2622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7784" w:type="dxa"/>
            <w:gridSpan w:val="8"/>
            <w:noWrap w:val="0"/>
            <w:vAlign w:val="center"/>
          </w:tcPr>
          <w:p w14:paraId="4EB5CDE9">
            <w:pPr>
              <w:widowControl/>
              <w:jc w:val="center"/>
              <w:rPr>
                <w:rFonts w:hint="default" w:ascii="宋体" w:hAnsi="宋体" w:eastAsia="宋体" w:cs="宋体"/>
                <w:color w:val="auto"/>
                <w:sz w:val="18"/>
                <w:szCs w:val="18"/>
                <w:highlight w:val="none"/>
                <w:lang w:val="en-US"/>
              </w:rPr>
            </w:pPr>
            <w:r>
              <w:rPr>
                <w:rFonts w:hint="eastAsia" w:ascii="宋体" w:hAnsi="宋体" w:cs="宋体"/>
                <w:color w:val="auto"/>
                <w:kern w:val="2"/>
                <w:sz w:val="21"/>
                <w:szCs w:val="21"/>
                <w:highlight w:val="none"/>
                <w:lang w:val="en-US" w:eastAsia="zh-CN" w:bidi="ar-SA"/>
              </w:rPr>
              <w:t>项目</w:t>
            </w:r>
            <w:r>
              <w:rPr>
                <w:rFonts w:hint="eastAsia" w:ascii="宋体" w:hAnsi="宋体" w:eastAsia="宋体" w:cs="宋体"/>
                <w:color w:val="auto"/>
                <w:kern w:val="2"/>
                <w:sz w:val="21"/>
                <w:szCs w:val="21"/>
                <w:highlight w:val="none"/>
                <w:lang w:val="en-US" w:eastAsia="zh-CN" w:bidi="ar-SA"/>
              </w:rPr>
              <w:t>合计（元）</w:t>
            </w:r>
            <w:r>
              <w:rPr>
                <w:rFonts w:hint="eastAsia" w:ascii="宋体" w:hAnsi="宋体" w:cs="宋体"/>
                <w:color w:val="auto"/>
                <w:kern w:val="2"/>
                <w:sz w:val="21"/>
                <w:szCs w:val="21"/>
                <w:highlight w:val="none"/>
                <w:lang w:val="en-US" w:eastAsia="zh-CN" w:bidi="ar-SA"/>
              </w:rPr>
              <w:t>=（一+二+三+四）</w:t>
            </w:r>
          </w:p>
        </w:tc>
        <w:tc>
          <w:tcPr>
            <w:tcW w:w="1701" w:type="dxa"/>
            <w:noWrap w:val="0"/>
            <w:vAlign w:val="top"/>
          </w:tcPr>
          <w:p w14:paraId="2B4AB216">
            <w:pPr>
              <w:widowControl/>
              <w:rPr>
                <w:rFonts w:hint="eastAsia" w:ascii="宋体" w:hAnsi="宋体" w:eastAsia="宋体" w:cs="宋体"/>
                <w:color w:val="auto"/>
                <w:sz w:val="18"/>
                <w:szCs w:val="18"/>
                <w:highlight w:val="none"/>
              </w:rPr>
            </w:pPr>
          </w:p>
        </w:tc>
        <w:tc>
          <w:tcPr>
            <w:tcW w:w="528" w:type="dxa"/>
            <w:noWrap w:val="0"/>
            <w:vAlign w:val="top"/>
          </w:tcPr>
          <w:p w14:paraId="6B868CBB">
            <w:pPr>
              <w:widowControl/>
              <w:rPr>
                <w:rFonts w:hint="eastAsia" w:ascii="宋体" w:hAnsi="宋体" w:eastAsia="宋体" w:cs="宋体"/>
                <w:color w:val="auto"/>
                <w:sz w:val="18"/>
                <w:szCs w:val="18"/>
                <w:highlight w:val="none"/>
              </w:rPr>
            </w:pPr>
          </w:p>
        </w:tc>
      </w:tr>
    </w:tbl>
    <w:p w14:paraId="13A49A4D">
      <w:pP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注：1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“总计”项价格应与“投标报价汇总表”中</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投标总报价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金额</w:t>
      </w:r>
      <w:r>
        <w:rPr>
          <w:rFonts w:hint="eastAsia" w:ascii="宋体" w:hAnsi="宋体" w:eastAsia="宋体" w:cs="宋体"/>
          <w:color w:val="auto"/>
          <w:szCs w:val="21"/>
          <w:highlight w:val="none"/>
        </w:rPr>
        <w:t>一致</w:t>
      </w:r>
      <w:r>
        <w:rPr>
          <w:rFonts w:hint="eastAsia" w:ascii="宋体" w:hAnsi="宋体" w:eastAsia="宋体" w:cs="宋体"/>
          <w:bCs/>
          <w:color w:val="auto"/>
          <w:szCs w:val="21"/>
          <w:highlight w:val="none"/>
        </w:rPr>
        <w:t>。</w:t>
      </w:r>
    </w:p>
    <w:p w14:paraId="40A874DD">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rPr>
        <w:t>投标人必须将招标文件第五章“</w:t>
      </w:r>
      <w:r>
        <w:rPr>
          <w:rFonts w:hint="eastAsia" w:ascii="宋体" w:hAnsi="宋体" w:eastAsia="宋体" w:cs="宋体"/>
          <w:b/>
          <w:bCs/>
          <w:color w:val="auto"/>
          <w:szCs w:val="21"/>
          <w:highlight w:val="none"/>
          <w:lang w:eastAsia="zh-CN"/>
        </w:rPr>
        <w:t>采购需求</w:t>
      </w:r>
      <w:r>
        <w:rPr>
          <w:rFonts w:hint="eastAsia" w:ascii="宋体" w:hAnsi="宋体" w:eastAsia="宋体" w:cs="宋体"/>
          <w:b/>
          <w:bCs/>
          <w:color w:val="auto"/>
          <w:szCs w:val="21"/>
          <w:highlight w:val="none"/>
        </w:rPr>
        <w:t>”中采购</w:t>
      </w:r>
      <w:r>
        <w:rPr>
          <w:rFonts w:hint="eastAsia" w:ascii="宋体" w:hAnsi="宋体" w:eastAsia="宋体" w:cs="宋体"/>
          <w:b/>
          <w:bCs/>
          <w:color w:val="auto"/>
          <w:szCs w:val="21"/>
          <w:highlight w:val="none"/>
          <w:lang w:val="en-US" w:eastAsia="zh-CN"/>
        </w:rPr>
        <w:t>服务或</w:t>
      </w:r>
      <w:r>
        <w:rPr>
          <w:rFonts w:hint="eastAsia" w:ascii="宋体" w:hAnsi="宋体" w:eastAsia="宋体" w:cs="宋体"/>
          <w:b/>
          <w:bCs/>
          <w:color w:val="auto"/>
          <w:szCs w:val="21"/>
          <w:highlight w:val="none"/>
        </w:rPr>
        <w:t>货物按顺序逐项填报此表，不得缺项漏项或任意合并项目报价，必须按本表格式填写，否则评委可视为未响应招标文件实质性要求。</w:t>
      </w:r>
    </w:p>
    <w:p w14:paraId="3350DE09">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rPr>
        <w:t>在“是否小型或微型企业、残疾人福利性单位或监狱企业”项中如实填写小微企业、残疾人福利性单位或监狱企业，并按招标文件要求提供声明函或证明文件，否则不予进行价格扣除。</w:t>
      </w:r>
    </w:p>
    <w:p w14:paraId="53A53BD0">
      <w:pPr>
        <w:pStyle w:val="1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招标范围中所投产品的税金、技术服务费、其它费用、安装调试费包含在其单价中。</w:t>
      </w:r>
    </w:p>
    <w:p w14:paraId="7FD6518A">
      <w:pPr>
        <w:pStyle w:val="14"/>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项目实施周期：自合同签订之日起至项目整体验收合格之日止，不超过1年；运维服务期：自项目整体验收合格之日起免费运维3年。</w:t>
      </w:r>
    </w:p>
    <w:p w14:paraId="09E5EC8C">
      <w:pPr>
        <w:spacing w:line="360" w:lineRule="auto"/>
        <w:ind w:firstLine="2" w:firstLineChars="1"/>
        <w:rPr>
          <w:rFonts w:hint="eastAsia" w:ascii="宋体" w:hAnsi="宋体" w:eastAsia="宋体" w:cs="宋体"/>
          <w:b w:val="0"/>
          <w:bCs/>
          <w:color w:val="auto"/>
          <w:sz w:val="24"/>
          <w:highlight w:val="none"/>
        </w:rPr>
      </w:pPr>
    </w:p>
    <w:p w14:paraId="6C924508">
      <w:pPr>
        <w:rPr>
          <w:rFonts w:hint="eastAsia" w:ascii="宋体" w:hAnsi="宋体" w:eastAsia="宋体" w:cs="宋体"/>
          <w:b/>
          <w:color w:val="auto"/>
          <w:spacing w:val="40"/>
          <w:sz w:val="32"/>
          <w:highlight w:val="none"/>
        </w:rPr>
      </w:pPr>
      <w:r>
        <w:rPr>
          <w:rFonts w:hint="eastAsia" w:ascii="宋体" w:hAnsi="宋体" w:eastAsia="宋体" w:cs="宋体"/>
          <w:b/>
          <w:color w:val="auto"/>
          <w:spacing w:val="40"/>
          <w:sz w:val="32"/>
          <w:highlight w:val="none"/>
        </w:rPr>
        <w:br w:type="page"/>
      </w:r>
    </w:p>
    <w:bookmarkEnd w:id="124"/>
    <w:bookmarkEnd w:id="168"/>
    <w:bookmarkEnd w:id="169"/>
    <w:bookmarkEnd w:id="170"/>
    <w:bookmarkEnd w:id="171"/>
    <w:bookmarkEnd w:id="172"/>
    <w:bookmarkEnd w:id="173"/>
    <w:p w14:paraId="604E9C20">
      <w:pPr>
        <w:pStyle w:val="18"/>
        <w:spacing w:line="360" w:lineRule="auto"/>
        <w:ind w:firstLine="293" w:firstLineChars="100"/>
        <w:jc w:val="center"/>
        <w:outlineLvl w:val="1"/>
        <w:rPr>
          <w:rFonts w:hint="eastAsia" w:ascii="宋体" w:hAnsi="宋体" w:eastAsia="宋体" w:cs="宋体"/>
          <w:b/>
          <w:color w:val="auto"/>
          <w:spacing w:val="6"/>
          <w:sz w:val="36"/>
          <w:szCs w:val="24"/>
          <w:highlight w:val="none"/>
        </w:rPr>
      </w:pPr>
      <w:bookmarkStart w:id="176" w:name="_Toc20110"/>
      <w:bookmarkStart w:id="177" w:name="_Toc25114"/>
      <w:bookmarkStart w:id="178" w:name="_Toc20160"/>
      <w:bookmarkStart w:id="179" w:name="_Toc23839"/>
      <w:r>
        <w:rPr>
          <w:rFonts w:hint="eastAsia" w:ascii="宋体" w:hAnsi="宋体" w:eastAsia="宋体" w:cs="宋体"/>
          <w:b/>
          <w:color w:val="auto"/>
          <w:spacing w:val="6"/>
          <w:sz w:val="28"/>
          <w:szCs w:val="28"/>
          <w:highlight w:val="none"/>
          <w:lang w:val="en-US" w:eastAsia="zh-CN"/>
        </w:rPr>
        <w:t>8、</w:t>
      </w:r>
      <w:r>
        <w:rPr>
          <w:rFonts w:hint="eastAsia" w:ascii="宋体" w:hAnsi="宋体" w:eastAsia="宋体" w:cs="宋体"/>
          <w:b/>
          <w:color w:val="auto"/>
          <w:spacing w:val="6"/>
          <w:sz w:val="28"/>
          <w:szCs w:val="28"/>
          <w:highlight w:val="none"/>
        </w:rPr>
        <w:t>中小企业声明函</w:t>
      </w:r>
      <w:bookmarkEnd w:id="176"/>
      <w:bookmarkEnd w:id="177"/>
      <w:bookmarkEnd w:id="178"/>
      <w:bookmarkEnd w:id="179"/>
    </w:p>
    <w:p w14:paraId="1CF56890">
      <w:pPr>
        <w:spacing w:line="360" w:lineRule="auto"/>
        <w:rPr>
          <w:rFonts w:hint="eastAsia" w:ascii="宋体" w:hAnsi="宋体" w:eastAsia="宋体" w:cs="宋体"/>
          <w:b/>
          <w:color w:val="auto"/>
          <w:spacing w:val="6"/>
          <w:sz w:val="30"/>
          <w:szCs w:val="30"/>
          <w:highlight w:val="none"/>
        </w:rPr>
      </w:pPr>
    </w:p>
    <w:p w14:paraId="71970B14">
      <w:pPr>
        <w:pStyle w:val="18"/>
        <w:spacing w:line="360" w:lineRule="auto"/>
        <w:ind w:lef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本公司（联合体）郑重声明，根据《政府采购促进中小企业发展暂行办法》（财库</w:t>
      </w:r>
      <w:r>
        <w:rPr>
          <w:rFonts w:hint="eastAsia" w:ascii="宋体" w:hAnsi="宋体" w:eastAsia="宋体" w:cs="宋体"/>
          <w:color w:val="auto"/>
          <w:sz w:val="24"/>
          <w:szCs w:val="24"/>
          <w:highlight w:val="none"/>
          <w:lang w:eastAsia="zh-CN"/>
        </w:rPr>
        <w:t>〔2020〕46号</w:t>
      </w:r>
      <w:r>
        <w:rPr>
          <w:rFonts w:hint="eastAsia" w:ascii="宋体" w:hAnsi="宋体" w:eastAsia="宋体" w:cs="宋体"/>
          <w:color w:val="auto"/>
          <w:sz w:val="24"/>
          <w:szCs w:val="24"/>
          <w:highlight w:val="none"/>
        </w:rPr>
        <w:t>）的规定，本公司（联合体）参加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color w:val="auto"/>
          <w:sz w:val="24"/>
          <w:szCs w:val="24"/>
          <w:highlight w:val="none"/>
        </w:rPr>
        <w:t>服务全部由符合政策要求的中小企业承接，相关企业（含联合体中的中小企业、签订分包意向协议的中小企业）的具体情况如下：</w:t>
      </w:r>
    </w:p>
    <w:p w14:paraId="36D10B25">
      <w:pPr>
        <w:pStyle w:val="18"/>
        <w:spacing w:line="360" w:lineRule="auto"/>
        <w:ind w:lef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（其他未列明行业）行业；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1A457D0">
      <w:pPr>
        <w:pStyle w:val="18"/>
        <w:spacing w:line="360" w:lineRule="auto"/>
        <w:ind w:lef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（其他未列明行业）；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3078E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875D4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5CAF8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B5F8E5A">
      <w:pPr>
        <w:tabs>
          <w:tab w:val="left" w:pos="4860"/>
        </w:tabs>
        <w:spacing w:line="360" w:lineRule="auto"/>
        <w:ind w:right="1560" w:firstLine="504" w:firstLineChars="200"/>
        <w:jc w:val="right"/>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rPr>
        <w:t>企业名称（加盖投标人电子公章）：</w:t>
      </w:r>
    </w:p>
    <w:p w14:paraId="1FC987A1">
      <w:pPr>
        <w:tabs>
          <w:tab w:val="left" w:pos="4860"/>
        </w:tabs>
        <w:spacing w:line="360" w:lineRule="auto"/>
        <w:ind w:right="1560" w:firstLine="504" w:firstLineChars="200"/>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rPr>
        <w:t>日期：</w:t>
      </w:r>
    </w:p>
    <w:p w14:paraId="296EE515">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077475C2">
      <w:pPr>
        <w:spacing w:line="360" w:lineRule="auto"/>
        <w:ind w:firstLine="241" w:firstLineChar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1、从业人员、营业收入、资产总额填报上一年度数据，无上一年度数据的新成立企业可不填报。</w:t>
      </w:r>
    </w:p>
    <w:p w14:paraId="2BEB5F74">
      <w:pPr>
        <w:pStyle w:val="18"/>
        <w:spacing w:line="360" w:lineRule="auto"/>
        <w:ind w:firstLine="241" w:firstLineChars="1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2、所属行业应为《中小企业划型标准规定》中的</w:t>
      </w:r>
      <w:r>
        <w:rPr>
          <w:rFonts w:hint="eastAsia" w:ascii="宋体" w:hAnsi="宋体" w:eastAsia="宋体" w:cs="宋体"/>
          <w:b/>
          <w:bCs/>
          <w:color w:val="auto"/>
          <w:sz w:val="24"/>
          <w:szCs w:val="24"/>
          <w:highlight w:val="none"/>
          <w:u w:val="single"/>
        </w:rPr>
        <w:t>其他未列明行业</w:t>
      </w:r>
      <w:r>
        <w:rPr>
          <w:rFonts w:hint="eastAsia" w:ascii="宋体" w:hAnsi="宋体" w:eastAsia="宋体" w:cs="宋体"/>
          <w:b/>
          <w:color w:val="auto"/>
          <w:sz w:val="24"/>
          <w:szCs w:val="24"/>
          <w:highlight w:val="none"/>
        </w:rPr>
        <w:t>。</w:t>
      </w:r>
    </w:p>
    <w:p w14:paraId="2A6E5980">
      <w:pPr>
        <w:pStyle w:val="18"/>
        <w:spacing w:line="360" w:lineRule="auto"/>
        <w:ind w:firstLine="241" w:firstLineChars="100"/>
        <w:jc w:val="left"/>
        <w:rPr>
          <w:rFonts w:hint="eastAsia" w:ascii="宋体" w:hAnsi="宋体" w:eastAsia="宋体" w:cs="宋体"/>
          <w:b/>
          <w:color w:val="auto"/>
          <w:sz w:val="24"/>
          <w:szCs w:val="24"/>
          <w:highlight w:val="none"/>
        </w:rPr>
      </w:pPr>
      <w:bookmarkStart w:id="180" w:name="_Hlk82023068"/>
      <w:r>
        <w:rPr>
          <w:rFonts w:hint="eastAsia" w:ascii="宋体" w:hAnsi="宋体" w:eastAsia="宋体" w:cs="宋体"/>
          <w:b/>
          <w:color w:val="auto"/>
          <w:sz w:val="24"/>
          <w:szCs w:val="24"/>
          <w:highlight w:val="none"/>
        </w:rPr>
        <w:t>3、注：投标人须核对《关于印发中小企业划型标准规定的通知》（工信部联企业〔2011〕300号）规定的中小企业划型标准，如实填写声明函。所声明的从业人员人数或营业收入金额不符合中小企业划型标准规定的或未按招标文件明确的所属行业填写的或联合体投标未提供全部成员声明的，评标委员会将不予进行价格扣除</w:t>
      </w:r>
      <w:bookmarkEnd w:id="180"/>
      <w:r>
        <w:rPr>
          <w:rFonts w:hint="eastAsia" w:ascii="宋体" w:hAnsi="宋体" w:eastAsia="宋体" w:cs="宋体"/>
          <w:b/>
          <w:color w:val="auto"/>
          <w:sz w:val="24"/>
          <w:szCs w:val="24"/>
          <w:highlight w:val="none"/>
        </w:rPr>
        <w:t>。</w:t>
      </w:r>
    </w:p>
    <w:p w14:paraId="3CE07020">
      <w:pPr>
        <w:pStyle w:val="18"/>
        <w:spacing w:line="360" w:lineRule="auto"/>
        <w:ind w:firstLine="241" w:firstLineChars="1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4.投标人如不是小微企业，则《中小企业声明函》可不填写也不用进行签字盖章。</w:t>
      </w:r>
    </w:p>
    <w:p w14:paraId="6E458EE9">
      <w:pPr>
        <w:ind w:firstLine="241" w:firstLineChars="100"/>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lang w:val="en-US" w:eastAsia="zh-CN"/>
        </w:rPr>
        <w:t>5.如为联合体投标的，联合体各方均须提供。</w:t>
      </w:r>
    </w:p>
    <w:p w14:paraId="2BA3A9BF">
      <w:pPr>
        <w:pStyle w:val="14"/>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r>
        <w:rPr>
          <w:rFonts w:hint="eastAsia" w:ascii="宋体" w:hAnsi="宋体" w:eastAsia="宋体" w:cs="宋体"/>
          <w:color w:val="auto"/>
          <w:kern w:val="0"/>
          <w:szCs w:val="21"/>
          <w:highlight w:val="none"/>
        </w:rPr>
        <w:t>附表</w:t>
      </w:r>
    </w:p>
    <w:p w14:paraId="68610DE1">
      <w:pPr>
        <w:widowControl/>
        <w:spacing w:line="360" w:lineRule="auto"/>
        <w:jc w:val="center"/>
        <w:rPr>
          <w:rFonts w:hint="eastAsia" w:ascii="宋体" w:hAnsi="宋体" w:eastAsia="宋体" w:cs="宋体"/>
          <w:color w:val="auto"/>
          <w:kern w:val="0"/>
          <w:sz w:val="36"/>
          <w:szCs w:val="32"/>
          <w:highlight w:val="none"/>
        </w:rPr>
      </w:pPr>
      <w:r>
        <w:rPr>
          <w:rFonts w:hint="eastAsia" w:ascii="宋体" w:hAnsi="宋体" w:eastAsia="宋体" w:cs="宋体"/>
          <w:color w:val="auto"/>
          <w:kern w:val="0"/>
          <w:sz w:val="36"/>
          <w:szCs w:val="32"/>
          <w:highlight w:val="none"/>
        </w:rPr>
        <w:t>统计上大中小微型企业划分标准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93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51839AFE">
            <w:pPr>
              <w:widowControl/>
              <w:spacing w:line="360" w:lineRule="auto"/>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3D5D1B33">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155BAF88">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7BB77198">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2F2415CE">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4B727A66">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5947F65F">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4056472E">
            <w:pPr>
              <w:widowControl/>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4C3A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B9A3D4">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农、林、牧、渔业</w:t>
            </w:r>
          </w:p>
        </w:tc>
        <w:tc>
          <w:tcPr>
            <w:tcW w:w="1369" w:type="dxa"/>
            <w:noWrap w:val="0"/>
            <w:vAlign w:val="center"/>
          </w:tcPr>
          <w:p w14:paraId="7A1FBB8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289D9E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E4128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7645661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noWrap w:val="0"/>
            <w:vAlign w:val="center"/>
          </w:tcPr>
          <w:p w14:paraId="5A19FF2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992" w:type="dxa"/>
            <w:noWrap w:val="0"/>
            <w:vAlign w:val="center"/>
          </w:tcPr>
          <w:p w14:paraId="4DF2F37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2E3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617F6A">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工业*</w:t>
            </w:r>
          </w:p>
        </w:tc>
        <w:tc>
          <w:tcPr>
            <w:tcW w:w="1369" w:type="dxa"/>
            <w:noWrap w:val="0"/>
            <w:vAlign w:val="center"/>
          </w:tcPr>
          <w:p w14:paraId="735357B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62C17B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B86EA4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096C9D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404780C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45506D2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E5B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C0A1BF">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7FE81B7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B90D09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D57D27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43EE55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noWrap w:val="0"/>
            <w:vAlign w:val="center"/>
          </w:tcPr>
          <w:p w14:paraId="5E25CEF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158B849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5FAB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5C14D9">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建筑业</w:t>
            </w:r>
          </w:p>
        </w:tc>
        <w:tc>
          <w:tcPr>
            <w:tcW w:w="1369" w:type="dxa"/>
            <w:noWrap w:val="0"/>
            <w:vAlign w:val="center"/>
          </w:tcPr>
          <w:p w14:paraId="09AB6C9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CB42D3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E32A5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6A34510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noWrap w:val="0"/>
            <w:vAlign w:val="center"/>
          </w:tcPr>
          <w:p w14:paraId="4F16772D">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992" w:type="dxa"/>
            <w:noWrap w:val="0"/>
            <w:vAlign w:val="center"/>
          </w:tcPr>
          <w:p w14:paraId="7BEEF2A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65B7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2EB5BF">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5E15444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4F129A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B7D683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1AF295BD">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426" w:type="dxa"/>
            <w:noWrap w:val="0"/>
            <w:vAlign w:val="center"/>
          </w:tcPr>
          <w:p w14:paraId="036C003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noWrap w:val="0"/>
            <w:vAlign w:val="center"/>
          </w:tcPr>
          <w:p w14:paraId="4A2622C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DAB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9CF5DA">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批发业</w:t>
            </w:r>
          </w:p>
        </w:tc>
        <w:tc>
          <w:tcPr>
            <w:tcW w:w="1369" w:type="dxa"/>
            <w:noWrap w:val="0"/>
            <w:vAlign w:val="center"/>
          </w:tcPr>
          <w:p w14:paraId="1E8E0B0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9875C5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D1D114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27D33E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noWrap w:val="0"/>
            <w:vAlign w:val="center"/>
          </w:tcPr>
          <w:p w14:paraId="109F73A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992" w:type="dxa"/>
            <w:noWrap w:val="0"/>
            <w:vAlign w:val="center"/>
          </w:tcPr>
          <w:p w14:paraId="59E4419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5B72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1A43CA">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654307E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EAAA28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D10F29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1CB4E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426" w:type="dxa"/>
            <w:noWrap w:val="0"/>
            <w:vAlign w:val="center"/>
          </w:tcPr>
          <w:p w14:paraId="4DAD9940">
            <w:pPr>
              <w:widowControl/>
              <w:spacing w:line="360" w:lineRule="auto"/>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noWrap w:val="0"/>
            <w:vAlign w:val="center"/>
          </w:tcPr>
          <w:p w14:paraId="0EE6800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11F3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CEABD7">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零售业</w:t>
            </w:r>
          </w:p>
        </w:tc>
        <w:tc>
          <w:tcPr>
            <w:tcW w:w="1369" w:type="dxa"/>
            <w:noWrap w:val="0"/>
            <w:vAlign w:val="center"/>
          </w:tcPr>
          <w:p w14:paraId="2E6ADE9D">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1E8172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B96E9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25D520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4038727F">
            <w:pPr>
              <w:widowControl/>
              <w:spacing w:line="360" w:lineRule="auto"/>
              <w:ind w:left="-1" w:leftChars="-1" w:hanging="1"/>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992" w:type="dxa"/>
            <w:noWrap w:val="0"/>
            <w:vAlign w:val="center"/>
          </w:tcPr>
          <w:p w14:paraId="7A54D78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1E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CD12EAB">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00ECB7A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546A1F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64D9E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96DCC0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426" w:type="dxa"/>
            <w:noWrap w:val="0"/>
            <w:vAlign w:val="center"/>
          </w:tcPr>
          <w:p w14:paraId="3B29EA91">
            <w:pPr>
              <w:widowControl/>
              <w:spacing w:line="360" w:lineRule="auto"/>
              <w:ind w:left="-1" w:leftChars="-1" w:hanging="1"/>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992" w:type="dxa"/>
            <w:noWrap w:val="0"/>
            <w:vAlign w:val="center"/>
          </w:tcPr>
          <w:p w14:paraId="05F4AA2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DC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20F9BA">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交通运输业*</w:t>
            </w:r>
          </w:p>
        </w:tc>
        <w:tc>
          <w:tcPr>
            <w:tcW w:w="1369" w:type="dxa"/>
            <w:noWrap w:val="0"/>
            <w:vAlign w:val="center"/>
          </w:tcPr>
          <w:p w14:paraId="2ECA613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33A38E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AB96D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18001B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2C4C2D8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17741CB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1DF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09F8A9">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116BC75D">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0DA970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2F8C80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F022D8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noWrap w:val="0"/>
            <w:vAlign w:val="center"/>
          </w:tcPr>
          <w:p w14:paraId="32FAF95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992" w:type="dxa"/>
            <w:noWrap w:val="0"/>
            <w:vAlign w:val="center"/>
          </w:tcPr>
          <w:p w14:paraId="0325954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6C53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782270">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仓储业*</w:t>
            </w:r>
          </w:p>
        </w:tc>
        <w:tc>
          <w:tcPr>
            <w:tcW w:w="1369" w:type="dxa"/>
            <w:noWrap w:val="0"/>
            <w:vAlign w:val="center"/>
          </w:tcPr>
          <w:p w14:paraId="2C0A30E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27066C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79C502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7DC1705C">
            <w:pPr>
              <w:widowControl/>
              <w:spacing w:line="360" w:lineRule="auto"/>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noWrap w:val="0"/>
            <w:vAlign w:val="center"/>
          </w:tcPr>
          <w:p w14:paraId="041ADAFD">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2E7291C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B57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1D0F16A">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6B2344A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301ED5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4093CA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2AF0022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noWrap w:val="0"/>
            <w:vAlign w:val="center"/>
          </w:tcPr>
          <w:p w14:paraId="24C4644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3D9ED2C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BC9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554FD6A">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邮政业</w:t>
            </w:r>
          </w:p>
        </w:tc>
        <w:tc>
          <w:tcPr>
            <w:tcW w:w="1369" w:type="dxa"/>
            <w:noWrap w:val="0"/>
            <w:vAlign w:val="center"/>
          </w:tcPr>
          <w:p w14:paraId="7C75FEF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659681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E48262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457BC3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1C4217E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3813C20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60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18C7CA7">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3688B42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69E6D1D">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90A34B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D1393A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426" w:type="dxa"/>
            <w:noWrap w:val="0"/>
            <w:vAlign w:val="center"/>
          </w:tcPr>
          <w:p w14:paraId="2F7DB26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4FAB22B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EE5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6AD2C4">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住宿业</w:t>
            </w:r>
          </w:p>
        </w:tc>
        <w:tc>
          <w:tcPr>
            <w:tcW w:w="1369" w:type="dxa"/>
            <w:noWrap w:val="0"/>
            <w:vAlign w:val="center"/>
          </w:tcPr>
          <w:p w14:paraId="0EE13EE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3DD4AA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0BF86C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8F7655">
            <w:pPr>
              <w:widowControl/>
              <w:spacing w:line="360" w:lineRule="auto"/>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4897A3D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570A4BC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174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10D9FE3">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0B50AA0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4E637F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34AFC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0EAB406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579803B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5962422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40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7B3D161">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餐饮业</w:t>
            </w:r>
          </w:p>
        </w:tc>
        <w:tc>
          <w:tcPr>
            <w:tcW w:w="1369" w:type="dxa"/>
            <w:noWrap w:val="0"/>
            <w:vAlign w:val="center"/>
          </w:tcPr>
          <w:p w14:paraId="318508B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021A05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69F4D9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5B2BD93">
            <w:pPr>
              <w:widowControl/>
              <w:spacing w:line="360" w:lineRule="auto"/>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227E22D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68E51DB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6D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08CC8B9">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011BF20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F5135F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EF39F0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4DA89B4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556389A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992" w:type="dxa"/>
            <w:noWrap w:val="0"/>
            <w:vAlign w:val="center"/>
          </w:tcPr>
          <w:p w14:paraId="56378B7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73F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218EB2">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信息传输业*</w:t>
            </w:r>
          </w:p>
        </w:tc>
        <w:tc>
          <w:tcPr>
            <w:tcW w:w="1369" w:type="dxa"/>
            <w:noWrap w:val="0"/>
            <w:vAlign w:val="center"/>
          </w:tcPr>
          <w:p w14:paraId="02A1B47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E06D0F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40A84E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41B002F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426" w:type="dxa"/>
            <w:noWrap w:val="0"/>
            <w:vAlign w:val="center"/>
          </w:tcPr>
          <w:p w14:paraId="18AF13C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06B8654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E8B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B36E300">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57821C6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530640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CCE244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4268511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426" w:type="dxa"/>
            <w:noWrap w:val="0"/>
            <w:vAlign w:val="center"/>
          </w:tcPr>
          <w:p w14:paraId="0CDAAAF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2761133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D56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0634671">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软件和信息技术服务业</w:t>
            </w:r>
          </w:p>
        </w:tc>
        <w:tc>
          <w:tcPr>
            <w:tcW w:w="1369" w:type="dxa"/>
            <w:noWrap w:val="0"/>
            <w:vAlign w:val="center"/>
          </w:tcPr>
          <w:p w14:paraId="487A66A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0ED9F3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955BAE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298853">
            <w:pPr>
              <w:widowControl/>
              <w:spacing w:line="360" w:lineRule="auto"/>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013166E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0A164C1C">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3F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CF3D385">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140F91E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4697DD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D00A8A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010180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652DD12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2311BD4A">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0E6B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30A69FC">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房地产开发经营</w:t>
            </w:r>
          </w:p>
        </w:tc>
        <w:tc>
          <w:tcPr>
            <w:tcW w:w="1369" w:type="dxa"/>
            <w:noWrap w:val="0"/>
            <w:vAlign w:val="center"/>
          </w:tcPr>
          <w:p w14:paraId="234AC3B3">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5A694F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13C6E5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7A91A9D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426" w:type="dxa"/>
            <w:noWrap w:val="0"/>
            <w:vAlign w:val="center"/>
          </w:tcPr>
          <w:p w14:paraId="6D94A58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042C57B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8E6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D92096">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01D7E25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965EDD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187A6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6AAD988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426" w:type="dxa"/>
            <w:noWrap w:val="0"/>
            <w:vAlign w:val="center"/>
          </w:tcPr>
          <w:p w14:paraId="449492F8">
            <w:pPr>
              <w:widowControl/>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992" w:type="dxa"/>
            <w:noWrap w:val="0"/>
            <w:vAlign w:val="center"/>
          </w:tcPr>
          <w:p w14:paraId="36D6896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39B8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4C09A06">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物业管理</w:t>
            </w:r>
          </w:p>
        </w:tc>
        <w:tc>
          <w:tcPr>
            <w:tcW w:w="1369" w:type="dxa"/>
            <w:noWrap w:val="0"/>
            <w:vAlign w:val="center"/>
          </w:tcPr>
          <w:p w14:paraId="2D41149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94749F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B2D0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F4E66D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382BD7B9">
            <w:pPr>
              <w:widowControl/>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63B836AE">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09F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BD0DED">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45751D2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0A737C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FC564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2C1E2D50">
            <w:pPr>
              <w:widowControl/>
              <w:spacing w:line="360" w:lineRule="auto"/>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426" w:type="dxa"/>
            <w:noWrap w:val="0"/>
            <w:vAlign w:val="center"/>
          </w:tcPr>
          <w:p w14:paraId="318652F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992" w:type="dxa"/>
            <w:noWrap w:val="0"/>
            <w:vAlign w:val="center"/>
          </w:tcPr>
          <w:p w14:paraId="6B4BE2D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EE6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361E465">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租赁和商务服务业</w:t>
            </w:r>
          </w:p>
        </w:tc>
        <w:tc>
          <w:tcPr>
            <w:tcW w:w="1369" w:type="dxa"/>
            <w:noWrap w:val="0"/>
            <w:vAlign w:val="center"/>
          </w:tcPr>
          <w:p w14:paraId="0B8A841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D8754E2">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346EF00">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194F25E">
            <w:pPr>
              <w:widowControl/>
              <w:spacing w:line="360" w:lineRule="auto"/>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6536084F">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4096F9D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FF0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8625B4D">
            <w:pPr>
              <w:widowControl/>
              <w:spacing w:line="360" w:lineRule="auto"/>
              <w:jc w:val="left"/>
              <w:rPr>
                <w:rFonts w:hint="eastAsia" w:ascii="宋体" w:hAnsi="宋体" w:eastAsia="宋体" w:cs="宋体"/>
                <w:color w:val="auto"/>
                <w:spacing w:val="0"/>
                <w:kern w:val="0"/>
                <w:sz w:val="18"/>
                <w:szCs w:val="18"/>
                <w:highlight w:val="none"/>
              </w:rPr>
            </w:pPr>
          </w:p>
        </w:tc>
        <w:tc>
          <w:tcPr>
            <w:tcW w:w="1369" w:type="dxa"/>
            <w:noWrap w:val="0"/>
            <w:vAlign w:val="center"/>
          </w:tcPr>
          <w:p w14:paraId="6026D81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3DA4A96">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0FFF68">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38AD7FA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426" w:type="dxa"/>
            <w:noWrap w:val="0"/>
            <w:vAlign w:val="center"/>
          </w:tcPr>
          <w:p w14:paraId="23EE06F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992" w:type="dxa"/>
            <w:noWrap w:val="0"/>
            <w:vAlign w:val="center"/>
          </w:tcPr>
          <w:p w14:paraId="4A69CED1">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826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2113" w:type="dxa"/>
            <w:noWrap w:val="0"/>
            <w:vAlign w:val="center"/>
          </w:tcPr>
          <w:p w14:paraId="600F190E">
            <w:pPr>
              <w:widowControl/>
              <w:spacing w:line="360" w:lineRule="auto"/>
              <w:jc w:val="left"/>
              <w:rPr>
                <w:rFonts w:hint="eastAsia" w:ascii="宋体" w:hAnsi="宋体" w:eastAsia="宋体" w:cs="宋体"/>
                <w:color w:val="auto"/>
                <w:spacing w:val="0"/>
                <w:kern w:val="0"/>
                <w:sz w:val="18"/>
                <w:szCs w:val="18"/>
                <w:highlight w:val="none"/>
              </w:rPr>
            </w:pPr>
            <w:r>
              <w:rPr>
                <w:rFonts w:hint="eastAsia" w:ascii="宋体" w:hAnsi="宋体" w:eastAsia="宋体" w:cs="宋体"/>
                <w:color w:val="auto"/>
                <w:spacing w:val="0"/>
                <w:kern w:val="0"/>
                <w:sz w:val="18"/>
                <w:szCs w:val="18"/>
                <w:highlight w:val="none"/>
              </w:rPr>
              <w:t>其他未列明行业*</w:t>
            </w:r>
          </w:p>
        </w:tc>
        <w:tc>
          <w:tcPr>
            <w:tcW w:w="1369" w:type="dxa"/>
            <w:noWrap w:val="0"/>
            <w:vAlign w:val="center"/>
          </w:tcPr>
          <w:p w14:paraId="0A76432B">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1E9BC25">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7A951B9">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685B019">
            <w:pPr>
              <w:widowControl/>
              <w:spacing w:line="360" w:lineRule="auto"/>
              <w:ind w:left="1" w:leftChars="-51" w:hanging="108" w:hangingChars="6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4C4206C7">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1906BCF4">
            <w:pPr>
              <w:widowControl/>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0DEEF4E">
      <w:pPr>
        <w:widowControl/>
        <w:spacing w:line="360" w:lineRule="auto"/>
        <w:rPr>
          <w:rFonts w:hint="eastAsia" w:ascii="宋体" w:hAnsi="宋体" w:eastAsia="宋体" w:cs="宋体"/>
          <w:b/>
          <w:bCs/>
          <w:color w:val="auto"/>
          <w:spacing w:val="8"/>
          <w:kern w:val="0"/>
          <w:szCs w:val="21"/>
          <w:highlight w:val="none"/>
        </w:rPr>
      </w:pPr>
      <w:r>
        <w:rPr>
          <w:rFonts w:hint="eastAsia" w:ascii="宋体" w:hAnsi="宋体" w:eastAsia="宋体" w:cs="宋体"/>
          <w:b/>
          <w:bCs/>
          <w:color w:val="auto"/>
          <w:spacing w:val="8"/>
          <w:kern w:val="0"/>
          <w:szCs w:val="21"/>
          <w:highlight w:val="none"/>
        </w:rPr>
        <w:br w:type="page"/>
      </w:r>
      <w:r>
        <w:rPr>
          <w:rFonts w:hint="eastAsia" w:ascii="宋体" w:hAnsi="宋体" w:eastAsia="宋体" w:cs="宋体"/>
          <w:b/>
          <w:bCs/>
          <w:color w:val="auto"/>
          <w:spacing w:val="8"/>
          <w:kern w:val="0"/>
          <w:szCs w:val="21"/>
          <w:highlight w:val="none"/>
        </w:rPr>
        <w:t>说明：</w:t>
      </w:r>
    </w:p>
    <w:p w14:paraId="18642837">
      <w:pPr>
        <w:spacing w:line="360" w:lineRule="auto"/>
        <w:ind w:firstLine="452" w:firstLineChars="20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2BE46A6B">
      <w:pPr>
        <w:spacing w:line="360" w:lineRule="auto"/>
        <w:ind w:firstLine="452" w:firstLineChars="20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Cs w:val="21"/>
          <w:highlight w:val="none"/>
          <w:lang w:eastAsia="zh-CN"/>
        </w:rPr>
        <w:t>；</w:t>
      </w:r>
      <w:r>
        <w:rPr>
          <w:rFonts w:hint="eastAsia" w:ascii="宋体"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FFC8352">
      <w:pPr>
        <w:spacing w:line="360" w:lineRule="auto"/>
        <w:ind w:firstLine="452" w:firstLineChars="200"/>
        <w:rPr>
          <w:rFonts w:hint="eastAsia" w:ascii="宋体" w:hAnsi="宋体" w:eastAsia="宋体" w:cs="宋体"/>
          <w:color w:val="auto"/>
          <w:sz w:val="24"/>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0553E3">
      <w:pPr>
        <w:pStyle w:val="18"/>
        <w:spacing w:line="360" w:lineRule="auto"/>
        <w:jc w:val="left"/>
        <w:rPr>
          <w:rFonts w:hint="eastAsia" w:ascii="宋体" w:hAnsi="宋体" w:eastAsia="宋体" w:cs="宋体"/>
          <w:color w:val="auto"/>
          <w:spacing w:val="6"/>
          <w:szCs w:val="21"/>
          <w:highlight w:val="none"/>
        </w:rPr>
      </w:pPr>
    </w:p>
    <w:p w14:paraId="66C9CAC7">
      <w:pPr>
        <w:pStyle w:val="18"/>
        <w:spacing w:line="360" w:lineRule="auto"/>
        <w:ind w:firstLine="281" w:firstLineChars="100"/>
        <w:jc w:val="center"/>
        <w:outlineLvl w:val="1"/>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br w:type="page"/>
      </w:r>
      <w:bookmarkStart w:id="181" w:name="_Toc31014"/>
      <w:bookmarkStart w:id="182" w:name="_Toc25153"/>
      <w:bookmarkStart w:id="183" w:name="_Toc29241"/>
      <w:bookmarkStart w:id="184" w:name="_Toc32464"/>
      <w:bookmarkStart w:id="185" w:name="_Toc37325514"/>
      <w:r>
        <w:rPr>
          <w:rFonts w:hint="eastAsia" w:ascii="宋体" w:hAnsi="宋体" w:eastAsia="宋体" w:cs="宋体"/>
          <w:b/>
          <w:color w:val="auto"/>
          <w:spacing w:val="6"/>
          <w:sz w:val="28"/>
          <w:szCs w:val="28"/>
          <w:highlight w:val="none"/>
          <w:lang w:val="en-US" w:eastAsia="zh-CN"/>
        </w:rPr>
        <w:t>9、残疾人福利性单位声明函</w:t>
      </w:r>
      <w:bookmarkEnd w:id="181"/>
      <w:bookmarkEnd w:id="182"/>
      <w:bookmarkEnd w:id="183"/>
      <w:bookmarkEnd w:id="184"/>
      <w:bookmarkEnd w:id="185"/>
    </w:p>
    <w:p w14:paraId="47C7C50A">
      <w:pPr>
        <w:spacing w:line="360" w:lineRule="auto"/>
        <w:ind w:firstLine="624" w:firstLineChars="200"/>
        <w:rPr>
          <w:rFonts w:hint="eastAsia" w:ascii="宋体" w:hAnsi="宋体" w:eastAsia="宋体" w:cs="宋体"/>
          <w:color w:val="auto"/>
          <w:spacing w:val="6"/>
          <w:sz w:val="30"/>
          <w:szCs w:val="30"/>
          <w:highlight w:val="none"/>
        </w:rPr>
      </w:pPr>
    </w:p>
    <w:p w14:paraId="2BF2F0C7">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FC6149">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511B0B56">
      <w:pPr>
        <w:spacing w:line="360" w:lineRule="auto"/>
        <w:rPr>
          <w:rFonts w:hint="eastAsia" w:ascii="宋体" w:hAnsi="宋体" w:eastAsia="宋体" w:cs="宋体"/>
          <w:color w:val="auto"/>
          <w:sz w:val="24"/>
          <w:highlight w:val="none"/>
        </w:rPr>
      </w:pPr>
    </w:p>
    <w:p w14:paraId="094B71FE">
      <w:pPr>
        <w:spacing w:line="360" w:lineRule="auto"/>
        <w:rPr>
          <w:rFonts w:hint="eastAsia" w:ascii="宋体" w:hAnsi="宋体" w:eastAsia="宋体" w:cs="宋体"/>
          <w:color w:val="auto"/>
          <w:sz w:val="24"/>
          <w:highlight w:val="none"/>
        </w:rPr>
      </w:pPr>
    </w:p>
    <w:p w14:paraId="32F7DAF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注：1、中标</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为残疾人福利性单位的，其《残疾人福利性单位声明函》将随中标结果同时公告，接受社会监督。</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提供的《残疾人福利性单位声明函》与事实不符的，依照《</w:t>
      </w:r>
      <w:r>
        <w:rPr>
          <w:rFonts w:hint="eastAsia" w:ascii="宋体" w:hAnsi="宋体" w:eastAsia="宋体" w:cs="宋体"/>
          <w:b/>
          <w:color w:val="auto"/>
          <w:sz w:val="24"/>
          <w:highlight w:val="none"/>
          <w:lang w:eastAsia="zh-CN"/>
        </w:rPr>
        <w:t>中华人民共和国政府采购法</w:t>
      </w:r>
      <w:r>
        <w:rPr>
          <w:rFonts w:hint="eastAsia" w:ascii="宋体" w:hAnsi="宋体" w:eastAsia="宋体" w:cs="宋体"/>
          <w:b/>
          <w:color w:val="auto"/>
          <w:sz w:val="24"/>
          <w:highlight w:val="none"/>
        </w:rPr>
        <w:t>》第七十七条第一款的规定追究法律责任。</w:t>
      </w:r>
    </w:p>
    <w:p w14:paraId="3D756A46">
      <w:pPr>
        <w:pStyle w:val="14"/>
        <w:numPr>
          <w:ilvl w:val="0"/>
          <w:numId w:val="0"/>
        </w:numPr>
        <w:ind w:leftChars="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如不是残疾人福利性单位的，可不填写《残疾人福利性单位声明函》，也不用进行签字盖章，</w:t>
      </w:r>
      <w:r>
        <w:rPr>
          <w:rFonts w:hint="eastAsia" w:ascii="宋体" w:hAnsi="宋体" w:eastAsia="宋体" w:cs="宋体"/>
          <w:b/>
          <w:color w:val="auto"/>
          <w:sz w:val="24"/>
          <w:highlight w:val="none"/>
          <w:lang w:val="en-US" w:eastAsia="zh-CN"/>
        </w:rPr>
        <w:t>但须</w:t>
      </w:r>
      <w:r>
        <w:rPr>
          <w:rFonts w:hint="eastAsia" w:ascii="宋体" w:hAnsi="宋体" w:eastAsia="宋体" w:cs="宋体"/>
          <w:b/>
          <w:color w:val="auto"/>
          <w:sz w:val="24"/>
          <w:highlight w:val="none"/>
        </w:rPr>
        <w:t>注明不是残疾人福利性单位。</w:t>
      </w:r>
    </w:p>
    <w:p w14:paraId="406B69DD">
      <w:pPr>
        <w:pStyle w:val="14"/>
        <w:numPr>
          <w:ilvl w:val="0"/>
          <w:numId w:val="0"/>
        </w:numPr>
        <w:ind w:leftChars="0"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3.如为联合体投标的，联合体成员中是残疾人福利性单位的必须提供此声明函，如联合体各方均不是残疾人福利性单位，则各方均须注明不是残疾人福利性单位。</w:t>
      </w:r>
    </w:p>
    <w:p w14:paraId="140F1AF0">
      <w:pPr>
        <w:pStyle w:val="15"/>
        <w:ind w:left="0" w:leftChars="0" w:firstLine="0" w:firstLineChars="0"/>
        <w:rPr>
          <w:rFonts w:hint="eastAsia" w:ascii="宋体" w:hAnsi="宋体" w:eastAsia="宋体" w:cs="宋体"/>
          <w:color w:val="auto"/>
          <w:highlight w:val="none"/>
        </w:rPr>
      </w:pPr>
    </w:p>
    <w:p w14:paraId="013EC55C">
      <w:pPr>
        <w:widowControl/>
        <w:spacing w:line="360" w:lineRule="auto"/>
        <w:jc w:val="center"/>
        <w:outlineLvl w:val="1"/>
        <w:rPr>
          <w:rFonts w:hint="eastAsia" w:ascii="宋体" w:hAnsi="宋体" w:eastAsia="宋体" w:cs="宋体"/>
          <w:b/>
          <w:color w:val="auto"/>
          <w:spacing w:val="6"/>
          <w:sz w:val="36"/>
          <w:szCs w:val="24"/>
          <w:highlight w:val="none"/>
          <w:lang w:val="en-US" w:eastAsia="zh-CN"/>
        </w:rPr>
      </w:pPr>
      <w:bookmarkStart w:id="186" w:name="_Toc7958"/>
      <w:r>
        <w:rPr>
          <w:rFonts w:hint="eastAsia" w:ascii="宋体" w:hAnsi="宋体" w:eastAsia="宋体" w:cs="宋体"/>
          <w:color w:val="auto"/>
          <w:kern w:val="0"/>
          <w:szCs w:val="21"/>
          <w:highlight w:val="none"/>
        </w:rPr>
        <w:br w:type="page"/>
      </w:r>
      <w:bookmarkEnd w:id="186"/>
      <w:bookmarkStart w:id="187" w:name="_Toc37325515"/>
      <w:bookmarkStart w:id="188" w:name="_Toc23843"/>
      <w:bookmarkStart w:id="189" w:name="_Toc23818"/>
      <w:bookmarkStart w:id="190" w:name="_Toc30253"/>
      <w:bookmarkStart w:id="191" w:name="_Toc22965"/>
      <w:r>
        <w:rPr>
          <w:rFonts w:hint="eastAsia" w:ascii="宋体" w:hAnsi="宋体" w:eastAsia="宋体" w:cs="宋体"/>
          <w:b/>
          <w:color w:val="auto"/>
          <w:spacing w:val="6"/>
          <w:sz w:val="28"/>
          <w:szCs w:val="28"/>
          <w:highlight w:val="none"/>
          <w:lang w:val="en-US" w:eastAsia="zh-CN"/>
        </w:rPr>
        <w:t>10、监狱企业证明文件</w:t>
      </w:r>
      <w:bookmarkEnd w:id="187"/>
      <w:r>
        <w:rPr>
          <w:rFonts w:hint="eastAsia" w:ascii="宋体" w:hAnsi="宋体" w:eastAsia="宋体" w:cs="宋体"/>
          <w:b/>
          <w:color w:val="auto"/>
          <w:spacing w:val="6"/>
          <w:sz w:val="28"/>
          <w:szCs w:val="28"/>
          <w:highlight w:val="none"/>
          <w:lang w:val="en-US" w:eastAsia="zh-CN"/>
        </w:rPr>
        <w:t>（如有）</w:t>
      </w:r>
      <w:bookmarkEnd w:id="188"/>
      <w:bookmarkEnd w:id="189"/>
      <w:bookmarkEnd w:id="190"/>
      <w:bookmarkEnd w:id="191"/>
    </w:p>
    <w:p w14:paraId="0BF3BC9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7D49A7">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14:paraId="1DAD7314">
      <w:pPr>
        <w:tabs>
          <w:tab w:val="left" w:pos="4860"/>
        </w:tabs>
        <w:spacing w:line="360" w:lineRule="auto"/>
        <w:ind w:right="1560" w:firstLine="504" w:firstLineChars="200"/>
        <w:jc w:val="center"/>
        <w:rPr>
          <w:rFonts w:hint="eastAsia" w:ascii="宋体" w:hAnsi="宋体" w:eastAsia="宋体" w:cs="宋体"/>
          <w:color w:val="auto"/>
          <w:spacing w:val="6"/>
          <w:sz w:val="24"/>
          <w:highlight w:val="none"/>
        </w:rPr>
      </w:pPr>
    </w:p>
    <w:p w14:paraId="22A5F84D">
      <w:pPr>
        <w:tabs>
          <w:tab w:val="left" w:pos="4860"/>
        </w:tabs>
        <w:spacing w:line="360" w:lineRule="auto"/>
        <w:ind w:right="1560" w:firstLine="504" w:firstLineChars="200"/>
        <w:jc w:val="center"/>
        <w:rPr>
          <w:rFonts w:hint="eastAsia" w:ascii="宋体" w:hAnsi="宋体" w:eastAsia="宋体" w:cs="宋体"/>
          <w:color w:val="auto"/>
          <w:spacing w:val="6"/>
          <w:sz w:val="24"/>
          <w:highlight w:val="none"/>
          <w:lang w:eastAsia="zh-CN"/>
        </w:rPr>
      </w:pPr>
    </w:p>
    <w:p w14:paraId="64341569">
      <w:pPr>
        <w:spacing w:line="360" w:lineRule="auto"/>
        <w:rPr>
          <w:rFonts w:hint="eastAsia" w:ascii="宋体" w:hAnsi="宋体" w:eastAsia="宋体" w:cs="宋体"/>
          <w:b/>
          <w:color w:val="auto"/>
          <w:sz w:val="24"/>
          <w:highlight w:val="none"/>
        </w:rPr>
      </w:pPr>
    </w:p>
    <w:p w14:paraId="3318F9F5">
      <w:pPr>
        <w:widowControl/>
        <w:spacing w:line="360" w:lineRule="auto"/>
        <w:jc w:val="center"/>
        <w:outlineLvl w:val="1"/>
        <w:rPr>
          <w:rFonts w:hint="eastAsia" w:ascii="宋体" w:hAnsi="宋体" w:eastAsia="宋体" w:cs="宋体"/>
          <w:color w:val="auto"/>
          <w:highlight w:val="none"/>
        </w:rPr>
      </w:pPr>
      <w:bookmarkStart w:id="192" w:name="_Toc5582"/>
      <w:bookmarkStart w:id="193" w:name="_Toc147"/>
      <w:r>
        <w:rPr>
          <w:rFonts w:hint="eastAsia" w:ascii="宋体" w:hAnsi="宋体" w:eastAsia="宋体" w:cs="宋体"/>
          <w:b/>
          <w:color w:val="auto"/>
          <w:sz w:val="28"/>
          <w:szCs w:val="28"/>
          <w:highlight w:val="none"/>
        </w:rPr>
        <w:br w:type="page"/>
      </w:r>
      <w:bookmarkStart w:id="194" w:name="_Toc22957"/>
      <w:bookmarkStart w:id="195" w:name="_Toc28407"/>
      <w:r>
        <w:rPr>
          <w:rFonts w:hint="eastAsia" w:ascii="宋体" w:hAnsi="宋体" w:eastAsia="宋体" w:cs="宋体"/>
          <w:b/>
          <w:color w:val="auto"/>
          <w:spacing w:val="6"/>
          <w:sz w:val="28"/>
          <w:szCs w:val="28"/>
          <w:highlight w:val="none"/>
          <w:lang w:val="en-US" w:eastAsia="zh-CN"/>
        </w:rPr>
        <w:t>11、</w:t>
      </w:r>
      <w:bookmarkEnd w:id="194"/>
      <w:bookmarkEnd w:id="195"/>
      <w:r>
        <w:rPr>
          <w:rFonts w:hint="eastAsia" w:ascii="宋体" w:hAnsi="宋体" w:eastAsia="宋体" w:cs="宋体"/>
          <w:b/>
          <w:color w:val="auto"/>
          <w:spacing w:val="6"/>
          <w:sz w:val="28"/>
          <w:szCs w:val="28"/>
          <w:highlight w:val="none"/>
          <w:lang w:val="en-US" w:eastAsia="zh-CN"/>
        </w:rPr>
        <w:t>关于符合本国产品标准的声明函</w:t>
      </w:r>
    </w:p>
    <w:p w14:paraId="6039F9ED">
      <w:pPr>
        <w:pStyle w:val="8"/>
        <w:shd w:val="clear" w:color="auto" w:fill="FFFFFF"/>
        <w:spacing w:before="20" w:beforeAutospacing="0" w:after="20" w:afterAutospacing="0" w:line="560" w:lineRule="atLeast"/>
        <w:ind w:firstLine="420"/>
        <w:textAlignment w:val="baseline"/>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B35F5B4">
      <w:pPr>
        <w:pStyle w:val="8"/>
        <w:shd w:val="clear" w:color="auto" w:fill="FFFFFF"/>
        <w:spacing w:before="20" w:beforeAutospacing="0" w:after="20" w:afterAutospacing="0" w:line="560" w:lineRule="atLeast"/>
        <w:ind w:firstLine="420"/>
        <w:textAlignment w:val="baseline"/>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shd w:val="clear" w:color="auto" w:fill="FFFFFF"/>
        </w:rPr>
        <w:t>1.</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产品名称1</w:t>
      </w:r>
      <w:r>
        <w:rPr>
          <w:rStyle w:val="31"/>
          <w:rFonts w:hint="eastAsia" w:ascii="宋体" w:hAnsi="宋体" w:eastAsia="宋体" w:cs="宋体"/>
          <w:b w:val="0"/>
          <w:i w:val="0"/>
          <w:iCs w:val="0"/>
          <w:color w:val="auto"/>
          <w:sz w:val="24"/>
          <w:szCs w:val="24"/>
          <w:highlight w:val="none"/>
          <w:shd w:val="clear" w:color="auto" w:fill="FFFFFF"/>
        </w:rPr>
        <w:t>）1</w:t>
      </w:r>
      <w:r>
        <w:rPr>
          <w:rFonts w:hint="eastAsia" w:ascii="宋体" w:hAnsi="宋体" w:eastAsia="宋体" w:cs="宋体"/>
          <w:b w:val="0"/>
          <w:i w:val="0"/>
          <w:iCs w:val="0"/>
          <w:color w:val="auto"/>
          <w:sz w:val="24"/>
          <w:szCs w:val="24"/>
          <w:highlight w:val="none"/>
          <w:shd w:val="clear" w:color="auto" w:fill="FFFFFF"/>
        </w:rPr>
        <w:t>，生产厂为</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厂名</w:t>
      </w:r>
      <w:r>
        <w:rPr>
          <w:rStyle w:val="31"/>
          <w:rFonts w:hint="eastAsia" w:ascii="宋体" w:hAnsi="宋体" w:eastAsia="宋体" w:cs="宋体"/>
          <w:b w:val="0"/>
          <w:i w:val="0"/>
          <w:iCs w:val="0"/>
          <w:color w:val="auto"/>
          <w:sz w:val="24"/>
          <w:szCs w:val="24"/>
          <w:highlight w:val="none"/>
          <w:shd w:val="clear" w:color="auto" w:fill="FFFFFF"/>
        </w:rPr>
        <w:t>）2</w:t>
      </w:r>
      <w:r>
        <w:rPr>
          <w:rFonts w:hint="eastAsia" w:ascii="宋体" w:hAnsi="宋体" w:eastAsia="宋体" w:cs="宋体"/>
          <w:b w:val="0"/>
          <w:i w:val="0"/>
          <w:iCs w:val="0"/>
          <w:color w:val="auto"/>
          <w:sz w:val="24"/>
          <w:szCs w:val="24"/>
          <w:highlight w:val="none"/>
          <w:shd w:val="clear" w:color="auto" w:fill="FFFFFF"/>
        </w:rPr>
        <w:t>，厂址为</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生产厂址</w:t>
      </w:r>
      <w:r>
        <w:rPr>
          <w:rStyle w:val="31"/>
          <w:rFonts w:hint="eastAsia" w:ascii="宋体" w:hAnsi="宋体" w:eastAsia="宋体" w:cs="宋体"/>
          <w:b w:val="0"/>
          <w:i w:val="0"/>
          <w:iCs w:val="0"/>
          <w:color w:val="auto"/>
          <w:sz w:val="24"/>
          <w:szCs w:val="24"/>
          <w:highlight w:val="none"/>
          <w:shd w:val="clear" w:color="auto" w:fill="FFFFFF"/>
        </w:rPr>
        <w:t>）</w:t>
      </w:r>
      <w:r>
        <w:rPr>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产品名称1</w:t>
      </w:r>
      <w:r>
        <w:rPr>
          <w:rStyle w:val="31"/>
          <w:rFonts w:hint="eastAsia" w:ascii="宋体" w:hAnsi="宋体" w:eastAsia="宋体" w:cs="宋体"/>
          <w:b w:val="0"/>
          <w:i w:val="0"/>
          <w:iCs w:val="0"/>
          <w:color w:val="auto"/>
          <w:sz w:val="24"/>
          <w:szCs w:val="24"/>
          <w:highlight w:val="none"/>
          <w:shd w:val="clear" w:color="auto" w:fill="FFFFFF"/>
        </w:rPr>
        <w:t>）</w:t>
      </w:r>
      <w:r>
        <w:rPr>
          <w:rFonts w:hint="eastAsia" w:ascii="宋体" w:hAnsi="宋体" w:eastAsia="宋体" w:cs="宋体"/>
          <w:b w:val="0"/>
          <w:i w:val="0"/>
          <w:iCs w:val="0"/>
          <w:color w:val="auto"/>
          <w:sz w:val="24"/>
          <w:szCs w:val="24"/>
          <w:highlight w:val="none"/>
          <w:shd w:val="clear" w:color="auto" w:fill="FFFFFF"/>
        </w:rPr>
        <w:t>的中国境内生产的组件成本占比≥</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规定比例</w:t>
      </w:r>
      <w:r>
        <w:rPr>
          <w:rStyle w:val="31"/>
          <w:rFonts w:hint="eastAsia" w:ascii="宋体" w:hAnsi="宋体" w:eastAsia="宋体" w:cs="宋体"/>
          <w:b w:val="0"/>
          <w:i w:val="0"/>
          <w:iCs w:val="0"/>
          <w:color w:val="auto"/>
          <w:sz w:val="24"/>
          <w:szCs w:val="24"/>
          <w:highlight w:val="none"/>
          <w:shd w:val="clear" w:color="auto" w:fill="FFFFFF"/>
        </w:rPr>
        <w:t>）3</w:t>
      </w:r>
      <w:r>
        <w:rPr>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产品名称1</w:t>
      </w:r>
      <w:r>
        <w:rPr>
          <w:rStyle w:val="31"/>
          <w:rFonts w:hint="eastAsia" w:ascii="宋体" w:hAnsi="宋体" w:eastAsia="宋体" w:cs="宋体"/>
          <w:b w:val="0"/>
          <w:i w:val="0"/>
          <w:iCs w:val="0"/>
          <w:color w:val="auto"/>
          <w:sz w:val="24"/>
          <w:szCs w:val="24"/>
          <w:highlight w:val="none"/>
          <w:shd w:val="clear" w:color="auto" w:fill="FFFFFF"/>
        </w:rPr>
        <w:t>）</w:t>
      </w:r>
      <w:r>
        <w:rPr>
          <w:rFonts w:hint="eastAsia" w:ascii="宋体" w:hAnsi="宋体" w:eastAsia="宋体" w:cs="宋体"/>
          <w:b w:val="0"/>
          <w:i w:val="0"/>
          <w:iCs w:val="0"/>
          <w:color w:val="auto"/>
          <w:sz w:val="24"/>
          <w:szCs w:val="24"/>
          <w:highlight w:val="none"/>
          <w:shd w:val="clear" w:color="auto" w:fill="FFFFFF"/>
        </w:rPr>
        <w:t>的</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关键组件</w:t>
      </w:r>
      <w:r>
        <w:rPr>
          <w:rStyle w:val="31"/>
          <w:rFonts w:hint="eastAsia" w:ascii="宋体" w:hAnsi="宋体" w:eastAsia="宋体" w:cs="宋体"/>
          <w:b w:val="0"/>
          <w:i w:val="0"/>
          <w:iCs w:val="0"/>
          <w:color w:val="auto"/>
          <w:sz w:val="24"/>
          <w:szCs w:val="24"/>
          <w:highlight w:val="none"/>
          <w:shd w:val="clear" w:color="auto" w:fill="FFFFFF"/>
        </w:rPr>
        <w:t>）4</w:t>
      </w:r>
      <w:r>
        <w:rPr>
          <w:rFonts w:hint="eastAsia" w:ascii="宋体" w:hAnsi="宋体" w:eastAsia="宋体" w:cs="宋体"/>
          <w:b w:val="0"/>
          <w:i w:val="0"/>
          <w:iCs w:val="0"/>
          <w:color w:val="auto"/>
          <w:sz w:val="24"/>
          <w:szCs w:val="24"/>
          <w:highlight w:val="none"/>
          <w:shd w:val="clear" w:color="auto" w:fill="FFFFFF"/>
        </w:rPr>
        <w:t>在中国境内生产。</w:t>
      </w:r>
      <w:r>
        <w:rPr>
          <w:rStyle w:val="31"/>
          <w:rFonts w:hint="eastAsia" w:ascii="宋体" w:hAnsi="宋体" w:eastAsia="宋体" w:cs="宋体"/>
          <w:b w:val="0"/>
          <w:i w:val="0"/>
          <w:iCs w:val="0"/>
          <w:color w:val="auto"/>
          <w:sz w:val="24"/>
          <w:szCs w:val="24"/>
          <w:highlight w:val="none"/>
          <w:shd w:val="clear" w:color="auto" w:fill="FFFFFF"/>
        </w:rPr>
        <w:t>（产品名称1）</w:t>
      </w:r>
      <w:r>
        <w:rPr>
          <w:rFonts w:hint="eastAsia" w:ascii="宋体" w:hAnsi="宋体" w:eastAsia="宋体" w:cs="宋体"/>
          <w:b w:val="0"/>
          <w:i w:val="0"/>
          <w:iCs w:val="0"/>
          <w:color w:val="auto"/>
          <w:sz w:val="24"/>
          <w:szCs w:val="24"/>
          <w:highlight w:val="none"/>
          <w:shd w:val="clear" w:color="auto" w:fill="FFFFFF"/>
        </w:rPr>
        <w:t>的</w:t>
      </w:r>
      <w:r>
        <w:rPr>
          <w:rStyle w:val="31"/>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关键工序</w:t>
      </w:r>
      <w:r>
        <w:rPr>
          <w:rStyle w:val="31"/>
          <w:rFonts w:hint="eastAsia" w:ascii="宋体" w:hAnsi="宋体" w:eastAsia="宋体" w:cs="宋体"/>
          <w:b w:val="0"/>
          <w:i w:val="0"/>
          <w:iCs w:val="0"/>
          <w:color w:val="auto"/>
          <w:sz w:val="24"/>
          <w:szCs w:val="24"/>
          <w:highlight w:val="none"/>
          <w:shd w:val="clear" w:color="auto" w:fill="FFFFFF"/>
        </w:rPr>
        <w:t>）5</w:t>
      </w:r>
      <w:r>
        <w:rPr>
          <w:rFonts w:hint="eastAsia" w:ascii="宋体" w:hAnsi="宋体" w:eastAsia="宋体" w:cs="宋体"/>
          <w:b w:val="0"/>
          <w:i w:val="0"/>
          <w:iCs w:val="0"/>
          <w:color w:val="auto"/>
          <w:sz w:val="24"/>
          <w:szCs w:val="24"/>
          <w:highlight w:val="none"/>
          <w:shd w:val="clear" w:color="auto" w:fill="FFFFFF"/>
        </w:rPr>
        <w:t>在中国境内完成。</w:t>
      </w:r>
    </w:p>
    <w:p w14:paraId="501FD6DA">
      <w:pPr>
        <w:pStyle w:val="8"/>
        <w:shd w:val="clear" w:color="auto" w:fill="FFFFFF"/>
        <w:spacing w:before="20" w:beforeAutospacing="0" w:after="20" w:afterAutospacing="0" w:line="560" w:lineRule="atLeast"/>
        <w:ind w:firstLine="420"/>
        <w:textAlignment w:val="baseline"/>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shd w:val="clear" w:color="auto" w:fill="FFFFFF"/>
        </w:rPr>
        <w:t>2.</w:t>
      </w:r>
      <w:r>
        <w:rPr>
          <w:rStyle w:val="31"/>
          <w:rFonts w:hint="eastAsia" w:ascii="宋体" w:hAnsi="宋体" w:eastAsia="宋体" w:cs="宋体"/>
          <w:b w:val="0"/>
          <w:i w:val="0"/>
          <w:iCs w:val="0"/>
          <w:color w:val="auto"/>
          <w:sz w:val="24"/>
          <w:szCs w:val="24"/>
          <w:highlight w:val="none"/>
          <w:shd w:val="clear" w:color="auto" w:fill="FFFFFF"/>
        </w:rPr>
        <w:t>（产品名称2）</w:t>
      </w:r>
      <w:r>
        <w:rPr>
          <w:rFonts w:hint="eastAsia" w:ascii="宋体" w:hAnsi="宋体" w:eastAsia="宋体" w:cs="宋体"/>
          <w:b w:val="0"/>
          <w:i w:val="0"/>
          <w:iCs w:val="0"/>
          <w:color w:val="auto"/>
          <w:sz w:val="24"/>
          <w:szCs w:val="24"/>
          <w:highlight w:val="none"/>
          <w:shd w:val="clear" w:color="auto" w:fill="FFFFFF"/>
        </w:rPr>
        <w:t>，生产厂为</w:t>
      </w:r>
      <w:r>
        <w:rPr>
          <w:rStyle w:val="31"/>
          <w:rFonts w:hint="eastAsia" w:ascii="宋体" w:hAnsi="宋体" w:eastAsia="宋体" w:cs="宋体"/>
          <w:b w:val="0"/>
          <w:i w:val="0"/>
          <w:iCs w:val="0"/>
          <w:color w:val="auto"/>
          <w:sz w:val="24"/>
          <w:szCs w:val="24"/>
          <w:highlight w:val="none"/>
          <w:u w:val="single"/>
          <w:shd w:val="clear" w:color="auto" w:fill="FFFFFF"/>
        </w:rPr>
        <w:t>（厂名）</w:t>
      </w:r>
      <w:r>
        <w:rPr>
          <w:rFonts w:hint="eastAsia" w:ascii="宋体" w:hAnsi="宋体" w:eastAsia="宋体" w:cs="宋体"/>
          <w:b w:val="0"/>
          <w:i w:val="0"/>
          <w:iCs w:val="0"/>
          <w:color w:val="auto"/>
          <w:sz w:val="24"/>
          <w:szCs w:val="24"/>
          <w:highlight w:val="none"/>
          <w:shd w:val="clear" w:color="auto" w:fill="FFFFFF"/>
        </w:rPr>
        <w:t>，厂址为</w:t>
      </w:r>
      <w:r>
        <w:rPr>
          <w:rStyle w:val="31"/>
          <w:rFonts w:hint="eastAsia" w:ascii="宋体" w:hAnsi="宋体" w:eastAsia="宋体" w:cs="宋体"/>
          <w:b w:val="0"/>
          <w:i w:val="0"/>
          <w:iCs w:val="0"/>
          <w:color w:val="auto"/>
          <w:sz w:val="24"/>
          <w:szCs w:val="24"/>
          <w:highlight w:val="none"/>
          <w:u w:val="single"/>
          <w:shd w:val="clear" w:color="auto" w:fill="FFFFFF"/>
        </w:rPr>
        <w:t>（生产厂址）</w:t>
      </w:r>
      <w:r>
        <w:rPr>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（产品名称2）</w:t>
      </w:r>
      <w:r>
        <w:rPr>
          <w:rFonts w:hint="eastAsia" w:ascii="宋体" w:hAnsi="宋体" w:eastAsia="宋体" w:cs="宋体"/>
          <w:b w:val="0"/>
          <w:i w:val="0"/>
          <w:iCs w:val="0"/>
          <w:color w:val="auto"/>
          <w:sz w:val="24"/>
          <w:szCs w:val="24"/>
          <w:highlight w:val="none"/>
          <w:shd w:val="clear" w:color="auto" w:fill="FFFFFF"/>
        </w:rPr>
        <w:t>的中国境内生产的组件成本占比≥</w:t>
      </w:r>
      <w:r>
        <w:rPr>
          <w:rStyle w:val="31"/>
          <w:rFonts w:hint="eastAsia" w:ascii="宋体" w:hAnsi="宋体" w:eastAsia="宋体" w:cs="宋体"/>
          <w:b w:val="0"/>
          <w:i w:val="0"/>
          <w:iCs w:val="0"/>
          <w:color w:val="auto"/>
          <w:sz w:val="24"/>
          <w:szCs w:val="24"/>
          <w:highlight w:val="none"/>
          <w:u w:val="single"/>
          <w:shd w:val="clear" w:color="auto" w:fill="FFFFFF"/>
        </w:rPr>
        <w:t>（规定比例）</w:t>
      </w:r>
      <w:r>
        <w:rPr>
          <w:rFonts w:hint="eastAsia" w:ascii="宋体" w:hAnsi="宋体" w:eastAsia="宋体" w:cs="宋体"/>
          <w:b w:val="0"/>
          <w:i w:val="0"/>
          <w:iCs w:val="0"/>
          <w:color w:val="auto"/>
          <w:sz w:val="24"/>
          <w:szCs w:val="24"/>
          <w:highlight w:val="none"/>
          <w:shd w:val="clear" w:color="auto" w:fill="FFFFFF"/>
        </w:rPr>
        <w:t>。</w:t>
      </w:r>
      <w:r>
        <w:rPr>
          <w:rStyle w:val="31"/>
          <w:rFonts w:hint="eastAsia" w:ascii="宋体" w:hAnsi="宋体" w:eastAsia="宋体" w:cs="宋体"/>
          <w:b w:val="0"/>
          <w:i w:val="0"/>
          <w:iCs w:val="0"/>
          <w:color w:val="auto"/>
          <w:sz w:val="24"/>
          <w:szCs w:val="24"/>
          <w:highlight w:val="none"/>
          <w:u w:val="single"/>
          <w:shd w:val="clear" w:color="auto" w:fill="FFFFFF"/>
        </w:rPr>
        <w:t>（产品名称2）</w:t>
      </w:r>
      <w:r>
        <w:rPr>
          <w:rFonts w:hint="eastAsia" w:ascii="宋体" w:hAnsi="宋体" w:eastAsia="宋体" w:cs="宋体"/>
          <w:b w:val="0"/>
          <w:i w:val="0"/>
          <w:iCs w:val="0"/>
          <w:color w:val="auto"/>
          <w:sz w:val="24"/>
          <w:szCs w:val="24"/>
          <w:highlight w:val="none"/>
          <w:shd w:val="clear" w:color="auto" w:fill="FFFFFF"/>
        </w:rPr>
        <w:t>的</w:t>
      </w:r>
      <w:r>
        <w:rPr>
          <w:rStyle w:val="31"/>
          <w:rFonts w:hint="eastAsia" w:ascii="宋体" w:hAnsi="宋体" w:eastAsia="宋体" w:cs="宋体"/>
          <w:b w:val="0"/>
          <w:i w:val="0"/>
          <w:iCs w:val="0"/>
          <w:color w:val="auto"/>
          <w:sz w:val="24"/>
          <w:szCs w:val="24"/>
          <w:highlight w:val="none"/>
          <w:u w:val="single"/>
          <w:shd w:val="clear" w:color="auto" w:fill="FFFFFF"/>
        </w:rPr>
        <w:t>（关键组件）</w:t>
      </w:r>
      <w:r>
        <w:rPr>
          <w:rFonts w:hint="eastAsia" w:ascii="宋体" w:hAnsi="宋体" w:eastAsia="宋体" w:cs="宋体"/>
          <w:b w:val="0"/>
          <w:i w:val="0"/>
          <w:iCs w:val="0"/>
          <w:color w:val="auto"/>
          <w:sz w:val="24"/>
          <w:szCs w:val="24"/>
          <w:highlight w:val="none"/>
          <w:shd w:val="clear" w:color="auto" w:fill="FFFFFF"/>
        </w:rPr>
        <w:t>在中国境内生产。</w:t>
      </w:r>
      <w:r>
        <w:rPr>
          <w:rStyle w:val="31"/>
          <w:rFonts w:hint="eastAsia" w:ascii="宋体" w:hAnsi="宋体" w:eastAsia="宋体" w:cs="宋体"/>
          <w:b w:val="0"/>
          <w:i w:val="0"/>
          <w:iCs w:val="0"/>
          <w:color w:val="auto"/>
          <w:sz w:val="24"/>
          <w:szCs w:val="24"/>
          <w:highlight w:val="none"/>
          <w:u w:val="single"/>
          <w:shd w:val="clear" w:color="auto" w:fill="FFFFFF"/>
        </w:rPr>
        <w:t>（产品名称2）</w:t>
      </w:r>
      <w:r>
        <w:rPr>
          <w:rFonts w:hint="eastAsia" w:ascii="宋体" w:hAnsi="宋体" w:eastAsia="宋体" w:cs="宋体"/>
          <w:b w:val="0"/>
          <w:i w:val="0"/>
          <w:iCs w:val="0"/>
          <w:color w:val="auto"/>
          <w:sz w:val="24"/>
          <w:szCs w:val="24"/>
          <w:highlight w:val="none"/>
          <w:shd w:val="clear" w:color="auto" w:fill="FFFFFF"/>
        </w:rPr>
        <w:t>的</w:t>
      </w:r>
      <w:r>
        <w:rPr>
          <w:rStyle w:val="31"/>
          <w:rFonts w:hint="eastAsia" w:ascii="宋体" w:hAnsi="宋体" w:eastAsia="宋体" w:cs="宋体"/>
          <w:b w:val="0"/>
          <w:i w:val="0"/>
          <w:iCs w:val="0"/>
          <w:color w:val="auto"/>
          <w:sz w:val="24"/>
          <w:szCs w:val="24"/>
          <w:highlight w:val="none"/>
          <w:u w:val="single"/>
          <w:shd w:val="clear" w:color="auto" w:fill="FFFFFF"/>
        </w:rPr>
        <w:t>（关键工序）</w:t>
      </w:r>
      <w:r>
        <w:rPr>
          <w:rFonts w:hint="eastAsia" w:ascii="宋体" w:hAnsi="宋体" w:eastAsia="宋体" w:cs="宋体"/>
          <w:b w:val="0"/>
          <w:i w:val="0"/>
          <w:iCs w:val="0"/>
          <w:color w:val="auto"/>
          <w:sz w:val="24"/>
          <w:szCs w:val="24"/>
          <w:highlight w:val="none"/>
          <w:shd w:val="clear" w:color="auto" w:fill="FFFFFF"/>
        </w:rPr>
        <w:t>在中国境内完成。</w:t>
      </w:r>
    </w:p>
    <w:p w14:paraId="70824894">
      <w:pPr>
        <w:pStyle w:val="8"/>
        <w:shd w:val="clear" w:color="auto" w:fill="FFFFFF"/>
        <w:spacing w:before="20" w:beforeAutospacing="0" w:after="20" w:afterAutospacing="0" w:line="560" w:lineRule="atLeast"/>
        <w:ind w:firstLine="420"/>
        <w:textAlignment w:val="baseline"/>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shd w:val="clear" w:color="auto" w:fill="FFFFFF"/>
        </w:rPr>
        <w:t>……</w:t>
      </w:r>
    </w:p>
    <w:p w14:paraId="5127385F">
      <w:pPr>
        <w:pStyle w:val="8"/>
        <w:shd w:val="clear" w:color="auto" w:fill="FFFFFF"/>
        <w:spacing w:before="20" w:beforeAutospacing="0" w:after="20" w:afterAutospacing="0" w:line="560" w:lineRule="atLeast"/>
        <w:ind w:firstLine="420"/>
        <w:textAlignment w:val="baseline"/>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shd w:val="clear" w:color="auto" w:fill="FFFFFF"/>
        </w:rPr>
        <w:t>本公司（单位）对上述声明内容的真实性负责。如有虚假，愿承担相应法律责任。</w:t>
      </w:r>
    </w:p>
    <w:p w14:paraId="68AA6FD9">
      <w:pPr>
        <w:pStyle w:val="8"/>
        <w:shd w:val="clear" w:color="auto" w:fill="FFFFFF"/>
        <w:spacing w:before="20" w:beforeAutospacing="0" w:after="20" w:afterAutospacing="0" w:line="560" w:lineRule="atLeast"/>
        <w:textAlignment w:val="baseline"/>
        <w:rPr>
          <w:rFonts w:hint="eastAsia" w:ascii="宋体" w:hAnsi="宋体" w:eastAsia="宋体" w:cs="宋体"/>
          <w:b w:val="0"/>
          <w:i w:val="0"/>
          <w:iCs w:val="0"/>
          <w:color w:val="auto"/>
          <w:sz w:val="24"/>
          <w:szCs w:val="24"/>
          <w:highlight w:val="none"/>
        </w:rPr>
      </w:pPr>
    </w:p>
    <w:p w14:paraId="0E832BF5">
      <w:pPr>
        <w:pStyle w:val="18"/>
        <w:spacing w:line="360" w:lineRule="auto"/>
        <w:ind w:firstLine="42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0BC67266">
      <w:pPr>
        <w:pStyle w:val="8"/>
        <w:shd w:val="clear" w:color="auto" w:fill="FFFFFF"/>
        <w:spacing w:before="20" w:beforeAutospacing="0" w:after="20" w:afterAutospacing="0" w:line="560" w:lineRule="atLeast"/>
        <w:jc w:val="right"/>
        <w:textAlignment w:val="baseline"/>
        <w:rPr>
          <w:rFonts w:hint="eastAsia" w:ascii="宋体" w:hAnsi="宋体" w:eastAsia="宋体" w:cs="宋体"/>
          <w:b w:val="0"/>
          <w:i w:val="0"/>
          <w:iCs w:val="0"/>
          <w:color w:val="auto"/>
          <w:sz w:val="24"/>
          <w:szCs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日</w:t>
      </w:r>
    </w:p>
    <w:p w14:paraId="75DBF77C">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4"/>
          <w:szCs w:val="24"/>
          <w:highlight w:val="none"/>
          <w:shd w:val="clear" w:color="auto" w:fill="FFFFFF"/>
        </w:rPr>
      </w:pPr>
    </w:p>
    <w:p w14:paraId="12B24F6E">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1.产品如有型号，请在“产品名称”栏一并填写。</w:t>
      </w:r>
    </w:p>
    <w:p w14:paraId="5D9DDA58">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2.生产厂名与厂址应与生产厂营业执照载明的相关信息保持一致。</w:t>
      </w:r>
    </w:p>
    <w:p w14:paraId="0BCE4254">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3.该产品的中国境内生产的组件成本占比相关要求实施前，“规定比例”栏可不填，下同。</w:t>
      </w:r>
    </w:p>
    <w:p w14:paraId="02D35AA0">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4.该产品的关键组件要求实施前，“关键组件”栏可不填，下同。</w:t>
      </w:r>
    </w:p>
    <w:p w14:paraId="014851E5">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5.该产品的关键工序要求实施前，“关键工序”栏可不填，下同。</w:t>
      </w:r>
    </w:p>
    <w:p w14:paraId="4E7A6049">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6.当采购项目或者采购包中含有多种产品，应当逐项填写。</w:t>
      </w:r>
    </w:p>
    <w:p w14:paraId="47CCB3CB">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7.服务采购项目中涉及的货物，也应按本函格式，逐项填写。</w:t>
      </w:r>
    </w:p>
    <w:p w14:paraId="131A5355">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8.招标代理机构将随中标、成交结果同时公告中标、成交供应商提供的《声明函》或有关证明文件，请各投标人如实进行声明。</w:t>
      </w:r>
    </w:p>
    <w:p w14:paraId="73FB9C86">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9.供应商提供虚假《声明函》、虚假证明文件谋取中标、成交的，依照《中华人民共和国政府采购法》等法律法规规定追究相应责任。</w:t>
      </w:r>
    </w:p>
    <w:p w14:paraId="16B0A6CF">
      <w:pPr>
        <w:pStyle w:val="8"/>
        <w:shd w:val="clear" w:color="auto" w:fill="FFFFFF"/>
        <w:spacing w:before="20" w:beforeAutospacing="0" w:after="20" w:afterAutospacing="0"/>
        <w:ind w:firstLine="420"/>
        <w:textAlignment w:val="baseline"/>
        <w:rPr>
          <w:rFonts w:hint="eastAsia" w:ascii="宋体" w:hAnsi="宋体" w:eastAsia="宋体" w:cs="宋体"/>
          <w:b w:val="0"/>
          <w:i w:val="0"/>
          <w:iCs w:val="0"/>
          <w:color w:val="auto"/>
          <w:sz w:val="21"/>
          <w:szCs w:val="21"/>
          <w:highlight w:val="none"/>
          <w:shd w:val="clear" w:color="auto" w:fill="FFFFFF"/>
        </w:rPr>
      </w:pPr>
      <w:r>
        <w:rPr>
          <w:rFonts w:hint="eastAsia" w:ascii="宋体" w:hAnsi="宋体" w:eastAsia="宋体" w:cs="宋体"/>
          <w:b w:val="0"/>
          <w:i w:val="0"/>
          <w:iCs w:val="0"/>
          <w:color w:val="auto"/>
          <w:sz w:val="21"/>
          <w:szCs w:val="21"/>
          <w:highlight w:val="none"/>
          <w:shd w:val="clear" w:color="auto" w:fill="FFFFFF"/>
        </w:rPr>
        <w:t>10.若供应商认为提供的货物不符合本国产品标准，可以不填写声明函，不享受价格折扣政策。</w:t>
      </w:r>
    </w:p>
    <w:p w14:paraId="11FC1CDB">
      <w:pPr>
        <w:pStyle w:val="3"/>
        <w:numPr>
          <w:ilvl w:val="1"/>
          <w:numId w:val="0"/>
        </w:numPr>
        <w:tabs>
          <w:tab w:val="left" w:pos="360"/>
          <w:tab w:val="clear" w:pos="1021"/>
        </w:tabs>
        <w:ind w:left="-171" w:leftChars="0"/>
        <w:rPr>
          <w:rFonts w:hint="eastAsia" w:ascii="宋体" w:hAnsi="宋体" w:eastAsia="宋体" w:cs="宋体"/>
          <w:color w:val="auto"/>
          <w:szCs w:val="28"/>
          <w:highlight w:val="none"/>
        </w:rPr>
      </w:pPr>
      <w:r>
        <w:rPr>
          <w:rFonts w:hint="eastAsia" w:ascii="宋体" w:hAnsi="宋体" w:eastAsia="宋体" w:cs="宋体"/>
          <w:b w:val="0"/>
          <w:color w:val="auto"/>
          <w:highlight w:val="none"/>
          <w:shd w:val="clear" w:color="auto" w:fill="FFFFFF"/>
        </w:rPr>
        <w:br w:type="page"/>
      </w:r>
      <w:r>
        <w:rPr>
          <w:rFonts w:hint="eastAsia" w:ascii="宋体" w:hAnsi="宋体" w:eastAsia="宋体" w:cs="宋体"/>
          <w:color w:val="auto"/>
          <w:highlight w:val="none"/>
        </w:rPr>
        <w:t>附件：本国产品支持政策价格评审优惠声明函</w:t>
      </w:r>
    </w:p>
    <w:p w14:paraId="0FEBC63E">
      <w:pPr>
        <w:pStyle w:val="8"/>
        <w:shd w:val="clear" w:color="auto" w:fill="FFFFFF"/>
        <w:spacing w:before="20" w:beforeAutospacing="0" w:after="20" w:afterAutospacing="0" w:line="360" w:lineRule="auto"/>
        <w:ind w:firstLine="420"/>
        <w:textAlignment w:val="baseline"/>
        <w:rPr>
          <w:rFonts w:hint="eastAsia" w:ascii="宋体" w:hAnsi="宋体" w:eastAsia="宋体" w:cs="宋体"/>
          <w:b/>
          <w:bCs/>
          <w:color w:val="auto"/>
          <w:sz w:val="24"/>
          <w:szCs w:val="24"/>
          <w:highlight w:val="none"/>
          <w:u w:val="double"/>
          <w:shd w:val="clear" w:color="auto" w:fill="FFFFFF"/>
        </w:rPr>
      </w:pPr>
      <w:r>
        <w:rPr>
          <w:rFonts w:hint="eastAsia" w:ascii="宋体" w:hAnsi="宋体" w:eastAsia="宋体" w:cs="宋体"/>
          <w:b/>
          <w:bCs/>
          <w:color w:val="auto"/>
          <w:sz w:val="24"/>
          <w:szCs w:val="24"/>
          <w:highlight w:val="none"/>
          <w:u w:val="double"/>
          <w:shd w:val="clear" w:color="auto" w:fill="FFFFFF"/>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6320F357">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p>
    <w:p w14:paraId="02244101">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本公司（单位）郑重声明：符合本国产品标准的产品成本之和占该我公司提供的全部产品成本之和的比例达到80%，具体内容如下：</w:t>
      </w:r>
    </w:p>
    <w:p w14:paraId="43DE6229">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72BE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52" w:type="dxa"/>
            <w:tcBorders>
              <w:top w:val="single" w:color="auto" w:sz="4" w:space="0"/>
              <w:left w:val="single" w:color="auto" w:sz="4" w:space="0"/>
              <w:bottom w:val="single" w:color="auto" w:sz="4" w:space="0"/>
              <w:right w:val="single" w:color="auto" w:sz="4" w:space="0"/>
            </w:tcBorders>
            <w:vAlign w:val="center"/>
          </w:tcPr>
          <w:p w14:paraId="45688B79">
            <w:pPr>
              <w:pStyle w:val="8"/>
              <w:shd w:val="clear" w:color="auto" w:fill="FFFFFF"/>
              <w:spacing w:before="20" w:beforeAutospacing="0" w:after="20" w:afterAutospacing="0"/>
              <w:jc w:val="center"/>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项目名称</w:t>
            </w:r>
          </w:p>
        </w:tc>
        <w:tc>
          <w:tcPr>
            <w:tcW w:w="6090" w:type="dxa"/>
            <w:tcBorders>
              <w:top w:val="single" w:color="auto" w:sz="4" w:space="0"/>
              <w:left w:val="single" w:color="auto" w:sz="4" w:space="0"/>
              <w:bottom w:val="single" w:color="auto" w:sz="4" w:space="0"/>
              <w:right w:val="single" w:color="auto" w:sz="4" w:space="0"/>
            </w:tcBorders>
            <w:vAlign w:val="center"/>
          </w:tcPr>
          <w:p w14:paraId="56BB83DC">
            <w:pPr>
              <w:pStyle w:val="8"/>
              <w:shd w:val="clear" w:color="auto" w:fill="FFFFFF"/>
              <w:spacing w:before="20" w:beforeAutospacing="0" w:after="20" w:afterAutospacing="0"/>
              <w:jc w:val="center"/>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符合本国产品标准的产品成本之和占全部产品成本之和的比例（%）</w:t>
            </w:r>
          </w:p>
        </w:tc>
      </w:tr>
      <w:tr w14:paraId="5F57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952" w:type="dxa"/>
            <w:tcBorders>
              <w:top w:val="single" w:color="auto" w:sz="4" w:space="0"/>
              <w:left w:val="single" w:color="auto" w:sz="4" w:space="0"/>
              <w:bottom w:val="single" w:color="auto" w:sz="4" w:space="0"/>
              <w:right w:val="single" w:color="auto" w:sz="4" w:space="0"/>
            </w:tcBorders>
          </w:tcPr>
          <w:p w14:paraId="122C9FD2">
            <w:pPr>
              <w:pStyle w:val="8"/>
              <w:spacing w:before="20" w:beforeAutospacing="0" w:after="20" w:afterAutospacing="0" w:line="360" w:lineRule="auto"/>
              <w:jc w:val="center"/>
              <w:textAlignment w:val="baseline"/>
              <w:rPr>
                <w:rFonts w:hint="eastAsia" w:ascii="宋体" w:hAnsi="宋体" w:eastAsia="宋体" w:cs="宋体"/>
                <w:color w:val="auto"/>
                <w:sz w:val="24"/>
                <w:szCs w:val="24"/>
                <w:highlight w:val="none"/>
                <w:shd w:val="clear" w:color="auto" w:fill="FFFFFF"/>
              </w:rPr>
            </w:pPr>
          </w:p>
        </w:tc>
        <w:tc>
          <w:tcPr>
            <w:tcW w:w="6090" w:type="dxa"/>
            <w:tcBorders>
              <w:top w:val="single" w:color="auto" w:sz="4" w:space="0"/>
              <w:left w:val="single" w:color="auto" w:sz="4" w:space="0"/>
              <w:bottom w:val="single" w:color="auto" w:sz="4" w:space="0"/>
              <w:right w:val="single" w:color="auto" w:sz="4" w:space="0"/>
            </w:tcBorders>
          </w:tcPr>
          <w:p w14:paraId="54FBEA45">
            <w:pPr>
              <w:pStyle w:val="8"/>
              <w:spacing w:before="20" w:beforeAutospacing="0" w:after="20" w:afterAutospacing="0" w:line="360" w:lineRule="auto"/>
              <w:jc w:val="center"/>
              <w:textAlignment w:val="baseline"/>
              <w:rPr>
                <w:rFonts w:hint="eastAsia" w:ascii="宋体" w:hAnsi="宋体" w:eastAsia="宋体" w:cs="宋体"/>
                <w:color w:val="auto"/>
                <w:sz w:val="24"/>
                <w:szCs w:val="24"/>
                <w:highlight w:val="none"/>
                <w:shd w:val="clear" w:color="auto" w:fill="FFFFFF"/>
              </w:rPr>
            </w:pPr>
          </w:p>
        </w:tc>
      </w:tr>
    </w:tbl>
    <w:p w14:paraId="2EA4E753">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074B3944">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18"/>
          <w:szCs w:val="18"/>
          <w:highlight w:val="none"/>
          <w:shd w:val="clear" w:color="auto" w:fill="FFFFFF"/>
        </w:rPr>
      </w:pPr>
    </w:p>
    <w:p w14:paraId="3D88D979">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6FC90A00">
      <w:pPr>
        <w:pStyle w:val="18"/>
        <w:spacing w:line="360" w:lineRule="auto"/>
        <w:rPr>
          <w:rFonts w:hint="eastAsia" w:ascii="宋体" w:hAnsi="宋体" w:eastAsia="宋体" w:cs="宋体"/>
          <w:color w:val="auto"/>
          <w:sz w:val="24"/>
          <w:szCs w:val="24"/>
          <w:highlight w:val="none"/>
        </w:rPr>
      </w:pPr>
    </w:p>
    <w:p w14:paraId="719D5AF0">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53495427">
      <w:pPr>
        <w:spacing w:line="360" w:lineRule="auto"/>
        <w:rPr>
          <w:rFonts w:hint="eastAsia" w:ascii="宋体" w:hAnsi="宋体" w:cs="宋体"/>
          <w:bCs/>
          <w:color w:val="auto"/>
          <w:sz w:val="24"/>
          <w:szCs w:val="24"/>
          <w:highlight w:val="none"/>
          <w:lang w:val="en-US" w:eastAsia="zh-CN"/>
        </w:rPr>
      </w:pPr>
    </w:p>
    <w:p w14:paraId="307A032F">
      <w:pPr>
        <w:spacing w:line="360" w:lineRule="auto"/>
        <w:rPr>
          <w:rFonts w:hint="eastAsia" w:ascii="宋体" w:hAnsi="宋体" w:eastAsia="宋体" w:cs="宋体"/>
          <w:b w:val="0"/>
          <w:bCs/>
          <w:color w:val="auto"/>
          <w:sz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3FA277D7">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highlight w:val="none"/>
          <w:u w:val="double"/>
          <w:shd w:val="clear" w:color="auto" w:fill="FFFFFF"/>
        </w:rPr>
      </w:pPr>
      <w:r>
        <w:rPr>
          <w:rFonts w:hint="eastAsia" w:ascii="宋体" w:hAnsi="宋体" w:eastAsia="宋体" w:cs="宋体"/>
          <w:color w:val="auto"/>
          <w:highlight w:val="none"/>
          <w:shd w:val="clear" w:color="auto" w:fill="FFFFFF"/>
        </w:rPr>
        <w:br w:type="page"/>
      </w:r>
      <w:r>
        <w:rPr>
          <w:rFonts w:hint="eastAsia" w:ascii="宋体" w:hAnsi="宋体" w:eastAsia="宋体" w:cs="宋体"/>
          <w:color w:val="auto"/>
          <w:highlight w:val="none"/>
          <w:u w:val="double"/>
          <w:shd w:val="clear" w:color="auto" w:fill="FFFFFF"/>
        </w:rPr>
        <w:t>以下内容仅为</w:t>
      </w:r>
      <w:r>
        <w:rPr>
          <w:rFonts w:hint="eastAsia" w:ascii="宋体" w:hAnsi="宋体" w:eastAsia="宋体" w:cs="宋体"/>
          <w:b/>
          <w:bCs/>
          <w:color w:val="auto"/>
          <w:highlight w:val="none"/>
          <w:u w:val="double"/>
          <w:shd w:val="clear" w:color="auto" w:fill="FFFFFF"/>
        </w:rPr>
        <w:t>示例</w:t>
      </w:r>
      <w:r>
        <w:rPr>
          <w:rFonts w:hint="eastAsia" w:ascii="宋体" w:hAnsi="宋体" w:eastAsia="宋体" w:cs="宋体"/>
          <w:color w:val="auto"/>
          <w:highlight w:val="none"/>
          <w:u w:val="double"/>
          <w:shd w:val="clear" w:color="auto" w:fill="FFFFFF"/>
        </w:rPr>
        <w:t>，各投标人编制投标文件时，请按投标项目实际情况，</w:t>
      </w:r>
      <w:r>
        <w:rPr>
          <w:rFonts w:hint="eastAsia" w:ascii="宋体" w:hAnsi="宋体" w:eastAsia="宋体" w:cs="宋体"/>
          <w:b/>
          <w:bCs/>
          <w:color w:val="auto"/>
          <w:highlight w:val="none"/>
          <w:u w:val="double"/>
          <w:shd w:val="clear" w:color="auto" w:fill="FFFFFF"/>
        </w:rPr>
        <w:t>按上表格式</w:t>
      </w:r>
      <w:r>
        <w:rPr>
          <w:rFonts w:hint="eastAsia" w:ascii="宋体" w:hAnsi="宋体" w:eastAsia="宋体" w:cs="宋体"/>
          <w:color w:val="auto"/>
          <w:highlight w:val="none"/>
          <w:u w:val="double"/>
          <w:shd w:val="clear" w:color="auto" w:fill="FFFFFF"/>
        </w:rPr>
        <w:t>填写。</w:t>
      </w:r>
    </w:p>
    <w:p w14:paraId="56DC459A">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示例1：</w:t>
      </w:r>
      <w:r>
        <w:rPr>
          <w:rFonts w:hint="eastAsia" w:ascii="宋体" w:hAnsi="宋体" w:eastAsia="宋体" w:cs="宋体"/>
          <w:color w:val="auto"/>
          <w:sz w:val="24"/>
          <w:szCs w:val="24"/>
          <w:highlight w:val="none"/>
          <w:shd w:val="clear" w:color="auto" w:fill="FFFFFF"/>
        </w:rPr>
        <w:t>投标人A参加某货物采购项目，投标报价总价为X万元，其中包含n（n＞1）种货物，符合本国产品标准的产品成本之和占该供应商提供的全部产品成本之和的比例为82%。则本表应当填写为：</w:t>
      </w:r>
    </w:p>
    <w:p w14:paraId="5B66FE42">
      <w:pPr>
        <w:pStyle w:val="8"/>
        <w:shd w:val="clear" w:color="auto" w:fill="FFFFFF"/>
        <w:spacing w:before="20" w:beforeAutospacing="0" w:after="20" w:afterAutospacing="0" w:line="360" w:lineRule="auto"/>
        <w:ind w:firstLine="420"/>
        <w:textAlignment w:val="baseline"/>
        <w:rPr>
          <w:rStyle w:val="33"/>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本公司（单位）郑重声明：符合本国产品标准的产品成本之和占该我公司提供的全部产品成本之和的比例达到80%，具体内容如下：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6112"/>
      </w:tblGrid>
      <w:tr w14:paraId="6AD2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62" w:type="dxa"/>
            <w:tcBorders>
              <w:top w:val="single" w:color="auto" w:sz="4" w:space="0"/>
              <w:left w:val="single" w:color="auto" w:sz="4" w:space="0"/>
              <w:bottom w:val="single" w:color="auto" w:sz="4" w:space="0"/>
              <w:right w:val="single" w:color="auto" w:sz="4" w:space="0"/>
            </w:tcBorders>
            <w:vAlign w:val="center"/>
          </w:tcPr>
          <w:p w14:paraId="19351799">
            <w:pPr>
              <w:pStyle w:val="8"/>
              <w:shd w:val="clear" w:color="auto" w:fill="FFFFFF"/>
              <w:spacing w:before="20" w:beforeAutospacing="0" w:after="20" w:afterAutospacing="0"/>
              <w:ind w:firstLine="42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项目名称</w:t>
            </w:r>
          </w:p>
        </w:tc>
        <w:tc>
          <w:tcPr>
            <w:tcW w:w="6112" w:type="dxa"/>
            <w:tcBorders>
              <w:top w:val="single" w:color="auto" w:sz="4" w:space="0"/>
              <w:left w:val="single" w:color="auto" w:sz="4" w:space="0"/>
              <w:bottom w:val="single" w:color="auto" w:sz="4" w:space="0"/>
              <w:right w:val="single" w:color="auto" w:sz="4" w:space="0"/>
            </w:tcBorders>
            <w:vAlign w:val="center"/>
          </w:tcPr>
          <w:p w14:paraId="24D71875">
            <w:pPr>
              <w:pStyle w:val="8"/>
              <w:shd w:val="clear" w:color="auto" w:fill="FFFFFF"/>
              <w:spacing w:before="20" w:beforeAutospacing="0" w:after="20" w:afterAutospacing="0"/>
              <w:ind w:firstLine="42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符合本国产品标准的产品成本之和占全部产品成本之和的比例（%）（1）</w:t>
            </w:r>
          </w:p>
        </w:tc>
      </w:tr>
      <w:tr w14:paraId="74C0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62" w:type="dxa"/>
            <w:tcBorders>
              <w:top w:val="single" w:color="auto" w:sz="4" w:space="0"/>
              <w:left w:val="single" w:color="auto" w:sz="4" w:space="0"/>
              <w:bottom w:val="single" w:color="auto" w:sz="4" w:space="0"/>
              <w:right w:val="single" w:color="auto" w:sz="4" w:space="0"/>
            </w:tcBorders>
          </w:tcPr>
          <w:p w14:paraId="17274C37">
            <w:pPr>
              <w:pStyle w:val="8"/>
              <w:spacing w:before="20" w:beforeAutospacing="0" w:after="20" w:afterAutospacing="0" w:line="360" w:lineRule="auto"/>
              <w:jc w:val="center"/>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**采购项目</w:t>
            </w:r>
          </w:p>
        </w:tc>
        <w:tc>
          <w:tcPr>
            <w:tcW w:w="6112" w:type="dxa"/>
            <w:tcBorders>
              <w:top w:val="single" w:color="auto" w:sz="4" w:space="0"/>
              <w:left w:val="single" w:color="auto" w:sz="4" w:space="0"/>
              <w:bottom w:val="single" w:color="auto" w:sz="4" w:space="0"/>
              <w:right w:val="single" w:color="auto" w:sz="4" w:space="0"/>
            </w:tcBorders>
          </w:tcPr>
          <w:p w14:paraId="59A39CBE">
            <w:pPr>
              <w:pStyle w:val="8"/>
              <w:spacing w:before="20" w:beforeAutospacing="0" w:after="20" w:afterAutospacing="0" w:line="360" w:lineRule="auto"/>
              <w:jc w:val="center"/>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82%</w:t>
            </w:r>
          </w:p>
        </w:tc>
      </w:tr>
    </w:tbl>
    <w:p w14:paraId="2A15606F">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11215054">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18"/>
          <w:szCs w:val="18"/>
          <w:highlight w:val="none"/>
          <w:shd w:val="clear" w:color="auto" w:fill="FFFFFF"/>
        </w:rPr>
      </w:pPr>
    </w:p>
    <w:p w14:paraId="7DEC9133">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008B3494">
      <w:pPr>
        <w:pStyle w:val="18"/>
        <w:spacing w:line="360" w:lineRule="auto"/>
        <w:rPr>
          <w:rFonts w:hint="eastAsia" w:ascii="宋体" w:hAnsi="宋体" w:eastAsia="宋体" w:cs="宋体"/>
          <w:color w:val="auto"/>
          <w:sz w:val="24"/>
          <w:szCs w:val="24"/>
          <w:highlight w:val="none"/>
        </w:rPr>
      </w:pPr>
    </w:p>
    <w:p w14:paraId="0F06BF23">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4700A503">
      <w:pPr>
        <w:spacing w:line="360" w:lineRule="auto"/>
        <w:rPr>
          <w:rFonts w:hint="eastAsia" w:ascii="宋体" w:hAnsi="宋体" w:cs="宋体"/>
          <w:bCs/>
          <w:color w:val="auto"/>
          <w:sz w:val="24"/>
          <w:szCs w:val="24"/>
          <w:highlight w:val="none"/>
          <w:lang w:val="en-US" w:eastAsia="zh-CN"/>
        </w:rPr>
      </w:pPr>
    </w:p>
    <w:p w14:paraId="6A0A5CCA">
      <w:pPr>
        <w:spacing w:line="360" w:lineRule="auto"/>
        <w:rPr>
          <w:rFonts w:hint="eastAsia" w:ascii="宋体" w:hAnsi="宋体" w:eastAsia="宋体" w:cs="宋体"/>
          <w:b w:val="0"/>
          <w:bCs/>
          <w:color w:val="auto"/>
          <w:sz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08E6B929">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18"/>
          <w:szCs w:val="18"/>
          <w:highlight w:val="none"/>
          <w:shd w:val="clear" w:color="auto" w:fill="FFFFFF"/>
        </w:rPr>
      </w:pPr>
    </w:p>
    <w:p w14:paraId="328763E0">
      <w:pPr>
        <w:pStyle w:val="8"/>
        <w:shd w:val="clear" w:color="auto" w:fill="FFFFFF"/>
        <w:spacing w:before="20" w:beforeAutospacing="0" w:after="20" w:afterAutospacing="0" w:line="360" w:lineRule="auto"/>
        <w:textAlignment w:val="baseline"/>
        <w:rPr>
          <w:rFonts w:hint="eastAsia" w:ascii="宋体" w:hAnsi="宋体" w:eastAsia="宋体" w:cs="宋体"/>
          <w:b/>
          <w:bCs/>
          <w:color w:val="auto"/>
          <w:szCs w:val="21"/>
          <w:highlight w:val="none"/>
          <w:shd w:val="clear" w:color="auto" w:fill="FFFFFF"/>
        </w:rPr>
      </w:pPr>
      <w:r>
        <w:rPr>
          <w:rFonts w:hint="eastAsia" w:ascii="宋体" w:hAnsi="宋体" w:eastAsia="宋体" w:cs="宋体"/>
          <w:color w:val="auto"/>
          <w:sz w:val="21"/>
          <w:szCs w:val="21"/>
          <w:highlight w:val="none"/>
          <w:shd w:val="clear" w:color="auto" w:fill="FFFFFF"/>
        </w:rPr>
        <w:t>上述示例数据中，（1）大于80%，对该供应商提供的全部产品总报价给予20%的价格扣除，即:X*20%万元。</w:t>
      </w:r>
      <w:r>
        <w:rPr>
          <w:rFonts w:hint="eastAsia" w:ascii="宋体" w:hAnsi="宋体" w:eastAsia="宋体" w:cs="宋体"/>
          <w:b/>
          <w:bCs/>
          <w:color w:val="auto"/>
          <w:szCs w:val="21"/>
          <w:highlight w:val="none"/>
          <w:shd w:val="clear" w:color="auto" w:fill="FFFFFF"/>
        </w:rPr>
        <w:br w:type="page"/>
      </w:r>
    </w:p>
    <w:p w14:paraId="0F0F5927">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示例2：</w:t>
      </w:r>
      <w:r>
        <w:rPr>
          <w:rFonts w:hint="eastAsia" w:ascii="宋体" w:hAnsi="宋体" w:eastAsia="宋体" w:cs="宋体"/>
          <w:color w:val="auto"/>
          <w:sz w:val="24"/>
          <w:szCs w:val="24"/>
          <w:highlight w:val="none"/>
          <w:shd w:val="clear" w:color="auto" w:fill="FFFFFF"/>
        </w:rPr>
        <w:t>投标人A参加某服务采购项目，投标报价总价为X万元，其中包含4种货物，4种货物报价为Y万元，符合本国产品标准的产品成本之和占该供应商提供的全部产品成本之和的比例为100%。则本声明函应当填写为：</w:t>
      </w:r>
    </w:p>
    <w:p w14:paraId="5ADBD94D">
      <w:pPr>
        <w:pStyle w:val="8"/>
        <w:shd w:val="clear" w:color="auto" w:fill="FFFFFF"/>
        <w:spacing w:before="20" w:beforeAutospacing="0" w:after="20" w:afterAutospacing="0" w:line="360" w:lineRule="auto"/>
        <w:ind w:firstLine="420"/>
        <w:textAlignment w:val="baseline"/>
        <w:rPr>
          <w:rStyle w:val="33"/>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本公司（单位）郑重声明：符合本国产品标准的产品成本之和占该我公司提供的全部产品成本之和的比例达到80%，具体内容如下：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6070"/>
      </w:tblGrid>
      <w:tr w14:paraId="04C1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942" w:type="dxa"/>
            <w:tcBorders>
              <w:top w:val="single" w:color="auto" w:sz="4" w:space="0"/>
              <w:left w:val="single" w:color="auto" w:sz="4" w:space="0"/>
              <w:bottom w:val="single" w:color="auto" w:sz="4" w:space="0"/>
              <w:right w:val="single" w:color="auto" w:sz="4" w:space="0"/>
            </w:tcBorders>
            <w:vAlign w:val="center"/>
          </w:tcPr>
          <w:p w14:paraId="3F2C384A">
            <w:pPr>
              <w:pStyle w:val="8"/>
              <w:shd w:val="clear" w:color="auto" w:fill="FFFFFF"/>
              <w:spacing w:before="20" w:beforeAutospacing="0" w:after="20" w:afterAutospacing="0"/>
              <w:ind w:firstLine="42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项目名称</w:t>
            </w:r>
          </w:p>
        </w:tc>
        <w:tc>
          <w:tcPr>
            <w:tcW w:w="6070" w:type="dxa"/>
            <w:tcBorders>
              <w:top w:val="single" w:color="auto" w:sz="4" w:space="0"/>
              <w:left w:val="single" w:color="auto" w:sz="4" w:space="0"/>
              <w:bottom w:val="single" w:color="auto" w:sz="4" w:space="0"/>
              <w:right w:val="single" w:color="auto" w:sz="4" w:space="0"/>
            </w:tcBorders>
            <w:vAlign w:val="center"/>
          </w:tcPr>
          <w:p w14:paraId="1E783624">
            <w:pPr>
              <w:pStyle w:val="8"/>
              <w:shd w:val="clear" w:color="auto" w:fill="FFFFFF"/>
              <w:spacing w:before="20" w:beforeAutospacing="0" w:after="20" w:afterAutospacing="0"/>
              <w:ind w:firstLine="42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符合本国产品标准的产品成本之和占全部产品成本之和的比例（%）（1）</w:t>
            </w:r>
          </w:p>
        </w:tc>
      </w:tr>
      <w:tr w14:paraId="4599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942" w:type="dxa"/>
            <w:tcBorders>
              <w:top w:val="single" w:color="auto" w:sz="4" w:space="0"/>
              <w:left w:val="single" w:color="auto" w:sz="4" w:space="0"/>
              <w:bottom w:val="single" w:color="auto" w:sz="4" w:space="0"/>
              <w:right w:val="single" w:color="auto" w:sz="4" w:space="0"/>
            </w:tcBorders>
          </w:tcPr>
          <w:p w14:paraId="1AC6A63F">
            <w:pPr>
              <w:pStyle w:val="8"/>
              <w:spacing w:before="20" w:beforeAutospacing="0" w:after="20" w:afterAutospacing="0" w:line="360" w:lineRule="auto"/>
              <w:jc w:val="center"/>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**服务采购项目</w:t>
            </w:r>
          </w:p>
        </w:tc>
        <w:tc>
          <w:tcPr>
            <w:tcW w:w="6070" w:type="dxa"/>
            <w:tcBorders>
              <w:top w:val="single" w:color="auto" w:sz="4" w:space="0"/>
              <w:left w:val="single" w:color="auto" w:sz="4" w:space="0"/>
              <w:bottom w:val="single" w:color="auto" w:sz="4" w:space="0"/>
              <w:right w:val="single" w:color="auto" w:sz="4" w:space="0"/>
            </w:tcBorders>
          </w:tcPr>
          <w:p w14:paraId="51E47CED">
            <w:pPr>
              <w:pStyle w:val="8"/>
              <w:spacing w:before="20" w:beforeAutospacing="0" w:after="20" w:afterAutospacing="0" w:line="360" w:lineRule="auto"/>
              <w:jc w:val="center"/>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100%</w:t>
            </w:r>
          </w:p>
        </w:tc>
      </w:tr>
    </w:tbl>
    <w:p w14:paraId="2BCC537A">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58AB4C01">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18"/>
          <w:szCs w:val="18"/>
          <w:highlight w:val="none"/>
          <w:shd w:val="clear" w:color="auto" w:fill="FFFFFF"/>
        </w:rPr>
      </w:pPr>
    </w:p>
    <w:p w14:paraId="7B92A4A2">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45066EEC">
      <w:pPr>
        <w:pStyle w:val="18"/>
        <w:spacing w:line="360" w:lineRule="auto"/>
        <w:rPr>
          <w:rFonts w:hint="eastAsia" w:ascii="宋体" w:hAnsi="宋体" w:eastAsia="宋体" w:cs="宋体"/>
          <w:color w:val="auto"/>
          <w:sz w:val="24"/>
          <w:szCs w:val="24"/>
          <w:highlight w:val="none"/>
        </w:rPr>
      </w:pPr>
    </w:p>
    <w:p w14:paraId="531C983F">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79432BF0">
      <w:pPr>
        <w:pStyle w:val="8"/>
        <w:shd w:val="clear" w:color="auto" w:fill="FFFFFF"/>
        <w:spacing w:before="20" w:beforeAutospacing="0" w:after="20" w:afterAutospacing="0" w:line="360" w:lineRule="auto"/>
        <w:textAlignment w:val="baseline"/>
        <w:rPr>
          <w:rFonts w:hint="eastAsia" w:ascii="宋体" w:hAnsi="宋体" w:cs="宋体"/>
          <w:bCs/>
          <w:color w:val="auto"/>
          <w:sz w:val="24"/>
          <w:szCs w:val="24"/>
          <w:highlight w:val="none"/>
          <w:lang w:val="en-US" w:eastAsia="zh-CN"/>
        </w:rPr>
      </w:pPr>
    </w:p>
    <w:p w14:paraId="5C748699">
      <w:pPr>
        <w:pStyle w:val="8"/>
        <w:shd w:val="clear" w:color="auto" w:fill="FFFFFF"/>
        <w:spacing w:before="20" w:beforeAutospacing="0" w:after="20" w:afterAutospacing="0" w:line="360" w:lineRule="auto"/>
        <w:textAlignment w:val="baseline"/>
        <w:rPr>
          <w:rFonts w:hint="eastAsia" w:ascii="宋体" w:hAnsi="宋体" w:eastAsia="宋体" w:cs="宋体"/>
          <w:color w:val="auto"/>
          <w:sz w:val="18"/>
          <w:szCs w:val="18"/>
          <w:highlight w:val="none"/>
          <w:shd w:val="clear" w:color="auto" w:fill="FFFFFF"/>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1FB4BA69">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18"/>
          <w:szCs w:val="18"/>
          <w:highlight w:val="none"/>
          <w:shd w:val="clear" w:color="auto" w:fill="FFFFFF"/>
        </w:rPr>
      </w:pPr>
    </w:p>
    <w:p w14:paraId="7360031E">
      <w:pPr>
        <w:pStyle w:val="8"/>
        <w:shd w:val="clear" w:color="auto" w:fill="FFFFFF"/>
        <w:spacing w:before="20" w:beforeAutospacing="0" w:after="20" w:afterAutospacing="0" w:line="360" w:lineRule="auto"/>
        <w:ind w:firstLine="420"/>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上述示例数据中，（1）大于80%，对该供应商提供的全部产品总报价给予20%的价格扣除，即:Y*20%万元。</w:t>
      </w:r>
    </w:p>
    <w:p w14:paraId="6FE11569">
      <w:pPr>
        <w:pStyle w:val="43"/>
        <w:numPr>
          <w:ilvl w:val="0"/>
          <w:numId w:val="0"/>
        </w:numPr>
        <w:spacing w:line="360" w:lineRule="auto"/>
        <w:rPr>
          <w:rFonts w:hint="eastAsia" w:ascii="宋体" w:hAnsi="宋体" w:eastAsia="宋体" w:cs="宋体"/>
          <w:b w:val="0"/>
          <w:bCs w:val="0"/>
          <w:color w:val="auto"/>
          <w:szCs w:val="21"/>
          <w:highlight w:val="none"/>
          <w:lang w:val="en-US" w:eastAsia="zh-CN"/>
        </w:rPr>
      </w:pPr>
    </w:p>
    <w:p w14:paraId="17E192C2">
      <w:pPr>
        <w:spacing w:line="360" w:lineRule="auto"/>
        <w:ind w:firstLine="2125" w:firstLineChars="882"/>
        <w:rPr>
          <w:rFonts w:hint="eastAsia" w:ascii="宋体" w:hAnsi="宋体" w:eastAsia="宋体" w:cs="宋体"/>
          <w:b/>
          <w:color w:val="auto"/>
          <w:sz w:val="24"/>
          <w:highlight w:val="none"/>
        </w:rPr>
      </w:pPr>
    </w:p>
    <w:p w14:paraId="5A8ADF7A">
      <w:pPr>
        <w:rPr>
          <w:rFonts w:hint="eastAsia" w:ascii="宋体" w:hAnsi="宋体" w:eastAsia="宋体" w:cs="宋体"/>
          <w:color w:val="auto"/>
          <w:highlight w:val="none"/>
        </w:rPr>
      </w:pPr>
    </w:p>
    <w:p w14:paraId="597E8B9A">
      <w:pPr>
        <w:rPr>
          <w:rFonts w:hint="eastAsia" w:ascii="宋体" w:hAnsi="宋体" w:eastAsia="宋体" w:cs="宋体"/>
          <w:color w:val="auto"/>
          <w:highlight w:val="none"/>
        </w:rPr>
      </w:pPr>
    </w:p>
    <w:p w14:paraId="28D0B6E8">
      <w:pPr>
        <w:rPr>
          <w:rFonts w:hint="eastAsia" w:ascii="宋体" w:hAnsi="宋体" w:eastAsia="宋体" w:cs="宋体"/>
          <w:color w:val="auto"/>
          <w:highlight w:val="none"/>
        </w:rPr>
      </w:pPr>
    </w:p>
    <w:p w14:paraId="2841B202">
      <w:pPr>
        <w:rPr>
          <w:rFonts w:hint="eastAsia" w:ascii="宋体" w:hAnsi="宋体" w:eastAsia="宋体" w:cs="宋体"/>
          <w:color w:val="auto"/>
          <w:highlight w:val="none"/>
        </w:rPr>
      </w:pPr>
    </w:p>
    <w:p w14:paraId="1E5FBAD5">
      <w:pPr>
        <w:rPr>
          <w:rFonts w:hint="eastAsia" w:ascii="宋体" w:hAnsi="宋体" w:eastAsia="宋体" w:cs="宋体"/>
          <w:color w:val="auto"/>
          <w:highlight w:val="none"/>
        </w:rPr>
      </w:pPr>
    </w:p>
    <w:p w14:paraId="0756A1CC">
      <w:pPr>
        <w:rPr>
          <w:rFonts w:hint="eastAsia" w:ascii="宋体" w:hAnsi="宋体" w:eastAsia="宋体" w:cs="宋体"/>
          <w:color w:val="auto"/>
          <w:highlight w:val="none"/>
        </w:rPr>
      </w:pPr>
    </w:p>
    <w:p w14:paraId="5BE25FC9">
      <w:pPr>
        <w:rPr>
          <w:rFonts w:hint="eastAsia" w:ascii="宋体" w:hAnsi="宋体" w:eastAsia="宋体" w:cs="宋体"/>
          <w:color w:val="auto"/>
          <w:highlight w:val="none"/>
        </w:rPr>
      </w:pPr>
    </w:p>
    <w:p w14:paraId="35965D6F">
      <w:pPr>
        <w:rPr>
          <w:rFonts w:hint="eastAsia" w:ascii="宋体" w:hAnsi="宋体" w:eastAsia="宋体" w:cs="宋体"/>
          <w:b/>
          <w:color w:val="auto"/>
          <w:sz w:val="28"/>
          <w:szCs w:val="28"/>
          <w:highlight w:val="none"/>
        </w:rPr>
      </w:pPr>
      <w:bookmarkStart w:id="196" w:name="_Toc30093"/>
      <w:r>
        <w:rPr>
          <w:rFonts w:hint="eastAsia" w:ascii="宋体" w:hAnsi="宋体" w:eastAsia="宋体" w:cs="宋体"/>
          <w:b/>
          <w:color w:val="auto"/>
          <w:sz w:val="28"/>
          <w:szCs w:val="28"/>
          <w:highlight w:val="none"/>
        </w:rPr>
        <w:br w:type="page"/>
      </w:r>
      <w:bookmarkEnd w:id="192"/>
      <w:bookmarkEnd w:id="193"/>
      <w:bookmarkEnd w:id="196"/>
      <w:bookmarkStart w:id="197" w:name="_Toc931"/>
      <w:bookmarkStart w:id="198" w:name="_Toc31212"/>
      <w:bookmarkStart w:id="199" w:name="_Toc37325520"/>
      <w:bookmarkStart w:id="200" w:name="_Toc13891"/>
      <w:bookmarkStart w:id="201" w:name="_Toc17041"/>
      <w:bookmarkStart w:id="202" w:name="_Toc493600039"/>
    </w:p>
    <w:p w14:paraId="791F6116">
      <w:pPr>
        <w:pStyle w:val="3"/>
        <w:numPr>
          <w:ilvl w:val="0"/>
          <w:numId w:val="0"/>
        </w:numPr>
        <w:ind w:left="425"/>
        <w:jc w:val="center"/>
        <w:rPr>
          <w:rFonts w:hint="eastAsia" w:ascii="宋体" w:hAnsi="宋体" w:eastAsia="宋体" w:cs="宋体"/>
          <w:color w:val="auto"/>
          <w:sz w:val="28"/>
          <w:szCs w:val="28"/>
          <w:highlight w:val="none"/>
        </w:rPr>
      </w:pPr>
      <w:bookmarkStart w:id="203" w:name="_Toc24691"/>
      <w:bookmarkStart w:id="204" w:name="_Toc23673"/>
      <w:bookmarkStart w:id="205" w:name="_Toc14377"/>
      <w:bookmarkStart w:id="206" w:name="_Toc493600035"/>
      <w:bookmarkStart w:id="207" w:name="_Toc213141100"/>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商务条款偏离表</w:t>
      </w:r>
      <w:bookmarkEnd w:id="203"/>
      <w:bookmarkEnd w:id="204"/>
      <w:bookmarkEnd w:id="205"/>
      <w:bookmarkEnd w:id="206"/>
      <w:bookmarkEnd w:id="207"/>
    </w:p>
    <w:p w14:paraId="67470418">
      <w:pPr>
        <w:pStyle w:val="1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投标人须逐条对应招标文件中要求的商务条款，认真填写该表。</w:t>
      </w:r>
    </w:p>
    <w:p w14:paraId="50B164DD">
      <w:pPr>
        <w:pStyle w:val="18"/>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商务条款是指：招标文件第五</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采购需求</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第三章《</w:t>
      </w:r>
      <w:r>
        <w:rPr>
          <w:rFonts w:hint="eastAsia" w:ascii="宋体" w:hAnsi="宋体" w:eastAsia="宋体" w:cs="宋体"/>
          <w:b w:val="0"/>
          <w:bCs/>
          <w:color w:val="auto"/>
          <w:sz w:val="24"/>
          <w:szCs w:val="24"/>
          <w:highlight w:val="none"/>
        </w:rPr>
        <w:t>合同书样式及主要条款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中要求的</w:t>
      </w:r>
      <w:r>
        <w:rPr>
          <w:rFonts w:hint="eastAsia" w:ascii="宋体" w:hAnsi="宋体" w:eastAsia="宋体" w:cs="宋体"/>
          <w:b/>
          <w:color w:val="auto"/>
          <w:sz w:val="24"/>
          <w:szCs w:val="24"/>
          <w:highlight w:val="none"/>
        </w:rPr>
        <w:t>商务部分、服务</w:t>
      </w:r>
      <w:r>
        <w:rPr>
          <w:rFonts w:hint="eastAsia" w:ascii="宋体" w:hAnsi="宋体" w:eastAsia="宋体" w:cs="宋体"/>
          <w:b/>
          <w:color w:val="auto"/>
          <w:sz w:val="24"/>
          <w:szCs w:val="24"/>
          <w:highlight w:val="none"/>
          <w:lang w:val="en-US" w:eastAsia="zh-CN"/>
        </w:rPr>
        <w:t>期限</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服务地点、</w:t>
      </w:r>
      <w:r>
        <w:rPr>
          <w:rFonts w:hint="eastAsia" w:ascii="宋体" w:hAnsi="宋体" w:eastAsia="宋体" w:cs="宋体"/>
          <w:b/>
          <w:color w:val="auto"/>
          <w:sz w:val="24"/>
          <w:szCs w:val="24"/>
          <w:highlight w:val="none"/>
        </w:rPr>
        <w:t>付款方式等要求。</w:t>
      </w:r>
    </w:p>
    <w:p w14:paraId="21794493">
      <w:pPr>
        <w:pStyle w:val="18"/>
        <w:rPr>
          <w:rFonts w:hint="eastAsia" w:ascii="宋体" w:hAnsi="宋体" w:eastAsia="宋体" w:cs="宋体"/>
          <w:b/>
          <w:color w:val="auto"/>
          <w:sz w:val="24"/>
          <w:szCs w:val="24"/>
          <w:highlight w:val="none"/>
        </w:rPr>
      </w:pPr>
    </w:p>
    <w:p w14:paraId="43B93419">
      <w:pPr>
        <w:pStyle w:val="18"/>
        <w:rPr>
          <w:rFonts w:hint="eastAsia" w:ascii="宋体" w:hAnsi="宋体" w:eastAsia="宋体" w:cs="宋体"/>
          <w:b/>
          <w:color w:val="auto"/>
          <w:sz w:val="24"/>
          <w:szCs w:val="24"/>
          <w:highlight w:val="none"/>
          <w:u w:val="single"/>
          <w:lang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项目编号</w:t>
      </w:r>
      <w:r>
        <w:rPr>
          <w:rFonts w:hint="eastAsia" w:ascii="宋体" w:hAnsi="宋体" w:eastAsia="宋体" w:cs="宋体"/>
          <w:b/>
          <w:color w:val="auto"/>
          <w:sz w:val="24"/>
          <w:szCs w:val="24"/>
          <w:highlight w:val="none"/>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67"/>
        <w:gridCol w:w="2589"/>
        <w:gridCol w:w="2417"/>
        <w:gridCol w:w="1586"/>
        <w:gridCol w:w="1577"/>
      </w:tblGrid>
      <w:tr w14:paraId="3B96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center"/>
          </w:tcPr>
          <w:p w14:paraId="135C3C47">
            <w:pPr>
              <w:pStyle w:val="1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067" w:type="dxa"/>
            <w:noWrap w:val="0"/>
            <w:vAlign w:val="center"/>
          </w:tcPr>
          <w:p w14:paraId="526AEA62">
            <w:pPr>
              <w:pStyle w:val="1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招标文件页码及条目号</w:t>
            </w:r>
          </w:p>
        </w:tc>
        <w:tc>
          <w:tcPr>
            <w:tcW w:w="2589" w:type="dxa"/>
            <w:noWrap w:val="0"/>
            <w:vAlign w:val="center"/>
          </w:tcPr>
          <w:p w14:paraId="0E3CED3A">
            <w:pPr>
              <w:pStyle w:val="1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招标文件的商务条款</w:t>
            </w:r>
          </w:p>
        </w:tc>
        <w:tc>
          <w:tcPr>
            <w:tcW w:w="2417" w:type="dxa"/>
            <w:noWrap w:val="0"/>
            <w:vAlign w:val="center"/>
          </w:tcPr>
          <w:p w14:paraId="1C11859B">
            <w:pPr>
              <w:pStyle w:val="1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投标文件的商务条款</w:t>
            </w:r>
          </w:p>
        </w:tc>
        <w:tc>
          <w:tcPr>
            <w:tcW w:w="1586" w:type="dxa"/>
            <w:noWrap w:val="0"/>
            <w:vAlign w:val="center"/>
          </w:tcPr>
          <w:p w14:paraId="276F2450">
            <w:pPr>
              <w:pStyle w:val="1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响应情况说明</w:t>
            </w:r>
          </w:p>
        </w:tc>
        <w:tc>
          <w:tcPr>
            <w:tcW w:w="1577" w:type="dxa"/>
            <w:noWrap w:val="0"/>
            <w:vAlign w:val="center"/>
          </w:tcPr>
          <w:p w14:paraId="02860648">
            <w:pPr>
              <w:pStyle w:val="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商务条件支持资料索引</w:t>
            </w:r>
          </w:p>
          <w:p w14:paraId="3D21E0DD">
            <w:pPr>
              <w:pStyle w:val="1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（页码及条目号等）</w:t>
            </w:r>
          </w:p>
        </w:tc>
      </w:tr>
      <w:tr w14:paraId="0A1C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0080FBD5">
            <w:pPr>
              <w:pStyle w:val="18"/>
              <w:rPr>
                <w:rFonts w:hint="eastAsia" w:ascii="宋体" w:hAnsi="宋体" w:eastAsia="宋体" w:cs="宋体"/>
                <w:color w:val="auto"/>
                <w:sz w:val="24"/>
                <w:szCs w:val="24"/>
                <w:highlight w:val="none"/>
              </w:rPr>
            </w:pPr>
          </w:p>
        </w:tc>
        <w:tc>
          <w:tcPr>
            <w:tcW w:w="1067" w:type="dxa"/>
            <w:noWrap w:val="0"/>
            <w:vAlign w:val="top"/>
          </w:tcPr>
          <w:p w14:paraId="0761B983">
            <w:pPr>
              <w:pStyle w:val="18"/>
              <w:rPr>
                <w:rFonts w:hint="eastAsia" w:ascii="宋体" w:hAnsi="宋体" w:eastAsia="宋体" w:cs="宋体"/>
                <w:color w:val="auto"/>
                <w:sz w:val="24"/>
                <w:szCs w:val="24"/>
                <w:highlight w:val="none"/>
              </w:rPr>
            </w:pPr>
          </w:p>
        </w:tc>
        <w:tc>
          <w:tcPr>
            <w:tcW w:w="2589" w:type="dxa"/>
            <w:noWrap w:val="0"/>
            <w:vAlign w:val="top"/>
          </w:tcPr>
          <w:p w14:paraId="79357E84">
            <w:pPr>
              <w:pStyle w:val="18"/>
              <w:rPr>
                <w:rFonts w:hint="eastAsia" w:ascii="宋体" w:hAnsi="宋体" w:eastAsia="宋体" w:cs="宋体"/>
                <w:color w:val="auto"/>
                <w:sz w:val="24"/>
                <w:szCs w:val="24"/>
                <w:highlight w:val="none"/>
              </w:rPr>
            </w:pPr>
          </w:p>
        </w:tc>
        <w:tc>
          <w:tcPr>
            <w:tcW w:w="2417" w:type="dxa"/>
            <w:noWrap w:val="0"/>
            <w:vAlign w:val="top"/>
          </w:tcPr>
          <w:p w14:paraId="2827E9C3">
            <w:pPr>
              <w:pStyle w:val="18"/>
              <w:rPr>
                <w:rFonts w:hint="eastAsia" w:ascii="宋体" w:hAnsi="宋体" w:eastAsia="宋体" w:cs="宋体"/>
                <w:color w:val="auto"/>
                <w:sz w:val="24"/>
                <w:szCs w:val="24"/>
                <w:highlight w:val="none"/>
              </w:rPr>
            </w:pPr>
          </w:p>
        </w:tc>
        <w:tc>
          <w:tcPr>
            <w:tcW w:w="1586" w:type="dxa"/>
            <w:noWrap w:val="0"/>
            <w:vAlign w:val="top"/>
          </w:tcPr>
          <w:p w14:paraId="7963F738">
            <w:pPr>
              <w:pStyle w:val="18"/>
              <w:rPr>
                <w:rFonts w:hint="eastAsia" w:ascii="宋体" w:hAnsi="宋体" w:eastAsia="宋体" w:cs="宋体"/>
                <w:color w:val="auto"/>
                <w:sz w:val="24"/>
                <w:szCs w:val="24"/>
                <w:highlight w:val="none"/>
              </w:rPr>
            </w:pPr>
          </w:p>
        </w:tc>
        <w:tc>
          <w:tcPr>
            <w:tcW w:w="1577" w:type="dxa"/>
            <w:noWrap w:val="0"/>
            <w:vAlign w:val="top"/>
          </w:tcPr>
          <w:p w14:paraId="233F27BE">
            <w:pPr>
              <w:pStyle w:val="18"/>
              <w:rPr>
                <w:rFonts w:hint="eastAsia" w:ascii="宋体" w:hAnsi="宋体" w:eastAsia="宋体" w:cs="宋体"/>
                <w:color w:val="auto"/>
                <w:sz w:val="24"/>
                <w:szCs w:val="24"/>
                <w:highlight w:val="none"/>
              </w:rPr>
            </w:pPr>
          </w:p>
        </w:tc>
      </w:tr>
      <w:tr w14:paraId="0E8C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26F3779E">
            <w:pPr>
              <w:pStyle w:val="18"/>
              <w:rPr>
                <w:rFonts w:hint="eastAsia" w:ascii="宋体" w:hAnsi="宋体" w:eastAsia="宋体" w:cs="宋体"/>
                <w:color w:val="auto"/>
                <w:sz w:val="24"/>
                <w:szCs w:val="24"/>
                <w:highlight w:val="none"/>
              </w:rPr>
            </w:pPr>
          </w:p>
        </w:tc>
        <w:tc>
          <w:tcPr>
            <w:tcW w:w="1067" w:type="dxa"/>
            <w:noWrap w:val="0"/>
            <w:vAlign w:val="top"/>
          </w:tcPr>
          <w:p w14:paraId="1FD195BA">
            <w:pPr>
              <w:pStyle w:val="18"/>
              <w:rPr>
                <w:rFonts w:hint="eastAsia" w:ascii="宋体" w:hAnsi="宋体" w:eastAsia="宋体" w:cs="宋体"/>
                <w:color w:val="auto"/>
                <w:sz w:val="24"/>
                <w:szCs w:val="24"/>
                <w:highlight w:val="none"/>
              </w:rPr>
            </w:pPr>
          </w:p>
        </w:tc>
        <w:tc>
          <w:tcPr>
            <w:tcW w:w="2589" w:type="dxa"/>
            <w:noWrap w:val="0"/>
            <w:vAlign w:val="top"/>
          </w:tcPr>
          <w:p w14:paraId="07EEBDCE">
            <w:pPr>
              <w:pStyle w:val="18"/>
              <w:rPr>
                <w:rFonts w:hint="eastAsia" w:ascii="宋体" w:hAnsi="宋体" w:eastAsia="宋体" w:cs="宋体"/>
                <w:color w:val="auto"/>
                <w:sz w:val="24"/>
                <w:szCs w:val="24"/>
                <w:highlight w:val="none"/>
              </w:rPr>
            </w:pPr>
          </w:p>
        </w:tc>
        <w:tc>
          <w:tcPr>
            <w:tcW w:w="2417" w:type="dxa"/>
            <w:noWrap w:val="0"/>
            <w:vAlign w:val="top"/>
          </w:tcPr>
          <w:p w14:paraId="06E8C83E">
            <w:pPr>
              <w:pStyle w:val="18"/>
              <w:rPr>
                <w:rFonts w:hint="eastAsia" w:ascii="宋体" w:hAnsi="宋体" w:eastAsia="宋体" w:cs="宋体"/>
                <w:color w:val="auto"/>
                <w:sz w:val="24"/>
                <w:szCs w:val="24"/>
                <w:highlight w:val="none"/>
              </w:rPr>
            </w:pPr>
          </w:p>
        </w:tc>
        <w:tc>
          <w:tcPr>
            <w:tcW w:w="1586" w:type="dxa"/>
            <w:noWrap w:val="0"/>
            <w:vAlign w:val="top"/>
          </w:tcPr>
          <w:p w14:paraId="421CAB1A">
            <w:pPr>
              <w:pStyle w:val="18"/>
              <w:rPr>
                <w:rFonts w:hint="eastAsia" w:ascii="宋体" w:hAnsi="宋体" w:eastAsia="宋体" w:cs="宋体"/>
                <w:color w:val="auto"/>
                <w:sz w:val="24"/>
                <w:szCs w:val="24"/>
                <w:highlight w:val="none"/>
              </w:rPr>
            </w:pPr>
          </w:p>
        </w:tc>
        <w:tc>
          <w:tcPr>
            <w:tcW w:w="1577" w:type="dxa"/>
            <w:noWrap w:val="0"/>
            <w:vAlign w:val="top"/>
          </w:tcPr>
          <w:p w14:paraId="5344D699">
            <w:pPr>
              <w:pStyle w:val="18"/>
              <w:rPr>
                <w:rFonts w:hint="eastAsia" w:ascii="宋体" w:hAnsi="宋体" w:eastAsia="宋体" w:cs="宋体"/>
                <w:color w:val="auto"/>
                <w:sz w:val="24"/>
                <w:szCs w:val="24"/>
                <w:highlight w:val="none"/>
              </w:rPr>
            </w:pPr>
          </w:p>
        </w:tc>
      </w:tr>
      <w:tr w14:paraId="29DD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6A74BFE0">
            <w:pPr>
              <w:pStyle w:val="18"/>
              <w:rPr>
                <w:rFonts w:hint="eastAsia" w:ascii="宋体" w:hAnsi="宋体" w:eastAsia="宋体" w:cs="宋体"/>
                <w:color w:val="auto"/>
                <w:sz w:val="24"/>
                <w:szCs w:val="24"/>
                <w:highlight w:val="none"/>
              </w:rPr>
            </w:pPr>
          </w:p>
        </w:tc>
        <w:tc>
          <w:tcPr>
            <w:tcW w:w="1067" w:type="dxa"/>
            <w:noWrap w:val="0"/>
            <w:vAlign w:val="top"/>
          </w:tcPr>
          <w:p w14:paraId="02639294">
            <w:pPr>
              <w:pStyle w:val="18"/>
              <w:rPr>
                <w:rFonts w:hint="eastAsia" w:ascii="宋体" w:hAnsi="宋体" w:eastAsia="宋体" w:cs="宋体"/>
                <w:color w:val="auto"/>
                <w:sz w:val="24"/>
                <w:szCs w:val="24"/>
                <w:highlight w:val="none"/>
              </w:rPr>
            </w:pPr>
          </w:p>
        </w:tc>
        <w:tc>
          <w:tcPr>
            <w:tcW w:w="2589" w:type="dxa"/>
            <w:noWrap w:val="0"/>
            <w:vAlign w:val="top"/>
          </w:tcPr>
          <w:p w14:paraId="14501EAC">
            <w:pPr>
              <w:pStyle w:val="18"/>
              <w:rPr>
                <w:rFonts w:hint="eastAsia" w:ascii="宋体" w:hAnsi="宋体" w:eastAsia="宋体" w:cs="宋体"/>
                <w:color w:val="auto"/>
                <w:sz w:val="24"/>
                <w:szCs w:val="24"/>
                <w:highlight w:val="none"/>
              </w:rPr>
            </w:pPr>
          </w:p>
        </w:tc>
        <w:tc>
          <w:tcPr>
            <w:tcW w:w="2417" w:type="dxa"/>
            <w:noWrap w:val="0"/>
            <w:vAlign w:val="top"/>
          </w:tcPr>
          <w:p w14:paraId="29B261C4">
            <w:pPr>
              <w:pStyle w:val="18"/>
              <w:rPr>
                <w:rFonts w:hint="eastAsia" w:ascii="宋体" w:hAnsi="宋体" w:eastAsia="宋体" w:cs="宋体"/>
                <w:color w:val="auto"/>
                <w:sz w:val="24"/>
                <w:szCs w:val="24"/>
                <w:highlight w:val="none"/>
              </w:rPr>
            </w:pPr>
          </w:p>
        </w:tc>
        <w:tc>
          <w:tcPr>
            <w:tcW w:w="1586" w:type="dxa"/>
            <w:noWrap w:val="0"/>
            <w:vAlign w:val="top"/>
          </w:tcPr>
          <w:p w14:paraId="5F8874AB">
            <w:pPr>
              <w:pStyle w:val="18"/>
              <w:rPr>
                <w:rFonts w:hint="eastAsia" w:ascii="宋体" w:hAnsi="宋体" w:eastAsia="宋体" w:cs="宋体"/>
                <w:color w:val="auto"/>
                <w:sz w:val="24"/>
                <w:szCs w:val="24"/>
                <w:highlight w:val="none"/>
              </w:rPr>
            </w:pPr>
          </w:p>
        </w:tc>
        <w:tc>
          <w:tcPr>
            <w:tcW w:w="1577" w:type="dxa"/>
            <w:noWrap w:val="0"/>
            <w:vAlign w:val="top"/>
          </w:tcPr>
          <w:p w14:paraId="11D2F38E">
            <w:pPr>
              <w:pStyle w:val="18"/>
              <w:rPr>
                <w:rFonts w:hint="eastAsia" w:ascii="宋体" w:hAnsi="宋体" w:eastAsia="宋体" w:cs="宋体"/>
                <w:color w:val="auto"/>
                <w:sz w:val="24"/>
                <w:szCs w:val="24"/>
                <w:highlight w:val="none"/>
              </w:rPr>
            </w:pPr>
          </w:p>
        </w:tc>
      </w:tr>
      <w:tr w14:paraId="6985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2E570AF2">
            <w:pPr>
              <w:pStyle w:val="18"/>
              <w:rPr>
                <w:rFonts w:hint="eastAsia" w:ascii="宋体" w:hAnsi="宋体" w:eastAsia="宋体" w:cs="宋体"/>
                <w:color w:val="auto"/>
                <w:sz w:val="24"/>
                <w:szCs w:val="24"/>
                <w:highlight w:val="none"/>
              </w:rPr>
            </w:pPr>
          </w:p>
        </w:tc>
        <w:tc>
          <w:tcPr>
            <w:tcW w:w="1067" w:type="dxa"/>
            <w:noWrap w:val="0"/>
            <w:vAlign w:val="top"/>
          </w:tcPr>
          <w:p w14:paraId="33FAAB3F">
            <w:pPr>
              <w:pStyle w:val="18"/>
              <w:rPr>
                <w:rFonts w:hint="eastAsia" w:ascii="宋体" w:hAnsi="宋体" w:eastAsia="宋体" w:cs="宋体"/>
                <w:color w:val="auto"/>
                <w:sz w:val="24"/>
                <w:szCs w:val="24"/>
                <w:highlight w:val="none"/>
              </w:rPr>
            </w:pPr>
          </w:p>
        </w:tc>
        <w:tc>
          <w:tcPr>
            <w:tcW w:w="2589" w:type="dxa"/>
            <w:noWrap w:val="0"/>
            <w:vAlign w:val="top"/>
          </w:tcPr>
          <w:p w14:paraId="00524C4F">
            <w:pPr>
              <w:pStyle w:val="18"/>
              <w:rPr>
                <w:rFonts w:hint="eastAsia" w:ascii="宋体" w:hAnsi="宋体" w:eastAsia="宋体" w:cs="宋体"/>
                <w:color w:val="auto"/>
                <w:sz w:val="24"/>
                <w:szCs w:val="24"/>
                <w:highlight w:val="none"/>
              </w:rPr>
            </w:pPr>
          </w:p>
        </w:tc>
        <w:tc>
          <w:tcPr>
            <w:tcW w:w="2417" w:type="dxa"/>
            <w:noWrap w:val="0"/>
            <w:vAlign w:val="top"/>
          </w:tcPr>
          <w:p w14:paraId="3F61078F">
            <w:pPr>
              <w:pStyle w:val="18"/>
              <w:rPr>
                <w:rFonts w:hint="eastAsia" w:ascii="宋体" w:hAnsi="宋体" w:eastAsia="宋体" w:cs="宋体"/>
                <w:color w:val="auto"/>
                <w:sz w:val="24"/>
                <w:szCs w:val="24"/>
                <w:highlight w:val="none"/>
              </w:rPr>
            </w:pPr>
          </w:p>
        </w:tc>
        <w:tc>
          <w:tcPr>
            <w:tcW w:w="1586" w:type="dxa"/>
            <w:noWrap w:val="0"/>
            <w:vAlign w:val="top"/>
          </w:tcPr>
          <w:p w14:paraId="64AA635E">
            <w:pPr>
              <w:pStyle w:val="18"/>
              <w:rPr>
                <w:rFonts w:hint="eastAsia" w:ascii="宋体" w:hAnsi="宋体" w:eastAsia="宋体" w:cs="宋体"/>
                <w:color w:val="auto"/>
                <w:sz w:val="24"/>
                <w:szCs w:val="24"/>
                <w:highlight w:val="none"/>
              </w:rPr>
            </w:pPr>
          </w:p>
        </w:tc>
        <w:tc>
          <w:tcPr>
            <w:tcW w:w="1577" w:type="dxa"/>
            <w:noWrap w:val="0"/>
            <w:vAlign w:val="top"/>
          </w:tcPr>
          <w:p w14:paraId="7F8897CE">
            <w:pPr>
              <w:pStyle w:val="18"/>
              <w:rPr>
                <w:rFonts w:hint="eastAsia" w:ascii="宋体" w:hAnsi="宋体" w:eastAsia="宋体" w:cs="宋体"/>
                <w:color w:val="auto"/>
                <w:sz w:val="24"/>
                <w:szCs w:val="24"/>
                <w:highlight w:val="none"/>
              </w:rPr>
            </w:pPr>
          </w:p>
        </w:tc>
      </w:tr>
      <w:tr w14:paraId="7B19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1283DF49">
            <w:pPr>
              <w:pStyle w:val="18"/>
              <w:rPr>
                <w:rFonts w:hint="eastAsia" w:ascii="宋体" w:hAnsi="宋体" w:eastAsia="宋体" w:cs="宋体"/>
                <w:color w:val="auto"/>
                <w:sz w:val="24"/>
                <w:szCs w:val="24"/>
                <w:highlight w:val="none"/>
              </w:rPr>
            </w:pPr>
          </w:p>
        </w:tc>
        <w:tc>
          <w:tcPr>
            <w:tcW w:w="1067" w:type="dxa"/>
            <w:noWrap w:val="0"/>
            <w:vAlign w:val="top"/>
          </w:tcPr>
          <w:p w14:paraId="13C6EF47">
            <w:pPr>
              <w:pStyle w:val="18"/>
              <w:rPr>
                <w:rFonts w:hint="eastAsia" w:ascii="宋体" w:hAnsi="宋体" w:eastAsia="宋体" w:cs="宋体"/>
                <w:color w:val="auto"/>
                <w:sz w:val="24"/>
                <w:szCs w:val="24"/>
                <w:highlight w:val="none"/>
              </w:rPr>
            </w:pPr>
          </w:p>
        </w:tc>
        <w:tc>
          <w:tcPr>
            <w:tcW w:w="2589" w:type="dxa"/>
            <w:noWrap w:val="0"/>
            <w:vAlign w:val="top"/>
          </w:tcPr>
          <w:p w14:paraId="10BBBC24">
            <w:pPr>
              <w:pStyle w:val="18"/>
              <w:rPr>
                <w:rFonts w:hint="eastAsia" w:ascii="宋体" w:hAnsi="宋体" w:eastAsia="宋体" w:cs="宋体"/>
                <w:color w:val="auto"/>
                <w:sz w:val="24"/>
                <w:szCs w:val="24"/>
                <w:highlight w:val="none"/>
              </w:rPr>
            </w:pPr>
          </w:p>
        </w:tc>
        <w:tc>
          <w:tcPr>
            <w:tcW w:w="2417" w:type="dxa"/>
            <w:noWrap w:val="0"/>
            <w:vAlign w:val="top"/>
          </w:tcPr>
          <w:p w14:paraId="6D9DAEBB">
            <w:pPr>
              <w:pStyle w:val="18"/>
              <w:rPr>
                <w:rFonts w:hint="eastAsia" w:ascii="宋体" w:hAnsi="宋体" w:eastAsia="宋体" w:cs="宋体"/>
                <w:color w:val="auto"/>
                <w:sz w:val="24"/>
                <w:szCs w:val="24"/>
                <w:highlight w:val="none"/>
              </w:rPr>
            </w:pPr>
          </w:p>
        </w:tc>
        <w:tc>
          <w:tcPr>
            <w:tcW w:w="1586" w:type="dxa"/>
            <w:noWrap w:val="0"/>
            <w:vAlign w:val="top"/>
          </w:tcPr>
          <w:p w14:paraId="52E1EF75">
            <w:pPr>
              <w:pStyle w:val="18"/>
              <w:rPr>
                <w:rFonts w:hint="eastAsia" w:ascii="宋体" w:hAnsi="宋体" w:eastAsia="宋体" w:cs="宋体"/>
                <w:color w:val="auto"/>
                <w:sz w:val="24"/>
                <w:szCs w:val="24"/>
                <w:highlight w:val="none"/>
              </w:rPr>
            </w:pPr>
          </w:p>
        </w:tc>
        <w:tc>
          <w:tcPr>
            <w:tcW w:w="1577" w:type="dxa"/>
            <w:noWrap w:val="0"/>
            <w:vAlign w:val="top"/>
          </w:tcPr>
          <w:p w14:paraId="42F04D35">
            <w:pPr>
              <w:pStyle w:val="18"/>
              <w:rPr>
                <w:rFonts w:hint="eastAsia" w:ascii="宋体" w:hAnsi="宋体" w:eastAsia="宋体" w:cs="宋体"/>
                <w:color w:val="auto"/>
                <w:sz w:val="24"/>
                <w:szCs w:val="24"/>
                <w:highlight w:val="none"/>
              </w:rPr>
            </w:pPr>
          </w:p>
        </w:tc>
      </w:tr>
      <w:tr w14:paraId="228B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62BA06B3">
            <w:pPr>
              <w:pStyle w:val="18"/>
              <w:rPr>
                <w:rFonts w:hint="eastAsia" w:ascii="宋体" w:hAnsi="宋体" w:eastAsia="宋体" w:cs="宋体"/>
                <w:color w:val="auto"/>
                <w:sz w:val="24"/>
                <w:szCs w:val="24"/>
                <w:highlight w:val="none"/>
              </w:rPr>
            </w:pPr>
          </w:p>
        </w:tc>
        <w:tc>
          <w:tcPr>
            <w:tcW w:w="1067" w:type="dxa"/>
            <w:noWrap w:val="0"/>
            <w:vAlign w:val="top"/>
          </w:tcPr>
          <w:p w14:paraId="106F752E">
            <w:pPr>
              <w:pStyle w:val="18"/>
              <w:rPr>
                <w:rFonts w:hint="eastAsia" w:ascii="宋体" w:hAnsi="宋体" w:eastAsia="宋体" w:cs="宋体"/>
                <w:color w:val="auto"/>
                <w:sz w:val="24"/>
                <w:szCs w:val="24"/>
                <w:highlight w:val="none"/>
              </w:rPr>
            </w:pPr>
          </w:p>
        </w:tc>
        <w:tc>
          <w:tcPr>
            <w:tcW w:w="2589" w:type="dxa"/>
            <w:noWrap w:val="0"/>
            <w:vAlign w:val="top"/>
          </w:tcPr>
          <w:p w14:paraId="012D0EBF">
            <w:pPr>
              <w:pStyle w:val="18"/>
              <w:rPr>
                <w:rFonts w:hint="eastAsia" w:ascii="宋体" w:hAnsi="宋体" w:eastAsia="宋体" w:cs="宋体"/>
                <w:color w:val="auto"/>
                <w:sz w:val="24"/>
                <w:szCs w:val="24"/>
                <w:highlight w:val="none"/>
              </w:rPr>
            </w:pPr>
          </w:p>
        </w:tc>
        <w:tc>
          <w:tcPr>
            <w:tcW w:w="2417" w:type="dxa"/>
            <w:noWrap w:val="0"/>
            <w:vAlign w:val="top"/>
          </w:tcPr>
          <w:p w14:paraId="60791EA6">
            <w:pPr>
              <w:pStyle w:val="18"/>
              <w:rPr>
                <w:rFonts w:hint="eastAsia" w:ascii="宋体" w:hAnsi="宋体" w:eastAsia="宋体" w:cs="宋体"/>
                <w:color w:val="auto"/>
                <w:sz w:val="24"/>
                <w:szCs w:val="24"/>
                <w:highlight w:val="none"/>
              </w:rPr>
            </w:pPr>
          </w:p>
        </w:tc>
        <w:tc>
          <w:tcPr>
            <w:tcW w:w="1586" w:type="dxa"/>
            <w:noWrap w:val="0"/>
            <w:vAlign w:val="top"/>
          </w:tcPr>
          <w:p w14:paraId="7E957F7D">
            <w:pPr>
              <w:pStyle w:val="18"/>
              <w:rPr>
                <w:rFonts w:hint="eastAsia" w:ascii="宋体" w:hAnsi="宋体" w:eastAsia="宋体" w:cs="宋体"/>
                <w:color w:val="auto"/>
                <w:sz w:val="24"/>
                <w:szCs w:val="24"/>
                <w:highlight w:val="none"/>
              </w:rPr>
            </w:pPr>
          </w:p>
        </w:tc>
        <w:tc>
          <w:tcPr>
            <w:tcW w:w="1577" w:type="dxa"/>
            <w:noWrap w:val="0"/>
            <w:vAlign w:val="top"/>
          </w:tcPr>
          <w:p w14:paraId="58BD3D6B">
            <w:pPr>
              <w:pStyle w:val="18"/>
              <w:rPr>
                <w:rFonts w:hint="eastAsia" w:ascii="宋体" w:hAnsi="宋体" w:eastAsia="宋体" w:cs="宋体"/>
                <w:color w:val="auto"/>
                <w:sz w:val="24"/>
                <w:szCs w:val="24"/>
                <w:highlight w:val="none"/>
              </w:rPr>
            </w:pPr>
          </w:p>
        </w:tc>
      </w:tr>
      <w:tr w14:paraId="174A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0A62B239">
            <w:pPr>
              <w:pStyle w:val="18"/>
              <w:rPr>
                <w:rFonts w:hint="eastAsia" w:ascii="宋体" w:hAnsi="宋体" w:eastAsia="宋体" w:cs="宋体"/>
                <w:color w:val="auto"/>
                <w:sz w:val="24"/>
                <w:szCs w:val="24"/>
                <w:highlight w:val="none"/>
              </w:rPr>
            </w:pPr>
          </w:p>
        </w:tc>
        <w:tc>
          <w:tcPr>
            <w:tcW w:w="1067" w:type="dxa"/>
            <w:noWrap w:val="0"/>
            <w:vAlign w:val="top"/>
          </w:tcPr>
          <w:p w14:paraId="513094C4">
            <w:pPr>
              <w:pStyle w:val="18"/>
              <w:rPr>
                <w:rFonts w:hint="eastAsia" w:ascii="宋体" w:hAnsi="宋体" w:eastAsia="宋体" w:cs="宋体"/>
                <w:color w:val="auto"/>
                <w:sz w:val="24"/>
                <w:szCs w:val="24"/>
                <w:highlight w:val="none"/>
              </w:rPr>
            </w:pPr>
          </w:p>
        </w:tc>
        <w:tc>
          <w:tcPr>
            <w:tcW w:w="2589" w:type="dxa"/>
            <w:noWrap w:val="0"/>
            <w:vAlign w:val="top"/>
          </w:tcPr>
          <w:p w14:paraId="07231871">
            <w:pPr>
              <w:pStyle w:val="18"/>
              <w:rPr>
                <w:rFonts w:hint="eastAsia" w:ascii="宋体" w:hAnsi="宋体" w:eastAsia="宋体" w:cs="宋体"/>
                <w:color w:val="auto"/>
                <w:sz w:val="24"/>
                <w:szCs w:val="24"/>
                <w:highlight w:val="none"/>
              </w:rPr>
            </w:pPr>
          </w:p>
        </w:tc>
        <w:tc>
          <w:tcPr>
            <w:tcW w:w="2417" w:type="dxa"/>
            <w:noWrap w:val="0"/>
            <w:vAlign w:val="top"/>
          </w:tcPr>
          <w:p w14:paraId="37A35C21">
            <w:pPr>
              <w:pStyle w:val="18"/>
              <w:rPr>
                <w:rFonts w:hint="eastAsia" w:ascii="宋体" w:hAnsi="宋体" w:eastAsia="宋体" w:cs="宋体"/>
                <w:color w:val="auto"/>
                <w:sz w:val="24"/>
                <w:szCs w:val="24"/>
                <w:highlight w:val="none"/>
              </w:rPr>
            </w:pPr>
          </w:p>
        </w:tc>
        <w:tc>
          <w:tcPr>
            <w:tcW w:w="1586" w:type="dxa"/>
            <w:noWrap w:val="0"/>
            <w:vAlign w:val="top"/>
          </w:tcPr>
          <w:p w14:paraId="20197BEB">
            <w:pPr>
              <w:pStyle w:val="18"/>
              <w:rPr>
                <w:rFonts w:hint="eastAsia" w:ascii="宋体" w:hAnsi="宋体" w:eastAsia="宋体" w:cs="宋体"/>
                <w:color w:val="auto"/>
                <w:sz w:val="24"/>
                <w:szCs w:val="24"/>
                <w:highlight w:val="none"/>
              </w:rPr>
            </w:pPr>
          </w:p>
        </w:tc>
        <w:tc>
          <w:tcPr>
            <w:tcW w:w="1577" w:type="dxa"/>
            <w:noWrap w:val="0"/>
            <w:vAlign w:val="top"/>
          </w:tcPr>
          <w:p w14:paraId="462BE1F0">
            <w:pPr>
              <w:pStyle w:val="18"/>
              <w:rPr>
                <w:rFonts w:hint="eastAsia" w:ascii="宋体" w:hAnsi="宋体" w:eastAsia="宋体" w:cs="宋体"/>
                <w:color w:val="auto"/>
                <w:sz w:val="24"/>
                <w:szCs w:val="24"/>
                <w:highlight w:val="none"/>
              </w:rPr>
            </w:pPr>
          </w:p>
        </w:tc>
      </w:tr>
      <w:tr w14:paraId="4B8C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7ED7724B">
            <w:pPr>
              <w:pStyle w:val="18"/>
              <w:rPr>
                <w:rFonts w:hint="eastAsia" w:ascii="宋体" w:hAnsi="宋体" w:eastAsia="宋体" w:cs="宋体"/>
                <w:color w:val="auto"/>
                <w:sz w:val="24"/>
                <w:szCs w:val="24"/>
                <w:highlight w:val="none"/>
              </w:rPr>
            </w:pPr>
          </w:p>
        </w:tc>
        <w:tc>
          <w:tcPr>
            <w:tcW w:w="1067" w:type="dxa"/>
            <w:noWrap w:val="0"/>
            <w:vAlign w:val="top"/>
          </w:tcPr>
          <w:p w14:paraId="395B8E33">
            <w:pPr>
              <w:pStyle w:val="18"/>
              <w:rPr>
                <w:rFonts w:hint="eastAsia" w:ascii="宋体" w:hAnsi="宋体" w:eastAsia="宋体" w:cs="宋体"/>
                <w:color w:val="auto"/>
                <w:sz w:val="24"/>
                <w:szCs w:val="24"/>
                <w:highlight w:val="none"/>
              </w:rPr>
            </w:pPr>
          </w:p>
        </w:tc>
        <w:tc>
          <w:tcPr>
            <w:tcW w:w="2589" w:type="dxa"/>
            <w:noWrap w:val="0"/>
            <w:vAlign w:val="top"/>
          </w:tcPr>
          <w:p w14:paraId="487774D5">
            <w:pPr>
              <w:pStyle w:val="18"/>
              <w:rPr>
                <w:rFonts w:hint="eastAsia" w:ascii="宋体" w:hAnsi="宋体" w:eastAsia="宋体" w:cs="宋体"/>
                <w:color w:val="auto"/>
                <w:sz w:val="24"/>
                <w:szCs w:val="24"/>
                <w:highlight w:val="none"/>
              </w:rPr>
            </w:pPr>
          </w:p>
        </w:tc>
        <w:tc>
          <w:tcPr>
            <w:tcW w:w="2417" w:type="dxa"/>
            <w:noWrap w:val="0"/>
            <w:vAlign w:val="top"/>
          </w:tcPr>
          <w:p w14:paraId="4F83A2D4">
            <w:pPr>
              <w:pStyle w:val="18"/>
              <w:rPr>
                <w:rFonts w:hint="eastAsia" w:ascii="宋体" w:hAnsi="宋体" w:eastAsia="宋体" w:cs="宋体"/>
                <w:color w:val="auto"/>
                <w:sz w:val="24"/>
                <w:szCs w:val="24"/>
                <w:highlight w:val="none"/>
              </w:rPr>
            </w:pPr>
          </w:p>
        </w:tc>
        <w:tc>
          <w:tcPr>
            <w:tcW w:w="1586" w:type="dxa"/>
            <w:noWrap w:val="0"/>
            <w:vAlign w:val="top"/>
          </w:tcPr>
          <w:p w14:paraId="315DC4B0">
            <w:pPr>
              <w:pStyle w:val="18"/>
              <w:rPr>
                <w:rFonts w:hint="eastAsia" w:ascii="宋体" w:hAnsi="宋体" w:eastAsia="宋体" w:cs="宋体"/>
                <w:color w:val="auto"/>
                <w:sz w:val="24"/>
                <w:szCs w:val="24"/>
                <w:highlight w:val="none"/>
              </w:rPr>
            </w:pPr>
          </w:p>
        </w:tc>
        <w:tc>
          <w:tcPr>
            <w:tcW w:w="1577" w:type="dxa"/>
            <w:noWrap w:val="0"/>
            <w:vAlign w:val="top"/>
          </w:tcPr>
          <w:p w14:paraId="3A1FF563">
            <w:pPr>
              <w:pStyle w:val="18"/>
              <w:rPr>
                <w:rFonts w:hint="eastAsia" w:ascii="宋体" w:hAnsi="宋体" w:eastAsia="宋体" w:cs="宋体"/>
                <w:color w:val="auto"/>
                <w:sz w:val="24"/>
                <w:szCs w:val="24"/>
                <w:highlight w:val="none"/>
              </w:rPr>
            </w:pPr>
          </w:p>
        </w:tc>
      </w:tr>
      <w:tr w14:paraId="0A52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0231DA3E">
            <w:pPr>
              <w:pStyle w:val="18"/>
              <w:rPr>
                <w:rFonts w:hint="eastAsia" w:ascii="宋体" w:hAnsi="宋体" w:eastAsia="宋体" w:cs="宋体"/>
                <w:color w:val="auto"/>
                <w:sz w:val="24"/>
                <w:szCs w:val="24"/>
                <w:highlight w:val="none"/>
              </w:rPr>
            </w:pPr>
          </w:p>
        </w:tc>
        <w:tc>
          <w:tcPr>
            <w:tcW w:w="1067" w:type="dxa"/>
            <w:noWrap w:val="0"/>
            <w:vAlign w:val="top"/>
          </w:tcPr>
          <w:p w14:paraId="512C9ECA">
            <w:pPr>
              <w:pStyle w:val="18"/>
              <w:rPr>
                <w:rFonts w:hint="eastAsia" w:ascii="宋体" w:hAnsi="宋体" w:eastAsia="宋体" w:cs="宋体"/>
                <w:color w:val="auto"/>
                <w:sz w:val="24"/>
                <w:szCs w:val="24"/>
                <w:highlight w:val="none"/>
              </w:rPr>
            </w:pPr>
          </w:p>
        </w:tc>
        <w:tc>
          <w:tcPr>
            <w:tcW w:w="2589" w:type="dxa"/>
            <w:noWrap w:val="0"/>
            <w:vAlign w:val="top"/>
          </w:tcPr>
          <w:p w14:paraId="2D955B58">
            <w:pPr>
              <w:pStyle w:val="18"/>
              <w:rPr>
                <w:rFonts w:hint="eastAsia" w:ascii="宋体" w:hAnsi="宋体" w:eastAsia="宋体" w:cs="宋体"/>
                <w:color w:val="auto"/>
                <w:sz w:val="24"/>
                <w:szCs w:val="24"/>
                <w:highlight w:val="none"/>
              </w:rPr>
            </w:pPr>
          </w:p>
        </w:tc>
        <w:tc>
          <w:tcPr>
            <w:tcW w:w="2417" w:type="dxa"/>
            <w:noWrap w:val="0"/>
            <w:vAlign w:val="top"/>
          </w:tcPr>
          <w:p w14:paraId="50F15D68">
            <w:pPr>
              <w:pStyle w:val="18"/>
              <w:rPr>
                <w:rFonts w:hint="eastAsia" w:ascii="宋体" w:hAnsi="宋体" w:eastAsia="宋体" w:cs="宋体"/>
                <w:color w:val="auto"/>
                <w:sz w:val="24"/>
                <w:szCs w:val="24"/>
                <w:highlight w:val="none"/>
              </w:rPr>
            </w:pPr>
          </w:p>
        </w:tc>
        <w:tc>
          <w:tcPr>
            <w:tcW w:w="1586" w:type="dxa"/>
            <w:noWrap w:val="0"/>
            <w:vAlign w:val="top"/>
          </w:tcPr>
          <w:p w14:paraId="3083C219">
            <w:pPr>
              <w:pStyle w:val="18"/>
              <w:rPr>
                <w:rFonts w:hint="eastAsia" w:ascii="宋体" w:hAnsi="宋体" w:eastAsia="宋体" w:cs="宋体"/>
                <w:color w:val="auto"/>
                <w:sz w:val="24"/>
                <w:szCs w:val="24"/>
                <w:highlight w:val="none"/>
              </w:rPr>
            </w:pPr>
          </w:p>
        </w:tc>
        <w:tc>
          <w:tcPr>
            <w:tcW w:w="1577" w:type="dxa"/>
            <w:noWrap w:val="0"/>
            <w:vAlign w:val="top"/>
          </w:tcPr>
          <w:p w14:paraId="129E15AF">
            <w:pPr>
              <w:pStyle w:val="18"/>
              <w:rPr>
                <w:rFonts w:hint="eastAsia" w:ascii="宋体" w:hAnsi="宋体" w:eastAsia="宋体" w:cs="宋体"/>
                <w:color w:val="auto"/>
                <w:sz w:val="24"/>
                <w:szCs w:val="24"/>
                <w:highlight w:val="none"/>
              </w:rPr>
            </w:pPr>
          </w:p>
        </w:tc>
      </w:tr>
      <w:tr w14:paraId="7284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noWrap w:val="0"/>
            <w:vAlign w:val="top"/>
          </w:tcPr>
          <w:p w14:paraId="6B8C7B88">
            <w:pPr>
              <w:pStyle w:val="18"/>
              <w:rPr>
                <w:rFonts w:hint="eastAsia" w:ascii="宋体" w:hAnsi="宋体" w:eastAsia="宋体" w:cs="宋体"/>
                <w:color w:val="auto"/>
                <w:sz w:val="24"/>
                <w:szCs w:val="24"/>
                <w:highlight w:val="none"/>
              </w:rPr>
            </w:pPr>
          </w:p>
        </w:tc>
        <w:tc>
          <w:tcPr>
            <w:tcW w:w="1067" w:type="dxa"/>
            <w:noWrap w:val="0"/>
            <w:vAlign w:val="top"/>
          </w:tcPr>
          <w:p w14:paraId="699859D3">
            <w:pPr>
              <w:pStyle w:val="18"/>
              <w:rPr>
                <w:rFonts w:hint="eastAsia" w:ascii="宋体" w:hAnsi="宋体" w:eastAsia="宋体" w:cs="宋体"/>
                <w:color w:val="auto"/>
                <w:sz w:val="24"/>
                <w:szCs w:val="24"/>
                <w:highlight w:val="none"/>
              </w:rPr>
            </w:pPr>
          </w:p>
        </w:tc>
        <w:tc>
          <w:tcPr>
            <w:tcW w:w="2589" w:type="dxa"/>
            <w:noWrap w:val="0"/>
            <w:vAlign w:val="top"/>
          </w:tcPr>
          <w:p w14:paraId="268D2078">
            <w:pPr>
              <w:pStyle w:val="18"/>
              <w:rPr>
                <w:rFonts w:hint="eastAsia" w:ascii="宋体" w:hAnsi="宋体" w:eastAsia="宋体" w:cs="宋体"/>
                <w:color w:val="auto"/>
                <w:sz w:val="24"/>
                <w:szCs w:val="24"/>
                <w:highlight w:val="none"/>
              </w:rPr>
            </w:pPr>
          </w:p>
        </w:tc>
        <w:tc>
          <w:tcPr>
            <w:tcW w:w="2417" w:type="dxa"/>
            <w:noWrap w:val="0"/>
            <w:vAlign w:val="top"/>
          </w:tcPr>
          <w:p w14:paraId="15C2C96C">
            <w:pPr>
              <w:pStyle w:val="18"/>
              <w:rPr>
                <w:rFonts w:hint="eastAsia" w:ascii="宋体" w:hAnsi="宋体" w:eastAsia="宋体" w:cs="宋体"/>
                <w:color w:val="auto"/>
                <w:sz w:val="24"/>
                <w:szCs w:val="24"/>
                <w:highlight w:val="none"/>
              </w:rPr>
            </w:pPr>
          </w:p>
        </w:tc>
        <w:tc>
          <w:tcPr>
            <w:tcW w:w="1586" w:type="dxa"/>
            <w:noWrap w:val="0"/>
            <w:vAlign w:val="top"/>
          </w:tcPr>
          <w:p w14:paraId="27A9E561">
            <w:pPr>
              <w:pStyle w:val="18"/>
              <w:rPr>
                <w:rFonts w:hint="eastAsia" w:ascii="宋体" w:hAnsi="宋体" w:eastAsia="宋体" w:cs="宋体"/>
                <w:color w:val="auto"/>
                <w:sz w:val="24"/>
                <w:szCs w:val="24"/>
                <w:highlight w:val="none"/>
              </w:rPr>
            </w:pPr>
          </w:p>
        </w:tc>
        <w:tc>
          <w:tcPr>
            <w:tcW w:w="1577" w:type="dxa"/>
            <w:noWrap w:val="0"/>
            <w:vAlign w:val="top"/>
          </w:tcPr>
          <w:p w14:paraId="033604B0">
            <w:pPr>
              <w:pStyle w:val="18"/>
              <w:rPr>
                <w:rFonts w:hint="eastAsia" w:ascii="宋体" w:hAnsi="宋体" w:eastAsia="宋体" w:cs="宋体"/>
                <w:color w:val="auto"/>
                <w:sz w:val="24"/>
                <w:szCs w:val="24"/>
                <w:highlight w:val="none"/>
              </w:rPr>
            </w:pPr>
          </w:p>
        </w:tc>
      </w:tr>
    </w:tbl>
    <w:p w14:paraId="6D38B1F6">
      <w:pPr>
        <w:tabs>
          <w:tab w:val="left" w:pos="2850"/>
        </w:tabs>
        <w:spacing w:line="588"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注：对于投标产品商务条款响应要求需有证明材料支持的，必须在投标文件中提供证明材料，并将该证明材料在投标文件中的索引（页码及条目号等）标注在“</w:t>
      </w:r>
      <w:r>
        <w:rPr>
          <w:rFonts w:hint="eastAsia" w:ascii="宋体" w:hAnsi="宋体" w:eastAsia="宋体" w:cs="宋体"/>
          <w:b/>
          <w:bCs/>
          <w:color w:val="auto"/>
          <w:sz w:val="24"/>
          <w:szCs w:val="24"/>
          <w:highlight w:val="none"/>
        </w:rPr>
        <w:t>商务条件支持资料索引</w:t>
      </w:r>
      <w:r>
        <w:rPr>
          <w:rFonts w:hint="eastAsia" w:ascii="宋体" w:hAnsi="宋体" w:eastAsia="宋体" w:cs="宋体"/>
          <w:b/>
          <w:color w:val="auto"/>
          <w:sz w:val="24"/>
          <w:szCs w:val="24"/>
          <w:highlight w:val="none"/>
        </w:rPr>
        <w:t>”中</w:t>
      </w:r>
      <w:r>
        <w:rPr>
          <w:rFonts w:hint="eastAsia" w:ascii="宋体" w:hAnsi="宋体" w:eastAsia="宋体" w:cs="宋体"/>
          <w:b/>
          <w:color w:val="auto"/>
          <w:sz w:val="24"/>
          <w:szCs w:val="24"/>
          <w:highlight w:val="none"/>
          <w:lang w:eastAsia="zh-CN"/>
        </w:rPr>
        <w:t>。</w:t>
      </w:r>
    </w:p>
    <w:p w14:paraId="606BAA59">
      <w:pPr>
        <w:tabs>
          <w:tab w:val="left" w:pos="2850"/>
        </w:tabs>
        <w:spacing w:line="588" w:lineRule="exact"/>
        <w:jc w:val="left"/>
        <w:rPr>
          <w:rFonts w:hint="eastAsia" w:ascii="宋体" w:hAnsi="宋体" w:eastAsia="宋体" w:cs="宋体"/>
          <w:b/>
          <w:color w:val="auto"/>
          <w:sz w:val="24"/>
          <w:szCs w:val="24"/>
          <w:highlight w:val="none"/>
        </w:rPr>
      </w:pPr>
    </w:p>
    <w:p w14:paraId="1EB2FE9C">
      <w:pPr>
        <w:tabs>
          <w:tab w:val="left" w:pos="2850"/>
        </w:tabs>
        <w:spacing w:line="588" w:lineRule="exact"/>
        <w:jc w:val="left"/>
        <w:rPr>
          <w:rFonts w:hint="eastAsia" w:ascii="宋体" w:hAnsi="宋体" w:eastAsia="宋体" w:cs="宋体"/>
          <w:b/>
          <w:color w:val="auto"/>
          <w:sz w:val="24"/>
          <w:szCs w:val="24"/>
          <w:highlight w:val="none"/>
        </w:rPr>
      </w:pPr>
    </w:p>
    <w:p w14:paraId="473975A6">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234660AC">
      <w:pPr>
        <w:pStyle w:val="18"/>
        <w:spacing w:line="360" w:lineRule="auto"/>
        <w:rPr>
          <w:rFonts w:hint="eastAsia" w:ascii="宋体" w:hAnsi="宋体" w:eastAsia="宋体" w:cs="宋体"/>
          <w:color w:val="auto"/>
          <w:sz w:val="24"/>
          <w:szCs w:val="24"/>
          <w:highlight w:val="none"/>
        </w:rPr>
      </w:pPr>
    </w:p>
    <w:p w14:paraId="35FC3245">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4A7C94AE">
      <w:pPr>
        <w:spacing w:line="360" w:lineRule="auto"/>
        <w:rPr>
          <w:rFonts w:hint="eastAsia" w:ascii="宋体" w:hAnsi="宋体" w:cs="宋体"/>
          <w:bCs/>
          <w:color w:val="auto"/>
          <w:sz w:val="24"/>
          <w:szCs w:val="24"/>
          <w:highlight w:val="none"/>
          <w:lang w:val="en-US" w:eastAsia="zh-CN"/>
        </w:rPr>
      </w:pPr>
    </w:p>
    <w:p w14:paraId="01B7AAA8">
      <w:pPr>
        <w:spacing w:line="360" w:lineRule="auto"/>
        <w:rPr>
          <w:rFonts w:hint="eastAsia" w:ascii="宋体" w:hAnsi="宋体" w:eastAsia="宋体" w:cs="宋体"/>
          <w:b w:val="0"/>
          <w:bCs/>
          <w:color w:val="auto"/>
          <w:sz w:val="24"/>
          <w:highlight w:val="none"/>
          <w:lang w:val="en-US" w:eastAsia="zh-CN"/>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356D3745">
      <w:pPr>
        <w:pStyle w:val="3"/>
        <w:numPr>
          <w:ilvl w:val="0"/>
          <w:numId w:val="0"/>
        </w:numPr>
        <w:ind w:left="425"/>
        <w:jc w:val="center"/>
        <w:rPr>
          <w:rFonts w:hint="eastAsia" w:ascii="宋体" w:hAnsi="宋体" w:eastAsia="宋体" w:cs="宋体"/>
          <w:color w:val="auto"/>
          <w:szCs w:val="28"/>
          <w:highlight w:val="none"/>
        </w:rPr>
      </w:pPr>
      <w:r>
        <w:rPr>
          <w:rFonts w:hint="eastAsia" w:ascii="宋体" w:hAnsi="宋体" w:eastAsia="宋体" w:cs="宋体"/>
          <w:b w:val="0"/>
          <w:color w:val="auto"/>
          <w:sz w:val="28"/>
          <w:szCs w:val="28"/>
          <w:highlight w:val="none"/>
        </w:rPr>
        <w:br w:type="page"/>
      </w:r>
      <w:r>
        <w:rPr>
          <w:rFonts w:hint="eastAsia" w:ascii="宋体" w:hAnsi="宋体" w:eastAsia="宋体" w:cs="宋体"/>
          <w:b/>
          <w:color w:val="auto"/>
          <w:spacing w:val="6"/>
          <w:sz w:val="28"/>
          <w:szCs w:val="28"/>
          <w:highlight w:val="none"/>
          <w:lang w:val="en-US" w:eastAsia="zh-CN"/>
        </w:rPr>
        <w:t>13、</w:t>
      </w:r>
      <w:bookmarkStart w:id="208" w:name="_Toc27354"/>
      <w:r>
        <w:rPr>
          <w:rFonts w:hint="eastAsia" w:ascii="宋体" w:hAnsi="宋体" w:eastAsia="宋体" w:cs="宋体"/>
          <w:color w:val="auto"/>
          <w:szCs w:val="28"/>
          <w:highlight w:val="none"/>
        </w:rPr>
        <w:t>类似项目业绩</w:t>
      </w:r>
      <w:bookmarkEnd w:id="20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93"/>
        <w:gridCol w:w="2069"/>
        <w:gridCol w:w="1141"/>
        <w:gridCol w:w="1197"/>
        <w:gridCol w:w="1348"/>
        <w:gridCol w:w="1422"/>
      </w:tblGrid>
      <w:tr w14:paraId="2252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65615402">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4D7FFBE">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671D7BAF">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合同金额（万元）</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7F38B5B">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服务期</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2258D90">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项目地点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05B4C384">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甲方联系人</w:t>
            </w:r>
          </w:p>
        </w:tc>
        <w:tc>
          <w:tcPr>
            <w:tcW w:w="1422" w:type="dxa"/>
            <w:tcBorders>
              <w:top w:val="single" w:color="auto" w:sz="4" w:space="0"/>
              <w:left w:val="single" w:color="auto" w:sz="4" w:space="0"/>
              <w:right w:val="single" w:color="auto" w:sz="4" w:space="0"/>
            </w:tcBorders>
            <w:noWrap w:val="0"/>
            <w:vAlign w:val="center"/>
          </w:tcPr>
          <w:p w14:paraId="050BBF1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电话</w:t>
            </w:r>
          </w:p>
        </w:tc>
      </w:tr>
      <w:tr w14:paraId="4BBE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2E37382F">
            <w:pPr>
              <w:snapToGrid w:val="0"/>
              <w:spacing w:line="360" w:lineRule="auto"/>
              <w:rPr>
                <w:rFonts w:hint="eastAsia" w:ascii="宋体" w:hAnsi="宋体" w:eastAsia="宋体" w:cs="宋体"/>
                <w:color w:val="auto"/>
                <w:szCs w:val="21"/>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43084EA">
            <w:pPr>
              <w:snapToGrid w:val="0"/>
              <w:spacing w:line="360" w:lineRule="auto"/>
              <w:rPr>
                <w:rFonts w:hint="eastAsia" w:ascii="宋体" w:hAnsi="宋体" w:eastAsia="宋体" w:cs="宋体"/>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noWrap w:val="0"/>
            <w:vAlign w:val="top"/>
          </w:tcPr>
          <w:p w14:paraId="455FFB71">
            <w:pPr>
              <w:snapToGrid w:val="0"/>
              <w:spacing w:line="360" w:lineRule="auto"/>
              <w:rPr>
                <w:rFonts w:hint="eastAsia" w:ascii="宋体" w:hAnsi="宋体" w:eastAsia="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top"/>
          </w:tcPr>
          <w:p w14:paraId="38892BE5">
            <w:pPr>
              <w:snapToGrid w:val="0"/>
              <w:spacing w:line="360" w:lineRule="auto"/>
              <w:rPr>
                <w:rFonts w:hint="eastAsia" w:ascii="宋体" w:hAnsi="宋体" w:eastAsia="宋体" w:cs="宋体"/>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top"/>
          </w:tcPr>
          <w:p w14:paraId="6154952F">
            <w:pPr>
              <w:snapToGrid w:val="0"/>
              <w:spacing w:line="360" w:lineRule="auto"/>
              <w:rPr>
                <w:rFonts w:hint="eastAsia" w:ascii="宋体" w:hAnsi="宋体" w:eastAsia="宋体" w:cs="宋体"/>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14:paraId="491C9E78">
            <w:pPr>
              <w:snapToGrid w:val="0"/>
              <w:spacing w:line="360" w:lineRule="auto"/>
              <w:rPr>
                <w:rFonts w:hint="eastAsia" w:ascii="宋体" w:hAnsi="宋体" w:eastAsia="宋体" w:cs="宋体"/>
                <w:color w:val="auto"/>
                <w:szCs w:val="21"/>
                <w:highlight w:val="none"/>
              </w:rPr>
            </w:pPr>
          </w:p>
        </w:tc>
        <w:tc>
          <w:tcPr>
            <w:tcW w:w="1422" w:type="dxa"/>
            <w:tcBorders>
              <w:left w:val="single" w:color="auto" w:sz="4" w:space="0"/>
              <w:right w:val="single" w:color="auto" w:sz="4" w:space="0"/>
            </w:tcBorders>
            <w:noWrap w:val="0"/>
            <w:vAlign w:val="top"/>
          </w:tcPr>
          <w:p w14:paraId="07649BBF">
            <w:pPr>
              <w:snapToGrid w:val="0"/>
              <w:spacing w:line="360" w:lineRule="auto"/>
              <w:rPr>
                <w:rFonts w:hint="eastAsia" w:ascii="宋体" w:hAnsi="宋体" w:eastAsia="宋体" w:cs="宋体"/>
                <w:color w:val="auto"/>
                <w:szCs w:val="21"/>
                <w:highlight w:val="none"/>
              </w:rPr>
            </w:pPr>
          </w:p>
        </w:tc>
      </w:tr>
      <w:tr w14:paraId="096C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3CF1CCD">
            <w:pPr>
              <w:snapToGrid w:val="0"/>
              <w:spacing w:line="360" w:lineRule="auto"/>
              <w:rPr>
                <w:rFonts w:hint="eastAsia" w:ascii="宋体" w:hAnsi="宋体" w:eastAsia="宋体" w:cs="宋体"/>
                <w:color w:val="auto"/>
                <w:szCs w:val="21"/>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40B99AA">
            <w:pPr>
              <w:snapToGrid w:val="0"/>
              <w:spacing w:line="360" w:lineRule="auto"/>
              <w:rPr>
                <w:rFonts w:hint="eastAsia" w:ascii="宋体" w:hAnsi="宋体" w:eastAsia="宋体" w:cs="宋体"/>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noWrap w:val="0"/>
            <w:vAlign w:val="top"/>
          </w:tcPr>
          <w:p w14:paraId="67646083">
            <w:pPr>
              <w:snapToGrid w:val="0"/>
              <w:spacing w:line="360" w:lineRule="auto"/>
              <w:rPr>
                <w:rFonts w:hint="eastAsia" w:ascii="宋体" w:hAnsi="宋体" w:eastAsia="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top"/>
          </w:tcPr>
          <w:p w14:paraId="4B021AFC">
            <w:pPr>
              <w:snapToGrid w:val="0"/>
              <w:spacing w:line="360" w:lineRule="auto"/>
              <w:rPr>
                <w:rFonts w:hint="eastAsia" w:ascii="宋体" w:hAnsi="宋体" w:eastAsia="宋体" w:cs="宋体"/>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top"/>
          </w:tcPr>
          <w:p w14:paraId="29335457">
            <w:pPr>
              <w:snapToGrid w:val="0"/>
              <w:spacing w:line="360" w:lineRule="auto"/>
              <w:rPr>
                <w:rFonts w:hint="eastAsia" w:ascii="宋体" w:hAnsi="宋体" w:eastAsia="宋体" w:cs="宋体"/>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14:paraId="732D304A">
            <w:pPr>
              <w:snapToGrid w:val="0"/>
              <w:spacing w:line="360" w:lineRule="auto"/>
              <w:rPr>
                <w:rFonts w:hint="eastAsia" w:ascii="宋体" w:hAnsi="宋体" w:eastAsia="宋体" w:cs="宋体"/>
                <w:color w:val="auto"/>
                <w:szCs w:val="21"/>
                <w:highlight w:val="none"/>
              </w:rPr>
            </w:pPr>
          </w:p>
        </w:tc>
        <w:tc>
          <w:tcPr>
            <w:tcW w:w="1422" w:type="dxa"/>
            <w:tcBorders>
              <w:left w:val="single" w:color="auto" w:sz="4" w:space="0"/>
              <w:right w:val="single" w:color="auto" w:sz="4" w:space="0"/>
            </w:tcBorders>
            <w:noWrap w:val="0"/>
            <w:vAlign w:val="top"/>
          </w:tcPr>
          <w:p w14:paraId="66038BC4">
            <w:pPr>
              <w:snapToGrid w:val="0"/>
              <w:spacing w:line="360" w:lineRule="auto"/>
              <w:rPr>
                <w:rFonts w:hint="eastAsia" w:ascii="宋体" w:hAnsi="宋体" w:eastAsia="宋体" w:cs="宋体"/>
                <w:color w:val="auto"/>
                <w:szCs w:val="21"/>
                <w:highlight w:val="none"/>
              </w:rPr>
            </w:pPr>
          </w:p>
        </w:tc>
      </w:tr>
      <w:tr w14:paraId="34DC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1F457FFC">
            <w:pPr>
              <w:snapToGrid w:val="0"/>
              <w:spacing w:line="360" w:lineRule="auto"/>
              <w:rPr>
                <w:rFonts w:hint="eastAsia" w:ascii="宋体" w:hAnsi="宋体" w:eastAsia="宋体" w:cs="宋体"/>
                <w:color w:val="auto"/>
                <w:szCs w:val="21"/>
                <w:highlight w:val="none"/>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2F42B5E">
            <w:pPr>
              <w:snapToGrid w:val="0"/>
              <w:spacing w:line="360" w:lineRule="auto"/>
              <w:rPr>
                <w:rFonts w:hint="eastAsia" w:ascii="宋体" w:hAnsi="宋体" w:eastAsia="宋体" w:cs="宋体"/>
                <w:color w:val="auto"/>
                <w:szCs w:val="21"/>
                <w:highlight w:val="none"/>
              </w:rPr>
            </w:pPr>
          </w:p>
        </w:tc>
        <w:tc>
          <w:tcPr>
            <w:tcW w:w="2069" w:type="dxa"/>
            <w:tcBorders>
              <w:top w:val="single" w:color="auto" w:sz="4" w:space="0"/>
              <w:left w:val="single" w:color="auto" w:sz="4" w:space="0"/>
              <w:bottom w:val="single" w:color="auto" w:sz="4" w:space="0"/>
              <w:right w:val="single" w:color="auto" w:sz="4" w:space="0"/>
            </w:tcBorders>
            <w:noWrap w:val="0"/>
            <w:vAlign w:val="top"/>
          </w:tcPr>
          <w:p w14:paraId="3EEBF7AF">
            <w:pPr>
              <w:snapToGrid w:val="0"/>
              <w:spacing w:line="360" w:lineRule="auto"/>
              <w:rPr>
                <w:rFonts w:hint="eastAsia" w:ascii="宋体" w:hAnsi="宋体" w:eastAsia="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top"/>
          </w:tcPr>
          <w:p w14:paraId="41392499">
            <w:pPr>
              <w:snapToGrid w:val="0"/>
              <w:spacing w:line="360" w:lineRule="auto"/>
              <w:rPr>
                <w:rFonts w:hint="eastAsia" w:ascii="宋体" w:hAnsi="宋体" w:eastAsia="宋体" w:cs="宋体"/>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top"/>
          </w:tcPr>
          <w:p w14:paraId="2C39DC4F">
            <w:pPr>
              <w:snapToGrid w:val="0"/>
              <w:spacing w:line="360" w:lineRule="auto"/>
              <w:rPr>
                <w:rFonts w:hint="eastAsia" w:ascii="宋体" w:hAnsi="宋体" w:eastAsia="宋体" w:cs="宋体"/>
                <w:color w:val="auto"/>
                <w:szCs w:val="21"/>
                <w:highlight w:val="none"/>
              </w:rPr>
            </w:pPr>
          </w:p>
        </w:tc>
        <w:tc>
          <w:tcPr>
            <w:tcW w:w="1348" w:type="dxa"/>
            <w:tcBorders>
              <w:top w:val="single" w:color="auto" w:sz="4" w:space="0"/>
              <w:left w:val="single" w:color="auto" w:sz="4" w:space="0"/>
              <w:bottom w:val="single" w:color="auto" w:sz="4" w:space="0"/>
              <w:right w:val="single" w:color="auto" w:sz="4" w:space="0"/>
            </w:tcBorders>
            <w:noWrap w:val="0"/>
            <w:vAlign w:val="top"/>
          </w:tcPr>
          <w:p w14:paraId="44A0D982">
            <w:pPr>
              <w:snapToGrid w:val="0"/>
              <w:spacing w:line="360" w:lineRule="auto"/>
              <w:rPr>
                <w:rFonts w:hint="eastAsia" w:ascii="宋体" w:hAnsi="宋体" w:eastAsia="宋体" w:cs="宋体"/>
                <w:color w:val="auto"/>
                <w:szCs w:val="21"/>
                <w:highlight w:val="none"/>
              </w:rPr>
            </w:pPr>
          </w:p>
        </w:tc>
        <w:tc>
          <w:tcPr>
            <w:tcW w:w="1422" w:type="dxa"/>
            <w:tcBorders>
              <w:left w:val="single" w:color="auto" w:sz="4" w:space="0"/>
              <w:bottom w:val="single" w:color="auto" w:sz="4" w:space="0"/>
              <w:right w:val="single" w:color="auto" w:sz="4" w:space="0"/>
            </w:tcBorders>
            <w:noWrap w:val="0"/>
            <w:vAlign w:val="top"/>
          </w:tcPr>
          <w:p w14:paraId="6A237160">
            <w:pPr>
              <w:snapToGrid w:val="0"/>
              <w:spacing w:line="360" w:lineRule="auto"/>
              <w:rPr>
                <w:rFonts w:hint="eastAsia" w:ascii="宋体" w:hAnsi="宋体" w:eastAsia="宋体" w:cs="宋体"/>
                <w:color w:val="auto"/>
                <w:szCs w:val="21"/>
                <w:highlight w:val="none"/>
              </w:rPr>
            </w:pPr>
          </w:p>
        </w:tc>
      </w:tr>
    </w:tbl>
    <w:p w14:paraId="0F258022">
      <w:pPr>
        <w:rPr>
          <w:rFonts w:hint="eastAsia" w:ascii="宋体" w:hAnsi="宋体" w:eastAsia="宋体" w:cs="宋体"/>
          <w:color w:val="auto"/>
          <w:szCs w:val="21"/>
          <w:highlight w:val="none"/>
        </w:rPr>
      </w:pPr>
    </w:p>
    <w:p w14:paraId="1407AC55">
      <w:pPr>
        <w:snapToGrid w:val="0"/>
        <w:ind w:firstLineChars="0"/>
        <w:rPr>
          <w:rFonts w:hint="eastAsia"/>
          <w:color w:val="auto"/>
          <w:highlight w:val="none"/>
        </w:rPr>
      </w:pPr>
      <w:r>
        <w:rPr>
          <w:rFonts w:hint="eastAsia" w:ascii="宋体" w:hAnsi="宋体" w:eastAsia="宋体" w:cs="宋体"/>
          <w:color w:val="auto"/>
          <w:szCs w:val="21"/>
          <w:highlight w:val="none"/>
        </w:rPr>
        <w:t>注：提供20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年1月1日至今承担过类似项目实施经验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含正在履约业绩</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类似项目指</w:t>
      </w:r>
      <w:r>
        <w:rPr>
          <w:rFonts w:hint="eastAsia" w:ascii="宋体" w:hAnsi="宋体" w:cs="宋体"/>
          <w:color w:val="auto"/>
          <w:szCs w:val="21"/>
          <w:highlight w:val="none"/>
          <w:lang w:val="en-US" w:eastAsia="zh-CN"/>
        </w:rPr>
        <w:t>生态环境保护</w:t>
      </w:r>
      <w:r>
        <w:rPr>
          <w:rFonts w:hint="eastAsia" w:ascii="宋体" w:hAnsi="宋体" w:eastAsia="宋体" w:cs="宋体"/>
          <w:color w:val="auto"/>
          <w:szCs w:val="21"/>
          <w:highlight w:val="none"/>
          <w:lang w:val="en-US" w:eastAsia="zh-CN"/>
        </w:rPr>
        <w:t>类</w:t>
      </w:r>
      <w:r>
        <w:rPr>
          <w:rFonts w:hint="eastAsia" w:ascii="宋体" w:hAnsi="宋体" w:cs="宋体"/>
          <w:color w:val="auto"/>
          <w:szCs w:val="21"/>
          <w:highlight w:val="none"/>
          <w:lang w:val="en-US" w:eastAsia="zh-CN"/>
        </w:rPr>
        <w:t>或生态环境监测类</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rPr>
        <w:t>证明材料为中标（成交）通知书或合同（合同首页、标的及金额所在页及合同签字盖章页的</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，证明材料</w:t>
      </w:r>
      <w:r>
        <w:rPr>
          <w:rFonts w:hint="eastAsia" w:ascii="宋体" w:hAnsi="宋体" w:eastAsia="宋体" w:cs="宋体"/>
          <w:color w:val="auto"/>
          <w:szCs w:val="21"/>
          <w:highlight w:val="none"/>
          <w:lang w:val="en-US" w:eastAsia="zh-CN"/>
        </w:rPr>
        <w:t>内容不全、</w:t>
      </w:r>
      <w:r>
        <w:rPr>
          <w:rFonts w:hint="eastAsia" w:ascii="宋体" w:hAnsi="宋体" w:eastAsia="宋体" w:cs="宋体"/>
          <w:color w:val="auto"/>
          <w:szCs w:val="21"/>
          <w:highlight w:val="none"/>
          <w:lang w:eastAsia="zh-CN"/>
        </w:rPr>
        <w:t>模糊不清无法辨认的视为未提供，则该项不得分</w:t>
      </w:r>
      <w:r>
        <w:rPr>
          <w:rFonts w:hint="eastAsia" w:ascii="宋体" w:hAnsi="宋体" w:eastAsia="宋体" w:cs="宋体"/>
          <w:color w:val="auto"/>
          <w:szCs w:val="21"/>
          <w:highlight w:val="none"/>
        </w:rPr>
        <w:t>。</w:t>
      </w:r>
    </w:p>
    <w:p w14:paraId="3555DA0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2、投标人可根据实际情况扩展本表。</w:t>
      </w:r>
    </w:p>
    <w:p w14:paraId="6B1E6D88">
      <w:pPr>
        <w:rPr>
          <w:rFonts w:hint="eastAsia" w:ascii="宋体" w:hAnsi="宋体" w:eastAsia="宋体" w:cs="宋体"/>
          <w:b/>
          <w:color w:val="auto"/>
          <w:spacing w:val="6"/>
          <w:sz w:val="28"/>
          <w:szCs w:val="28"/>
          <w:highlight w:val="none"/>
          <w:lang w:val="en-US" w:eastAsia="zh-CN"/>
        </w:rPr>
      </w:pPr>
      <w:r>
        <w:rPr>
          <w:rFonts w:hint="eastAsia" w:ascii="宋体" w:hAnsi="宋体" w:eastAsia="宋体" w:cs="宋体"/>
          <w:b/>
          <w:color w:val="auto"/>
          <w:spacing w:val="6"/>
          <w:sz w:val="28"/>
          <w:szCs w:val="28"/>
          <w:highlight w:val="none"/>
          <w:lang w:val="en-US" w:eastAsia="zh-CN"/>
        </w:rPr>
        <w:br w:type="page"/>
      </w:r>
    </w:p>
    <w:p w14:paraId="7549FD4B">
      <w:pPr>
        <w:pStyle w:val="3"/>
        <w:numPr>
          <w:ilvl w:val="0"/>
          <w:numId w:val="0"/>
        </w:numPr>
        <w:tabs>
          <w:tab w:val="left" w:pos="596"/>
        </w:tabs>
        <w:spacing w:before="0"/>
        <w:jc w:val="center"/>
        <w:rPr>
          <w:rFonts w:hint="eastAsia" w:ascii="宋体" w:hAnsi="宋体" w:eastAsia="宋体" w:cs="宋体"/>
          <w:color w:val="auto"/>
          <w:szCs w:val="32"/>
          <w:highlight w:val="none"/>
        </w:rPr>
      </w:pPr>
      <w:bookmarkStart w:id="209" w:name="_Toc21439443"/>
      <w:bookmarkStart w:id="210" w:name="_Toc71626203"/>
      <w:bookmarkStart w:id="211" w:name="_Toc25474"/>
      <w:r>
        <w:rPr>
          <w:rFonts w:hint="eastAsia" w:ascii="宋体" w:hAnsi="宋体" w:eastAsia="宋体" w:cs="宋体"/>
          <w:color w:val="auto"/>
          <w:szCs w:val="32"/>
          <w:highlight w:val="none"/>
          <w:lang w:val="en-US" w:eastAsia="zh-CN"/>
        </w:rPr>
        <w:t>14、</w:t>
      </w:r>
      <w:r>
        <w:rPr>
          <w:rFonts w:hint="eastAsia" w:ascii="宋体" w:hAnsi="宋体" w:eastAsia="宋体" w:cs="宋体"/>
          <w:color w:val="auto"/>
          <w:szCs w:val="32"/>
          <w:highlight w:val="none"/>
        </w:rPr>
        <w:t>节能产品/环境标志产品承诺书（按需提供）</w:t>
      </w:r>
      <w:bookmarkEnd w:id="209"/>
      <w:bookmarkEnd w:id="210"/>
      <w:bookmarkEnd w:id="211"/>
    </w:p>
    <w:p w14:paraId="6CCDFA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ED3F5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本单位承诺，根据《财政部发展改革委生态环境部市场监管总局关于调整优化节能产品、环境标志产品政府采购执行机制的通知》（财库〔2019〕9号）的规定，本单位提供的</w:t>
      </w:r>
      <w:r>
        <w:rPr>
          <w:rFonts w:hint="eastAsia" w:ascii="宋体" w:hAnsi="宋体" w:eastAsia="宋体" w:cs="宋体"/>
          <w:color w:val="auto"/>
          <w:sz w:val="24"/>
          <w:highlight w:val="none"/>
          <w:u w:val="single"/>
        </w:rPr>
        <w:t>（产品名称）</w:t>
      </w:r>
      <w:r>
        <w:rPr>
          <w:rFonts w:hint="eastAsia" w:ascii="宋体" w:hAnsi="宋体" w:eastAsia="宋体" w:cs="宋体"/>
          <w:color w:val="auto"/>
          <w:sz w:val="24"/>
          <w:highlight w:val="none"/>
        </w:rPr>
        <w:t>为取得国家确定的认证机构出具的、处于有效期之内的节能产品/环境标志产品认证证书的</w:t>
      </w:r>
      <w:r>
        <w:rPr>
          <w:rFonts w:hint="eastAsia" w:ascii="宋体" w:hAnsi="宋体" w:eastAsia="宋体" w:cs="宋体"/>
          <w:color w:val="auto"/>
          <w:sz w:val="24"/>
          <w:highlight w:val="none"/>
          <w:lang w:eastAsia="zh-CN"/>
        </w:rPr>
        <w:t>（</w:t>
      </w:r>
      <w:r>
        <w:rPr>
          <w:rFonts w:hint="eastAsia" w:ascii="宋体" w:hAnsi="宋体" w:eastAsia="宋体" w:cs="宋体"/>
          <w:color w:val="auto"/>
          <w:highlight w:val="none"/>
        </w:rPr>
        <w:sym w:font="Wingdings 2" w:char="00A3"/>
      </w:r>
      <w:r>
        <w:rPr>
          <w:rFonts w:hint="eastAsia" w:ascii="宋体" w:hAnsi="宋体" w:eastAsia="宋体" w:cs="宋体"/>
          <w:color w:val="auto"/>
          <w:sz w:val="24"/>
          <w:highlight w:val="none"/>
        </w:rPr>
        <w:t>节能产品</w:t>
      </w:r>
      <w:r>
        <w:rPr>
          <w:rFonts w:hint="eastAsia" w:ascii="宋体" w:hAnsi="宋体" w:eastAsia="宋体" w:cs="宋体"/>
          <w:color w:val="auto"/>
          <w:highlight w:val="none"/>
        </w:rPr>
        <w:t>□</w:t>
      </w:r>
      <w:r>
        <w:rPr>
          <w:rFonts w:hint="eastAsia" w:ascii="宋体" w:hAnsi="宋体" w:eastAsia="宋体" w:cs="宋体"/>
          <w:color w:val="auto"/>
          <w:sz w:val="24"/>
          <w:highlight w:val="none"/>
        </w:rPr>
        <w:t>环境标志产品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，且产品认证依据《节能产品政府采购品目清单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环境标志产品政府采购品目清单》中相关标准的最新版本，并可在市场监管总局组织建立节能产品、环境标志产品认证结果信息发布平台中查询、了解认证机构和获证产品相关情况。</w:t>
      </w:r>
    </w:p>
    <w:p w14:paraId="42CBB9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本单位对上述承诺的真实性负责。如有虚假，将依法承担相应责任。</w:t>
      </w:r>
    </w:p>
    <w:p w14:paraId="60857302">
      <w:pPr>
        <w:pStyle w:val="14"/>
        <w:rPr>
          <w:rFonts w:hint="eastAsia" w:ascii="宋体" w:hAnsi="宋体" w:eastAsia="宋体" w:cs="宋体"/>
          <w:color w:val="auto"/>
          <w:highlight w:val="none"/>
        </w:rPr>
      </w:pPr>
    </w:p>
    <w:p w14:paraId="1164BACC">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注：后附节能产品/环境标志产品认证证书或相关截图；</w:t>
      </w:r>
    </w:p>
    <w:p w14:paraId="6B3237E6">
      <w:pPr>
        <w:spacing w:line="360" w:lineRule="auto"/>
        <w:ind w:firstLine="3112" w:firstLineChars="1235"/>
        <w:jc w:val="right"/>
        <w:rPr>
          <w:rFonts w:hint="eastAsia" w:ascii="宋体" w:hAnsi="宋体" w:eastAsia="宋体" w:cs="宋体"/>
          <w:color w:val="auto"/>
          <w:spacing w:val="6"/>
          <w:sz w:val="24"/>
          <w:highlight w:val="none"/>
        </w:rPr>
      </w:pPr>
    </w:p>
    <w:p w14:paraId="01155427">
      <w:pPr>
        <w:spacing w:line="360" w:lineRule="auto"/>
        <w:ind w:firstLine="3112" w:firstLineChars="1235"/>
        <w:jc w:val="right"/>
        <w:rPr>
          <w:rFonts w:hint="eastAsia" w:ascii="宋体" w:hAnsi="宋体" w:eastAsia="宋体" w:cs="宋体"/>
          <w:color w:val="auto"/>
          <w:spacing w:val="6"/>
          <w:sz w:val="24"/>
          <w:highlight w:val="none"/>
        </w:rPr>
      </w:pPr>
    </w:p>
    <w:p w14:paraId="331D15F5">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44E281B2">
      <w:pPr>
        <w:pStyle w:val="18"/>
        <w:spacing w:line="360" w:lineRule="auto"/>
        <w:rPr>
          <w:rFonts w:hint="eastAsia" w:ascii="宋体" w:hAnsi="宋体" w:eastAsia="宋体" w:cs="宋体"/>
          <w:color w:val="auto"/>
          <w:sz w:val="24"/>
          <w:szCs w:val="24"/>
          <w:highlight w:val="none"/>
        </w:rPr>
      </w:pPr>
    </w:p>
    <w:p w14:paraId="089676F1">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32B5FAAB">
      <w:pPr>
        <w:spacing w:line="360" w:lineRule="auto"/>
        <w:rPr>
          <w:rFonts w:hint="eastAsia" w:ascii="宋体" w:hAnsi="宋体" w:cs="宋体"/>
          <w:bCs/>
          <w:color w:val="auto"/>
          <w:sz w:val="24"/>
          <w:szCs w:val="24"/>
          <w:highlight w:val="none"/>
          <w:lang w:val="en-US" w:eastAsia="zh-CN"/>
        </w:rPr>
      </w:pPr>
    </w:p>
    <w:p w14:paraId="08B4FF30">
      <w:pPr>
        <w:spacing w:line="360" w:lineRule="auto"/>
        <w:rPr>
          <w:rFonts w:hint="eastAsia" w:ascii="宋体" w:hAnsi="宋体" w:eastAsia="宋体" w:cs="宋体"/>
          <w:b w:val="0"/>
          <w:bCs/>
          <w:color w:val="auto"/>
          <w:sz w:val="24"/>
          <w:highlight w:val="none"/>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p>
    <w:p w14:paraId="66B3AE29">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301DEB0">
      <w:pPr>
        <w:pStyle w:val="3"/>
        <w:numPr>
          <w:ilvl w:val="0"/>
          <w:numId w:val="0"/>
        </w:numPr>
        <w:jc w:val="center"/>
        <w:rPr>
          <w:rFonts w:hint="eastAsia" w:ascii="宋体" w:hAnsi="宋体" w:eastAsia="宋体" w:cs="宋体"/>
          <w:color w:val="auto"/>
          <w:sz w:val="32"/>
          <w:szCs w:val="32"/>
          <w:highlight w:val="none"/>
        </w:rPr>
      </w:pPr>
      <w:bookmarkStart w:id="212" w:name="_Toc25888"/>
      <w:bookmarkStart w:id="213" w:name="_Toc3115"/>
      <w:r>
        <w:rPr>
          <w:rFonts w:hint="eastAsia" w:ascii="宋体" w:hAnsi="宋体" w:eastAsia="宋体" w:cs="宋体"/>
          <w:color w:val="auto"/>
          <w:sz w:val="32"/>
          <w:szCs w:val="32"/>
          <w:highlight w:val="none"/>
          <w:lang w:val="en-US" w:eastAsia="zh-CN"/>
        </w:rPr>
        <w:t>15、</w:t>
      </w:r>
      <w:r>
        <w:rPr>
          <w:rFonts w:hint="eastAsia" w:ascii="宋体" w:hAnsi="宋体" w:eastAsia="宋体" w:cs="宋体"/>
          <w:color w:val="auto"/>
          <w:sz w:val="32"/>
          <w:szCs w:val="32"/>
          <w:highlight w:val="none"/>
        </w:rPr>
        <w:t>构成投标文件商务部分的其他资料</w:t>
      </w:r>
      <w:bookmarkEnd w:id="212"/>
      <w:bookmarkEnd w:id="213"/>
    </w:p>
    <w:p w14:paraId="460898E3">
      <w:pPr>
        <w:pStyle w:val="18"/>
        <w:spacing w:line="360" w:lineRule="auto"/>
        <w:ind w:firstLine="241" w:firstLineChars="100"/>
        <w:jc w:val="left"/>
        <w:rPr>
          <w:rFonts w:hint="eastAsia" w:ascii="宋体" w:hAnsi="宋体" w:eastAsia="宋体" w:cs="宋体"/>
          <w:b/>
          <w:bCs/>
          <w:color w:val="auto"/>
          <w:sz w:val="24"/>
          <w:highlight w:val="none"/>
        </w:rPr>
      </w:pPr>
    </w:p>
    <w:p w14:paraId="3B79C9CE">
      <w:pPr>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详见第二章“投标人须知前附表”第13.1.3条，请自拟格式。</w:t>
      </w:r>
    </w:p>
    <w:p w14:paraId="3E1933A1">
      <w:pPr>
        <w:pStyle w:val="18"/>
        <w:spacing w:line="600" w:lineRule="exact"/>
        <w:rPr>
          <w:rFonts w:hint="eastAsia" w:ascii="宋体" w:hAnsi="宋体" w:eastAsia="宋体" w:cs="宋体"/>
          <w:color w:val="auto"/>
          <w:sz w:val="24"/>
          <w:szCs w:val="24"/>
          <w:highlight w:val="none"/>
          <w:u w:val="single"/>
        </w:rPr>
      </w:pPr>
    </w:p>
    <w:p w14:paraId="65DE5C0A">
      <w:pPr>
        <w:pStyle w:val="3"/>
        <w:numPr>
          <w:ilvl w:val="0"/>
          <w:numId w:val="0"/>
        </w:numPr>
        <w:ind w:left="425"/>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bookmarkStart w:id="214" w:name="_Toc493600041"/>
      <w:bookmarkStart w:id="215" w:name="_Toc213141099"/>
      <w:bookmarkStart w:id="216" w:name="_Toc34163806"/>
      <w:bookmarkStart w:id="217" w:name="_Toc7251"/>
      <w:r>
        <w:rPr>
          <w:rFonts w:hint="eastAsia" w:ascii="宋体" w:hAnsi="宋体" w:eastAsia="宋体" w:cs="宋体"/>
          <w:b/>
          <w:color w:val="auto"/>
          <w:sz w:val="32"/>
          <w:szCs w:val="32"/>
          <w:highlight w:val="none"/>
          <w:lang w:val="en-US" w:eastAsia="zh-CN"/>
        </w:rPr>
        <w:t>16、</w:t>
      </w:r>
      <w:r>
        <w:rPr>
          <w:rFonts w:hint="eastAsia" w:ascii="宋体" w:hAnsi="宋体" w:eastAsia="宋体" w:cs="宋体"/>
          <w:color w:val="auto"/>
          <w:sz w:val="32"/>
          <w:szCs w:val="32"/>
          <w:highlight w:val="none"/>
        </w:rPr>
        <w:t>技术规格偏离表</w:t>
      </w:r>
      <w:bookmarkEnd w:id="214"/>
      <w:bookmarkEnd w:id="215"/>
      <w:bookmarkEnd w:id="216"/>
      <w:bookmarkEnd w:id="217"/>
    </w:p>
    <w:p w14:paraId="21A4B3F0">
      <w:pPr>
        <w:pStyle w:val="1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请按投标产品的实际技术参数，逐条对应招标文件的“</w:t>
      </w:r>
      <w:r>
        <w:rPr>
          <w:rFonts w:hint="eastAsia" w:ascii="宋体" w:hAnsi="宋体" w:eastAsia="宋体" w:cs="宋体"/>
          <w:b/>
          <w:color w:val="auto"/>
          <w:sz w:val="24"/>
          <w:szCs w:val="24"/>
          <w:highlight w:val="none"/>
          <w:lang w:eastAsia="zh-CN"/>
        </w:rPr>
        <w:t>采购需求</w:t>
      </w:r>
      <w:r>
        <w:rPr>
          <w:rFonts w:hint="eastAsia" w:ascii="宋体" w:hAnsi="宋体" w:eastAsia="宋体" w:cs="宋体"/>
          <w:color w:val="auto"/>
          <w:sz w:val="24"/>
          <w:szCs w:val="24"/>
          <w:highlight w:val="none"/>
        </w:rPr>
        <w:t>”中要求的技术规范认真填写该表。</w:t>
      </w:r>
    </w:p>
    <w:p w14:paraId="331E47AC">
      <w:pPr>
        <w:pStyle w:val="18"/>
        <w:ind w:firstLine="240" w:firstLineChars="100"/>
        <w:rPr>
          <w:rFonts w:hint="eastAsia" w:ascii="宋体" w:hAnsi="宋体" w:eastAsia="宋体" w:cs="宋体"/>
          <w:color w:val="auto"/>
          <w:sz w:val="24"/>
          <w:szCs w:val="24"/>
          <w:highlight w:val="none"/>
        </w:rPr>
      </w:pPr>
    </w:p>
    <w:p w14:paraId="22DB1869">
      <w:pPr>
        <w:pStyle w:val="18"/>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项目编号</w:t>
      </w:r>
      <w:r>
        <w:rPr>
          <w:rFonts w:hint="eastAsia" w:ascii="宋体" w:hAnsi="宋体" w:eastAsia="宋体" w:cs="宋体"/>
          <w:b/>
          <w:color w:val="auto"/>
          <w:sz w:val="24"/>
          <w:szCs w:val="24"/>
          <w:highlight w:val="none"/>
        </w:rPr>
        <w:t>：</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2A84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008" w:type="dxa"/>
            <w:noWrap w:val="0"/>
            <w:vAlign w:val="center"/>
          </w:tcPr>
          <w:p w14:paraId="0142AFCC">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产品名称</w:t>
            </w:r>
          </w:p>
        </w:tc>
        <w:tc>
          <w:tcPr>
            <w:tcW w:w="1080" w:type="dxa"/>
            <w:noWrap w:val="0"/>
            <w:vAlign w:val="center"/>
          </w:tcPr>
          <w:p w14:paraId="6FB99E7E">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noWrap w:val="0"/>
            <w:vAlign w:val="center"/>
          </w:tcPr>
          <w:p w14:paraId="2AB7BED7">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招标文件技术规范、要求</w:t>
            </w:r>
          </w:p>
        </w:tc>
        <w:tc>
          <w:tcPr>
            <w:tcW w:w="2484" w:type="dxa"/>
            <w:noWrap w:val="0"/>
            <w:vAlign w:val="center"/>
          </w:tcPr>
          <w:p w14:paraId="1B7DB35E">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投标品牌、型号、技术参数及配置</w:t>
            </w:r>
          </w:p>
        </w:tc>
        <w:tc>
          <w:tcPr>
            <w:tcW w:w="1260" w:type="dxa"/>
            <w:noWrap w:val="0"/>
            <w:vAlign w:val="center"/>
          </w:tcPr>
          <w:p w14:paraId="52643793">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w:t>
            </w:r>
          </w:p>
        </w:tc>
        <w:tc>
          <w:tcPr>
            <w:tcW w:w="1800" w:type="dxa"/>
            <w:noWrap w:val="0"/>
            <w:vAlign w:val="center"/>
          </w:tcPr>
          <w:p w14:paraId="58D26C59">
            <w:pPr>
              <w:ind w:right="71" w:rightChars="34"/>
              <w:jc w:val="center"/>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技术支持资料索引（页码或条目号等）</w:t>
            </w:r>
          </w:p>
        </w:tc>
      </w:tr>
      <w:tr w14:paraId="272B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08" w:type="dxa"/>
            <w:vMerge w:val="restart"/>
            <w:noWrap w:val="0"/>
            <w:vAlign w:val="center"/>
          </w:tcPr>
          <w:p w14:paraId="48222387">
            <w:pPr>
              <w:spacing w:line="360" w:lineRule="auto"/>
              <w:jc w:val="center"/>
              <w:rPr>
                <w:rFonts w:hint="eastAsia" w:ascii="宋体" w:hAnsi="宋体" w:eastAsia="宋体" w:cs="宋体"/>
                <w:color w:val="auto"/>
                <w:sz w:val="24"/>
                <w:highlight w:val="none"/>
              </w:rPr>
            </w:pPr>
          </w:p>
        </w:tc>
        <w:tc>
          <w:tcPr>
            <w:tcW w:w="1080" w:type="dxa"/>
            <w:noWrap w:val="0"/>
            <w:vAlign w:val="center"/>
          </w:tcPr>
          <w:p w14:paraId="28809F5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40" w:type="dxa"/>
            <w:noWrap w:val="0"/>
            <w:vAlign w:val="center"/>
          </w:tcPr>
          <w:p w14:paraId="23F783A2">
            <w:pPr>
              <w:spacing w:line="360" w:lineRule="auto"/>
              <w:jc w:val="center"/>
              <w:rPr>
                <w:rFonts w:hint="eastAsia" w:ascii="宋体" w:hAnsi="宋体" w:eastAsia="宋体" w:cs="宋体"/>
                <w:color w:val="auto"/>
                <w:sz w:val="24"/>
                <w:highlight w:val="none"/>
              </w:rPr>
            </w:pPr>
          </w:p>
        </w:tc>
        <w:tc>
          <w:tcPr>
            <w:tcW w:w="2484" w:type="dxa"/>
            <w:noWrap w:val="0"/>
            <w:vAlign w:val="center"/>
          </w:tcPr>
          <w:p w14:paraId="340E9A26">
            <w:pPr>
              <w:spacing w:line="360" w:lineRule="auto"/>
              <w:jc w:val="center"/>
              <w:rPr>
                <w:rFonts w:hint="eastAsia" w:ascii="宋体" w:hAnsi="宋体" w:eastAsia="宋体" w:cs="宋体"/>
                <w:color w:val="auto"/>
                <w:sz w:val="24"/>
                <w:highlight w:val="none"/>
              </w:rPr>
            </w:pPr>
          </w:p>
        </w:tc>
        <w:tc>
          <w:tcPr>
            <w:tcW w:w="1260" w:type="dxa"/>
            <w:noWrap w:val="0"/>
            <w:vAlign w:val="top"/>
          </w:tcPr>
          <w:p w14:paraId="7689DF46">
            <w:pPr>
              <w:spacing w:line="360" w:lineRule="auto"/>
              <w:jc w:val="center"/>
              <w:rPr>
                <w:rFonts w:hint="eastAsia" w:ascii="宋体" w:hAnsi="宋体" w:eastAsia="宋体" w:cs="宋体"/>
                <w:color w:val="auto"/>
                <w:sz w:val="24"/>
                <w:highlight w:val="none"/>
              </w:rPr>
            </w:pPr>
          </w:p>
        </w:tc>
        <w:tc>
          <w:tcPr>
            <w:tcW w:w="1800" w:type="dxa"/>
            <w:noWrap w:val="0"/>
            <w:vAlign w:val="center"/>
          </w:tcPr>
          <w:p w14:paraId="29DB308C">
            <w:pPr>
              <w:spacing w:line="360" w:lineRule="auto"/>
              <w:jc w:val="center"/>
              <w:rPr>
                <w:rFonts w:hint="eastAsia" w:ascii="宋体" w:hAnsi="宋体" w:eastAsia="宋体" w:cs="宋体"/>
                <w:color w:val="auto"/>
                <w:sz w:val="24"/>
                <w:highlight w:val="none"/>
              </w:rPr>
            </w:pPr>
          </w:p>
        </w:tc>
      </w:tr>
      <w:tr w14:paraId="5D9F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08" w:type="dxa"/>
            <w:vMerge w:val="continue"/>
            <w:noWrap w:val="0"/>
            <w:vAlign w:val="center"/>
          </w:tcPr>
          <w:p w14:paraId="33487A11">
            <w:pPr>
              <w:spacing w:line="360" w:lineRule="auto"/>
              <w:jc w:val="center"/>
              <w:rPr>
                <w:rFonts w:hint="eastAsia" w:ascii="宋体" w:hAnsi="宋体" w:eastAsia="宋体" w:cs="宋体"/>
                <w:color w:val="auto"/>
                <w:sz w:val="24"/>
                <w:highlight w:val="none"/>
              </w:rPr>
            </w:pPr>
          </w:p>
        </w:tc>
        <w:tc>
          <w:tcPr>
            <w:tcW w:w="1080" w:type="dxa"/>
            <w:noWrap w:val="0"/>
            <w:vAlign w:val="center"/>
          </w:tcPr>
          <w:p w14:paraId="5FA718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340" w:type="dxa"/>
            <w:noWrap w:val="0"/>
            <w:vAlign w:val="center"/>
          </w:tcPr>
          <w:p w14:paraId="49892755">
            <w:pPr>
              <w:spacing w:line="360" w:lineRule="auto"/>
              <w:jc w:val="center"/>
              <w:rPr>
                <w:rFonts w:hint="eastAsia" w:ascii="宋体" w:hAnsi="宋体" w:eastAsia="宋体" w:cs="宋体"/>
                <w:color w:val="auto"/>
                <w:sz w:val="24"/>
                <w:highlight w:val="none"/>
              </w:rPr>
            </w:pPr>
          </w:p>
        </w:tc>
        <w:tc>
          <w:tcPr>
            <w:tcW w:w="2484" w:type="dxa"/>
            <w:noWrap w:val="0"/>
            <w:vAlign w:val="center"/>
          </w:tcPr>
          <w:p w14:paraId="16C98577">
            <w:pPr>
              <w:spacing w:line="360" w:lineRule="auto"/>
              <w:jc w:val="center"/>
              <w:rPr>
                <w:rFonts w:hint="eastAsia" w:ascii="宋体" w:hAnsi="宋体" w:eastAsia="宋体" w:cs="宋体"/>
                <w:color w:val="auto"/>
                <w:sz w:val="24"/>
                <w:highlight w:val="none"/>
              </w:rPr>
            </w:pPr>
          </w:p>
        </w:tc>
        <w:tc>
          <w:tcPr>
            <w:tcW w:w="1260" w:type="dxa"/>
            <w:noWrap w:val="0"/>
            <w:vAlign w:val="top"/>
          </w:tcPr>
          <w:p w14:paraId="32B1BC5E">
            <w:pPr>
              <w:spacing w:line="360" w:lineRule="auto"/>
              <w:jc w:val="center"/>
              <w:rPr>
                <w:rFonts w:hint="eastAsia" w:ascii="宋体" w:hAnsi="宋体" w:eastAsia="宋体" w:cs="宋体"/>
                <w:color w:val="auto"/>
                <w:sz w:val="24"/>
                <w:highlight w:val="none"/>
              </w:rPr>
            </w:pPr>
          </w:p>
        </w:tc>
        <w:tc>
          <w:tcPr>
            <w:tcW w:w="1800" w:type="dxa"/>
            <w:noWrap w:val="0"/>
            <w:vAlign w:val="center"/>
          </w:tcPr>
          <w:p w14:paraId="04FF5D41">
            <w:pPr>
              <w:spacing w:line="360" w:lineRule="auto"/>
              <w:jc w:val="center"/>
              <w:rPr>
                <w:rFonts w:hint="eastAsia" w:ascii="宋体" w:hAnsi="宋体" w:eastAsia="宋体" w:cs="宋体"/>
                <w:color w:val="auto"/>
                <w:sz w:val="24"/>
                <w:highlight w:val="none"/>
              </w:rPr>
            </w:pPr>
          </w:p>
        </w:tc>
      </w:tr>
      <w:tr w14:paraId="09F2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08" w:type="dxa"/>
            <w:vMerge w:val="continue"/>
            <w:noWrap w:val="0"/>
            <w:vAlign w:val="center"/>
          </w:tcPr>
          <w:p w14:paraId="6090074B">
            <w:pPr>
              <w:spacing w:line="360" w:lineRule="auto"/>
              <w:jc w:val="center"/>
              <w:rPr>
                <w:rFonts w:hint="eastAsia" w:ascii="宋体" w:hAnsi="宋体" w:eastAsia="宋体" w:cs="宋体"/>
                <w:color w:val="auto"/>
                <w:sz w:val="24"/>
                <w:highlight w:val="none"/>
              </w:rPr>
            </w:pPr>
          </w:p>
        </w:tc>
        <w:tc>
          <w:tcPr>
            <w:tcW w:w="1080" w:type="dxa"/>
            <w:noWrap w:val="0"/>
            <w:vAlign w:val="center"/>
          </w:tcPr>
          <w:p w14:paraId="406DBF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340" w:type="dxa"/>
            <w:noWrap w:val="0"/>
            <w:vAlign w:val="center"/>
          </w:tcPr>
          <w:p w14:paraId="193976FB">
            <w:pPr>
              <w:spacing w:line="360" w:lineRule="auto"/>
              <w:jc w:val="center"/>
              <w:rPr>
                <w:rFonts w:hint="eastAsia" w:ascii="宋体" w:hAnsi="宋体" w:eastAsia="宋体" w:cs="宋体"/>
                <w:color w:val="auto"/>
                <w:sz w:val="24"/>
                <w:highlight w:val="none"/>
              </w:rPr>
            </w:pPr>
          </w:p>
        </w:tc>
        <w:tc>
          <w:tcPr>
            <w:tcW w:w="2484" w:type="dxa"/>
            <w:noWrap w:val="0"/>
            <w:vAlign w:val="center"/>
          </w:tcPr>
          <w:p w14:paraId="0A4DB47F">
            <w:pPr>
              <w:spacing w:line="360" w:lineRule="auto"/>
              <w:jc w:val="center"/>
              <w:rPr>
                <w:rFonts w:hint="eastAsia" w:ascii="宋体" w:hAnsi="宋体" w:eastAsia="宋体" w:cs="宋体"/>
                <w:color w:val="auto"/>
                <w:sz w:val="24"/>
                <w:highlight w:val="none"/>
              </w:rPr>
            </w:pPr>
          </w:p>
        </w:tc>
        <w:tc>
          <w:tcPr>
            <w:tcW w:w="1260" w:type="dxa"/>
            <w:noWrap w:val="0"/>
            <w:vAlign w:val="top"/>
          </w:tcPr>
          <w:p w14:paraId="0F2C2406">
            <w:pPr>
              <w:spacing w:line="360" w:lineRule="auto"/>
              <w:jc w:val="center"/>
              <w:rPr>
                <w:rFonts w:hint="eastAsia" w:ascii="宋体" w:hAnsi="宋体" w:eastAsia="宋体" w:cs="宋体"/>
                <w:color w:val="auto"/>
                <w:sz w:val="24"/>
                <w:highlight w:val="none"/>
              </w:rPr>
            </w:pPr>
          </w:p>
        </w:tc>
        <w:tc>
          <w:tcPr>
            <w:tcW w:w="1800" w:type="dxa"/>
            <w:noWrap w:val="0"/>
            <w:vAlign w:val="center"/>
          </w:tcPr>
          <w:p w14:paraId="588544A8">
            <w:pPr>
              <w:spacing w:line="360" w:lineRule="auto"/>
              <w:jc w:val="center"/>
              <w:rPr>
                <w:rFonts w:hint="eastAsia" w:ascii="宋体" w:hAnsi="宋体" w:eastAsia="宋体" w:cs="宋体"/>
                <w:color w:val="auto"/>
                <w:sz w:val="24"/>
                <w:highlight w:val="none"/>
              </w:rPr>
            </w:pPr>
          </w:p>
        </w:tc>
      </w:tr>
      <w:tr w14:paraId="7D93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008" w:type="dxa"/>
            <w:noWrap w:val="0"/>
            <w:vAlign w:val="center"/>
          </w:tcPr>
          <w:p w14:paraId="606BE27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80" w:type="dxa"/>
            <w:noWrap w:val="0"/>
            <w:vAlign w:val="center"/>
          </w:tcPr>
          <w:p w14:paraId="1C7635F2">
            <w:pPr>
              <w:spacing w:line="360" w:lineRule="auto"/>
              <w:jc w:val="center"/>
              <w:rPr>
                <w:rFonts w:hint="eastAsia" w:ascii="宋体" w:hAnsi="宋体" w:eastAsia="宋体" w:cs="宋体"/>
                <w:color w:val="auto"/>
                <w:sz w:val="24"/>
                <w:highlight w:val="none"/>
              </w:rPr>
            </w:pPr>
          </w:p>
        </w:tc>
        <w:tc>
          <w:tcPr>
            <w:tcW w:w="2340" w:type="dxa"/>
            <w:noWrap w:val="0"/>
            <w:vAlign w:val="center"/>
          </w:tcPr>
          <w:p w14:paraId="0355FE4F">
            <w:pPr>
              <w:spacing w:line="360" w:lineRule="auto"/>
              <w:jc w:val="center"/>
              <w:rPr>
                <w:rFonts w:hint="eastAsia" w:ascii="宋体" w:hAnsi="宋体" w:eastAsia="宋体" w:cs="宋体"/>
                <w:color w:val="auto"/>
                <w:sz w:val="24"/>
                <w:highlight w:val="none"/>
              </w:rPr>
            </w:pPr>
          </w:p>
        </w:tc>
        <w:tc>
          <w:tcPr>
            <w:tcW w:w="2484" w:type="dxa"/>
            <w:noWrap w:val="0"/>
            <w:vAlign w:val="center"/>
          </w:tcPr>
          <w:p w14:paraId="5779C425">
            <w:pPr>
              <w:spacing w:line="360" w:lineRule="auto"/>
              <w:jc w:val="center"/>
              <w:rPr>
                <w:rFonts w:hint="eastAsia" w:ascii="宋体" w:hAnsi="宋体" w:eastAsia="宋体" w:cs="宋体"/>
                <w:color w:val="auto"/>
                <w:sz w:val="24"/>
                <w:highlight w:val="none"/>
              </w:rPr>
            </w:pPr>
          </w:p>
        </w:tc>
        <w:tc>
          <w:tcPr>
            <w:tcW w:w="1260" w:type="dxa"/>
            <w:noWrap w:val="0"/>
            <w:vAlign w:val="top"/>
          </w:tcPr>
          <w:p w14:paraId="1EF289A7">
            <w:pPr>
              <w:spacing w:line="360" w:lineRule="auto"/>
              <w:jc w:val="center"/>
              <w:rPr>
                <w:rFonts w:hint="eastAsia" w:ascii="宋体" w:hAnsi="宋体" w:eastAsia="宋体" w:cs="宋体"/>
                <w:color w:val="auto"/>
                <w:sz w:val="24"/>
                <w:highlight w:val="none"/>
              </w:rPr>
            </w:pPr>
          </w:p>
        </w:tc>
        <w:tc>
          <w:tcPr>
            <w:tcW w:w="1800" w:type="dxa"/>
            <w:noWrap w:val="0"/>
            <w:vAlign w:val="center"/>
          </w:tcPr>
          <w:p w14:paraId="0A75BCE7">
            <w:pPr>
              <w:spacing w:line="360" w:lineRule="auto"/>
              <w:jc w:val="center"/>
              <w:rPr>
                <w:rFonts w:hint="eastAsia" w:ascii="宋体" w:hAnsi="宋体" w:eastAsia="宋体" w:cs="宋体"/>
                <w:color w:val="auto"/>
                <w:sz w:val="24"/>
                <w:highlight w:val="none"/>
              </w:rPr>
            </w:pPr>
          </w:p>
        </w:tc>
      </w:tr>
    </w:tbl>
    <w:p w14:paraId="41794C47">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注：1、表格中“偏离”一列，投标人只能如实填写“正偏离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负偏离”或“无偏离”。凡投标内容高于招标文件要求的，按“正偏离”填写；低于招标文件要求的，按“负偏离”填写；满足招标文件要求的，按“无偏离”填写。并在“</w:t>
      </w:r>
      <w:r>
        <w:rPr>
          <w:rFonts w:hint="eastAsia" w:ascii="宋体" w:hAnsi="宋体" w:eastAsia="宋体" w:cs="宋体"/>
          <w:b/>
          <w:color w:val="auto"/>
          <w:sz w:val="24"/>
          <w:szCs w:val="24"/>
          <w:highlight w:val="none"/>
        </w:rPr>
        <w:t>投标品牌、型号、技术参数及配置”一列中</w:t>
      </w:r>
      <w:r>
        <w:rPr>
          <w:rFonts w:hint="eastAsia" w:ascii="宋体" w:hAnsi="宋体" w:eastAsia="宋体" w:cs="宋体"/>
          <w:color w:val="auto"/>
          <w:sz w:val="24"/>
          <w:szCs w:val="24"/>
          <w:highlight w:val="none"/>
        </w:rPr>
        <w:t>写明技术参数。</w:t>
      </w:r>
    </w:p>
    <w:p w14:paraId="75294F47">
      <w:pPr>
        <w:pStyle w:val="18"/>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2、序号应对应该产品在</w:t>
      </w:r>
      <w:r>
        <w:rPr>
          <w:rFonts w:hint="eastAsia" w:ascii="宋体" w:hAnsi="宋体" w:eastAsia="宋体" w:cs="宋体"/>
          <w:bCs/>
          <w:color w:val="auto"/>
          <w:sz w:val="24"/>
          <w:highlight w:val="none"/>
        </w:rPr>
        <w:t>第五章《</w:t>
      </w:r>
      <w:r>
        <w:rPr>
          <w:rFonts w:hint="eastAsia" w:ascii="宋体" w:hAnsi="宋体" w:eastAsia="宋体" w:cs="宋体"/>
          <w:bCs/>
          <w:color w:val="auto"/>
          <w:sz w:val="24"/>
          <w:highlight w:val="none"/>
          <w:lang w:val="en-US" w:eastAsia="zh-CN"/>
        </w:rPr>
        <w:t>采购需求</w:t>
      </w:r>
      <w:r>
        <w:rPr>
          <w:rFonts w:hint="eastAsia" w:ascii="宋体" w:hAnsi="宋体" w:eastAsia="宋体" w:cs="宋体"/>
          <w:bCs/>
          <w:color w:val="auto"/>
          <w:sz w:val="24"/>
          <w:highlight w:val="none"/>
        </w:rPr>
        <w:t>》中的序号。</w:t>
      </w:r>
    </w:p>
    <w:p w14:paraId="5830E9B3">
      <w:pPr>
        <w:pStyle w:val="18"/>
        <w:spacing w:line="440" w:lineRule="exact"/>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3、各投标人必须对招标文件第五章</w:t>
      </w:r>
      <w:r>
        <w:rPr>
          <w:rFonts w:hint="eastAsia" w:ascii="宋体" w:hAnsi="宋体" w:eastAsia="宋体" w:cs="宋体"/>
          <w:bCs/>
          <w:color w:val="auto"/>
          <w:sz w:val="24"/>
          <w:highlight w:val="none"/>
          <w:lang w:eastAsia="zh-CN"/>
        </w:rPr>
        <w:t>采购需求</w:t>
      </w:r>
      <w:r>
        <w:rPr>
          <w:rFonts w:hint="eastAsia" w:ascii="宋体" w:hAnsi="宋体" w:eastAsia="宋体" w:cs="宋体"/>
          <w:bCs/>
          <w:color w:val="auto"/>
          <w:sz w:val="24"/>
          <w:highlight w:val="none"/>
        </w:rPr>
        <w:t>中的技术参数要求作出全面、真实</w:t>
      </w:r>
      <w:r>
        <w:rPr>
          <w:rFonts w:hint="eastAsia" w:ascii="宋体" w:hAnsi="宋体" w:eastAsia="宋体" w:cs="宋体"/>
          <w:bCs/>
          <w:color w:val="auto"/>
          <w:sz w:val="24"/>
          <w:highlight w:val="none"/>
          <w:lang w:eastAsia="zh-CN"/>
        </w:rPr>
        <w:t>地</w:t>
      </w:r>
      <w:r>
        <w:rPr>
          <w:rFonts w:hint="eastAsia" w:ascii="宋体" w:hAnsi="宋体" w:eastAsia="宋体" w:cs="宋体"/>
          <w:bCs/>
          <w:color w:val="auto"/>
          <w:sz w:val="24"/>
          <w:highlight w:val="none"/>
        </w:rPr>
        <w:t>反映，投标人除如实填写技术规格偏离表外，投标文件中必须提供最新技术支持资料支持参</w:t>
      </w:r>
      <w:r>
        <w:rPr>
          <w:rFonts w:hint="eastAsia" w:ascii="宋体" w:hAnsi="宋体" w:eastAsia="宋体" w:cs="宋体"/>
          <w:bCs/>
          <w:color w:val="auto"/>
          <w:sz w:val="24"/>
          <w:highlight w:val="none"/>
          <w:lang w:eastAsia="zh-CN"/>
        </w:rPr>
        <w:t>数和</w:t>
      </w:r>
      <w:r>
        <w:rPr>
          <w:rFonts w:hint="eastAsia" w:ascii="宋体" w:hAnsi="宋体" w:eastAsia="宋体" w:cs="宋体"/>
          <w:bCs/>
          <w:color w:val="auto"/>
          <w:sz w:val="24"/>
          <w:highlight w:val="none"/>
        </w:rPr>
        <w:t>技术规格偏离表应答（技术支持资料以制造商公开发布的印刷资料（包括但不限于产品技术白皮书或图纸、宣传彩页等）或检测机构出具的检测报告为准。若制造商公开发布的印刷资料与检测机构出具的检测报告不一致，以检测机构出具的检测报告为准），</w:t>
      </w:r>
      <w:r>
        <w:rPr>
          <w:rFonts w:hint="eastAsia" w:ascii="宋体" w:hAnsi="宋体" w:eastAsia="宋体" w:cs="宋体"/>
          <w:b/>
          <w:bCs/>
          <w:color w:val="auto"/>
          <w:sz w:val="24"/>
          <w:highlight w:val="none"/>
        </w:rPr>
        <w:t>若投标文件中最新技术支持资料参数与技术规格偏离表应答不符或无技术资料应答，而投标人又未在投标文件中作出说明和解释的，视为</w:t>
      </w:r>
      <w:r>
        <w:rPr>
          <w:rFonts w:hint="eastAsia" w:ascii="宋体" w:hAnsi="宋体" w:eastAsia="宋体" w:cs="宋体"/>
          <w:b/>
          <w:bCs/>
          <w:color w:val="auto"/>
          <w:sz w:val="24"/>
          <w:highlight w:val="none"/>
          <w:u w:val="single"/>
        </w:rPr>
        <w:t>不响应该条技术参数要求</w:t>
      </w:r>
      <w:r>
        <w:rPr>
          <w:rFonts w:hint="eastAsia" w:ascii="宋体" w:hAnsi="宋体" w:eastAsia="宋体" w:cs="宋体"/>
          <w:b/>
          <w:bCs/>
          <w:color w:val="auto"/>
          <w:sz w:val="24"/>
          <w:highlight w:val="none"/>
        </w:rPr>
        <w:t>。</w:t>
      </w:r>
    </w:p>
    <w:p w14:paraId="42DF313C">
      <w:pPr>
        <w:pStyle w:val="18"/>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4.投标人应将支持该项技术要求响应的技术支持资料在投标文件中的索引（页码或条目号等）标注在“技术支持资料索引”一栏中。</w:t>
      </w:r>
    </w:p>
    <w:p w14:paraId="4596B524">
      <w:pPr>
        <w:spacing w:line="360" w:lineRule="auto"/>
        <w:rPr>
          <w:rFonts w:hint="eastAsia" w:ascii="宋体" w:hAnsi="宋体" w:eastAsia="宋体" w:cs="宋体"/>
          <w:b/>
          <w:color w:val="auto"/>
          <w:sz w:val="24"/>
          <w:highlight w:val="none"/>
        </w:rPr>
      </w:pPr>
    </w:p>
    <w:p w14:paraId="6EFFF31A">
      <w:pPr>
        <w:pStyle w:val="18"/>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（加盖投标人电子公章）</w:t>
      </w:r>
    </w:p>
    <w:p w14:paraId="701D6BE4">
      <w:pPr>
        <w:pStyle w:val="18"/>
        <w:spacing w:line="360" w:lineRule="auto"/>
        <w:rPr>
          <w:rFonts w:hint="eastAsia" w:ascii="宋体" w:hAnsi="宋体" w:eastAsia="宋体" w:cs="宋体"/>
          <w:color w:val="auto"/>
          <w:sz w:val="24"/>
          <w:szCs w:val="24"/>
          <w:highlight w:val="none"/>
        </w:rPr>
      </w:pPr>
    </w:p>
    <w:p w14:paraId="13A3363F">
      <w:pPr>
        <w:pStyle w:val="18"/>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法定代表人或其委托代理人</w:t>
      </w:r>
      <w:r>
        <w:rPr>
          <w:rFonts w:hint="eastAsia" w:ascii="宋体" w:hAnsi="宋体" w:eastAsia="宋体" w:cs="宋体"/>
          <w:color w:val="auto"/>
          <w:sz w:val="24"/>
          <w:szCs w:val="24"/>
          <w:highlight w:val="non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（电子签名或电子签章）</w:t>
      </w:r>
    </w:p>
    <w:p w14:paraId="28D61A1F">
      <w:pPr>
        <w:spacing w:line="360" w:lineRule="auto"/>
        <w:rPr>
          <w:rFonts w:hint="eastAsia" w:ascii="宋体" w:hAnsi="宋体" w:cs="宋体"/>
          <w:bCs/>
          <w:color w:val="auto"/>
          <w:sz w:val="24"/>
          <w:szCs w:val="24"/>
          <w:highlight w:val="none"/>
          <w:lang w:val="en-US" w:eastAsia="zh-CN"/>
        </w:rPr>
      </w:pPr>
    </w:p>
    <w:p w14:paraId="131D8016">
      <w:pPr>
        <w:spacing w:line="360" w:lineRule="auto"/>
        <w:rPr>
          <w:rFonts w:hint="eastAsia" w:ascii="宋体" w:hAnsi="宋体" w:eastAsia="宋体" w:cs="宋体"/>
          <w:b w:val="0"/>
          <w:bCs/>
          <w:color w:val="auto"/>
          <w:sz w:val="24"/>
          <w:highlight w:val="none"/>
          <w:lang w:val="en-US" w:eastAsia="zh-CN"/>
        </w:rPr>
      </w:pPr>
      <w:r>
        <w:rPr>
          <w:rFonts w:hint="eastAsia" w:ascii="宋体" w:hAnsi="宋体" w:cs="宋体"/>
          <w:bCs/>
          <w:color w:val="auto"/>
          <w:sz w:val="24"/>
          <w:szCs w:val="24"/>
          <w:highlight w:val="none"/>
          <w:lang w:val="en-US" w:eastAsia="zh-CN"/>
        </w:rPr>
        <w:t>日期：</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年</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月</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日</w:t>
      </w:r>
      <w:r>
        <w:rPr>
          <w:rFonts w:hint="eastAsia" w:ascii="宋体" w:hAnsi="宋体" w:cs="宋体"/>
          <w:b w:val="0"/>
          <w:bCs/>
          <w:color w:val="auto"/>
          <w:sz w:val="24"/>
          <w:highlight w:val="none"/>
          <w:lang w:val="en-US" w:eastAsia="zh-CN"/>
        </w:rPr>
        <w:t xml:space="preserve"> </w:t>
      </w:r>
    </w:p>
    <w:p w14:paraId="32D85B30">
      <w:pPr>
        <w:pStyle w:val="3"/>
        <w:numPr>
          <w:ilvl w:val="0"/>
          <w:numId w:val="0"/>
        </w:numPr>
        <w:ind w:left="425"/>
        <w:jc w:val="center"/>
        <w:rPr>
          <w:rFonts w:hint="eastAsia" w:ascii="宋体" w:hAnsi="宋体" w:eastAsia="宋体" w:cs="宋体"/>
          <w:color w:val="auto"/>
          <w:highlight w:val="none"/>
        </w:rPr>
      </w:pPr>
      <w:bookmarkStart w:id="218" w:name="_Toc76645805"/>
      <w:bookmarkStart w:id="219" w:name="_Toc20142"/>
      <w:bookmarkStart w:id="220" w:name="_Toc496521011"/>
      <w:bookmarkStart w:id="221" w:name="_Toc493600043"/>
      <w:r>
        <w:rPr>
          <w:rFonts w:hint="eastAsia" w:ascii="宋体" w:hAnsi="宋体" w:eastAsia="宋体" w:cs="宋体"/>
          <w:color w:val="auto"/>
          <w:highlight w:val="none"/>
          <w:lang w:val="en-US" w:eastAsia="zh-CN"/>
        </w:rPr>
        <w:br w:type="page"/>
      </w: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技术支持资料</w:t>
      </w:r>
      <w:bookmarkEnd w:id="218"/>
      <w:bookmarkEnd w:id="219"/>
      <w:bookmarkEnd w:id="220"/>
      <w:bookmarkEnd w:id="221"/>
    </w:p>
    <w:p w14:paraId="55F4EF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货物主要技术指标、参数及性能的详细说明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并提供技术支持资料，</w:t>
      </w:r>
      <w:r>
        <w:rPr>
          <w:rFonts w:hint="eastAsia" w:ascii="宋体" w:hAnsi="宋体" w:eastAsia="宋体" w:cs="宋体"/>
          <w:color w:val="auto"/>
          <w:sz w:val="24"/>
          <w:highlight w:val="none"/>
        </w:rPr>
        <w:t>技术支持资料以制造商公开发布的印刷资料（包括但不限于产品技术白皮书或图纸、宣传彩页等）或</w:t>
      </w:r>
      <w:r>
        <w:rPr>
          <w:rFonts w:hint="eastAsia" w:ascii="宋体" w:hAnsi="宋体" w:eastAsia="宋体" w:cs="宋体"/>
          <w:color w:val="auto"/>
          <w:sz w:val="24"/>
          <w:highlight w:val="none"/>
          <w:lang w:val="en-US" w:eastAsia="zh-CN"/>
        </w:rPr>
        <w:t>通过认证</w:t>
      </w:r>
      <w:r>
        <w:rPr>
          <w:rFonts w:hint="eastAsia" w:ascii="宋体" w:hAnsi="宋体" w:eastAsia="宋体" w:cs="宋体"/>
          <w:color w:val="auto"/>
          <w:sz w:val="24"/>
          <w:highlight w:val="none"/>
        </w:rPr>
        <w:t>检测机构出具的检测报告。投标人根据自身实际情况和产品特点自行提供，以证明其产品具体配置情况及技术指标响应的真实性。未提供上述资料导致评委无法进行技术评审的，后果由投标人自行承担。</w:t>
      </w:r>
    </w:p>
    <w:p w14:paraId="1140CF5C">
      <w:pPr>
        <w:pStyle w:val="18"/>
        <w:spacing w:line="600" w:lineRule="exact"/>
        <w:rPr>
          <w:rFonts w:hint="eastAsia" w:ascii="宋体" w:hAnsi="宋体" w:eastAsia="宋体" w:cs="宋体"/>
          <w:b/>
          <w:color w:val="auto"/>
          <w:sz w:val="28"/>
          <w:szCs w:val="28"/>
          <w:highlight w:val="none"/>
        </w:rPr>
      </w:pPr>
      <w:bookmarkStart w:id="222" w:name="_Toc34163810"/>
    </w:p>
    <w:p w14:paraId="3FDAE797">
      <w:pPr>
        <w:pStyle w:val="3"/>
        <w:numPr>
          <w:ilvl w:val="0"/>
          <w:numId w:val="0"/>
        </w:numPr>
        <w:tabs>
          <w:tab w:val="left" w:pos="360"/>
        </w:tabs>
        <w:ind w:left="425"/>
        <w:jc w:val="center"/>
        <w:rPr>
          <w:rFonts w:hint="eastAsia" w:ascii="宋体" w:hAnsi="宋体" w:eastAsia="宋体" w:cs="宋体"/>
          <w:color w:val="auto"/>
          <w:highlight w:val="none"/>
        </w:rPr>
      </w:pPr>
      <w:bookmarkStart w:id="223" w:name="_Toc5086"/>
      <w:r>
        <w:rPr>
          <w:rFonts w:hint="eastAsia" w:ascii="宋体" w:hAnsi="宋体" w:eastAsia="宋体" w:cs="宋体"/>
          <w:color w:val="auto"/>
          <w:sz w:val="32"/>
          <w:szCs w:val="32"/>
          <w:highlight w:val="none"/>
          <w:lang w:val="en-US" w:eastAsia="zh-CN"/>
        </w:rPr>
        <w:br w:type="page"/>
      </w:r>
      <w:bookmarkStart w:id="224" w:name="_Toc493600042"/>
      <w:bookmarkStart w:id="225" w:name="_Toc34163807"/>
      <w:bookmarkStart w:id="226" w:name="_Toc15944"/>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技术文件</w:t>
      </w:r>
      <w:bookmarkEnd w:id="224"/>
      <w:bookmarkEnd w:id="225"/>
      <w:bookmarkEnd w:id="226"/>
    </w:p>
    <w:p w14:paraId="666A6894">
      <w:pPr>
        <w:spacing w:line="360" w:lineRule="auto"/>
        <w:ind w:right="-399" w:right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投标人应当就以下内容进行阐述，格式自拟：</w:t>
      </w:r>
    </w:p>
    <w:p w14:paraId="66848533">
      <w:pPr>
        <w:spacing w:line="360" w:lineRule="auto"/>
        <w:ind w:right="-399" w:rightChars="-19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1、对项目重点、难点分析及主要措施、建议</w:t>
      </w:r>
    </w:p>
    <w:p w14:paraId="11291FF6">
      <w:pPr>
        <w:spacing w:line="360" w:lineRule="auto"/>
        <w:ind w:right="-399" w:rightChars="-19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2、项目实施方案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包括但不限于以下内容：</w:t>
      </w:r>
    </w:p>
    <w:p w14:paraId="1C6ADE78">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卫星遥感监测服务方案（包括但不限于：遥感数据源与技术路线设计、监测内容与技术指标说明、数据处理与解译流程、监测频次与工作周期说明、服务质量控制与成果验收方案、成果交付内容、信息安全与保密管理措施、后期服务与技术支持）</w:t>
      </w:r>
    </w:p>
    <w:p w14:paraId="51137645">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（2）生态安全风险监测设备实施方案（包括但不限于：货物安装、调试、试运行实施方案及进度计划）</w:t>
      </w:r>
    </w:p>
    <w:p w14:paraId="611817CF">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（3）监测预警平台开发服务方案（包括但不限于：需求分析、平台功能模块设计、数据建设与融合、硬件与集成、接口与对接、质量保障与安全服务）</w:t>
      </w:r>
    </w:p>
    <w:p w14:paraId="41AF383C">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项目运维服务方案</w:t>
      </w:r>
      <w:r>
        <w:rPr>
          <w:rFonts w:hint="eastAsia" w:ascii="宋体" w:hAnsi="宋体" w:eastAsia="宋体" w:cs="宋体"/>
          <w:color w:val="auto"/>
          <w:sz w:val="24"/>
          <w:szCs w:val="24"/>
          <w:highlight w:val="none"/>
          <w:lang w:val="en-US" w:eastAsia="zh-CN"/>
        </w:rPr>
        <w:t>（包括但不限于：日常运维管理、故障维修管理、备件与物资管理、安全与环保运维、软件更新服务）</w:t>
      </w:r>
    </w:p>
    <w:p w14:paraId="3CAB3155">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（5）售后服务方案（包括但不限于：售后服务体系、售后服务承诺及措施、人员培训方案、违约责任承诺等）</w:t>
      </w:r>
    </w:p>
    <w:bookmarkEnd w:id="197"/>
    <w:bookmarkEnd w:id="198"/>
    <w:bookmarkEnd w:id="199"/>
    <w:bookmarkEnd w:id="200"/>
    <w:bookmarkEnd w:id="201"/>
    <w:bookmarkEnd w:id="202"/>
    <w:bookmarkEnd w:id="222"/>
    <w:bookmarkEnd w:id="223"/>
    <w:p w14:paraId="0DADEF5F">
      <w:pPr>
        <w:rPr>
          <w:rFonts w:hint="eastAsia" w:ascii="宋体" w:hAnsi="宋体" w:eastAsia="宋体" w:cs="宋体"/>
          <w:color w:val="auto"/>
          <w:sz w:val="28"/>
          <w:szCs w:val="20"/>
          <w:highlight w:val="none"/>
          <w:lang w:val="en-US" w:eastAsia="zh-CN"/>
        </w:rPr>
      </w:pPr>
      <w:bookmarkStart w:id="227" w:name="_Toc7810"/>
      <w:bookmarkStart w:id="228" w:name="_Toc7651"/>
      <w:bookmarkStart w:id="229" w:name="_Toc24034"/>
      <w:bookmarkStart w:id="230" w:name="_Toc10647"/>
      <w:bookmarkStart w:id="231" w:name="_Toc493600044"/>
      <w:bookmarkStart w:id="232" w:name="_Toc37325525"/>
      <w:r>
        <w:rPr>
          <w:rFonts w:hint="eastAsia" w:ascii="宋体" w:hAnsi="宋体" w:eastAsia="宋体" w:cs="宋体"/>
          <w:color w:val="auto"/>
          <w:sz w:val="28"/>
          <w:szCs w:val="20"/>
          <w:highlight w:val="none"/>
          <w:lang w:val="en-US" w:eastAsia="zh-CN"/>
        </w:rPr>
        <w:br w:type="page"/>
      </w:r>
    </w:p>
    <w:p w14:paraId="3918D828">
      <w:pPr>
        <w:pStyle w:val="3"/>
        <w:numPr>
          <w:ilvl w:val="0"/>
          <w:numId w:val="0"/>
        </w:numPr>
        <w:ind w:left="425"/>
        <w:jc w:val="center"/>
        <w:rPr>
          <w:rFonts w:hint="eastAsia"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19、项目团队人员配备</w:t>
      </w:r>
    </w:p>
    <w:p w14:paraId="20F0B9EB">
      <w:pPr>
        <w:keepNext/>
        <w:keepLines/>
        <w:spacing w:before="240" w:line="400" w:lineRule="exact"/>
        <w:jc w:val="center"/>
        <w:outlineLvl w:val="1"/>
        <w:rPr>
          <w:rFonts w:hint="eastAsia" w:ascii="宋体" w:hAnsi="宋体" w:eastAsia="宋体" w:cs="宋体"/>
          <w:b w:val="0"/>
          <w:bCs/>
          <w:color w:val="auto"/>
          <w:spacing w:val="40"/>
          <w:sz w:val="24"/>
          <w:szCs w:val="24"/>
          <w:highlight w:val="none"/>
          <w:lang w:val="en-US" w:eastAsia="zh-CN"/>
        </w:rPr>
      </w:pPr>
      <w:bookmarkStart w:id="233" w:name="_Toc159334652"/>
      <w:bookmarkStart w:id="234" w:name="_Toc99026513"/>
      <w:bookmarkStart w:id="235" w:name="_Toc159334724"/>
      <w:bookmarkStart w:id="236" w:name="_Toc20763"/>
      <w:r>
        <w:rPr>
          <w:rFonts w:hint="eastAsia" w:ascii="宋体" w:hAnsi="宋体" w:eastAsia="宋体" w:cs="宋体"/>
          <w:b w:val="0"/>
          <w:bCs/>
          <w:color w:val="auto"/>
          <w:spacing w:val="40"/>
          <w:sz w:val="24"/>
          <w:szCs w:val="24"/>
          <w:highlight w:val="none"/>
          <w:lang w:val="en-US" w:eastAsia="zh-CN"/>
        </w:rPr>
        <w:t>19.1、项目团队人员</w:t>
      </w:r>
      <w:bookmarkEnd w:id="233"/>
      <w:bookmarkEnd w:id="234"/>
      <w:bookmarkEnd w:id="235"/>
      <w:r>
        <w:rPr>
          <w:rFonts w:hint="eastAsia" w:ascii="宋体" w:hAnsi="宋体" w:eastAsia="宋体" w:cs="宋体"/>
          <w:b w:val="0"/>
          <w:bCs/>
          <w:color w:val="auto"/>
          <w:spacing w:val="40"/>
          <w:sz w:val="24"/>
          <w:szCs w:val="24"/>
          <w:highlight w:val="none"/>
          <w:lang w:val="en-US" w:eastAsia="zh-CN"/>
        </w:rPr>
        <w:t>管理方式</w:t>
      </w:r>
      <w:bookmarkEnd w:id="236"/>
    </w:p>
    <w:p w14:paraId="5B803039">
      <w:pPr>
        <w:jc w:val="center"/>
        <w:rPr>
          <w:rFonts w:hint="eastAsia" w:ascii="宋体" w:hAnsi="宋体" w:eastAsia="宋体" w:cs="宋体"/>
          <w:b w:val="0"/>
          <w:bCs/>
          <w:color w:val="auto"/>
          <w:sz w:val="24"/>
          <w:szCs w:val="24"/>
          <w:highlight w:val="none"/>
        </w:rPr>
      </w:pPr>
      <w:bookmarkStart w:id="237" w:name="_Toc428404317"/>
      <w:bookmarkStart w:id="238" w:name="_Toc3391741"/>
      <w:bookmarkStart w:id="239" w:name="_Toc7126"/>
      <w:bookmarkStart w:id="240" w:name="_Toc66872953"/>
      <w:r>
        <w:rPr>
          <w:rFonts w:hint="eastAsia" w:ascii="宋体" w:hAnsi="宋体" w:eastAsia="宋体" w:cs="宋体"/>
          <w:b w:val="0"/>
          <w:bCs/>
          <w:color w:val="auto"/>
          <w:sz w:val="24"/>
          <w:szCs w:val="24"/>
          <w:highlight w:val="none"/>
        </w:rPr>
        <w:t>（管理</w:t>
      </w:r>
      <w:r>
        <w:rPr>
          <w:rFonts w:hint="eastAsia" w:ascii="宋体" w:hAnsi="宋体" w:eastAsia="宋体" w:cs="宋体"/>
          <w:b w:val="0"/>
          <w:bCs/>
          <w:color w:val="auto"/>
          <w:sz w:val="24"/>
          <w:szCs w:val="24"/>
          <w:highlight w:val="none"/>
          <w:lang w:val="en-US" w:eastAsia="zh-CN"/>
        </w:rPr>
        <w:t>方式</w:t>
      </w:r>
      <w:r>
        <w:rPr>
          <w:rFonts w:hint="eastAsia" w:ascii="宋体" w:hAnsi="宋体" w:eastAsia="宋体" w:cs="宋体"/>
          <w:b w:val="0"/>
          <w:bCs/>
          <w:color w:val="auto"/>
          <w:sz w:val="24"/>
          <w:szCs w:val="24"/>
          <w:highlight w:val="none"/>
        </w:rPr>
        <w:t>格式自拟</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包括但不限于：岗位职责、人员管理制度、人员分工</w:t>
      </w:r>
      <w:r>
        <w:rPr>
          <w:rFonts w:hint="eastAsia" w:ascii="宋体" w:hAnsi="宋体" w:eastAsia="宋体" w:cs="宋体"/>
          <w:b w:val="0"/>
          <w:bCs/>
          <w:color w:val="auto"/>
          <w:sz w:val="24"/>
          <w:szCs w:val="24"/>
          <w:highlight w:val="none"/>
        </w:rPr>
        <w:t>）</w:t>
      </w:r>
    </w:p>
    <w:p w14:paraId="5C6F514D">
      <w:pPr>
        <w:keepNext/>
        <w:keepLines/>
        <w:spacing w:before="240" w:line="400" w:lineRule="exact"/>
        <w:jc w:val="center"/>
        <w:outlineLvl w:val="1"/>
        <w:rPr>
          <w:rFonts w:hint="eastAsia" w:ascii="宋体" w:hAnsi="宋体" w:eastAsia="宋体" w:cs="宋体"/>
          <w:b w:val="0"/>
          <w:bCs/>
          <w:color w:val="auto"/>
          <w:spacing w:val="40"/>
          <w:sz w:val="24"/>
          <w:szCs w:val="24"/>
          <w:highlight w:val="none"/>
          <w:lang w:val="en-US" w:eastAsia="zh-CN"/>
        </w:rPr>
      </w:pPr>
      <w:bookmarkStart w:id="241" w:name="_Toc4460"/>
      <w:r>
        <w:rPr>
          <w:rFonts w:hint="eastAsia" w:ascii="宋体" w:hAnsi="宋体" w:eastAsia="宋体" w:cs="宋体"/>
          <w:b w:val="0"/>
          <w:bCs/>
          <w:color w:val="auto"/>
          <w:spacing w:val="40"/>
          <w:sz w:val="24"/>
          <w:szCs w:val="24"/>
          <w:highlight w:val="none"/>
          <w:lang w:val="en-US" w:eastAsia="zh-CN"/>
        </w:rPr>
        <w:t>19.2、项目团队人员构成</w:t>
      </w:r>
      <w:bookmarkEnd w:id="241"/>
    </w:p>
    <w:p w14:paraId="40FB3949">
      <w:pPr>
        <w:spacing w:line="48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19.2.1、</w:t>
      </w:r>
      <w:r>
        <w:rPr>
          <w:rFonts w:hint="eastAsia" w:ascii="宋体" w:hAnsi="宋体" w:eastAsia="宋体" w:cs="宋体"/>
          <w:b w:val="0"/>
          <w:bCs/>
          <w:color w:val="auto"/>
          <w:sz w:val="24"/>
          <w:szCs w:val="24"/>
          <w:highlight w:val="none"/>
        </w:rPr>
        <w:t>项目负责人</w:t>
      </w:r>
      <w:r>
        <w:rPr>
          <w:rFonts w:hint="eastAsia" w:ascii="宋体" w:hAnsi="宋体" w:cs="宋体"/>
          <w:b w:val="0"/>
          <w:bCs/>
          <w:color w:val="auto"/>
          <w:sz w:val="24"/>
          <w:szCs w:val="24"/>
          <w:highlight w:val="none"/>
          <w:lang w:val="en-US" w:eastAsia="zh-CN"/>
        </w:rPr>
        <w:t>简历</w:t>
      </w:r>
      <w:r>
        <w:rPr>
          <w:rFonts w:hint="eastAsia" w:ascii="宋体" w:hAnsi="宋体" w:eastAsia="宋体" w:cs="宋体"/>
          <w:b w:val="0"/>
          <w:bCs/>
          <w:color w:val="auto"/>
          <w:sz w:val="24"/>
          <w:szCs w:val="24"/>
          <w:highlight w:val="none"/>
        </w:rPr>
        <w:t>表</w:t>
      </w:r>
      <w:bookmarkEnd w:id="237"/>
      <w:bookmarkEnd w:id="238"/>
      <w:bookmarkEnd w:id="239"/>
      <w:bookmarkEnd w:id="240"/>
    </w:p>
    <w:p w14:paraId="63CB1019">
      <w:pPr>
        <w:spacing w:after="120" w:afterLines="50"/>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项目名称：</w:t>
      </w:r>
    </w:p>
    <w:p w14:paraId="39576EF2">
      <w:pPr>
        <w:spacing w:after="120" w:afterLines="50"/>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项目</w:t>
      </w:r>
      <w:r>
        <w:rPr>
          <w:rFonts w:hint="eastAsia" w:ascii="宋体" w:hAnsi="宋体" w:eastAsia="宋体" w:cs="宋体"/>
          <w:b w:val="0"/>
          <w:bCs/>
          <w:color w:val="auto"/>
          <w:sz w:val="24"/>
          <w:szCs w:val="24"/>
          <w:highlight w:val="none"/>
        </w:rPr>
        <w:t>编号：</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009"/>
        <w:gridCol w:w="2424"/>
        <w:gridCol w:w="1418"/>
        <w:gridCol w:w="2098"/>
      </w:tblGrid>
      <w:tr w14:paraId="32A82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376" w:type="dxa"/>
            <w:gridSpan w:val="2"/>
            <w:tcBorders>
              <w:top w:val="single" w:color="auto" w:sz="12" w:space="0"/>
              <w:left w:val="single" w:color="auto" w:sz="12" w:space="0"/>
              <w:bottom w:val="single" w:color="auto" w:sz="6" w:space="0"/>
              <w:right w:val="single" w:color="auto" w:sz="4" w:space="0"/>
            </w:tcBorders>
            <w:noWrap w:val="0"/>
            <w:vAlign w:val="center"/>
          </w:tcPr>
          <w:p w14:paraId="294F65C5">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24" w:type="dxa"/>
            <w:tcBorders>
              <w:top w:val="single" w:color="auto" w:sz="12" w:space="0"/>
              <w:left w:val="single" w:color="auto" w:sz="4" w:space="0"/>
              <w:bottom w:val="single" w:color="auto" w:sz="6" w:space="0"/>
              <w:right w:val="single" w:color="auto" w:sz="4" w:space="0"/>
            </w:tcBorders>
            <w:noWrap w:val="0"/>
            <w:vAlign w:val="center"/>
          </w:tcPr>
          <w:p w14:paraId="24E92A4E">
            <w:pPr>
              <w:widowControl/>
              <w:snapToGrid w:val="0"/>
              <w:jc w:val="center"/>
              <w:rPr>
                <w:rFonts w:hint="eastAsia" w:ascii="宋体" w:hAnsi="宋体" w:eastAsia="宋体" w:cs="宋体"/>
                <w:color w:val="auto"/>
                <w:szCs w:val="21"/>
                <w:highlight w:val="none"/>
              </w:rPr>
            </w:pPr>
          </w:p>
        </w:tc>
        <w:tc>
          <w:tcPr>
            <w:tcW w:w="1418" w:type="dxa"/>
            <w:tcBorders>
              <w:top w:val="single" w:color="auto" w:sz="12" w:space="0"/>
              <w:left w:val="single" w:color="auto" w:sz="4" w:space="0"/>
              <w:bottom w:val="single" w:color="auto" w:sz="6" w:space="0"/>
              <w:right w:val="single" w:color="auto" w:sz="4" w:space="0"/>
            </w:tcBorders>
            <w:noWrap w:val="0"/>
            <w:vAlign w:val="center"/>
          </w:tcPr>
          <w:p w14:paraId="649070A2">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098" w:type="dxa"/>
            <w:tcBorders>
              <w:top w:val="single" w:color="auto" w:sz="12" w:space="0"/>
              <w:left w:val="single" w:color="auto" w:sz="4" w:space="0"/>
              <w:bottom w:val="single" w:color="auto" w:sz="6" w:space="0"/>
              <w:right w:val="single" w:color="auto" w:sz="12" w:space="0"/>
            </w:tcBorders>
            <w:noWrap w:val="0"/>
            <w:vAlign w:val="center"/>
          </w:tcPr>
          <w:p w14:paraId="6C71BDBC">
            <w:pPr>
              <w:widowControl/>
              <w:snapToGrid w:val="0"/>
              <w:jc w:val="left"/>
              <w:rPr>
                <w:rFonts w:hint="eastAsia" w:ascii="宋体" w:hAnsi="宋体" w:eastAsia="宋体" w:cs="宋体"/>
                <w:color w:val="auto"/>
                <w:szCs w:val="21"/>
                <w:highlight w:val="none"/>
              </w:rPr>
            </w:pPr>
          </w:p>
        </w:tc>
      </w:tr>
      <w:tr w14:paraId="2791E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376" w:type="dxa"/>
            <w:gridSpan w:val="2"/>
            <w:tcBorders>
              <w:top w:val="single" w:color="auto" w:sz="6" w:space="0"/>
              <w:left w:val="single" w:color="auto" w:sz="12" w:space="0"/>
              <w:bottom w:val="single" w:color="auto" w:sz="6" w:space="0"/>
              <w:right w:val="single" w:color="auto" w:sz="4" w:space="0"/>
            </w:tcBorders>
            <w:noWrap w:val="0"/>
            <w:vAlign w:val="center"/>
          </w:tcPr>
          <w:p w14:paraId="0E177670">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职称（若有）</w:t>
            </w:r>
          </w:p>
        </w:tc>
        <w:tc>
          <w:tcPr>
            <w:tcW w:w="2424" w:type="dxa"/>
            <w:tcBorders>
              <w:top w:val="single" w:color="auto" w:sz="6" w:space="0"/>
              <w:left w:val="single" w:color="auto" w:sz="4" w:space="0"/>
              <w:bottom w:val="single" w:color="auto" w:sz="6" w:space="0"/>
              <w:right w:val="single" w:color="auto" w:sz="4" w:space="0"/>
            </w:tcBorders>
            <w:noWrap w:val="0"/>
            <w:vAlign w:val="center"/>
          </w:tcPr>
          <w:p w14:paraId="7B1B9AFC">
            <w:pPr>
              <w:widowControl/>
              <w:snapToGrid w:val="0"/>
              <w:jc w:val="center"/>
              <w:rPr>
                <w:rFonts w:hint="eastAsia" w:ascii="宋体" w:hAnsi="宋体" w:eastAsia="宋体" w:cs="宋体"/>
                <w:color w:val="auto"/>
                <w:szCs w:val="21"/>
                <w:highlight w:val="none"/>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071F8AF2">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w:t>
            </w:r>
          </w:p>
          <w:p w14:paraId="2E16A942">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098" w:type="dxa"/>
            <w:tcBorders>
              <w:top w:val="single" w:color="auto" w:sz="6" w:space="0"/>
              <w:left w:val="single" w:color="auto" w:sz="4" w:space="0"/>
              <w:bottom w:val="single" w:color="auto" w:sz="6" w:space="0"/>
              <w:right w:val="single" w:color="auto" w:sz="12" w:space="0"/>
            </w:tcBorders>
            <w:noWrap w:val="0"/>
            <w:vAlign w:val="center"/>
          </w:tcPr>
          <w:p w14:paraId="28F84DA7">
            <w:pPr>
              <w:widowControl/>
              <w:snapToGrid w:val="0"/>
              <w:jc w:val="left"/>
              <w:rPr>
                <w:rFonts w:hint="eastAsia" w:ascii="宋体" w:hAnsi="宋体" w:eastAsia="宋体" w:cs="宋体"/>
                <w:color w:val="auto"/>
                <w:szCs w:val="21"/>
                <w:highlight w:val="none"/>
              </w:rPr>
            </w:pPr>
          </w:p>
        </w:tc>
      </w:tr>
      <w:tr w14:paraId="0BBD7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376" w:type="dxa"/>
            <w:gridSpan w:val="2"/>
            <w:tcBorders>
              <w:top w:val="single" w:color="auto" w:sz="6" w:space="0"/>
              <w:left w:val="single" w:color="auto" w:sz="12" w:space="0"/>
              <w:bottom w:val="single" w:color="auto" w:sz="6" w:space="0"/>
              <w:right w:val="single" w:color="auto" w:sz="4" w:space="0"/>
            </w:tcBorders>
            <w:noWrap w:val="0"/>
            <w:vAlign w:val="center"/>
          </w:tcPr>
          <w:p w14:paraId="146C2E88">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2424" w:type="dxa"/>
            <w:tcBorders>
              <w:top w:val="single" w:color="auto" w:sz="6" w:space="0"/>
              <w:left w:val="single" w:color="auto" w:sz="4" w:space="0"/>
              <w:bottom w:val="single" w:color="auto" w:sz="6" w:space="0"/>
              <w:right w:val="single" w:color="auto" w:sz="4" w:space="0"/>
            </w:tcBorders>
            <w:noWrap w:val="0"/>
            <w:vAlign w:val="center"/>
          </w:tcPr>
          <w:p w14:paraId="4576A024">
            <w:pPr>
              <w:widowControl/>
              <w:snapToGrid w:val="0"/>
              <w:jc w:val="center"/>
              <w:rPr>
                <w:rFonts w:hint="eastAsia" w:ascii="宋体" w:hAnsi="宋体" w:eastAsia="宋体" w:cs="宋体"/>
                <w:color w:val="auto"/>
                <w:szCs w:val="21"/>
                <w:highlight w:val="none"/>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5A443F1D">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098" w:type="dxa"/>
            <w:tcBorders>
              <w:top w:val="single" w:color="auto" w:sz="6" w:space="0"/>
              <w:left w:val="single" w:color="auto" w:sz="4" w:space="0"/>
              <w:bottom w:val="single" w:color="auto" w:sz="6" w:space="0"/>
              <w:right w:val="single" w:color="auto" w:sz="12" w:space="0"/>
            </w:tcBorders>
            <w:noWrap w:val="0"/>
            <w:vAlign w:val="center"/>
          </w:tcPr>
          <w:p w14:paraId="7E9122E7">
            <w:pPr>
              <w:widowControl/>
              <w:snapToGrid w:val="0"/>
              <w:jc w:val="center"/>
              <w:rPr>
                <w:rFonts w:hint="eastAsia" w:ascii="宋体" w:hAnsi="宋体" w:eastAsia="宋体" w:cs="宋体"/>
                <w:color w:val="auto"/>
                <w:szCs w:val="21"/>
                <w:highlight w:val="none"/>
              </w:rPr>
            </w:pPr>
          </w:p>
        </w:tc>
      </w:tr>
      <w:tr w14:paraId="43E15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376" w:type="dxa"/>
            <w:gridSpan w:val="2"/>
            <w:tcBorders>
              <w:top w:val="single" w:color="auto" w:sz="6" w:space="0"/>
              <w:left w:val="single" w:color="auto" w:sz="12" w:space="0"/>
              <w:bottom w:val="single" w:color="auto" w:sz="6" w:space="0"/>
              <w:right w:val="single" w:color="auto" w:sz="4" w:space="0"/>
            </w:tcBorders>
            <w:noWrap w:val="0"/>
            <w:vAlign w:val="center"/>
          </w:tcPr>
          <w:p w14:paraId="6BB5AE31">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2424" w:type="dxa"/>
            <w:tcBorders>
              <w:top w:val="single" w:color="auto" w:sz="6" w:space="0"/>
              <w:left w:val="single" w:color="auto" w:sz="4" w:space="0"/>
              <w:bottom w:val="single" w:color="auto" w:sz="6" w:space="0"/>
              <w:right w:val="single" w:color="auto" w:sz="4" w:space="0"/>
            </w:tcBorders>
            <w:noWrap w:val="0"/>
            <w:vAlign w:val="center"/>
          </w:tcPr>
          <w:p w14:paraId="6DEC9191">
            <w:pPr>
              <w:widowControl/>
              <w:snapToGrid w:val="0"/>
              <w:jc w:val="center"/>
              <w:rPr>
                <w:rFonts w:hint="eastAsia" w:ascii="宋体" w:hAnsi="宋体" w:eastAsia="宋体" w:cs="宋体"/>
                <w:color w:val="auto"/>
                <w:szCs w:val="21"/>
                <w:highlight w:val="none"/>
              </w:rPr>
            </w:pPr>
          </w:p>
        </w:tc>
        <w:tc>
          <w:tcPr>
            <w:tcW w:w="1418" w:type="dxa"/>
            <w:tcBorders>
              <w:top w:val="single" w:color="auto" w:sz="6" w:space="0"/>
              <w:left w:val="single" w:color="auto" w:sz="4" w:space="0"/>
              <w:bottom w:val="single" w:color="auto" w:sz="6" w:space="0"/>
              <w:right w:val="single" w:color="auto" w:sz="4" w:space="0"/>
            </w:tcBorders>
            <w:noWrap w:val="0"/>
            <w:vAlign w:val="center"/>
          </w:tcPr>
          <w:p w14:paraId="1EE307CF">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从事本专业工作年限</w:t>
            </w:r>
          </w:p>
        </w:tc>
        <w:tc>
          <w:tcPr>
            <w:tcW w:w="2098" w:type="dxa"/>
            <w:tcBorders>
              <w:top w:val="single" w:color="auto" w:sz="6" w:space="0"/>
              <w:left w:val="single" w:color="auto" w:sz="4" w:space="0"/>
              <w:bottom w:val="single" w:color="auto" w:sz="6" w:space="0"/>
              <w:right w:val="single" w:color="auto" w:sz="12" w:space="0"/>
            </w:tcBorders>
            <w:noWrap w:val="0"/>
            <w:vAlign w:val="center"/>
          </w:tcPr>
          <w:p w14:paraId="7577E71F">
            <w:pPr>
              <w:widowControl/>
              <w:snapToGrid w:val="0"/>
              <w:jc w:val="center"/>
              <w:rPr>
                <w:rFonts w:hint="eastAsia" w:ascii="宋体" w:hAnsi="宋体" w:eastAsia="宋体" w:cs="宋体"/>
                <w:color w:val="auto"/>
                <w:szCs w:val="21"/>
                <w:highlight w:val="none"/>
              </w:rPr>
            </w:pPr>
          </w:p>
        </w:tc>
      </w:tr>
      <w:tr w14:paraId="4A376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2376" w:type="dxa"/>
            <w:gridSpan w:val="2"/>
            <w:tcBorders>
              <w:top w:val="single" w:color="auto" w:sz="6" w:space="0"/>
              <w:left w:val="single" w:color="auto" w:sz="12" w:space="0"/>
              <w:bottom w:val="single" w:color="auto" w:sz="6" w:space="0"/>
              <w:right w:val="single" w:color="auto" w:sz="4" w:space="0"/>
            </w:tcBorders>
            <w:noWrap w:val="0"/>
            <w:vAlign w:val="center"/>
          </w:tcPr>
          <w:p w14:paraId="78F77744">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个人简介</w:t>
            </w:r>
          </w:p>
        </w:tc>
        <w:tc>
          <w:tcPr>
            <w:tcW w:w="5940" w:type="dxa"/>
            <w:gridSpan w:val="3"/>
            <w:tcBorders>
              <w:top w:val="single" w:color="auto" w:sz="6" w:space="0"/>
              <w:left w:val="single" w:color="auto" w:sz="4" w:space="0"/>
              <w:bottom w:val="single" w:color="auto" w:sz="6" w:space="0"/>
              <w:right w:val="single" w:color="auto" w:sz="12" w:space="0"/>
            </w:tcBorders>
            <w:noWrap w:val="0"/>
            <w:vAlign w:val="center"/>
          </w:tcPr>
          <w:p w14:paraId="68ED4FC8">
            <w:pPr>
              <w:widowControl/>
              <w:snapToGrid w:val="0"/>
              <w:jc w:val="center"/>
              <w:rPr>
                <w:rFonts w:hint="eastAsia" w:ascii="宋体" w:hAnsi="宋体" w:eastAsia="宋体" w:cs="宋体"/>
                <w:color w:val="auto"/>
                <w:szCs w:val="21"/>
                <w:highlight w:val="none"/>
              </w:rPr>
            </w:pPr>
          </w:p>
        </w:tc>
      </w:tr>
      <w:tr w14:paraId="18DD6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376" w:type="dxa"/>
            <w:gridSpan w:val="2"/>
            <w:tcBorders>
              <w:top w:val="single" w:color="auto" w:sz="6" w:space="0"/>
              <w:left w:val="single" w:color="auto" w:sz="12" w:space="0"/>
              <w:bottom w:val="single" w:color="auto" w:sz="6" w:space="0"/>
              <w:right w:val="single" w:color="auto" w:sz="4" w:space="0"/>
            </w:tcBorders>
            <w:noWrap w:val="0"/>
            <w:vAlign w:val="center"/>
          </w:tcPr>
          <w:p w14:paraId="4784AE8C">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工作经历</w:t>
            </w:r>
          </w:p>
        </w:tc>
        <w:tc>
          <w:tcPr>
            <w:tcW w:w="5940" w:type="dxa"/>
            <w:gridSpan w:val="3"/>
            <w:tcBorders>
              <w:top w:val="single" w:color="auto" w:sz="6" w:space="0"/>
              <w:left w:val="single" w:color="auto" w:sz="4" w:space="0"/>
              <w:bottom w:val="single" w:color="auto" w:sz="6" w:space="0"/>
              <w:right w:val="single" w:color="auto" w:sz="12" w:space="0"/>
            </w:tcBorders>
            <w:noWrap w:val="0"/>
            <w:vAlign w:val="center"/>
          </w:tcPr>
          <w:p w14:paraId="2D8DF8CA">
            <w:pPr>
              <w:widowControl/>
              <w:snapToGrid w:val="0"/>
              <w:rPr>
                <w:rFonts w:hint="eastAsia" w:ascii="宋体" w:hAnsi="宋体" w:eastAsia="宋体" w:cs="宋体"/>
                <w:color w:val="auto"/>
                <w:szCs w:val="21"/>
                <w:highlight w:val="none"/>
              </w:rPr>
            </w:pPr>
          </w:p>
        </w:tc>
      </w:tr>
      <w:tr w14:paraId="0927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1367" w:type="dxa"/>
            <w:tcBorders>
              <w:top w:val="single" w:color="auto" w:sz="6" w:space="0"/>
              <w:left w:val="single" w:color="auto" w:sz="12" w:space="0"/>
              <w:bottom w:val="single" w:color="auto" w:sz="12" w:space="0"/>
              <w:right w:val="single" w:color="auto" w:sz="6" w:space="0"/>
            </w:tcBorders>
            <w:noWrap w:val="0"/>
            <w:vAlign w:val="center"/>
          </w:tcPr>
          <w:p w14:paraId="21281B22">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49" w:type="dxa"/>
            <w:gridSpan w:val="4"/>
            <w:tcBorders>
              <w:top w:val="single" w:color="auto" w:sz="6" w:space="0"/>
              <w:left w:val="single" w:color="auto" w:sz="6" w:space="0"/>
              <w:bottom w:val="single" w:color="auto" w:sz="12" w:space="0"/>
              <w:right w:val="single" w:color="auto" w:sz="12" w:space="0"/>
            </w:tcBorders>
            <w:noWrap w:val="0"/>
            <w:vAlign w:val="center"/>
          </w:tcPr>
          <w:p w14:paraId="218E751F">
            <w:pPr>
              <w:widowControl/>
              <w:snapToGrid w:val="0"/>
              <w:jc w:val="center"/>
              <w:rPr>
                <w:rFonts w:hint="eastAsia" w:ascii="宋体" w:hAnsi="宋体" w:eastAsia="宋体" w:cs="宋体"/>
                <w:color w:val="auto"/>
                <w:szCs w:val="21"/>
                <w:highlight w:val="none"/>
              </w:rPr>
            </w:pPr>
          </w:p>
        </w:tc>
      </w:tr>
    </w:tbl>
    <w:p w14:paraId="52F5EF3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88E077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1、投标文件中须提供项目负责人相关资料扫描件加盖公章</w:t>
      </w:r>
      <w:r>
        <w:rPr>
          <w:rFonts w:hint="eastAsia" w:ascii="宋体" w:hAnsi="宋体" w:eastAsia="宋体" w:cs="宋体"/>
          <w:color w:val="auto"/>
          <w:szCs w:val="21"/>
          <w:highlight w:val="none"/>
          <w:lang w:val="en-US" w:eastAsia="zh-CN"/>
        </w:rPr>
        <w:t>或电子公章</w:t>
      </w:r>
      <w:r>
        <w:rPr>
          <w:rFonts w:hint="eastAsia" w:ascii="宋体" w:hAnsi="宋体" w:eastAsia="宋体" w:cs="宋体"/>
          <w:color w:val="auto"/>
          <w:szCs w:val="21"/>
          <w:highlight w:val="none"/>
        </w:rPr>
        <w:t>；项目负责人相关资料包括</w:t>
      </w:r>
      <w:r>
        <w:rPr>
          <w:rFonts w:hint="eastAsia" w:ascii="宋体" w:hAnsi="宋体" w:cs="宋体"/>
          <w:color w:val="auto"/>
          <w:szCs w:val="21"/>
          <w:highlight w:val="none"/>
          <w:lang w:eastAsia="zh-CN"/>
        </w:rPr>
        <w:t>：</w:t>
      </w:r>
      <w:r>
        <w:rPr>
          <w:rFonts w:hint="eastAsia" w:ascii="宋体" w:hAnsi="宋体" w:cs="宋体"/>
          <w:color w:val="auto"/>
          <w:highlight w:val="none"/>
        </w:rPr>
        <w:t>身份证、职称证书或资格证（如有）、社保缴纳证明（证明配备人员为投标人本单位在职人员）、业绩证明材料中能体现项目负责人具有5年以上类似项目管理实施经验，提供投标人与甲方签订的合同或甲方出具的加盖公章的其他委托证明，证明材料上需体现对应人员姓名（如合同无法体现项目负责人名字的应提供相关证明文件或声明函）。无证明材料或未按要求提供证明材料或证明材料无法体现相应内容的，不予认可。</w:t>
      </w:r>
    </w:p>
    <w:p w14:paraId="0BC52FFF">
      <w:pPr>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2、投标人可根据实际情况扩展本表。</w:t>
      </w:r>
    </w:p>
    <w:p w14:paraId="4A7DEDFC">
      <w:pPr>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Cs/>
          <w:color w:val="auto"/>
          <w:szCs w:val="21"/>
          <w:highlight w:val="none"/>
        </w:rPr>
        <w:br w:type="page"/>
      </w:r>
      <w:bookmarkStart w:id="242" w:name="_Toc16253"/>
      <w:bookmarkStart w:id="243" w:name="_Toc3391742"/>
      <w:bookmarkStart w:id="244" w:name="_Toc66872954"/>
      <w:r>
        <w:rPr>
          <w:rFonts w:hint="eastAsia" w:ascii="宋体" w:hAnsi="宋体" w:eastAsia="宋体" w:cs="宋体"/>
          <w:b w:val="0"/>
          <w:bCs/>
          <w:color w:val="auto"/>
          <w:sz w:val="24"/>
          <w:szCs w:val="24"/>
          <w:highlight w:val="none"/>
          <w:lang w:val="en-US" w:eastAsia="zh-CN"/>
        </w:rPr>
        <w:t>19.2.2、</w:t>
      </w:r>
      <w:bookmarkEnd w:id="242"/>
      <w:bookmarkEnd w:id="243"/>
      <w:bookmarkEnd w:id="244"/>
      <w:r>
        <w:rPr>
          <w:rFonts w:hint="eastAsia" w:ascii="宋体" w:hAnsi="宋体" w:eastAsia="宋体" w:cs="宋体"/>
          <w:b w:val="0"/>
          <w:bCs/>
          <w:color w:val="auto"/>
          <w:sz w:val="24"/>
          <w:szCs w:val="24"/>
          <w:highlight w:val="none"/>
          <w:lang w:val="en-US" w:eastAsia="zh-CN"/>
        </w:rPr>
        <w:t>项目团队技术人员配置情况表</w:t>
      </w:r>
    </w:p>
    <w:p w14:paraId="1E994A9F">
      <w:pPr>
        <w:spacing w:after="120" w:afterLines="50"/>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项目名称：</w:t>
      </w:r>
    </w:p>
    <w:p w14:paraId="51728F26">
      <w:pPr>
        <w:spacing w:after="120" w:afterLines="50"/>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项目</w:t>
      </w:r>
      <w:r>
        <w:rPr>
          <w:rFonts w:hint="eastAsia" w:ascii="宋体" w:hAnsi="宋体" w:eastAsia="宋体" w:cs="宋体"/>
          <w:b/>
          <w:color w:val="auto"/>
          <w:szCs w:val="21"/>
          <w:highlight w:val="none"/>
        </w:rPr>
        <w:t>编号：</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69"/>
        <w:gridCol w:w="870"/>
        <w:gridCol w:w="870"/>
        <w:gridCol w:w="870"/>
        <w:gridCol w:w="870"/>
        <w:gridCol w:w="705"/>
        <w:gridCol w:w="2312"/>
        <w:gridCol w:w="996"/>
      </w:tblGrid>
      <w:tr w14:paraId="1ECF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076E7AE9">
            <w:pPr>
              <w:tabs>
                <w:tab w:val="left" w:pos="2520"/>
              </w:tabs>
              <w:snapToGrid w:val="0"/>
              <w:jc w:val="center"/>
              <w:rPr>
                <w:rFonts w:hint="eastAsia" w:ascii="宋体" w:hAnsi="宋体" w:eastAsia="宋体" w:cs="宋体"/>
                <w:bCs/>
                <w:color w:val="auto"/>
                <w:kern w:val="21"/>
                <w:szCs w:val="21"/>
                <w:highlight w:val="none"/>
              </w:rPr>
            </w:pPr>
            <w:bookmarkStart w:id="245" w:name="OLE_LINK12"/>
            <w:r>
              <w:rPr>
                <w:rFonts w:hint="eastAsia" w:ascii="宋体" w:hAnsi="宋体" w:eastAsia="宋体" w:cs="宋体"/>
                <w:bCs/>
                <w:color w:val="auto"/>
                <w:kern w:val="21"/>
                <w:szCs w:val="21"/>
                <w:highlight w:val="none"/>
              </w:rPr>
              <w:t>序号</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71318D9C">
            <w:pPr>
              <w:tabs>
                <w:tab w:val="left" w:pos="2520"/>
              </w:tabs>
              <w:snapToGrid w:val="0"/>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姓名</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521D699">
            <w:pPr>
              <w:tabs>
                <w:tab w:val="left" w:pos="2520"/>
              </w:tabs>
              <w:snapToGrid w:val="0"/>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年龄</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9150605">
            <w:pPr>
              <w:tabs>
                <w:tab w:val="left" w:pos="2520"/>
              </w:tabs>
              <w:snapToGrid w:val="0"/>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性别</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66EF283">
            <w:pPr>
              <w:tabs>
                <w:tab w:val="left" w:pos="2520"/>
              </w:tabs>
              <w:snapToGrid w:val="0"/>
              <w:ind w:right="-118" w:rightChars="-56"/>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专业</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361278B">
            <w:pPr>
              <w:tabs>
                <w:tab w:val="left" w:pos="2520"/>
              </w:tabs>
              <w:snapToGrid w:val="0"/>
              <w:ind w:right="-118" w:rightChars="-56"/>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职称</w:t>
            </w:r>
          </w:p>
          <w:p w14:paraId="1BF8166A">
            <w:pPr>
              <w:tabs>
                <w:tab w:val="left" w:pos="2520"/>
              </w:tabs>
              <w:snapToGrid w:val="0"/>
              <w:ind w:right="-118" w:rightChars="-56"/>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（若有）</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2EF13B">
            <w:pPr>
              <w:tabs>
                <w:tab w:val="left" w:pos="2520"/>
              </w:tabs>
              <w:snapToGrid w:val="0"/>
              <w:ind w:right="-118" w:rightChars="-56"/>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工作年限</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CAAA35A">
            <w:pPr>
              <w:tabs>
                <w:tab w:val="left" w:pos="2520"/>
              </w:tabs>
              <w:snapToGrid w:val="0"/>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在本项目中拟承担的工作内容</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E3B00FA">
            <w:pPr>
              <w:tabs>
                <w:tab w:val="left" w:pos="2520"/>
              </w:tabs>
              <w:snapToGrid w:val="0"/>
              <w:jc w:val="center"/>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lang w:val="en-US" w:eastAsia="zh-CN"/>
              </w:rPr>
              <w:t>备</w:t>
            </w:r>
            <w:r>
              <w:rPr>
                <w:rFonts w:hint="eastAsia" w:ascii="宋体" w:hAnsi="宋体" w:eastAsia="宋体" w:cs="宋体"/>
                <w:bCs/>
                <w:color w:val="auto"/>
                <w:kern w:val="21"/>
                <w:szCs w:val="21"/>
                <w:highlight w:val="none"/>
              </w:rPr>
              <w:t>注</w:t>
            </w:r>
          </w:p>
        </w:tc>
      </w:tr>
      <w:tr w14:paraId="24BC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3D5A427D">
            <w:pPr>
              <w:tabs>
                <w:tab w:val="left" w:pos="2520"/>
              </w:tabs>
              <w:snapToGrid w:val="0"/>
              <w:jc w:val="center"/>
              <w:rPr>
                <w:rFonts w:hint="eastAsia" w:ascii="宋体" w:hAnsi="宋体" w:eastAsia="宋体" w:cs="宋体"/>
                <w:color w:val="auto"/>
                <w:kern w:val="21"/>
                <w:szCs w:val="21"/>
                <w:highlight w:val="none"/>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2BC0203B">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B51C063">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19CCC2F">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0237827">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5D0D654">
            <w:pPr>
              <w:tabs>
                <w:tab w:val="left" w:pos="2520"/>
              </w:tabs>
              <w:snapToGrid w:val="0"/>
              <w:jc w:val="center"/>
              <w:rPr>
                <w:rFonts w:hint="eastAsia" w:ascii="宋体" w:hAnsi="宋体" w:eastAsia="宋体" w:cs="宋体"/>
                <w:color w:val="auto"/>
                <w:kern w:val="21"/>
                <w:szCs w:val="21"/>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B4B9588">
            <w:pPr>
              <w:tabs>
                <w:tab w:val="left" w:pos="2520"/>
              </w:tabs>
              <w:snapToGrid w:val="0"/>
              <w:jc w:val="center"/>
              <w:rPr>
                <w:rFonts w:hint="eastAsia" w:ascii="宋体" w:hAnsi="宋体" w:eastAsia="宋体" w:cs="宋体"/>
                <w:color w:val="auto"/>
                <w:kern w:val="21"/>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95B9A42">
            <w:pPr>
              <w:tabs>
                <w:tab w:val="left" w:pos="2520"/>
              </w:tabs>
              <w:snapToGrid w:val="0"/>
              <w:jc w:val="center"/>
              <w:rPr>
                <w:rFonts w:hint="eastAsia" w:ascii="宋体" w:hAnsi="宋体" w:eastAsia="宋体" w:cs="宋体"/>
                <w:color w:val="auto"/>
                <w:kern w:val="21"/>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4057DA6">
            <w:pPr>
              <w:tabs>
                <w:tab w:val="left" w:pos="2520"/>
              </w:tabs>
              <w:snapToGrid w:val="0"/>
              <w:jc w:val="center"/>
              <w:rPr>
                <w:rFonts w:hint="eastAsia" w:ascii="宋体" w:hAnsi="宋体" w:eastAsia="宋体" w:cs="宋体"/>
                <w:color w:val="auto"/>
                <w:kern w:val="21"/>
                <w:szCs w:val="21"/>
                <w:highlight w:val="none"/>
              </w:rPr>
            </w:pPr>
          </w:p>
        </w:tc>
      </w:tr>
      <w:tr w14:paraId="6554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475E6590">
            <w:pPr>
              <w:tabs>
                <w:tab w:val="left" w:pos="2520"/>
              </w:tabs>
              <w:snapToGrid w:val="0"/>
              <w:jc w:val="center"/>
              <w:rPr>
                <w:rFonts w:hint="eastAsia" w:ascii="宋体" w:hAnsi="宋体" w:eastAsia="宋体" w:cs="宋体"/>
                <w:color w:val="auto"/>
                <w:kern w:val="21"/>
                <w:szCs w:val="21"/>
                <w:highlight w:val="none"/>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61F9A777">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C659549">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13DC8F5">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0B0DFD3">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30059EA">
            <w:pPr>
              <w:tabs>
                <w:tab w:val="left" w:pos="2520"/>
              </w:tabs>
              <w:snapToGrid w:val="0"/>
              <w:jc w:val="center"/>
              <w:rPr>
                <w:rFonts w:hint="eastAsia" w:ascii="宋体" w:hAnsi="宋体" w:eastAsia="宋体" w:cs="宋体"/>
                <w:color w:val="auto"/>
                <w:kern w:val="21"/>
                <w:szCs w:val="21"/>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5A7447F">
            <w:pPr>
              <w:tabs>
                <w:tab w:val="left" w:pos="2520"/>
              </w:tabs>
              <w:snapToGrid w:val="0"/>
              <w:jc w:val="center"/>
              <w:rPr>
                <w:rFonts w:hint="eastAsia" w:ascii="宋体" w:hAnsi="宋体" w:eastAsia="宋体" w:cs="宋体"/>
                <w:color w:val="auto"/>
                <w:kern w:val="21"/>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67D8C88">
            <w:pPr>
              <w:tabs>
                <w:tab w:val="left" w:pos="2520"/>
              </w:tabs>
              <w:snapToGrid w:val="0"/>
              <w:jc w:val="center"/>
              <w:rPr>
                <w:rFonts w:hint="eastAsia" w:ascii="宋体" w:hAnsi="宋体" w:eastAsia="宋体" w:cs="宋体"/>
                <w:color w:val="auto"/>
                <w:kern w:val="21"/>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B0AB64D">
            <w:pPr>
              <w:tabs>
                <w:tab w:val="left" w:pos="2520"/>
              </w:tabs>
              <w:snapToGrid w:val="0"/>
              <w:jc w:val="center"/>
              <w:rPr>
                <w:rFonts w:hint="eastAsia" w:ascii="宋体" w:hAnsi="宋体" w:eastAsia="宋体" w:cs="宋体"/>
                <w:color w:val="auto"/>
                <w:kern w:val="21"/>
                <w:szCs w:val="21"/>
                <w:highlight w:val="none"/>
              </w:rPr>
            </w:pPr>
          </w:p>
        </w:tc>
      </w:tr>
      <w:tr w14:paraId="1245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3C907469">
            <w:pPr>
              <w:tabs>
                <w:tab w:val="left" w:pos="2520"/>
              </w:tabs>
              <w:snapToGrid w:val="0"/>
              <w:jc w:val="center"/>
              <w:rPr>
                <w:rFonts w:hint="eastAsia" w:ascii="宋体" w:hAnsi="宋体" w:eastAsia="宋体" w:cs="宋体"/>
                <w:color w:val="auto"/>
                <w:kern w:val="21"/>
                <w:szCs w:val="21"/>
                <w:highlight w:val="none"/>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0D87FB69">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B5BD857">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C73625F">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6B541A8">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E27744D">
            <w:pPr>
              <w:tabs>
                <w:tab w:val="left" w:pos="2520"/>
              </w:tabs>
              <w:snapToGrid w:val="0"/>
              <w:jc w:val="center"/>
              <w:rPr>
                <w:rFonts w:hint="eastAsia" w:ascii="宋体" w:hAnsi="宋体" w:eastAsia="宋体" w:cs="宋体"/>
                <w:color w:val="auto"/>
                <w:kern w:val="21"/>
                <w:szCs w:val="21"/>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715FEAC9">
            <w:pPr>
              <w:tabs>
                <w:tab w:val="left" w:pos="2520"/>
              </w:tabs>
              <w:snapToGrid w:val="0"/>
              <w:jc w:val="center"/>
              <w:rPr>
                <w:rFonts w:hint="eastAsia" w:ascii="宋体" w:hAnsi="宋体" w:eastAsia="宋体" w:cs="宋体"/>
                <w:color w:val="auto"/>
                <w:kern w:val="21"/>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B80330D">
            <w:pPr>
              <w:tabs>
                <w:tab w:val="left" w:pos="2520"/>
              </w:tabs>
              <w:snapToGrid w:val="0"/>
              <w:jc w:val="center"/>
              <w:rPr>
                <w:rFonts w:hint="eastAsia" w:ascii="宋体" w:hAnsi="宋体" w:eastAsia="宋体" w:cs="宋体"/>
                <w:color w:val="auto"/>
                <w:kern w:val="21"/>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9805986">
            <w:pPr>
              <w:tabs>
                <w:tab w:val="left" w:pos="2520"/>
              </w:tabs>
              <w:snapToGrid w:val="0"/>
              <w:jc w:val="center"/>
              <w:rPr>
                <w:rFonts w:hint="eastAsia" w:ascii="宋体" w:hAnsi="宋体" w:eastAsia="宋体" w:cs="宋体"/>
                <w:color w:val="auto"/>
                <w:kern w:val="21"/>
                <w:szCs w:val="21"/>
                <w:highlight w:val="none"/>
              </w:rPr>
            </w:pPr>
          </w:p>
        </w:tc>
      </w:tr>
      <w:tr w14:paraId="613C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470EA583">
            <w:pPr>
              <w:tabs>
                <w:tab w:val="left" w:pos="2520"/>
              </w:tabs>
              <w:snapToGrid w:val="0"/>
              <w:jc w:val="center"/>
              <w:rPr>
                <w:rFonts w:hint="eastAsia" w:ascii="宋体" w:hAnsi="宋体" w:eastAsia="宋体" w:cs="宋体"/>
                <w:color w:val="auto"/>
                <w:kern w:val="21"/>
                <w:szCs w:val="21"/>
                <w:highlight w:val="none"/>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327417B8">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E37F09E">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0DFE47C">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EA80181">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F8417F9">
            <w:pPr>
              <w:tabs>
                <w:tab w:val="left" w:pos="2520"/>
              </w:tabs>
              <w:snapToGrid w:val="0"/>
              <w:jc w:val="center"/>
              <w:rPr>
                <w:rFonts w:hint="eastAsia" w:ascii="宋体" w:hAnsi="宋体" w:eastAsia="宋体" w:cs="宋体"/>
                <w:color w:val="auto"/>
                <w:kern w:val="21"/>
                <w:szCs w:val="21"/>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50B5F51">
            <w:pPr>
              <w:tabs>
                <w:tab w:val="left" w:pos="2520"/>
              </w:tabs>
              <w:snapToGrid w:val="0"/>
              <w:jc w:val="center"/>
              <w:rPr>
                <w:rFonts w:hint="eastAsia" w:ascii="宋体" w:hAnsi="宋体" w:eastAsia="宋体" w:cs="宋体"/>
                <w:color w:val="auto"/>
                <w:kern w:val="21"/>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FF7B7BE">
            <w:pPr>
              <w:tabs>
                <w:tab w:val="left" w:pos="2520"/>
              </w:tabs>
              <w:snapToGrid w:val="0"/>
              <w:jc w:val="center"/>
              <w:rPr>
                <w:rFonts w:hint="eastAsia" w:ascii="宋体" w:hAnsi="宋体" w:eastAsia="宋体" w:cs="宋体"/>
                <w:color w:val="auto"/>
                <w:kern w:val="21"/>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A225BD2">
            <w:pPr>
              <w:tabs>
                <w:tab w:val="left" w:pos="2520"/>
              </w:tabs>
              <w:snapToGrid w:val="0"/>
              <w:jc w:val="center"/>
              <w:rPr>
                <w:rFonts w:hint="eastAsia" w:ascii="宋体" w:hAnsi="宋体" w:eastAsia="宋体" w:cs="宋体"/>
                <w:color w:val="auto"/>
                <w:kern w:val="21"/>
                <w:szCs w:val="21"/>
                <w:highlight w:val="none"/>
              </w:rPr>
            </w:pPr>
          </w:p>
        </w:tc>
      </w:tr>
      <w:tr w14:paraId="03A1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469376E5">
            <w:pPr>
              <w:tabs>
                <w:tab w:val="left" w:pos="2520"/>
              </w:tabs>
              <w:snapToGrid w:val="0"/>
              <w:ind w:right="34" w:rightChars="16"/>
              <w:jc w:val="center"/>
              <w:rPr>
                <w:rFonts w:hint="eastAsia" w:ascii="宋体" w:hAnsi="宋体" w:eastAsia="宋体" w:cs="宋体"/>
                <w:color w:val="auto"/>
                <w:kern w:val="21"/>
                <w:szCs w:val="21"/>
                <w:highlight w:val="none"/>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32EE0E0D">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AF74F39">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B7F42A8">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87F03B1">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06B70D1">
            <w:pPr>
              <w:tabs>
                <w:tab w:val="left" w:pos="2520"/>
              </w:tabs>
              <w:snapToGrid w:val="0"/>
              <w:jc w:val="center"/>
              <w:rPr>
                <w:rFonts w:hint="eastAsia" w:ascii="宋体" w:hAnsi="宋体" w:eastAsia="宋体" w:cs="宋体"/>
                <w:color w:val="auto"/>
                <w:kern w:val="21"/>
                <w:szCs w:val="21"/>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B8A95F7">
            <w:pPr>
              <w:tabs>
                <w:tab w:val="left" w:pos="2520"/>
              </w:tabs>
              <w:snapToGrid w:val="0"/>
              <w:jc w:val="center"/>
              <w:rPr>
                <w:rFonts w:hint="eastAsia" w:ascii="宋体" w:hAnsi="宋体" w:eastAsia="宋体" w:cs="宋体"/>
                <w:color w:val="auto"/>
                <w:kern w:val="21"/>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CF2B5B4">
            <w:pPr>
              <w:tabs>
                <w:tab w:val="left" w:pos="2520"/>
              </w:tabs>
              <w:snapToGrid w:val="0"/>
              <w:jc w:val="center"/>
              <w:rPr>
                <w:rFonts w:hint="eastAsia" w:ascii="宋体" w:hAnsi="宋体" w:eastAsia="宋体" w:cs="宋体"/>
                <w:color w:val="auto"/>
                <w:kern w:val="21"/>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E7D4DD5">
            <w:pPr>
              <w:tabs>
                <w:tab w:val="left" w:pos="2520"/>
              </w:tabs>
              <w:snapToGrid w:val="0"/>
              <w:jc w:val="center"/>
              <w:rPr>
                <w:rFonts w:hint="eastAsia" w:ascii="宋体" w:hAnsi="宋体" w:eastAsia="宋体" w:cs="宋体"/>
                <w:color w:val="auto"/>
                <w:kern w:val="21"/>
                <w:szCs w:val="21"/>
                <w:highlight w:val="none"/>
              </w:rPr>
            </w:pPr>
          </w:p>
        </w:tc>
      </w:tr>
      <w:tr w14:paraId="594B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61CA9E73">
            <w:pPr>
              <w:tabs>
                <w:tab w:val="left" w:pos="2520"/>
              </w:tabs>
              <w:snapToGrid w:val="0"/>
              <w:ind w:right="34" w:rightChars="16"/>
              <w:jc w:val="center"/>
              <w:rPr>
                <w:rFonts w:hint="eastAsia" w:ascii="宋体" w:hAnsi="宋体" w:eastAsia="宋体" w:cs="宋体"/>
                <w:color w:val="auto"/>
                <w:kern w:val="21"/>
                <w:szCs w:val="21"/>
                <w:highlight w:val="none"/>
              </w:rPr>
            </w:pPr>
          </w:p>
        </w:tc>
        <w:tc>
          <w:tcPr>
            <w:tcW w:w="869" w:type="dxa"/>
            <w:tcBorders>
              <w:top w:val="single" w:color="auto" w:sz="4" w:space="0"/>
              <w:left w:val="single" w:color="auto" w:sz="4" w:space="0"/>
              <w:bottom w:val="single" w:color="auto" w:sz="4" w:space="0"/>
              <w:right w:val="single" w:color="auto" w:sz="4" w:space="0"/>
            </w:tcBorders>
            <w:noWrap w:val="0"/>
            <w:vAlign w:val="center"/>
          </w:tcPr>
          <w:p w14:paraId="7E92BE71">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C9110D6">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FCFC43">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7B29038">
            <w:pPr>
              <w:tabs>
                <w:tab w:val="left" w:pos="2520"/>
              </w:tabs>
              <w:snapToGrid w:val="0"/>
              <w:jc w:val="center"/>
              <w:rPr>
                <w:rFonts w:hint="eastAsia" w:ascii="宋体" w:hAnsi="宋体" w:eastAsia="宋体" w:cs="宋体"/>
                <w:color w:val="auto"/>
                <w:kern w:val="21"/>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4272277">
            <w:pPr>
              <w:tabs>
                <w:tab w:val="left" w:pos="2520"/>
              </w:tabs>
              <w:snapToGrid w:val="0"/>
              <w:jc w:val="center"/>
              <w:rPr>
                <w:rFonts w:hint="eastAsia" w:ascii="宋体" w:hAnsi="宋体" w:eastAsia="宋体" w:cs="宋体"/>
                <w:color w:val="auto"/>
                <w:kern w:val="21"/>
                <w:szCs w:val="21"/>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997623A">
            <w:pPr>
              <w:tabs>
                <w:tab w:val="left" w:pos="2520"/>
              </w:tabs>
              <w:snapToGrid w:val="0"/>
              <w:jc w:val="center"/>
              <w:rPr>
                <w:rFonts w:hint="eastAsia" w:ascii="宋体" w:hAnsi="宋体" w:eastAsia="宋体" w:cs="宋体"/>
                <w:color w:val="auto"/>
                <w:kern w:val="21"/>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AAA470D">
            <w:pPr>
              <w:tabs>
                <w:tab w:val="left" w:pos="2520"/>
              </w:tabs>
              <w:snapToGrid w:val="0"/>
              <w:jc w:val="center"/>
              <w:rPr>
                <w:rFonts w:hint="eastAsia" w:ascii="宋体" w:hAnsi="宋体" w:eastAsia="宋体" w:cs="宋体"/>
                <w:color w:val="auto"/>
                <w:kern w:val="21"/>
                <w:szCs w:val="21"/>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4A73A66">
            <w:pPr>
              <w:tabs>
                <w:tab w:val="left" w:pos="2520"/>
              </w:tabs>
              <w:snapToGrid w:val="0"/>
              <w:jc w:val="center"/>
              <w:rPr>
                <w:rFonts w:hint="eastAsia" w:ascii="宋体" w:hAnsi="宋体" w:eastAsia="宋体" w:cs="宋体"/>
                <w:color w:val="auto"/>
                <w:kern w:val="21"/>
                <w:szCs w:val="21"/>
                <w:highlight w:val="none"/>
              </w:rPr>
            </w:pPr>
          </w:p>
        </w:tc>
      </w:tr>
      <w:bookmarkEnd w:id="245"/>
    </w:tbl>
    <w:p w14:paraId="0E011CA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8EB8D39">
      <w:pPr>
        <w:numPr>
          <w:ilvl w:val="0"/>
          <w:numId w:val="8"/>
        </w:numPr>
        <w:snapToGrid w:val="0"/>
        <w:spacing w:line="360" w:lineRule="auto"/>
        <w:rPr>
          <w:rFonts w:hint="eastAsia" w:ascii="宋体" w:hAnsi="宋体" w:cs="宋体"/>
          <w:bCs/>
          <w:color w:val="auto"/>
          <w:szCs w:val="21"/>
          <w:highlight w:val="none"/>
        </w:rPr>
      </w:pPr>
      <w:r>
        <w:rPr>
          <w:rFonts w:hint="eastAsia" w:ascii="宋体" w:hAnsi="宋体" w:eastAsia="宋体" w:cs="宋体"/>
          <w:color w:val="auto"/>
          <w:szCs w:val="21"/>
          <w:highlight w:val="none"/>
        </w:rPr>
        <w:t>投标文件中须提供人员配备表及相对应人员资料扫描件加盖公章</w:t>
      </w:r>
      <w:r>
        <w:rPr>
          <w:rFonts w:hint="eastAsia" w:ascii="宋体" w:hAnsi="宋体" w:eastAsia="宋体" w:cs="宋体"/>
          <w:color w:val="auto"/>
          <w:szCs w:val="21"/>
          <w:highlight w:val="none"/>
          <w:lang w:val="en-US" w:eastAsia="zh-CN"/>
        </w:rPr>
        <w:t>或电子公章</w:t>
      </w:r>
      <w:r>
        <w:rPr>
          <w:rFonts w:hint="eastAsia" w:ascii="宋体" w:hAnsi="宋体" w:eastAsia="宋体" w:cs="宋体"/>
          <w:color w:val="auto"/>
          <w:szCs w:val="21"/>
          <w:highlight w:val="none"/>
        </w:rPr>
        <w:t>，人员资料包括</w:t>
      </w:r>
      <w:r>
        <w:rPr>
          <w:rFonts w:hint="eastAsia" w:ascii="宋体" w:hAnsi="宋体" w:cs="宋体"/>
          <w:color w:val="auto"/>
          <w:szCs w:val="21"/>
          <w:highlight w:val="none"/>
          <w:lang w:eastAsia="zh-CN"/>
        </w:rPr>
        <w:t>：</w:t>
      </w:r>
      <w:r>
        <w:rPr>
          <w:rFonts w:hint="eastAsia" w:ascii="宋体" w:hAnsi="宋体" w:cs="宋体"/>
          <w:bCs/>
          <w:color w:val="auto"/>
          <w:szCs w:val="21"/>
          <w:highlight w:val="none"/>
        </w:rPr>
        <w:t>身份证、职称证书或资格证（如有）、社保缴纳证明</w:t>
      </w:r>
      <w:r>
        <w:rPr>
          <w:rFonts w:hint="eastAsia" w:ascii="宋体" w:hAnsi="宋体" w:eastAsia="宋体" w:cs="宋体"/>
          <w:color w:val="auto"/>
          <w:szCs w:val="21"/>
          <w:highlight w:val="none"/>
        </w:rPr>
        <w:t>（证明配备人员为投标人本单位在职人员）</w:t>
      </w:r>
      <w:r>
        <w:rPr>
          <w:rFonts w:hint="eastAsia" w:ascii="宋体" w:hAnsi="宋体" w:cs="宋体"/>
          <w:bCs/>
          <w:color w:val="auto"/>
          <w:szCs w:val="21"/>
          <w:highlight w:val="none"/>
        </w:rPr>
        <w:t>。无证明材料或未按要求提供证明材料或证明材料无法体现相应内容的，不予认可。</w:t>
      </w:r>
    </w:p>
    <w:p w14:paraId="1A14431A">
      <w:pPr>
        <w:numPr>
          <w:ilvl w:val="0"/>
          <w:numId w:val="0"/>
        </w:num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2、投标人可根据实际情况扩展本表。</w:t>
      </w:r>
    </w:p>
    <w:p w14:paraId="5DF5E7CF">
      <w:pPr>
        <w:pStyle w:val="14"/>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3、如为联合体投标，人员统一填在此表内，在备注栏中注明单位名称。</w:t>
      </w:r>
    </w:p>
    <w:bookmarkEnd w:id="227"/>
    <w:bookmarkEnd w:id="228"/>
    <w:bookmarkEnd w:id="229"/>
    <w:bookmarkEnd w:id="230"/>
    <w:bookmarkEnd w:id="231"/>
    <w:bookmarkEnd w:id="232"/>
    <w:p w14:paraId="5BCAE426">
      <w:pPr>
        <w:pStyle w:val="14"/>
        <w:rPr>
          <w:rFonts w:hint="eastAsia" w:ascii="宋体" w:hAnsi="宋体" w:eastAsia="宋体" w:cs="宋体"/>
          <w:color w:val="auto"/>
          <w:highlight w:val="none"/>
          <w:lang w:val="en-US" w:eastAsia="zh-CN"/>
        </w:rPr>
      </w:pPr>
      <w:r>
        <w:rPr>
          <w:rFonts w:hint="eastAsia" w:ascii="宋体" w:hAnsi="宋体" w:eastAsia="宋体" w:cs="宋体"/>
          <w:color w:val="auto"/>
          <w:sz w:val="36"/>
          <w:highlight w:val="none"/>
        </w:rPr>
        <w:br w:type="page"/>
      </w:r>
      <w:bookmarkStart w:id="246" w:name="_Toc3969"/>
      <w:bookmarkStart w:id="247" w:name="_Toc739"/>
      <w:bookmarkStart w:id="248" w:name="_Toc31223"/>
    </w:p>
    <w:p w14:paraId="1E42BA87">
      <w:pPr>
        <w:pStyle w:val="3"/>
        <w:numPr>
          <w:ilvl w:val="0"/>
          <w:numId w:val="0"/>
        </w:numPr>
        <w:ind w:left="425"/>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lang w:val="en-US" w:eastAsia="zh-CN"/>
        </w:rPr>
        <w:t>20、</w:t>
      </w:r>
      <w:r>
        <w:rPr>
          <w:rFonts w:hint="eastAsia" w:ascii="宋体" w:hAnsi="宋体" w:eastAsia="宋体" w:cs="宋体"/>
          <w:color w:val="auto"/>
          <w:sz w:val="28"/>
          <w:szCs w:val="20"/>
          <w:highlight w:val="none"/>
        </w:rPr>
        <w:t>构成投标文件技术部分的其他资料</w:t>
      </w:r>
    </w:p>
    <w:p w14:paraId="5BBB5E8D">
      <w:pPr>
        <w:pStyle w:val="18"/>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详见第二章“投标人须知前附表”第13.1.4条，请自拟格式。</w:t>
      </w:r>
    </w:p>
    <w:p w14:paraId="22B3C128">
      <w:pPr>
        <w:rPr>
          <w:rFonts w:hint="eastAsia" w:ascii="宋体" w:hAnsi="宋体" w:eastAsia="宋体" w:cs="宋体"/>
          <w:color w:val="auto"/>
          <w:sz w:val="36"/>
          <w:highlight w:val="none"/>
        </w:rPr>
      </w:pPr>
    </w:p>
    <w:p w14:paraId="256110BA">
      <w:pPr>
        <w:rPr>
          <w:rFonts w:hint="eastAsia" w:ascii="宋体" w:hAnsi="宋体" w:eastAsia="宋体" w:cs="宋体"/>
          <w:b/>
          <w:bCs w:val="0"/>
          <w:color w:val="auto"/>
          <w:sz w:val="36"/>
          <w:highlight w:val="none"/>
        </w:rPr>
      </w:pPr>
      <w:r>
        <w:rPr>
          <w:rFonts w:hint="eastAsia" w:ascii="宋体" w:hAnsi="宋体" w:eastAsia="宋体" w:cs="宋体"/>
          <w:b/>
          <w:bCs w:val="0"/>
          <w:color w:val="auto"/>
          <w:sz w:val="36"/>
          <w:highlight w:val="none"/>
        </w:rPr>
        <w:br w:type="page"/>
      </w:r>
    </w:p>
    <w:p w14:paraId="617F6D04">
      <w:pPr>
        <w:spacing w:line="360" w:lineRule="auto"/>
        <w:jc w:val="center"/>
        <w:rPr>
          <w:rFonts w:hint="eastAsia" w:ascii="宋体" w:hAnsi="宋体" w:eastAsia="宋体" w:cs="宋体"/>
          <w:b/>
          <w:bCs w:val="0"/>
          <w:color w:val="auto"/>
          <w:sz w:val="40"/>
          <w:szCs w:val="21"/>
          <w:highlight w:val="none"/>
        </w:rPr>
      </w:pPr>
      <w:r>
        <w:rPr>
          <w:rFonts w:hint="eastAsia" w:ascii="宋体" w:hAnsi="宋体" w:eastAsia="宋体" w:cs="宋体"/>
          <w:b/>
          <w:bCs w:val="0"/>
          <w:color w:val="auto"/>
          <w:sz w:val="36"/>
          <w:highlight w:val="none"/>
        </w:rPr>
        <w:t>第五章采购需求</w:t>
      </w:r>
      <w:bookmarkEnd w:id="246"/>
      <w:bookmarkEnd w:id="247"/>
      <w:bookmarkEnd w:id="248"/>
    </w:p>
    <w:p w14:paraId="31CB4E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sz w:val="24"/>
          <w:szCs w:val="24"/>
          <w:highlight w:val="none"/>
        </w:rPr>
      </w:pPr>
      <w:bookmarkStart w:id="249" w:name="_Toc29754"/>
      <w:bookmarkStart w:id="250" w:name="_Toc8829"/>
      <w:r>
        <w:rPr>
          <w:rFonts w:hint="eastAsia" w:ascii="宋体" w:hAnsi="宋体" w:eastAsia="宋体" w:cs="宋体"/>
          <w:b/>
          <w:bCs w:val="0"/>
          <w:color w:val="auto"/>
          <w:sz w:val="30"/>
          <w:szCs w:val="30"/>
          <w:highlight w:val="none"/>
          <w:lang w:eastAsia="zh-CN"/>
        </w:rPr>
        <w:t>临沧市重点自然保护区生态安全风险监测预警能力建设项目</w:t>
      </w:r>
      <w:r>
        <w:rPr>
          <w:rFonts w:hint="eastAsia" w:ascii="宋体" w:hAnsi="宋体" w:eastAsia="宋体" w:cs="宋体"/>
          <w:b/>
          <w:bCs w:val="0"/>
          <w:color w:val="auto"/>
          <w:sz w:val="30"/>
          <w:szCs w:val="30"/>
          <w:highlight w:val="none"/>
        </w:rPr>
        <w:t>政府采购</w:t>
      </w:r>
      <w:r>
        <w:rPr>
          <w:rFonts w:hint="eastAsia" w:ascii="宋体" w:hAnsi="宋体" w:cs="宋体"/>
          <w:b/>
          <w:bCs w:val="0"/>
          <w:color w:val="auto"/>
          <w:sz w:val="30"/>
          <w:szCs w:val="30"/>
          <w:highlight w:val="none"/>
          <w:lang w:val="en-US" w:eastAsia="zh-CN"/>
        </w:rPr>
        <w:t>项目采购</w:t>
      </w:r>
      <w:r>
        <w:rPr>
          <w:rFonts w:hint="eastAsia" w:ascii="宋体" w:hAnsi="宋体" w:eastAsia="宋体" w:cs="宋体"/>
          <w:b/>
          <w:bCs w:val="0"/>
          <w:color w:val="auto"/>
          <w:sz w:val="30"/>
          <w:szCs w:val="30"/>
          <w:highlight w:val="none"/>
        </w:rPr>
        <w:t>需求</w:t>
      </w:r>
    </w:p>
    <w:p w14:paraId="763AEC4C">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一、采购标的需实现的功能或者目标，以及为落实政府采购政策需满足的要求</w:t>
      </w:r>
    </w:p>
    <w:p w14:paraId="316398D2">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（一）功能与目标</w:t>
      </w:r>
    </w:p>
    <w:p w14:paraId="49910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本采购标的核心是构建云南南滚河国家级自然保护区（耿马片区+沧源片区）“天空地一体化”生态安全风险监测预警体系，具体功能与目标如下：</w:t>
      </w:r>
    </w:p>
    <w:p w14:paraId="2556F64A">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实现多维度监测覆盖：通过卫星遥感、无人机巡查、地面设备监测等手段，全面覆盖生态系统格局、生物多样性、水和气及土环境要素、人为干扰活动、森林火灾等突发事件，形成全链条监测网络。</w:t>
      </w:r>
    </w:p>
    <w:p w14:paraId="4D0F7D7D">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提升智慧化预警能力：搭建生态安全风险监测预警信息平台，</w:t>
      </w:r>
      <w:r>
        <w:rPr>
          <w:rFonts w:hint="eastAsia" w:ascii="宋体" w:hAnsi="宋体" w:cs="宋体"/>
          <w:color w:val="auto"/>
          <w:sz w:val="21"/>
          <w:szCs w:val="21"/>
          <w:highlight w:val="none"/>
          <w:lang w:eastAsia="zh-CN"/>
        </w:rPr>
        <w:t>支持电脑端</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手机端</w:t>
      </w:r>
      <w:r>
        <w:rPr>
          <w:rFonts w:hint="eastAsia" w:ascii="宋体" w:hAnsi="宋体" w:cs="宋体"/>
          <w:color w:val="auto"/>
          <w:sz w:val="21"/>
          <w:szCs w:val="21"/>
          <w:highlight w:val="none"/>
          <w:lang w:val="en-US" w:eastAsia="zh-CN"/>
        </w:rPr>
        <w:t>信息共享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整合多源数据，实现数据实时处理、智能分析与风险预警，解决保护区现有监测能力弱、预警响应慢等问题。</w:t>
      </w:r>
    </w:p>
    <w:p w14:paraId="3A69997E">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提供技术支撑与示范：为保护区生态系统恢复、野生动植物保护、生物多样性维护提供持续数据支撑，同时为全省边境地区自然保护区生态安全监测预警工作提供可借鉴的实践模式。</w:t>
      </w:r>
    </w:p>
    <w:p w14:paraId="59249D49">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筑牢生态安全屏障：落实美丽云南建设要求，强化西南边境生态安全防控，维护国家生态安全，提升区域生态环境质量与民众生态幸福感。</w:t>
      </w:r>
    </w:p>
    <w:p w14:paraId="5E2FDAE4">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（二）政府采购政策落实要求</w:t>
      </w:r>
    </w:p>
    <w:p w14:paraId="06997FB8">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严格遵守《中华人民共和国政府采购法》《中华人民共和国政府采购法实施条例》等法律法规，优先采购列入《节能产品政府采购品目清单》《环境标志产品政府采购品目清单》的产品。</w:t>
      </w:r>
    </w:p>
    <w:p w14:paraId="1836D868">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支持中小企业发展，对符合条件的中小企业供应商，按照相关规定给予价格评审优惠、优先成交等政策支持。</w:t>
      </w:r>
    </w:p>
    <w:p w14:paraId="6DB73728">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采购产品与服务需符合国家生态环境保护、生物多样性保护、数据安全等相关产业政策，不得采购国家明令淘汰、禁止使用的设备和技术。</w:t>
      </w:r>
    </w:p>
    <w:p w14:paraId="04338FFE">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落实绿色采购要求，优先选择节能、环保、低耗的设备与服务，减少项目实施对生态环境的影响。</w:t>
      </w:r>
    </w:p>
    <w:p w14:paraId="72D933AA">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、采购标的需执行的国家相关标准、行业标准、地方标准或者其他标准、规范</w:t>
      </w:r>
    </w:p>
    <w:p w14:paraId="41707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本项目采购标的需严格执行以下国家、行业及地方标准（含现行有效更新版本），无明确标准的需符合项目实际功能需求与技术规范：</w:t>
      </w:r>
    </w:p>
    <w:p w14:paraId="49DEB7F6">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法律法规类：《中华人民共和国环境保护法》《中华人民共和国自然保护区条例》《政府采购货物和服务招标投标管理办法》</w:t>
      </w:r>
    </w:p>
    <w:p w14:paraId="47C1A88E">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生态监测类：</w:t>
      </w:r>
    </w:p>
    <w:p w14:paraId="0343E7C9">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《生物多样性综合观测站建设标准》（HJ1341—2023）</w:t>
      </w:r>
    </w:p>
    <w:p w14:paraId="2067C225">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《生物多样性观测技术导则红外相机技术》（HJ710.15—2023）</w:t>
      </w:r>
    </w:p>
    <w:p w14:paraId="05621EE0">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《全国生态状况调查评估技术规范——生态系统格局评估》（HJ1171—2021）</w:t>
      </w:r>
    </w:p>
    <w:p w14:paraId="5B52911A">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《生态系统质量评价技术规范》（HJ1172—2021）</w:t>
      </w:r>
    </w:p>
    <w:p w14:paraId="67628A2A">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《生物多样性（陆域生态系统)遥感调查技术指南》</w:t>
      </w:r>
    </w:p>
    <w:p w14:paraId="6F133CCA">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环境监测类：</w:t>
      </w:r>
    </w:p>
    <w:p w14:paraId="1B6F00FB">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《环境空气质量自动监测技术规范》（HJ/T193-2005）</w:t>
      </w:r>
    </w:p>
    <w:p w14:paraId="2D21D795">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《水质自动监测技术规范》（HJ/T191-2005）</w:t>
      </w:r>
    </w:p>
    <w:p w14:paraId="350E67B6">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《土壤环境监测技术规范》（HJ/T166-2004）</w:t>
      </w:r>
    </w:p>
    <w:p w14:paraId="36C72220">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设备技术类：无人机、红外相机、传感器等产品对应的国家质量标准、行业技术规范及安全认证标准</w:t>
      </w:r>
      <w:r>
        <w:rPr>
          <w:rFonts w:hint="eastAsia" w:ascii="宋体" w:hAnsi="宋体" w:eastAsia="宋体" w:cs="宋体"/>
          <w:color w:val="auto"/>
          <w:sz w:val="21"/>
          <w:szCs w:val="21"/>
          <w:highlight w:val="none"/>
          <w:lang w:eastAsia="zh-CN"/>
        </w:rPr>
        <w:t>。</w:t>
      </w:r>
    </w:p>
    <w:p w14:paraId="6A73CD55">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地方政策类：</w:t>
      </w:r>
    </w:p>
    <w:p w14:paraId="2A77A757">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《云南省生态环境监测网络建设工作方案》(云政办发〔2017〕12号)</w:t>
      </w:r>
    </w:p>
    <w:p w14:paraId="4BAF185F">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《云南省“十四五”生态环境监测规划》（云环发〔2022〕23号）</w:t>
      </w:r>
    </w:p>
    <w:p w14:paraId="03BEA730">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《临沧市“十四五”生态环境保护规划》</w:t>
      </w:r>
    </w:p>
    <w:p w14:paraId="06F014BF">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、采购标的需满足的质量、安全、技术规格、物理特性等要求</w:t>
      </w:r>
    </w:p>
    <w:p w14:paraId="05DA2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本采购标的分为卫星遥感监测服务、生态安全风险监测设备、监测预警平台开发、设备运维服务四大类，具体要求如下：</w:t>
      </w:r>
    </w:p>
    <w:p w14:paraId="5A31F9F8">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（一）卫星遥感监测服务</w:t>
      </w:r>
    </w:p>
    <w:p w14:paraId="0FAB7F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质量要求：监测数据真实准确，遥感解译精度符合行业规范，成果报告编制规范、分析科学，能有效支撑生态安全风险研判。</w:t>
      </w:r>
    </w:p>
    <w:p w14:paraId="045835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技术规格：</w:t>
      </w:r>
    </w:p>
    <w:p w14:paraId="49D9DE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监测范围：全覆盖云南南滚河国家级自然保护区（耿马片区+沧源片区），单次监测面积≥500平方公里。</w:t>
      </w:r>
    </w:p>
    <w:p w14:paraId="66AE41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监测内容：包含</w:t>
      </w:r>
      <w:r>
        <w:rPr>
          <w:rFonts w:hint="default" w:ascii="Times New Roman" w:hAnsi="Times New Roman" w:eastAsia="宋体" w:cs="Times New Roman"/>
          <w:i w:val="0"/>
          <w:iCs w:val="0"/>
          <w:color w:val="auto"/>
          <w:kern w:val="0"/>
          <w:sz w:val="21"/>
          <w:szCs w:val="21"/>
          <w:highlight w:val="none"/>
          <w:u w:val="none"/>
          <w:lang w:val="en-US" w:eastAsia="zh-CN" w:bidi="ar"/>
        </w:rPr>
        <w:t>生态格局变化</w:t>
      </w:r>
      <w:r>
        <w:rPr>
          <w:rFonts w:hint="eastAsia" w:ascii="宋体" w:hAnsi="宋体" w:eastAsia="宋体" w:cs="宋体"/>
          <w:color w:val="auto"/>
          <w:sz w:val="21"/>
          <w:szCs w:val="21"/>
          <w:highlight w:val="none"/>
        </w:rPr>
        <w:t>、生态</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质量、生态系统服务功能、</w:t>
      </w:r>
      <w:r>
        <w:rPr>
          <w:rFonts w:hint="default" w:ascii="Times New Roman" w:hAnsi="Times New Roman" w:eastAsia="宋体" w:cs="Times New Roman"/>
          <w:i w:val="0"/>
          <w:iCs w:val="0"/>
          <w:color w:val="auto"/>
          <w:kern w:val="0"/>
          <w:sz w:val="21"/>
          <w:szCs w:val="21"/>
          <w:highlight w:val="none"/>
          <w:u w:val="none"/>
          <w:lang w:val="en-US" w:eastAsia="zh-CN" w:bidi="ar"/>
        </w:rPr>
        <w:t>人为干扰活动</w:t>
      </w:r>
      <w:r>
        <w:rPr>
          <w:rFonts w:hint="eastAsia" w:ascii="宋体" w:hAnsi="宋体" w:eastAsia="宋体" w:cs="宋体"/>
          <w:color w:val="auto"/>
          <w:sz w:val="21"/>
          <w:szCs w:val="21"/>
          <w:highlight w:val="none"/>
        </w:rPr>
        <w:t>、自然生态问题5项内容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具体要求见下表：</w:t>
      </w:r>
    </w:p>
    <w:tbl>
      <w:tblPr>
        <w:tblStyle w:val="26"/>
        <w:tblW w:w="9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5752"/>
        <w:gridCol w:w="2739"/>
      </w:tblGrid>
      <w:tr w14:paraId="47DC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88D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eastAsia="宋体" w:cs="Times New Roman"/>
                <w:i w:val="0"/>
                <w:iCs w:val="0"/>
                <w:color w:val="auto"/>
                <w:sz w:val="21"/>
                <w:szCs w:val="21"/>
                <w:highlight w:val="none"/>
                <w:u w:val="none"/>
                <w:lang w:val="en-US" w:eastAsia="zh-CN"/>
              </w:rPr>
              <w:t>序号</w:t>
            </w: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E9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rPr>
              <w:t>项目内容</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942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技术参数</w:t>
            </w:r>
          </w:p>
        </w:tc>
      </w:tr>
      <w:tr w14:paraId="00A6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3B8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DD1">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生态格局变化监测</w:t>
            </w:r>
            <w:r>
              <w:rPr>
                <w:rFonts w:hint="eastAsia" w:cs="Times New Roman"/>
                <w:i w:val="0"/>
                <w:iCs w:val="0"/>
                <w:color w:val="auto"/>
                <w:kern w:val="0"/>
                <w:sz w:val="21"/>
                <w:szCs w:val="21"/>
                <w:highlight w:val="none"/>
                <w:u w:val="none"/>
                <w:lang w:val="en-US" w:eastAsia="zh-CN" w:bidi="ar"/>
              </w:rPr>
              <w:t>：</w:t>
            </w:r>
            <w:r>
              <w:rPr>
                <w:rFonts w:hint="eastAsia"/>
                <w:color w:val="auto"/>
                <w:kern w:val="0"/>
                <w:szCs w:val="21"/>
                <w:highlight w:val="none"/>
                <w:u w:val="none"/>
                <w:lang w:bidi="ar"/>
              </w:rPr>
              <w:t>通过监测保护区各类不同生态系统在空间上的排列和组合，包括生态系统类型、数目及空间分布与配置。以遥感和地面调查数据为基础，结合生态系统监测数据，评估生态系统格局状况，了解不同类型生态系统面积与空间变化趋势，定量分析生态系统总体变化特征。通过生态系统格局的变化评估存在的风险。</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119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可监测生态系统类型、数目及空间分布与配置情况，数据精度满足生态监测行业规范要求</w:t>
            </w:r>
            <w:r>
              <w:rPr>
                <w:rFonts w:hint="eastAsia" w:cs="Times New Roman"/>
                <w:i w:val="0"/>
                <w:iCs w:val="0"/>
                <w:color w:val="auto"/>
                <w:kern w:val="0"/>
                <w:sz w:val="21"/>
                <w:szCs w:val="21"/>
                <w:highlight w:val="none"/>
                <w:u w:val="none"/>
                <w:lang w:val="en-US" w:eastAsia="zh-CN" w:bidi="ar"/>
              </w:rPr>
              <w:t>。</w:t>
            </w:r>
          </w:p>
        </w:tc>
      </w:tr>
      <w:tr w14:paraId="30FE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736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4D5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生态</w:t>
            </w:r>
            <w:r>
              <w:rPr>
                <w:rFonts w:hint="eastAsia" w:ascii="Times New Roman" w:hAnsi="Times New Roman" w:eastAsia="宋体" w:cs="Times New Roman"/>
                <w:i w:val="0"/>
                <w:iCs w:val="0"/>
                <w:color w:val="auto"/>
                <w:kern w:val="0"/>
                <w:sz w:val="21"/>
                <w:szCs w:val="21"/>
                <w:highlight w:val="none"/>
                <w:u w:val="none"/>
                <w:lang w:val="en-US" w:eastAsia="zh-CN" w:bidi="ar"/>
              </w:rPr>
              <w:t>系统</w:t>
            </w:r>
            <w:r>
              <w:rPr>
                <w:rFonts w:hint="default" w:ascii="Times New Roman" w:hAnsi="Times New Roman" w:eastAsia="宋体" w:cs="Times New Roman"/>
                <w:i w:val="0"/>
                <w:iCs w:val="0"/>
                <w:color w:val="auto"/>
                <w:kern w:val="0"/>
                <w:sz w:val="21"/>
                <w:szCs w:val="21"/>
                <w:highlight w:val="none"/>
                <w:u w:val="none"/>
                <w:lang w:val="en-US" w:eastAsia="zh-CN" w:bidi="ar"/>
              </w:rPr>
              <w:t>质量监测</w:t>
            </w:r>
            <w:r>
              <w:rPr>
                <w:rFonts w:hint="eastAsia" w:cs="Times New Roman"/>
                <w:i w:val="0"/>
                <w:iCs w:val="0"/>
                <w:color w:val="auto"/>
                <w:kern w:val="0"/>
                <w:sz w:val="21"/>
                <w:szCs w:val="21"/>
                <w:highlight w:val="none"/>
                <w:u w:val="none"/>
                <w:lang w:val="en-US" w:eastAsia="zh-CN" w:bidi="ar"/>
              </w:rPr>
              <w:t>：</w:t>
            </w:r>
            <w:r>
              <w:rPr>
                <w:rFonts w:hint="eastAsia"/>
                <w:color w:val="auto"/>
                <w:kern w:val="0"/>
                <w:szCs w:val="21"/>
                <w:highlight w:val="none"/>
                <w:u w:val="none"/>
                <w:lang w:bidi="ar"/>
              </w:rPr>
              <w:t>通过监测生态系统自然植被的优劣程度，反映生态系统内植被与生态系统整体状况。生态系统质量反映区域生态系统质量整体状况，由植被覆盖度、叶面积指数和总初级生产力的相对密度来构建，采取分区分生态系统类型选取参照值的方法构建生态系统质量指数。根据生态系统质量评估结果，将生态系统质量分为</w:t>
            </w:r>
            <w:r>
              <w:rPr>
                <w:rFonts w:hint="eastAsia" w:ascii="宋体" w:hAnsi="宋体" w:cs="宋体"/>
                <w:color w:val="auto"/>
                <w:kern w:val="0"/>
                <w:szCs w:val="21"/>
                <w:highlight w:val="none"/>
                <w:u w:val="none"/>
                <w:lang w:bidi="ar"/>
              </w:rPr>
              <w:t>5级，即优、良、中、低、差，具体可参照HJ1172实施</w:t>
            </w:r>
            <w:r>
              <w:rPr>
                <w:rFonts w:hint="eastAsia"/>
                <w:color w:val="auto"/>
                <w:kern w:val="0"/>
                <w:szCs w:val="21"/>
                <w:highlight w:val="none"/>
                <w:u w:val="none"/>
                <w:lang w:bidi="ar"/>
              </w:rPr>
              <w:t>。</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D65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可监测植被覆盖度、叶面积指数和总初级生产力等核心生态质量指标，监测数据符合国家相关行业标准</w:t>
            </w:r>
            <w:r>
              <w:rPr>
                <w:rFonts w:hint="eastAsia" w:cs="Times New Roman"/>
                <w:i w:val="0"/>
                <w:iCs w:val="0"/>
                <w:color w:val="auto"/>
                <w:kern w:val="0"/>
                <w:sz w:val="21"/>
                <w:szCs w:val="21"/>
                <w:highlight w:val="none"/>
                <w:u w:val="none"/>
                <w:lang w:val="en-US" w:eastAsia="zh-CN" w:bidi="ar"/>
              </w:rPr>
              <w:t>。</w:t>
            </w:r>
          </w:p>
        </w:tc>
      </w:tr>
      <w:tr w14:paraId="2DA9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D1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FD8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生态系统服务功能监测</w:t>
            </w:r>
            <w:r>
              <w:rPr>
                <w:rFonts w:hint="eastAsia" w:cs="Times New Roman"/>
                <w:i w:val="0"/>
                <w:iCs w:val="0"/>
                <w:color w:val="auto"/>
                <w:kern w:val="0"/>
                <w:sz w:val="21"/>
                <w:szCs w:val="21"/>
                <w:highlight w:val="none"/>
                <w:u w:val="none"/>
                <w:lang w:val="en-US" w:eastAsia="zh-CN" w:bidi="ar"/>
              </w:rPr>
              <w:t>：</w:t>
            </w:r>
            <w:r>
              <w:rPr>
                <w:rFonts w:hint="default" w:ascii="Times New Roman" w:hAnsi="Times New Roman" w:cs="Times New Roman"/>
                <w:color w:val="auto"/>
                <w:kern w:val="0"/>
                <w:szCs w:val="21"/>
                <w:highlight w:val="none"/>
                <w:u w:val="none"/>
                <w:lang w:bidi="ar"/>
              </w:rPr>
              <w:t>主要监测评估生态系统为人类提供的土壤保持、水源涵养、固碳、生物多样性维护等方面的功能。以遥感和地面调查数据为基础，结合生态系统长期监测数据，以水源涵养、土壤保持、固碳和生物多样性维护的评估结果为依据定量评估生态系统服务功能状况，了解生态系统服务功能的变化趋势，明确不同类型生态系统服务功能的变化情况及变化关键区域，及时发现问题，做出风险监测预警。</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915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可监测土壤保持、水源涵养、固碳、生物多样性维护等生态系统服务功能相关指标，支持数据统计分析与可视化展示</w:t>
            </w:r>
            <w:r>
              <w:rPr>
                <w:rFonts w:hint="eastAsia" w:cs="Times New Roman"/>
                <w:i w:val="0"/>
                <w:iCs w:val="0"/>
                <w:color w:val="auto"/>
                <w:kern w:val="0"/>
                <w:sz w:val="21"/>
                <w:szCs w:val="21"/>
                <w:highlight w:val="none"/>
                <w:u w:val="none"/>
                <w:lang w:val="en-US" w:eastAsia="zh-CN" w:bidi="ar"/>
              </w:rPr>
              <w:t>。</w:t>
            </w:r>
          </w:p>
        </w:tc>
      </w:tr>
      <w:tr w14:paraId="6523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E9C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32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人为干扰活动监测</w:t>
            </w:r>
            <w:r>
              <w:rPr>
                <w:rFonts w:hint="eastAsia" w:cs="Times New Roman"/>
                <w:i w:val="0"/>
                <w:iCs w:val="0"/>
                <w:color w:val="auto"/>
                <w:kern w:val="0"/>
                <w:sz w:val="21"/>
                <w:szCs w:val="21"/>
                <w:highlight w:val="none"/>
                <w:u w:val="none"/>
                <w:lang w:val="en-US" w:eastAsia="zh-CN" w:bidi="ar"/>
              </w:rPr>
              <w:t>：</w:t>
            </w:r>
            <w:r>
              <w:rPr>
                <w:rFonts w:hint="eastAsia"/>
                <w:color w:val="auto"/>
                <w:highlight w:val="none"/>
                <w:lang w:eastAsia="zh-CN"/>
              </w:rPr>
              <w:t>具体</w:t>
            </w:r>
            <w:r>
              <w:rPr>
                <w:rFonts w:hint="eastAsia"/>
                <w:color w:val="auto"/>
                <w:highlight w:val="none"/>
              </w:rPr>
              <w:t>对保护区内发生的、影响保护对象和生态环境状况的各类开发建设及生产、生活活动，包括矿产资源开发、工业开发、能源开发、旅游开发、交通开发、养殖开发、农业开发、居民点与其他活动等进行遥感监测。</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790C">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color w:val="auto"/>
                <w:highlight w:val="none"/>
              </w:rPr>
              <w:t>可监测保护区内开发建设、生产生活等影响保护对象和生态环境的人为干扰活动，具备事件记录与分类统计功能</w:t>
            </w:r>
            <w:r>
              <w:rPr>
                <w:rFonts w:hint="eastAsia"/>
                <w:color w:val="auto"/>
                <w:highlight w:val="none"/>
                <w:lang w:eastAsia="zh-CN"/>
              </w:rPr>
              <w:t>。</w:t>
            </w:r>
          </w:p>
        </w:tc>
      </w:tr>
      <w:tr w14:paraId="1825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52C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9A2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自然生态问题监测</w:t>
            </w:r>
            <w:r>
              <w:rPr>
                <w:rFonts w:hint="eastAsia" w:cs="Times New Roman"/>
                <w:i w:val="0"/>
                <w:iCs w:val="0"/>
                <w:color w:val="auto"/>
                <w:kern w:val="0"/>
                <w:sz w:val="21"/>
                <w:szCs w:val="21"/>
                <w:highlight w:val="none"/>
                <w:u w:val="none"/>
                <w:lang w:val="en-US" w:eastAsia="zh-CN" w:bidi="ar"/>
              </w:rPr>
              <w:t>：</w:t>
            </w:r>
            <w:r>
              <w:rPr>
                <w:rFonts w:hint="eastAsia"/>
                <w:color w:val="auto"/>
                <w:kern w:val="0"/>
                <w:szCs w:val="21"/>
                <w:highlight w:val="none"/>
                <w:u w:val="none"/>
                <w:lang w:bidi="ar"/>
              </w:rPr>
              <w:t>由于人类活动和自然条件变化引起的自然生态系统退化及由此衍生的不良生态环境效应，包括水土流失、石漠化、生态系统退化等。通过开展监测，明确保护区各类主要生态问题的严重程度、空间分布特征和变化情况；辨识评估区各类生态问题严重区域以及生态问题持续加剧和改善的区域；在此基础上，判断评估区生态问题的总体变化趋势。</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CED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可监测水土流失、石漠化、生态系统退化等由于人类活动和自然条件变化引起的自然生态系统退化及由此衍生的不良生态环境效应，监测结果可生成专题报告</w:t>
            </w:r>
            <w:r>
              <w:rPr>
                <w:rFonts w:hint="eastAsia" w:cs="Times New Roman"/>
                <w:i w:val="0"/>
                <w:iCs w:val="0"/>
                <w:color w:val="auto"/>
                <w:kern w:val="0"/>
                <w:sz w:val="21"/>
                <w:szCs w:val="21"/>
                <w:highlight w:val="none"/>
                <w:u w:val="none"/>
                <w:lang w:val="en-US" w:eastAsia="zh-CN" w:bidi="ar"/>
              </w:rPr>
              <w:t>。</w:t>
            </w:r>
          </w:p>
        </w:tc>
      </w:tr>
    </w:tbl>
    <w:p w14:paraId="78540D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数据源要求：采用国产高分一号、高分二号、资源三号等卫星遥感影像，生态系统一级类型数据源空间分辨率优于30m，二级类型优于10m，植被复杂区域优于2m。</w:t>
      </w:r>
    </w:p>
    <w:p w14:paraId="078E29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成果要求：输出生态变化信息空间矢量文件（Shapefile格式）、监测图（JPG/PNG格式）、《基于卫星遥感的云南南滚河国家级自然保护区生态系统安全风险监测》报告</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份及配套数据集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套。</w:t>
      </w:r>
    </w:p>
    <w:p w14:paraId="562B8270">
      <w:pPr>
        <w:pStyle w:val="35"/>
        <w:rPr>
          <w:rFonts w:hint="eastAsia"/>
          <w:color w:val="auto"/>
          <w:highlight w:val="none"/>
        </w:rPr>
      </w:pPr>
      <w:r>
        <w:rPr>
          <w:rFonts w:hint="eastAsia" w:ascii="宋体" w:hAnsi="宋体" w:cs="宋体"/>
          <w:color w:val="auto"/>
          <w:sz w:val="21"/>
          <w:szCs w:val="21"/>
          <w:highlight w:val="none"/>
          <w:lang w:val="en-US" w:eastAsia="zh-CN"/>
        </w:rPr>
        <w:t>2.5、工作频次：自合同签订之日起，连续开展三年，每年开展1次全套监测任务，每年按要求提交成果资料。</w:t>
      </w:r>
    </w:p>
    <w:p w14:paraId="545D428D">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（二）生态安全风险监测设备</w:t>
      </w:r>
    </w:p>
    <w:p w14:paraId="7BA83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所有设备需为全新正品，质量符合国家及行业标准，具体技术参数见下表：</w:t>
      </w:r>
    </w:p>
    <w:tbl>
      <w:tblPr>
        <w:tblStyle w:val="26"/>
        <w:tblW w:w="9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1907"/>
        <w:gridCol w:w="6718"/>
      </w:tblGrid>
      <w:tr w14:paraId="17AB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3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2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无人值守无人机场及配套多旋翼无人机</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1C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（一）多旋翼无人机</w:t>
            </w:r>
          </w:p>
          <w:p w14:paraId="266EF15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1.最大起飞重量≥2090g；</w:t>
            </w:r>
          </w:p>
          <w:p w14:paraId="0DAC40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2.飞机对称轴距≤500mm；</w:t>
            </w:r>
          </w:p>
          <w:p w14:paraId="41197A9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3.最大抗风风速≥12m/s；</w:t>
            </w:r>
          </w:p>
          <w:p w14:paraId="036448F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4.最大起飞海拔高度≥6500m；</w:t>
            </w:r>
          </w:p>
          <w:p w14:paraId="6CA684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5.最大续航里程≥40km；</w:t>
            </w:r>
          </w:p>
          <w:p w14:paraId="55BEE0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6.最大飞行时间≥52min；</w:t>
            </w:r>
          </w:p>
          <w:p w14:paraId="254B633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7.工作半径≥10km；</w:t>
            </w:r>
          </w:p>
          <w:p w14:paraId="6A58165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8.最大水平飞行速度≥20m/s；</w:t>
            </w:r>
          </w:p>
          <w:p w14:paraId="01B036B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9.防护等级≥IP54；</w:t>
            </w:r>
          </w:p>
          <w:p w14:paraId="6E623EB5">
            <w:pPr>
              <w:pStyle w:val="35"/>
              <w:ind w:firstLine="0" w:firstLineChars="0"/>
              <w:rPr>
                <w:rFonts w:hint="eastAsia"/>
                <w:color w:val="auto"/>
                <w:highlight w:val="none"/>
                <w:lang w:val="en-US" w:eastAsia="zh-CN"/>
              </w:rPr>
            </w:pPr>
            <w:r>
              <w:rPr>
                <w:rFonts w:hint="eastAsia" w:ascii="宋体" w:hAnsi="宋体" w:cs="宋体"/>
                <w:color w:val="auto"/>
                <w:kern w:val="0"/>
                <w:sz w:val="21"/>
                <w:szCs w:val="21"/>
                <w:highlight w:val="none"/>
                <w:u w:val="none"/>
                <w:lang w:val="en-US" w:eastAsia="zh-CN" w:bidi="ar"/>
              </w:rPr>
              <w:t>10.</w:t>
            </w:r>
            <w:r>
              <w:rPr>
                <w:rFonts w:hint="eastAsia" w:ascii="宋体" w:hAnsi="宋体" w:eastAsia="宋体" w:cs="宋体"/>
                <w:color w:val="auto"/>
                <w:kern w:val="0"/>
                <w:sz w:val="21"/>
                <w:szCs w:val="21"/>
                <w:highlight w:val="none"/>
                <w:u w:val="none"/>
                <w:lang w:bidi="ar"/>
              </w:rPr>
              <w:t>单北斗定位：支持单北斗定位模式；</w:t>
            </w:r>
          </w:p>
          <w:p w14:paraId="3F022D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.具备全向避障功能，支持挂载雷达避障配件；</w:t>
            </w:r>
          </w:p>
          <w:p w14:paraId="3E3BC20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.配备抗干扰、耐低温飞行桨叶，内置高精度定位模块、夜航照明设备；</w:t>
            </w:r>
          </w:p>
          <w:p w14:paraId="215AC9C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.搭载多合一成像设备，包含：广角相机（有效像素≥4800万）、中长焦相机（有效像素≥4800万）、长焦相机（有效像素≥4800万）；</w:t>
            </w:r>
          </w:p>
          <w:p w14:paraId="47027B9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.视频录制分辨率≥4K30帧</w:t>
            </w:r>
          </w:p>
          <w:p w14:paraId="2ABF0AC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.混合变焦≥100倍；</w:t>
            </w:r>
          </w:p>
          <w:p w14:paraId="569E86D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.搭载热成像相机，分辨率≥640×512，支持点测温、区域测温，测温范围-20℃至150℃（高增益模式），0℃至550℃（低增益模式），数字变焦≥25倍；</w:t>
            </w:r>
          </w:p>
          <w:p w14:paraId="1DF71D3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.镜头具备除雾功能；</w:t>
            </w:r>
          </w:p>
          <w:p w14:paraId="589B7E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.配备近红外补光；</w:t>
            </w:r>
          </w:p>
          <w:p w14:paraId="27265C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.具备激光测距设备，测距量程≥1800m</w:t>
            </w:r>
            <w:r>
              <w:rPr>
                <w:rFonts w:hint="eastAsia" w:ascii="宋体" w:hAnsi="宋体" w:cs="宋体"/>
                <w:i w:val="0"/>
                <w:iCs w:val="0"/>
                <w:color w:val="auto"/>
                <w:kern w:val="0"/>
                <w:sz w:val="21"/>
                <w:szCs w:val="21"/>
                <w:highlight w:val="none"/>
                <w:u w:val="none"/>
                <w:lang w:val="en-US" w:eastAsia="zh-CN" w:bidi="ar"/>
              </w:rPr>
              <w:t>；</w:t>
            </w:r>
          </w:p>
          <w:p w14:paraId="0A6BE547">
            <w:pPr>
              <w:widowControl/>
              <w:numPr>
                <w:ilvl w:val="0"/>
                <w:numId w:val="0"/>
              </w:numPr>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20.配备</w:t>
            </w:r>
            <w:r>
              <w:rPr>
                <w:rFonts w:hint="eastAsia" w:ascii="宋体" w:hAnsi="宋体" w:cs="宋体"/>
                <w:color w:val="auto"/>
                <w:kern w:val="0"/>
                <w:sz w:val="21"/>
                <w:szCs w:val="21"/>
                <w:highlight w:val="none"/>
                <w:u w:val="none"/>
                <w:lang w:val="en-US" w:eastAsia="zh-CN" w:bidi="ar"/>
              </w:rPr>
              <w:t>2块电池和2块4G图传模块。</w:t>
            </w:r>
          </w:p>
          <w:p w14:paraId="356E08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（二）飞行平台（无人值守无人机场）</w:t>
            </w:r>
          </w:p>
          <w:p w14:paraId="04627D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1.整机重量≤58kg；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2.外形尺寸：舱盖开启状态≤长1800mm，宽≤800mm，高≤600mm，舱盖闭合状态≤长700mm，宽≤800mm，高≤800mm；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3.输入功率：≤800W；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4.工作环境温度：-30℃至50℃；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5.防护等级：≥IP54；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6.最大运行海拔：≥4500m；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7.最大起飞、降落风速：≥12m/s；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8.具备舱内温度调节功能，适配高低温工作环境；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9.支持风速、雨量、环境温度、水浸传感器，支持舱内温度、湿度传感器，防雷。</w:t>
            </w:r>
          </w:p>
          <w:p w14:paraId="4A65247B">
            <w:pPr>
              <w:pStyle w:val="6"/>
              <w:numPr>
                <w:ilvl w:val="-1"/>
                <w:numId w:val="0"/>
              </w:numPr>
              <w:ind w:left="0" w:firstLine="0"/>
              <w:rPr>
                <w:rFonts w:hint="default"/>
                <w:color w:val="auto"/>
                <w:highlight w:val="none"/>
                <w:lang w:val="en-US"/>
              </w:rPr>
            </w:pPr>
            <w:r>
              <w:rPr>
                <w:rFonts w:hint="eastAsia" w:ascii="宋体" w:hAnsi="宋体" w:eastAsia="宋体" w:cs="宋体"/>
                <w:b w:val="0"/>
                <w:bCs w:val="0"/>
                <w:i w:val="0"/>
                <w:iCs w:val="0"/>
                <w:caps w:val="0"/>
                <w:color w:val="auto"/>
                <w:spacing w:val="-4"/>
                <w:sz w:val="21"/>
                <w:szCs w:val="21"/>
                <w:highlight w:val="none"/>
                <w:shd w:val="clear" w:fill="FFFFFF"/>
                <w:lang w:val="en-US" w:eastAsia="zh-CN"/>
              </w:rPr>
              <w:t>▲10.配备</w:t>
            </w:r>
            <w:r>
              <w:rPr>
                <w:rFonts w:hint="eastAsia" w:ascii="宋体" w:hAnsi="宋体" w:eastAsia="宋体" w:cs="宋体"/>
                <w:b w:val="0"/>
                <w:bCs w:val="0"/>
                <w:i w:val="0"/>
                <w:iCs w:val="0"/>
                <w:caps w:val="0"/>
                <w:color w:val="auto"/>
                <w:spacing w:val="-4"/>
                <w:sz w:val="21"/>
                <w:szCs w:val="21"/>
                <w:highlight w:val="none"/>
                <w:shd w:val="clear" w:fill="FFFFFF"/>
              </w:rPr>
              <w:t>一站式无人机管理平台</w:t>
            </w:r>
            <w:r>
              <w:rPr>
                <w:rFonts w:hint="eastAsia" w:ascii="宋体" w:hAnsi="宋体" w:eastAsia="宋体" w:cs="宋体"/>
                <w:b w:val="0"/>
                <w:bCs w:val="0"/>
                <w:i w:val="0"/>
                <w:iCs w:val="0"/>
                <w:caps w:val="0"/>
                <w:color w:val="auto"/>
                <w:spacing w:val="-4"/>
                <w:sz w:val="21"/>
                <w:szCs w:val="21"/>
                <w:highlight w:val="none"/>
                <w:shd w:val="clear" w:fill="FFFFFF"/>
                <w:lang w:eastAsia="zh-CN"/>
              </w:rPr>
              <w:t>，支持远程控制、智能任务规划等。</w:t>
            </w:r>
          </w:p>
        </w:tc>
      </w:tr>
      <w:tr w14:paraId="62EA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0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3B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红外相机</w:t>
            </w:r>
          </w:p>
        </w:tc>
        <w:tc>
          <w:tcPr>
            <w:tcW w:w="6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718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1.具备4G全网通无线通讯功能，支持国内主流运营商网络频段；</w:t>
            </w:r>
          </w:p>
          <w:p w14:paraId="624260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2.具备远程设备状态监测功能，可实时查看供电状态、存储介质剩余容量、无线通讯信号强度、数据传输流量、设备定位信息等核心运行参数，支持标准数据接口（如API/SDK）与第三方信息化系统对接兼容；</w:t>
            </w:r>
          </w:p>
          <w:p w14:paraId="2BDF9D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3.具备无线通讯信号增强设计（无线通讯接收灵敏度≤-105dBm），保障户外复杂环境下的稳定数据传输；</w:t>
            </w:r>
          </w:p>
          <w:p w14:paraId="355CA2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4.支持自动定位，可录制3K（2560*1920）/30帧有声视频，拍照有效像素≥3200万；</w:t>
            </w:r>
          </w:p>
          <w:p w14:paraId="7D9BD5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5.配备≥2.4寸可旋转高清显示屏，便于安装调试；</w:t>
            </w:r>
          </w:p>
          <w:p w14:paraId="6F135D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sz w:val="21"/>
                <w:szCs w:val="21"/>
                <w:highlight w:val="none"/>
                <w:u w:val="none"/>
              </w:rPr>
              <w:t>6.具备触发拍摄同步录拍功能，触发响应时间≤0.3秒，确保无拍摄漏帧、空拍情况；</w:t>
            </w:r>
          </w:p>
          <w:p w14:paraId="595332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7.具备环境光自适应调节功能，内置图像优化算法，可根据光线强度、目标距离自动调整曝光参数，保证不同光照条件下图像清晰度；</w:t>
            </w:r>
          </w:p>
          <w:p w14:paraId="3CB514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8.采用整体式电池更换设计，不受安装高度/角度限制，维护便捷；</w:t>
            </w:r>
          </w:p>
          <w:p w14:paraId="75EECF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9.具备PIR+移动智能双重检测功能，有效降低误触发率；</w:t>
            </w:r>
          </w:p>
          <w:p w14:paraId="1CA2B9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10.兼容12节AA电池或6节18650电池供电，支持太阳能充电；</w:t>
            </w:r>
          </w:p>
          <w:p w14:paraId="314752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11.防护等级≥IP68，具备强抗冷热冲击性能；</w:t>
            </w:r>
          </w:p>
          <w:p w14:paraId="756148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12.配备850nm、940nm（无红曝）红外补光灯及白光LED灯（补光灯数量≥60个）；</w:t>
            </w:r>
          </w:p>
          <w:p w14:paraId="04F8A0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13.工作环境温度-40℃至+80℃；</w:t>
            </w:r>
          </w:p>
          <w:p w14:paraId="0AD572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14.配套含：太阳能板、电池、≥64GSD存储卡、物联网卡及安装配件</w:t>
            </w:r>
            <w:r>
              <w:rPr>
                <w:rFonts w:hint="eastAsia" w:ascii="宋体" w:hAnsi="宋体" w:eastAsia="宋体" w:cs="宋体"/>
                <w:i w:val="0"/>
                <w:iCs w:val="0"/>
                <w:color w:val="auto"/>
                <w:sz w:val="21"/>
                <w:szCs w:val="21"/>
                <w:highlight w:val="none"/>
                <w:u w:val="none"/>
                <w:lang w:eastAsia="zh-CN"/>
              </w:rPr>
              <w:t>。</w:t>
            </w:r>
          </w:p>
        </w:tc>
      </w:tr>
      <w:tr w14:paraId="17EA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CCAF">
            <w:pPr>
              <w:jc w:val="center"/>
              <w:rPr>
                <w:rFonts w:hint="eastAsia" w:ascii="宋体" w:hAnsi="宋体" w:eastAsia="宋体" w:cs="宋体"/>
                <w:i w:val="0"/>
                <w:iCs w:val="0"/>
                <w:color w:val="auto"/>
                <w:sz w:val="21"/>
                <w:szCs w:val="21"/>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DB4E">
            <w:pPr>
              <w:jc w:val="center"/>
              <w:rPr>
                <w:rFonts w:hint="eastAsia" w:ascii="宋体" w:hAnsi="宋体" w:eastAsia="宋体" w:cs="宋体"/>
                <w:i w:val="0"/>
                <w:iCs w:val="0"/>
                <w:color w:val="auto"/>
                <w:sz w:val="21"/>
                <w:szCs w:val="21"/>
                <w:highlight w:val="none"/>
                <w:u w:val="none"/>
              </w:rPr>
            </w:pPr>
          </w:p>
        </w:tc>
        <w:tc>
          <w:tcPr>
            <w:tcW w:w="6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6E6C">
            <w:pPr>
              <w:jc w:val="left"/>
              <w:rPr>
                <w:rFonts w:hint="eastAsia" w:ascii="宋体" w:hAnsi="宋体" w:eastAsia="宋体" w:cs="宋体"/>
                <w:i w:val="0"/>
                <w:iCs w:val="0"/>
                <w:color w:val="auto"/>
                <w:sz w:val="21"/>
                <w:szCs w:val="21"/>
                <w:highlight w:val="none"/>
                <w:u w:val="none"/>
              </w:rPr>
            </w:pPr>
          </w:p>
        </w:tc>
      </w:tr>
      <w:tr w14:paraId="1871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5" w:hRule="atLeast"/>
        </w:trPr>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50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3A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声纹监测仪</w:t>
            </w:r>
          </w:p>
        </w:tc>
        <w:tc>
          <w:tcPr>
            <w:tcW w:w="6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BF9A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1.具备4G全网通及自组网功能，支持国内主流运营商网络频段；</w:t>
            </w:r>
          </w:p>
          <w:p w14:paraId="0DCA5F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2.兼容HTTP、HTTPS、FTP等主流数据传输协议；</w:t>
            </w:r>
          </w:p>
          <w:p w14:paraId="0E59430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3.支持自动定位，可自动获取日期时间、经纬度、海拔信息；</w:t>
            </w:r>
          </w:p>
          <w:p w14:paraId="49F619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4.支持音频发送格式选择，包含无损高清及压缩格式；</w:t>
            </w:r>
          </w:p>
          <w:p w14:paraId="692BDA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5.具备心跳上报功能，可定期推送设备工作状态；</w:t>
            </w:r>
          </w:p>
          <w:p w14:paraId="02E033A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6.配备≥2个全向高灵敏度麦克风；</w:t>
            </w:r>
          </w:p>
          <w:p w14:paraId="32E2515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7.麦克风灵敏度支持-26dB/-32dB调节（0dB=1V/pa@1kHz）；</w:t>
            </w:r>
          </w:p>
          <w:p w14:paraId="7A1B683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8.信噪比≤-78dB（1V/pa@1kHz），动态声压监测范围30-126dB(SPL)；</w:t>
            </w:r>
          </w:p>
          <w:p w14:paraId="5E22CDF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9.支持双声道立体声、左/右单声道模式切换；</w:t>
            </w:r>
          </w:p>
          <w:p w14:paraId="362AB0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10.有效拾音距离≥100m；</w:t>
            </w:r>
          </w:p>
          <w:p w14:paraId="3705EE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11.关闭通讯状态下功耗≤150mw</w:t>
            </w:r>
          </w:p>
          <w:p w14:paraId="091444E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12.防护等级≥IP68；</w:t>
            </w:r>
          </w:p>
          <w:p w14:paraId="271C26E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13.兼容8/16节AA电池、6/12节18650电池供电，支持6-24V外接宽电压电源及太阳能充电；</w:t>
            </w:r>
          </w:p>
          <w:p w14:paraId="190B175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12.最大支持1T的SD卡存储；</w:t>
            </w:r>
          </w:p>
          <w:p w14:paraId="42AA33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13.工作环境温度-40℃至+80℃；</w:t>
            </w:r>
          </w:p>
          <w:p w14:paraId="4CBA07E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14.配套含：太阳能板、电池、≥256GSD存储卡、物联网卡及安装配件。</w:t>
            </w:r>
          </w:p>
        </w:tc>
      </w:tr>
      <w:tr w14:paraId="70FF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876C">
            <w:pPr>
              <w:jc w:val="center"/>
              <w:rPr>
                <w:rFonts w:hint="eastAsia" w:ascii="宋体" w:hAnsi="宋体" w:eastAsia="宋体" w:cs="宋体"/>
                <w:i w:val="0"/>
                <w:iCs w:val="0"/>
                <w:color w:val="auto"/>
                <w:sz w:val="21"/>
                <w:szCs w:val="21"/>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DE0B">
            <w:pPr>
              <w:jc w:val="center"/>
              <w:rPr>
                <w:rFonts w:hint="eastAsia" w:ascii="宋体" w:hAnsi="宋体" w:eastAsia="宋体" w:cs="宋体"/>
                <w:i w:val="0"/>
                <w:iCs w:val="0"/>
                <w:color w:val="auto"/>
                <w:sz w:val="21"/>
                <w:szCs w:val="21"/>
                <w:highlight w:val="none"/>
                <w:u w:val="none"/>
              </w:rPr>
            </w:pPr>
          </w:p>
        </w:tc>
        <w:tc>
          <w:tcPr>
            <w:tcW w:w="6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2875">
            <w:pPr>
              <w:jc w:val="left"/>
              <w:rPr>
                <w:rFonts w:hint="eastAsia" w:ascii="宋体" w:hAnsi="宋体" w:eastAsia="宋体" w:cs="宋体"/>
                <w:i w:val="0"/>
                <w:iCs w:val="0"/>
                <w:color w:val="auto"/>
                <w:sz w:val="21"/>
                <w:szCs w:val="21"/>
                <w:highlight w:val="none"/>
                <w:u w:val="none"/>
              </w:rPr>
            </w:pPr>
          </w:p>
        </w:tc>
      </w:tr>
      <w:tr w14:paraId="0A5F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1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06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雷达相机</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A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1.具备4G全网通无线通讯功能，支持国内主流运营商网络频段；</w:t>
            </w:r>
          </w:p>
          <w:p w14:paraId="0AECD7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2.具备冷血动物智能监测功能，无监测目标时为超低功耗待机状态（待机功耗≤150μA），检测到目标后可快速启动抓拍/录像；</w:t>
            </w:r>
          </w:p>
          <w:p w14:paraId="67E3230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3.配备≥2.0英寸前置高清全向屏，更换电池无需拆卸设备壳体；</w:t>
            </w:r>
          </w:p>
          <w:p w14:paraId="0739E49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4.具备环境光自适应调节功能，内置图像优化算法，可根据光线强度、目标距离自动调整曝光参数；</w:t>
            </w:r>
          </w:p>
          <w:p w14:paraId="562D0BC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5.采用整体式电池更换设计，不受安装高度/角度限制；</w:t>
            </w:r>
          </w:p>
          <w:p w14:paraId="1E7AC6F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6.具备自动休眠功能，开机无操作后自动进入监控模式；</w:t>
            </w:r>
          </w:p>
          <w:p w14:paraId="6476AD1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7.兼容8/16节AA电池或6/12节18650电池供电，支持太阳能充电；</w:t>
            </w:r>
          </w:p>
          <w:p w14:paraId="54121E7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8.支持单独拍照、单独录像、拍照+录像同步三种工作模式；</w:t>
            </w:r>
          </w:p>
          <w:p w14:paraId="70758F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9.防护等级≥IP68，可承受5米以上深水浸泡，具备强抗冷热冲击性能；</w:t>
            </w:r>
          </w:p>
          <w:p w14:paraId="1DFA1B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10.搭载F≥1.6大光圈镜头，水平视场角60-70度（满足监测覆盖需求），宽光谱兼容，高低温环境无焦距偏移；</w:t>
            </w:r>
          </w:p>
          <w:p w14:paraId="108772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11.内置耐低温计时电池，保障断电/低温环境下时间准确性；</w:t>
            </w:r>
          </w:p>
          <w:p w14:paraId="21036FA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12.超低功耗设计，待机电流≤150μA，白天整机工作电流＜200ma；</w:t>
            </w:r>
          </w:p>
          <w:p w14:paraId="5D8973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13.配备850nm、940nm（无红曝）红外补光灯及白光LED灯（补光灯数量≥6个）；</w:t>
            </w:r>
          </w:p>
          <w:p w14:paraId="6AD66E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14.配套含：太阳能板、电池、≥64GSD存储卡、物联网卡及安装配件。</w:t>
            </w:r>
          </w:p>
        </w:tc>
      </w:tr>
      <w:tr w14:paraId="29B2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1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鸟类视频监控设备</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D1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1.搭载≥400万像素成像设备，配备≥1/1.8英寸CMOS传感器；</w:t>
            </w:r>
          </w:p>
          <w:p w14:paraId="6B8E9F5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2.镜头等效焦距5.5mm-220mm，光学变焦倍数≥40倍；</w:t>
            </w:r>
          </w:p>
          <w:p w14:paraId="76FD1D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3.配备红外补光灯，有效补光距离≥100米，水平覆盖360°，垂直覆盖-15°至90°（支持自动翻转）；</w:t>
            </w:r>
          </w:p>
          <w:p w14:paraId="171A749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4.在2560×1440@25fps、6Mbps码率条件下，图像分辨力不低于1400线，红外模式250米处可识别人体轮廓；</w:t>
            </w:r>
          </w:p>
          <w:p w14:paraId="2B2A54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5.支持≥300个预置位、≥8条巡航路径、≥5条巡迹路径，支持RS485/RJ45接口优先控制；</w:t>
            </w:r>
          </w:p>
          <w:p w14:paraId="0376AB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6.在网络丢包率20%环境下可正常显示画面，支持SD卡/客户端存储（SD卡支持热插拔，最大存储容量≥256GB）；</w:t>
            </w:r>
          </w:p>
          <w:p w14:paraId="3420BF0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7.镜头前盖玻璃具备加热除冰、除水功能；</w:t>
            </w:r>
          </w:p>
          <w:p w14:paraId="3FFA213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8.可在DC12V±30%电压范围内稳定工作；</w:t>
            </w:r>
          </w:p>
          <w:p w14:paraId="3BE9E7E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9.防护等级≥IP67，具备TVS6000V防雷、防浪涌、防突波保护，可在-40℃~+70℃、湿度95%环境下24小时连续工作；</w:t>
            </w:r>
          </w:p>
          <w:p w14:paraId="27EFF58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10.配套含：太阳能板、立杆、电源控制箱、物联网卡及安装配件。</w:t>
            </w:r>
          </w:p>
        </w:tc>
      </w:tr>
      <w:tr w14:paraId="3013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8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61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生态环境因子传感器</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47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（一）监测指标及参数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1.温度：测量范围-40℃至80℃，分辨率0.1℃；</w:t>
            </w:r>
          </w:p>
          <w:p w14:paraId="6A44B12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2.湿度：测量范围0-100%RH，分辨率0.1%RH；</w:t>
            </w:r>
          </w:p>
          <w:p w14:paraId="5A5BA7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3.大气压力：测量范围10-1200mbar，分辨率0.012mbar，精度±1.5mbar（25℃1035mbar）；</w:t>
            </w:r>
          </w:p>
          <w:p w14:paraId="030E5A3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4.风速：测量范围0-30m/s，测量精度±1m/s；</w:t>
            </w:r>
          </w:p>
          <w:p w14:paraId="3144C74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5.风向：测量范围0-360°，测量精度±3°；</w:t>
            </w:r>
          </w:p>
          <w:p w14:paraId="465440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6.雨量：测量范围0.01mm～3mm/min，分辨率0.2mm，测量误差±3%；</w:t>
            </w:r>
          </w:p>
          <w:p w14:paraId="791BAA1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7.光照强度：量程0-20万Lux，分辨率1Lux，精度±5%（25℃）；</w:t>
            </w:r>
          </w:p>
          <w:p w14:paraId="43E04BF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8.噪声：测量范围50dB-130dB，分辨率0.1dB，测量误差±3%F.s；</w:t>
            </w:r>
          </w:p>
          <w:p w14:paraId="6D0E75A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9.紫外线：测量范围0-150W/m2，精度±3%（25℃）；</w:t>
            </w:r>
          </w:p>
          <w:p w14:paraId="6932F89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10.负氧离子：测量范围0-10万个/m³，分辨率1个/m³，误差±10%；</w:t>
            </w:r>
          </w:p>
          <w:p w14:paraId="7DC24E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11.能见度：量程0-10km，30°-40°前散射，≤2km误差±2%、2-10km误差±5%；</w:t>
            </w:r>
          </w:p>
          <w:p w14:paraId="4D07DCD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12.PM2.5/PM10：测量范围0-1000ug/m3，精度≤±10%（25℃），稳定性≤2%F·S，非线性≤1%F·S；</w:t>
            </w:r>
          </w:p>
          <w:p w14:paraId="26772C0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（二）配套功能及配件</w:t>
            </w:r>
          </w:p>
          <w:p w14:paraId="6A46C2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1.内置无线网络传输模块，可将监测数据传输至软件平台/数据中心（需提供第三方检测报告复印件）；</w:t>
            </w:r>
          </w:p>
          <w:p w14:paraId="160CB47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2.配套太阳能供电系统：包含太阳能电池板、控制器、中控箱、支架、长短圆臂、抱箍；</w:t>
            </w:r>
          </w:p>
          <w:p w14:paraId="6ED43D9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3.配套含：3米立杆、地笼、横臂、物联网卡及安装配件。</w:t>
            </w:r>
          </w:p>
        </w:tc>
      </w:tr>
      <w:tr w14:paraId="7C83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FD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4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物候监测仪</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01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具备4G全网通无线通讯功能，支持国内主流运营商网络频段；</w:t>
            </w:r>
          </w:p>
          <w:p w14:paraId="076C99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2.具备远程设备状态监测功能，可实时查看供电状态、存储介质剩余容量、无线通讯信号强度、数据传输流量、设备定位信息等核心运行参数，支持标准数据接口与第三方信息化系统对接；</w:t>
            </w:r>
          </w:p>
          <w:p w14:paraId="52636FE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3.具备无线通讯信号增强设计，保障户外复杂环境下的稳定数据传输；</w:t>
            </w:r>
          </w:p>
          <w:p w14:paraId="7C5FE3A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4.支持自动定位，可录制3K（2560*1920）/30帧有声视频，拍照有效像素≥3200万；</w:t>
            </w:r>
          </w:p>
          <w:p w14:paraId="3C0B9B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5.配备≥2.4寸可旋转高清显示屏，便于安装调试；</w:t>
            </w:r>
          </w:p>
          <w:p w14:paraId="520D5E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6.具备环境光自适应调节功能，内置图像优化算法，可根据光线强度、目标距离自动调整曝光参数；</w:t>
            </w:r>
          </w:p>
          <w:p w14:paraId="1D39867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7.兼容12节AA电池或6节18650电池供电，支持太阳能充电；</w:t>
            </w:r>
          </w:p>
          <w:p w14:paraId="4E18114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8.防护等级≥IP68，具备强抗冷热冲击性能；</w:t>
            </w:r>
          </w:p>
          <w:p w14:paraId="2E576E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9.配备850nm、940nm（无红曝）红外补光灯及白光LED灯（补光灯数量≥60个）；</w:t>
            </w:r>
          </w:p>
          <w:p w14:paraId="4E4787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10.工作环境温度-40℃至+80℃；</w:t>
            </w:r>
          </w:p>
          <w:p w14:paraId="6B7553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11.配套含：太阳能板、电池、≥64GSD存储卡、物联网卡及安装配件</w:t>
            </w:r>
            <w:r>
              <w:rPr>
                <w:rFonts w:hint="eastAsia" w:ascii="宋体" w:hAnsi="宋体" w:cs="宋体"/>
                <w:i w:val="0"/>
                <w:iCs w:val="0"/>
                <w:color w:val="auto"/>
                <w:kern w:val="0"/>
                <w:sz w:val="21"/>
                <w:szCs w:val="21"/>
                <w:highlight w:val="none"/>
                <w:u w:val="none"/>
                <w:lang w:val="en-US" w:eastAsia="zh-CN" w:bidi="ar"/>
              </w:rPr>
              <w:t>。</w:t>
            </w:r>
          </w:p>
        </w:tc>
      </w:tr>
      <w:tr w14:paraId="060E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BE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A7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土壤监测仪</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EA7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监测指标及参数</w:t>
            </w:r>
          </w:p>
          <w:p w14:paraId="1775406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温度：测量范围-40℃至80℃，分辨率0.1℃，精度±0.5℃（需提供第三方检测报告</w:t>
            </w:r>
            <w:r>
              <w:rPr>
                <w:rFonts w:hint="eastAsia" w:ascii="宋体" w:hAnsi="宋体" w:cs="宋体"/>
                <w:i w:val="0"/>
                <w:iCs w:val="0"/>
                <w:color w:val="auto"/>
                <w:kern w:val="0"/>
                <w:sz w:val="21"/>
                <w:szCs w:val="21"/>
                <w:highlight w:val="none"/>
                <w:u w:val="none"/>
                <w:lang w:val="en-US" w:eastAsia="zh-CN" w:bidi="ar"/>
              </w:rPr>
              <w:t>复印件</w:t>
            </w:r>
            <w:r>
              <w:rPr>
                <w:rFonts w:hint="eastAsia" w:ascii="宋体" w:hAnsi="宋体" w:eastAsia="宋体" w:cs="宋体"/>
                <w:i w:val="0"/>
                <w:iCs w:val="0"/>
                <w:color w:val="auto"/>
                <w:kern w:val="0"/>
                <w:sz w:val="21"/>
                <w:szCs w:val="21"/>
                <w:highlight w:val="none"/>
                <w:u w:val="none"/>
                <w:lang w:val="en-US" w:eastAsia="zh-CN" w:bidi="ar"/>
              </w:rPr>
              <w:t>）；</w:t>
            </w:r>
          </w:p>
          <w:p w14:paraId="32A08F6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水分：测量范围0-100%，分辨率0.10%，0-53%精度±3%、53-100%精度±5%（需提供第三方检测报告</w:t>
            </w:r>
            <w:r>
              <w:rPr>
                <w:rFonts w:hint="eastAsia" w:ascii="宋体" w:hAnsi="宋体" w:cs="宋体"/>
                <w:i w:val="0"/>
                <w:iCs w:val="0"/>
                <w:color w:val="auto"/>
                <w:kern w:val="0"/>
                <w:sz w:val="21"/>
                <w:szCs w:val="21"/>
                <w:highlight w:val="none"/>
                <w:u w:val="none"/>
                <w:lang w:val="en-US" w:eastAsia="zh-CN" w:bidi="ar"/>
              </w:rPr>
              <w:t>复印件</w:t>
            </w:r>
            <w:r>
              <w:rPr>
                <w:rFonts w:hint="eastAsia" w:ascii="宋体" w:hAnsi="宋体" w:eastAsia="宋体" w:cs="宋体"/>
                <w:i w:val="0"/>
                <w:iCs w:val="0"/>
                <w:color w:val="auto"/>
                <w:kern w:val="0"/>
                <w:sz w:val="21"/>
                <w:szCs w:val="21"/>
                <w:highlight w:val="none"/>
                <w:u w:val="none"/>
                <w:lang w:val="en-US" w:eastAsia="zh-CN" w:bidi="ar"/>
              </w:rPr>
              <w:t>）；</w:t>
            </w:r>
          </w:p>
          <w:p w14:paraId="3A2D4BD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电导率：测量范围0-10000us/cm，分辨率10us/cm（需提供第三方检测报告</w:t>
            </w:r>
            <w:r>
              <w:rPr>
                <w:rFonts w:hint="eastAsia" w:ascii="宋体" w:hAnsi="宋体" w:cs="宋体"/>
                <w:i w:val="0"/>
                <w:iCs w:val="0"/>
                <w:color w:val="auto"/>
                <w:kern w:val="0"/>
                <w:sz w:val="21"/>
                <w:szCs w:val="21"/>
                <w:highlight w:val="none"/>
                <w:u w:val="none"/>
                <w:lang w:val="en-US" w:eastAsia="zh-CN" w:bidi="ar"/>
              </w:rPr>
              <w:t>复印件</w:t>
            </w:r>
            <w:r>
              <w:rPr>
                <w:rFonts w:hint="eastAsia" w:ascii="宋体" w:hAnsi="宋体" w:eastAsia="宋体" w:cs="宋体"/>
                <w:i w:val="0"/>
                <w:iCs w:val="0"/>
                <w:color w:val="auto"/>
                <w:kern w:val="0"/>
                <w:sz w:val="21"/>
                <w:szCs w:val="21"/>
                <w:highlight w:val="none"/>
                <w:u w:val="none"/>
                <w:lang w:val="en-US" w:eastAsia="zh-CN" w:bidi="ar"/>
              </w:rPr>
              <w:t>）；</w:t>
            </w:r>
          </w:p>
          <w:p w14:paraId="799F23B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pH值：测量范围3-9pH，分辨率0.01pH，精度±0.3pH；</w:t>
            </w:r>
          </w:p>
          <w:p w14:paraId="069812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氮磷钾指数：测量范围0-1999mg/kg，分辨率1mg/kg，测量精度±2%F.s；</w:t>
            </w:r>
          </w:p>
          <w:p w14:paraId="3D938F1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w:t>
            </w:r>
            <w:r>
              <w:rPr>
                <w:rFonts w:hint="eastAsia" w:ascii="宋体" w:hAnsi="宋体" w:eastAsia="宋体" w:cs="宋体"/>
                <w:i w:val="0"/>
                <w:iCs w:val="0"/>
                <w:color w:val="auto"/>
                <w:kern w:val="0"/>
                <w:sz w:val="21"/>
                <w:szCs w:val="21"/>
                <w:highlight w:val="none"/>
                <w:u w:val="none"/>
                <w:lang w:val="en-US" w:eastAsia="zh-CN" w:bidi="ar"/>
              </w:rPr>
              <w:t>配套功能及配件</w:t>
            </w:r>
          </w:p>
          <w:p w14:paraId="3911D3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配套太阳能供电系统：包含太阳能电池板、控制器、防水不锈钢箱、支架、长短圆臂；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配套含：2.5米立杆、横臂、地笼、物联网卡及安装配件</w:t>
            </w:r>
          </w:p>
        </w:tc>
      </w:tr>
      <w:tr w14:paraId="0D99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F01">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FB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生态流量监测设备</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863">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雷达流量计</w:t>
            </w:r>
          </w:p>
          <w:p w14:paraId="11A37BB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测速范围0.1～20m/s，精度±0.01m/s，分辨率0.01m/s；</w:t>
            </w:r>
          </w:p>
          <w:p w14:paraId="531117A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支持双向流速自动识别，测量频率1次/s；</w:t>
            </w:r>
          </w:p>
          <w:p w14:paraId="7280CD3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测速/测距雷达频率24GHz，俯仰角30～70°（精度±1°，分辨率0.1°）；</w:t>
            </w:r>
          </w:p>
          <w:p w14:paraId="0E042CF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测速天线波束角12×12°，测距量程0.2～30m（精度±3mm，分辨率1mm，盲区≤20cm）；</w:t>
            </w:r>
          </w:p>
          <w:p w14:paraId="7935DC9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测距天线波束角11°，工作温度-35℃~75℃，储存温度-40℃~80℃；</w:t>
            </w:r>
          </w:p>
          <w:p w14:paraId="7579A11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湿度95%RH无凝露，防护等级≥IP67，通信方式支持RS485；</w:t>
            </w:r>
          </w:p>
          <w:p w14:paraId="0796E02F">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常规水质监测仪</w:t>
            </w:r>
          </w:p>
          <w:p w14:paraId="398517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水温：测量范围0℃至55℃，分辨率0.1℃，精度±0.5℃；</w:t>
            </w:r>
          </w:p>
          <w:p w14:paraId="0C656E5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浊度：量程0-1000NTU，分辨率1NTU，测量精度±3%F.s；</w:t>
            </w:r>
          </w:p>
          <w:p w14:paraId="775FE7F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pH值：量程0-14pH，分辨率0.01pH，精度±0.5pH（需提供第三方检测报告）；</w:t>
            </w:r>
          </w:p>
          <w:p w14:paraId="1E587EF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电导率：量程2~2000uS/cm，测量精度±3%F.s；</w:t>
            </w:r>
          </w:p>
          <w:p w14:paraId="181DE57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溶解氧：量程0-20mg/L，分辨率0.01mg/L，检测下限0.02mg/L，测量精度±3%F.s；</w:t>
            </w:r>
          </w:p>
          <w:p w14:paraId="2B56524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w:t>
            </w:r>
            <w:r>
              <w:rPr>
                <w:rFonts w:hint="eastAsia" w:ascii="宋体" w:hAnsi="宋体" w:eastAsia="宋体" w:cs="宋体"/>
                <w:i w:val="0"/>
                <w:iCs w:val="0"/>
                <w:color w:val="auto"/>
                <w:kern w:val="0"/>
                <w:sz w:val="21"/>
                <w:szCs w:val="21"/>
                <w:highlight w:val="none"/>
                <w:u w:val="none"/>
                <w:lang w:val="en-US" w:eastAsia="zh-CN" w:bidi="ar"/>
              </w:rPr>
              <w:t>配套功能及配件</w:t>
            </w:r>
          </w:p>
          <w:p w14:paraId="3857BD1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配套太阳能供电系统：包含太阳能电池板、控制器、中控箱、支架、长短圆臂、抱箍；</w:t>
            </w:r>
          </w:p>
          <w:p w14:paraId="0837FBF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配套含：水质浮漂支架、3米立杆、地笼、物联网卡及安装配件</w:t>
            </w:r>
            <w:r>
              <w:rPr>
                <w:rFonts w:hint="eastAsia" w:ascii="宋体" w:hAnsi="宋体" w:cs="宋体"/>
                <w:i w:val="0"/>
                <w:iCs w:val="0"/>
                <w:color w:val="auto"/>
                <w:kern w:val="0"/>
                <w:sz w:val="21"/>
                <w:szCs w:val="21"/>
                <w:highlight w:val="none"/>
                <w:u w:val="none"/>
                <w:lang w:val="en-US" w:eastAsia="zh-CN" w:bidi="ar"/>
              </w:rPr>
              <w:t>。</w:t>
            </w:r>
          </w:p>
        </w:tc>
      </w:tr>
      <w:tr w14:paraId="0849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A56">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2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远程数据采集与传输设备</w:t>
            </w:r>
          </w:p>
        </w:tc>
        <w:tc>
          <w:tcPr>
            <w:tcW w:w="6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5FC0">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（一）生态安全监测数据分析设备</w:t>
            </w:r>
          </w:p>
          <w:p w14:paraId="32EE18E5">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1.处理器：≥2颗32核，双CPU合计≥64核；</w:t>
            </w:r>
          </w:p>
          <w:p w14:paraId="57689488">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2.内存：配置≥2条32GB DDR4 UDIMM内存，总容量≥64GB，配备≥16个DDR4内存插槽；</w:t>
            </w:r>
          </w:p>
          <w:p w14:paraId="29F79D43">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3.硬盘：数据盘≥3块×4TB  HDD ；</w:t>
            </w:r>
          </w:p>
          <w:p w14:paraId="077623D1">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4.RAID控制器：1GB缓存（支持扩展至2GB），支持RAID0/1/5/6/10/50/60等RAID模式；</w:t>
            </w:r>
          </w:p>
          <w:p w14:paraId="3F69C50E">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5.接口：≥2个GE电口（RJ45接口）、≥2个10GE光口；</w:t>
            </w:r>
          </w:p>
          <w:p w14:paraId="5E88CC15">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6.电源：≥2个、支持1+1冗余模式（1个工作、1个备用）；</w:t>
            </w:r>
          </w:p>
          <w:p w14:paraId="3717852A">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7.显卡：1块≥48G，独立显卡， AI算力≥140 TOPS；</w:t>
            </w:r>
          </w:p>
          <w:p w14:paraId="3B90907E">
            <w:pPr>
              <w:widowControl/>
              <w:numPr>
                <w:ilvl w:val="-1"/>
                <w:numId w:val="0"/>
              </w:numPr>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8.兼容性：支持银河麒麟、中标麒麟、深度OS等国产化操作系统，适配主流国产芯片，国产数据库、中间件等信创产品兼容适配。</w:t>
            </w:r>
          </w:p>
          <w:p w14:paraId="641A34FB">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（二）生态安全监测预警平台运行设备</w:t>
            </w:r>
          </w:p>
          <w:p w14:paraId="546D68C0">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1.处理器：≥1颗16核，支持双CPU；</w:t>
            </w:r>
          </w:p>
          <w:p w14:paraId="7FC64844">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2.内存：配置≥1条32GB DDR4 UDIMM内存，总容量≥32GB，配备≥16个DDR4内存插槽；</w:t>
            </w:r>
          </w:p>
          <w:p w14:paraId="1E2CD3AD">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3.硬盘：数据盘≥2块1.2T SAS；</w:t>
            </w:r>
          </w:p>
          <w:p w14:paraId="134451EC">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4.RAID控制器：支持RAID0/1等RAID模式；</w:t>
            </w:r>
          </w:p>
          <w:p w14:paraId="4035BB99">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5.接口：≥2个GE电口（RJ45接口）、≥2个10GE光口；</w:t>
            </w:r>
          </w:p>
          <w:p w14:paraId="27610387">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6.电源：≥2个、支持1+1冗余模式（1个工作、1个备用）；</w:t>
            </w:r>
          </w:p>
          <w:p w14:paraId="577CDCE7">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7.兼容性：支持银河麒麟、中标麒麟、深度OS等国产化操作系统，适配主流国产芯片，国产数据库、中间件等信创产品兼容适配。</w:t>
            </w:r>
          </w:p>
          <w:p w14:paraId="32EF3A26">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（三）生态安全监测预警平台防护设备</w:t>
            </w:r>
          </w:p>
          <w:p w14:paraId="7CBA1AB0">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cs="宋体"/>
                <w:color w:val="auto"/>
                <w:kern w:val="0"/>
                <w:szCs w:val="21"/>
                <w:highlight w:val="none"/>
                <w:u w:val="none"/>
                <w:lang w:val="en-US" w:eastAsia="zh-CN" w:bidi="ar"/>
              </w:rPr>
              <w:t xml:space="preserve">1.硬件：千兆电口≥8个，千兆光口≥4个，≥2个扩展槽，双交流电源，高度1U； </w:t>
            </w:r>
          </w:p>
          <w:p w14:paraId="70DA2D90">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 xml:space="preserve">2.性能：吞吐量≥4Gbps，并发连接≥390万/秒,新建连接≥9万/秒； </w:t>
            </w:r>
          </w:p>
          <w:p w14:paraId="235F9773">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3.适配：支持主流国产化芯片和国产化操作系统；</w:t>
            </w:r>
          </w:p>
          <w:p w14:paraId="17B32838">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 xml:space="preserve">4.支持IPSec VPN、L2TP VPN、GRE VPN、SSL VPN，配置SSL VPN并发用户≥10个； </w:t>
            </w:r>
          </w:p>
          <w:p w14:paraId="3AD79855">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 xml:space="preserve">5.安全防护功能：支持深入到应用层的防护，内嵌丰富的应用层过滤与控制引擎，可支持IPS、防病毒、流控等功能，支持可升级的专业特征库； </w:t>
            </w:r>
          </w:p>
          <w:p w14:paraId="09244300">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6.支持一对一、地址池等NAT方式；支持多种应用协议，如FTP、H.323、RTSP、SIP、DNS、PPTP的NAT ALG功能；</w:t>
            </w:r>
          </w:p>
          <w:p w14:paraId="0B8F258A">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7.其他模块：病毒库、 IPS特征库。</w:t>
            </w:r>
          </w:p>
          <w:p w14:paraId="6A7BE03C">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（四）生态安全监测数据交换设备</w:t>
            </w:r>
          </w:p>
          <w:p w14:paraId="73E45809">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1.交换容量：≥1.36Tbps，整机转发性能≥280 Mpps，如有双重指标X/Y，以小指标X为准；</w:t>
            </w:r>
          </w:p>
          <w:p w14:paraId="4AEDB9B3">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2.固化接口：固化千兆电口≥24个，万兆光口≥4个；</w:t>
            </w:r>
          </w:p>
          <w:p w14:paraId="11D379B1">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3.形态、电源配置及芯片：标准化1U设备，支持可插拔冗余双电源，实配2个电源；支持国产化交换芯片；</w:t>
            </w:r>
          </w:p>
          <w:p w14:paraId="61A94CA2">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cs="宋体"/>
                <w:color w:val="auto"/>
                <w:kern w:val="0"/>
                <w:szCs w:val="21"/>
                <w:highlight w:val="none"/>
                <w:u w:val="none"/>
                <w:lang w:val="en-US" w:eastAsia="zh-CN" w:bidi="ar"/>
              </w:rPr>
              <w:t>4.功耗：为节能环保考虑，设备最大功耗小于42W，提供官网功耗截图；</w:t>
            </w:r>
          </w:p>
          <w:p w14:paraId="56BD9D43">
            <w:pPr>
              <w:widowControl/>
              <w:numPr>
                <w:ilvl w:val="-1"/>
                <w:numId w:val="0"/>
              </w:numPr>
              <w:spacing w:line="360" w:lineRule="auto"/>
              <w:jc w:val="left"/>
              <w:textAlignment w:val="center"/>
              <w:rPr>
                <w:rFonts w:hint="eastAsia" w:ascii="宋体" w:hAnsi="宋体" w:cs="宋体"/>
                <w:color w:val="auto"/>
                <w:kern w:val="0"/>
                <w:szCs w:val="21"/>
                <w:highlight w:val="none"/>
                <w:u w:val="none"/>
                <w:lang w:val="en-US" w:eastAsia="zh-CN" w:bidi="ar"/>
              </w:rPr>
            </w:pPr>
            <w:r>
              <w:rPr>
                <w:rFonts w:hint="eastAsia" w:ascii="宋体" w:hAnsi="宋体" w:cs="宋体"/>
                <w:color w:val="auto"/>
                <w:kern w:val="0"/>
                <w:szCs w:val="21"/>
                <w:highlight w:val="none"/>
                <w:u w:val="none"/>
                <w:lang w:val="en-US" w:eastAsia="zh-CN" w:bidi="ar"/>
              </w:rPr>
              <w:t>5.支持IPv4和IPv6的三层路由功能，支持静态路由、RIP、OSPF；支持多虚一虚拟化技术，将多台物理设备虚拟化为1台逻辑设备。</w:t>
            </w:r>
          </w:p>
        </w:tc>
      </w:tr>
    </w:tbl>
    <w:p w14:paraId="0FE9D9C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F58EDCA">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（三）监测预警平台开发</w:t>
      </w:r>
    </w:p>
    <w:p w14:paraId="0A5D13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质量要求：系统稳定流畅，无卡顿、闪退问题，AI识别精度≥85%，界面友好、操作便捷，具备可扩展性与兼容性。</w:t>
      </w:r>
    </w:p>
    <w:p w14:paraId="4A1DCA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2.具体技术参数要求</w:t>
      </w:r>
      <w:r>
        <w:rPr>
          <w:rFonts w:hint="eastAsia" w:ascii="宋体" w:hAnsi="宋体" w:eastAsia="宋体" w:cs="宋体"/>
          <w:color w:val="auto"/>
          <w:sz w:val="21"/>
          <w:szCs w:val="21"/>
          <w:highlight w:val="none"/>
        </w:rPr>
        <w:t>：</w:t>
      </w:r>
    </w:p>
    <w:tbl>
      <w:tblPr>
        <w:tblStyle w:val="26"/>
        <w:tblW w:w="9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2152"/>
        <w:gridCol w:w="6778"/>
      </w:tblGrid>
      <w:tr w14:paraId="1F26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8F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eastAsia="宋体" w:cs="Times New Roman"/>
                <w:i w:val="0"/>
                <w:iCs w:val="0"/>
                <w:color w:val="auto"/>
                <w:sz w:val="21"/>
                <w:szCs w:val="21"/>
                <w:highlight w:val="none"/>
                <w:u w:val="none"/>
                <w:lang w:val="en-US" w:eastAsia="zh-CN"/>
              </w:rPr>
              <w:t>序号</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B0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项目内容</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14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技术参数</w:t>
            </w:r>
          </w:p>
        </w:tc>
      </w:tr>
      <w:tr w14:paraId="5969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1D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D3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生态系统管理模块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76E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支持保护区历史生态系统相关数据的导入、存储、展示及多条件查询；</w:t>
            </w:r>
          </w:p>
          <w:p w14:paraId="2B05CD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支持区域内实时遥感影像图的导入、预览及下载；</w:t>
            </w:r>
          </w:p>
          <w:p w14:paraId="7A0263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3.内置生态指标算法，可通过遥感影像测算生态相关指标，并基于历史数据计算指标变化率；</w:t>
            </w:r>
          </w:p>
          <w:p w14:paraId="1A0EE03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4.支持数据结果可视化展示，具备报表导出及数据共享功能，数据格式兼容主流办公软件</w:t>
            </w:r>
            <w:r>
              <w:rPr>
                <w:rFonts w:hint="eastAsia" w:ascii="宋体" w:hAnsi="宋体" w:cs="宋体"/>
                <w:i w:val="0"/>
                <w:iCs w:val="0"/>
                <w:color w:val="auto"/>
                <w:kern w:val="0"/>
                <w:sz w:val="21"/>
                <w:szCs w:val="21"/>
                <w:highlight w:val="none"/>
                <w:u w:val="none"/>
                <w:lang w:val="en-US" w:eastAsia="zh-CN" w:bidi="ar"/>
              </w:rPr>
              <w:t>。</w:t>
            </w:r>
          </w:p>
        </w:tc>
      </w:tr>
      <w:tr w14:paraId="26F7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F9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4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无人机管理模块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EEC">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设备接入管理：支持无人机机场、飞行平台、挂载负载等设备的统一接入、信息管理及状态监控；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任务管理：支持创建飞行任务，可设置任务名称、类型、描述、执行周期（立即/定时/重复）、执行对象、航线配置、返航高度、失控操作等参数；</w:t>
            </w:r>
          </w:p>
          <w:p w14:paraId="43117B74">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航线管理：支持在平台地图上手动绘点规划航线，可添加航点动作（飞行器/云台/相机动作），支持第三方航线文件导入；</w:t>
            </w:r>
          </w:p>
          <w:p w14:paraId="602BDB24">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飞控管理：支持对无人机机场、飞行平台、负载设备的远程控制，实现无人机升降、进退、转向、平移等操作；</w:t>
            </w:r>
          </w:p>
          <w:p w14:paraId="36B2421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5.数据管理：支持飞行任务数据自动上传、归档、查询，可实时直播无人机/机场画面，支持历史视频回放、下载及事件记录管理</w:t>
            </w:r>
            <w:r>
              <w:rPr>
                <w:rFonts w:hint="eastAsia" w:ascii="宋体" w:hAnsi="宋体" w:cs="宋体"/>
                <w:i w:val="0"/>
                <w:iCs w:val="0"/>
                <w:color w:val="auto"/>
                <w:kern w:val="0"/>
                <w:sz w:val="21"/>
                <w:szCs w:val="21"/>
                <w:highlight w:val="none"/>
                <w:u w:val="none"/>
                <w:lang w:val="en-US" w:eastAsia="zh-CN" w:bidi="ar"/>
              </w:rPr>
              <w:t>。</w:t>
            </w:r>
          </w:p>
        </w:tc>
      </w:tr>
      <w:tr w14:paraId="6D10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EC0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45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环境要素管理模块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026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支持生态环境因子传感器、</w:t>
            </w:r>
            <w:r>
              <w:rPr>
                <w:rFonts w:hint="eastAsia" w:ascii="宋体" w:hAnsi="宋体" w:cs="宋体"/>
                <w:i w:val="0"/>
                <w:iCs w:val="0"/>
                <w:color w:val="auto"/>
                <w:kern w:val="0"/>
                <w:sz w:val="21"/>
                <w:szCs w:val="21"/>
                <w:highlight w:val="none"/>
                <w:u w:val="none"/>
                <w:lang w:val="en-US" w:eastAsia="zh-CN" w:bidi="ar"/>
              </w:rPr>
              <w:t>物候监测仪、</w:t>
            </w:r>
            <w:r>
              <w:rPr>
                <w:rFonts w:hint="eastAsia" w:ascii="宋体" w:hAnsi="宋体" w:eastAsia="宋体" w:cs="宋体"/>
                <w:i w:val="0"/>
                <w:iCs w:val="0"/>
                <w:color w:val="auto"/>
                <w:kern w:val="0"/>
                <w:sz w:val="21"/>
                <w:szCs w:val="21"/>
                <w:highlight w:val="none"/>
                <w:u w:val="none"/>
                <w:lang w:val="en-US" w:eastAsia="zh-CN" w:bidi="ar"/>
              </w:rPr>
              <w:t>土壤监测仪、生态流量监测设备等前端设备数据</w:t>
            </w:r>
            <w:r>
              <w:rPr>
                <w:rFonts w:hint="eastAsia" w:ascii="宋体" w:hAnsi="宋体" w:cs="宋体"/>
                <w:i w:val="0"/>
                <w:iCs w:val="0"/>
                <w:color w:val="auto"/>
                <w:kern w:val="0"/>
                <w:sz w:val="21"/>
                <w:szCs w:val="21"/>
                <w:highlight w:val="none"/>
                <w:u w:val="none"/>
                <w:lang w:val="en-US" w:eastAsia="zh-CN" w:bidi="ar"/>
              </w:rPr>
              <w:t>支持通过接口、数据库、文件交换等方式接入，满足数据接入、预警、展示、权限管理、报表导出等业务目标</w:t>
            </w:r>
            <w:r>
              <w:rPr>
                <w:rFonts w:hint="eastAsia" w:ascii="宋体" w:hAnsi="宋体" w:eastAsia="宋体" w:cs="宋体"/>
                <w:i w:val="0"/>
                <w:iCs w:val="0"/>
                <w:color w:val="auto"/>
                <w:kern w:val="0"/>
                <w:sz w:val="21"/>
                <w:szCs w:val="21"/>
                <w:highlight w:val="none"/>
                <w:u w:val="none"/>
                <w:lang w:val="en-US" w:eastAsia="zh-CN" w:bidi="ar"/>
              </w:rPr>
              <w:t>及实时采集；</w:t>
            </w:r>
          </w:p>
          <w:p w14:paraId="5EEF933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2.具备数据统计、分析及可视化展示功能，支持多维度数据对比及趋势分析；</w:t>
            </w:r>
          </w:p>
          <w:p w14:paraId="634B5B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3.支持自定义设置数据预警阈值，具备异常数据自动提醒功能（提醒方式包括平台弹窗、短信、邮件等）；</w:t>
            </w:r>
          </w:p>
          <w:p w14:paraId="27A1996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4.支持数据导出及报表自动生成，数据保留周期满足项目要求</w:t>
            </w:r>
            <w:r>
              <w:rPr>
                <w:rFonts w:hint="eastAsia" w:ascii="宋体" w:hAnsi="宋体" w:cs="宋体"/>
                <w:i w:val="0"/>
                <w:iCs w:val="0"/>
                <w:color w:val="auto"/>
                <w:kern w:val="0"/>
                <w:sz w:val="21"/>
                <w:szCs w:val="21"/>
                <w:highlight w:val="none"/>
                <w:u w:val="none"/>
                <w:lang w:val="en-US" w:eastAsia="zh-CN" w:bidi="ar"/>
              </w:rPr>
              <w:t>。</w:t>
            </w:r>
          </w:p>
        </w:tc>
      </w:tr>
      <w:tr w14:paraId="5789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057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9D82">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生物多样性管理模块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E0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支持监测样地本底数据的入库、整合、分类及可视化呈现；</w:t>
            </w:r>
          </w:p>
          <w:p w14:paraId="68624A9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2.支持红外相机、声纹监测仪、雷达相机、鸟类视频监控设备、物候监测仪等智能化监测设备数据的统一接入；</w:t>
            </w:r>
          </w:p>
          <w:p w14:paraId="1A7089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3.支持构建物种信息数据库，具备物种分布、数量变化等数据的统计及分析功能；</w:t>
            </w:r>
          </w:p>
          <w:p w14:paraId="7F464B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4.具备AI物种识别功能，支持识别记录的检索、管理及人工复核，识别准确率满足项目需求</w:t>
            </w:r>
            <w:r>
              <w:rPr>
                <w:rFonts w:hint="eastAsia" w:ascii="宋体" w:hAnsi="宋体" w:cs="宋体"/>
                <w:i w:val="0"/>
                <w:iCs w:val="0"/>
                <w:color w:val="auto"/>
                <w:kern w:val="0"/>
                <w:sz w:val="21"/>
                <w:szCs w:val="21"/>
                <w:highlight w:val="none"/>
                <w:u w:val="none"/>
                <w:lang w:val="en-US" w:eastAsia="zh-CN" w:bidi="ar"/>
              </w:rPr>
              <w:t>。</w:t>
            </w:r>
          </w:p>
        </w:tc>
      </w:tr>
      <w:tr w14:paraId="7069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9A3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F2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人为干扰活动管理模块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56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支持对接无人机、红外相机等监控设备数据，</w:t>
            </w:r>
            <w:r>
              <w:rPr>
                <w:rFonts w:hint="eastAsia" w:ascii="宋体" w:hAnsi="宋体" w:cs="宋体"/>
                <w:i w:val="0"/>
                <w:iCs w:val="0"/>
                <w:color w:val="auto"/>
                <w:kern w:val="0"/>
                <w:sz w:val="21"/>
                <w:szCs w:val="21"/>
                <w:highlight w:val="none"/>
                <w:u w:val="none"/>
                <w:lang w:val="en-US" w:eastAsia="zh-CN" w:bidi="ar"/>
              </w:rPr>
              <w:t>具备AI算法或可接入AI识别能力，</w:t>
            </w:r>
            <w:r>
              <w:rPr>
                <w:rFonts w:hint="eastAsia" w:ascii="宋体" w:hAnsi="宋体" w:eastAsia="宋体" w:cs="宋体"/>
                <w:i w:val="0"/>
                <w:iCs w:val="0"/>
                <w:color w:val="auto"/>
                <w:kern w:val="0"/>
                <w:sz w:val="21"/>
                <w:szCs w:val="21"/>
                <w:highlight w:val="none"/>
                <w:u w:val="none"/>
                <w:lang w:val="en-US" w:eastAsia="zh-CN" w:bidi="ar"/>
              </w:rPr>
              <w:t>可自动识别人为干扰活动；</w:t>
            </w:r>
          </w:p>
          <w:p w14:paraId="0DBD1D5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2.具备人为干扰活动记录功能，可记录事件时间、位置、类型、现场数据等信息；</w:t>
            </w:r>
          </w:p>
          <w:p w14:paraId="3EC7E1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3.支持记录的查询、统计、分析及可视化展示，支持按时间、区域、事件类型等多维度筛选；</w:t>
            </w:r>
          </w:p>
          <w:p w14:paraId="176DCA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4.具备事件处理流程管理功能，支持事件跟踪及处理结果记录</w:t>
            </w:r>
            <w:r>
              <w:rPr>
                <w:rFonts w:hint="eastAsia" w:ascii="宋体" w:hAnsi="宋体" w:cs="宋体"/>
                <w:i w:val="0"/>
                <w:iCs w:val="0"/>
                <w:color w:val="auto"/>
                <w:kern w:val="0"/>
                <w:sz w:val="21"/>
                <w:szCs w:val="21"/>
                <w:highlight w:val="none"/>
                <w:u w:val="none"/>
                <w:lang w:val="en-US" w:eastAsia="zh-CN" w:bidi="ar"/>
              </w:rPr>
              <w:t>。</w:t>
            </w:r>
          </w:p>
        </w:tc>
      </w:tr>
      <w:tr w14:paraId="2C0F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35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99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火情识别预警模块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C5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支持对接无人机采集的视频数据，</w:t>
            </w:r>
            <w:r>
              <w:rPr>
                <w:rFonts w:hint="eastAsia" w:ascii="宋体" w:hAnsi="宋体" w:cs="宋体"/>
                <w:i w:val="0"/>
                <w:iCs w:val="0"/>
                <w:color w:val="auto"/>
                <w:kern w:val="0"/>
                <w:sz w:val="21"/>
                <w:szCs w:val="21"/>
                <w:highlight w:val="none"/>
                <w:u w:val="none"/>
                <w:lang w:val="en-US" w:eastAsia="zh-CN" w:bidi="ar"/>
              </w:rPr>
              <w:t>具备AI算法或可接入AI识别能力，</w:t>
            </w:r>
            <w:r>
              <w:rPr>
                <w:rFonts w:hint="eastAsia" w:ascii="宋体" w:hAnsi="宋体" w:eastAsia="宋体" w:cs="宋体"/>
                <w:i w:val="0"/>
                <w:iCs w:val="0"/>
                <w:color w:val="auto"/>
                <w:kern w:val="0"/>
                <w:sz w:val="21"/>
                <w:szCs w:val="21"/>
                <w:highlight w:val="none"/>
                <w:u w:val="none"/>
                <w:lang w:val="en-US" w:eastAsia="zh-CN" w:bidi="ar"/>
              </w:rPr>
              <w:t>可自动识别火情、烟点等异常情况；</w:t>
            </w:r>
          </w:p>
          <w:p w14:paraId="12796E2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2.具备火情事件记录功能，可记录事件时间、位置、等级等信息，支持自动预警（预警方式包括平台弹窗、短信、邮件等）；</w:t>
            </w:r>
          </w:p>
          <w:p w14:paraId="0573822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3.支持火情记录的查询、统计、分析及轨迹追踪，支持生成火情分析报告；</w:t>
            </w:r>
          </w:p>
          <w:p w14:paraId="3464AA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4.支持与应急指挥系统对接，实现预警信息快速推送</w:t>
            </w:r>
            <w:r>
              <w:rPr>
                <w:rFonts w:hint="eastAsia" w:ascii="宋体" w:hAnsi="宋体" w:cs="宋体"/>
                <w:i w:val="0"/>
                <w:iCs w:val="0"/>
                <w:color w:val="auto"/>
                <w:kern w:val="0"/>
                <w:sz w:val="21"/>
                <w:szCs w:val="21"/>
                <w:highlight w:val="none"/>
                <w:u w:val="none"/>
                <w:lang w:val="en-US" w:eastAsia="zh-CN" w:bidi="ar"/>
              </w:rPr>
              <w:t>。</w:t>
            </w:r>
          </w:p>
        </w:tc>
      </w:tr>
      <w:tr w14:paraId="7BAE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D4B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13A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生态安全风险监测预警信息平台"一张图"</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30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基于GIS地理信息技术，实现生态系统数据、各类监测数据的一体化可视化展示；</w:t>
            </w:r>
          </w:p>
          <w:p w14:paraId="2E38BC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2.支持在空间、时间尺度下对生态系统、火情监测、人为活动、生物多样性等监测主题进行数据分析及专项统计；</w:t>
            </w:r>
          </w:p>
          <w:p w14:paraId="0A2457A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3.生物多样性专题：支持图像兽类识别、声纹鸟类识别、视频实时AI推理，可分析物种分布频次、节律变化，开展重点保护物种、受胁濒危物种分析，构建热点分布、空缺保护分析模型；</w:t>
            </w:r>
          </w:p>
          <w:p w14:paraId="57E6D71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4.无人机飞行专题：支持飞行实时直播、定时任务巡检、巡航记录/轨迹查询，可统计分析飞行过程中发现的人为干扰、火点、烟感告警等事件；</w:t>
            </w:r>
          </w:p>
          <w:p w14:paraId="2FB908D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5.生态系统专题：支持遥感数据加载及生态系统面积变化趋势分析；</w:t>
            </w:r>
          </w:p>
          <w:p w14:paraId="4FAE576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6.人为干扰专题：支持对干扰事件的位置、时间、频次、节律、热力分布等数据进行统计分析；</w:t>
            </w:r>
          </w:p>
          <w:p w14:paraId="0DDDE52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7.支持用户权限管理，具备不同角色的功能权限分配功能</w:t>
            </w:r>
            <w:r>
              <w:rPr>
                <w:rFonts w:hint="eastAsia" w:ascii="宋体" w:hAnsi="宋体" w:cs="宋体"/>
                <w:i w:val="0"/>
                <w:iCs w:val="0"/>
                <w:color w:val="auto"/>
                <w:kern w:val="0"/>
                <w:sz w:val="21"/>
                <w:szCs w:val="21"/>
                <w:highlight w:val="none"/>
                <w:u w:val="none"/>
                <w:lang w:val="en-US" w:eastAsia="zh-CN" w:bidi="ar"/>
              </w:rPr>
              <w:t>。</w:t>
            </w:r>
          </w:p>
        </w:tc>
      </w:tr>
    </w:tbl>
    <w:p w14:paraId="461664BE">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（四）设备运维服务</w:t>
      </w:r>
    </w:p>
    <w:p w14:paraId="11856701">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质量要求：建立完善运维台账，确保设备正常运行率≥95%，数据采集完整率≥98%，平台系统可用率≥99%。</w:t>
      </w:r>
    </w:p>
    <w:p w14:paraId="2B7C78F2">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r>
        <w:rPr>
          <w:rFonts w:hint="eastAsia" w:ascii="宋体" w:hAnsi="宋体" w:cs="宋体"/>
          <w:color w:val="auto"/>
          <w:sz w:val="21"/>
          <w:szCs w:val="21"/>
          <w:highlight w:val="none"/>
          <w:lang w:eastAsia="zh-CN"/>
        </w:rPr>
        <w:t>在合同履行期内</w:t>
      </w:r>
      <w:r>
        <w:rPr>
          <w:rFonts w:hint="eastAsia" w:ascii="宋体" w:hAnsi="宋体" w:eastAsia="宋体" w:cs="宋体"/>
          <w:color w:val="auto"/>
          <w:sz w:val="21"/>
          <w:szCs w:val="21"/>
          <w:highlight w:val="none"/>
        </w:rPr>
        <w:t>提供设备安装调试、定期巡检、故障维修、</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rPr>
        <w:t>耗材</w:t>
      </w:r>
      <w:r>
        <w:rPr>
          <w:rFonts w:hint="eastAsia" w:ascii="宋体" w:hAnsi="宋体" w:cs="宋体"/>
          <w:color w:val="auto"/>
          <w:sz w:val="21"/>
          <w:szCs w:val="21"/>
          <w:highlight w:val="none"/>
          <w:lang w:val="en-US" w:eastAsia="zh-CN"/>
        </w:rPr>
        <w:t>维修</w:t>
      </w:r>
      <w:r>
        <w:rPr>
          <w:rFonts w:hint="eastAsia" w:ascii="宋体" w:hAnsi="宋体" w:eastAsia="宋体" w:cs="宋体"/>
          <w:color w:val="auto"/>
          <w:sz w:val="21"/>
          <w:szCs w:val="21"/>
          <w:highlight w:val="none"/>
        </w:rPr>
        <w:t>更换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通讯网络保障</w:t>
      </w:r>
      <w:r>
        <w:rPr>
          <w:rFonts w:hint="eastAsia" w:ascii="宋体" w:hAnsi="宋体" w:eastAsia="宋体" w:cs="宋体"/>
          <w:color w:val="auto"/>
          <w:sz w:val="21"/>
          <w:szCs w:val="21"/>
          <w:highlight w:val="none"/>
        </w:rPr>
        <w:t>等服务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配备专业运维团队，具备生态环境监测设备运维资质与经验。</w:t>
      </w:r>
    </w:p>
    <w:tbl>
      <w:tblPr>
        <w:tblStyle w:val="26"/>
        <w:tblW w:w="9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2113"/>
        <w:gridCol w:w="6378"/>
      </w:tblGrid>
      <w:tr w14:paraId="670C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76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Times New Roman" w:hAnsi="Times New Roman" w:eastAsia="宋体" w:cs="Times New Roman"/>
                <w:i w:val="0"/>
                <w:iCs w:val="0"/>
                <w:color w:val="auto"/>
                <w:sz w:val="21"/>
                <w:szCs w:val="21"/>
                <w:highlight w:val="none"/>
                <w:u w:val="none"/>
                <w:lang w:eastAsia="zh-CN"/>
              </w:rPr>
            </w:pPr>
            <w:r>
              <w:rPr>
                <w:rFonts w:hint="eastAsia" w:ascii="Times New Roman" w:hAnsi="Times New Roman" w:eastAsia="宋体" w:cs="Times New Roman"/>
                <w:i w:val="0"/>
                <w:iCs w:val="0"/>
                <w:color w:val="auto"/>
                <w:sz w:val="21"/>
                <w:szCs w:val="21"/>
                <w:highlight w:val="none"/>
                <w:u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7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rPr>
              <w:t>项目内容</w:t>
            </w:r>
          </w:p>
        </w:tc>
        <w:tc>
          <w:tcPr>
            <w:tcW w:w="6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49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技术参数</w:t>
            </w:r>
          </w:p>
        </w:tc>
      </w:tr>
      <w:tr w14:paraId="38E7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F35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44FB">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设备安装与运维</w:t>
            </w:r>
          </w:p>
        </w:tc>
        <w:tc>
          <w:tcPr>
            <w:tcW w:w="6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0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在合同履行期内</w:t>
            </w:r>
            <w:r>
              <w:rPr>
                <w:rFonts w:hint="eastAsia" w:ascii="宋体" w:hAnsi="宋体" w:eastAsia="宋体" w:cs="宋体"/>
                <w:i w:val="0"/>
                <w:iCs w:val="0"/>
                <w:color w:val="auto"/>
                <w:kern w:val="0"/>
                <w:sz w:val="21"/>
                <w:szCs w:val="21"/>
                <w:highlight w:val="none"/>
                <w:u w:val="none"/>
                <w:lang w:val="en-US" w:eastAsia="zh-CN" w:bidi="ar"/>
              </w:rPr>
              <w:t>负责项目期内所有监测设备、平台系统的现场安装、调试、日常维护及故障维修，</w:t>
            </w:r>
            <w:r>
              <w:rPr>
                <w:rFonts w:hint="eastAsia" w:ascii="宋体" w:hAnsi="宋体" w:cs="宋体"/>
                <w:i w:val="0"/>
                <w:iCs w:val="0"/>
                <w:color w:val="auto"/>
                <w:kern w:val="0"/>
                <w:sz w:val="21"/>
                <w:szCs w:val="21"/>
                <w:highlight w:val="none"/>
                <w:u w:val="none"/>
                <w:lang w:val="en-US" w:eastAsia="zh-CN" w:bidi="ar"/>
              </w:rPr>
              <w:t>设备耗材更换，</w:t>
            </w:r>
            <w:r>
              <w:rPr>
                <w:rFonts w:hint="eastAsia" w:ascii="宋体" w:hAnsi="宋体" w:eastAsia="宋体" w:cs="宋体"/>
                <w:i w:val="0"/>
                <w:iCs w:val="0"/>
                <w:color w:val="auto"/>
                <w:kern w:val="0"/>
                <w:sz w:val="21"/>
                <w:szCs w:val="21"/>
                <w:highlight w:val="none"/>
                <w:u w:val="none"/>
                <w:lang w:val="en-US" w:eastAsia="zh-CN" w:bidi="ar"/>
              </w:rPr>
              <w:t>保障设备及系统正常运行；</w:t>
            </w:r>
          </w:p>
          <w:p w14:paraId="7E9F87E4">
            <w:pPr>
              <w:keepNext w:val="0"/>
              <w:keepLines w:val="0"/>
              <w:pageBreakBefore w:val="0"/>
              <w:widowControl/>
              <w:numPr>
                <w:ilvl w:val="0"/>
                <w:numId w:val="18"/>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安装调试：按照项目要求完成所有设备的现场安装及系统调试，提供安装调试报告；</w:t>
            </w:r>
          </w:p>
          <w:p w14:paraId="7D4476A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日常维护：定期对设备及系统进行巡检维护，频次不低于每月1次；</w:t>
            </w:r>
          </w:p>
          <w:p w14:paraId="516A87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3.故障维修：接到故障通知后，响应时间不超过24小时，现场维修时间不超过48小时（特殊情况除外）</w:t>
            </w:r>
          </w:p>
        </w:tc>
      </w:tr>
      <w:tr w14:paraId="7815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78A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9B31">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长期数据专项保障</w:t>
            </w:r>
          </w:p>
        </w:tc>
        <w:tc>
          <w:tcPr>
            <w:tcW w:w="6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0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在合同履行期内</w:t>
            </w:r>
            <w:r>
              <w:rPr>
                <w:rFonts w:hint="eastAsia" w:ascii="宋体" w:hAnsi="宋体" w:eastAsia="宋体" w:cs="宋体"/>
                <w:i w:val="0"/>
                <w:iCs w:val="0"/>
                <w:color w:val="auto"/>
                <w:kern w:val="0"/>
                <w:sz w:val="21"/>
                <w:szCs w:val="21"/>
                <w:highlight w:val="none"/>
                <w:u w:val="none"/>
                <w:lang w:val="en-US" w:eastAsia="zh-CN" w:bidi="ar"/>
              </w:rPr>
              <w:t>提供长期数据保障服务，具体包括：</w:t>
            </w:r>
          </w:p>
          <w:p w14:paraId="5FE7741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设备维护：负责设备电源更换及安装位置调整，保障设备正常运行；</w:t>
            </w:r>
          </w:p>
          <w:p w14:paraId="51096FE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2.数据补充：对生态格局、生态质量等核心监测指标开展现场人工补充调查，调查频次不低于每季度1次；</w:t>
            </w:r>
          </w:p>
          <w:p w14:paraId="3A9BAF3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3.数据保障：确保监测数据的连续性、准确性，定期对数据进行校验及备份，数据保留周期不低于3年</w:t>
            </w:r>
            <w:r>
              <w:rPr>
                <w:rFonts w:hint="eastAsia" w:ascii="宋体" w:hAnsi="宋体" w:cs="宋体"/>
                <w:i w:val="0"/>
                <w:iCs w:val="0"/>
                <w:color w:val="auto"/>
                <w:kern w:val="0"/>
                <w:sz w:val="21"/>
                <w:szCs w:val="21"/>
                <w:highlight w:val="none"/>
                <w:u w:val="none"/>
                <w:lang w:val="en-US" w:eastAsia="zh-CN" w:bidi="ar"/>
              </w:rPr>
              <w:t>。</w:t>
            </w:r>
          </w:p>
          <w:p w14:paraId="66C0C987">
            <w:pPr>
              <w:pStyle w:val="35"/>
              <w:ind w:firstLine="0" w:firstLineChars="0"/>
              <w:rPr>
                <w:rFonts w:hint="default" w:ascii="Times New Roman" w:hAnsi="Times New Roman" w:eastAsia="宋体" w:cs="Times New Roman"/>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4.通讯网络服务：负责承担合同履行期内所有监测设备通讯网络费用，保障监测预警平台正常运行。</w:t>
            </w:r>
          </w:p>
        </w:tc>
      </w:tr>
    </w:tbl>
    <w:p w14:paraId="431CCE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p>
    <w:p w14:paraId="0C36EABF">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四、采购标的的数量、采购项目交付或者实施的时间和地点</w:t>
      </w:r>
    </w:p>
    <w:p w14:paraId="25EA094F">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（一）采购标的数量</w:t>
      </w:r>
    </w:p>
    <w:tbl>
      <w:tblPr>
        <w:tblStyle w:val="26"/>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3"/>
        <w:gridCol w:w="4407"/>
        <w:gridCol w:w="1894"/>
        <w:gridCol w:w="1209"/>
        <w:gridCol w:w="1143"/>
      </w:tblGrid>
      <w:tr w14:paraId="6E2E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trPr>
        <w:tc>
          <w:tcPr>
            <w:tcW w:w="593" w:type="dxa"/>
            <w:noWrap w:val="0"/>
            <w:vAlign w:val="center"/>
          </w:tcPr>
          <w:p w14:paraId="0193A6F2">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407" w:type="dxa"/>
            <w:noWrap w:val="0"/>
            <w:vAlign w:val="center"/>
          </w:tcPr>
          <w:p w14:paraId="4576D6AC">
            <w:pPr>
              <w:widowControl/>
              <w:spacing w:before="240" w:after="24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名称</w:t>
            </w:r>
          </w:p>
        </w:tc>
        <w:tc>
          <w:tcPr>
            <w:tcW w:w="1894" w:type="dxa"/>
            <w:noWrap w:val="0"/>
            <w:vAlign w:val="center"/>
          </w:tcPr>
          <w:p w14:paraId="6C06F4A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1209" w:type="dxa"/>
            <w:noWrap w:val="0"/>
            <w:vAlign w:val="center"/>
          </w:tcPr>
          <w:p w14:paraId="75C894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3" w:type="dxa"/>
            <w:noWrap w:val="0"/>
            <w:vAlign w:val="center"/>
          </w:tcPr>
          <w:p w14:paraId="67C93E92">
            <w:pPr>
              <w:widowControl/>
              <w:spacing w:before="240" w:after="24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C43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9246" w:type="dxa"/>
            <w:gridSpan w:val="5"/>
            <w:noWrap w:val="0"/>
            <w:vAlign w:val="center"/>
          </w:tcPr>
          <w:p w14:paraId="14BB1755">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一、遥感监测服务</w:t>
            </w:r>
            <w:r>
              <w:rPr>
                <w:rFonts w:hint="eastAsia" w:ascii="宋体" w:hAnsi="宋体" w:cs="宋体"/>
                <w:color w:val="auto"/>
                <w:sz w:val="21"/>
                <w:szCs w:val="21"/>
                <w:highlight w:val="none"/>
                <w:lang w:val="en-US" w:eastAsia="zh-CN"/>
              </w:rPr>
              <w:t>（合同履行期内</w:t>
            </w:r>
            <w:r>
              <w:rPr>
                <w:rFonts w:hint="eastAsia" w:ascii="宋体" w:hAnsi="宋体" w:cs="宋体"/>
                <w:color w:val="auto"/>
                <w:sz w:val="21"/>
                <w:szCs w:val="21"/>
                <w:highlight w:val="none"/>
                <w:lang w:val="en-US" w:eastAsia="zh-CN"/>
              </w:rPr>
              <w:t>连续开展三年，每年开展1次，按要求提交成果资料</w:t>
            </w:r>
            <w:r>
              <w:rPr>
                <w:rFonts w:hint="eastAsia" w:ascii="宋体" w:hAnsi="宋体" w:cs="宋体"/>
                <w:color w:val="auto"/>
                <w:sz w:val="21"/>
                <w:szCs w:val="21"/>
                <w:highlight w:val="none"/>
                <w:lang w:val="en-US" w:eastAsia="zh-CN"/>
              </w:rPr>
              <w:t>）</w:t>
            </w:r>
          </w:p>
        </w:tc>
      </w:tr>
      <w:tr w14:paraId="468E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8" w:hRule="atLeast"/>
        </w:trPr>
        <w:tc>
          <w:tcPr>
            <w:tcW w:w="593" w:type="dxa"/>
            <w:noWrap w:val="0"/>
            <w:vAlign w:val="center"/>
          </w:tcPr>
          <w:p w14:paraId="64AA48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407" w:type="dxa"/>
            <w:noWrap w:val="0"/>
            <w:vAlign w:val="center"/>
          </w:tcPr>
          <w:p w14:paraId="6170BB4E">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生态格局变化监测</w:t>
            </w:r>
          </w:p>
        </w:tc>
        <w:tc>
          <w:tcPr>
            <w:tcW w:w="1894" w:type="dxa"/>
            <w:noWrap w:val="0"/>
            <w:vAlign w:val="center"/>
          </w:tcPr>
          <w:p w14:paraId="16FADFD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1209" w:type="dxa"/>
            <w:noWrap w:val="0"/>
            <w:vAlign w:val="center"/>
          </w:tcPr>
          <w:p w14:paraId="392E41CE">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143" w:type="dxa"/>
            <w:noWrap w:val="0"/>
            <w:vAlign w:val="top"/>
          </w:tcPr>
          <w:p w14:paraId="694714AB">
            <w:pPr>
              <w:widowControl/>
              <w:rPr>
                <w:rFonts w:hint="eastAsia" w:ascii="宋体" w:hAnsi="宋体" w:eastAsia="宋体" w:cs="宋体"/>
                <w:color w:val="auto"/>
                <w:sz w:val="18"/>
                <w:szCs w:val="18"/>
                <w:highlight w:val="none"/>
              </w:rPr>
            </w:pPr>
          </w:p>
        </w:tc>
      </w:tr>
      <w:tr w14:paraId="766E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593" w:type="dxa"/>
            <w:noWrap w:val="0"/>
            <w:vAlign w:val="center"/>
          </w:tcPr>
          <w:p w14:paraId="761E29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407" w:type="dxa"/>
            <w:noWrap w:val="0"/>
            <w:vAlign w:val="center"/>
          </w:tcPr>
          <w:p w14:paraId="0AD0587D">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生态质量监测</w:t>
            </w:r>
          </w:p>
        </w:tc>
        <w:tc>
          <w:tcPr>
            <w:tcW w:w="1894" w:type="dxa"/>
            <w:noWrap w:val="0"/>
            <w:vAlign w:val="center"/>
          </w:tcPr>
          <w:p w14:paraId="2996D3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1209" w:type="dxa"/>
            <w:noWrap w:val="0"/>
            <w:vAlign w:val="center"/>
          </w:tcPr>
          <w:p w14:paraId="76BA15AA">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143" w:type="dxa"/>
            <w:noWrap w:val="0"/>
            <w:vAlign w:val="top"/>
          </w:tcPr>
          <w:p w14:paraId="2160F53E">
            <w:pPr>
              <w:widowControl/>
              <w:rPr>
                <w:rFonts w:hint="eastAsia" w:ascii="宋体" w:hAnsi="宋体" w:eastAsia="宋体" w:cs="宋体"/>
                <w:color w:val="auto"/>
                <w:sz w:val="18"/>
                <w:szCs w:val="18"/>
                <w:highlight w:val="none"/>
              </w:rPr>
            </w:pPr>
          </w:p>
        </w:tc>
      </w:tr>
      <w:tr w14:paraId="128E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2F9DF58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407" w:type="dxa"/>
            <w:noWrap w:val="0"/>
            <w:vAlign w:val="center"/>
          </w:tcPr>
          <w:p w14:paraId="0669433C">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生态系统服务功能监测</w:t>
            </w:r>
          </w:p>
        </w:tc>
        <w:tc>
          <w:tcPr>
            <w:tcW w:w="1894" w:type="dxa"/>
            <w:noWrap w:val="0"/>
            <w:vAlign w:val="center"/>
          </w:tcPr>
          <w:p w14:paraId="71FB15D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1209" w:type="dxa"/>
            <w:noWrap w:val="0"/>
            <w:vAlign w:val="center"/>
          </w:tcPr>
          <w:p w14:paraId="4172226F">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143" w:type="dxa"/>
            <w:noWrap w:val="0"/>
            <w:vAlign w:val="top"/>
          </w:tcPr>
          <w:p w14:paraId="2DC897A7">
            <w:pPr>
              <w:widowControl/>
              <w:rPr>
                <w:rFonts w:hint="eastAsia" w:ascii="宋体" w:hAnsi="宋体" w:eastAsia="宋体" w:cs="宋体"/>
                <w:color w:val="auto"/>
                <w:sz w:val="18"/>
                <w:szCs w:val="18"/>
                <w:highlight w:val="none"/>
              </w:rPr>
            </w:pPr>
          </w:p>
        </w:tc>
      </w:tr>
      <w:tr w14:paraId="0E5F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5968FE0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407" w:type="dxa"/>
            <w:noWrap w:val="0"/>
            <w:vAlign w:val="center"/>
          </w:tcPr>
          <w:p w14:paraId="69592F08">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人为干扰活动监测</w:t>
            </w:r>
          </w:p>
        </w:tc>
        <w:tc>
          <w:tcPr>
            <w:tcW w:w="1894" w:type="dxa"/>
            <w:noWrap w:val="0"/>
            <w:vAlign w:val="center"/>
          </w:tcPr>
          <w:p w14:paraId="04D386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1209" w:type="dxa"/>
            <w:noWrap w:val="0"/>
            <w:vAlign w:val="center"/>
          </w:tcPr>
          <w:p w14:paraId="56398FD8">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143" w:type="dxa"/>
            <w:noWrap w:val="0"/>
            <w:vAlign w:val="top"/>
          </w:tcPr>
          <w:p w14:paraId="602A3006">
            <w:pPr>
              <w:widowControl/>
              <w:rPr>
                <w:rFonts w:hint="eastAsia" w:ascii="宋体" w:hAnsi="宋体" w:eastAsia="宋体" w:cs="宋体"/>
                <w:color w:val="auto"/>
                <w:sz w:val="18"/>
                <w:szCs w:val="18"/>
                <w:highlight w:val="none"/>
              </w:rPr>
            </w:pPr>
          </w:p>
        </w:tc>
      </w:tr>
      <w:tr w14:paraId="2AD6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7557A1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407" w:type="dxa"/>
            <w:noWrap w:val="0"/>
            <w:vAlign w:val="center"/>
          </w:tcPr>
          <w:p w14:paraId="06A663E3">
            <w:pPr>
              <w:widowControl/>
              <w:spacing w:before="240" w:after="24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自然生态问题监测</w:t>
            </w:r>
          </w:p>
        </w:tc>
        <w:tc>
          <w:tcPr>
            <w:tcW w:w="1894" w:type="dxa"/>
            <w:noWrap w:val="0"/>
            <w:vAlign w:val="center"/>
          </w:tcPr>
          <w:p w14:paraId="61E55D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highlight w:val="none"/>
              </w:rPr>
              <w:t>平方公里/次</w:t>
            </w:r>
          </w:p>
        </w:tc>
        <w:tc>
          <w:tcPr>
            <w:tcW w:w="1209" w:type="dxa"/>
            <w:noWrap w:val="0"/>
            <w:vAlign w:val="center"/>
          </w:tcPr>
          <w:p w14:paraId="5D22458C">
            <w:pPr>
              <w:keepNext w:val="0"/>
              <w:keepLines w:val="0"/>
              <w:widowControl/>
              <w:suppressLineNumbers w:val="0"/>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p>
        </w:tc>
        <w:tc>
          <w:tcPr>
            <w:tcW w:w="1143" w:type="dxa"/>
            <w:noWrap w:val="0"/>
            <w:vAlign w:val="top"/>
          </w:tcPr>
          <w:p w14:paraId="1AAE2D64">
            <w:pPr>
              <w:widowControl/>
              <w:rPr>
                <w:rFonts w:hint="eastAsia" w:ascii="宋体" w:hAnsi="宋体" w:eastAsia="宋体" w:cs="宋体"/>
                <w:color w:val="auto"/>
                <w:sz w:val="18"/>
                <w:szCs w:val="18"/>
                <w:highlight w:val="none"/>
              </w:rPr>
            </w:pPr>
          </w:p>
        </w:tc>
      </w:tr>
      <w:tr w14:paraId="5304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9246" w:type="dxa"/>
            <w:gridSpan w:val="5"/>
            <w:noWrap w:val="0"/>
            <w:vAlign w:val="center"/>
          </w:tcPr>
          <w:p w14:paraId="2366ECC8">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二、生态安全风险监测设备配备</w:t>
            </w:r>
          </w:p>
        </w:tc>
      </w:tr>
      <w:tr w14:paraId="3648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52B3816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407" w:type="dxa"/>
            <w:noWrap w:val="0"/>
            <w:vAlign w:val="center"/>
          </w:tcPr>
          <w:p w14:paraId="49D80B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无人值守无人机场及配套多旋翼无人机</w:t>
            </w:r>
          </w:p>
        </w:tc>
        <w:tc>
          <w:tcPr>
            <w:tcW w:w="1894" w:type="dxa"/>
            <w:noWrap w:val="0"/>
            <w:vAlign w:val="center"/>
          </w:tcPr>
          <w:p w14:paraId="43A0344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noWrap w:val="0"/>
            <w:vAlign w:val="center"/>
          </w:tcPr>
          <w:p w14:paraId="48AF82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1143" w:type="dxa"/>
            <w:noWrap w:val="0"/>
            <w:vAlign w:val="top"/>
          </w:tcPr>
          <w:p w14:paraId="7683E745">
            <w:pPr>
              <w:widowControl/>
              <w:rPr>
                <w:rFonts w:hint="eastAsia" w:ascii="宋体" w:hAnsi="宋体" w:eastAsia="宋体" w:cs="宋体"/>
                <w:color w:val="auto"/>
                <w:sz w:val="18"/>
                <w:szCs w:val="18"/>
                <w:highlight w:val="none"/>
              </w:rPr>
            </w:pPr>
          </w:p>
        </w:tc>
      </w:tr>
      <w:tr w14:paraId="4EF2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1F139A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4407" w:type="dxa"/>
            <w:noWrap w:val="0"/>
            <w:vAlign w:val="center"/>
          </w:tcPr>
          <w:p w14:paraId="68C2B1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红外相机</w:t>
            </w:r>
          </w:p>
        </w:tc>
        <w:tc>
          <w:tcPr>
            <w:tcW w:w="1894" w:type="dxa"/>
            <w:noWrap w:val="0"/>
            <w:vAlign w:val="center"/>
          </w:tcPr>
          <w:p w14:paraId="3B4C8C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209" w:type="dxa"/>
            <w:noWrap w:val="0"/>
            <w:vAlign w:val="center"/>
          </w:tcPr>
          <w:p w14:paraId="6FBEE90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143" w:type="dxa"/>
            <w:noWrap w:val="0"/>
            <w:vAlign w:val="top"/>
          </w:tcPr>
          <w:p w14:paraId="208A5C42">
            <w:pPr>
              <w:widowControl/>
              <w:rPr>
                <w:rFonts w:hint="eastAsia" w:ascii="宋体" w:hAnsi="宋体" w:eastAsia="宋体" w:cs="宋体"/>
                <w:color w:val="auto"/>
                <w:sz w:val="18"/>
                <w:szCs w:val="18"/>
                <w:highlight w:val="none"/>
              </w:rPr>
            </w:pPr>
          </w:p>
        </w:tc>
      </w:tr>
      <w:tr w14:paraId="1BEE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7B68CA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4407" w:type="dxa"/>
            <w:noWrap w:val="0"/>
            <w:vAlign w:val="center"/>
          </w:tcPr>
          <w:p w14:paraId="732838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声纹监测仪</w:t>
            </w:r>
          </w:p>
        </w:tc>
        <w:tc>
          <w:tcPr>
            <w:tcW w:w="1894" w:type="dxa"/>
            <w:noWrap w:val="0"/>
            <w:vAlign w:val="center"/>
          </w:tcPr>
          <w:p w14:paraId="76E7BB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w:t>
            </w:r>
          </w:p>
        </w:tc>
        <w:tc>
          <w:tcPr>
            <w:tcW w:w="1209" w:type="dxa"/>
            <w:noWrap w:val="0"/>
            <w:vAlign w:val="center"/>
          </w:tcPr>
          <w:p w14:paraId="6F2F27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143" w:type="dxa"/>
            <w:noWrap w:val="0"/>
            <w:vAlign w:val="top"/>
          </w:tcPr>
          <w:p w14:paraId="72CDD1DF">
            <w:pPr>
              <w:widowControl/>
              <w:rPr>
                <w:rFonts w:hint="eastAsia" w:ascii="宋体" w:hAnsi="宋体" w:eastAsia="宋体" w:cs="宋体"/>
                <w:color w:val="auto"/>
                <w:sz w:val="18"/>
                <w:szCs w:val="18"/>
                <w:highlight w:val="none"/>
              </w:rPr>
            </w:pPr>
          </w:p>
        </w:tc>
      </w:tr>
      <w:tr w14:paraId="47F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500A31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4</w:t>
            </w:r>
          </w:p>
        </w:tc>
        <w:tc>
          <w:tcPr>
            <w:tcW w:w="4407" w:type="dxa"/>
            <w:noWrap w:val="0"/>
            <w:vAlign w:val="center"/>
          </w:tcPr>
          <w:p w14:paraId="37A6E5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雷达相机</w:t>
            </w:r>
          </w:p>
        </w:tc>
        <w:tc>
          <w:tcPr>
            <w:tcW w:w="1894" w:type="dxa"/>
            <w:noWrap w:val="0"/>
            <w:vAlign w:val="center"/>
          </w:tcPr>
          <w:p w14:paraId="7A9EDB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台</w:t>
            </w:r>
          </w:p>
        </w:tc>
        <w:tc>
          <w:tcPr>
            <w:tcW w:w="1209" w:type="dxa"/>
            <w:noWrap w:val="0"/>
            <w:vAlign w:val="center"/>
          </w:tcPr>
          <w:p w14:paraId="7FC2DA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143" w:type="dxa"/>
            <w:noWrap w:val="0"/>
            <w:vAlign w:val="top"/>
          </w:tcPr>
          <w:p w14:paraId="2A1E6FD4">
            <w:pPr>
              <w:widowControl/>
              <w:rPr>
                <w:rFonts w:hint="eastAsia" w:ascii="宋体" w:hAnsi="宋体" w:eastAsia="宋体" w:cs="宋体"/>
                <w:color w:val="auto"/>
                <w:sz w:val="18"/>
                <w:szCs w:val="18"/>
                <w:highlight w:val="none"/>
              </w:rPr>
            </w:pPr>
          </w:p>
        </w:tc>
      </w:tr>
      <w:tr w14:paraId="76E8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68C45B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5</w:t>
            </w:r>
          </w:p>
        </w:tc>
        <w:tc>
          <w:tcPr>
            <w:tcW w:w="4407" w:type="dxa"/>
            <w:noWrap w:val="0"/>
            <w:vAlign w:val="center"/>
          </w:tcPr>
          <w:p w14:paraId="41134B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鸟类视频监控设备</w:t>
            </w:r>
          </w:p>
        </w:tc>
        <w:tc>
          <w:tcPr>
            <w:tcW w:w="1894" w:type="dxa"/>
            <w:noWrap w:val="0"/>
            <w:vAlign w:val="center"/>
          </w:tcPr>
          <w:p w14:paraId="7746EF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noWrap w:val="0"/>
            <w:vAlign w:val="center"/>
          </w:tcPr>
          <w:p w14:paraId="732CF4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7D41AC89">
            <w:pPr>
              <w:widowControl/>
              <w:rPr>
                <w:rFonts w:hint="eastAsia" w:ascii="宋体" w:hAnsi="宋体" w:eastAsia="宋体" w:cs="宋体"/>
                <w:color w:val="auto"/>
                <w:sz w:val="18"/>
                <w:szCs w:val="18"/>
                <w:highlight w:val="none"/>
              </w:rPr>
            </w:pPr>
          </w:p>
        </w:tc>
      </w:tr>
      <w:tr w14:paraId="0890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7AF0DC8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6</w:t>
            </w:r>
          </w:p>
        </w:tc>
        <w:tc>
          <w:tcPr>
            <w:tcW w:w="4407" w:type="dxa"/>
            <w:noWrap w:val="0"/>
            <w:vAlign w:val="center"/>
          </w:tcPr>
          <w:p w14:paraId="137DA82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生态环境因子传感器</w:t>
            </w:r>
          </w:p>
        </w:tc>
        <w:tc>
          <w:tcPr>
            <w:tcW w:w="1894" w:type="dxa"/>
            <w:noWrap w:val="0"/>
            <w:vAlign w:val="center"/>
          </w:tcPr>
          <w:p w14:paraId="713DB5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noWrap w:val="0"/>
            <w:vAlign w:val="center"/>
          </w:tcPr>
          <w:p w14:paraId="683404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4BAD9BDB">
            <w:pPr>
              <w:widowControl/>
              <w:rPr>
                <w:rFonts w:hint="eastAsia" w:ascii="宋体" w:hAnsi="宋体" w:eastAsia="宋体" w:cs="宋体"/>
                <w:color w:val="auto"/>
                <w:sz w:val="18"/>
                <w:szCs w:val="18"/>
                <w:highlight w:val="none"/>
              </w:rPr>
            </w:pPr>
          </w:p>
        </w:tc>
      </w:tr>
      <w:tr w14:paraId="5A6F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44533E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7</w:t>
            </w:r>
          </w:p>
        </w:tc>
        <w:tc>
          <w:tcPr>
            <w:tcW w:w="4407" w:type="dxa"/>
            <w:noWrap w:val="0"/>
            <w:vAlign w:val="center"/>
          </w:tcPr>
          <w:p w14:paraId="34FFD9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物候监测仪</w:t>
            </w:r>
          </w:p>
        </w:tc>
        <w:tc>
          <w:tcPr>
            <w:tcW w:w="1894" w:type="dxa"/>
            <w:noWrap w:val="0"/>
            <w:vAlign w:val="center"/>
          </w:tcPr>
          <w:p w14:paraId="221FD0A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noWrap w:val="0"/>
            <w:vAlign w:val="center"/>
          </w:tcPr>
          <w:p w14:paraId="45E8333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47ED47FA">
            <w:pPr>
              <w:widowControl/>
              <w:rPr>
                <w:rFonts w:hint="eastAsia" w:ascii="宋体" w:hAnsi="宋体" w:eastAsia="宋体" w:cs="宋体"/>
                <w:color w:val="auto"/>
                <w:sz w:val="18"/>
                <w:szCs w:val="18"/>
                <w:highlight w:val="none"/>
              </w:rPr>
            </w:pPr>
          </w:p>
        </w:tc>
      </w:tr>
      <w:tr w14:paraId="4DFA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shd w:val="clear" w:color="auto" w:fill="auto"/>
            <w:noWrap w:val="0"/>
            <w:vAlign w:val="center"/>
          </w:tcPr>
          <w:p w14:paraId="59E55D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8</w:t>
            </w:r>
          </w:p>
        </w:tc>
        <w:tc>
          <w:tcPr>
            <w:tcW w:w="4407" w:type="dxa"/>
            <w:shd w:val="clear" w:color="auto" w:fill="FFFFFF"/>
            <w:noWrap w:val="0"/>
            <w:vAlign w:val="center"/>
          </w:tcPr>
          <w:p w14:paraId="34EA59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土壤监测仪</w:t>
            </w:r>
          </w:p>
        </w:tc>
        <w:tc>
          <w:tcPr>
            <w:tcW w:w="1894" w:type="dxa"/>
            <w:shd w:val="clear" w:color="auto" w:fill="FFFFFF"/>
            <w:noWrap w:val="0"/>
            <w:vAlign w:val="center"/>
          </w:tcPr>
          <w:p w14:paraId="16ADEC9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shd w:val="clear" w:color="auto" w:fill="FFFFFF"/>
            <w:noWrap w:val="0"/>
            <w:vAlign w:val="center"/>
          </w:tcPr>
          <w:p w14:paraId="4208F91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51EAE749">
            <w:pPr>
              <w:widowControl/>
              <w:rPr>
                <w:rFonts w:hint="eastAsia" w:ascii="宋体" w:hAnsi="宋体" w:eastAsia="宋体" w:cs="宋体"/>
                <w:color w:val="auto"/>
                <w:sz w:val="18"/>
                <w:szCs w:val="18"/>
                <w:highlight w:val="none"/>
              </w:rPr>
            </w:pPr>
          </w:p>
        </w:tc>
      </w:tr>
      <w:tr w14:paraId="683A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20319F6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9</w:t>
            </w:r>
          </w:p>
        </w:tc>
        <w:tc>
          <w:tcPr>
            <w:tcW w:w="4407" w:type="dxa"/>
            <w:noWrap w:val="0"/>
            <w:vAlign w:val="center"/>
          </w:tcPr>
          <w:p w14:paraId="3E8646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生态流量监测设备</w:t>
            </w:r>
          </w:p>
        </w:tc>
        <w:tc>
          <w:tcPr>
            <w:tcW w:w="1894" w:type="dxa"/>
            <w:noWrap w:val="0"/>
            <w:vAlign w:val="center"/>
          </w:tcPr>
          <w:p w14:paraId="7316A7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noWrap w:val="0"/>
            <w:vAlign w:val="center"/>
          </w:tcPr>
          <w:p w14:paraId="27E9B43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143" w:type="dxa"/>
            <w:noWrap w:val="0"/>
            <w:vAlign w:val="top"/>
          </w:tcPr>
          <w:p w14:paraId="75899ED9">
            <w:pPr>
              <w:widowControl/>
              <w:rPr>
                <w:rFonts w:hint="eastAsia" w:ascii="宋体" w:hAnsi="宋体" w:eastAsia="宋体" w:cs="宋体"/>
                <w:color w:val="auto"/>
                <w:sz w:val="18"/>
                <w:szCs w:val="18"/>
                <w:highlight w:val="none"/>
              </w:rPr>
            </w:pPr>
          </w:p>
        </w:tc>
      </w:tr>
      <w:tr w14:paraId="5843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shd w:val="clear" w:color="auto" w:fill="auto"/>
            <w:noWrap w:val="0"/>
            <w:vAlign w:val="center"/>
          </w:tcPr>
          <w:p w14:paraId="568304B0">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10</w:t>
            </w:r>
          </w:p>
        </w:tc>
        <w:tc>
          <w:tcPr>
            <w:tcW w:w="4407" w:type="dxa"/>
            <w:shd w:val="clear" w:color="auto" w:fill="FFFFFF"/>
            <w:noWrap w:val="0"/>
            <w:vAlign w:val="center"/>
          </w:tcPr>
          <w:p w14:paraId="536972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远程数据采集与传输设备</w:t>
            </w:r>
          </w:p>
        </w:tc>
        <w:tc>
          <w:tcPr>
            <w:tcW w:w="1894" w:type="dxa"/>
            <w:shd w:val="clear" w:color="auto" w:fill="FFFFFF"/>
            <w:noWrap w:val="0"/>
            <w:vAlign w:val="center"/>
          </w:tcPr>
          <w:p w14:paraId="59BB584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209" w:type="dxa"/>
            <w:shd w:val="clear" w:color="auto" w:fill="FFFFFF"/>
            <w:noWrap w:val="0"/>
            <w:vAlign w:val="center"/>
          </w:tcPr>
          <w:p w14:paraId="1788CBA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3" w:type="dxa"/>
            <w:noWrap w:val="0"/>
            <w:vAlign w:val="top"/>
          </w:tcPr>
          <w:p w14:paraId="781E367F">
            <w:pPr>
              <w:widowControl/>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核心产品</w:t>
            </w:r>
          </w:p>
        </w:tc>
      </w:tr>
      <w:tr w14:paraId="451E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9246" w:type="dxa"/>
            <w:gridSpan w:val="5"/>
            <w:noWrap w:val="0"/>
            <w:vAlign w:val="center"/>
          </w:tcPr>
          <w:p w14:paraId="1078B763">
            <w:pPr>
              <w:widowControl/>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三、监测预警平台开发</w:t>
            </w:r>
          </w:p>
        </w:tc>
      </w:tr>
      <w:tr w14:paraId="0045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3A205D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407" w:type="dxa"/>
            <w:noWrap w:val="0"/>
            <w:vAlign w:val="center"/>
          </w:tcPr>
          <w:p w14:paraId="335AB2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生态系统管理模块</w:t>
            </w:r>
          </w:p>
        </w:tc>
        <w:tc>
          <w:tcPr>
            <w:tcW w:w="1894" w:type="dxa"/>
            <w:noWrap w:val="0"/>
            <w:vAlign w:val="center"/>
          </w:tcPr>
          <w:p w14:paraId="59327D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noWrap w:val="0"/>
            <w:vAlign w:val="center"/>
          </w:tcPr>
          <w:p w14:paraId="7FE369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0548DACF">
            <w:pPr>
              <w:widowControl/>
              <w:rPr>
                <w:rFonts w:hint="eastAsia" w:ascii="宋体" w:hAnsi="宋体" w:eastAsia="宋体" w:cs="宋体"/>
                <w:color w:val="auto"/>
                <w:sz w:val="18"/>
                <w:szCs w:val="18"/>
                <w:highlight w:val="none"/>
              </w:rPr>
            </w:pPr>
          </w:p>
        </w:tc>
      </w:tr>
      <w:tr w14:paraId="01B6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37868B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07" w:type="dxa"/>
            <w:noWrap w:val="0"/>
            <w:vAlign w:val="center"/>
          </w:tcPr>
          <w:p w14:paraId="4918D4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无人机管理模块</w:t>
            </w:r>
          </w:p>
        </w:tc>
        <w:tc>
          <w:tcPr>
            <w:tcW w:w="1894" w:type="dxa"/>
            <w:noWrap w:val="0"/>
            <w:vAlign w:val="center"/>
          </w:tcPr>
          <w:p w14:paraId="53BA82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noWrap w:val="0"/>
            <w:vAlign w:val="center"/>
          </w:tcPr>
          <w:p w14:paraId="0A3615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7E1070BF">
            <w:pPr>
              <w:widowControl/>
              <w:rPr>
                <w:rFonts w:hint="eastAsia" w:ascii="宋体" w:hAnsi="宋体" w:eastAsia="宋体" w:cs="宋体"/>
                <w:color w:val="auto"/>
                <w:sz w:val="18"/>
                <w:szCs w:val="18"/>
                <w:highlight w:val="none"/>
              </w:rPr>
            </w:pPr>
          </w:p>
        </w:tc>
      </w:tr>
      <w:tr w14:paraId="36A8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386725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407" w:type="dxa"/>
            <w:noWrap w:val="0"/>
            <w:vAlign w:val="center"/>
          </w:tcPr>
          <w:p w14:paraId="6C15409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环境要素管理模块</w:t>
            </w:r>
          </w:p>
        </w:tc>
        <w:tc>
          <w:tcPr>
            <w:tcW w:w="1894" w:type="dxa"/>
            <w:noWrap w:val="0"/>
            <w:vAlign w:val="center"/>
          </w:tcPr>
          <w:p w14:paraId="5FCB33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noWrap w:val="0"/>
            <w:vAlign w:val="center"/>
          </w:tcPr>
          <w:p w14:paraId="52D0CC8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3" w:type="dxa"/>
            <w:noWrap w:val="0"/>
            <w:vAlign w:val="top"/>
          </w:tcPr>
          <w:p w14:paraId="241F99FE">
            <w:pPr>
              <w:widowControl/>
              <w:rPr>
                <w:rFonts w:hint="eastAsia" w:ascii="宋体" w:hAnsi="宋体" w:eastAsia="宋体" w:cs="宋体"/>
                <w:color w:val="auto"/>
                <w:sz w:val="18"/>
                <w:szCs w:val="18"/>
                <w:highlight w:val="none"/>
              </w:rPr>
            </w:pPr>
          </w:p>
        </w:tc>
      </w:tr>
      <w:tr w14:paraId="53E9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57DA1C2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407" w:type="dxa"/>
            <w:noWrap w:val="0"/>
            <w:vAlign w:val="center"/>
          </w:tcPr>
          <w:p w14:paraId="3365BE1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生物多样性管理模块</w:t>
            </w:r>
          </w:p>
        </w:tc>
        <w:tc>
          <w:tcPr>
            <w:tcW w:w="1894" w:type="dxa"/>
            <w:noWrap w:val="0"/>
            <w:vAlign w:val="center"/>
          </w:tcPr>
          <w:p w14:paraId="5B2249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noWrap w:val="0"/>
            <w:vAlign w:val="center"/>
          </w:tcPr>
          <w:p w14:paraId="1AFA41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3" w:type="dxa"/>
            <w:noWrap w:val="0"/>
            <w:vAlign w:val="top"/>
          </w:tcPr>
          <w:p w14:paraId="328F4CD0">
            <w:pPr>
              <w:widowControl/>
              <w:rPr>
                <w:rFonts w:hint="eastAsia" w:ascii="宋体" w:hAnsi="宋体" w:eastAsia="宋体" w:cs="宋体"/>
                <w:color w:val="auto"/>
                <w:sz w:val="18"/>
                <w:szCs w:val="18"/>
                <w:highlight w:val="none"/>
              </w:rPr>
            </w:pPr>
          </w:p>
        </w:tc>
      </w:tr>
      <w:tr w14:paraId="5CC3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14D7447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407" w:type="dxa"/>
            <w:noWrap w:val="0"/>
            <w:vAlign w:val="center"/>
          </w:tcPr>
          <w:p w14:paraId="3D1C2CC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人为干扰活动管理模块</w:t>
            </w:r>
          </w:p>
        </w:tc>
        <w:tc>
          <w:tcPr>
            <w:tcW w:w="1894" w:type="dxa"/>
            <w:noWrap w:val="0"/>
            <w:vAlign w:val="center"/>
          </w:tcPr>
          <w:p w14:paraId="61E225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noWrap w:val="0"/>
            <w:vAlign w:val="center"/>
          </w:tcPr>
          <w:p w14:paraId="18665A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3" w:type="dxa"/>
            <w:noWrap w:val="0"/>
            <w:vAlign w:val="top"/>
          </w:tcPr>
          <w:p w14:paraId="5F7AA025">
            <w:pPr>
              <w:widowControl/>
              <w:rPr>
                <w:rFonts w:hint="eastAsia" w:ascii="宋体" w:hAnsi="宋体" w:eastAsia="宋体" w:cs="宋体"/>
                <w:color w:val="auto"/>
                <w:sz w:val="18"/>
                <w:szCs w:val="18"/>
                <w:highlight w:val="none"/>
              </w:rPr>
            </w:pPr>
          </w:p>
        </w:tc>
      </w:tr>
      <w:tr w14:paraId="02BF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shd w:val="clear" w:color="auto" w:fill="auto"/>
            <w:noWrap w:val="0"/>
            <w:vAlign w:val="center"/>
          </w:tcPr>
          <w:p w14:paraId="58390E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407" w:type="dxa"/>
            <w:shd w:val="clear" w:color="auto" w:fill="FFFFFF"/>
            <w:noWrap w:val="0"/>
            <w:vAlign w:val="center"/>
          </w:tcPr>
          <w:p w14:paraId="5F4958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火情识别预警模块</w:t>
            </w:r>
          </w:p>
        </w:tc>
        <w:tc>
          <w:tcPr>
            <w:tcW w:w="1894" w:type="dxa"/>
            <w:shd w:val="clear" w:color="auto" w:fill="FFFFFF"/>
            <w:noWrap w:val="0"/>
            <w:vAlign w:val="center"/>
          </w:tcPr>
          <w:p w14:paraId="5E67D4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shd w:val="clear" w:color="auto" w:fill="FFFFFF"/>
            <w:noWrap w:val="0"/>
            <w:vAlign w:val="center"/>
          </w:tcPr>
          <w:p w14:paraId="4073535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6FC6EE81">
            <w:pPr>
              <w:widowControl/>
              <w:rPr>
                <w:rFonts w:hint="eastAsia" w:ascii="宋体" w:hAnsi="宋体" w:eastAsia="宋体" w:cs="宋体"/>
                <w:color w:val="auto"/>
                <w:sz w:val="18"/>
                <w:szCs w:val="18"/>
                <w:highlight w:val="none"/>
              </w:rPr>
            </w:pPr>
          </w:p>
        </w:tc>
      </w:tr>
      <w:tr w14:paraId="3E4D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shd w:val="clear" w:color="auto" w:fill="auto"/>
            <w:noWrap w:val="0"/>
            <w:vAlign w:val="center"/>
          </w:tcPr>
          <w:p w14:paraId="1E79065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407" w:type="dxa"/>
            <w:shd w:val="clear" w:color="auto" w:fill="FFFFFF"/>
            <w:noWrap w:val="0"/>
            <w:vAlign w:val="center"/>
          </w:tcPr>
          <w:p w14:paraId="71D24C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生态安全风险监测预警信息平台“一张图”</w:t>
            </w:r>
          </w:p>
        </w:tc>
        <w:tc>
          <w:tcPr>
            <w:tcW w:w="1894" w:type="dxa"/>
            <w:shd w:val="clear" w:color="auto" w:fill="FFFFFF"/>
            <w:noWrap w:val="0"/>
            <w:vAlign w:val="center"/>
          </w:tcPr>
          <w:p w14:paraId="797535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套</w:t>
            </w:r>
          </w:p>
        </w:tc>
        <w:tc>
          <w:tcPr>
            <w:tcW w:w="1209" w:type="dxa"/>
            <w:shd w:val="clear" w:color="auto" w:fill="FFFFFF"/>
            <w:noWrap w:val="0"/>
            <w:vAlign w:val="center"/>
          </w:tcPr>
          <w:p w14:paraId="4AB4257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43" w:type="dxa"/>
            <w:noWrap w:val="0"/>
            <w:vAlign w:val="top"/>
          </w:tcPr>
          <w:p w14:paraId="12A75413">
            <w:pPr>
              <w:widowControl/>
              <w:rPr>
                <w:rFonts w:hint="eastAsia" w:ascii="宋体" w:hAnsi="宋体" w:eastAsia="宋体" w:cs="宋体"/>
                <w:color w:val="auto"/>
                <w:sz w:val="18"/>
                <w:szCs w:val="18"/>
                <w:highlight w:val="none"/>
              </w:rPr>
            </w:pPr>
          </w:p>
        </w:tc>
      </w:tr>
      <w:tr w14:paraId="5D28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9246" w:type="dxa"/>
            <w:gridSpan w:val="5"/>
            <w:noWrap w:val="0"/>
            <w:vAlign w:val="center"/>
          </w:tcPr>
          <w:p w14:paraId="63626A01">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四、设备运维服务</w:t>
            </w:r>
            <w:r>
              <w:rPr>
                <w:rFonts w:hint="eastAsia" w:ascii="宋体" w:hAnsi="宋体" w:cs="宋体"/>
                <w:color w:val="auto"/>
                <w:sz w:val="21"/>
                <w:szCs w:val="21"/>
                <w:highlight w:val="none"/>
                <w:lang w:val="en-US" w:eastAsia="zh-CN"/>
              </w:rPr>
              <w:t>（合同履行期限内）</w:t>
            </w:r>
          </w:p>
        </w:tc>
      </w:tr>
      <w:tr w14:paraId="6A3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55248E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407" w:type="dxa"/>
            <w:noWrap w:val="0"/>
            <w:vAlign w:val="center"/>
          </w:tcPr>
          <w:p w14:paraId="25314A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设备安装与运维</w:t>
            </w:r>
          </w:p>
        </w:tc>
        <w:tc>
          <w:tcPr>
            <w:tcW w:w="1894" w:type="dxa"/>
            <w:noWrap w:val="0"/>
            <w:vAlign w:val="center"/>
          </w:tcPr>
          <w:p w14:paraId="436FEC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项</w:t>
            </w:r>
          </w:p>
        </w:tc>
        <w:tc>
          <w:tcPr>
            <w:tcW w:w="1209" w:type="dxa"/>
            <w:noWrap w:val="0"/>
            <w:vAlign w:val="center"/>
          </w:tcPr>
          <w:p w14:paraId="6AED3A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3" w:type="dxa"/>
            <w:noWrap w:val="0"/>
            <w:vAlign w:val="top"/>
          </w:tcPr>
          <w:p w14:paraId="4153E0AA">
            <w:pPr>
              <w:widowControl/>
              <w:rPr>
                <w:rFonts w:hint="eastAsia" w:ascii="宋体" w:hAnsi="宋体" w:eastAsia="宋体" w:cs="宋体"/>
                <w:color w:val="auto"/>
                <w:sz w:val="18"/>
                <w:szCs w:val="18"/>
                <w:highlight w:val="none"/>
              </w:rPr>
            </w:pPr>
          </w:p>
        </w:tc>
      </w:tr>
      <w:tr w14:paraId="3B83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trPr>
        <w:tc>
          <w:tcPr>
            <w:tcW w:w="593" w:type="dxa"/>
            <w:noWrap w:val="0"/>
            <w:vAlign w:val="center"/>
          </w:tcPr>
          <w:p w14:paraId="111DF4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407" w:type="dxa"/>
            <w:noWrap w:val="0"/>
            <w:vAlign w:val="center"/>
          </w:tcPr>
          <w:p w14:paraId="7D0EFB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长期数据专项保障</w:t>
            </w:r>
          </w:p>
        </w:tc>
        <w:tc>
          <w:tcPr>
            <w:tcW w:w="1894" w:type="dxa"/>
            <w:noWrap w:val="0"/>
            <w:vAlign w:val="center"/>
          </w:tcPr>
          <w:p w14:paraId="5D74C2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项</w:t>
            </w:r>
          </w:p>
        </w:tc>
        <w:tc>
          <w:tcPr>
            <w:tcW w:w="1209" w:type="dxa"/>
            <w:noWrap w:val="0"/>
            <w:vAlign w:val="center"/>
          </w:tcPr>
          <w:p w14:paraId="306C134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143" w:type="dxa"/>
            <w:noWrap w:val="0"/>
            <w:vAlign w:val="top"/>
          </w:tcPr>
          <w:p w14:paraId="47E4C7F8">
            <w:pPr>
              <w:widowControl/>
              <w:rPr>
                <w:rFonts w:hint="eastAsia" w:ascii="宋体" w:hAnsi="宋体" w:eastAsia="宋体" w:cs="宋体"/>
                <w:color w:val="auto"/>
                <w:sz w:val="18"/>
                <w:szCs w:val="18"/>
                <w:highlight w:val="none"/>
              </w:rPr>
            </w:pPr>
          </w:p>
        </w:tc>
      </w:tr>
    </w:tbl>
    <w:p w14:paraId="5A190552">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p>
    <w:p w14:paraId="4D7573A7">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（二）交付/实施时间</w:t>
      </w:r>
    </w:p>
    <w:p w14:paraId="5AD15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项目整体实施周期为</w:t>
      </w:r>
      <w:r>
        <w:rPr>
          <w:rStyle w:val="29"/>
          <w:rFonts w:hint="eastAsia" w:ascii="宋体" w:hAnsi="宋体" w:cs="宋体"/>
          <w:b/>
          <w:bCs/>
          <w:color w:val="auto"/>
          <w:kern w:val="0"/>
          <w:sz w:val="21"/>
          <w:szCs w:val="21"/>
          <w:highlight w:val="none"/>
          <w:lang w:val="en-US" w:eastAsia="zh-CN" w:bidi="ar"/>
        </w:rPr>
        <w:t>自合同签订至项目整体验收合格之日（约12个月）</w:t>
      </w:r>
      <w:r>
        <w:rPr>
          <w:rFonts w:hint="eastAsia" w:ascii="宋体" w:hAnsi="宋体" w:eastAsia="宋体" w:cs="宋体"/>
          <w:color w:val="auto"/>
          <w:kern w:val="0"/>
          <w:sz w:val="21"/>
          <w:szCs w:val="21"/>
          <w:highlight w:val="none"/>
          <w:lang w:val="en-US" w:eastAsia="zh-CN" w:bidi="ar"/>
        </w:rPr>
        <w:t>，各阶段时间要求如下：</w:t>
      </w:r>
    </w:p>
    <w:p w14:paraId="211E47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第1个月：完成工作小组组建、方案细化</w:t>
      </w:r>
      <w:r>
        <w:rPr>
          <w:rFonts w:hint="eastAsia" w:ascii="宋体" w:hAnsi="宋体" w:cs="宋体"/>
          <w:color w:val="auto"/>
          <w:sz w:val="21"/>
          <w:szCs w:val="21"/>
          <w:highlight w:val="none"/>
          <w:lang w:eastAsia="zh-CN"/>
        </w:rPr>
        <w:t>，</w:t>
      </w:r>
      <w:r>
        <w:rPr>
          <w:rFonts w:hint="eastAsia" w:ascii="宋体" w:hAnsi="宋体" w:cs="宋体"/>
          <w:b w:val="0"/>
          <w:bCs w:val="0"/>
          <w:color w:val="auto"/>
          <w:spacing w:val="0"/>
          <w:sz w:val="21"/>
          <w:szCs w:val="21"/>
          <w:highlight w:val="none"/>
          <w:lang w:val="en-US" w:eastAsia="zh-CN"/>
        </w:rPr>
        <w:t>进行设备采购</w:t>
      </w:r>
      <w:r>
        <w:rPr>
          <w:rFonts w:hint="eastAsia" w:ascii="宋体" w:hAnsi="宋体" w:eastAsia="宋体" w:cs="宋体"/>
          <w:color w:val="auto"/>
          <w:sz w:val="21"/>
          <w:szCs w:val="21"/>
          <w:highlight w:val="none"/>
        </w:rPr>
        <w:t>。</w:t>
      </w:r>
    </w:p>
    <w:p w14:paraId="7A1A44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第2个月：完成设备采购、遥感监测数据收集准备。</w:t>
      </w:r>
    </w:p>
    <w:p w14:paraId="680693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第3-5个月：完成所有设备安装、调试与试运行。</w:t>
      </w:r>
    </w:p>
    <w:p w14:paraId="4E87CB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第3-6个月：开展卫星遥感监测、地面设备数据采集。</w:t>
      </w:r>
    </w:p>
    <w:p w14:paraId="4586F2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第3-10个月：完成监测预警平台开发、功能测试与试运行。</w:t>
      </w:r>
    </w:p>
    <w:p w14:paraId="50D43A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第11个月：完成数据汇总、报告编制、验收材料准备。</w:t>
      </w:r>
    </w:p>
    <w:p w14:paraId="6B1DB7CE">
      <w:pPr>
        <w:widowControl/>
        <w:numPr>
          <w:ilvl w:val="0"/>
          <w:numId w:val="0"/>
        </w:numPr>
        <w:pBdr>
          <w:top w:val="none" w:color="auto" w:sz="0" w:space="0"/>
          <w:left w:val="none" w:color="auto" w:sz="0" w:space="0"/>
          <w:bottom w:val="none" w:color="auto" w:sz="0" w:space="0"/>
          <w:right w:val="none" w:color="auto" w:sz="0" w:space="0"/>
        </w:pBdr>
        <w:ind w:leftChars="200"/>
        <w:rPr>
          <w:rFonts w:hint="eastAsia"/>
          <w:color w:val="auto"/>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第12个月：完成项目验收、绩效评价与成果交付。</w:t>
      </w:r>
    </w:p>
    <w:p w14:paraId="0EBFA018">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（三）交付/实施地点</w:t>
      </w:r>
    </w:p>
    <w:p w14:paraId="555F2799">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实施地点：云南南滚河国家级自然保护区（耿马片区+沧源片区）指定监测点位。</w:t>
      </w:r>
    </w:p>
    <w:p w14:paraId="732BE35F">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交付地点：临沧市生态环境局指定地点（平台部署于指定机房/服务器，成果交付至局机关）。</w:t>
      </w:r>
    </w:p>
    <w:p w14:paraId="0E4C6CB1">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五、采购标的需满足的服务标准、期限、效率等要求</w:t>
      </w:r>
    </w:p>
    <w:p w14:paraId="69D83CD3">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（一）卫星遥感监测服务</w:t>
      </w:r>
    </w:p>
    <w:p w14:paraId="79E9E46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服务标准：严格按照行业规范开展遥感数据采集、解译、实地校核，成果经专家审核合格后交付。</w:t>
      </w:r>
    </w:p>
    <w:p w14:paraId="03412B61">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服务期限：</w:t>
      </w:r>
      <w:r>
        <w:rPr>
          <w:rFonts w:hint="eastAsia" w:ascii="宋体" w:hAnsi="宋体" w:cs="宋体"/>
          <w:color w:val="auto"/>
          <w:sz w:val="21"/>
          <w:szCs w:val="21"/>
          <w:highlight w:val="none"/>
          <w:lang w:val="en-US" w:eastAsia="zh-CN"/>
        </w:rPr>
        <w:t>项目实施周期：自合同签订之日起至项目整体验收合格之日止，不超过1年；运维服务期：自项目整体验收合格之日起免费运维3年。</w:t>
      </w:r>
    </w:p>
    <w:p w14:paraId="26D10CC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服务效率：按进度计划完成各阶段工作，收到采购人反馈后3个工作日内完成成果修改。</w:t>
      </w:r>
    </w:p>
    <w:p w14:paraId="477617A7">
      <w:pPr>
        <w:widowControl/>
        <w:numPr>
          <w:ilvl w:val="0"/>
          <w:numId w:val="0"/>
        </w:numPr>
        <w:pBdr>
          <w:top w:val="none" w:color="auto" w:sz="0" w:space="0"/>
          <w:left w:val="none" w:color="auto" w:sz="0" w:space="0"/>
          <w:bottom w:val="none" w:color="auto" w:sz="0" w:space="0"/>
          <w:right w:val="none" w:color="auto" w:sz="0" w:space="0"/>
        </w:pBdr>
        <w:spacing w:line="360" w:lineRule="auto"/>
        <w:ind w:leftChars="200" w:firstLine="0" w:firstLineChars="0"/>
        <w:jc w:val="left"/>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成果要求：自合同签订之日起，连续开展三年，每年开展1次全套监测任务，每年按要求提交成果资料</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输出生态变化信息空间矢量文件（Shapefile格式）、监测图（JPG/PNG格式）、《基于卫星遥感的云南南滚河国家级自然保护区生态系统安全风险监测》报告1份及配套数据集1套。</w:t>
      </w:r>
    </w:p>
    <w:p w14:paraId="09CD225F">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（二）设备相关服务</w:t>
      </w:r>
    </w:p>
    <w:p w14:paraId="7DEC2833">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供货服务：设备运输至指定地点，提供完整的合格证、说明书、检测报告等资料，运输过程中确保设备完好。</w:t>
      </w:r>
    </w:p>
    <w:p w14:paraId="3D6E5C73">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安装调试服务：专业技术人员现场安装调试，免费开展设备操作、维护培训，确保采购人技术人员能独立操作。</w:t>
      </w:r>
    </w:p>
    <w:p w14:paraId="569C599A">
      <w:pPr>
        <w:pStyle w:val="14"/>
        <w:keepNext w:val="0"/>
        <w:keepLines w:val="0"/>
        <w:pageBreakBefore w:val="0"/>
        <w:widowControl/>
        <w:numPr>
          <w:ilvl w:val="0"/>
          <w:numId w:val="20"/>
        </w:numPr>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质保服务</w:t>
      </w:r>
    </w:p>
    <w:p w14:paraId="68B1EE8F">
      <w:pPr>
        <w:pStyle w:val="14"/>
        <w:keepNext w:val="0"/>
        <w:keepLines w:val="0"/>
        <w:pageBreakBefore w:val="0"/>
        <w:widowControl/>
        <w:numPr>
          <w:ilvl w:val="-1"/>
          <w:numId w:val="0"/>
        </w:numPr>
        <w:kinsoku w:val="0"/>
        <w:wordWrap/>
        <w:overflowPunct/>
        <w:topLinePunct w:val="0"/>
        <w:autoSpaceDE w:val="0"/>
        <w:autoSpaceDN w:val="0"/>
        <w:bidi w:val="0"/>
        <w:adjustRightInd w:val="0"/>
        <w:snapToGrid w:val="0"/>
        <w:spacing w:after="0" w:line="360" w:lineRule="auto"/>
        <w:ind w:left="420" w:leftChars="200" w:right="0" w:firstLine="0" w:firstLineChars="0"/>
        <w:textAlignment w:val="baseline"/>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3.1、</w:t>
      </w:r>
      <w:r>
        <w:rPr>
          <w:rFonts w:hint="eastAsia" w:ascii="宋体" w:hAnsi="宋体" w:eastAsia="宋体" w:cs="宋体"/>
          <w:color w:val="auto"/>
          <w:spacing w:val="0"/>
          <w:sz w:val="21"/>
          <w:szCs w:val="21"/>
          <w:highlight w:val="none"/>
        </w:rPr>
        <w:t>质保期</w:t>
      </w:r>
    </w:p>
    <w:p w14:paraId="1A4B5CE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3.1.</w:t>
      </w:r>
      <w:r>
        <w:rPr>
          <w:rFonts w:hint="eastAsia" w:ascii="宋体" w:hAnsi="宋体" w:eastAsia="宋体" w:cs="宋体"/>
          <w:color w:val="auto"/>
          <w:spacing w:val="0"/>
          <w:sz w:val="21"/>
          <w:szCs w:val="21"/>
          <w:highlight w:val="none"/>
          <w:lang w:val="en-US" w:eastAsia="zh-CN"/>
        </w:rPr>
        <w:t>1</w:t>
      </w:r>
      <w:r>
        <w:rPr>
          <w:rFonts w:hint="eastAsia" w:ascii="宋体" w:hAnsi="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监测设备：质保期为自设备安装调试合格并经甲方</w:t>
      </w:r>
      <w:r>
        <w:rPr>
          <w:rFonts w:hint="eastAsia" w:ascii="宋体" w:hAnsi="宋体" w:cs="宋体"/>
          <w:color w:val="auto"/>
          <w:spacing w:val="0"/>
          <w:sz w:val="21"/>
          <w:szCs w:val="21"/>
          <w:highlight w:val="none"/>
          <w:lang w:val="en-US" w:eastAsia="zh-CN"/>
        </w:rPr>
        <w:t>终</w:t>
      </w:r>
      <w:r>
        <w:rPr>
          <w:rFonts w:hint="eastAsia" w:ascii="宋体" w:hAnsi="宋体" w:eastAsia="宋体" w:cs="宋体"/>
          <w:color w:val="auto"/>
          <w:spacing w:val="0"/>
          <w:sz w:val="21"/>
          <w:szCs w:val="21"/>
          <w:highlight w:val="none"/>
        </w:rPr>
        <w:t>验</w:t>
      </w:r>
      <w:r>
        <w:rPr>
          <w:rFonts w:hint="eastAsia" w:ascii="宋体" w:hAnsi="宋体" w:cs="宋体"/>
          <w:color w:val="auto"/>
          <w:spacing w:val="0"/>
          <w:sz w:val="21"/>
          <w:szCs w:val="21"/>
          <w:highlight w:val="none"/>
          <w:lang w:val="en-US" w:eastAsia="zh-CN"/>
        </w:rPr>
        <w:t>合格</w:t>
      </w:r>
      <w:r>
        <w:rPr>
          <w:rFonts w:hint="eastAsia" w:ascii="宋体" w:hAnsi="宋体" w:eastAsia="宋体" w:cs="宋体"/>
          <w:color w:val="auto"/>
          <w:spacing w:val="0"/>
          <w:sz w:val="21"/>
          <w:szCs w:val="21"/>
          <w:highlight w:val="none"/>
        </w:rPr>
        <w:t>之日起</w:t>
      </w:r>
      <w:r>
        <w:rPr>
          <w:rFonts w:hint="eastAsia" w:ascii="宋体" w:hAnsi="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年</w:t>
      </w:r>
      <w:r>
        <w:rPr>
          <w:rFonts w:hint="eastAsia" w:ascii="宋体" w:hAnsi="宋体" w:cs="宋体"/>
          <w:color w:val="auto"/>
          <w:spacing w:val="0"/>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无人值守无人机场</w:t>
      </w:r>
      <w:r>
        <w:rPr>
          <w:rFonts w:hint="eastAsia" w:ascii="宋体" w:hAnsi="宋体" w:cs="宋体"/>
          <w:i w:val="0"/>
          <w:iCs w:val="0"/>
          <w:color w:val="auto"/>
          <w:kern w:val="0"/>
          <w:sz w:val="21"/>
          <w:szCs w:val="21"/>
          <w:highlight w:val="none"/>
          <w:u w:val="none"/>
          <w:lang w:val="en-US" w:eastAsia="zh-CN" w:bidi="ar"/>
        </w:rPr>
        <w:t>及无人机</w:t>
      </w:r>
      <w:r>
        <w:rPr>
          <w:rFonts w:hint="eastAsia" w:ascii="宋体" w:hAnsi="宋体" w:cs="宋体"/>
          <w:color w:val="auto"/>
          <w:spacing w:val="0"/>
          <w:sz w:val="21"/>
          <w:szCs w:val="21"/>
          <w:highlight w:val="none"/>
          <w:lang w:val="en-US" w:eastAsia="zh-CN"/>
        </w:rPr>
        <w:t>保险均为3年，提供2块备用电池</w:t>
      </w:r>
      <w:r>
        <w:rPr>
          <w:rFonts w:hint="eastAsia" w:ascii="宋体" w:hAnsi="宋体" w:cs="宋体"/>
          <w:color w:val="auto"/>
          <w:kern w:val="0"/>
          <w:sz w:val="21"/>
          <w:szCs w:val="21"/>
          <w:highlight w:val="none"/>
          <w:u w:val="none"/>
          <w:lang w:val="en-US" w:eastAsia="zh-CN" w:bidi="ar"/>
        </w:rPr>
        <w:t>和2块4G图传模块，</w:t>
      </w:r>
      <w:r>
        <w:rPr>
          <w:rFonts w:hint="eastAsia" w:ascii="宋体" w:hAnsi="宋体" w:eastAsia="宋体" w:cs="宋体"/>
          <w:b w:val="0"/>
          <w:bCs w:val="0"/>
          <w:i w:val="0"/>
          <w:iCs w:val="0"/>
          <w:caps w:val="0"/>
          <w:color w:val="auto"/>
          <w:spacing w:val="-4"/>
          <w:sz w:val="21"/>
          <w:szCs w:val="21"/>
          <w:highlight w:val="none"/>
          <w:shd w:val="clear" w:fill="FFFFFF"/>
          <w:lang w:val="en-US" w:eastAsia="zh-CN"/>
        </w:rPr>
        <w:t>配备</w:t>
      </w:r>
      <w:r>
        <w:rPr>
          <w:rFonts w:hint="eastAsia" w:ascii="宋体" w:hAnsi="宋体" w:eastAsia="宋体" w:cs="宋体"/>
          <w:b w:val="0"/>
          <w:bCs w:val="0"/>
          <w:i w:val="0"/>
          <w:iCs w:val="0"/>
          <w:caps w:val="0"/>
          <w:color w:val="auto"/>
          <w:spacing w:val="-4"/>
          <w:sz w:val="21"/>
          <w:szCs w:val="21"/>
          <w:highlight w:val="none"/>
          <w:shd w:val="clear" w:fill="FFFFFF"/>
        </w:rPr>
        <w:t>一站式无人机管理平台</w:t>
      </w:r>
      <w:r>
        <w:rPr>
          <w:rFonts w:hint="eastAsia" w:ascii="宋体" w:hAnsi="宋体" w:eastAsia="宋体" w:cs="宋体"/>
          <w:color w:val="auto"/>
          <w:spacing w:val="0"/>
          <w:sz w:val="21"/>
          <w:szCs w:val="21"/>
          <w:highlight w:val="none"/>
        </w:rPr>
        <w:t>；</w:t>
      </w:r>
    </w:p>
    <w:p w14:paraId="5E536BA2">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3.1.</w:t>
      </w:r>
      <w:r>
        <w:rPr>
          <w:rFonts w:hint="eastAsia" w:ascii="宋体" w:hAnsi="宋体" w:eastAsia="宋体" w:cs="宋体"/>
          <w:color w:val="auto"/>
          <w:spacing w:val="0"/>
          <w:sz w:val="21"/>
          <w:szCs w:val="21"/>
          <w:highlight w:val="none"/>
          <w:lang w:val="en-US" w:eastAsia="zh-CN"/>
        </w:rPr>
        <w:t>2</w:t>
      </w:r>
      <w:r>
        <w:rPr>
          <w:rFonts w:hint="eastAsia" w:ascii="宋体" w:hAnsi="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监测预警平台：质保期为自平台试运行合格并经甲方</w:t>
      </w:r>
      <w:r>
        <w:rPr>
          <w:rFonts w:hint="eastAsia" w:ascii="宋体" w:hAnsi="宋体" w:cs="宋体"/>
          <w:color w:val="auto"/>
          <w:spacing w:val="0"/>
          <w:sz w:val="21"/>
          <w:szCs w:val="21"/>
          <w:highlight w:val="none"/>
          <w:lang w:val="en-US" w:eastAsia="zh-CN"/>
        </w:rPr>
        <w:t>终验合格</w:t>
      </w:r>
      <w:r>
        <w:rPr>
          <w:rFonts w:hint="eastAsia" w:ascii="宋体" w:hAnsi="宋体" w:eastAsia="宋体" w:cs="宋体"/>
          <w:color w:val="auto"/>
          <w:spacing w:val="0"/>
          <w:sz w:val="21"/>
          <w:szCs w:val="21"/>
          <w:highlight w:val="none"/>
        </w:rPr>
        <w:t>之日起</w:t>
      </w:r>
      <w:r>
        <w:rPr>
          <w:rFonts w:hint="eastAsia" w:ascii="宋体" w:hAnsi="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年；</w:t>
      </w:r>
    </w:p>
    <w:p w14:paraId="1C2BF038">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3.1.3、项目</w:t>
      </w:r>
      <w:r>
        <w:rPr>
          <w:rFonts w:hint="eastAsia" w:ascii="宋体" w:hAnsi="宋体" w:eastAsia="宋体" w:cs="宋体"/>
          <w:color w:val="auto"/>
          <w:spacing w:val="0"/>
          <w:sz w:val="21"/>
          <w:szCs w:val="21"/>
          <w:highlight w:val="none"/>
        </w:rPr>
        <w:t>运维服务：</w:t>
      </w:r>
      <w:r>
        <w:rPr>
          <w:rFonts w:hint="eastAsia" w:ascii="宋体" w:hAnsi="宋体" w:cs="宋体"/>
          <w:color w:val="auto"/>
          <w:sz w:val="21"/>
          <w:szCs w:val="21"/>
          <w:highlight w:val="none"/>
          <w:lang w:val="en-US" w:eastAsia="zh-CN"/>
        </w:rPr>
        <w:t>项目免费运维期三年，自项目整体验收合格后免费运维三年</w:t>
      </w:r>
      <w:r>
        <w:rPr>
          <w:rFonts w:hint="eastAsia" w:ascii="宋体" w:hAnsi="宋体" w:cs="宋体"/>
          <w:color w:val="auto"/>
          <w:spacing w:val="0"/>
          <w:sz w:val="21"/>
          <w:szCs w:val="21"/>
          <w:highlight w:val="none"/>
          <w:lang w:val="en-US" w:eastAsia="zh-CN"/>
        </w:rPr>
        <w:t>。三年内提供</w:t>
      </w:r>
      <w:r>
        <w:rPr>
          <w:rFonts w:hint="eastAsia" w:ascii="宋体" w:hAnsi="宋体" w:eastAsia="宋体" w:cs="宋体"/>
          <w:color w:val="auto"/>
          <w:spacing w:val="0"/>
          <w:sz w:val="21"/>
          <w:szCs w:val="21"/>
          <w:highlight w:val="none"/>
        </w:rPr>
        <w:t>数据保障服务</w:t>
      </w:r>
      <w:r>
        <w:rPr>
          <w:rFonts w:hint="eastAsia" w:ascii="宋体" w:hAnsi="宋体" w:cs="宋体"/>
          <w:color w:val="auto"/>
          <w:spacing w:val="0"/>
          <w:sz w:val="21"/>
          <w:szCs w:val="21"/>
          <w:highlight w:val="none"/>
          <w:lang w:eastAsia="zh-CN"/>
        </w:rPr>
        <w:t>，包括</w:t>
      </w:r>
      <w:r>
        <w:rPr>
          <w:rFonts w:hint="eastAsia" w:ascii="宋体" w:hAnsi="宋体" w:eastAsia="宋体" w:cs="宋体"/>
          <w:color w:val="auto"/>
          <w:spacing w:val="0"/>
          <w:sz w:val="21"/>
          <w:szCs w:val="21"/>
          <w:highlight w:val="none"/>
        </w:rPr>
        <w:t>设备、平台</w:t>
      </w:r>
      <w:r>
        <w:rPr>
          <w:rFonts w:hint="eastAsia" w:ascii="宋体" w:hAnsi="宋体" w:cs="宋体"/>
          <w:color w:val="auto"/>
          <w:spacing w:val="0"/>
          <w:sz w:val="21"/>
          <w:szCs w:val="21"/>
          <w:highlight w:val="none"/>
          <w:lang w:eastAsia="zh-CN"/>
        </w:rPr>
        <w:t>正常使用</w:t>
      </w:r>
      <w:r>
        <w:rPr>
          <w:rFonts w:hint="eastAsia" w:ascii="宋体" w:hAnsi="宋体" w:cs="宋体"/>
          <w:color w:val="auto"/>
          <w:spacing w:val="0"/>
          <w:sz w:val="21"/>
          <w:szCs w:val="21"/>
          <w:highlight w:val="none"/>
          <w:lang w:val="en-US" w:eastAsia="zh-CN"/>
        </w:rPr>
        <w:t>三年。</w:t>
      </w:r>
    </w:p>
    <w:p w14:paraId="0660013E">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质保及运维义务</w:t>
      </w:r>
    </w:p>
    <w:p w14:paraId="693BE209">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4.1、</w:t>
      </w:r>
      <w:r>
        <w:rPr>
          <w:rFonts w:hint="eastAsia" w:ascii="宋体" w:hAnsi="宋体" w:eastAsia="宋体" w:cs="宋体"/>
          <w:color w:val="auto"/>
          <w:spacing w:val="0"/>
          <w:sz w:val="21"/>
          <w:szCs w:val="21"/>
          <w:highlight w:val="none"/>
        </w:rPr>
        <w:t>质保期内，</w:t>
      </w:r>
      <w:r>
        <w:rPr>
          <w:rFonts w:hint="eastAsia" w:ascii="宋体" w:hAnsi="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对设备、平台出现的非人为故障免费提供维修、更换零部件服务，对平台免费提供漏洞修复、功能优化、技术支持服务</w:t>
      </w:r>
      <w:r>
        <w:rPr>
          <w:rFonts w:hint="eastAsia" w:ascii="宋体" w:hAnsi="宋体" w:cs="宋体"/>
          <w:color w:val="auto"/>
          <w:spacing w:val="0"/>
          <w:sz w:val="21"/>
          <w:szCs w:val="21"/>
          <w:highlight w:val="none"/>
          <w:lang w:val="en-US" w:eastAsia="zh-CN"/>
        </w:rPr>
        <w:t>。</w:t>
      </w:r>
    </w:p>
    <w:p w14:paraId="2A2232A5">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4.2、在</w:t>
      </w:r>
      <w:r>
        <w:rPr>
          <w:rFonts w:hint="eastAsia" w:ascii="宋体" w:hAnsi="宋体" w:eastAsia="宋体" w:cs="宋体"/>
          <w:color w:val="auto"/>
          <w:spacing w:val="0"/>
          <w:sz w:val="21"/>
          <w:szCs w:val="21"/>
          <w:highlight w:val="none"/>
        </w:rPr>
        <w:t>3年长期数据保障服务期内，</w:t>
      </w:r>
      <w:r>
        <w:rPr>
          <w:rFonts w:hint="eastAsia" w:ascii="宋体" w:hAnsi="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每季度至少开展1次</w:t>
      </w:r>
      <w:r>
        <w:rPr>
          <w:rFonts w:hint="eastAsia" w:ascii="宋体" w:hAnsi="宋体" w:cs="宋体"/>
          <w:color w:val="auto"/>
          <w:spacing w:val="0"/>
          <w:sz w:val="21"/>
          <w:szCs w:val="21"/>
          <w:highlight w:val="none"/>
          <w:lang w:eastAsia="zh-CN"/>
        </w:rPr>
        <w:t>监测</w:t>
      </w:r>
      <w:r>
        <w:rPr>
          <w:rFonts w:hint="eastAsia" w:ascii="宋体" w:hAnsi="宋体" w:eastAsia="宋体" w:cs="宋体"/>
          <w:color w:val="auto"/>
          <w:spacing w:val="0"/>
          <w:sz w:val="21"/>
          <w:szCs w:val="21"/>
          <w:highlight w:val="none"/>
        </w:rPr>
        <w:t>设备现场巡检，</w:t>
      </w:r>
      <w:r>
        <w:rPr>
          <w:rFonts w:hint="eastAsia" w:ascii="宋体" w:hAnsi="宋体" w:cs="宋体"/>
          <w:color w:val="auto"/>
          <w:spacing w:val="0"/>
          <w:sz w:val="21"/>
          <w:szCs w:val="21"/>
          <w:highlight w:val="none"/>
          <w:lang w:eastAsia="zh-CN"/>
        </w:rPr>
        <w:t>开展设备检修，</w:t>
      </w:r>
      <w:r>
        <w:rPr>
          <w:rFonts w:hint="eastAsia" w:ascii="宋体" w:hAnsi="宋体" w:eastAsia="宋体" w:cs="宋体"/>
          <w:color w:val="auto"/>
          <w:spacing w:val="0"/>
          <w:sz w:val="21"/>
          <w:szCs w:val="21"/>
          <w:highlight w:val="none"/>
        </w:rPr>
        <w:t>及时更换电池、存储卡</w:t>
      </w:r>
      <w:r>
        <w:rPr>
          <w:rFonts w:hint="eastAsia" w:ascii="宋体" w:hAnsi="宋体" w:cs="宋体"/>
          <w:color w:val="auto"/>
          <w:spacing w:val="0"/>
          <w:sz w:val="21"/>
          <w:szCs w:val="21"/>
          <w:highlight w:val="none"/>
          <w:lang w:eastAsia="zh-CN"/>
        </w:rPr>
        <w:t>、零部件</w:t>
      </w:r>
      <w:r>
        <w:rPr>
          <w:rFonts w:hint="eastAsia" w:ascii="宋体" w:hAnsi="宋体" w:eastAsia="宋体" w:cs="宋体"/>
          <w:color w:val="auto"/>
          <w:spacing w:val="0"/>
          <w:sz w:val="21"/>
          <w:szCs w:val="21"/>
          <w:highlight w:val="none"/>
        </w:rPr>
        <w:t>等耗材，根据甲方要求调整设备位置，</w:t>
      </w:r>
      <w:r>
        <w:rPr>
          <w:rFonts w:hint="eastAsia" w:ascii="宋体" w:hAnsi="宋体" w:cs="宋体"/>
          <w:color w:val="auto"/>
          <w:spacing w:val="0"/>
          <w:sz w:val="21"/>
          <w:szCs w:val="21"/>
          <w:highlight w:val="none"/>
          <w:lang w:eastAsia="zh-CN"/>
        </w:rPr>
        <w:t>对部分指标开展现场人工补充调查，</w:t>
      </w:r>
      <w:r>
        <w:rPr>
          <w:rFonts w:hint="eastAsia" w:ascii="宋体" w:hAnsi="宋体" w:eastAsia="宋体" w:cs="宋体"/>
          <w:color w:val="auto"/>
          <w:spacing w:val="0"/>
          <w:sz w:val="21"/>
          <w:szCs w:val="21"/>
          <w:highlight w:val="none"/>
        </w:rPr>
        <w:t>对监测数据进行质量核查，确保数据完整有效</w:t>
      </w:r>
      <w:r>
        <w:rPr>
          <w:rFonts w:hint="eastAsia" w:ascii="宋体" w:hAnsi="宋体" w:cs="宋体"/>
          <w:color w:val="auto"/>
          <w:spacing w:val="0"/>
          <w:sz w:val="21"/>
          <w:szCs w:val="21"/>
          <w:highlight w:val="none"/>
          <w:lang w:eastAsia="zh-CN"/>
        </w:rPr>
        <w:t>；</w:t>
      </w:r>
      <w:r>
        <w:rPr>
          <w:rFonts w:hint="eastAsia" w:ascii="宋体" w:hAnsi="宋体" w:cs="宋体"/>
          <w:b w:val="0"/>
          <w:bCs w:val="0"/>
          <w:color w:val="auto"/>
          <w:szCs w:val="21"/>
          <w:highlight w:val="none"/>
        </w:rPr>
        <w:t>保障</w:t>
      </w:r>
      <w:r>
        <w:rPr>
          <w:rFonts w:hint="eastAsia" w:ascii="宋体" w:hAnsi="宋体" w:cs="宋体"/>
          <w:b w:val="0"/>
          <w:bCs w:val="0"/>
          <w:color w:val="auto"/>
          <w:szCs w:val="21"/>
          <w:highlight w:val="none"/>
          <w:lang w:eastAsia="zh-CN"/>
        </w:rPr>
        <w:t>生态安全风险监测预警信息平台</w:t>
      </w:r>
      <w:r>
        <w:rPr>
          <w:rFonts w:hint="eastAsia" w:ascii="宋体" w:hAnsi="宋体" w:cs="宋体"/>
          <w:b w:val="0"/>
          <w:bCs w:val="0"/>
          <w:color w:val="auto"/>
          <w:szCs w:val="21"/>
          <w:highlight w:val="none"/>
        </w:rPr>
        <w:t>正常运行，每季度对机房设备巡检维护并出具巡检报告。根据软件运行情况进行升级更新，损坏设备配件的更换维修等。提供软件平台网络安全运维，定期进行病毒查杀、风险预警、应急</w:t>
      </w:r>
      <w:r>
        <w:rPr>
          <w:rFonts w:hint="eastAsia" w:ascii="宋体" w:hAnsi="宋体" w:cs="宋体"/>
          <w:b w:val="0"/>
          <w:bCs w:val="0"/>
          <w:color w:val="auto"/>
          <w:szCs w:val="21"/>
          <w:highlight w:val="none"/>
          <w:lang w:eastAsia="zh-CN"/>
        </w:rPr>
        <w:t>处置</w:t>
      </w:r>
      <w:r>
        <w:rPr>
          <w:rFonts w:hint="eastAsia" w:ascii="宋体" w:hAnsi="宋体" w:cs="宋体"/>
          <w:b w:val="0"/>
          <w:bCs w:val="0"/>
          <w:color w:val="auto"/>
          <w:szCs w:val="21"/>
          <w:highlight w:val="none"/>
        </w:rPr>
        <w:t>等</w:t>
      </w:r>
      <w:r>
        <w:rPr>
          <w:rFonts w:hint="eastAsia" w:ascii="宋体" w:hAnsi="宋体" w:cs="宋体"/>
          <w:b w:val="0"/>
          <w:bCs w:val="0"/>
          <w:color w:val="auto"/>
          <w:szCs w:val="21"/>
          <w:highlight w:val="none"/>
          <w:lang w:eastAsia="zh-CN"/>
        </w:rPr>
        <w:t>；</w:t>
      </w:r>
      <w:r>
        <w:rPr>
          <w:rFonts w:hint="eastAsia" w:ascii="宋体" w:hAnsi="宋体" w:eastAsia="宋体" w:cs="宋体"/>
          <w:color w:val="auto"/>
          <w:spacing w:val="0"/>
          <w:sz w:val="21"/>
          <w:szCs w:val="21"/>
          <w:highlight w:val="none"/>
        </w:rPr>
        <w:t>每年向甲方提交1份运维总结报告</w:t>
      </w:r>
      <w:r>
        <w:rPr>
          <w:rFonts w:hint="eastAsia" w:ascii="宋体" w:hAnsi="宋体" w:cs="宋体"/>
          <w:color w:val="auto"/>
          <w:spacing w:val="0"/>
          <w:sz w:val="21"/>
          <w:szCs w:val="21"/>
          <w:highlight w:val="none"/>
          <w:lang w:eastAsia="zh-CN"/>
        </w:rPr>
        <w:t>。</w:t>
      </w:r>
    </w:p>
    <w:p w14:paraId="414F2303">
      <w:pPr>
        <w:pStyle w:val="14"/>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20" w:firstLineChars="200"/>
        <w:textAlignment w:val="baseline"/>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4.3、响应效率：</w:t>
      </w:r>
      <w:r>
        <w:rPr>
          <w:rFonts w:hint="eastAsia" w:ascii="宋体" w:hAnsi="宋体" w:eastAsia="宋体" w:cs="宋体"/>
          <w:color w:val="auto"/>
          <w:spacing w:val="0"/>
          <w:sz w:val="21"/>
          <w:szCs w:val="21"/>
          <w:highlight w:val="none"/>
        </w:rPr>
        <w:t>质保及运维期内，</w:t>
      </w:r>
      <w:r>
        <w:rPr>
          <w:rFonts w:hint="eastAsia" w:ascii="宋体" w:hAnsi="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提供7×24小时技术支持，设备/平台故障报修后，远程响应≤1小时，现场处理≤48小时（偏远地区≤72小时）。</w:t>
      </w:r>
    </w:p>
    <w:p w14:paraId="0EE95C3E">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保险服务：</w:t>
      </w:r>
      <w:r>
        <w:rPr>
          <w:rFonts w:hint="eastAsia" w:ascii="宋体" w:hAnsi="宋体" w:eastAsia="宋体" w:cs="宋体"/>
          <w:i w:val="0"/>
          <w:iCs w:val="0"/>
          <w:color w:val="auto"/>
          <w:kern w:val="0"/>
          <w:sz w:val="21"/>
          <w:szCs w:val="21"/>
          <w:highlight w:val="none"/>
          <w:u w:val="none"/>
          <w:lang w:val="en-US" w:eastAsia="zh-CN" w:bidi="ar"/>
        </w:rPr>
        <w:t>无人值守无人机场</w:t>
      </w:r>
      <w:r>
        <w:rPr>
          <w:rFonts w:hint="eastAsia" w:ascii="宋体" w:hAnsi="宋体" w:cs="宋体"/>
          <w:i w:val="0"/>
          <w:iCs w:val="0"/>
          <w:color w:val="auto"/>
          <w:kern w:val="0"/>
          <w:sz w:val="21"/>
          <w:szCs w:val="21"/>
          <w:highlight w:val="none"/>
          <w:u w:val="none"/>
          <w:lang w:val="en-US" w:eastAsia="zh-CN" w:bidi="ar"/>
        </w:rPr>
        <w:t>及</w:t>
      </w:r>
      <w:r>
        <w:rPr>
          <w:rFonts w:hint="eastAsia" w:ascii="宋体" w:hAnsi="宋体" w:cs="宋体"/>
          <w:color w:val="auto"/>
          <w:spacing w:val="0"/>
          <w:sz w:val="21"/>
          <w:szCs w:val="21"/>
          <w:highlight w:val="none"/>
          <w:lang w:val="en-US" w:eastAsia="zh-CN"/>
        </w:rPr>
        <w:t>无人机保险均为3年。</w:t>
      </w:r>
    </w:p>
    <w:p w14:paraId="0B74423F">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（三）监测预警平台开发服务</w:t>
      </w:r>
    </w:p>
    <w:p w14:paraId="1300F13F">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开发服务：按需求完成平台开发，定期汇报进度，根据反馈及时优化功能。</w:t>
      </w:r>
    </w:p>
    <w:p w14:paraId="7C6C4840">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培训服务：免费提供平台操作、数据管理、系统维护培训，确保采购人能独立使用平台。</w:t>
      </w:r>
    </w:p>
    <w:p w14:paraId="0F7AE7A6">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质保服务：平台质保期≥3年（自试运行合格之日起），质保期内免费提供系统维护、漏洞修复、功能优化。</w:t>
      </w:r>
    </w:p>
    <w:p w14:paraId="0023C987">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响应效率：平台故障后1小时内远程响应，需现场处理的24小时内到达。</w:t>
      </w:r>
    </w:p>
    <w:p w14:paraId="74E3729E">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（四）设备运维服务</w:t>
      </w:r>
    </w:p>
    <w:p w14:paraId="048E74A4">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r>
        <w:rPr>
          <w:rFonts w:hint="eastAsia" w:ascii="宋体" w:hAnsi="宋体" w:cs="宋体"/>
          <w:color w:val="auto"/>
          <w:sz w:val="21"/>
          <w:szCs w:val="21"/>
          <w:highlight w:val="none"/>
          <w:lang w:val="en-US" w:eastAsia="zh-CN"/>
        </w:rPr>
        <w:t>项目实施周期：自合同签订之日起至项目整体验收合格之日止，不超过1年；运维服务期：自项目整体验收合格之日起免费运维3年。</w:t>
      </w:r>
      <w:r>
        <w:rPr>
          <w:rFonts w:hint="eastAsia" w:ascii="宋体" w:hAnsi="宋体" w:eastAsia="宋体" w:cs="宋体"/>
          <w:color w:val="auto"/>
          <w:sz w:val="21"/>
          <w:szCs w:val="21"/>
          <w:highlight w:val="none"/>
        </w:rPr>
        <w:t>。</w:t>
      </w:r>
    </w:p>
    <w:p w14:paraId="277B190D">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w:t>
      </w:r>
      <w:r>
        <w:rPr>
          <w:rFonts w:hint="eastAsia" w:ascii="宋体" w:hAnsi="宋体" w:eastAsia="宋体" w:cs="宋体"/>
          <w:b w:val="0"/>
          <w:bCs w:val="0"/>
          <w:color w:val="auto"/>
          <w:spacing w:val="0"/>
          <w:sz w:val="21"/>
          <w:szCs w:val="21"/>
          <w:highlight w:val="none"/>
        </w:rPr>
        <w:t>每季度至少开展1次</w:t>
      </w:r>
      <w:r>
        <w:rPr>
          <w:rFonts w:hint="eastAsia" w:ascii="宋体" w:hAnsi="宋体" w:cs="宋体"/>
          <w:b w:val="0"/>
          <w:bCs w:val="0"/>
          <w:color w:val="auto"/>
          <w:spacing w:val="0"/>
          <w:sz w:val="21"/>
          <w:szCs w:val="21"/>
          <w:highlight w:val="none"/>
          <w:lang w:eastAsia="zh-CN"/>
        </w:rPr>
        <w:t>监测</w:t>
      </w:r>
      <w:r>
        <w:rPr>
          <w:rFonts w:hint="eastAsia" w:ascii="宋体" w:hAnsi="宋体" w:eastAsia="宋体" w:cs="宋体"/>
          <w:b w:val="0"/>
          <w:bCs w:val="0"/>
          <w:color w:val="auto"/>
          <w:spacing w:val="0"/>
          <w:sz w:val="21"/>
          <w:szCs w:val="21"/>
          <w:highlight w:val="none"/>
        </w:rPr>
        <w:t>设备现场巡检，</w:t>
      </w:r>
      <w:r>
        <w:rPr>
          <w:rFonts w:hint="eastAsia" w:ascii="宋体" w:hAnsi="宋体" w:cs="宋体"/>
          <w:b w:val="0"/>
          <w:bCs w:val="0"/>
          <w:color w:val="auto"/>
          <w:spacing w:val="0"/>
          <w:sz w:val="21"/>
          <w:szCs w:val="21"/>
          <w:highlight w:val="none"/>
          <w:lang w:eastAsia="zh-CN"/>
        </w:rPr>
        <w:t>开展设备检修，</w:t>
      </w:r>
      <w:r>
        <w:rPr>
          <w:rFonts w:hint="eastAsia" w:ascii="宋体" w:hAnsi="宋体" w:eastAsia="宋体" w:cs="宋体"/>
          <w:b w:val="0"/>
          <w:bCs w:val="0"/>
          <w:color w:val="auto"/>
          <w:spacing w:val="0"/>
          <w:sz w:val="21"/>
          <w:szCs w:val="21"/>
          <w:highlight w:val="none"/>
        </w:rPr>
        <w:t>及时更换电池、存储卡</w:t>
      </w:r>
      <w:r>
        <w:rPr>
          <w:rFonts w:hint="eastAsia" w:ascii="宋体" w:hAnsi="宋体" w:cs="宋体"/>
          <w:b w:val="0"/>
          <w:bCs w:val="0"/>
          <w:color w:val="auto"/>
          <w:spacing w:val="0"/>
          <w:sz w:val="21"/>
          <w:szCs w:val="21"/>
          <w:highlight w:val="none"/>
          <w:lang w:eastAsia="zh-CN"/>
        </w:rPr>
        <w:t>、</w:t>
      </w:r>
      <w:r>
        <w:rPr>
          <w:rFonts w:hint="eastAsia" w:ascii="宋体" w:hAnsi="宋体" w:cs="宋体"/>
          <w:b w:val="0"/>
          <w:bCs w:val="0"/>
          <w:color w:val="auto"/>
          <w:spacing w:val="0"/>
          <w:sz w:val="21"/>
          <w:szCs w:val="21"/>
          <w:highlight w:val="none"/>
          <w:lang w:val="en-US" w:eastAsia="zh-CN"/>
        </w:rPr>
        <w:t>设备配件</w:t>
      </w:r>
      <w:r>
        <w:rPr>
          <w:rFonts w:hint="eastAsia" w:ascii="宋体" w:hAnsi="宋体" w:eastAsia="宋体" w:cs="宋体"/>
          <w:b w:val="0"/>
          <w:bCs w:val="0"/>
          <w:color w:val="auto"/>
          <w:spacing w:val="0"/>
          <w:sz w:val="21"/>
          <w:szCs w:val="21"/>
          <w:highlight w:val="none"/>
        </w:rPr>
        <w:t>等耗材，根据要求调整设备位置，</w:t>
      </w:r>
      <w:r>
        <w:rPr>
          <w:rFonts w:hint="eastAsia" w:ascii="宋体" w:hAnsi="宋体" w:cs="宋体"/>
          <w:b w:val="0"/>
          <w:bCs w:val="0"/>
          <w:color w:val="auto"/>
          <w:spacing w:val="0"/>
          <w:sz w:val="21"/>
          <w:szCs w:val="21"/>
          <w:highlight w:val="none"/>
          <w:lang w:eastAsia="zh-CN"/>
        </w:rPr>
        <w:t>对部分指标开展现场人工补充调查，</w:t>
      </w:r>
      <w:r>
        <w:rPr>
          <w:rFonts w:hint="eastAsia" w:ascii="宋体" w:hAnsi="宋体" w:eastAsia="宋体" w:cs="宋体"/>
          <w:b w:val="0"/>
          <w:bCs w:val="0"/>
          <w:color w:val="auto"/>
          <w:spacing w:val="0"/>
          <w:sz w:val="21"/>
          <w:szCs w:val="21"/>
          <w:highlight w:val="none"/>
        </w:rPr>
        <w:t>对监测数据进行质量核查，确保数据完整有效</w:t>
      </w:r>
      <w:r>
        <w:rPr>
          <w:rFonts w:hint="eastAsia" w:ascii="宋体" w:hAnsi="宋体" w:cs="宋体"/>
          <w:b w:val="0"/>
          <w:bCs w:val="0"/>
          <w:color w:val="auto"/>
          <w:spacing w:val="0"/>
          <w:sz w:val="21"/>
          <w:szCs w:val="21"/>
          <w:highlight w:val="none"/>
          <w:lang w:eastAsia="zh-CN"/>
        </w:rPr>
        <w:t>；</w:t>
      </w:r>
      <w:r>
        <w:rPr>
          <w:rFonts w:hint="eastAsia" w:ascii="宋体" w:hAnsi="宋体" w:cs="宋体"/>
          <w:b w:val="0"/>
          <w:bCs w:val="0"/>
          <w:color w:val="auto"/>
          <w:szCs w:val="21"/>
          <w:highlight w:val="none"/>
        </w:rPr>
        <w:t>保障</w:t>
      </w:r>
      <w:r>
        <w:rPr>
          <w:rFonts w:hint="eastAsia" w:ascii="宋体" w:hAnsi="宋体" w:cs="宋体"/>
          <w:b w:val="0"/>
          <w:bCs w:val="0"/>
          <w:color w:val="auto"/>
          <w:szCs w:val="21"/>
          <w:highlight w:val="none"/>
          <w:lang w:eastAsia="zh-CN"/>
        </w:rPr>
        <w:t>生态安全风险监测预警信息平台</w:t>
      </w:r>
      <w:r>
        <w:rPr>
          <w:rFonts w:hint="eastAsia" w:ascii="宋体" w:hAnsi="宋体" w:cs="宋体"/>
          <w:b w:val="0"/>
          <w:bCs w:val="0"/>
          <w:color w:val="auto"/>
          <w:szCs w:val="21"/>
          <w:highlight w:val="none"/>
        </w:rPr>
        <w:t>正常运行，每季度对机房设备巡检维护并出具巡检报告。根据软件运行情况进行升级更新，损坏设备配件的更换维修等。提供软件平台网络安全运维，定期进行病毒查杀、风险预警、应急</w:t>
      </w:r>
      <w:r>
        <w:rPr>
          <w:rFonts w:hint="eastAsia" w:ascii="宋体" w:hAnsi="宋体" w:cs="宋体"/>
          <w:b w:val="0"/>
          <w:bCs w:val="0"/>
          <w:color w:val="auto"/>
          <w:szCs w:val="21"/>
          <w:highlight w:val="none"/>
          <w:lang w:eastAsia="zh-CN"/>
        </w:rPr>
        <w:t>处置</w:t>
      </w:r>
      <w:r>
        <w:rPr>
          <w:rFonts w:hint="eastAsia" w:ascii="宋体" w:hAnsi="宋体" w:cs="宋体"/>
          <w:b w:val="0"/>
          <w:bCs w:val="0"/>
          <w:color w:val="auto"/>
          <w:szCs w:val="21"/>
          <w:highlight w:val="none"/>
        </w:rPr>
        <w:t>等</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pacing w:val="0"/>
          <w:sz w:val="21"/>
          <w:szCs w:val="21"/>
          <w:highlight w:val="none"/>
        </w:rPr>
        <w:t>每年向甲方提交1份运维总结报告</w:t>
      </w:r>
      <w:r>
        <w:rPr>
          <w:rFonts w:hint="eastAsia" w:ascii="宋体" w:hAnsi="宋体" w:cs="宋体"/>
          <w:b w:val="0"/>
          <w:bCs w:val="0"/>
          <w:color w:val="auto"/>
          <w:spacing w:val="0"/>
          <w:sz w:val="21"/>
          <w:szCs w:val="21"/>
          <w:highlight w:val="none"/>
          <w:lang w:eastAsia="zh-CN"/>
        </w:rPr>
        <w:t>。</w:t>
      </w:r>
    </w:p>
    <w:p w14:paraId="3D196D62">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响应效率：接到运维需求后24小时内响应，72小时内完成处理。</w:t>
      </w:r>
    </w:p>
    <w:p w14:paraId="49A50AA9">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六、采购标的的验收标准</w:t>
      </w:r>
    </w:p>
    <w:p w14:paraId="1374732B">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（一）验收主体</w:t>
      </w:r>
    </w:p>
    <w:p w14:paraId="58121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由临沧市生态环境局组建验收小组（3人及以上单数，含相关领域专家）负责验收工作。</w:t>
      </w:r>
    </w:p>
    <w:p w14:paraId="201FAADA">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（二）验收标准</w:t>
      </w:r>
    </w:p>
    <w:p w14:paraId="57B470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卫星遥感监测服务验收：</w:t>
      </w:r>
    </w:p>
    <w:p w14:paraId="1CB0A7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监测范围、内容符合要求，数据源及分辨率达标。</w:t>
      </w:r>
    </w:p>
    <w:p w14:paraId="7CF46C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成果齐全（矢量文件、监测图、报告、数据集），格式规范、分析科学，经专家审核合格。</w:t>
      </w:r>
    </w:p>
    <w:p w14:paraId="6F4808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设备验收：</w:t>
      </w:r>
    </w:p>
    <w:p w14:paraId="127706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设备数量、品牌、型号与合同一致，配件齐全，具备合格证、检测报告。</w:t>
      </w:r>
    </w:p>
    <w:p w14:paraId="2DE469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技术参数达标，现场测试运行正常，数据采集准确、传输稳定。</w:t>
      </w:r>
    </w:p>
    <w:p w14:paraId="375F97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安装规范，试运行30天内正常运行率≥95%，数据采集完整率≥98%。</w:t>
      </w:r>
    </w:p>
    <w:p w14:paraId="17BD60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平台验收：</w:t>
      </w:r>
    </w:p>
    <w:p w14:paraId="55865A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功能模块齐全，满足数据接入、分析、预警、可视化等核心需求。</w:t>
      </w:r>
    </w:p>
    <w:p w14:paraId="71BCB6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系统稳定运行30天可用率≥99%，AI识别精度≥85%，无数据泄露等安全问题。</w:t>
      </w:r>
    </w:p>
    <w:p w14:paraId="4F9E31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rPr>
        <w:t>培训到位，采购人技术人员能独立操作，平台相关文档（操作手册、设计说明书等）齐全。</w:t>
      </w:r>
    </w:p>
    <w:p w14:paraId="0076E4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运维服务验收：</w:t>
      </w:r>
    </w:p>
    <w:p w14:paraId="000BA1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4.1、</w:t>
      </w:r>
      <w:r>
        <w:rPr>
          <w:rFonts w:hint="eastAsia" w:ascii="宋体" w:hAnsi="宋体" w:eastAsia="宋体" w:cs="宋体"/>
          <w:color w:val="auto"/>
          <w:sz w:val="21"/>
          <w:szCs w:val="21"/>
          <w:highlight w:val="none"/>
        </w:rPr>
        <w:t>运维台账完整，设备巡检、故障处理记录清晰。</w:t>
      </w:r>
    </w:p>
    <w:p w14:paraId="260D45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rPr>
        <w:t>数据质量达标，采购人对服务满意度≥90%。</w:t>
      </w:r>
    </w:p>
    <w:p w14:paraId="3CEE39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整体验收：</w:t>
      </w:r>
    </w:p>
    <w:p w14:paraId="538881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5.1、</w:t>
      </w:r>
      <w:r>
        <w:rPr>
          <w:rFonts w:hint="eastAsia" w:ascii="宋体" w:hAnsi="宋体" w:eastAsia="宋体" w:cs="宋体"/>
          <w:color w:val="auto"/>
          <w:sz w:val="21"/>
          <w:szCs w:val="21"/>
          <w:highlight w:val="none"/>
        </w:rPr>
        <w:t>所有分项验收合格，完成全部建设内容，实现项目目标。</w:t>
      </w:r>
    </w:p>
    <w:p w14:paraId="3B8A12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rPr>
        <w:t>成果归档规范，项目实施符合法律法规及环保要求，无安全事故。</w:t>
      </w:r>
    </w:p>
    <w:p w14:paraId="4E6202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5.3、</w:t>
      </w:r>
      <w:r>
        <w:rPr>
          <w:rFonts w:hint="eastAsia" w:ascii="宋体" w:hAnsi="宋体" w:eastAsia="宋体" w:cs="宋体"/>
          <w:color w:val="auto"/>
          <w:sz w:val="21"/>
          <w:szCs w:val="21"/>
          <w:highlight w:val="none"/>
        </w:rPr>
        <w:t>上级主管部门满意度≥90%，群众满意度≥90%。</w:t>
      </w:r>
    </w:p>
    <w:p w14:paraId="3D721E40">
      <w:pPr>
        <w:pStyle w:val="4"/>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（三）验收时限</w:t>
      </w:r>
    </w:p>
    <w:p w14:paraId="70115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供应商提交履约完成通知及全套技术资料后，采购人在1-2个月内组织完成验收，验收不合格的需在15个工作日内整改后重新验收。</w:t>
      </w:r>
    </w:p>
    <w:p w14:paraId="26FE9649">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七、采购标的的其他技术、服务等要求</w:t>
      </w:r>
    </w:p>
    <w:p w14:paraId="214ADD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数据管理：所有监测数据、成果归采购人所有，供应商需建立保密制度，不得泄露、擅自使用数据；项目完成后完整移交数据并协助建立档案库。</w:t>
      </w:r>
    </w:p>
    <w:p w14:paraId="0367ED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人员要求：项目负责人需具备生态环境</w:t>
      </w:r>
      <w:r>
        <w:rPr>
          <w:rFonts w:hint="eastAsia" w:ascii="宋体" w:hAnsi="宋体" w:cs="宋体"/>
          <w:color w:val="auto"/>
          <w:sz w:val="21"/>
          <w:szCs w:val="21"/>
          <w:highlight w:val="none"/>
          <w:lang w:val="en-US" w:eastAsia="zh-CN"/>
        </w:rPr>
        <w:t>相关专业或信息化相关专业</w:t>
      </w:r>
      <w:r>
        <w:rPr>
          <w:rFonts w:hint="eastAsia" w:ascii="宋体" w:hAnsi="宋体" w:eastAsia="宋体" w:cs="宋体"/>
          <w:color w:val="auto"/>
          <w:sz w:val="21"/>
          <w:szCs w:val="21"/>
          <w:highlight w:val="none"/>
        </w:rPr>
        <w:t>高级职称</w:t>
      </w:r>
      <w:r>
        <w:rPr>
          <w:rFonts w:hint="eastAsia" w:ascii="宋体" w:hAnsi="宋体" w:cs="宋体"/>
          <w:color w:val="auto"/>
          <w:sz w:val="21"/>
          <w:szCs w:val="21"/>
          <w:highlight w:val="none"/>
          <w:lang w:val="en-US" w:eastAsia="zh-CN"/>
        </w:rPr>
        <w:t>或同等高级认证证书，同时具备</w:t>
      </w:r>
      <w:r>
        <w:rPr>
          <w:rFonts w:hint="eastAsia" w:ascii="宋体" w:hAnsi="宋体" w:eastAsia="宋体" w:cs="宋体"/>
          <w:color w:val="auto"/>
          <w:sz w:val="21"/>
          <w:szCs w:val="21"/>
          <w:highlight w:val="none"/>
        </w:rPr>
        <w:t>5年以上</w:t>
      </w:r>
      <w:r>
        <w:rPr>
          <w:rFonts w:hint="eastAsia" w:ascii="宋体" w:hAnsi="宋体" w:cs="宋体"/>
          <w:color w:val="auto"/>
          <w:sz w:val="21"/>
          <w:szCs w:val="21"/>
          <w:highlight w:val="none"/>
          <w:lang w:val="en-US" w:eastAsia="zh-CN"/>
        </w:rPr>
        <w:t>类似</w:t>
      </w:r>
      <w:r>
        <w:rPr>
          <w:rFonts w:hint="eastAsia" w:ascii="宋体" w:hAnsi="宋体" w:eastAsia="宋体" w:cs="宋体"/>
          <w:color w:val="auto"/>
          <w:sz w:val="21"/>
          <w:szCs w:val="21"/>
          <w:highlight w:val="none"/>
        </w:rPr>
        <w:t>项目管理经验，关键技术人员保持稳定，更换需经采购人同意。</w:t>
      </w:r>
    </w:p>
    <w:p w14:paraId="09A2A7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知识产权：供应商提供的设备、技术、平台无知识产权纠纷，采购人拥有平台永久使用权，供应商不得主张知识产权费用。</w:t>
      </w:r>
    </w:p>
    <w:p w14:paraId="7E6959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协调配合：供应商需配合采购人及保护区管护部门开展工作，遵守保护区管理规定，施工过程中采取生态保护措施。</w:t>
      </w:r>
    </w:p>
    <w:p w14:paraId="00DBF5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成果交付：所有成果提供纸质版（一式5份，加盖公章）和电子版（U盘/移动硬盘，一式2份），格式符合要求。</w:t>
      </w:r>
    </w:p>
    <w:p w14:paraId="35CA1E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应急处置：制定设备、平台故障应急预案，配合采购人开展突发</w:t>
      </w:r>
      <w:r>
        <w:rPr>
          <w:rFonts w:hint="eastAsia" w:ascii="宋体" w:hAnsi="宋体" w:cs="宋体"/>
          <w:color w:val="auto"/>
          <w:sz w:val="21"/>
          <w:szCs w:val="21"/>
          <w:highlight w:val="none"/>
          <w:lang w:val="en-US" w:eastAsia="zh-CN"/>
        </w:rPr>
        <w:t>事故</w:t>
      </w:r>
      <w:r>
        <w:rPr>
          <w:rFonts w:hint="eastAsia" w:ascii="宋体" w:hAnsi="宋体" w:eastAsia="宋体" w:cs="宋体"/>
          <w:color w:val="auto"/>
          <w:sz w:val="21"/>
          <w:szCs w:val="21"/>
          <w:highlight w:val="none"/>
        </w:rPr>
        <w:t>应急</w:t>
      </w:r>
      <w:r>
        <w:rPr>
          <w:rFonts w:hint="eastAsia" w:ascii="宋体" w:hAnsi="宋体" w:cs="宋体"/>
          <w:color w:val="auto"/>
          <w:sz w:val="21"/>
          <w:szCs w:val="21"/>
          <w:highlight w:val="none"/>
          <w:lang w:val="en-US" w:eastAsia="zh-CN"/>
        </w:rPr>
        <w:t>处置</w:t>
      </w:r>
      <w:r>
        <w:rPr>
          <w:rFonts w:hint="eastAsia" w:ascii="宋体" w:hAnsi="宋体" w:eastAsia="宋体" w:cs="宋体"/>
          <w:color w:val="auto"/>
          <w:sz w:val="21"/>
          <w:szCs w:val="21"/>
          <w:highlight w:val="none"/>
        </w:rPr>
        <w:t>。</w:t>
      </w:r>
    </w:p>
    <w:p w14:paraId="04DCE60C">
      <w:pPr>
        <w:keepNext w:val="0"/>
        <w:keepLines w:val="0"/>
        <w:pageBreakBefore w:val="0"/>
        <w:widowControl/>
        <w:kinsoku/>
        <w:wordWrap/>
        <w:overflowPunct/>
        <w:topLinePunct w:val="0"/>
        <w:autoSpaceDE/>
        <w:autoSpaceDN/>
        <w:bidi w:val="0"/>
        <w:adjustRightInd/>
        <w:snapToGrid/>
        <w:spacing w:line="360" w:lineRule="auto"/>
        <w:ind w:firstLine="422" w:firstLineChars="200"/>
        <w:jc w:val="center"/>
        <w:textAlignment w:val="auto"/>
        <w:outlineLvl w:val="0"/>
        <w:rPr>
          <w:rFonts w:hint="eastAsia" w:ascii="宋体" w:hAnsi="宋体" w:eastAsia="宋体" w:cs="宋体"/>
          <w:b/>
          <w:color w:val="auto"/>
          <w:sz w:val="36"/>
          <w:highlight w:val="none"/>
        </w:rPr>
      </w:pPr>
      <w:r>
        <w:rPr>
          <w:rFonts w:hint="eastAsia" w:ascii="宋体" w:hAnsi="宋体" w:eastAsia="宋体" w:cs="宋体"/>
          <w:b/>
          <w:bCs/>
          <w:color w:val="auto"/>
          <w:sz w:val="21"/>
          <w:szCs w:val="21"/>
          <w:highlight w:val="none"/>
        </w:rPr>
        <w:br w:type="page"/>
      </w:r>
      <w:bookmarkStart w:id="251" w:name="_Toc19939"/>
      <w:r>
        <w:rPr>
          <w:rFonts w:hint="eastAsia" w:ascii="宋体" w:hAnsi="宋体" w:eastAsia="宋体" w:cs="宋体"/>
          <w:b/>
          <w:bCs/>
          <w:color w:val="auto"/>
          <w:sz w:val="32"/>
          <w:szCs w:val="20"/>
          <w:highlight w:val="none"/>
        </w:rPr>
        <w:t>第六章资格评审标准</w:t>
      </w:r>
      <w:bookmarkEnd w:id="249"/>
      <w:bookmarkEnd w:id="250"/>
      <w:bookmarkEnd w:id="251"/>
    </w:p>
    <w:p w14:paraId="1C97DF35">
      <w:pPr>
        <w:pStyle w:val="18"/>
        <w:keepNext w:val="0"/>
        <w:keepLines w:val="0"/>
        <w:pageBreakBefore w:val="0"/>
        <w:tabs>
          <w:tab w:val="left" w:pos="247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出现不满足下列各项评审内容及标准要求之一的，则资格评审为不合格。合格投标人不足3家的，不得评标。下列各项评审内容及标准均为招标文件的实质性要求，投标文件响应各款所列材料在开标后不得澄清、后补。</w:t>
      </w:r>
    </w:p>
    <w:tbl>
      <w:tblPr>
        <w:tblStyle w:val="2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859"/>
        <w:gridCol w:w="6249"/>
      </w:tblGrid>
      <w:tr w14:paraId="724D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869" w:type="dxa"/>
            <w:noWrap w:val="0"/>
            <w:vAlign w:val="center"/>
          </w:tcPr>
          <w:p w14:paraId="42D97DE0">
            <w:pPr>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59" w:type="dxa"/>
            <w:noWrap w:val="0"/>
            <w:vAlign w:val="center"/>
          </w:tcPr>
          <w:p w14:paraId="6416C28E">
            <w:pPr>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c>
          <w:tcPr>
            <w:tcW w:w="6249" w:type="dxa"/>
            <w:noWrap w:val="0"/>
            <w:vAlign w:val="center"/>
          </w:tcPr>
          <w:p w14:paraId="12509EDE">
            <w:pPr>
              <w:snapToGrid w:val="0"/>
              <w:spacing w:line="42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评审要求</w:t>
            </w:r>
          </w:p>
        </w:tc>
      </w:tr>
      <w:tr w14:paraId="040E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69" w:type="dxa"/>
            <w:vMerge w:val="restart"/>
            <w:noWrap w:val="0"/>
            <w:vAlign w:val="center"/>
          </w:tcPr>
          <w:p w14:paraId="5FA07846">
            <w:pPr>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资格审查标准</w:t>
            </w:r>
          </w:p>
        </w:tc>
        <w:tc>
          <w:tcPr>
            <w:tcW w:w="8108" w:type="dxa"/>
            <w:gridSpan w:val="2"/>
            <w:noWrap w:val="0"/>
            <w:vAlign w:val="center"/>
          </w:tcPr>
          <w:p w14:paraId="3F0708DB">
            <w:pPr>
              <w:pStyle w:val="37"/>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满足《中华人民共和国政府采购法》第二十二条规定：</w:t>
            </w:r>
          </w:p>
        </w:tc>
      </w:tr>
      <w:tr w14:paraId="2E7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vMerge w:val="continue"/>
            <w:noWrap w:val="0"/>
            <w:vAlign w:val="center"/>
          </w:tcPr>
          <w:p w14:paraId="3689527D">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6782A64A">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具有独立承担民事责任的能力</w:t>
            </w:r>
          </w:p>
        </w:tc>
        <w:tc>
          <w:tcPr>
            <w:tcW w:w="6249" w:type="dxa"/>
            <w:noWrap w:val="0"/>
            <w:vAlign w:val="center"/>
          </w:tcPr>
          <w:p w14:paraId="3BA0CB19">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具有独立承担民事责任的能力：提供企业有效的法人营业执照、社团组织法人营业执照、事业单位法人证、自然人证明材料或其他组织证明材料（</w:t>
            </w:r>
            <w:r>
              <w:rPr>
                <w:rFonts w:hint="eastAsia" w:ascii="宋体" w:hAnsi="宋体" w:eastAsia="宋体" w:cs="宋体"/>
                <w:color w:val="auto"/>
                <w:sz w:val="21"/>
                <w:szCs w:val="21"/>
                <w:highlight w:val="none"/>
                <w:lang w:val="en-US" w:eastAsia="zh-CN"/>
              </w:rPr>
              <w:t>彩色扫描件加盖电子公章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如为联合体参与投标的，联合体各方均须提供</w:t>
            </w:r>
            <w:r>
              <w:rPr>
                <w:rFonts w:hint="eastAsia" w:ascii="宋体" w:hAnsi="宋体" w:eastAsia="宋体" w:cs="宋体"/>
                <w:color w:val="auto"/>
                <w:sz w:val="21"/>
                <w:szCs w:val="21"/>
                <w:highlight w:val="none"/>
                <w:lang w:eastAsia="zh-CN"/>
              </w:rPr>
              <w:t>）</w:t>
            </w:r>
          </w:p>
        </w:tc>
      </w:tr>
      <w:tr w14:paraId="1754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vMerge w:val="continue"/>
            <w:noWrap w:val="0"/>
            <w:vAlign w:val="center"/>
          </w:tcPr>
          <w:p w14:paraId="0529F928">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1069AEC5">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具有良好的商业信誉和健全的财务会计制度</w:t>
            </w:r>
          </w:p>
          <w:p w14:paraId="09EADC1A">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p>
        </w:tc>
        <w:tc>
          <w:tcPr>
            <w:tcW w:w="6249" w:type="dxa"/>
            <w:noWrap w:val="0"/>
            <w:vAlign w:val="center"/>
          </w:tcPr>
          <w:p w14:paraId="337DCB97">
            <w:pPr>
              <w:keepNext w:val="0"/>
              <w:keepLines w:val="0"/>
              <w:pageBreakBefore w:val="0"/>
              <w:widowControl w:val="0"/>
              <w:kinsoku/>
              <w:wordWrap/>
              <w:overflowPunct/>
              <w:topLinePunct w:val="0"/>
              <w:bidi w:val="0"/>
              <w:spacing w:line="360" w:lineRule="auto"/>
              <w:ind w:firstLine="0" w:firstLineChars="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lang w:eastAsia="zh-CN"/>
              </w:rPr>
              <w:t>具有良好的商业信誉，</w:t>
            </w:r>
            <w:r>
              <w:rPr>
                <w:rFonts w:hint="eastAsia" w:ascii="宋体" w:hAnsi="宋体" w:eastAsia="宋体" w:cs="宋体"/>
                <w:color w:val="auto"/>
                <w:sz w:val="21"/>
                <w:szCs w:val="21"/>
                <w:highlight w:val="none"/>
                <w:lang w:val="en-US" w:eastAsia="zh-CN"/>
              </w:rPr>
              <w:t>在本项目</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提交截止时间前在国家企业信用信息公示系统（www.gsxt.gov.cn）“行政处罚信息”栏中查询的信息记录不得为参加政府采购活动前三年内因违法经营受到刑事处罚或者责令停产停业、吊销许可证或者执照、较大数额罚款等行政处罚，未出现列入经营异常名录且未被移出、未出现列入严重违法失信企业名单（黑名单）且未被移出等不良情况（查询时间为本公告发布之日起至提交</w:t>
            </w: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val="en-US" w:eastAsia="zh-CN"/>
              </w:rPr>
              <w:t>截止之日止，查询结果以采购人、采购代理机构查询结果为准，并将查询记录和证据留存，事业单位不在该系统查询范围内）</w:t>
            </w:r>
            <w:r>
              <w:rPr>
                <w:rFonts w:hint="eastAsia" w:ascii="宋体" w:hAnsi="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（如为联合体参与投标，联合体各方均须满足此要求）</w:t>
            </w:r>
          </w:p>
          <w:p w14:paraId="242EEF9D">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（2）投标人具有</w:t>
            </w:r>
            <w:r>
              <w:rPr>
                <w:rFonts w:hint="eastAsia" w:ascii="宋体" w:hAnsi="宋体" w:eastAsia="宋体" w:cs="宋体"/>
                <w:color w:val="auto"/>
                <w:sz w:val="21"/>
                <w:szCs w:val="21"/>
                <w:highlight w:val="none"/>
                <w:lang w:eastAsia="zh-CN"/>
              </w:rPr>
              <w:t>健全的财务会计制度，</w:t>
            </w:r>
            <w:r>
              <w:rPr>
                <w:rFonts w:hint="eastAsia" w:ascii="宋体" w:hAnsi="宋体" w:eastAsia="宋体" w:cs="宋体"/>
                <w:color w:val="auto"/>
                <w:sz w:val="21"/>
                <w:szCs w:val="21"/>
                <w:highlight w:val="none"/>
                <w:lang w:val="en-US" w:eastAsia="zh-CN"/>
              </w:rPr>
              <w:t>提供以下任意一种证明材料均可</w:t>
            </w:r>
            <w:r>
              <w:rPr>
                <w:rFonts w:hint="eastAsia" w:ascii="宋体" w:hAnsi="宋体" w:eastAsia="宋体" w:cs="宋体"/>
                <w:b/>
                <w:bCs/>
                <w:color w:val="auto"/>
                <w:sz w:val="21"/>
                <w:szCs w:val="21"/>
                <w:highlight w:val="none"/>
                <w:lang w:val="en-US" w:eastAsia="zh-CN"/>
              </w:rPr>
              <w:t>（如为联合体参与投标，联合体各方均须满足此要求）</w:t>
            </w:r>
            <w:r>
              <w:rPr>
                <w:rFonts w:hint="eastAsia" w:ascii="宋体" w:hAnsi="宋体" w:eastAsia="宋体" w:cs="宋体"/>
                <w:color w:val="auto"/>
                <w:sz w:val="21"/>
                <w:szCs w:val="21"/>
                <w:highlight w:val="none"/>
                <w:lang w:val="en-US" w:eastAsia="zh-CN"/>
              </w:rPr>
              <w:t>：</w:t>
            </w:r>
          </w:p>
          <w:p w14:paraId="48783506">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①提供2023年至今任意一年度经第三方审计的审计报告</w:t>
            </w:r>
            <w:r>
              <w:rPr>
                <w:rFonts w:hint="eastAsia" w:ascii="宋体" w:hAnsi="宋体" w:eastAsia="宋体" w:cs="宋体"/>
                <w:color w:val="auto"/>
                <w:sz w:val="21"/>
                <w:szCs w:val="21"/>
                <w:highlight w:val="none"/>
                <w:lang w:val="en-US" w:eastAsia="zh-CN"/>
              </w:rPr>
              <w:t>及财务报表</w:t>
            </w:r>
            <w:r>
              <w:rPr>
                <w:rFonts w:hint="eastAsia" w:ascii="宋体" w:hAnsi="宋体" w:eastAsia="宋体" w:cs="宋体"/>
                <w:color w:val="auto"/>
                <w:sz w:val="21"/>
                <w:szCs w:val="21"/>
                <w:highlight w:val="none"/>
                <w:lang w:eastAsia="zh-CN"/>
              </w:rPr>
              <w:t>（报表至少包括资产负债表、利润表（损益表或收入费用表）、现金流量表）（注：根据《关于加强审计报告查验工作的通知》（财会〔2023〕15号）规定，在2022年10月以后出具的审计报告须在注册会计师行业统一监管平台（网址：http：//acc.mof.gov.cn）取得赋码，未取得赋码的财务报告视为无效；供应商若为事业单位的，则不需提供利润表/损益表）；</w:t>
            </w:r>
          </w:p>
          <w:p w14:paraId="4667B5E9">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②投标人自行编制的财务报表（报表至少包括资产负债表、利润表（损益表或收入费用表）、现金流量表）；</w:t>
            </w:r>
          </w:p>
          <w:p w14:paraId="43E8364C">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③经政府部门认可的担保机构出具的担保证明，提供担保证明的同时还须提供专业担保机构经财政部门认可的证明文件（加盖电子公章）；</w:t>
            </w:r>
          </w:p>
          <w:p w14:paraId="7BF8E6C3">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④新成立不满1年的企业可提供近三个月内开户银行出具的资信证明或资金存款证明（加盖电子公章）；</w:t>
            </w:r>
          </w:p>
          <w:p w14:paraId="12D766F9">
            <w:pPr>
              <w:pStyle w:val="37"/>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是事业单位无财务状况报告或财务状况报告不齐全的须在</w:t>
            </w:r>
            <w:r>
              <w:rPr>
                <w:rFonts w:hint="eastAsia"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lang w:eastAsia="zh-CN"/>
              </w:rPr>
              <w:t>中提供说明并加盖电子公章。</w:t>
            </w:r>
          </w:p>
        </w:tc>
      </w:tr>
      <w:tr w14:paraId="2129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vMerge w:val="continue"/>
            <w:noWrap w:val="0"/>
            <w:vAlign w:val="center"/>
          </w:tcPr>
          <w:p w14:paraId="1630185A">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1E9A3511">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具有履行合同所必需的设备和专业技术能力</w:t>
            </w:r>
          </w:p>
        </w:tc>
        <w:tc>
          <w:tcPr>
            <w:tcW w:w="6249" w:type="dxa"/>
            <w:noWrap w:val="0"/>
            <w:vAlign w:val="center"/>
          </w:tcPr>
          <w:p w14:paraId="70B03BE9">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提供证明材料或书面承诺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如为联合体参与投标，联合体各方均须提供，联合体各成员方须分别承诺，承诺书上须加盖联合体各方对应单位公章或电子签章）</w:t>
            </w:r>
          </w:p>
        </w:tc>
      </w:tr>
      <w:tr w14:paraId="4168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vMerge w:val="continue"/>
            <w:noWrap w:val="0"/>
            <w:vAlign w:val="center"/>
          </w:tcPr>
          <w:p w14:paraId="42158B46">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6325F5FA">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有依法缴纳税收和社会保障资金的良好记录</w:t>
            </w:r>
          </w:p>
        </w:tc>
        <w:tc>
          <w:tcPr>
            <w:tcW w:w="6249" w:type="dxa"/>
            <w:noWrap w:val="0"/>
            <w:vAlign w:val="center"/>
          </w:tcPr>
          <w:p w14:paraId="1CF0BED2">
            <w:pPr>
              <w:numPr>
                <w:ilvl w:val="-1"/>
                <w:numId w:val="0"/>
              </w:numPr>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）须提供202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年1月（含01月）至</w:t>
            </w:r>
            <w:r>
              <w:rPr>
                <w:rFonts w:hint="eastAsia" w:ascii="宋体" w:hAnsi="宋体" w:eastAsia="宋体" w:cs="宋体"/>
                <w:color w:val="auto"/>
                <w:sz w:val="21"/>
                <w:szCs w:val="21"/>
                <w:highlight w:val="none"/>
                <w:lang w:val="en-US" w:eastAsia="zh-CN"/>
              </w:rPr>
              <w:t>投标文件递交</w:t>
            </w:r>
            <w:r>
              <w:rPr>
                <w:rFonts w:hint="eastAsia" w:ascii="宋体" w:hAnsi="宋体" w:eastAsia="宋体" w:cs="宋体"/>
                <w:color w:val="auto"/>
                <w:sz w:val="21"/>
                <w:szCs w:val="21"/>
                <w:highlight w:val="none"/>
                <w:lang w:eastAsia="zh-CN"/>
              </w:rPr>
              <w:t>截止日期前任意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个月的税务局税收通用缴款书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件或银行电子缴税（费）凭证</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件或税务局出具纳税情况的相关证明（扫描件），依法免税的，应提供依法免税相关证明文件（扫描件），成立不足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个月的视实际情况自行提供；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如为联合体参与投标，联合体各方均须提供</w:t>
            </w:r>
            <w:r>
              <w:rPr>
                <w:rFonts w:hint="eastAsia" w:ascii="宋体" w:hAnsi="宋体" w:eastAsia="宋体" w:cs="宋体"/>
                <w:b/>
                <w:bCs/>
                <w:color w:val="auto"/>
                <w:sz w:val="21"/>
                <w:szCs w:val="21"/>
                <w:highlight w:val="none"/>
                <w:lang w:eastAsia="zh-CN"/>
              </w:rPr>
              <w:t>）</w:t>
            </w:r>
          </w:p>
          <w:p w14:paraId="6AB150E9">
            <w:pPr>
              <w:numPr>
                <w:ilvl w:val="-1"/>
                <w:numId w:val="0"/>
              </w:numPr>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（2）须提供202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年1月（含01月）月至</w:t>
            </w:r>
            <w:r>
              <w:rPr>
                <w:rFonts w:hint="eastAsia" w:ascii="宋体" w:hAnsi="宋体" w:eastAsia="宋体" w:cs="宋体"/>
                <w:color w:val="auto"/>
                <w:sz w:val="21"/>
                <w:szCs w:val="21"/>
                <w:highlight w:val="none"/>
                <w:lang w:val="en-US" w:eastAsia="zh-CN"/>
              </w:rPr>
              <w:t>投标文件递交</w:t>
            </w:r>
            <w:r>
              <w:rPr>
                <w:rFonts w:hint="eastAsia" w:ascii="宋体" w:hAnsi="宋体" w:eastAsia="宋体" w:cs="宋体"/>
                <w:color w:val="auto"/>
                <w:sz w:val="21"/>
                <w:szCs w:val="21"/>
                <w:highlight w:val="none"/>
                <w:lang w:eastAsia="zh-CN"/>
              </w:rPr>
              <w:t>截止日期前任意</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个月的社会保险费缴款书</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件或银行电子缴税（费）凭证</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件或税务局出具的有效的缴款证明</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件，依法免缴的，应提供依法免缴相关证明文件（扫描件），成立不足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个月的视实际情况自行提供。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如为联合体参与投标，联合体各方均须提供</w:t>
            </w:r>
            <w:r>
              <w:rPr>
                <w:rFonts w:hint="eastAsia" w:ascii="宋体" w:hAnsi="宋体" w:eastAsia="宋体" w:cs="宋体"/>
                <w:b/>
                <w:bCs/>
                <w:color w:val="auto"/>
                <w:sz w:val="21"/>
                <w:szCs w:val="21"/>
                <w:highlight w:val="none"/>
                <w:lang w:eastAsia="zh-CN"/>
              </w:rPr>
              <w:t>）</w:t>
            </w:r>
          </w:p>
        </w:tc>
      </w:tr>
      <w:tr w14:paraId="758C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vMerge w:val="continue"/>
            <w:noWrap w:val="0"/>
            <w:vAlign w:val="center"/>
          </w:tcPr>
          <w:p w14:paraId="56D97D46">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1354EC2A">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提供参加政府采购活动前3年内在经营活动中没有重大违法记录的书面声明</w:t>
            </w:r>
          </w:p>
        </w:tc>
        <w:tc>
          <w:tcPr>
            <w:tcW w:w="6249" w:type="dxa"/>
            <w:noWrap w:val="0"/>
            <w:vAlign w:val="center"/>
          </w:tcPr>
          <w:p w14:paraId="1DF8B64C">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重大违法记录，是指投标人因违法经营受到刑事处罚或者责令停产停业、吊销许可证或者执照、较大数额罚款等行政处罚（</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w:t>
            </w:r>
            <w:r>
              <w:rPr>
                <w:rFonts w:hint="eastAsia" w:ascii="宋体" w:hAnsi="宋体" w:eastAsia="宋体" w:cs="宋体"/>
                <w:color w:val="auto"/>
                <w:sz w:val="21"/>
                <w:szCs w:val="21"/>
                <w:highlight w:val="none"/>
                <w:lang w:val="en-US" w:eastAsia="zh-CN"/>
              </w:rPr>
              <w:t>声明</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如为联合体参与投标，联合体各方均须提供，联合体各成员方须分别承诺，承诺书上须加盖联合体各方对应单位公章或电子签章）</w:t>
            </w:r>
          </w:p>
        </w:tc>
      </w:tr>
      <w:tr w14:paraId="511B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9" w:type="dxa"/>
            <w:vMerge w:val="continue"/>
            <w:noWrap w:val="0"/>
            <w:vAlign w:val="center"/>
          </w:tcPr>
          <w:p w14:paraId="7FABC850">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3C109205">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法律、行政法规规定的其他条件</w:t>
            </w:r>
          </w:p>
        </w:tc>
        <w:tc>
          <w:tcPr>
            <w:tcW w:w="6249" w:type="dxa"/>
            <w:noWrap w:val="0"/>
            <w:vAlign w:val="center"/>
          </w:tcPr>
          <w:p w14:paraId="25EBAB24">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财政部关于在政府采购活动中查询及使用信用记录有关问题的通知》（财库〔2016〕125号）相关要求（事业单位除外），申请人应在“信用中国”网站（www.creditchina.gov.cn）未被列入失信被执行人记录（自动跳转到“中国执行信息公开网”（http://zxgk.court.gov.cn）进行失信被执行人结果查询）、重大税收违法失信主体；在中国政府采购网（www.ccgp.gov.cn）没有政府采购严重违法失信行为记录（被禁止在一定期限内参加政府采购活动但期限届满的除外）：参与本项目的申请人信用查询的时间：本项目采购公告发布之日起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截止时间，以采购人或采购代理机构查询结果为准；</w:t>
            </w:r>
          </w:p>
          <w:p w14:paraId="21243AD1">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（2）单位负责人为同一人或者存在直接控股、管理关系的不同投标人，不得参加同一合同项下的政府采购活动：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自行承诺；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如为联合体参与投标，联合体各方均须提供，联合体各成员方须分别承诺，承诺书上须加盖联合体各方对应单位公章或电子签章</w:t>
            </w:r>
            <w:r>
              <w:rPr>
                <w:rFonts w:hint="eastAsia" w:ascii="宋体" w:hAnsi="宋体" w:eastAsia="宋体" w:cs="宋体"/>
                <w:b/>
                <w:bCs/>
                <w:color w:val="auto"/>
                <w:sz w:val="21"/>
                <w:szCs w:val="21"/>
                <w:highlight w:val="none"/>
                <w:lang w:eastAsia="zh-CN"/>
              </w:rPr>
              <w:t>）</w:t>
            </w:r>
          </w:p>
          <w:p w14:paraId="2E443991">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（3）为采购项目提供整体设计、规范编制或者项目管理、监理、检测等服务的投标人，不得再参加该采购项目的其他采购活动：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自行承诺；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如为联合体参与投标，联合体各方均须提供，联合体各成员方须分别承诺，承诺书上须加盖联合体各方对应单位公章或电子签章</w:t>
            </w:r>
            <w:r>
              <w:rPr>
                <w:rFonts w:hint="eastAsia" w:ascii="宋体" w:hAnsi="宋体" w:eastAsia="宋体" w:cs="宋体"/>
                <w:b/>
                <w:bCs/>
                <w:color w:val="auto"/>
                <w:sz w:val="21"/>
                <w:szCs w:val="21"/>
                <w:highlight w:val="none"/>
                <w:lang w:eastAsia="zh-CN"/>
              </w:rPr>
              <w:t>）</w:t>
            </w:r>
          </w:p>
          <w:p w14:paraId="3CC70E2E">
            <w:pPr>
              <w:pStyle w:val="37"/>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本项目接受联合体参与投标：如为联合体须提供联合体协议书，非联合体提交非联合体承诺书</w:t>
            </w:r>
            <w:r>
              <w:rPr>
                <w:rFonts w:hint="eastAsia" w:ascii="宋体" w:hAnsi="宋体" w:eastAsia="宋体" w:cs="宋体"/>
                <w:b/>
                <w:bCs/>
                <w:color w:val="auto"/>
                <w:sz w:val="21"/>
                <w:szCs w:val="21"/>
                <w:highlight w:val="none"/>
                <w:lang w:val="en-US" w:eastAsia="zh-CN"/>
              </w:rPr>
              <w:t>（联合体投标的，按格式提供联合体协议书；非联合体投标的，提供非联合体承诺书，投标人自行承诺）</w:t>
            </w:r>
            <w:r>
              <w:rPr>
                <w:rFonts w:hint="eastAsia" w:ascii="宋体" w:hAnsi="宋体" w:eastAsia="宋体" w:cs="宋体"/>
                <w:b/>
                <w:bCs/>
                <w:color w:val="auto"/>
                <w:sz w:val="21"/>
                <w:szCs w:val="21"/>
                <w:highlight w:val="none"/>
                <w:lang w:eastAsia="zh-CN"/>
              </w:rPr>
              <w:t>。</w:t>
            </w:r>
          </w:p>
        </w:tc>
      </w:tr>
      <w:tr w14:paraId="66A6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69" w:type="dxa"/>
            <w:vMerge w:val="continue"/>
            <w:noWrap w:val="0"/>
            <w:vAlign w:val="center"/>
          </w:tcPr>
          <w:p w14:paraId="73896EC9">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6B8D961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6249" w:type="dxa"/>
            <w:noWrap w:val="0"/>
            <w:vAlign w:val="center"/>
          </w:tcPr>
          <w:p w14:paraId="2BE69A88">
            <w:pPr>
              <w:keepNext w:val="0"/>
              <w:keepLines w:val="0"/>
              <w:pageBreakBefore w:val="0"/>
              <w:widowControl w:val="0"/>
              <w:numPr>
                <w:ilvl w:val="0"/>
                <w:numId w:val="0"/>
              </w:numPr>
              <w:kinsoku/>
              <w:wordWrap/>
              <w:overflowPunct/>
              <w:topLinePunct w:val="0"/>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无（本项目不属于专门面向中小企业、监狱企业、残疾人福利企业采购项目）。</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无须提供证明材料</w:t>
            </w:r>
            <w:r>
              <w:rPr>
                <w:rFonts w:hint="eastAsia" w:ascii="宋体" w:hAnsi="宋体" w:eastAsia="宋体" w:cs="宋体"/>
                <w:b/>
                <w:bCs/>
                <w:color w:val="auto"/>
                <w:sz w:val="21"/>
                <w:szCs w:val="21"/>
                <w:highlight w:val="none"/>
                <w:lang w:eastAsia="zh-CN"/>
              </w:rPr>
              <w:t>）</w:t>
            </w:r>
          </w:p>
        </w:tc>
      </w:tr>
      <w:tr w14:paraId="105D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69" w:type="dxa"/>
            <w:vMerge w:val="continue"/>
            <w:noWrap w:val="0"/>
            <w:vAlign w:val="center"/>
          </w:tcPr>
          <w:p w14:paraId="0DD0637B">
            <w:pPr>
              <w:snapToGrid w:val="0"/>
              <w:spacing w:line="420" w:lineRule="exact"/>
              <w:jc w:val="center"/>
              <w:rPr>
                <w:rFonts w:hint="eastAsia" w:ascii="宋体" w:hAnsi="宋体" w:eastAsia="宋体" w:cs="宋体"/>
                <w:color w:val="auto"/>
                <w:sz w:val="21"/>
                <w:szCs w:val="21"/>
                <w:highlight w:val="none"/>
              </w:rPr>
            </w:pPr>
          </w:p>
        </w:tc>
        <w:tc>
          <w:tcPr>
            <w:tcW w:w="1859" w:type="dxa"/>
            <w:noWrap w:val="0"/>
            <w:vAlign w:val="center"/>
          </w:tcPr>
          <w:p w14:paraId="07F164C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本项目的特定资格要求</w:t>
            </w:r>
          </w:p>
        </w:tc>
        <w:tc>
          <w:tcPr>
            <w:tcW w:w="6249" w:type="dxa"/>
            <w:noWrap w:val="0"/>
            <w:vAlign w:val="center"/>
          </w:tcPr>
          <w:p w14:paraId="40EAF01D">
            <w:pPr>
              <w:keepNext w:val="0"/>
              <w:keepLines w:val="0"/>
              <w:pageBreakBefore w:val="0"/>
              <w:widowControl w:val="0"/>
              <w:kinsoku/>
              <w:wordWrap/>
              <w:overflowPunct/>
              <w:topLinePunct w:val="0"/>
              <w:bidi w:val="0"/>
              <w:snapToGrid/>
              <w:spacing w:line="360" w:lineRule="auto"/>
              <w:contextualSpacing/>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本项目接受联合体投标，组成联合体的成员数不得超过</w:t>
            </w:r>
            <w:r>
              <w:rPr>
                <w:rFonts w:hint="eastAsia" w:ascii="宋体" w:hAnsi="宋体" w:eastAsia="宋体" w:cs="宋体"/>
                <w:b w:val="0"/>
                <w:bCs w:val="0"/>
                <w:color w:val="auto"/>
                <w:sz w:val="21"/>
                <w:szCs w:val="21"/>
                <w:highlight w:val="none"/>
                <w:lang w:val="en-US" w:eastAsia="zh-CN"/>
              </w:rPr>
              <w:t>3个，</w:t>
            </w:r>
            <w:r>
              <w:rPr>
                <w:rFonts w:hint="eastAsia" w:ascii="宋体" w:hAnsi="宋体" w:eastAsia="宋体" w:cs="宋体"/>
                <w:b w:val="0"/>
                <w:bCs w:val="0"/>
                <w:color w:val="auto"/>
                <w:sz w:val="21"/>
                <w:szCs w:val="21"/>
                <w:highlight w:val="none"/>
                <w:lang w:eastAsia="zh-CN"/>
              </w:rPr>
              <w:t>联合体各方签订联合体协议</w:t>
            </w:r>
            <w:r>
              <w:rPr>
                <w:rFonts w:hint="eastAsia" w:ascii="宋体" w:hAnsi="宋体" w:eastAsia="宋体" w:cs="宋体"/>
                <w:b w:val="0"/>
                <w:bCs w:val="0"/>
                <w:color w:val="auto"/>
                <w:sz w:val="21"/>
                <w:szCs w:val="21"/>
                <w:highlight w:val="none"/>
                <w:lang w:val="en-US" w:eastAsia="zh-CN"/>
              </w:rPr>
              <w:t>时须确定各单位分工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并明确联合体牵头</w:t>
            </w:r>
            <w:r>
              <w:rPr>
                <w:rFonts w:hint="eastAsia" w:ascii="宋体" w:hAnsi="宋体" w:cs="宋体"/>
                <w:b w:val="0"/>
                <w:bCs w:val="0"/>
                <w:color w:val="auto"/>
                <w:sz w:val="21"/>
                <w:szCs w:val="21"/>
                <w:highlight w:val="none"/>
                <w:lang w:val="en-US" w:eastAsia="zh-CN"/>
              </w:rPr>
              <w:t>方</w:t>
            </w:r>
            <w:r>
              <w:rPr>
                <w:rFonts w:hint="eastAsia" w:ascii="宋体" w:hAnsi="宋体" w:eastAsia="宋体" w:cs="宋体"/>
                <w:b w:val="0"/>
                <w:bCs w:val="0"/>
                <w:color w:val="auto"/>
                <w:sz w:val="21"/>
                <w:szCs w:val="21"/>
                <w:highlight w:val="none"/>
                <w:lang w:val="en-US" w:eastAsia="zh-CN"/>
              </w:rPr>
              <w:t>；联合体成员</w:t>
            </w:r>
            <w:r>
              <w:rPr>
                <w:rFonts w:hint="eastAsia" w:ascii="宋体" w:hAnsi="宋体" w:eastAsia="宋体" w:cs="宋体"/>
                <w:b w:val="0"/>
                <w:bCs w:val="0"/>
                <w:color w:val="auto"/>
                <w:sz w:val="21"/>
                <w:szCs w:val="21"/>
                <w:highlight w:val="none"/>
                <w:lang w:eastAsia="zh-CN"/>
              </w:rPr>
              <w:t>不得再以</w:t>
            </w:r>
            <w:r>
              <w:rPr>
                <w:rFonts w:hint="eastAsia" w:ascii="宋体" w:hAnsi="宋体" w:eastAsia="宋体" w:cs="宋体"/>
                <w:b w:val="0"/>
                <w:bCs w:val="0"/>
                <w:color w:val="auto"/>
                <w:sz w:val="21"/>
                <w:szCs w:val="21"/>
                <w:highlight w:val="none"/>
                <w:lang w:val="en-US" w:eastAsia="zh-CN"/>
              </w:rPr>
              <w:t>本身</w:t>
            </w:r>
            <w:r>
              <w:rPr>
                <w:rFonts w:hint="eastAsia" w:ascii="宋体" w:hAnsi="宋体" w:eastAsia="宋体" w:cs="宋体"/>
                <w:b w:val="0"/>
                <w:bCs w:val="0"/>
                <w:color w:val="auto"/>
                <w:sz w:val="21"/>
                <w:szCs w:val="21"/>
                <w:highlight w:val="none"/>
                <w:lang w:eastAsia="zh-CN"/>
              </w:rPr>
              <w:t>名义单独投标，也不得组成新的联合体或参加其他联合体在同一项目中投标，否则，其所有投标无效。</w:t>
            </w:r>
          </w:p>
          <w:p w14:paraId="0F758994">
            <w:pPr>
              <w:keepNext w:val="0"/>
              <w:keepLines w:val="0"/>
              <w:pageBreakBefore w:val="0"/>
              <w:widowControl w:val="0"/>
              <w:kinsoku/>
              <w:wordWrap/>
              <w:overflowPunct/>
              <w:topLinePunct w:val="0"/>
              <w:bidi w:val="0"/>
              <w:snapToGrid/>
              <w:spacing w:line="360" w:lineRule="auto"/>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（联合体投标的，按格式提供联合体协议书；非联合体投标的，提供非联合体承诺书，投标人自行承诺）</w:t>
            </w:r>
            <w:r>
              <w:rPr>
                <w:rFonts w:hint="eastAsia" w:ascii="宋体" w:hAnsi="宋体" w:eastAsia="宋体" w:cs="宋体"/>
                <w:b/>
                <w:bCs/>
                <w:color w:val="auto"/>
                <w:sz w:val="21"/>
                <w:szCs w:val="21"/>
                <w:highlight w:val="none"/>
                <w:lang w:eastAsia="zh-CN"/>
              </w:rPr>
              <w:t>。</w:t>
            </w:r>
          </w:p>
        </w:tc>
      </w:tr>
    </w:tbl>
    <w:p w14:paraId="49855616">
      <w:pPr>
        <w:pStyle w:val="2"/>
        <w:numPr>
          <w:ilvl w:val="0"/>
          <w:numId w:val="0"/>
        </w:num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br w:type="page"/>
      </w:r>
      <w:bookmarkStart w:id="252" w:name="_Toc23386"/>
      <w:bookmarkStart w:id="253" w:name="_Toc12269"/>
      <w:bookmarkStart w:id="254" w:name="_Toc855"/>
      <w:r>
        <w:rPr>
          <w:rFonts w:hint="eastAsia" w:ascii="宋体" w:hAnsi="宋体" w:eastAsia="宋体" w:cs="宋体"/>
          <w:bCs/>
          <w:color w:val="auto"/>
          <w:sz w:val="36"/>
          <w:highlight w:val="none"/>
        </w:rPr>
        <w:t>第七章评标方法（综合评分法）</w:t>
      </w:r>
      <w:bookmarkEnd w:id="252"/>
      <w:bookmarkEnd w:id="253"/>
      <w:bookmarkEnd w:id="254"/>
    </w:p>
    <w:p w14:paraId="7ED0967F">
      <w:pPr>
        <w:pStyle w:val="3"/>
        <w:numPr>
          <w:ilvl w:val="0"/>
          <w:numId w:val="0"/>
        </w:numPr>
        <w:jc w:val="center"/>
        <w:rPr>
          <w:rFonts w:hint="eastAsia" w:ascii="宋体" w:hAnsi="宋体" w:eastAsia="宋体" w:cs="宋体"/>
          <w:color w:val="auto"/>
          <w:highlight w:val="none"/>
        </w:rPr>
      </w:pPr>
      <w:bookmarkStart w:id="255" w:name="_Toc398126394"/>
      <w:bookmarkStart w:id="256" w:name="_Toc402942147"/>
      <w:bookmarkStart w:id="257" w:name="_Toc31922"/>
      <w:bookmarkStart w:id="258" w:name="_Toc24575"/>
      <w:bookmarkStart w:id="259" w:name="_Toc14019"/>
      <w:r>
        <w:rPr>
          <w:rFonts w:hint="eastAsia" w:ascii="宋体" w:hAnsi="宋体" w:eastAsia="宋体" w:cs="宋体"/>
          <w:color w:val="auto"/>
          <w:highlight w:val="none"/>
        </w:rPr>
        <w:t>评标方法前附表</w:t>
      </w:r>
      <w:bookmarkEnd w:id="255"/>
      <w:bookmarkEnd w:id="256"/>
      <w:bookmarkEnd w:id="257"/>
      <w:bookmarkEnd w:id="258"/>
      <w:bookmarkEnd w:id="259"/>
    </w:p>
    <w:tbl>
      <w:tblPr>
        <w:tblStyle w:val="26"/>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971"/>
        <w:gridCol w:w="1276"/>
        <w:gridCol w:w="724"/>
        <w:gridCol w:w="1509"/>
        <w:gridCol w:w="5892"/>
      </w:tblGrid>
      <w:tr w14:paraId="7D00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973" w:type="dxa"/>
            <w:gridSpan w:val="2"/>
            <w:noWrap w:val="0"/>
            <w:vAlign w:val="center"/>
          </w:tcPr>
          <w:p w14:paraId="091DA510">
            <w:pPr>
              <w:spacing w:before="100" w:beforeAutospacing="1" w:after="100" w:afterAutospacing="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276" w:type="dxa"/>
            <w:noWrap w:val="0"/>
            <w:vAlign w:val="center"/>
          </w:tcPr>
          <w:p w14:paraId="327BD6F4">
            <w:pPr>
              <w:spacing w:before="100" w:beforeAutospacing="1" w:after="100" w:afterAutospacing="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评审程序</w:t>
            </w:r>
          </w:p>
        </w:tc>
        <w:tc>
          <w:tcPr>
            <w:tcW w:w="2233" w:type="dxa"/>
            <w:gridSpan w:val="2"/>
            <w:noWrap w:val="0"/>
            <w:vAlign w:val="center"/>
          </w:tcPr>
          <w:p w14:paraId="380D770E">
            <w:pPr>
              <w:spacing w:before="100" w:beforeAutospacing="1" w:after="100" w:afterAutospacing="1"/>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评审内容</w:t>
            </w:r>
          </w:p>
        </w:tc>
        <w:tc>
          <w:tcPr>
            <w:tcW w:w="5892" w:type="dxa"/>
            <w:noWrap w:val="0"/>
            <w:vAlign w:val="center"/>
          </w:tcPr>
          <w:p w14:paraId="7FCA49B1">
            <w:pPr>
              <w:spacing w:before="100" w:beforeAutospacing="1" w:after="100" w:afterAutospacing="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评审标准</w:t>
            </w:r>
          </w:p>
        </w:tc>
      </w:tr>
      <w:tr w14:paraId="1E04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73" w:type="dxa"/>
            <w:gridSpan w:val="2"/>
            <w:vMerge w:val="restart"/>
            <w:noWrap w:val="0"/>
            <w:vAlign w:val="center"/>
          </w:tcPr>
          <w:p w14:paraId="735ED77E">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276" w:type="dxa"/>
            <w:vMerge w:val="restart"/>
            <w:noWrap w:val="0"/>
            <w:vAlign w:val="center"/>
          </w:tcPr>
          <w:p w14:paraId="7B341875">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符合性评审标准</w:t>
            </w:r>
          </w:p>
        </w:tc>
        <w:tc>
          <w:tcPr>
            <w:tcW w:w="724" w:type="dxa"/>
            <w:vMerge w:val="restart"/>
            <w:noWrap w:val="0"/>
            <w:vAlign w:val="center"/>
          </w:tcPr>
          <w:p w14:paraId="41C50A8A">
            <w:pPr>
              <w:spacing w:before="100" w:beforeAutospacing="1" w:after="100" w:afterAutospacing="1"/>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w:t>
            </w:r>
          </w:p>
        </w:tc>
        <w:tc>
          <w:tcPr>
            <w:tcW w:w="1509" w:type="dxa"/>
            <w:noWrap w:val="0"/>
            <w:vAlign w:val="center"/>
          </w:tcPr>
          <w:p w14:paraId="4F36A9AC">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签署、盖章</w:t>
            </w:r>
          </w:p>
        </w:tc>
        <w:tc>
          <w:tcPr>
            <w:tcW w:w="5892" w:type="dxa"/>
            <w:noWrap w:val="0"/>
            <w:vAlign w:val="center"/>
          </w:tcPr>
          <w:p w14:paraId="0D931F48">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要求加盖印章和签名的</w:t>
            </w:r>
          </w:p>
        </w:tc>
      </w:tr>
      <w:tr w14:paraId="5DF6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73" w:type="dxa"/>
            <w:gridSpan w:val="2"/>
            <w:vMerge w:val="continue"/>
            <w:noWrap w:val="0"/>
            <w:vAlign w:val="center"/>
          </w:tcPr>
          <w:p w14:paraId="17E5C148">
            <w:pPr>
              <w:spacing w:before="100" w:beforeAutospacing="1" w:after="100" w:afterAutospacing="1"/>
              <w:jc w:val="center"/>
              <w:rPr>
                <w:rFonts w:hint="eastAsia" w:ascii="宋体" w:hAnsi="宋体" w:eastAsia="宋体" w:cs="宋体"/>
                <w:color w:val="auto"/>
                <w:sz w:val="21"/>
                <w:szCs w:val="21"/>
                <w:highlight w:val="none"/>
              </w:rPr>
            </w:pPr>
          </w:p>
        </w:tc>
        <w:tc>
          <w:tcPr>
            <w:tcW w:w="1276" w:type="dxa"/>
            <w:vMerge w:val="continue"/>
            <w:noWrap w:val="0"/>
            <w:vAlign w:val="center"/>
          </w:tcPr>
          <w:p w14:paraId="2B2C7317">
            <w:pPr>
              <w:spacing w:before="100" w:beforeAutospacing="1" w:after="100" w:afterAutospacing="1"/>
              <w:jc w:val="center"/>
              <w:rPr>
                <w:rFonts w:hint="eastAsia" w:ascii="宋体" w:hAnsi="宋体" w:eastAsia="宋体" w:cs="宋体"/>
                <w:color w:val="auto"/>
                <w:sz w:val="21"/>
                <w:szCs w:val="21"/>
                <w:highlight w:val="none"/>
              </w:rPr>
            </w:pPr>
          </w:p>
        </w:tc>
        <w:tc>
          <w:tcPr>
            <w:tcW w:w="724" w:type="dxa"/>
            <w:vMerge w:val="continue"/>
            <w:noWrap w:val="0"/>
            <w:vAlign w:val="center"/>
          </w:tcPr>
          <w:p w14:paraId="54F0DED3">
            <w:pPr>
              <w:spacing w:before="100" w:beforeAutospacing="1" w:after="100" w:afterAutospacing="1"/>
              <w:jc w:val="left"/>
              <w:rPr>
                <w:rFonts w:hint="eastAsia" w:ascii="宋体" w:hAnsi="宋体" w:eastAsia="宋体" w:cs="宋体"/>
                <w:b/>
                <w:color w:val="auto"/>
                <w:sz w:val="21"/>
                <w:szCs w:val="21"/>
                <w:highlight w:val="none"/>
                <w:lang w:val="en-US" w:eastAsia="zh-CN"/>
              </w:rPr>
            </w:pPr>
          </w:p>
        </w:tc>
        <w:tc>
          <w:tcPr>
            <w:tcW w:w="1509" w:type="dxa"/>
            <w:noWrap w:val="0"/>
            <w:vAlign w:val="center"/>
          </w:tcPr>
          <w:p w14:paraId="1815FBAC">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法定代表人身份证明书</w:t>
            </w:r>
          </w:p>
        </w:tc>
        <w:tc>
          <w:tcPr>
            <w:tcW w:w="5892" w:type="dxa"/>
            <w:noWrap w:val="0"/>
            <w:vAlign w:val="center"/>
          </w:tcPr>
          <w:p w14:paraId="59843427">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按招标文件要求提供法定代表人身份证明书</w:t>
            </w:r>
          </w:p>
        </w:tc>
      </w:tr>
      <w:tr w14:paraId="6092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973" w:type="dxa"/>
            <w:gridSpan w:val="2"/>
            <w:vMerge w:val="continue"/>
            <w:noWrap w:val="0"/>
            <w:vAlign w:val="center"/>
          </w:tcPr>
          <w:p w14:paraId="5490C2FA">
            <w:pPr>
              <w:spacing w:before="100" w:beforeAutospacing="1" w:after="100" w:afterAutospacing="1"/>
              <w:jc w:val="center"/>
              <w:rPr>
                <w:rFonts w:hint="eastAsia" w:ascii="宋体" w:hAnsi="宋体" w:eastAsia="宋体" w:cs="宋体"/>
                <w:color w:val="auto"/>
                <w:sz w:val="21"/>
                <w:szCs w:val="21"/>
                <w:highlight w:val="none"/>
              </w:rPr>
            </w:pPr>
          </w:p>
        </w:tc>
        <w:tc>
          <w:tcPr>
            <w:tcW w:w="1276" w:type="dxa"/>
            <w:vMerge w:val="continue"/>
            <w:noWrap w:val="0"/>
            <w:vAlign w:val="center"/>
          </w:tcPr>
          <w:p w14:paraId="03EEF0C0">
            <w:pPr>
              <w:spacing w:before="100" w:beforeAutospacing="1" w:after="100" w:afterAutospacing="1"/>
              <w:jc w:val="center"/>
              <w:rPr>
                <w:rFonts w:hint="eastAsia" w:ascii="宋体" w:hAnsi="宋体" w:eastAsia="宋体" w:cs="宋体"/>
                <w:color w:val="auto"/>
                <w:sz w:val="21"/>
                <w:szCs w:val="21"/>
                <w:highlight w:val="none"/>
              </w:rPr>
            </w:pPr>
          </w:p>
        </w:tc>
        <w:tc>
          <w:tcPr>
            <w:tcW w:w="724" w:type="dxa"/>
            <w:vMerge w:val="continue"/>
            <w:noWrap w:val="0"/>
            <w:vAlign w:val="center"/>
          </w:tcPr>
          <w:p w14:paraId="615A1A69">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20EED595">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授权委托书</w:t>
            </w:r>
          </w:p>
        </w:tc>
        <w:tc>
          <w:tcPr>
            <w:tcW w:w="5892" w:type="dxa"/>
            <w:noWrap w:val="0"/>
            <w:vAlign w:val="center"/>
          </w:tcPr>
          <w:p w14:paraId="13A47BC0">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按招标文件要求提供授权委托书</w:t>
            </w:r>
          </w:p>
        </w:tc>
      </w:tr>
      <w:tr w14:paraId="5968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73" w:type="dxa"/>
            <w:gridSpan w:val="2"/>
            <w:vMerge w:val="continue"/>
            <w:noWrap w:val="0"/>
            <w:vAlign w:val="center"/>
          </w:tcPr>
          <w:p w14:paraId="2563DD3A">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2055E715">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4FF85CC7">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527FDEA4">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投标保证金</w:t>
            </w:r>
          </w:p>
        </w:tc>
        <w:tc>
          <w:tcPr>
            <w:tcW w:w="5892" w:type="dxa"/>
            <w:noWrap w:val="0"/>
            <w:vAlign w:val="center"/>
          </w:tcPr>
          <w:p w14:paraId="2FBCBB53">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按照招标文件的规定提交投标保证金或者所提供的保证金没有瑕疵</w:t>
            </w:r>
          </w:p>
        </w:tc>
      </w:tr>
      <w:tr w14:paraId="3E09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3" w:type="dxa"/>
            <w:gridSpan w:val="2"/>
            <w:vMerge w:val="continue"/>
            <w:noWrap w:val="0"/>
            <w:vAlign w:val="center"/>
          </w:tcPr>
          <w:p w14:paraId="34074FB7">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38229CD3">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1310CC20">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5EF99FF1">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投标完整性</w:t>
            </w:r>
          </w:p>
        </w:tc>
        <w:tc>
          <w:tcPr>
            <w:tcW w:w="5892" w:type="dxa"/>
            <w:noWrap w:val="0"/>
            <w:vAlign w:val="center"/>
          </w:tcPr>
          <w:p w14:paraId="7E677E65">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未将一个标段中的内容拆分投标</w:t>
            </w:r>
          </w:p>
        </w:tc>
      </w:tr>
      <w:tr w14:paraId="59C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73" w:type="dxa"/>
            <w:gridSpan w:val="2"/>
            <w:vMerge w:val="continue"/>
            <w:noWrap w:val="0"/>
            <w:vAlign w:val="center"/>
          </w:tcPr>
          <w:p w14:paraId="5178037D">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6FC2E727">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6C0C6A9B">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4C1638D6">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投标有效期</w:t>
            </w:r>
          </w:p>
        </w:tc>
        <w:tc>
          <w:tcPr>
            <w:tcW w:w="5892" w:type="dxa"/>
            <w:noWrap w:val="0"/>
            <w:vAlign w:val="center"/>
          </w:tcPr>
          <w:p w14:paraId="717D65DE">
            <w:pPr>
              <w:pStyle w:val="14"/>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投标文件中承诺的投标有效期满足招标文件中载明的投标有效期的</w:t>
            </w:r>
          </w:p>
        </w:tc>
      </w:tr>
      <w:tr w14:paraId="50AB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182C8ACF">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03190C3B">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561D21F1">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7662B28E">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公平竞争</w:t>
            </w:r>
          </w:p>
        </w:tc>
        <w:tc>
          <w:tcPr>
            <w:tcW w:w="5892" w:type="dxa"/>
            <w:noWrap w:val="0"/>
            <w:vAlign w:val="center"/>
          </w:tcPr>
          <w:p w14:paraId="035F0F1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投标人遵循公平竞争的原则，不存在恶意串通，妨碍其他投标人的竞争行为，不存在损害采购人或者其他投标人的合法权益情形的</w:t>
            </w:r>
          </w:p>
        </w:tc>
      </w:tr>
      <w:tr w14:paraId="5CFD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0AE6913E">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7760D22D">
            <w:pPr>
              <w:spacing w:before="100" w:beforeAutospacing="1" w:after="100" w:afterAutospacing="1"/>
              <w:rPr>
                <w:rFonts w:hint="eastAsia" w:ascii="宋体" w:hAnsi="宋体" w:eastAsia="宋体" w:cs="宋体"/>
                <w:color w:val="auto"/>
                <w:sz w:val="21"/>
                <w:szCs w:val="21"/>
                <w:highlight w:val="none"/>
              </w:rPr>
            </w:pPr>
          </w:p>
        </w:tc>
        <w:tc>
          <w:tcPr>
            <w:tcW w:w="724" w:type="dxa"/>
            <w:vMerge w:val="restart"/>
            <w:noWrap w:val="0"/>
            <w:vAlign w:val="center"/>
          </w:tcPr>
          <w:p w14:paraId="1DACDBD4">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tc>
        <w:tc>
          <w:tcPr>
            <w:tcW w:w="1509" w:type="dxa"/>
            <w:noWrap w:val="0"/>
            <w:vAlign w:val="center"/>
          </w:tcPr>
          <w:p w14:paraId="4627C5D8">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p>
        </w:tc>
        <w:tc>
          <w:tcPr>
            <w:tcW w:w="5892" w:type="dxa"/>
            <w:noWrap w:val="0"/>
            <w:vAlign w:val="center"/>
          </w:tcPr>
          <w:p w14:paraId="4781EC8A">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投标报价未超过招标文件中规定的预算金额、最高限价，报价符合招标文件要求</w:t>
            </w:r>
          </w:p>
        </w:tc>
      </w:tr>
      <w:tr w14:paraId="4AA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2C428ED0">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4BD28C1E">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3F4C3572">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50D3C95A">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报价唯一性</w:t>
            </w:r>
          </w:p>
        </w:tc>
        <w:tc>
          <w:tcPr>
            <w:tcW w:w="5892" w:type="dxa"/>
            <w:noWrap w:val="0"/>
            <w:vAlign w:val="center"/>
          </w:tcPr>
          <w:p w14:paraId="2AA0C4C9">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投标文件未出现可选择性或可调整的报价（招标文件另有规定的除外）。投标人未出现递交两个或多个内容不同的报价，且未声明哪一个有效的情形</w:t>
            </w:r>
          </w:p>
        </w:tc>
      </w:tr>
      <w:tr w14:paraId="3965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792032FD">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6BFE55A4">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0D108DC3">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67B8AE33">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报价的修正</w:t>
            </w:r>
          </w:p>
        </w:tc>
        <w:tc>
          <w:tcPr>
            <w:tcW w:w="5892" w:type="dxa"/>
            <w:noWrap w:val="0"/>
            <w:vAlign w:val="center"/>
          </w:tcPr>
          <w:p w14:paraId="02699634">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涉及报价修正，或投标文件报价出现前后不一致时，投标人对修正后的报价予以确认</w:t>
            </w:r>
          </w:p>
        </w:tc>
      </w:tr>
      <w:tr w14:paraId="7B8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66ADD7FF">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58634D04">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74F4D5CC">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2FFFDD8D">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报价合理性</w:t>
            </w:r>
          </w:p>
        </w:tc>
        <w:tc>
          <w:tcPr>
            <w:tcW w:w="5892" w:type="dxa"/>
            <w:noWrap w:val="0"/>
            <w:vAlign w:val="center"/>
          </w:tcPr>
          <w:p w14:paraId="2B1745BF">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合理，或投标人的报价明显低于其他通过符合性审查投标人的报价，但经评标委员会异常低价投标（响应）审查，能够在评标委员会要求的规定时间内证明其报价合理性的，不存在有可能影响产品质量或者不能诚信履约的情形</w:t>
            </w:r>
          </w:p>
        </w:tc>
      </w:tr>
      <w:tr w14:paraId="3A55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7BA7DC6E">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0A85AE7C">
            <w:pPr>
              <w:spacing w:before="100" w:beforeAutospacing="1" w:after="100" w:afterAutospacing="1"/>
              <w:rPr>
                <w:rFonts w:hint="eastAsia" w:ascii="宋体" w:hAnsi="宋体" w:eastAsia="宋体" w:cs="宋体"/>
                <w:color w:val="auto"/>
                <w:sz w:val="21"/>
                <w:szCs w:val="21"/>
                <w:highlight w:val="none"/>
              </w:rPr>
            </w:pPr>
          </w:p>
        </w:tc>
        <w:tc>
          <w:tcPr>
            <w:tcW w:w="724" w:type="dxa"/>
            <w:vMerge w:val="restart"/>
            <w:noWrap w:val="0"/>
            <w:vAlign w:val="center"/>
          </w:tcPr>
          <w:p w14:paraId="005D2611">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w:t>
            </w:r>
          </w:p>
        </w:tc>
        <w:tc>
          <w:tcPr>
            <w:tcW w:w="1509" w:type="dxa"/>
            <w:noWrap w:val="0"/>
            <w:vAlign w:val="center"/>
          </w:tcPr>
          <w:p w14:paraId="5191E43B">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★号条款响应</w:t>
            </w:r>
          </w:p>
        </w:tc>
        <w:tc>
          <w:tcPr>
            <w:tcW w:w="5892" w:type="dxa"/>
            <w:noWrap w:val="0"/>
            <w:vAlign w:val="center"/>
          </w:tcPr>
          <w:p w14:paraId="5746EAFF">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w:t>
            </w:r>
            <w:r>
              <w:rPr>
                <w:rFonts w:hint="eastAsia" w:ascii="宋体" w:hAnsi="宋体" w:cs="宋体"/>
                <w:color w:val="auto"/>
                <w:sz w:val="21"/>
                <w:szCs w:val="21"/>
                <w:highlight w:val="none"/>
                <w:lang w:val="en-US" w:eastAsia="zh-CN"/>
              </w:rPr>
              <w:t>件</w:t>
            </w:r>
            <w:r>
              <w:rPr>
                <w:rFonts w:hint="eastAsia" w:ascii="宋体" w:hAnsi="宋体" w:eastAsia="宋体" w:cs="宋体"/>
                <w:color w:val="auto"/>
                <w:sz w:val="21"/>
                <w:szCs w:val="21"/>
                <w:highlight w:val="none"/>
                <w:lang w:val="en-US" w:eastAsia="zh-CN"/>
              </w:rPr>
              <w:t>中标注</w:t>
            </w:r>
            <w:r>
              <w:rPr>
                <w:rFonts w:hint="eastAsia" w:ascii="宋体" w:hAnsi="宋体" w:eastAsia="宋体" w:cs="宋体"/>
                <w:color w:val="auto"/>
                <w:sz w:val="21"/>
                <w:szCs w:val="21"/>
                <w:highlight w:val="none"/>
              </w:rPr>
              <w:t>“★”条款要求</w:t>
            </w:r>
          </w:p>
        </w:tc>
      </w:tr>
      <w:tr w14:paraId="4A95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323A57B9">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0E96C9D1">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6B536141">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637E0E39">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串通投标</w:t>
            </w:r>
          </w:p>
        </w:tc>
        <w:tc>
          <w:tcPr>
            <w:tcW w:w="5892" w:type="dxa"/>
            <w:noWrap w:val="0"/>
            <w:vAlign w:val="center"/>
          </w:tcPr>
          <w:p w14:paraId="5AAE490D">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投标人不存在以下情形：</w:t>
            </w:r>
          </w:p>
          <w:p w14:paraId="2A65CE30">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由同一单位或者个人编制；</w:t>
            </w:r>
          </w:p>
          <w:p w14:paraId="7AC19686">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委托同一单位或者个人办理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事宜；</w:t>
            </w:r>
          </w:p>
          <w:p w14:paraId="7CFA1571">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载明的项目管理成员或者联系人员为同一人；</w:t>
            </w:r>
          </w:p>
          <w:p w14:paraId="1D63599D">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异常一致或者</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报价呈规律性差异；</w:t>
            </w:r>
          </w:p>
          <w:p w14:paraId="5D9D2B3A">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相互混装；</w:t>
            </w:r>
          </w:p>
          <w:p w14:paraId="429BD53A">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保证金从同一单位或者个人的账户转出；</w:t>
            </w:r>
          </w:p>
          <w:p w14:paraId="6E96864F">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规定的其他无效情形</w:t>
            </w:r>
            <w:r>
              <w:rPr>
                <w:rFonts w:hint="eastAsia" w:ascii="宋体" w:hAnsi="宋体" w:cs="宋体"/>
                <w:color w:val="auto"/>
                <w:sz w:val="21"/>
                <w:szCs w:val="21"/>
                <w:highlight w:val="none"/>
                <w:lang w:val="en-US" w:eastAsia="zh-CN"/>
              </w:rPr>
              <w:t>。</w:t>
            </w:r>
          </w:p>
        </w:tc>
      </w:tr>
      <w:tr w14:paraId="610B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gridSpan w:val="2"/>
            <w:vMerge w:val="continue"/>
            <w:noWrap w:val="0"/>
            <w:vAlign w:val="center"/>
          </w:tcPr>
          <w:p w14:paraId="602D30D4">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3AA193ED">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004D8D7F">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10470C3C">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附加条件</w:t>
            </w:r>
          </w:p>
        </w:tc>
        <w:tc>
          <w:tcPr>
            <w:tcW w:w="5892" w:type="dxa"/>
            <w:noWrap w:val="0"/>
            <w:vAlign w:val="center"/>
          </w:tcPr>
          <w:p w14:paraId="79629955">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投标文件未含有采购人不能接受的附加条件的</w:t>
            </w:r>
          </w:p>
        </w:tc>
      </w:tr>
      <w:tr w14:paraId="3437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gridSpan w:val="2"/>
            <w:vMerge w:val="continue"/>
            <w:noWrap w:val="0"/>
            <w:vAlign w:val="center"/>
          </w:tcPr>
          <w:p w14:paraId="7B13762B">
            <w:pPr>
              <w:spacing w:before="100" w:beforeAutospacing="1" w:after="100" w:afterAutospacing="1"/>
              <w:rPr>
                <w:rFonts w:hint="eastAsia" w:ascii="宋体" w:hAnsi="宋体" w:eastAsia="宋体" w:cs="宋体"/>
                <w:color w:val="auto"/>
                <w:sz w:val="21"/>
                <w:szCs w:val="21"/>
                <w:highlight w:val="none"/>
              </w:rPr>
            </w:pPr>
          </w:p>
        </w:tc>
        <w:tc>
          <w:tcPr>
            <w:tcW w:w="1276" w:type="dxa"/>
            <w:vMerge w:val="continue"/>
            <w:noWrap w:val="0"/>
            <w:vAlign w:val="center"/>
          </w:tcPr>
          <w:p w14:paraId="128BC4CD">
            <w:pPr>
              <w:spacing w:before="100" w:beforeAutospacing="1" w:after="100" w:afterAutospacing="1"/>
              <w:rPr>
                <w:rFonts w:hint="eastAsia" w:ascii="宋体" w:hAnsi="宋体" w:eastAsia="宋体" w:cs="宋体"/>
                <w:color w:val="auto"/>
                <w:sz w:val="21"/>
                <w:szCs w:val="21"/>
                <w:highlight w:val="none"/>
              </w:rPr>
            </w:pPr>
          </w:p>
        </w:tc>
        <w:tc>
          <w:tcPr>
            <w:tcW w:w="724" w:type="dxa"/>
            <w:vMerge w:val="continue"/>
            <w:noWrap w:val="0"/>
            <w:vAlign w:val="center"/>
          </w:tcPr>
          <w:p w14:paraId="38DA0F71">
            <w:pPr>
              <w:spacing w:before="100" w:beforeAutospacing="1" w:after="100" w:afterAutospacing="1"/>
              <w:jc w:val="center"/>
              <w:rPr>
                <w:rFonts w:hint="eastAsia" w:ascii="宋体" w:hAnsi="宋体" w:eastAsia="宋体" w:cs="宋体"/>
                <w:color w:val="auto"/>
                <w:sz w:val="21"/>
                <w:szCs w:val="21"/>
                <w:highlight w:val="none"/>
              </w:rPr>
            </w:pPr>
          </w:p>
        </w:tc>
        <w:tc>
          <w:tcPr>
            <w:tcW w:w="1509" w:type="dxa"/>
            <w:noWrap w:val="0"/>
            <w:vAlign w:val="center"/>
          </w:tcPr>
          <w:p w14:paraId="18FD7475">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其他无效情形</w:t>
            </w:r>
          </w:p>
        </w:tc>
        <w:tc>
          <w:tcPr>
            <w:tcW w:w="5892" w:type="dxa"/>
            <w:noWrap w:val="0"/>
            <w:vAlign w:val="center"/>
          </w:tcPr>
          <w:p w14:paraId="2482ED20">
            <w:pPr>
              <w:pStyle w:val="1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投标人、投标文件不存在不符合法律、法规和招标文件规定的其他无效情形</w:t>
            </w:r>
          </w:p>
        </w:tc>
      </w:tr>
      <w:tr w14:paraId="370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630" w:hRule="atLeast"/>
          <w:jc w:val="center"/>
        </w:trPr>
        <w:tc>
          <w:tcPr>
            <w:tcW w:w="971" w:type="dxa"/>
            <w:vMerge w:val="restart"/>
            <w:noWrap w:val="0"/>
            <w:tcMar>
              <w:top w:w="0" w:type="dxa"/>
              <w:left w:w="108" w:type="dxa"/>
              <w:bottom w:w="0" w:type="dxa"/>
              <w:right w:w="108" w:type="dxa"/>
            </w:tcMar>
            <w:vAlign w:val="center"/>
          </w:tcPr>
          <w:p w14:paraId="5EA22B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276" w:type="dxa"/>
            <w:vMerge w:val="restart"/>
            <w:noWrap w:val="0"/>
            <w:tcMar>
              <w:top w:w="0" w:type="dxa"/>
              <w:left w:w="108" w:type="dxa"/>
              <w:bottom w:w="0" w:type="dxa"/>
              <w:right w:w="108" w:type="dxa"/>
            </w:tcMar>
            <w:vAlign w:val="center"/>
          </w:tcPr>
          <w:p w14:paraId="048932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tc>
        <w:tc>
          <w:tcPr>
            <w:tcW w:w="2233" w:type="dxa"/>
            <w:gridSpan w:val="2"/>
            <w:noWrap w:val="0"/>
            <w:tcMar>
              <w:top w:w="0" w:type="dxa"/>
              <w:left w:w="108" w:type="dxa"/>
              <w:bottom w:w="0" w:type="dxa"/>
              <w:right w:w="108" w:type="dxa"/>
            </w:tcMar>
            <w:vAlign w:val="center"/>
          </w:tcPr>
          <w:p w14:paraId="462843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1、评标总得分计算公式</w:t>
            </w:r>
          </w:p>
        </w:tc>
        <w:tc>
          <w:tcPr>
            <w:tcW w:w="5892" w:type="dxa"/>
            <w:noWrap w:val="0"/>
            <w:tcMar>
              <w:top w:w="0" w:type="dxa"/>
              <w:left w:w="108" w:type="dxa"/>
              <w:bottom w:w="0" w:type="dxa"/>
              <w:right w:w="108" w:type="dxa"/>
            </w:tcMar>
            <w:vAlign w:val="center"/>
          </w:tcPr>
          <w:p w14:paraId="3389BBF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350B4B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163C8C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①F1、F2、F3分别为投标报价、技术部分、商务部分3项评分因素的汇总得分；</w:t>
            </w:r>
          </w:p>
        </w:tc>
      </w:tr>
      <w:tr w14:paraId="5E4C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327" w:hRule="atLeast"/>
          <w:jc w:val="center"/>
        </w:trPr>
        <w:tc>
          <w:tcPr>
            <w:tcW w:w="971" w:type="dxa"/>
            <w:vMerge w:val="continue"/>
            <w:noWrap w:val="0"/>
            <w:tcMar>
              <w:top w:w="0" w:type="dxa"/>
              <w:left w:w="108" w:type="dxa"/>
              <w:bottom w:w="0" w:type="dxa"/>
              <w:right w:w="108" w:type="dxa"/>
            </w:tcMar>
            <w:vAlign w:val="center"/>
          </w:tcPr>
          <w:p w14:paraId="15753898">
            <w:pPr>
              <w:spacing w:line="360" w:lineRule="auto"/>
              <w:rPr>
                <w:rFonts w:hint="eastAsia" w:ascii="宋体" w:hAnsi="宋体" w:eastAsia="宋体" w:cs="宋体"/>
                <w:color w:val="auto"/>
                <w:szCs w:val="21"/>
                <w:highlight w:val="none"/>
              </w:rPr>
            </w:pPr>
          </w:p>
        </w:tc>
        <w:tc>
          <w:tcPr>
            <w:tcW w:w="1276" w:type="dxa"/>
            <w:vMerge w:val="continue"/>
            <w:noWrap w:val="0"/>
            <w:tcMar>
              <w:top w:w="0" w:type="dxa"/>
              <w:left w:w="108" w:type="dxa"/>
              <w:bottom w:w="0" w:type="dxa"/>
              <w:right w:w="108" w:type="dxa"/>
            </w:tcMar>
            <w:vAlign w:val="center"/>
          </w:tcPr>
          <w:p w14:paraId="4DA71E8A">
            <w:pPr>
              <w:spacing w:line="360" w:lineRule="auto"/>
              <w:rPr>
                <w:rFonts w:hint="eastAsia" w:ascii="宋体" w:hAnsi="宋体" w:eastAsia="宋体" w:cs="宋体"/>
                <w:color w:val="auto"/>
                <w:szCs w:val="21"/>
                <w:highlight w:val="none"/>
              </w:rPr>
            </w:pPr>
          </w:p>
        </w:tc>
        <w:tc>
          <w:tcPr>
            <w:tcW w:w="2233" w:type="dxa"/>
            <w:gridSpan w:val="2"/>
            <w:noWrap w:val="0"/>
            <w:tcMar>
              <w:top w:w="0" w:type="dxa"/>
              <w:left w:w="108" w:type="dxa"/>
              <w:bottom w:w="0" w:type="dxa"/>
              <w:right w:w="108" w:type="dxa"/>
            </w:tcMar>
            <w:vAlign w:val="center"/>
          </w:tcPr>
          <w:p w14:paraId="18C611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2、评分因素</w:t>
            </w:r>
          </w:p>
          <w:p w14:paraId="1130BD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分值及权重</w:t>
            </w:r>
          </w:p>
        </w:tc>
        <w:tc>
          <w:tcPr>
            <w:tcW w:w="5892" w:type="dxa"/>
            <w:noWrap w:val="0"/>
            <w:tcMar>
              <w:top w:w="0" w:type="dxa"/>
              <w:left w:w="108" w:type="dxa"/>
              <w:bottom w:w="0" w:type="dxa"/>
              <w:right w:w="108" w:type="dxa"/>
            </w:tcMar>
            <w:vAlign w:val="center"/>
          </w:tcPr>
          <w:p w14:paraId="7F6A99A3">
            <w:pPr>
              <w:spacing w:line="360" w:lineRule="auto"/>
              <w:ind w:left="1258" w:hanging="1258"/>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投标报价F1：满分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w:t>
            </w:r>
          </w:p>
          <w:p w14:paraId="74DBEB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技术部分F2：满分</w:t>
            </w:r>
            <w:r>
              <w:rPr>
                <w:rFonts w:hint="eastAsia" w:ascii="宋体" w:hAnsi="宋体" w:cs="宋体"/>
                <w:color w:val="auto"/>
                <w:szCs w:val="21"/>
                <w:highlight w:val="none"/>
                <w:lang w:val="en-US" w:eastAsia="zh-CN"/>
              </w:rPr>
              <w:t>65</w:t>
            </w:r>
            <w:r>
              <w:rPr>
                <w:rFonts w:hint="eastAsia" w:ascii="宋体" w:hAnsi="宋体" w:eastAsia="宋体" w:cs="宋体"/>
                <w:color w:val="auto"/>
                <w:szCs w:val="21"/>
                <w:highlight w:val="none"/>
              </w:rPr>
              <w:t>分。</w:t>
            </w:r>
          </w:p>
          <w:p w14:paraId="2A7E57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商务部分F3：满分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6D1C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1327" w:hRule="atLeast"/>
          <w:jc w:val="center"/>
        </w:trPr>
        <w:tc>
          <w:tcPr>
            <w:tcW w:w="971" w:type="dxa"/>
            <w:vMerge w:val="continue"/>
            <w:noWrap w:val="0"/>
            <w:tcMar>
              <w:top w:w="0" w:type="dxa"/>
              <w:left w:w="108" w:type="dxa"/>
              <w:bottom w:w="0" w:type="dxa"/>
              <w:right w:w="108" w:type="dxa"/>
            </w:tcMar>
            <w:vAlign w:val="center"/>
          </w:tcPr>
          <w:p w14:paraId="0506A5B5">
            <w:pPr>
              <w:spacing w:line="360" w:lineRule="auto"/>
              <w:rPr>
                <w:rFonts w:hint="eastAsia" w:ascii="宋体" w:hAnsi="宋体" w:eastAsia="宋体" w:cs="宋体"/>
                <w:color w:val="auto"/>
                <w:szCs w:val="21"/>
                <w:highlight w:val="none"/>
              </w:rPr>
            </w:pPr>
          </w:p>
        </w:tc>
        <w:tc>
          <w:tcPr>
            <w:tcW w:w="1276" w:type="dxa"/>
            <w:vMerge w:val="continue"/>
            <w:noWrap w:val="0"/>
            <w:tcMar>
              <w:top w:w="0" w:type="dxa"/>
              <w:left w:w="108" w:type="dxa"/>
              <w:bottom w:w="0" w:type="dxa"/>
              <w:right w:w="108" w:type="dxa"/>
            </w:tcMar>
            <w:vAlign w:val="center"/>
          </w:tcPr>
          <w:p w14:paraId="60FD2D16">
            <w:pPr>
              <w:spacing w:line="360" w:lineRule="auto"/>
              <w:rPr>
                <w:rFonts w:hint="eastAsia" w:ascii="宋体" w:hAnsi="宋体" w:eastAsia="宋体" w:cs="宋体"/>
                <w:color w:val="auto"/>
                <w:szCs w:val="21"/>
                <w:highlight w:val="none"/>
              </w:rPr>
            </w:pPr>
          </w:p>
        </w:tc>
        <w:tc>
          <w:tcPr>
            <w:tcW w:w="2233" w:type="dxa"/>
            <w:gridSpan w:val="2"/>
            <w:noWrap w:val="0"/>
            <w:tcMar>
              <w:top w:w="0" w:type="dxa"/>
              <w:left w:w="108" w:type="dxa"/>
              <w:bottom w:w="0" w:type="dxa"/>
              <w:right w:w="108" w:type="dxa"/>
            </w:tcMar>
            <w:vAlign w:val="center"/>
          </w:tcPr>
          <w:p w14:paraId="2CA591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w:t>
            </w:r>
          </w:p>
          <w:p w14:paraId="68F708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评审F1</w:t>
            </w:r>
          </w:p>
          <w:p w14:paraId="57EE71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tc>
        <w:tc>
          <w:tcPr>
            <w:tcW w:w="5892" w:type="dxa"/>
            <w:noWrap w:val="0"/>
            <w:tcMar>
              <w:top w:w="0" w:type="dxa"/>
              <w:left w:w="108" w:type="dxa"/>
              <w:bottom w:w="0" w:type="dxa"/>
              <w:right w:w="108" w:type="dxa"/>
            </w:tcMar>
            <w:vAlign w:val="center"/>
          </w:tcPr>
          <w:p w14:paraId="460A8F62">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投标报价计算公式=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评标基准价/投标报价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w:t>
            </w:r>
          </w:p>
          <w:p w14:paraId="6777B888">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即：F1=[C/（B1，B2，…，Bn）]×</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w:t>
            </w:r>
          </w:p>
          <w:p w14:paraId="3AFD197C">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注：C为评标基准价，即经初步审查合格且投标价格最低的有效投标报价；B1，B2，…，Bn为第n个经初步审查合格的有效投标报价。</w:t>
            </w:r>
          </w:p>
          <w:p w14:paraId="3F2808F8">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F9600F0">
            <w:pPr>
              <w:adjustRightInd w:val="0"/>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专门面向中小企业采购</w:t>
            </w:r>
            <w:r>
              <w:rPr>
                <w:rFonts w:hint="eastAsia" w:ascii="宋体" w:hAnsi="宋体" w:eastAsia="宋体" w:cs="宋体"/>
                <w:b w:val="0"/>
                <w:bCs w:val="0"/>
                <w:color w:val="auto"/>
                <w:szCs w:val="21"/>
                <w:highlight w:val="none"/>
                <w:lang w:val="en-US" w:eastAsia="zh-CN"/>
              </w:rPr>
              <w:t>的项目，</w:t>
            </w:r>
            <w:r>
              <w:rPr>
                <w:rFonts w:hint="eastAsia" w:ascii="宋体" w:hAnsi="宋体" w:eastAsia="宋体" w:cs="宋体"/>
                <w:b w:val="0"/>
                <w:bCs w:val="0"/>
                <w:color w:val="auto"/>
                <w:szCs w:val="21"/>
                <w:highlight w:val="none"/>
                <w:lang w:eastAsia="zh-CN"/>
              </w:rPr>
              <w:t>对小微企业、残疾人福利性单位、监狱企业不进行价格折扣。</w:t>
            </w:r>
          </w:p>
          <w:p w14:paraId="7C96BC6D">
            <w:pPr>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对于未预留份额专门面向中小企业采购的采购项目，以及预留份额项目中的非预留部分采购包，对小微企业报价给予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%的扣除，用扣除后的价格参加评审。</w:t>
            </w:r>
          </w:p>
          <w:p w14:paraId="587D24B8">
            <w:pPr>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797AF32">
            <w:pPr>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组成联合体或者接受分包的小微企业与联合体内其他企业、分包企业之间存在直接控股、管理关系的，不享受价格扣除优惠政策。</w:t>
            </w:r>
          </w:p>
          <w:p w14:paraId="65C81913">
            <w:pPr>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中小企业参加政府采购活动，应当按照</w:t>
            </w:r>
            <w:r>
              <w:rPr>
                <w:rFonts w:hint="eastAsia" w:ascii="宋体" w:hAnsi="宋体" w:cs="宋体"/>
                <w:color w:val="auto"/>
                <w:szCs w:val="21"/>
                <w:highlight w:val="none"/>
                <w:lang w:eastAsia="zh-CN"/>
              </w:rPr>
              <w:t>招标文件</w:t>
            </w:r>
            <w:r>
              <w:rPr>
                <w:rFonts w:hint="eastAsia" w:ascii="宋体" w:hAnsi="宋体" w:eastAsia="宋体" w:cs="宋体"/>
                <w:color w:val="auto"/>
                <w:szCs w:val="21"/>
                <w:highlight w:val="none"/>
                <w:lang w:eastAsia="zh-CN"/>
              </w:rPr>
              <w:t>给定的格式出具《中小企业声明函》，否则不得享受相关中小企业扶持政策。</w:t>
            </w:r>
          </w:p>
          <w:p w14:paraId="31AC1D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残疾人福利性单位、监狱企业视同小型、微型企业。</w:t>
            </w:r>
          </w:p>
          <w:p w14:paraId="0493D4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监狱企业或残疾人福利性单位属于小型、微型企业的，不重复享受政策，只进行一次价格扣除。</w:t>
            </w:r>
          </w:p>
          <w:p w14:paraId="733196DE">
            <w:pPr>
              <w:spacing w:line="360" w:lineRule="auto"/>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3B2FA8AB">
            <w:pPr>
              <w:spacing w:line="360" w:lineRule="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.当涉及政府采购政策叠加适用，统一在原投标报价的基础上逐项进行价格扣除。</w:t>
            </w:r>
          </w:p>
        </w:tc>
      </w:tr>
      <w:tr w14:paraId="43A8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492" w:hRule="atLeast"/>
          <w:jc w:val="center"/>
        </w:trPr>
        <w:tc>
          <w:tcPr>
            <w:tcW w:w="971" w:type="dxa"/>
            <w:vMerge w:val="restart"/>
            <w:noWrap w:val="0"/>
            <w:tcMar>
              <w:top w:w="0" w:type="dxa"/>
              <w:left w:w="108" w:type="dxa"/>
              <w:bottom w:w="0" w:type="dxa"/>
              <w:right w:w="108" w:type="dxa"/>
            </w:tcMar>
            <w:vAlign w:val="center"/>
          </w:tcPr>
          <w:p w14:paraId="62ECBB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276" w:type="dxa"/>
            <w:vMerge w:val="restart"/>
            <w:noWrap w:val="0"/>
            <w:tcMar>
              <w:top w:w="0" w:type="dxa"/>
              <w:left w:w="108" w:type="dxa"/>
              <w:bottom w:w="0" w:type="dxa"/>
              <w:right w:w="108" w:type="dxa"/>
            </w:tcMar>
            <w:vAlign w:val="center"/>
          </w:tcPr>
          <w:p w14:paraId="08065D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tc>
        <w:tc>
          <w:tcPr>
            <w:tcW w:w="2233" w:type="dxa"/>
            <w:gridSpan w:val="2"/>
            <w:noWrap w:val="0"/>
            <w:tcMar>
              <w:top w:w="0" w:type="dxa"/>
              <w:left w:w="108" w:type="dxa"/>
              <w:bottom w:w="0" w:type="dxa"/>
              <w:right w:w="108" w:type="dxa"/>
            </w:tcMar>
            <w:vAlign w:val="center"/>
          </w:tcPr>
          <w:p w14:paraId="5EAABE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4、技术部分</w:t>
            </w:r>
          </w:p>
          <w:p w14:paraId="4A3AF3D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评审F</w:t>
            </w:r>
            <w:r>
              <w:rPr>
                <w:rFonts w:hint="eastAsia" w:ascii="宋体" w:hAnsi="宋体" w:eastAsia="宋体" w:cs="宋体"/>
                <w:color w:val="auto"/>
                <w:szCs w:val="21"/>
                <w:highlight w:val="none"/>
                <w:lang w:val="en-US" w:eastAsia="zh-CN"/>
              </w:rPr>
              <w:t>2</w:t>
            </w:r>
          </w:p>
          <w:p w14:paraId="227637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65</w:t>
            </w:r>
            <w:r>
              <w:rPr>
                <w:rFonts w:hint="eastAsia" w:ascii="宋体" w:hAnsi="宋体" w:eastAsia="宋体" w:cs="宋体"/>
                <w:color w:val="auto"/>
                <w:szCs w:val="21"/>
                <w:highlight w:val="none"/>
              </w:rPr>
              <w:t>分）</w:t>
            </w:r>
          </w:p>
        </w:tc>
        <w:tc>
          <w:tcPr>
            <w:tcW w:w="5892" w:type="dxa"/>
            <w:noWrap w:val="0"/>
            <w:tcMar>
              <w:top w:w="0" w:type="dxa"/>
              <w:left w:w="108" w:type="dxa"/>
              <w:bottom w:w="0" w:type="dxa"/>
              <w:right w:w="108" w:type="dxa"/>
            </w:tcMar>
            <w:vAlign w:val="center"/>
          </w:tcPr>
          <w:p w14:paraId="13F02CCE">
            <w:pPr>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1、对</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重点</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难点分析及</w:t>
            </w:r>
            <w:r>
              <w:rPr>
                <w:rFonts w:hint="eastAsia" w:ascii="宋体" w:hAnsi="宋体" w:eastAsia="宋体" w:cs="宋体"/>
                <w:b/>
                <w:bCs/>
                <w:color w:val="auto"/>
                <w:szCs w:val="21"/>
                <w:highlight w:val="none"/>
              </w:rPr>
              <w:t>主要措施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建议</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rPr>
              <w:t>分）</w:t>
            </w:r>
          </w:p>
          <w:p w14:paraId="562E6282">
            <w:pPr>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第一档：</w:t>
            </w:r>
            <w:r>
              <w:rPr>
                <w:rFonts w:hint="eastAsia" w:ascii="宋体" w:hAnsi="宋体" w:eastAsia="宋体" w:cs="宋体"/>
                <w:color w:val="auto"/>
                <w:szCs w:val="21"/>
                <w:highlight w:val="none"/>
              </w:rPr>
              <w:t>供应商对项目内容理解透彻、详实，符合本项目采购需求，</w:t>
            </w:r>
            <w:r>
              <w:rPr>
                <w:rFonts w:hint="eastAsia" w:ascii="宋体" w:hAnsi="宋体" w:eastAsia="宋体" w:cs="宋体"/>
                <w:color w:val="auto"/>
                <w:szCs w:val="21"/>
                <w:highlight w:val="none"/>
                <w:lang w:val="en-US" w:eastAsia="zh-CN"/>
              </w:rPr>
              <w:t>对项目重点分析、</w:t>
            </w:r>
            <w:r>
              <w:rPr>
                <w:rFonts w:hint="eastAsia" w:ascii="宋体" w:hAnsi="宋体" w:eastAsia="宋体" w:cs="宋体"/>
                <w:color w:val="auto"/>
                <w:szCs w:val="21"/>
                <w:highlight w:val="none"/>
              </w:rPr>
              <w:t>对实施过程中可能遇到的问题、难点，有具体的风险防控意识及切实可行的应对措施，得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71892D01">
            <w:pPr>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第二档：</w:t>
            </w:r>
            <w:r>
              <w:rPr>
                <w:rFonts w:hint="eastAsia" w:ascii="宋体" w:hAnsi="宋体" w:eastAsia="宋体" w:cs="宋体"/>
                <w:color w:val="auto"/>
                <w:szCs w:val="21"/>
                <w:highlight w:val="none"/>
              </w:rPr>
              <w:t>供应商对项目内容理解不够透彻，符合本项目采购需求，</w:t>
            </w:r>
            <w:r>
              <w:rPr>
                <w:rFonts w:hint="eastAsia" w:ascii="宋体" w:hAnsi="宋体" w:eastAsia="宋体" w:cs="宋体"/>
                <w:color w:val="auto"/>
                <w:szCs w:val="21"/>
                <w:highlight w:val="none"/>
                <w:lang w:val="en-US" w:eastAsia="zh-CN"/>
              </w:rPr>
              <w:t>对项目重点分析、</w:t>
            </w:r>
            <w:r>
              <w:rPr>
                <w:rFonts w:hint="eastAsia" w:ascii="宋体" w:hAnsi="宋体" w:eastAsia="宋体" w:cs="宋体"/>
                <w:color w:val="auto"/>
                <w:szCs w:val="21"/>
                <w:highlight w:val="none"/>
              </w:rPr>
              <w:t>对实施过程中可能遇到的问题、难点，有基本的风险防控意识及可行的应对措施，得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129BBCBB">
            <w:pPr>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第三档：</w:t>
            </w:r>
            <w:r>
              <w:rPr>
                <w:rFonts w:hint="eastAsia" w:ascii="宋体" w:hAnsi="宋体" w:eastAsia="宋体" w:cs="宋体"/>
                <w:color w:val="auto"/>
                <w:szCs w:val="21"/>
                <w:highlight w:val="none"/>
              </w:rPr>
              <w:t>供应商对项目内容理解较粗略，不满足本项目采购需求，</w:t>
            </w:r>
            <w:r>
              <w:rPr>
                <w:rFonts w:hint="eastAsia" w:ascii="宋体" w:hAnsi="宋体" w:eastAsia="宋体" w:cs="宋体"/>
                <w:color w:val="auto"/>
                <w:szCs w:val="21"/>
                <w:highlight w:val="none"/>
                <w:lang w:val="en-US" w:eastAsia="zh-CN"/>
              </w:rPr>
              <w:t>对项目重点分析、</w:t>
            </w:r>
            <w:r>
              <w:rPr>
                <w:rFonts w:hint="eastAsia" w:ascii="宋体" w:hAnsi="宋体" w:eastAsia="宋体" w:cs="宋体"/>
                <w:color w:val="auto"/>
                <w:szCs w:val="21"/>
                <w:highlight w:val="none"/>
              </w:rPr>
              <w:t>对实施过程中可能遇到的问题、难点，无风险防控意识及应对措施，得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3286EEE6">
            <w:pPr>
              <w:spacing w:line="360" w:lineRule="auto"/>
              <w:ind w:left="1010" w:leftChars="9" w:hanging="991" w:hangingChars="47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第四档：</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val="en-US" w:eastAsia="zh-CN"/>
              </w:rPr>
              <w:t>项目重点、难点分析</w:t>
            </w:r>
            <w:r>
              <w:rPr>
                <w:rFonts w:hint="eastAsia" w:ascii="宋体" w:hAnsi="宋体" w:eastAsia="宋体" w:cs="宋体"/>
                <w:color w:val="auto"/>
                <w:szCs w:val="21"/>
                <w:highlight w:val="none"/>
              </w:rPr>
              <w:t>与项目理解得0分。</w:t>
            </w:r>
          </w:p>
          <w:p w14:paraId="353657E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2、项目实施方案（</w:t>
            </w:r>
            <w:r>
              <w:rPr>
                <w:rFonts w:hint="eastAsia" w:ascii="宋体" w:hAnsi="宋体" w:cs="宋体"/>
                <w:b/>
                <w:bCs/>
                <w:color w:val="auto"/>
                <w:szCs w:val="21"/>
                <w:highlight w:val="none"/>
                <w:lang w:val="en-US" w:eastAsia="zh-CN"/>
              </w:rPr>
              <w:t>39</w:t>
            </w:r>
            <w:r>
              <w:rPr>
                <w:rFonts w:hint="eastAsia" w:ascii="宋体" w:hAnsi="宋体" w:eastAsia="宋体" w:cs="宋体"/>
                <w:b/>
                <w:bCs/>
                <w:color w:val="auto"/>
                <w:szCs w:val="21"/>
                <w:highlight w:val="none"/>
              </w:rPr>
              <w:t>分）</w:t>
            </w:r>
          </w:p>
          <w:p w14:paraId="74485355">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供应商提交的</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实施方案</w:t>
            </w:r>
            <w:r>
              <w:rPr>
                <w:rFonts w:hint="eastAsia" w:ascii="宋体" w:hAnsi="宋体" w:eastAsia="宋体" w:cs="宋体"/>
                <w:color w:val="auto"/>
                <w:kern w:val="0"/>
                <w:szCs w:val="21"/>
                <w:highlight w:val="none"/>
                <w:lang w:val="en-US" w:eastAsia="zh-CN"/>
              </w:rPr>
              <w:t>按照以下内容进行编制，评标委员会按以下内容进行评审。</w:t>
            </w:r>
          </w:p>
          <w:p w14:paraId="607AA302">
            <w:pPr>
              <w:numPr>
                <w:ilvl w:val="0"/>
                <w:numId w:val="0"/>
              </w:numPr>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2.1、卫星遥感监测服务方案</w:t>
            </w:r>
            <w:r>
              <w:rPr>
                <w:rFonts w:hint="eastAsia" w:ascii="宋体" w:hAnsi="宋体" w:cs="宋体"/>
                <w:b/>
                <w:bCs/>
                <w:color w:val="auto"/>
                <w:kern w:val="0"/>
                <w:szCs w:val="21"/>
                <w:highlight w:val="none"/>
                <w:lang w:val="en-US" w:eastAsia="zh-CN"/>
              </w:rPr>
              <w:t>评审</w:t>
            </w:r>
            <w:r>
              <w:rPr>
                <w:rFonts w:hint="eastAsia" w:ascii="宋体" w:hAnsi="宋体" w:eastAsia="宋体" w:cs="宋体"/>
                <w:b/>
                <w:bCs/>
                <w:color w:val="auto"/>
                <w:kern w:val="0"/>
                <w:szCs w:val="21"/>
                <w:highlight w:val="none"/>
                <w:lang w:val="en-US" w:eastAsia="zh-CN"/>
              </w:rPr>
              <w:t>（满分</w:t>
            </w:r>
            <w:r>
              <w:rPr>
                <w:rFonts w:hint="eastAsia" w:ascii="宋体" w:hAnsi="宋体" w:cs="宋体"/>
                <w:b/>
                <w:bCs/>
                <w:color w:val="auto"/>
                <w:kern w:val="0"/>
                <w:szCs w:val="21"/>
                <w:highlight w:val="none"/>
                <w:lang w:val="en-US" w:eastAsia="zh-CN"/>
              </w:rPr>
              <w:t>12</w:t>
            </w:r>
            <w:r>
              <w:rPr>
                <w:rFonts w:hint="eastAsia" w:ascii="宋体" w:hAnsi="宋体" w:eastAsia="宋体" w:cs="宋体"/>
                <w:b/>
                <w:bCs/>
                <w:color w:val="auto"/>
                <w:kern w:val="0"/>
                <w:szCs w:val="21"/>
                <w:highlight w:val="none"/>
                <w:lang w:val="en-US" w:eastAsia="zh-CN"/>
              </w:rPr>
              <w:t>分）</w:t>
            </w:r>
          </w:p>
          <w:p w14:paraId="4AAAA67E">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卫星遥感监测服务方案包括但不限于：</w:t>
            </w:r>
          </w:p>
          <w:p w14:paraId="5BD1BB32">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遥感数据源与技术路线设计</w:t>
            </w:r>
            <w:r>
              <w:rPr>
                <w:rFonts w:hint="eastAsia" w:ascii="宋体" w:hAnsi="宋体" w:cs="宋体"/>
                <w:b w:val="0"/>
                <w:bCs w:val="0"/>
                <w:color w:val="auto"/>
                <w:kern w:val="0"/>
                <w:szCs w:val="21"/>
                <w:highlight w:val="none"/>
                <w:lang w:val="en-US" w:eastAsia="zh-CN"/>
              </w:rPr>
              <w:t>；</w:t>
            </w:r>
          </w:p>
          <w:p w14:paraId="0E46D42C">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监测内容与技术指标说明</w:t>
            </w:r>
            <w:r>
              <w:rPr>
                <w:rFonts w:hint="eastAsia" w:ascii="宋体" w:hAnsi="宋体" w:cs="宋体"/>
                <w:b w:val="0"/>
                <w:bCs w:val="0"/>
                <w:color w:val="auto"/>
                <w:kern w:val="0"/>
                <w:szCs w:val="21"/>
                <w:highlight w:val="none"/>
                <w:lang w:val="en-US" w:eastAsia="zh-CN"/>
              </w:rPr>
              <w:t>；</w:t>
            </w:r>
          </w:p>
          <w:p w14:paraId="0BF23540">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lang w:val="en-US" w:eastAsia="zh-CN"/>
              </w:rPr>
              <w:t>数据处理与解译流程</w:t>
            </w:r>
            <w:r>
              <w:rPr>
                <w:rFonts w:hint="eastAsia" w:ascii="宋体" w:hAnsi="宋体" w:cs="宋体"/>
                <w:b w:val="0"/>
                <w:bCs w:val="0"/>
                <w:color w:val="auto"/>
                <w:kern w:val="0"/>
                <w:szCs w:val="21"/>
                <w:highlight w:val="none"/>
                <w:lang w:val="en-US" w:eastAsia="zh-CN"/>
              </w:rPr>
              <w:t>；</w:t>
            </w:r>
          </w:p>
          <w:p w14:paraId="5E233FEE">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lang w:val="en-US" w:eastAsia="zh-CN"/>
              </w:rPr>
              <w:t>监测频次与工作周期说明</w:t>
            </w:r>
            <w:r>
              <w:rPr>
                <w:rFonts w:hint="eastAsia" w:ascii="宋体" w:hAnsi="宋体" w:cs="宋体"/>
                <w:b w:val="0"/>
                <w:bCs w:val="0"/>
                <w:color w:val="auto"/>
                <w:kern w:val="0"/>
                <w:szCs w:val="21"/>
                <w:highlight w:val="none"/>
                <w:lang w:val="en-US" w:eastAsia="zh-CN"/>
              </w:rPr>
              <w:t>；</w:t>
            </w:r>
          </w:p>
          <w:p w14:paraId="2C2FC42B">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lang w:val="en-US" w:eastAsia="zh-CN"/>
              </w:rPr>
              <w:t>服务质量控制与成果验收方案</w:t>
            </w:r>
            <w:r>
              <w:rPr>
                <w:rFonts w:hint="eastAsia" w:ascii="宋体" w:hAnsi="宋体" w:cs="宋体"/>
                <w:b w:val="0"/>
                <w:bCs w:val="0"/>
                <w:color w:val="auto"/>
                <w:kern w:val="0"/>
                <w:szCs w:val="21"/>
                <w:highlight w:val="none"/>
                <w:lang w:val="en-US" w:eastAsia="zh-CN"/>
              </w:rPr>
              <w:t>；</w:t>
            </w:r>
          </w:p>
          <w:p w14:paraId="7D3D15AD">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lang w:val="en-US" w:eastAsia="zh-CN"/>
              </w:rPr>
              <w:t>成果交付内容</w:t>
            </w:r>
            <w:r>
              <w:rPr>
                <w:rFonts w:hint="eastAsia" w:ascii="宋体" w:hAnsi="宋体" w:cs="宋体"/>
                <w:b w:val="0"/>
                <w:bCs w:val="0"/>
                <w:color w:val="auto"/>
                <w:kern w:val="0"/>
                <w:szCs w:val="21"/>
                <w:highlight w:val="none"/>
                <w:lang w:val="en-US" w:eastAsia="zh-CN"/>
              </w:rPr>
              <w:t>；</w:t>
            </w:r>
          </w:p>
          <w:p w14:paraId="7157A56F">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（7）</w:t>
            </w:r>
            <w:r>
              <w:rPr>
                <w:rFonts w:hint="eastAsia" w:ascii="宋体" w:hAnsi="宋体" w:eastAsia="宋体" w:cs="宋体"/>
                <w:b w:val="0"/>
                <w:bCs w:val="0"/>
                <w:color w:val="auto"/>
                <w:kern w:val="0"/>
                <w:szCs w:val="21"/>
                <w:highlight w:val="none"/>
                <w:lang w:val="en-US" w:eastAsia="zh-CN"/>
              </w:rPr>
              <w:t>信息安全与保密管理措施</w:t>
            </w:r>
            <w:r>
              <w:rPr>
                <w:rFonts w:hint="eastAsia" w:ascii="宋体" w:hAnsi="宋体" w:cs="宋体"/>
                <w:b w:val="0"/>
                <w:bCs w:val="0"/>
                <w:color w:val="auto"/>
                <w:kern w:val="0"/>
                <w:szCs w:val="21"/>
                <w:highlight w:val="none"/>
                <w:lang w:val="en-US" w:eastAsia="zh-CN"/>
              </w:rPr>
              <w:t>；</w:t>
            </w:r>
          </w:p>
          <w:p w14:paraId="7034206D">
            <w:pPr>
              <w:numPr>
                <w:ilvl w:val="0"/>
                <w:numId w:val="0"/>
              </w:numPr>
              <w:spacing w:line="360" w:lineRule="auto"/>
              <w:ind w:leftChars="0"/>
              <w:rPr>
                <w:rFonts w:hint="default"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（8）</w:t>
            </w:r>
            <w:r>
              <w:rPr>
                <w:rFonts w:hint="eastAsia" w:ascii="宋体" w:hAnsi="宋体" w:eastAsia="宋体" w:cs="宋体"/>
                <w:b w:val="0"/>
                <w:bCs w:val="0"/>
                <w:color w:val="auto"/>
                <w:kern w:val="0"/>
                <w:szCs w:val="21"/>
                <w:highlight w:val="none"/>
                <w:lang w:val="en-US" w:eastAsia="zh-CN"/>
              </w:rPr>
              <w:t>后期服务与技术支持</w:t>
            </w:r>
            <w:r>
              <w:rPr>
                <w:rFonts w:hint="eastAsia" w:ascii="宋体" w:hAnsi="宋体" w:cs="宋体"/>
                <w:b w:val="0"/>
                <w:bCs w:val="0"/>
                <w:color w:val="auto"/>
                <w:kern w:val="0"/>
                <w:szCs w:val="21"/>
                <w:highlight w:val="none"/>
                <w:lang w:val="en-US" w:eastAsia="zh-CN"/>
              </w:rPr>
              <w:t>等内容。</w:t>
            </w:r>
          </w:p>
          <w:p w14:paraId="1FC71002">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以上</w:t>
            </w:r>
            <w:r>
              <w:rPr>
                <w:rFonts w:hint="eastAsia" w:ascii="宋体" w:hAnsi="宋体" w:cs="宋体"/>
                <w:b w:val="0"/>
                <w:bCs w:val="0"/>
                <w:color w:val="auto"/>
                <w:kern w:val="0"/>
                <w:szCs w:val="21"/>
                <w:highlight w:val="none"/>
                <w:lang w:val="en-US" w:eastAsia="zh-CN"/>
              </w:rPr>
              <w:t>8</w:t>
            </w:r>
            <w:r>
              <w:rPr>
                <w:rFonts w:hint="eastAsia" w:ascii="宋体" w:hAnsi="宋体" w:eastAsia="宋体" w:cs="宋体"/>
                <w:b w:val="0"/>
                <w:bCs w:val="0"/>
                <w:color w:val="auto"/>
                <w:kern w:val="0"/>
                <w:szCs w:val="21"/>
                <w:highlight w:val="none"/>
                <w:lang w:val="en-US" w:eastAsia="zh-CN"/>
              </w:rPr>
              <w:t>项内容表述详尽，思路清晰</w:t>
            </w:r>
            <w:r>
              <w:rPr>
                <w:rFonts w:hint="eastAsia" w:ascii="宋体" w:hAnsi="宋体" w:cs="宋体"/>
                <w:b w:val="0"/>
                <w:bCs w:val="0"/>
                <w:color w:val="auto"/>
                <w:kern w:val="0"/>
                <w:szCs w:val="21"/>
                <w:highlight w:val="none"/>
                <w:lang w:val="en-US" w:eastAsia="zh-CN"/>
              </w:rPr>
              <w:t>，能够完全满足采购人采购需求</w:t>
            </w:r>
            <w:r>
              <w:rPr>
                <w:rFonts w:hint="eastAsia" w:ascii="宋体" w:hAnsi="宋体" w:eastAsia="宋体" w:cs="宋体"/>
                <w:b w:val="0"/>
                <w:bCs w:val="0"/>
                <w:color w:val="auto"/>
                <w:kern w:val="0"/>
                <w:szCs w:val="21"/>
                <w:highlight w:val="none"/>
                <w:lang w:val="en-US" w:eastAsia="zh-CN"/>
              </w:rPr>
              <w:t>的</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每项得</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分，共</w:t>
            </w:r>
            <w:r>
              <w:rPr>
                <w:rFonts w:hint="eastAsia" w:ascii="宋体" w:hAnsi="宋体" w:cs="宋体"/>
                <w:b w:val="0"/>
                <w:bCs w:val="0"/>
                <w:color w:val="auto"/>
                <w:kern w:val="0"/>
                <w:szCs w:val="21"/>
                <w:highlight w:val="none"/>
                <w:lang w:val="en-US" w:eastAsia="zh-CN"/>
              </w:rPr>
              <w:t>12</w:t>
            </w:r>
            <w:r>
              <w:rPr>
                <w:rFonts w:hint="eastAsia" w:ascii="宋体" w:hAnsi="宋体" w:eastAsia="宋体" w:cs="宋体"/>
                <w:b w:val="0"/>
                <w:bCs w:val="0"/>
                <w:color w:val="auto"/>
                <w:kern w:val="0"/>
                <w:szCs w:val="21"/>
                <w:highlight w:val="none"/>
                <w:lang w:val="en-US" w:eastAsia="zh-CN"/>
              </w:rPr>
              <w:t>分；否则评委根据以下原则对每项内容进行扣分，扣完为止。</w:t>
            </w:r>
          </w:p>
          <w:p w14:paraId="51DDD5A5">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①无内容或内容表述与本项目无关或不相符的每项扣</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w:t>
            </w:r>
          </w:p>
          <w:p w14:paraId="03579850">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②对实际情况表述不明确不完整，内容过于简略不足以支撑项目的每项扣</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分；</w:t>
            </w:r>
          </w:p>
          <w:p w14:paraId="76584A2F">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③内容与项目联系不紧密、描述不具体的每项扣</w:t>
            </w:r>
            <w:r>
              <w:rPr>
                <w:rFonts w:hint="eastAsia" w:ascii="宋体" w:hAnsi="宋体" w:cs="宋体"/>
                <w:b w:val="0"/>
                <w:bCs w:val="0"/>
                <w:color w:val="auto"/>
                <w:kern w:val="0"/>
                <w:szCs w:val="21"/>
                <w:highlight w:val="none"/>
                <w:lang w:val="en-US" w:eastAsia="zh-CN"/>
              </w:rPr>
              <w:t>0.5</w:t>
            </w:r>
            <w:r>
              <w:rPr>
                <w:rFonts w:hint="eastAsia" w:ascii="宋体" w:hAnsi="宋体" w:eastAsia="宋体" w:cs="宋体"/>
                <w:b w:val="0"/>
                <w:bCs w:val="0"/>
                <w:color w:val="auto"/>
                <w:kern w:val="0"/>
                <w:szCs w:val="21"/>
                <w:highlight w:val="none"/>
                <w:lang w:val="en-US" w:eastAsia="zh-CN"/>
              </w:rPr>
              <w:t>分。</w:t>
            </w:r>
          </w:p>
          <w:p w14:paraId="2401460B">
            <w:pPr>
              <w:numPr>
                <w:ilvl w:val="0"/>
                <w:numId w:val="0"/>
              </w:num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kern w:val="0"/>
                <w:szCs w:val="21"/>
                <w:highlight w:val="none"/>
                <w:lang w:val="en-US" w:eastAsia="zh-CN"/>
              </w:rPr>
              <w:t>2.2、</w:t>
            </w:r>
            <w:r>
              <w:rPr>
                <w:rFonts w:hint="eastAsia" w:ascii="宋体" w:hAnsi="宋体" w:eastAsia="宋体" w:cs="宋体"/>
                <w:b/>
                <w:bCs/>
                <w:color w:val="auto"/>
                <w:highlight w:val="none"/>
                <w:lang w:val="en-US" w:eastAsia="zh-CN"/>
              </w:rPr>
              <w:t>生态安全风险监测设备实施方案评审（满分</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分）</w:t>
            </w:r>
          </w:p>
          <w:p w14:paraId="203EBA40">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color w:val="auto"/>
                <w:highlight w:val="none"/>
                <w:lang w:val="en-US" w:eastAsia="zh-CN"/>
              </w:rPr>
              <w:t>生态安全风险监测设备实施方案</w:t>
            </w:r>
            <w:r>
              <w:rPr>
                <w:rFonts w:hint="eastAsia" w:ascii="宋体" w:hAnsi="宋体" w:eastAsia="宋体" w:cs="宋体"/>
                <w:b w:val="0"/>
                <w:bCs w:val="0"/>
                <w:color w:val="auto"/>
                <w:kern w:val="0"/>
                <w:szCs w:val="21"/>
                <w:highlight w:val="none"/>
                <w:lang w:val="en-US" w:eastAsia="zh-CN"/>
              </w:rPr>
              <w:t>包括但不限于：</w:t>
            </w:r>
          </w:p>
          <w:p w14:paraId="77EA17F2">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w:t>
            </w:r>
            <w:r>
              <w:rPr>
                <w:rFonts w:hint="eastAsia" w:ascii="宋体" w:hAnsi="宋体" w:eastAsia="宋体" w:cs="宋体"/>
                <w:color w:val="auto"/>
                <w:highlight w:val="none"/>
                <w:lang w:val="en-US" w:eastAsia="zh-CN"/>
              </w:rPr>
              <w:t>设备安装方案</w:t>
            </w:r>
            <w:r>
              <w:rPr>
                <w:rFonts w:hint="eastAsia" w:ascii="宋体" w:hAnsi="宋体" w:cs="宋体"/>
                <w:b w:val="0"/>
                <w:bCs w:val="0"/>
                <w:color w:val="auto"/>
                <w:kern w:val="0"/>
                <w:szCs w:val="21"/>
                <w:highlight w:val="none"/>
                <w:lang w:val="en-US" w:eastAsia="zh-CN"/>
              </w:rPr>
              <w:t>；</w:t>
            </w:r>
          </w:p>
          <w:p w14:paraId="19F18C29">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设备调试方案</w:t>
            </w:r>
            <w:r>
              <w:rPr>
                <w:rFonts w:hint="eastAsia" w:ascii="宋体" w:hAnsi="宋体" w:cs="宋体"/>
                <w:b w:val="0"/>
                <w:bCs w:val="0"/>
                <w:color w:val="auto"/>
                <w:kern w:val="0"/>
                <w:szCs w:val="21"/>
                <w:highlight w:val="none"/>
                <w:lang w:val="en-US" w:eastAsia="zh-CN"/>
              </w:rPr>
              <w:t>；</w:t>
            </w:r>
          </w:p>
          <w:p w14:paraId="7D29842C">
            <w:pPr>
              <w:numPr>
                <w:ilvl w:val="0"/>
                <w:numId w:val="0"/>
              </w:numPr>
              <w:spacing w:line="360" w:lineRule="auto"/>
              <w:ind w:leftChars="0"/>
              <w:rPr>
                <w:rFonts w:hint="default"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（3）系统试运行方案。</w:t>
            </w:r>
          </w:p>
          <w:p w14:paraId="069D0877">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以上</w:t>
            </w:r>
            <w:r>
              <w:rPr>
                <w:rFonts w:hint="eastAsia" w:ascii="宋体" w:hAnsi="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lang w:val="en-US" w:eastAsia="zh-CN"/>
              </w:rPr>
              <w:t>项内容表述详尽，思路清晰</w:t>
            </w:r>
            <w:r>
              <w:rPr>
                <w:rFonts w:hint="eastAsia" w:ascii="宋体" w:hAnsi="宋体" w:cs="宋体"/>
                <w:b w:val="0"/>
                <w:bCs w:val="0"/>
                <w:color w:val="auto"/>
                <w:kern w:val="0"/>
                <w:szCs w:val="21"/>
                <w:highlight w:val="none"/>
                <w:lang w:val="en-US" w:eastAsia="zh-CN"/>
              </w:rPr>
              <w:t>，能够完全满足采购人采购需求</w:t>
            </w:r>
            <w:r>
              <w:rPr>
                <w:rFonts w:hint="eastAsia" w:ascii="宋体" w:hAnsi="宋体" w:eastAsia="宋体" w:cs="宋体"/>
                <w:b w:val="0"/>
                <w:bCs w:val="0"/>
                <w:color w:val="auto"/>
                <w:kern w:val="0"/>
                <w:szCs w:val="21"/>
                <w:highlight w:val="none"/>
                <w:lang w:val="en-US" w:eastAsia="zh-CN"/>
              </w:rPr>
              <w:t>的</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每项得</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分，共</w:t>
            </w:r>
            <w:r>
              <w:rPr>
                <w:rFonts w:hint="eastAsia" w:ascii="宋体" w:hAnsi="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lang w:val="en-US" w:eastAsia="zh-CN"/>
              </w:rPr>
              <w:t>分；否则评委根据以下原则对每项内容进行扣分，扣完为止。</w:t>
            </w:r>
          </w:p>
          <w:p w14:paraId="1FE207F8">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①无内容或内容表述与本项目无关或不相符的每项扣</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分；</w:t>
            </w:r>
          </w:p>
          <w:p w14:paraId="3D3058C3">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②对实际情况表述不明确不完整，内容过于简略不足以支撑项目的每项扣</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w:t>
            </w:r>
          </w:p>
          <w:p w14:paraId="27758EBF">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③内容与项目联系不紧密、描述不具体的每项扣</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分。</w:t>
            </w:r>
          </w:p>
          <w:p w14:paraId="56B1B180">
            <w:pPr>
              <w:numPr>
                <w:ilvl w:val="0"/>
                <w:numId w:val="0"/>
              </w:numPr>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2.3、</w:t>
            </w:r>
            <w:r>
              <w:rPr>
                <w:rFonts w:hint="eastAsia" w:ascii="宋体" w:hAnsi="宋体" w:eastAsia="宋体" w:cs="宋体"/>
                <w:b/>
                <w:bCs/>
                <w:color w:val="auto"/>
                <w:highlight w:val="none"/>
                <w:lang w:val="en-US" w:eastAsia="zh-CN"/>
              </w:rPr>
              <w:t>监测预警平台开发服务方案</w:t>
            </w:r>
            <w:r>
              <w:rPr>
                <w:rFonts w:hint="eastAsia" w:ascii="宋体" w:hAnsi="宋体" w:eastAsia="宋体" w:cs="宋体"/>
                <w:b/>
                <w:bCs/>
                <w:color w:val="auto"/>
                <w:kern w:val="0"/>
                <w:szCs w:val="21"/>
                <w:highlight w:val="none"/>
                <w:lang w:val="en-US" w:eastAsia="zh-CN"/>
              </w:rPr>
              <w:t>（满分</w:t>
            </w:r>
            <w:r>
              <w:rPr>
                <w:rFonts w:hint="eastAsia" w:ascii="宋体" w:hAnsi="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lang w:val="en-US" w:eastAsia="zh-CN"/>
              </w:rPr>
              <w:t>分）</w:t>
            </w:r>
          </w:p>
          <w:p w14:paraId="6D353199">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color w:val="auto"/>
                <w:highlight w:val="none"/>
                <w:lang w:val="en-US" w:eastAsia="zh-CN"/>
              </w:rPr>
              <w:t>监测预警平台开发服务方案</w:t>
            </w:r>
            <w:r>
              <w:rPr>
                <w:rFonts w:hint="eastAsia" w:ascii="宋体" w:hAnsi="宋体" w:eastAsia="宋体" w:cs="宋体"/>
                <w:b w:val="0"/>
                <w:bCs w:val="0"/>
                <w:color w:val="auto"/>
                <w:kern w:val="0"/>
                <w:szCs w:val="21"/>
                <w:highlight w:val="none"/>
                <w:lang w:val="en-US" w:eastAsia="zh-CN"/>
              </w:rPr>
              <w:t>包括但不限于：</w:t>
            </w:r>
          </w:p>
          <w:p w14:paraId="27D946D7">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w:t>
            </w:r>
            <w:r>
              <w:rPr>
                <w:rFonts w:hint="eastAsia" w:ascii="宋体" w:hAnsi="宋体" w:eastAsia="宋体" w:cs="宋体"/>
                <w:color w:val="auto"/>
                <w:highlight w:val="none"/>
                <w:lang w:val="en-US" w:eastAsia="zh-CN"/>
              </w:rPr>
              <w:t>需求分析</w:t>
            </w:r>
            <w:r>
              <w:rPr>
                <w:rFonts w:hint="eastAsia" w:ascii="宋体" w:hAnsi="宋体" w:cs="宋体"/>
                <w:b w:val="0"/>
                <w:bCs w:val="0"/>
                <w:color w:val="auto"/>
                <w:kern w:val="0"/>
                <w:szCs w:val="21"/>
                <w:highlight w:val="none"/>
                <w:lang w:val="en-US" w:eastAsia="zh-CN"/>
              </w:rPr>
              <w:t>；</w:t>
            </w:r>
          </w:p>
          <w:p w14:paraId="564CDA53">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color w:val="auto"/>
                <w:highlight w:val="none"/>
                <w:lang w:val="en-US" w:eastAsia="zh-CN"/>
              </w:rPr>
              <w:t>平台功能模块设计</w:t>
            </w:r>
            <w:r>
              <w:rPr>
                <w:rFonts w:hint="eastAsia" w:ascii="宋体" w:hAnsi="宋体" w:cs="宋体"/>
                <w:b w:val="0"/>
                <w:bCs w:val="0"/>
                <w:color w:val="auto"/>
                <w:kern w:val="0"/>
                <w:szCs w:val="21"/>
                <w:highlight w:val="none"/>
                <w:lang w:val="en-US" w:eastAsia="zh-CN"/>
              </w:rPr>
              <w:t>；</w:t>
            </w:r>
          </w:p>
          <w:p w14:paraId="74AEDACC">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（3）</w:t>
            </w:r>
            <w:r>
              <w:rPr>
                <w:rFonts w:hint="eastAsia" w:ascii="宋体" w:hAnsi="宋体" w:eastAsia="宋体" w:cs="宋体"/>
                <w:color w:val="auto"/>
                <w:highlight w:val="none"/>
                <w:lang w:val="en-US" w:eastAsia="zh-CN"/>
              </w:rPr>
              <w:t>数据建设与融合</w:t>
            </w:r>
            <w:r>
              <w:rPr>
                <w:rFonts w:hint="eastAsia" w:ascii="宋体" w:hAnsi="宋体" w:cs="宋体"/>
                <w:b w:val="0"/>
                <w:bCs w:val="0"/>
                <w:color w:val="auto"/>
                <w:kern w:val="0"/>
                <w:szCs w:val="21"/>
                <w:highlight w:val="none"/>
                <w:lang w:val="en-US" w:eastAsia="zh-CN"/>
              </w:rPr>
              <w:t>；</w:t>
            </w:r>
          </w:p>
          <w:p w14:paraId="5468E2B6">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cs="宋体"/>
                <w:b w:val="0"/>
                <w:bCs w:val="0"/>
                <w:color w:val="auto"/>
                <w:kern w:val="0"/>
                <w:szCs w:val="21"/>
                <w:highlight w:val="none"/>
                <w:lang w:val="en-US" w:eastAsia="zh-CN"/>
              </w:rPr>
              <w:t>（4）</w:t>
            </w:r>
            <w:r>
              <w:rPr>
                <w:rFonts w:hint="eastAsia" w:ascii="宋体" w:hAnsi="宋体" w:eastAsia="宋体" w:cs="宋体"/>
                <w:color w:val="auto"/>
                <w:highlight w:val="none"/>
                <w:lang w:val="en-US" w:eastAsia="zh-CN"/>
              </w:rPr>
              <w:t>硬件与集成；</w:t>
            </w:r>
          </w:p>
          <w:p w14:paraId="642CD236">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（5）接口与对接；</w:t>
            </w:r>
          </w:p>
          <w:p w14:paraId="59284562">
            <w:pPr>
              <w:numPr>
                <w:ilvl w:val="0"/>
                <w:numId w:val="0"/>
              </w:numPr>
              <w:spacing w:line="360" w:lineRule="auto"/>
              <w:ind w:left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（6）质量保障与安全服务。</w:t>
            </w:r>
          </w:p>
          <w:p w14:paraId="24ED3289">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以上</w:t>
            </w:r>
            <w:r>
              <w:rPr>
                <w:rFonts w:hint="eastAsia" w:ascii="宋体" w:hAnsi="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lang w:val="en-US" w:eastAsia="zh-CN"/>
              </w:rPr>
              <w:t>项内容表述详尽，思路清晰</w:t>
            </w:r>
            <w:r>
              <w:rPr>
                <w:rFonts w:hint="eastAsia" w:ascii="宋体" w:hAnsi="宋体" w:cs="宋体"/>
                <w:b w:val="0"/>
                <w:bCs w:val="0"/>
                <w:color w:val="auto"/>
                <w:kern w:val="0"/>
                <w:szCs w:val="21"/>
                <w:highlight w:val="none"/>
                <w:lang w:val="en-US" w:eastAsia="zh-CN"/>
              </w:rPr>
              <w:t>，能够完全满足采购人采购需求</w:t>
            </w:r>
            <w:r>
              <w:rPr>
                <w:rFonts w:hint="eastAsia" w:ascii="宋体" w:hAnsi="宋体" w:eastAsia="宋体" w:cs="宋体"/>
                <w:b w:val="0"/>
                <w:bCs w:val="0"/>
                <w:color w:val="auto"/>
                <w:kern w:val="0"/>
                <w:szCs w:val="21"/>
                <w:highlight w:val="none"/>
                <w:lang w:val="en-US" w:eastAsia="zh-CN"/>
              </w:rPr>
              <w:t>的</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每项得</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分，共</w:t>
            </w:r>
            <w:r>
              <w:rPr>
                <w:rFonts w:hint="eastAsia" w:ascii="宋体" w:hAnsi="宋体" w:cs="宋体"/>
                <w:b w:val="0"/>
                <w:bCs w:val="0"/>
                <w:color w:val="auto"/>
                <w:kern w:val="0"/>
                <w:szCs w:val="21"/>
                <w:highlight w:val="none"/>
                <w:lang w:val="en-US" w:eastAsia="zh-CN"/>
              </w:rPr>
              <w:t>9</w:t>
            </w:r>
            <w:r>
              <w:rPr>
                <w:rFonts w:hint="eastAsia" w:ascii="宋体" w:hAnsi="宋体" w:eastAsia="宋体" w:cs="宋体"/>
                <w:b w:val="0"/>
                <w:bCs w:val="0"/>
                <w:color w:val="auto"/>
                <w:kern w:val="0"/>
                <w:szCs w:val="21"/>
                <w:highlight w:val="none"/>
                <w:lang w:val="en-US" w:eastAsia="zh-CN"/>
              </w:rPr>
              <w:t>分；否则评委根据以下原则对每项内容进行扣分，扣完为止。</w:t>
            </w:r>
          </w:p>
          <w:p w14:paraId="56BB4838">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①无内容或内容表述与本项目无关或不相符的每项扣</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w:t>
            </w:r>
          </w:p>
          <w:p w14:paraId="6A3F9D5C">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②对实际情况表述不明确不完整，内容过于简略不足以支撑项目的每项扣</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分；</w:t>
            </w:r>
          </w:p>
          <w:p w14:paraId="0A9F53DB">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③内容与项目联系不紧密、描述不具体的每项扣</w:t>
            </w:r>
            <w:r>
              <w:rPr>
                <w:rFonts w:hint="eastAsia" w:ascii="宋体" w:hAnsi="宋体" w:cs="宋体"/>
                <w:b w:val="0"/>
                <w:bCs w:val="0"/>
                <w:color w:val="auto"/>
                <w:kern w:val="0"/>
                <w:szCs w:val="21"/>
                <w:highlight w:val="none"/>
                <w:lang w:val="en-US" w:eastAsia="zh-CN"/>
              </w:rPr>
              <w:t>0.5</w:t>
            </w:r>
            <w:r>
              <w:rPr>
                <w:rFonts w:hint="eastAsia" w:ascii="宋体" w:hAnsi="宋体" w:eastAsia="宋体" w:cs="宋体"/>
                <w:b w:val="0"/>
                <w:bCs w:val="0"/>
                <w:color w:val="auto"/>
                <w:kern w:val="0"/>
                <w:szCs w:val="21"/>
                <w:highlight w:val="none"/>
                <w:lang w:val="en-US" w:eastAsia="zh-CN"/>
              </w:rPr>
              <w:t>分。</w:t>
            </w:r>
          </w:p>
          <w:p w14:paraId="58143624">
            <w:pPr>
              <w:numPr>
                <w:ilvl w:val="0"/>
                <w:numId w:val="0"/>
              </w:numPr>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2.4、</w:t>
            </w:r>
            <w:r>
              <w:rPr>
                <w:rFonts w:hint="eastAsia" w:ascii="宋体" w:hAnsi="宋体" w:cs="宋体"/>
                <w:b/>
                <w:bCs/>
                <w:color w:val="auto"/>
                <w:kern w:val="0"/>
                <w:szCs w:val="21"/>
                <w:highlight w:val="none"/>
                <w:lang w:val="en-US" w:eastAsia="zh-CN"/>
              </w:rPr>
              <w:t>项目运维服务方案评审</w:t>
            </w:r>
            <w:r>
              <w:rPr>
                <w:rFonts w:hint="eastAsia" w:ascii="宋体" w:hAnsi="宋体" w:eastAsia="宋体" w:cs="宋体"/>
                <w:b/>
                <w:bCs/>
                <w:color w:val="auto"/>
                <w:kern w:val="0"/>
                <w:szCs w:val="21"/>
                <w:highlight w:val="none"/>
                <w:lang w:val="en-US" w:eastAsia="zh-CN"/>
              </w:rPr>
              <w:t>（满分</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分）</w:t>
            </w:r>
          </w:p>
          <w:p w14:paraId="65AA61A8">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项目运维服务方案</w:t>
            </w:r>
            <w:r>
              <w:rPr>
                <w:rFonts w:hint="eastAsia" w:ascii="宋体" w:hAnsi="宋体" w:eastAsia="宋体" w:cs="宋体"/>
                <w:b w:val="0"/>
                <w:bCs w:val="0"/>
                <w:color w:val="auto"/>
                <w:kern w:val="0"/>
                <w:szCs w:val="21"/>
                <w:highlight w:val="none"/>
                <w:lang w:val="en-US" w:eastAsia="zh-CN"/>
              </w:rPr>
              <w:t>包括但不限于：</w:t>
            </w:r>
          </w:p>
          <w:p w14:paraId="3FD81C22">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w:t>
            </w:r>
            <w:r>
              <w:rPr>
                <w:rFonts w:hint="eastAsia" w:ascii="宋体" w:hAnsi="宋体" w:eastAsia="宋体" w:cs="宋体"/>
                <w:color w:val="auto"/>
                <w:highlight w:val="none"/>
                <w:lang w:val="en-US" w:eastAsia="zh-CN"/>
              </w:rPr>
              <w:t>日常运维管理</w:t>
            </w:r>
            <w:r>
              <w:rPr>
                <w:rFonts w:hint="eastAsia" w:ascii="宋体" w:hAnsi="宋体" w:cs="宋体"/>
                <w:b w:val="0"/>
                <w:bCs w:val="0"/>
                <w:color w:val="auto"/>
                <w:kern w:val="0"/>
                <w:szCs w:val="21"/>
                <w:highlight w:val="none"/>
                <w:lang w:val="en-US" w:eastAsia="zh-CN"/>
              </w:rPr>
              <w:t>；</w:t>
            </w:r>
          </w:p>
          <w:p w14:paraId="0305896C">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color w:val="auto"/>
                <w:highlight w:val="none"/>
                <w:lang w:val="en-US" w:eastAsia="zh-CN"/>
              </w:rPr>
              <w:t>备件与物资管理</w:t>
            </w:r>
            <w:r>
              <w:rPr>
                <w:rFonts w:hint="eastAsia" w:ascii="宋体" w:hAnsi="宋体" w:cs="宋体"/>
                <w:b w:val="0"/>
                <w:bCs w:val="0"/>
                <w:color w:val="auto"/>
                <w:kern w:val="0"/>
                <w:szCs w:val="21"/>
                <w:highlight w:val="none"/>
                <w:lang w:val="en-US" w:eastAsia="zh-CN"/>
              </w:rPr>
              <w:t>；</w:t>
            </w:r>
          </w:p>
          <w:p w14:paraId="7B9B3007">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cs="宋体"/>
                <w:b w:val="0"/>
                <w:bCs w:val="0"/>
                <w:color w:val="auto"/>
                <w:kern w:val="0"/>
                <w:szCs w:val="21"/>
                <w:highlight w:val="none"/>
                <w:lang w:val="en-US" w:eastAsia="zh-CN"/>
              </w:rPr>
              <w:t>（3）</w:t>
            </w:r>
            <w:r>
              <w:rPr>
                <w:rFonts w:hint="eastAsia" w:ascii="宋体" w:hAnsi="宋体" w:eastAsia="宋体" w:cs="宋体"/>
                <w:color w:val="auto"/>
                <w:highlight w:val="none"/>
                <w:lang w:val="en-US" w:eastAsia="zh-CN"/>
              </w:rPr>
              <w:t>安全与环保运维；</w:t>
            </w:r>
          </w:p>
          <w:p w14:paraId="7B71EB76">
            <w:pPr>
              <w:numPr>
                <w:ilvl w:val="0"/>
                <w:numId w:val="0"/>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）软件更新服务。</w:t>
            </w:r>
          </w:p>
          <w:p w14:paraId="16E2CBB7">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以上</w:t>
            </w:r>
            <w:r>
              <w:rPr>
                <w:rFonts w:hint="eastAsia" w:ascii="宋体" w:hAnsi="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lang w:val="en-US" w:eastAsia="zh-CN"/>
              </w:rPr>
              <w:t>项内容表述详尽，思路清晰</w:t>
            </w:r>
            <w:r>
              <w:rPr>
                <w:rFonts w:hint="eastAsia" w:ascii="宋体" w:hAnsi="宋体" w:cs="宋体"/>
                <w:b w:val="0"/>
                <w:bCs w:val="0"/>
                <w:color w:val="auto"/>
                <w:kern w:val="0"/>
                <w:szCs w:val="21"/>
                <w:highlight w:val="none"/>
                <w:lang w:val="en-US" w:eastAsia="zh-CN"/>
              </w:rPr>
              <w:t>，能够完全满足采购人采购需求</w:t>
            </w:r>
            <w:r>
              <w:rPr>
                <w:rFonts w:hint="eastAsia" w:ascii="宋体" w:hAnsi="宋体" w:eastAsia="宋体" w:cs="宋体"/>
                <w:b w:val="0"/>
                <w:bCs w:val="0"/>
                <w:color w:val="auto"/>
                <w:kern w:val="0"/>
                <w:szCs w:val="21"/>
                <w:highlight w:val="none"/>
                <w:lang w:val="en-US" w:eastAsia="zh-CN"/>
              </w:rPr>
              <w:t>的</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每项得</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分，共</w:t>
            </w:r>
            <w:r>
              <w:rPr>
                <w:rFonts w:hint="eastAsia" w:ascii="宋体" w:hAnsi="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lang w:val="en-US" w:eastAsia="zh-CN"/>
              </w:rPr>
              <w:t>分；否则评委根据以下原则对每项内容进行扣分，扣完为止。</w:t>
            </w:r>
          </w:p>
          <w:p w14:paraId="2D0D54A9">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①无内容或内容表述与本项目无关或不相符的每项扣</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w:t>
            </w:r>
          </w:p>
          <w:p w14:paraId="1061BC24">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②对实际情况表述不明确不完整，内容过于简略不足以支撑项目的每项扣</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分；</w:t>
            </w:r>
          </w:p>
          <w:p w14:paraId="150BA122">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③内容与项目联系不紧密、描述不具体的每项扣</w:t>
            </w:r>
            <w:r>
              <w:rPr>
                <w:rFonts w:hint="eastAsia" w:ascii="宋体" w:hAnsi="宋体" w:cs="宋体"/>
                <w:b w:val="0"/>
                <w:bCs w:val="0"/>
                <w:color w:val="auto"/>
                <w:kern w:val="0"/>
                <w:szCs w:val="21"/>
                <w:highlight w:val="none"/>
                <w:lang w:val="en-US" w:eastAsia="zh-CN"/>
              </w:rPr>
              <w:t>0.5</w:t>
            </w:r>
            <w:r>
              <w:rPr>
                <w:rFonts w:hint="eastAsia" w:ascii="宋体" w:hAnsi="宋体" w:eastAsia="宋体" w:cs="宋体"/>
                <w:b w:val="0"/>
                <w:bCs w:val="0"/>
                <w:color w:val="auto"/>
                <w:kern w:val="0"/>
                <w:szCs w:val="21"/>
                <w:highlight w:val="none"/>
                <w:lang w:val="en-US" w:eastAsia="zh-CN"/>
              </w:rPr>
              <w:t>分。</w:t>
            </w:r>
          </w:p>
          <w:p w14:paraId="1C6D31B7">
            <w:pPr>
              <w:numPr>
                <w:ilvl w:val="0"/>
                <w:numId w:val="0"/>
              </w:numPr>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2.5、售后服务方案</w:t>
            </w:r>
            <w:r>
              <w:rPr>
                <w:rFonts w:hint="eastAsia" w:ascii="宋体" w:hAnsi="宋体" w:cs="宋体"/>
                <w:b/>
                <w:bCs/>
                <w:color w:val="auto"/>
                <w:kern w:val="0"/>
                <w:szCs w:val="21"/>
                <w:highlight w:val="none"/>
                <w:lang w:val="en-US" w:eastAsia="zh-CN"/>
              </w:rPr>
              <w:t>评审</w:t>
            </w:r>
            <w:r>
              <w:rPr>
                <w:rFonts w:hint="eastAsia" w:ascii="宋体" w:hAnsi="宋体" w:eastAsia="宋体" w:cs="宋体"/>
                <w:b/>
                <w:bCs/>
                <w:color w:val="auto"/>
                <w:kern w:val="0"/>
                <w:szCs w:val="21"/>
                <w:highlight w:val="none"/>
                <w:lang w:val="en-US" w:eastAsia="zh-CN"/>
              </w:rPr>
              <w:t>（满分</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分）</w:t>
            </w:r>
          </w:p>
          <w:p w14:paraId="0C2C15B2">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售后服务方案包括但不限于：</w:t>
            </w:r>
          </w:p>
          <w:p w14:paraId="6CC42C54">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w:t>
            </w:r>
            <w:r>
              <w:rPr>
                <w:rFonts w:hint="eastAsia" w:ascii="宋体" w:hAnsi="宋体" w:eastAsia="宋体" w:cs="宋体"/>
                <w:color w:val="auto"/>
                <w:highlight w:val="none"/>
                <w:lang w:val="en-US" w:eastAsia="zh-CN"/>
              </w:rPr>
              <w:t>售后服务体系</w:t>
            </w:r>
            <w:r>
              <w:rPr>
                <w:rFonts w:hint="eastAsia" w:ascii="宋体" w:hAnsi="宋体" w:cs="宋体"/>
                <w:b w:val="0"/>
                <w:bCs w:val="0"/>
                <w:color w:val="auto"/>
                <w:kern w:val="0"/>
                <w:szCs w:val="21"/>
                <w:highlight w:val="none"/>
                <w:lang w:val="en-US" w:eastAsia="zh-CN"/>
              </w:rPr>
              <w:t>；</w:t>
            </w:r>
          </w:p>
          <w:p w14:paraId="483A3E0B">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color w:val="auto"/>
                <w:highlight w:val="none"/>
                <w:lang w:val="en-US" w:eastAsia="zh-CN"/>
              </w:rPr>
              <w:t>售后服务承诺及措施</w:t>
            </w:r>
            <w:r>
              <w:rPr>
                <w:rFonts w:hint="eastAsia" w:ascii="宋体" w:hAnsi="宋体" w:cs="宋体"/>
                <w:b w:val="0"/>
                <w:bCs w:val="0"/>
                <w:color w:val="auto"/>
                <w:kern w:val="0"/>
                <w:szCs w:val="21"/>
                <w:highlight w:val="none"/>
                <w:lang w:val="en-US" w:eastAsia="zh-CN"/>
              </w:rPr>
              <w:t>；</w:t>
            </w:r>
          </w:p>
          <w:p w14:paraId="2F118DB9">
            <w:pPr>
              <w:numPr>
                <w:ilvl w:val="0"/>
                <w:numId w:val="0"/>
              </w:numPr>
              <w:spacing w:line="360" w:lineRule="auto"/>
              <w:ind w:leftChars="0"/>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（3）</w:t>
            </w:r>
            <w:r>
              <w:rPr>
                <w:rFonts w:hint="eastAsia" w:ascii="宋体" w:hAnsi="宋体" w:eastAsia="宋体" w:cs="宋体"/>
                <w:color w:val="auto"/>
                <w:highlight w:val="none"/>
                <w:lang w:val="en-US" w:eastAsia="zh-CN"/>
              </w:rPr>
              <w:t>人员培训方案</w:t>
            </w:r>
            <w:r>
              <w:rPr>
                <w:rFonts w:hint="eastAsia" w:ascii="宋体" w:hAnsi="宋体" w:cs="宋体"/>
                <w:b w:val="0"/>
                <w:bCs w:val="0"/>
                <w:color w:val="auto"/>
                <w:kern w:val="0"/>
                <w:szCs w:val="21"/>
                <w:highlight w:val="none"/>
                <w:lang w:val="en-US" w:eastAsia="zh-CN"/>
              </w:rPr>
              <w:t>；</w:t>
            </w:r>
          </w:p>
          <w:p w14:paraId="008FEE8D">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cs="宋体"/>
                <w:b w:val="0"/>
                <w:bCs w:val="0"/>
                <w:color w:val="auto"/>
                <w:kern w:val="0"/>
                <w:szCs w:val="21"/>
                <w:highlight w:val="none"/>
                <w:lang w:val="en-US" w:eastAsia="zh-CN"/>
              </w:rPr>
              <w:t>（4）</w:t>
            </w:r>
            <w:r>
              <w:rPr>
                <w:rFonts w:hint="eastAsia" w:ascii="宋体" w:hAnsi="宋体" w:eastAsia="宋体" w:cs="宋体"/>
                <w:color w:val="auto"/>
                <w:highlight w:val="none"/>
                <w:lang w:val="en-US" w:eastAsia="zh-CN"/>
              </w:rPr>
              <w:t>违约责任承诺。</w:t>
            </w:r>
          </w:p>
          <w:p w14:paraId="0BB277E9">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以上</w:t>
            </w:r>
            <w:r>
              <w:rPr>
                <w:rFonts w:hint="eastAsia" w:ascii="宋体" w:hAnsi="宋体" w:cs="宋体"/>
                <w:b w:val="0"/>
                <w:bCs w:val="0"/>
                <w:color w:val="auto"/>
                <w:kern w:val="0"/>
                <w:szCs w:val="21"/>
                <w:highlight w:val="none"/>
                <w:lang w:val="en-US" w:eastAsia="zh-CN"/>
              </w:rPr>
              <w:t>4</w:t>
            </w:r>
            <w:r>
              <w:rPr>
                <w:rFonts w:hint="eastAsia" w:ascii="宋体" w:hAnsi="宋体" w:eastAsia="宋体" w:cs="宋体"/>
                <w:b w:val="0"/>
                <w:bCs w:val="0"/>
                <w:color w:val="auto"/>
                <w:kern w:val="0"/>
                <w:szCs w:val="21"/>
                <w:highlight w:val="none"/>
                <w:lang w:val="en-US" w:eastAsia="zh-CN"/>
              </w:rPr>
              <w:t>项内容表述详尽，思路清晰</w:t>
            </w:r>
            <w:r>
              <w:rPr>
                <w:rFonts w:hint="eastAsia" w:ascii="宋体" w:hAnsi="宋体" w:cs="宋体"/>
                <w:b w:val="0"/>
                <w:bCs w:val="0"/>
                <w:color w:val="auto"/>
                <w:kern w:val="0"/>
                <w:szCs w:val="21"/>
                <w:highlight w:val="none"/>
                <w:lang w:val="en-US" w:eastAsia="zh-CN"/>
              </w:rPr>
              <w:t>，能够完全满足采购人采购需求</w:t>
            </w:r>
            <w:r>
              <w:rPr>
                <w:rFonts w:hint="eastAsia" w:ascii="宋体" w:hAnsi="宋体" w:eastAsia="宋体" w:cs="宋体"/>
                <w:b w:val="0"/>
                <w:bCs w:val="0"/>
                <w:color w:val="auto"/>
                <w:kern w:val="0"/>
                <w:szCs w:val="21"/>
                <w:highlight w:val="none"/>
                <w:lang w:val="en-US" w:eastAsia="zh-CN"/>
              </w:rPr>
              <w:t>的</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每项得</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分，共</w:t>
            </w:r>
            <w:r>
              <w:rPr>
                <w:rFonts w:hint="eastAsia" w:ascii="宋体" w:hAnsi="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lang w:val="en-US" w:eastAsia="zh-CN"/>
              </w:rPr>
              <w:t>分；否则评委根据以下原则对每项内容进行扣分，扣完为止。</w:t>
            </w:r>
          </w:p>
          <w:p w14:paraId="295C51D9">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①无内容或内容表述与本项目无关或不相符的每项扣</w:t>
            </w:r>
            <w:r>
              <w:rPr>
                <w:rFonts w:hint="eastAsia" w:ascii="宋体" w:hAnsi="宋体" w:cs="宋体"/>
                <w:b w:val="0"/>
                <w:bCs w:val="0"/>
                <w:color w:val="auto"/>
                <w:kern w:val="0"/>
                <w:szCs w:val="21"/>
                <w:highlight w:val="none"/>
                <w:lang w:val="en-US" w:eastAsia="zh-CN"/>
              </w:rPr>
              <w:t>1.5</w:t>
            </w:r>
            <w:r>
              <w:rPr>
                <w:rFonts w:hint="eastAsia" w:ascii="宋体" w:hAnsi="宋体" w:eastAsia="宋体" w:cs="宋体"/>
                <w:b w:val="0"/>
                <w:bCs w:val="0"/>
                <w:color w:val="auto"/>
                <w:kern w:val="0"/>
                <w:szCs w:val="21"/>
                <w:highlight w:val="none"/>
                <w:lang w:val="en-US" w:eastAsia="zh-CN"/>
              </w:rPr>
              <w:t>分；</w:t>
            </w:r>
          </w:p>
          <w:p w14:paraId="7AA1318C">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②对实际情况表述不明确不完整，内容过于简略不足以支撑项目的每项扣</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分；</w:t>
            </w:r>
          </w:p>
          <w:p w14:paraId="149F429E">
            <w:pPr>
              <w:numPr>
                <w:ilvl w:val="0"/>
                <w:numId w:val="0"/>
              </w:numPr>
              <w:spacing w:line="360" w:lineRule="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③内容与项目联系不紧密、描述不具体的每项扣</w:t>
            </w:r>
            <w:r>
              <w:rPr>
                <w:rFonts w:hint="eastAsia" w:ascii="宋体" w:hAnsi="宋体" w:cs="宋体"/>
                <w:b w:val="0"/>
                <w:bCs w:val="0"/>
                <w:color w:val="auto"/>
                <w:kern w:val="0"/>
                <w:szCs w:val="21"/>
                <w:highlight w:val="none"/>
                <w:lang w:val="en-US" w:eastAsia="zh-CN"/>
              </w:rPr>
              <w:t>0.5</w:t>
            </w:r>
            <w:r>
              <w:rPr>
                <w:rFonts w:hint="eastAsia" w:ascii="宋体" w:hAnsi="宋体" w:eastAsia="宋体" w:cs="宋体"/>
                <w:b w:val="0"/>
                <w:bCs w:val="0"/>
                <w:color w:val="auto"/>
                <w:kern w:val="0"/>
                <w:szCs w:val="21"/>
                <w:highlight w:val="none"/>
                <w:lang w:val="en-US" w:eastAsia="zh-CN"/>
              </w:rPr>
              <w:t>分。</w:t>
            </w:r>
          </w:p>
          <w:p w14:paraId="07EAD6AB">
            <w:pPr>
              <w:numPr>
                <w:ilvl w:val="0"/>
                <w:numId w:val="0"/>
              </w:num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3、技术参数评审（满分10分）</w:t>
            </w:r>
          </w:p>
          <w:p w14:paraId="68B2F0A3">
            <w:pPr>
              <w:numPr>
                <w:ilvl w:val="0"/>
                <w:numId w:val="0"/>
              </w:numPr>
              <w:spacing w:line="360" w:lineRule="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根据投标文件对招标文件技术指标的响应程度进行评分：</w:t>
            </w:r>
          </w:p>
          <w:p w14:paraId="0F1BC795">
            <w:pPr>
              <w:numPr>
                <w:ilvl w:val="0"/>
                <w:numId w:val="0"/>
              </w:numPr>
              <w:spacing w:line="360" w:lineRule="auto"/>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招标文件第五章“采购需求”的技术要求中共计</w:t>
            </w:r>
            <w:r>
              <w:rPr>
                <w:rFonts w:hint="eastAsia" w:ascii="宋体" w:hAnsi="宋体" w:cs="宋体"/>
                <w:b w:val="0"/>
                <w:bCs w:val="0"/>
                <w:color w:val="auto"/>
                <w:szCs w:val="21"/>
                <w:highlight w:val="none"/>
                <w:lang w:val="en-US" w:eastAsia="zh-CN"/>
              </w:rPr>
              <w:t>10</w:t>
            </w:r>
            <w:r>
              <w:rPr>
                <w:rFonts w:hint="default" w:ascii="宋体" w:hAnsi="宋体" w:cs="宋体"/>
                <w:b w:val="0"/>
                <w:bCs w:val="0"/>
                <w:color w:val="auto"/>
                <w:szCs w:val="21"/>
                <w:highlight w:val="none"/>
                <w:lang w:val="en-US" w:eastAsia="zh-CN"/>
              </w:rPr>
              <w:t>项产品，标注“▲”的为核心技术参数，共计</w:t>
            </w:r>
            <w:r>
              <w:rPr>
                <w:rFonts w:hint="eastAsia" w:ascii="宋体" w:hAnsi="宋体" w:cs="宋体"/>
                <w:b w:val="0"/>
                <w:bCs w:val="0"/>
                <w:color w:val="auto"/>
                <w:szCs w:val="21"/>
                <w:highlight w:val="none"/>
                <w:lang w:val="en-US" w:eastAsia="zh-CN"/>
              </w:rPr>
              <w:t>8</w:t>
            </w:r>
            <w:r>
              <w:rPr>
                <w:rFonts w:hint="default" w:ascii="宋体" w:hAnsi="宋体" w:cs="宋体"/>
                <w:b w:val="0"/>
                <w:bCs w:val="0"/>
                <w:color w:val="auto"/>
                <w:szCs w:val="21"/>
                <w:highlight w:val="none"/>
                <w:lang w:val="en-US" w:eastAsia="zh-CN"/>
              </w:rPr>
              <w:t>项“▲”技术参数，每出现1项“▲”技术参数不满足招标文件要求的，扣</w:t>
            </w:r>
            <w:r>
              <w:rPr>
                <w:rFonts w:hint="eastAsia" w:ascii="宋体" w:hAnsi="宋体" w:cs="宋体"/>
                <w:b w:val="0"/>
                <w:bCs w:val="0"/>
                <w:color w:val="auto"/>
                <w:szCs w:val="21"/>
                <w:highlight w:val="none"/>
                <w:lang w:val="en-US" w:eastAsia="zh-CN"/>
              </w:rPr>
              <w:t>0.5</w:t>
            </w:r>
            <w:r>
              <w:rPr>
                <w:rFonts w:hint="default" w:ascii="宋体" w:hAnsi="宋体" w:cs="宋体"/>
                <w:b w:val="0"/>
                <w:bCs w:val="0"/>
                <w:color w:val="auto"/>
                <w:szCs w:val="21"/>
                <w:highlight w:val="none"/>
                <w:lang w:val="en-US" w:eastAsia="zh-CN"/>
              </w:rPr>
              <w:t>分，扣完为止；非“▲”技术参数全部满足招标文件要求得</w:t>
            </w:r>
            <w:r>
              <w:rPr>
                <w:rFonts w:hint="eastAsia" w:ascii="宋体" w:hAnsi="宋体" w:cs="宋体"/>
                <w:b w:val="0"/>
                <w:bCs w:val="0"/>
                <w:color w:val="auto"/>
                <w:szCs w:val="21"/>
                <w:highlight w:val="none"/>
                <w:lang w:val="en-US" w:eastAsia="zh-CN"/>
              </w:rPr>
              <w:t>6</w:t>
            </w:r>
            <w:r>
              <w:rPr>
                <w:rFonts w:hint="default" w:ascii="宋体" w:hAnsi="宋体" w:cs="宋体"/>
                <w:b w:val="0"/>
                <w:bCs w:val="0"/>
                <w:color w:val="auto"/>
                <w:szCs w:val="21"/>
                <w:highlight w:val="none"/>
                <w:lang w:val="en-US" w:eastAsia="zh-CN"/>
              </w:rPr>
              <w:t>分，每出现1项不满足招标文件要求的扣</w:t>
            </w:r>
            <w:r>
              <w:rPr>
                <w:rFonts w:hint="eastAsia" w:ascii="宋体" w:hAnsi="宋体" w:cs="宋体"/>
                <w:b w:val="0"/>
                <w:bCs w:val="0"/>
                <w:color w:val="auto"/>
                <w:szCs w:val="21"/>
                <w:highlight w:val="none"/>
                <w:lang w:val="en-US" w:eastAsia="zh-CN"/>
              </w:rPr>
              <w:t>0.1</w:t>
            </w:r>
            <w:r>
              <w:rPr>
                <w:rFonts w:hint="default" w:ascii="宋体" w:hAnsi="宋体" w:cs="宋体"/>
                <w:b w:val="0"/>
                <w:bCs w:val="0"/>
                <w:color w:val="auto"/>
                <w:szCs w:val="21"/>
                <w:highlight w:val="none"/>
                <w:lang w:val="en-US" w:eastAsia="zh-CN"/>
              </w:rPr>
              <w:t>分，扣完为止。</w:t>
            </w:r>
          </w:p>
          <w:p w14:paraId="2412D021">
            <w:pPr>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、项目团队人员配备（</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p w14:paraId="0B48CD46">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en-US" w:eastAsia="zh-CN"/>
              </w:rPr>
              <w:t>.1、项目负责人</w:t>
            </w:r>
            <w:r>
              <w:rPr>
                <w:rFonts w:hint="eastAsia" w:ascii="宋体" w:hAnsi="宋体" w:cs="宋体"/>
                <w:b/>
                <w:bCs/>
                <w:color w:val="auto"/>
                <w:kern w:val="0"/>
                <w:szCs w:val="21"/>
                <w:highlight w:val="none"/>
                <w:lang w:val="en-US" w:eastAsia="zh-CN"/>
              </w:rPr>
              <w:t>评审</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分</w:t>
            </w:r>
            <w:r>
              <w:rPr>
                <w:rFonts w:hint="eastAsia" w:ascii="宋体" w:hAnsi="宋体" w:eastAsia="宋体" w:cs="宋体"/>
                <w:b/>
                <w:bCs/>
                <w:color w:val="auto"/>
                <w:kern w:val="0"/>
                <w:szCs w:val="21"/>
                <w:highlight w:val="none"/>
                <w:lang w:eastAsia="zh-CN"/>
              </w:rPr>
              <w:t>）</w:t>
            </w:r>
          </w:p>
          <w:p w14:paraId="489ED79C">
            <w:pPr>
              <w:widowControl/>
              <w:numPr>
                <w:ilvl w:val="0"/>
                <w:numId w:val="0"/>
              </w:numPr>
              <w:spacing w:line="360" w:lineRule="auto"/>
              <w:rPr>
                <w:rFonts w:hint="eastAsia" w:ascii="宋体" w:hAnsi="宋体" w:cs="宋体"/>
                <w:color w:val="auto"/>
                <w:kern w:val="0"/>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①</w:t>
            </w:r>
            <w:r>
              <w:rPr>
                <w:rFonts w:hint="eastAsia" w:ascii="宋体" w:hAnsi="宋体" w:eastAsia="宋体" w:cs="宋体"/>
                <w:color w:val="auto"/>
                <w:kern w:val="0"/>
                <w:szCs w:val="21"/>
                <w:highlight w:val="none"/>
                <w:lang w:val="en-US" w:eastAsia="zh-CN"/>
              </w:rPr>
              <w:t>项目负责人具备</w:t>
            </w:r>
            <w:r>
              <w:rPr>
                <w:rFonts w:hint="eastAsia" w:ascii="宋体" w:hAnsi="宋体" w:eastAsia="宋体" w:cs="宋体"/>
                <w:color w:val="auto"/>
                <w:sz w:val="21"/>
                <w:szCs w:val="21"/>
                <w:highlight w:val="none"/>
              </w:rPr>
              <w:t>具备生态环境</w:t>
            </w:r>
            <w:r>
              <w:rPr>
                <w:rFonts w:hint="eastAsia" w:ascii="宋体" w:hAnsi="宋体" w:cs="宋体"/>
                <w:color w:val="auto"/>
                <w:sz w:val="21"/>
                <w:szCs w:val="21"/>
                <w:highlight w:val="none"/>
                <w:lang w:val="en-US" w:eastAsia="zh-CN"/>
              </w:rPr>
              <w:t>相关专业或信息化相关专业</w:t>
            </w:r>
            <w:r>
              <w:rPr>
                <w:rFonts w:hint="eastAsia" w:ascii="宋体" w:hAnsi="宋体" w:eastAsia="宋体" w:cs="宋体"/>
                <w:color w:val="auto"/>
                <w:sz w:val="21"/>
                <w:szCs w:val="21"/>
                <w:highlight w:val="none"/>
              </w:rPr>
              <w:t>高级职称</w:t>
            </w:r>
            <w:r>
              <w:rPr>
                <w:rFonts w:hint="eastAsia" w:ascii="宋体" w:hAnsi="宋体" w:cs="宋体"/>
                <w:color w:val="auto"/>
                <w:sz w:val="21"/>
                <w:szCs w:val="21"/>
                <w:highlight w:val="none"/>
                <w:lang w:val="en-US" w:eastAsia="zh-CN"/>
              </w:rPr>
              <w:t>或同等高级认证证书</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正高级职称得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分；具备副高级职称得</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w:t>
            </w:r>
            <w:r>
              <w:rPr>
                <w:rFonts w:hint="eastAsia" w:ascii="宋体" w:hAnsi="宋体" w:cs="宋体"/>
                <w:color w:val="auto"/>
                <w:kern w:val="0"/>
                <w:szCs w:val="21"/>
                <w:highlight w:val="none"/>
                <w:lang w:val="en-US" w:eastAsia="zh-CN"/>
              </w:rPr>
              <w:t>，满分2分；</w:t>
            </w:r>
          </w:p>
          <w:p w14:paraId="731CB7F1">
            <w:pPr>
              <w:widowControl/>
              <w:numPr>
                <w:ilvl w:val="0"/>
                <w:numId w:val="0"/>
              </w:numPr>
              <w:spacing w:line="360" w:lineRule="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②项目负责人具有5年以上类似项目管理</w:t>
            </w:r>
            <w:r>
              <w:rPr>
                <w:rFonts w:hint="eastAsia" w:ascii="宋体" w:hAnsi="宋体" w:cs="宋体"/>
                <w:color w:val="auto"/>
                <w:kern w:val="0"/>
                <w:szCs w:val="21"/>
                <w:highlight w:val="none"/>
                <w:lang w:val="en-US" w:eastAsia="zh-CN"/>
              </w:rPr>
              <w:t>实施</w:t>
            </w:r>
            <w:r>
              <w:rPr>
                <w:rFonts w:hint="default" w:ascii="宋体" w:hAnsi="宋体" w:cs="宋体"/>
                <w:color w:val="auto"/>
                <w:kern w:val="0"/>
                <w:szCs w:val="21"/>
                <w:highlight w:val="none"/>
                <w:lang w:val="en-US" w:eastAsia="zh-CN"/>
              </w:rPr>
              <w:t>经验，每提供1个</w:t>
            </w:r>
            <w:r>
              <w:rPr>
                <w:rFonts w:hint="eastAsia" w:ascii="宋体" w:hAnsi="宋体" w:cs="宋体"/>
                <w:color w:val="auto"/>
                <w:kern w:val="0"/>
                <w:szCs w:val="21"/>
                <w:highlight w:val="none"/>
                <w:lang w:val="en-US" w:eastAsia="zh-CN"/>
              </w:rPr>
              <w:t>证明材料</w:t>
            </w:r>
            <w:r>
              <w:rPr>
                <w:rFonts w:hint="default" w:ascii="宋体" w:hAnsi="宋体" w:cs="宋体"/>
                <w:color w:val="auto"/>
                <w:kern w:val="0"/>
                <w:szCs w:val="21"/>
                <w:highlight w:val="none"/>
                <w:lang w:val="en-US" w:eastAsia="zh-CN"/>
              </w:rPr>
              <w:t>得2分，满分4分。</w:t>
            </w:r>
          </w:p>
          <w:p w14:paraId="42FA4FA5">
            <w:pPr>
              <w:widowControl/>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szCs w:val="21"/>
                <w:highlight w:val="none"/>
              </w:rPr>
              <w:t>投标文件中须提供《项目负责人简历表》及相对应的人员证明材料，证明材料为身份证、职称证书</w:t>
            </w:r>
            <w:r>
              <w:rPr>
                <w:rFonts w:hint="eastAsia" w:ascii="宋体" w:hAnsi="宋体" w:cs="宋体"/>
                <w:color w:val="auto"/>
                <w:szCs w:val="22"/>
                <w:highlight w:val="none"/>
              </w:rPr>
              <w:t>或资格证（如有）</w:t>
            </w:r>
            <w:r>
              <w:rPr>
                <w:rFonts w:hint="eastAsia" w:ascii="宋体" w:hAnsi="宋体" w:cs="宋体"/>
                <w:color w:val="auto"/>
                <w:szCs w:val="21"/>
                <w:highlight w:val="none"/>
              </w:rPr>
              <w:t>、社保缴纳证明</w:t>
            </w:r>
            <w:r>
              <w:rPr>
                <w:rFonts w:hint="eastAsia" w:ascii="宋体" w:hAnsi="宋体" w:eastAsia="宋体" w:cs="宋体"/>
                <w:color w:val="auto"/>
                <w:szCs w:val="21"/>
                <w:highlight w:val="none"/>
              </w:rPr>
              <w:t>（证明配备人员为投标人本单位在职人员）</w:t>
            </w:r>
            <w:r>
              <w:rPr>
                <w:rFonts w:hint="eastAsia" w:ascii="宋体" w:hAnsi="宋体" w:cs="宋体"/>
                <w:color w:val="auto"/>
                <w:szCs w:val="21"/>
                <w:highlight w:val="none"/>
              </w:rPr>
              <w:t>、业绩证明材料</w:t>
            </w:r>
            <w:r>
              <w:rPr>
                <w:rFonts w:hint="eastAsia" w:ascii="宋体" w:hAnsi="宋体" w:cs="宋体"/>
                <w:color w:val="auto"/>
                <w:szCs w:val="21"/>
                <w:highlight w:val="none"/>
                <w:lang w:val="en-US" w:eastAsia="zh-CN"/>
              </w:rPr>
              <w:t>中能体现项目负责人</w:t>
            </w:r>
            <w:r>
              <w:rPr>
                <w:rFonts w:hint="default" w:ascii="宋体" w:hAnsi="宋体" w:cs="宋体"/>
                <w:color w:val="auto"/>
                <w:kern w:val="0"/>
                <w:szCs w:val="21"/>
                <w:highlight w:val="none"/>
                <w:lang w:val="en-US" w:eastAsia="zh-CN"/>
              </w:rPr>
              <w:t>具有5年以上类似项目管理</w:t>
            </w:r>
            <w:r>
              <w:rPr>
                <w:rFonts w:hint="eastAsia" w:ascii="宋体" w:hAnsi="宋体" w:cs="宋体"/>
                <w:color w:val="auto"/>
                <w:kern w:val="0"/>
                <w:szCs w:val="21"/>
                <w:highlight w:val="none"/>
                <w:lang w:val="en-US" w:eastAsia="zh-CN"/>
              </w:rPr>
              <w:t>实施</w:t>
            </w:r>
            <w:r>
              <w:rPr>
                <w:rFonts w:hint="default" w:ascii="宋体" w:hAnsi="宋体" w:cs="宋体"/>
                <w:color w:val="auto"/>
                <w:kern w:val="0"/>
                <w:szCs w:val="21"/>
                <w:highlight w:val="none"/>
                <w:lang w:val="en-US" w:eastAsia="zh-CN"/>
              </w:rPr>
              <w:t>经验</w:t>
            </w:r>
            <w:r>
              <w:rPr>
                <w:rFonts w:hint="eastAsia" w:ascii="宋体" w:hAnsi="宋体" w:cs="宋体"/>
                <w:color w:val="auto"/>
                <w:kern w:val="0"/>
                <w:szCs w:val="21"/>
                <w:highlight w:val="none"/>
                <w:lang w:val="en-US" w:eastAsia="zh-CN"/>
              </w:rPr>
              <w:t>，提供</w:t>
            </w:r>
            <w:r>
              <w:rPr>
                <w:rFonts w:hint="eastAsia" w:ascii="宋体" w:hAnsi="宋体" w:cs="宋体"/>
                <w:color w:val="auto"/>
                <w:szCs w:val="21"/>
                <w:highlight w:val="none"/>
              </w:rPr>
              <w:t>投标人与甲方签订的合同或甲方出具的加盖公章的其他委托证明，证明材料上需体现对应人员姓名（如合同无法体现项目负责人名字的应提供相关证明文件或声明函）。无证明材料或未按要求提供证明材料或证明材料无法体现相应内容的，不予认可</w:t>
            </w:r>
            <w:r>
              <w:rPr>
                <w:rFonts w:hint="eastAsia" w:ascii="宋体" w:hAnsi="宋体" w:cs="宋体"/>
                <w:color w:val="auto"/>
                <w:szCs w:val="22"/>
                <w:highlight w:val="none"/>
              </w:rPr>
              <w:t>。</w:t>
            </w:r>
          </w:p>
          <w:p w14:paraId="3E4F32E9">
            <w:pPr>
              <w:widowControl/>
              <w:spacing w:line="360" w:lineRule="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4.2、</w:t>
            </w:r>
            <w:r>
              <w:rPr>
                <w:rFonts w:hint="eastAsia" w:ascii="宋体" w:hAnsi="宋体" w:cs="宋体"/>
                <w:b/>
                <w:bCs/>
                <w:color w:val="auto"/>
                <w:szCs w:val="22"/>
                <w:highlight w:val="none"/>
              </w:rPr>
              <w:t>项目团队技术人员配置方案</w:t>
            </w:r>
            <w:r>
              <w:rPr>
                <w:rFonts w:hint="eastAsia" w:ascii="宋体" w:hAnsi="宋体" w:cs="宋体"/>
                <w:b/>
                <w:bCs/>
                <w:color w:val="auto"/>
                <w:szCs w:val="22"/>
                <w:highlight w:val="none"/>
                <w:lang w:eastAsia="zh-CN"/>
              </w:rPr>
              <w:t>评审</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p w14:paraId="5FEB6A72">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投标人拟投入本项目</w:t>
            </w:r>
            <w:r>
              <w:rPr>
                <w:rFonts w:hint="eastAsia" w:ascii="宋体" w:hAnsi="宋体" w:cs="宋体"/>
                <w:color w:val="auto"/>
                <w:szCs w:val="21"/>
                <w:highlight w:val="none"/>
              </w:rPr>
              <w:t>具有</w:t>
            </w:r>
            <w:r>
              <w:rPr>
                <w:rFonts w:hint="eastAsia" w:ascii="宋体" w:hAnsi="宋体" w:eastAsia="宋体" w:cs="宋体"/>
                <w:color w:val="auto"/>
                <w:sz w:val="21"/>
                <w:szCs w:val="21"/>
                <w:highlight w:val="none"/>
              </w:rPr>
              <w:t>生态环境</w:t>
            </w:r>
            <w:r>
              <w:rPr>
                <w:rFonts w:hint="eastAsia" w:ascii="宋体" w:hAnsi="宋体" w:cs="宋体"/>
                <w:color w:val="auto"/>
                <w:sz w:val="21"/>
                <w:szCs w:val="21"/>
                <w:highlight w:val="none"/>
                <w:lang w:val="en-US" w:eastAsia="zh-CN"/>
              </w:rPr>
              <w:t>相关专业或信息化相关专业中</w:t>
            </w:r>
            <w:r>
              <w:rPr>
                <w:rFonts w:hint="eastAsia" w:ascii="宋体" w:hAnsi="宋体" w:eastAsia="宋体" w:cs="宋体"/>
                <w:color w:val="auto"/>
                <w:sz w:val="21"/>
                <w:szCs w:val="21"/>
                <w:highlight w:val="none"/>
              </w:rPr>
              <w:t>级职称</w:t>
            </w:r>
            <w:r>
              <w:rPr>
                <w:rFonts w:hint="eastAsia" w:ascii="宋体" w:hAnsi="宋体" w:cs="宋体"/>
                <w:color w:val="auto"/>
                <w:sz w:val="21"/>
                <w:szCs w:val="21"/>
                <w:highlight w:val="none"/>
                <w:lang w:val="en-US" w:eastAsia="zh-CN"/>
              </w:rPr>
              <w:t>或同等中级认证证书</w:t>
            </w:r>
            <w:r>
              <w:rPr>
                <w:rFonts w:hint="eastAsia" w:ascii="宋体" w:hAnsi="宋体" w:cs="宋体"/>
                <w:color w:val="auto"/>
                <w:szCs w:val="21"/>
                <w:highlight w:val="none"/>
              </w:rPr>
              <w:t>及以上职称人数不少于</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人的，得基础分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分；每增加1位具有</w:t>
            </w:r>
            <w:r>
              <w:rPr>
                <w:rFonts w:hint="eastAsia" w:ascii="宋体" w:hAnsi="宋体" w:eastAsia="宋体" w:cs="宋体"/>
                <w:color w:val="auto"/>
                <w:sz w:val="21"/>
                <w:szCs w:val="21"/>
                <w:highlight w:val="none"/>
              </w:rPr>
              <w:t>生态环境</w:t>
            </w:r>
            <w:r>
              <w:rPr>
                <w:rFonts w:hint="eastAsia" w:ascii="宋体" w:hAnsi="宋体" w:cs="宋体"/>
                <w:color w:val="auto"/>
                <w:sz w:val="21"/>
                <w:szCs w:val="21"/>
                <w:highlight w:val="none"/>
                <w:lang w:val="en-US" w:eastAsia="zh-CN"/>
              </w:rPr>
              <w:t>相关专业或信息化相关专业</w:t>
            </w:r>
            <w:r>
              <w:rPr>
                <w:rFonts w:hint="eastAsia" w:ascii="宋体" w:hAnsi="宋体" w:eastAsia="宋体" w:cs="宋体"/>
                <w:color w:val="auto"/>
                <w:sz w:val="21"/>
                <w:szCs w:val="21"/>
                <w:highlight w:val="none"/>
              </w:rPr>
              <w:t>高级职称</w:t>
            </w:r>
            <w:r>
              <w:rPr>
                <w:rFonts w:hint="eastAsia" w:ascii="宋体" w:hAnsi="宋体" w:cs="宋体"/>
                <w:color w:val="auto"/>
                <w:sz w:val="21"/>
                <w:szCs w:val="21"/>
                <w:highlight w:val="none"/>
                <w:lang w:val="en-US" w:eastAsia="zh-CN"/>
              </w:rPr>
              <w:t>或同等高级认证证书及</w:t>
            </w:r>
            <w:r>
              <w:rPr>
                <w:rFonts w:hint="eastAsia" w:ascii="宋体" w:hAnsi="宋体" w:cs="宋体"/>
                <w:color w:val="auto"/>
                <w:szCs w:val="21"/>
                <w:highlight w:val="none"/>
              </w:rPr>
              <w:t>以上职称的加1分，最多加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72F7E9ED">
            <w:pPr>
              <w:widowControl/>
              <w:spacing w:line="360" w:lineRule="auto"/>
              <w:rPr>
                <w:rFonts w:hint="eastAsia" w:ascii="宋体" w:hAnsi="宋体" w:eastAsia="宋体" w:cs="宋体"/>
                <w:color w:val="auto"/>
                <w:kern w:val="0"/>
                <w:szCs w:val="21"/>
                <w:highlight w:val="none"/>
              </w:rPr>
            </w:pPr>
            <w:r>
              <w:rPr>
                <w:rFonts w:hint="eastAsia" w:ascii="宋体" w:hAnsi="宋体" w:cs="宋体"/>
                <w:bCs/>
                <w:color w:val="auto"/>
                <w:szCs w:val="21"/>
                <w:highlight w:val="none"/>
              </w:rPr>
              <w:t>注：投标文件中须提供《项目团队技术人员配置情况表》及相对应的人员证明材料，证明材料为身份证、职称证书或资格证（如有）、社保缴纳证明</w:t>
            </w:r>
            <w:r>
              <w:rPr>
                <w:rFonts w:hint="eastAsia" w:ascii="宋体" w:hAnsi="宋体" w:eastAsia="宋体" w:cs="宋体"/>
                <w:color w:val="auto"/>
                <w:szCs w:val="21"/>
                <w:highlight w:val="none"/>
              </w:rPr>
              <w:t>（证明配备人员为投标人本单位在职人员）</w:t>
            </w:r>
            <w:r>
              <w:rPr>
                <w:rFonts w:hint="eastAsia" w:ascii="宋体" w:hAnsi="宋体" w:cs="宋体"/>
                <w:bCs/>
                <w:color w:val="auto"/>
                <w:szCs w:val="21"/>
                <w:highlight w:val="none"/>
              </w:rPr>
              <w:t>。无证明材料或未按要求提供证明材料或证明材料无法体现相应内容的，不予认可。</w:t>
            </w:r>
          </w:p>
          <w:p w14:paraId="6B5093C0">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5.节能、环保产品评分（满分1分）</w:t>
            </w:r>
          </w:p>
          <w:p w14:paraId="09B845A4">
            <w:pPr>
              <w:widowControl/>
              <w:spacing w:line="360" w:lineRule="auto"/>
              <w:rPr>
                <w:rFonts w:hint="default" w:eastAsia="宋体"/>
                <w:color w:val="auto"/>
                <w:highlight w:val="none"/>
                <w:lang w:val="en-US" w:eastAsia="zh-CN"/>
              </w:rPr>
            </w:pPr>
            <w:r>
              <w:rPr>
                <w:rFonts w:hint="eastAsia" w:ascii="宋体" w:hAnsi="宋体" w:eastAsia="宋体" w:cs="宋体"/>
                <w:b w:val="0"/>
                <w:bCs w:val="0"/>
                <w:color w:val="auto"/>
                <w:kern w:val="0"/>
                <w:szCs w:val="21"/>
                <w:highlight w:val="none"/>
                <w:lang w:val="en-US" w:eastAsia="zh-CN"/>
              </w:rPr>
              <w:t>投标产品认定为节能产品（非政府强制采购节能产品）的得0.5分，环保产品的得0.5分。</w:t>
            </w:r>
          </w:p>
        </w:tc>
      </w:tr>
      <w:tr w14:paraId="520D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547" w:hRule="atLeast"/>
          <w:jc w:val="center"/>
        </w:trPr>
        <w:tc>
          <w:tcPr>
            <w:tcW w:w="971" w:type="dxa"/>
            <w:vMerge w:val="continue"/>
            <w:noWrap w:val="0"/>
            <w:tcMar>
              <w:top w:w="0" w:type="dxa"/>
              <w:left w:w="108" w:type="dxa"/>
              <w:bottom w:w="0" w:type="dxa"/>
              <w:right w:w="108" w:type="dxa"/>
            </w:tcMar>
            <w:vAlign w:val="center"/>
          </w:tcPr>
          <w:p w14:paraId="2021A32E">
            <w:pPr>
              <w:spacing w:line="360" w:lineRule="auto"/>
              <w:jc w:val="center"/>
              <w:rPr>
                <w:rFonts w:hint="eastAsia" w:ascii="宋体" w:hAnsi="宋体" w:eastAsia="宋体" w:cs="宋体"/>
                <w:color w:val="auto"/>
                <w:szCs w:val="21"/>
                <w:highlight w:val="none"/>
              </w:rPr>
            </w:pPr>
          </w:p>
        </w:tc>
        <w:tc>
          <w:tcPr>
            <w:tcW w:w="1276" w:type="dxa"/>
            <w:vMerge w:val="continue"/>
            <w:noWrap w:val="0"/>
            <w:tcMar>
              <w:top w:w="0" w:type="dxa"/>
              <w:left w:w="108" w:type="dxa"/>
              <w:bottom w:w="0" w:type="dxa"/>
              <w:right w:w="108" w:type="dxa"/>
            </w:tcMar>
            <w:vAlign w:val="center"/>
          </w:tcPr>
          <w:p w14:paraId="41CC0EB0">
            <w:pPr>
              <w:spacing w:line="360" w:lineRule="auto"/>
              <w:rPr>
                <w:rFonts w:hint="eastAsia" w:ascii="宋体" w:hAnsi="宋体" w:eastAsia="宋体" w:cs="宋体"/>
                <w:color w:val="auto"/>
                <w:szCs w:val="21"/>
                <w:highlight w:val="none"/>
              </w:rPr>
            </w:pPr>
          </w:p>
        </w:tc>
        <w:tc>
          <w:tcPr>
            <w:tcW w:w="2233" w:type="dxa"/>
            <w:gridSpan w:val="2"/>
            <w:noWrap w:val="0"/>
            <w:tcMar>
              <w:top w:w="0" w:type="dxa"/>
              <w:left w:w="108" w:type="dxa"/>
              <w:bottom w:w="0" w:type="dxa"/>
              <w:right w:w="108" w:type="dxa"/>
            </w:tcMar>
            <w:vAlign w:val="center"/>
          </w:tcPr>
          <w:p w14:paraId="50D835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5、商务部分</w:t>
            </w:r>
          </w:p>
          <w:p w14:paraId="5BA4A4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评审F3</w:t>
            </w:r>
          </w:p>
          <w:p w14:paraId="691115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892" w:type="dxa"/>
            <w:noWrap w:val="0"/>
            <w:tcMar>
              <w:top w:w="0" w:type="dxa"/>
              <w:left w:w="108" w:type="dxa"/>
              <w:bottom w:w="0" w:type="dxa"/>
              <w:right w:w="108" w:type="dxa"/>
            </w:tcMar>
            <w:vAlign w:val="center"/>
          </w:tcPr>
          <w:p w14:paraId="6065786B">
            <w:pPr>
              <w:pStyle w:val="43"/>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类似项目实施经验（满分</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分）</w:t>
            </w:r>
          </w:p>
          <w:p w14:paraId="66B886A0">
            <w:pPr>
              <w:pStyle w:val="43"/>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供应商提供20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年1月1日至今承担过类似项目实施经验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含正在履约业绩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的证明材料</w:t>
            </w:r>
            <w:r>
              <w:rPr>
                <w:rFonts w:hint="eastAsia" w:ascii="宋体" w:hAnsi="宋体" w:eastAsia="宋体" w:cs="宋体"/>
                <w:color w:val="auto"/>
                <w:szCs w:val="21"/>
                <w:highlight w:val="none"/>
              </w:rPr>
              <w:t>，每提供1项得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69AF0976">
            <w:pPr>
              <w:rPr>
                <w:color w:val="auto"/>
                <w:highlight w:val="none"/>
              </w:rPr>
            </w:pPr>
          </w:p>
          <w:p w14:paraId="348AD622">
            <w:pPr>
              <w:pStyle w:val="43"/>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类似项目实施经验</w:t>
            </w:r>
            <w:r>
              <w:rPr>
                <w:rFonts w:hint="eastAsia" w:ascii="宋体" w:hAnsi="宋体" w:eastAsia="宋体" w:cs="宋体"/>
                <w:color w:val="auto"/>
                <w:szCs w:val="21"/>
                <w:highlight w:val="none"/>
              </w:rPr>
              <w:t>证明材料为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生态环境保护类、生态环境监测类、信息化平台建设类等项目业绩的</w:t>
            </w:r>
            <w:r>
              <w:rPr>
                <w:rFonts w:hint="eastAsia" w:ascii="宋体" w:hAnsi="宋体" w:eastAsia="宋体" w:cs="宋体"/>
                <w:color w:val="auto"/>
                <w:szCs w:val="21"/>
                <w:highlight w:val="none"/>
              </w:rPr>
              <w:t>中标（成交）通知书或合同（合同首页、标的及金额所在页及合同签字盖章页的</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，证明材料</w:t>
            </w:r>
            <w:r>
              <w:rPr>
                <w:rFonts w:hint="eastAsia" w:ascii="宋体" w:hAnsi="宋体" w:eastAsia="宋体" w:cs="宋体"/>
                <w:color w:val="auto"/>
                <w:szCs w:val="21"/>
                <w:highlight w:val="none"/>
                <w:lang w:val="en-US" w:eastAsia="zh-CN"/>
              </w:rPr>
              <w:t>内容不全、</w:t>
            </w:r>
            <w:r>
              <w:rPr>
                <w:rFonts w:hint="eastAsia" w:ascii="宋体" w:hAnsi="宋体" w:eastAsia="宋体" w:cs="宋体"/>
                <w:color w:val="auto"/>
                <w:szCs w:val="21"/>
                <w:highlight w:val="none"/>
                <w:lang w:eastAsia="zh-CN"/>
              </w:rPr>
              <w:t>模糊不清无法辨认的视为未提供，则该项不得分</w:t>
            </w:r>
            <w:r>
              <w:rPr>
                <w:rFonts w:hint="eastAsia" w:ascii="宋体" w:hAnsi="宋体" w:eastAsia="宋体" w:cs="宋体"/>
                <w:color w:val="auto"/>
                <w:szCs w:val="21"/>
                <w:highlight w:val="none"/>
              </w:rPr>
              <w:t>。</w:t>
            </w:r>
          </w:p>
        </w:tc>
      </w:tr>
    </w:tbl>
    <w:p w14:paraId="5FCB4A77">
      <w:pPr>
        <w:snapToGrid w:val="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C8571A7">
      <w:pPr>
        <w:pStyle w:val="18"/>
        <w:tabs>
          <w:tab w:val="left" w:pos="2472"/>
        </w:tabs>
        <w:snapToGrid w:val="0"/>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1.评标方法：</w:t>
      </w:r>
    </w:p>
    <w:p w14:paraId="6C821C42">
      <w:pPr>
        <w:pStyle w:val="19"/>
        <w:tabs>
          <w:tab w:val="left" w:pos="540"/>
        </w:tabs>
        <w:adjustRightInd w:val="0"/>
        <w:snapToGrid w:val="0"/>
        <w:spacing w:after="0" w:line="360" w:lineRule="auto"/>
        <w:ind w:left="0" w:left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1.1本次评标采用综合评分法。</w:t>
      </w:r>
      <w:r>
        <w:rPr>
          <w:rFonts w:hint="eastAsia" w:ascii="宋体" w:hAnsi="宋体" w:eastAsia="宋体" w:cs="宋体"/>
          <w:color w:val="auto"/>
          <w:sz w:val="24"/>
          <w:highlight w:val="none"/>
        </w:rPr>
        <w:t>评标委员会对</w:t>
      </w:r>
      <w:r>
        <w:rPr>
          <w:rFonts w:hint="eastAsia" w:ascii="宋体" w:hAnsi="宋体" w:eastAsia="宋体" w:cs="宋体"/>
          <w:color w:val="auto"/>
          <w:kern w:val="0"/>
          <w:sz w:val="24"/>
          <w:highlight w:val="none"/>
        </w:rPr>
        <w:t>满足招标文件全部实质性要求（即通过资格性评审及符合性评审）的投标文件</w:t>
      </w:r>
      <w:r>
        <w:rPr>
          <w:rFonts w:hint="eastAsia" w:ascii="宋体" w:hAnsi="宋体" w:eastAsia="宋体" w:cs="宋体"/>
          <w:color w:val="auto"/>
          <w:sz w:val="24"/>
          <w:highlight w:val="none"/>
        </w:rPr>
        <w:t>，按照本章前附表规定的评分标准进行打分，并按评标总得分计算公式计算评标总得分，按总得分由高到低的顺序推荐3名中标候选人；评标总得分相等时，</w:t>
      </w:r>
      <w:r>
        <w:rPr>
          <w:rFonts w:hint="eastAsia" w:ascii="宋体" w:hAnsi="宋体" w:eastAsia="宋体" w:cs="宋体"/>
          <w:color w:val="auto"/>
          <w:kern w:val="0"/>
          <w:sz w:val="24"/>
          <w:highlight w:val="none"/>
        </w:rPr>
        <w:t>评标委员会将依次按价格低优先、技术部分得分高优先、商务部分得分高优先的顺序推荐；所有得分均相等的，按优先采购监狱企业、残疾人福利性单位、劳动关系和谐企业、新兴业态企业的产品和服务的原则推荐中标候选人，所有得分均相等且政府采购政策条件也相等的，按主要服务方案好优先、服务质量承诺及保证措施好优先的顺序推荐中标候选人，</w:t>
      </w:r>
      <w:r>
        <w:rPr>
          <w:rFonts w:hint="eastAsia" w:ascii="宋体" w:hAnsi="宋体" w:eastAsia="宋体" w:cs="宋体"/>
          <w:color w:val="auto"/>
          <w:sz w:val="24"/>
          <w:highlight w:val="none"/>
        </w:rPr>
        <w:t>并提出书面评标报告</w:t>
      </w:r>
      <w:r>
        <w:rPr>
          <w:rFonts w:hint="eastAsia" w:ascii="宋体" w:hAnsi="宋体" w:eastAsia="宋体" w:cs="宋体"/>
          <w:color w:val="auto"/>
          <w:kern w:val="0"/>
          <w:sz w:val="24"/>
          <w:highlight w:val="none"/>
        </w:rPr>
        <w:t>。</w:t>
      </w:r>
    </w:p>
    <w:p w14:paraId="7BD6F7A7">
      <w:pPr>
        <w:pStyle w:val="19"/>
        <w:tabs>
          <w:tab w:val="left" w:pos="540"/>
        </w:tabs>
        <w:adjustRightInd w:val="0"/>
        <w:snapToGrid w:val="0"/>
        <w:spacing w:after="0" w:line="360" w:lineRule="auto"/>
        <w:ind w:left="0" w:leftChars="0"/>
        <w:outlineLvl w:val="2"/>
        <w:rPr>
          <w:rFonts w:hint="eastAsia" w:ascii="宋体" w:hAnsi="宋体" w:eastAsia="宋体" w:cs="宋体"/>
          <w:b/>
          <w:bCs/>
          <w:color w:val="auto"/>
          <w:sz w:val="24"/>
          <w:highlight w:val="none"/>
          <w:lang w:val="en-US" w:eastAsia="zh-CN"/>
        </w:rPr>
      </w:pPr>
      <w:r>
        <w:rPr>
          <w:rFonts w:hint="eastAsia" w:ascii="宋体" w:hAnsi="宋体" w:eastAsia="宋体" w:cs="宋体"/>
          <w:b/>
          <w:color w:val="auto"/>
          <w:sz w:val="24"/>
          <w:highlight w:val="none"/>
        </w:rPr>
        <w:t>2.政府采购政策：</w:t>
      </w:r>
    </w:p>
    <w:p w14:paraId="497BDBAA">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2.1中小企业</w:t>
      </w:r>
    </w:p>
    <w:p w14:paraId="7A60DA53">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2.1.1</w:t>
      </w:r>
      <w:r>
        <w:rPr>
          <w:rFonts w:hint="eastAsia" w:ascii="宋体" w:hAnsi="宋体" w:eastAsia="宋体" w:cs="宋体"/>
          <w:color w:val="auto"/>
          <w:sz w:val="24"/>
          <w:highlight w:val="none"/>
          <w:lang w:eastAsia="zh-CN"/>
        </w:rPr>
        <w:t>中小企业定义：</w:t>
      </w:r>
    </w:p>
    <w:p w14:paraId="7288EBCE">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"5.2.1.1"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.1.1</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7919FC0">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"file:///C:\\Users\\V5200\\Desktop\\公安\\5.2.1.1"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.1.2</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供应商提供的货物、工程或者服务符合下列情形的，享受中小企业扶持政策：</w:t>
      </w:r>
    </w:p>
    <w:p w14:paraId="4069ABA2">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（1）在货物采购项目中，货物由中小企业制造，即货物由中小企业生产且使用该中小企业商号或者注册商标；</w:t>
      </w:r>
    </w:p>
    <w:p w14:paraId="6A82B2E1">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（2）在工程采购项目中，工程由中小企业承建，即工程施工单位为中小企业；</w:t>
      </w:r>
    </w:p>
    <w:p w14:paraId="44ED97A8">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（3）在服务采购项目中，服务由中小企业承接，即提供服务的人员为中小企业依照《中华人民共和国劳动合同法》订立劳动合同的从业人员。</w:t>
      </w:r>
    </w:p>
    <w:p w14:paraId="3376BC12">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"5.2.1.3"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lang w:eastAsia="zh-CN"/>
        </w:rPr>
        <w:t>.1.3</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在货物采购项目中，供应商提供的货物既有中小企业制造货物，也有大型企业制造货物的，不享受中小企业扶持政策。</w:t>
      </w:r>
    </w:p>
    <w:p w14:paraId="611549C5">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"5.2.1.4"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.1.4</w:t>
      </w:r>
      <w:r>
        <w:rPr>
          <w:rFonts w:hint="eastAsia" w:ascii="宋体" w:hAnsi="宋体" w:eastAsia="宋体" w:cs="宋体"/>
          <w:color w:val="auto"/>
          <w:sz w:val="24"/>
          <w:highlight w:val="none"/>
          <w:lang w:eastAsia="zh-CN"/>
        </w:rPr>
        <w:fldChar w:fldCharType="end"/>
      </w:r>
      <w:r>
        <w:rPr>
          <w:rFonts w:hint="eastAsia" w:ascii="宋体" w:hAnsi="宋体" w:eastAsia="宋体" w:cs="宋体"/>
          <w:color w:val="auto"/>
          <w:sz w:val="24"/>
          <w:highlight w:val="none"/>
          <w:lang w:eastAsia="zh-CN"/>
        </w:rPr>
        <w:t>以联合体形式参加政府采购活动，联合体各方均为中小企业的，联合体视同中小企业。其中，联合体各方均为小微企业的，联合体视同小微企业。</w:t>
      </w:r>
    </w:p>
    <w:p w14:paraId="79DD1C9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2.1.1.5</w:t>
      </w:r>
      <w:r>
        <w:rPr>
          <w:rFonts w:hint="eastAsia" w:ascii="宋体" w:hAnsi="宋体" w:eastAsia="宋体" w:cs="宋体"/>
          <w:color w:val="auto"/>
          <w:sz w:val="24"/>
          <w:highlight w:val="none"/>
        </w:rPr>
        <w:t>根据《政府采购促进中小企业发展管理办法》（财库﹝2020﹞46号）的规定，中小企业（含中型、小型、微型企业，下同）应当同时符合以下条件：</w:t>
      </w:r>
    </w:p>
    <w:p w14:paraId="0EB85D5C">
      <w:pPr>
        <w:snapToGrid w:val="0"/>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（1）符合中小企业划分标准；</w:t>
      </w:r>
    </w:p>
    <w:p w14:paraId="362F9C88">
      <w:pPr>
        <w:snapToGrid w:val="0"/>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（2）提供本企业制造的货物、承担的工程或者服务，或者提供其他中小企业制造的货物。本项所称货物不包括使用大型企业注册商标的货物。</w:t>
      </w:r>
    </w:p>
    <w:p w14:paraId="01843C1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2.1.2本规定所称中小企业划分标准，是指国务院有关部门根据企业从业人员、营业收入、资产总额等指标制定的中小企业划型标准，详见《关于印发中小企业划型标准规定的通知》。</w:t>
      </w:r>
    </w:p>
    <w:p w14:paraId="366823D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2.1.3小型、微型企业提供中型企业制造的货物的，视同为中型企业。</w:t>
      </w:r>
    </w:p>
    <w:p w14:paraId="69EA99A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2.1.4中小企业提供本企业制造的货物参与投标时，须提供本企业的《中小企业声明函》；中小企业提供其他中小企业制造的货物参与投标时，还须同时提供货物制造企业的《中小企业声明函》。</w:t>
      </w:r>
    </w:p>
    <w:p w14:paraId="672C5061">
      <w:pPr>
        <w:pStyle w:val="18"/>
        <w:tabs>
          <w:tab w:val="left" w:pos="2472"/>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2.2监狱企业</w:t>
      </w:r>
    </w:p>
    <w:p w14:paraId="23B94BC3">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设区的市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监狱、强制隔离戒毒所、戒毒康复所，以及新疆生产建设兵团监狱管理局、戒毒管理局的企业，监狱企业参加政府采购活动时，应当提供由省级以上监狱管理局、戒毒管理局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出具的属于监狱企业的证明文件。</w:t>
      </w:r>
    </w:p>
    <w:p w14:paraId="7BD8785C">
      <w:pPr>
        <w:pStyle w:val="18"/>
        <w:tabs>
          <w:tab w:val="left" w:pos="2472"/>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2.3残疾人福利性单位</w:t>
      </w:r>
    </w:p>
    <w:p w14:paraId="1D85C4F3">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2.3.1根据《财政部民政部中国残疾人联合会关于促进残疾人就业政府采购政策的通知》，享受政府采购支持政策的残疾人福利性单位应当同时满足以下条件：</w:t>
      </w:r>
    </w:p>
    <w:p w14:paraId="777C00C2">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42DAB72B">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（2）依法与安置的每位残疾人签订了一年以上（含一年）的劳动合同或服务协议；</w:t>
      </w:r>
    </w:p>
    <w:p w14:paraId="66AB8EA0">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（3）为安置的每位残疾人按月足额缴纳了基本养老保险、基本医疗保险、失业保险、工伤保险和生育保险等社会保险费；</w:t>
      </w:r>
    </w:p>
    <w:p w14:paraId="343A99D0">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（4）通过银行等金融机构向安置的每位残疾人，按月支付了不低于单位所在区县适用的经省级人民政府批准的月最低工资标准的工资；</w:t>
      </w:r>
    </w:p>
    <w:p w14:paraId="04911B97">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（5）提供本单位制造的货物、承担的工程或者服务（以下简称产品），或者提供其他残疾人福利性单位制造的货物（不包括使用非残疾人福利性单位注册商标的货物）。</w:t>
      </w:r>
    </w:p>
    <w:p w14:paraId="19487810">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8EEE609">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2.3.2符合条件的残疾人福利性单位在参加政府采购活动时，应当提供《残疾人福利性单位声明函》，并对声明的真实性负责。</w:t>
      </w:r>
    </w:p>
    <w:p w14:paraId="5E44CDD1">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2.4节能、环境标志产品</w:t>
      </w:r>
    </w:p>
    <w:p w14:paraId="1098BCD0">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2.4.1节能产品是指列入财政部和国家发改委公布的《节能产品政府采购品目清单》中的货物。政府强制采购节能产品是指《节能产品政府采购品目清单》中以“★”标注类别的产品。</w:t>
      </w:r>
    </w:p>
    <w:p w14:paraId="4E901F59">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2.4.2环境标志产品是指列入财政部、生态环境部公布的《环境标志产品政府采购品目清单》中的货物。</w:t>
      </w:r>
    </w:p>
    <w:p w14:paraId="0A0F847C">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本项目采购清单中若有政府强制采购节能产品，只接受强制节能产品投标，投标人必须在投标文件中提供国家确定的认证机构出具的、处于有效期之内的节能产品认证证书。投标人必须选报，否则按不实质性响应招标文件要求处理。</w:t>
      </w:r>
    </w:p>
    <w:p w14:paraId="105A32C9">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2.4.4投标人应在投标文件中提供所投标产品国家确定的认证机构出具的、处于有效期之内的节能产品、环境标志产品认证证书，否则不予认可。</w:t>
      </w:r>
    </w:p>
    <w:p w14:paraId="6F5B0329">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2.4.5《节能产品政府采购品目清单》及《环境标志产品政府采购品目清单》可通过中国政府采购网（http://www.ccgp.gov.cn/）查阅、下载。</w:t>
      </w:r>
    </w:p>
    <w:p w14:paraId="11953A4D">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2.4.6参与实施政府采购节能产品认证机构名录：</w:t>
      </w:r>
    </w:p>
    <w:tbl>
      <w:tblPr>
        <w:tblStyle w:val="26"/>
        <w:tblW w:w="9640" w:type="dxa"/>
        <w:jc w:val="center"/>
        <w:shd w:val="clear" w:color="auto" w:fill="FFFFFF"/>
        <w:tblLayout w:type="fixed"/>
        <w:tblCellMar>
          <w:top w:w="30" w:type="dxa"/>
          <w:left w:w="30" w:type="dxa"/>
          <w:bottom w:w="30" w:type="dxa"/>
          <w:right w:w="30" w:type="dxa"/>
        </w:tblCellMar>
      </w:tblPr>
      <w:tblGrid>
        <w:gridCol w:w="673"/>
        <w:gridCol w:w="1220"/>
        <w:gridCol w:w="1506"/>
        <w:gridCol w:w="1280"/>
        <w:gridCol w:w="1981"/>
        <w:gridCol w:w="2980"/>
      </w:tblGrid>
      <w:tr w14:paraId="2BAF85C4">
        <w:tblPrEx>
          <w:shd w:val="clear" w:color="auto" w:fill="FFFFFF"/>
          <w:tblCellMar>
            <w:top w:w="30" w:type="dxa"/>
            <w:left w:w="30" w:type="dxa"/>
            <w:bottom w:w="30" w:type="dxa"/>
            <w:right w:w="30" w:type="dxa"/>
          </w:tblCellMar>
        </w:tblPrEx>
        <w:trPr>
          <w:trHeight w:val="284" w:hRule="atLeast"/>
          <w:jc w:val="center"/>
        </w:trPr>
        <w:tc>
          <w:tcPr>
            <w:tcW w:w="67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A5FE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2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6F23F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一级目录</w:t>
            </w:r>
          </w:p>
        </w:tc>
        <w:tc>
          <w:tcPr>
            <w:tcW w:w="326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C4D51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二级目录</w:t>
            </w:r>
          </w:p>
        </w:tc>
        <w:tc>
          <w:tcPr>
            <w:tcW w:w="2980"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308D7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认证机构名录</w:t>
            </w:r>
          </w:p>
        </w:tc>
      </w:tr>
      <w:tr w14:paraId="72A589C5">
        <w:tblPrEx>
          <w:tblCellMar>
            <w:top w:w="30" w:type="dxa"/>
            <w:left w:w="30" w:type="dxa"/>
            <w:bottom w:w="30" w:type="dxa"/>
            <w:right w:w="30" w:type="dxa"/>
          </w:tblCellMar>
        </w:tblPrEx>
        <w:trPr>
          <w:trHeight w:val="284" w:hRule="atLeast"/>
          <w:jc w:val="center"/>
        </w:trPr>
        <w:tc>
          <w:tcPr>
            <w:tcW w:w="673"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AB75E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D65C7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产品代码</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A5C9E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403F4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产品代码</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C8206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2980" w:type="dxa"/>
            <w:vMerge w:val="continue"/>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14:paraId="7B90875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7C5A3767">
        <w:tblPrEx>
          <w:tblCellMar>
            <w:top w:w="30" w:type="dxa"/>
            <w:left w:w="30" w:type="dxa"/>
            <w:bottom w:w="30" w:type="dxa"/>
            <w:right w:w="30" w:type="dxa"/>
          </w:tblCellMar>
        </w:tblPrEx>
        <w:trPr>
          <w:trHeight w:val="284"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A330F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9B65C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9D480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E13D9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A02010104</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0485C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台式计算机</w:t>
            </w: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8DDFF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3FD4EB8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北京赛西认证有限责任公司</w:t>
            </w:r>
          </w:p>
          <w:p w14:paraId="665D799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中国网络安全审查技术与认证中心</w:t>
            </w:r>
          </w:p>
          <w:p w14:paraId="2B0F130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广州赛宝认证中心服务有限公司</w:t>
            </w:r>
          </w:p>
        </w:tc>
      </w:tr>
      <w:tr w14:paraId="52BA558B">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0C634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249742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6FAFD4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D43EB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A02010105</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77318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便携式计算机</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9B4A8B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276ADEFF">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708B2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596AF2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0CA6B8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8BACE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A02010107</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75D13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平板式微型计算机</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7E92CD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17C797B8">
        <w:tblPrEx>
          <w:tblCellMar>
            <w:top w:w="30" w:type="dxa"/>
            <w:left w:w="30" w:type="dxa"/>
            <w:bottom w:w="30" w:type="dxa"/>
            <w:right w:w="30" w:type="dxa"/>
          </w:tblCellMar>
        </w:tblPrEx>
        <w:trPr>
          <w:trHeight w:val="284"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F9A5C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5934D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4CA70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输入输出设备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B13EC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C1C30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打印设备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B6333D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5A617A3E">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F14298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8B4A3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1ABC03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FA688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880B3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显示设备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F23C5A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21F984D5">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9B84A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13DA6C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533260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460A2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000B1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图形图像输入设备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4B6C03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0DE45E19">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699A5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53204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0AE70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投影仪</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4E45F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DF250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9CEAB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78A6DC82">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FA97B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BD90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E25B5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多功能一体机</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D77C2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C3236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D31556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7B5302D3">
        <w:tblPrEx>
          <w:tblCellMar>
            <w:top w:w="30" w:type="dxa"/>
            <w:left w:w="30" w:type="dxa"/>
            <w:bottom w:w="30" w:type="dxa"/>
            <w:right w:w="30" w:type="dxa"/>
          </w:tblCellMar>
        </w:tblPrEx>
        <w:trPr>
          <w:trHeight w:val="799"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6663F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167EA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05D12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泵</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35315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B19EB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离心泵</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234F8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0CAE3DC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电能（北京）认证中心有限公司</w:t>
            </w:r>
          </w:p>
          <w:p w14:paraId="1385492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方圆标志认证集团有限公司</w:t>
            </w:r>
          </w:p>
        </w:tc>
      </w:tr>
      <w:tr w14:paraId="0A5EE72E">
        <w:tblPrEx>
          <w:tblCellMar>
            <w:top w:w="30" w:type="dxa"/>
            <w:left w:w="30" w:type="dxa"/>
            <w:bottom w:w="30" w:type="dxa"/>
            <w:right w:w="30" w:type="dxa"/>
          </w:tblCellMar>
        </w:tblPrEx>
        <w:trPr>
          <w:trHeight w:val="284"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A04D5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C2EF3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602C8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制冷空调设备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993A8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67B7F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制冷压缩机</w:t>
            </w: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08836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07A5BAA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威凯认证检测有限公司</w:t>
            </w:r>
          </w:p>
          <w:p w14:paraId="7BF6169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合肥通用机械产品认证有限公司</w:t>
            </w:r>
          </w:p>
          <w:p w14:paraId="2ACCB59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北京中冷通质量认证中心有限公司</w:t>
            </w:r>
          </w:p>
        </w:tc>
      </w:tr>
      <w:tr w14:paraId="3BBAE71E">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D77F3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73840F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421116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A690A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A02052305</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088C3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空调机组</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F81E9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22EADA0F">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C41365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CCDF27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43DC3AD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CA21F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A02052309</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870FF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专用制冷、空调设备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B7BAEB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2C23B4F0">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BC25A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FE287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2363A6D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053E4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3238E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其他制冷空调设备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7EBCCD7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043B8B38">
        <w:tblPrEx>
          <w:tblCellMar>
            <w:top w:w="30" w:type="dxa"/>
            <w:left w:w="30" w:type="dxa"/>
            <w:bottom w:w="30" w:type="dxa"/>
            <w:right w:w="30" w:type="dxa"/>
          </w:tblCellMar>
        </w:tblPrEx>
        <w:trPr>
          <w:trHeight w:val="1033"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124B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97B6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102E3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电机</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C9708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03F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7836E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7DDE444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威凯认证检测有限公司</w:t>
            </w:r>
          </w:p>
          <w:p w14:paraId="52ED6ED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电能（北京）认证中心有限公司</w:t>
            </w:r>
          </w:p>
          <w:p w14:paraId="79C135D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中国船级社质量认证公司</w:t>
            </w:r>
          </w:p>
        </w:tc>
      </w:tr>
      <w:tr w14:paraId="5BB64211">
        <w:tblPrEx>
          <w:tblCellMar>
            <w:top w:w="30" w:type="dxa"/>
            <w:left w:w="30" w:type="dxa"/>
            <w:bottom w:w="30" w:type="dxa"/>
            <w:right w:w="30" w:type="dxa"/>
          </w:tblCellMar>
        </w:tblPrEx>
        <w:trPr>
          <w:trHeight w:val="861"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589E9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C9BA8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05068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变压器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D8928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7A404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01B31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764099E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电能（北京）认证中心有限公司</w:t>
            </w:r>
          </w:p>
          <w:p w14:paraId="275DFCC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方圆标志认证集团有限公司</w:t>
            </w:r>
          </w:p>
        </w:tc>
      </w:tr>
      <w:tr w14:paraId="53A4F463">
        <w:tblPrEx>
          <w:tblCellMar>
            <w:top w:w="30" w:type="dxa"/>
            <w:left w:w="30" w:type="dxa"/>
            <w:bottom w:w="30" w:type="dxa"/>
            <w:right w:w="30" w:type="dxa"/>
          </w:tblCellMar>
        </w:tblPrEx>
        <w:trPr>
          <w:trHeight w:val="84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116AB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3858A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A020609</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AD0A7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镇流器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76E88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C4059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18789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0ED7B5F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深圳市计量质量检测研究院</w:t>
            </w:r>
          </w:p>
          <w:p w14:paraId="046C8E8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中标合信（北京）认证有限公司</w:t>
            </w:r>
          </w:p>
        </w:tc>
      </w:tr>
      <w:tr w14:paraId="7DA203B6">
        <w:tblPrEx>
          <w:tblCellMar>
            <w:top w:w="30" w:type="dxa"/>
            <w:left w:w="30" w:type="dxa"/>
            <w:bottom w:w="30" w:type="dxa"/>
            <w:right w:w="30" w:type="dxa"/>
          </w:tblCellMar>
        </w:tblPrEx>
        <w:trPr>
          <w:trHeight w:val="400" w:hRule="atLeast"/>
          <w:jc w:val="center"/>
        </w:trPr>
        <w:tc>
          <w:tcPr>
            <w:tcW w:w="67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4052E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22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B9591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w:t>
            </w:r>
          </w:p>
        </w:tc>
        <w:tc>
          <w:tcPr>
            <w:tcW w:w="150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9A791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生活用电器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23CBE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53573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电冰箱</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46503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5A81443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威凯认证检测有限公司</w:t>
            </w:r>
          </w:p>
          <w:p w14:paraId="2C240A0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中家院（北京）检测认证有限公司</w:t>
            </w:r>
          </w:p>
        </w:tc>
      </w:tr>
      <w:tr w14:paraId="42D90973">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B75546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F33D3D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253234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7CD63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A0206180203</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331F7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空调机</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4B4BD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09A9134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威凯认证检测有限公司</w:t>
            </w:r>
          </w:p>
          <w:p w14:paraId="3655700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中家院（北京）检测认证有限公司</w:t>
            </w:r>
          </w:p>
          <w:p w14:paraId="06B758D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合肥通用机械产品认证有限公司</w:t>
            </w:r>
          </w:p>
        </w:tc>
      </w:tr>
      <w:tr w14:paraId="7078F6E1">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B4C619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C48850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524D0C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69938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4E190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洗衣机</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222F9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1288101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威凯认证检测有限公司</w:t>
            </w:r>
          </w:p>
          <w:p w14:paraId="08DF101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中家院（北京）检测认证有限公司</w:t>
            </w:r>
          </w:p>
        </w:tc>
      </w:tr>
      <w:tr w14:paraId="78EFD935">
        <w:tblPrEx>
          <w:tblCellMar>
            <w:top w:w="30" w:type="dxa"/>
            <w:left w:w="30" w:type="dxa"/>
            <w:bottom w:w="30" w:type="dxa"/>
            <w:right w:w="30" w:type="dxa"/>
          </w:tblCellMar>
        </w:tblPrEx>
        <w:trPr>
          <w:trHeight w:val="284" w:hRule="atLeast"/>
          <w:jc w:val="center"/>
        </w:trPr>
        <w:tc>
          <w:tcPr>
            <w:tcW w:w="673" w:type="dxa"/>
            <w:vMerge w:val="continue"/>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BA3FC3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2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0D109C9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506"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5153D3A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EC5BA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8409C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热水器</w:t>
            </w: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77EC6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10B55F2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威凯认证检测有限公司</w:t>
            </w:r>
          </w:p>
          <w:p w14:paraId="1910EB7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中家院（北京）检测认证有限公司</w:t>
            </w:r>
          </w:p>
          <w:p w14:paraId="3925C47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合肥通用机械产品认证有限公司（范围仅限于“热泵热水器”）</w:t>
            </w:r>
          </w:p>
        </w:tc>
      </w:tr>
      <w:tr w14:paraId="222EECED">
        <w:tblPrEx>
          <w:tblCellMar>
            <w:top w:w="30" w:type="dxa"/>
            <w:left w:w="30" w:type="dxa"/>
            <w:bottom w:w="30" w:type="dxa"/>
            <w:right w:w="30" w:type="dxa"/>
          </w:tblCellMar>
        </w:tblPrEx>
        <w:trPr>
          <w:trHeight w:val="737"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6CB26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3EAE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57C4E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照明设备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029F79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0C004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733B8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67C0339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深圳市计量质量检测研究院</w:t>
            </w:r>
          </w:p>
          <w:p w14:paraId="5387F78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中标合信（北京）认证有限公司</w:t>
            </w:r>
          </w:p>
        </w:tc>
      </w:tr>
      <w:tr w14:paraId="28BCFA4A">
        <w:tblPrEx>
          <w:tblCellMar>
            <w:top w:w="30" w:type="dxa"/>
            <w:left w:w="30" w:type="dxa"/>
            <w:bottom w:w="30" w:type="dxa"/>
            <w:right w:w="30" w:type="dxa"/>
          </w:tblCellMar>
        </w:tblPrEx>
        <w:trPr>
          <w:trHeight w:val="419"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440A7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53B88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D9E4D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电视设备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2CB38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EFBDA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普通电视设备（电视机）</w:t>
            </w: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4A618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6B8CD0B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北京泰瑞特认证有限责任公司</w:t>
            </w:r>
          </w:p>
          <w:p w14:paraId="1430A1D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广州赛宝认证中心服务有限公司</w:t>
            </w:r>
          </w:p>
        </w:tc>
      </w:tr>
      <w:tr w14:paraId="38BE4531">
        <w:tblPrEx>
          <w:tblCellMar>
            <w:top w:w="30" w:type="dxa"/>
            <w:left w:w="30" w:type="dxa"/>
            <w:bottom w:w="30" w:type="dxa"/>
            <w:right w:w="30" w:type="dxa"/>
          </w:tblCellMar>
        </w:tblPrEx>
        <w:trPr>
          <w:trHeight w:val="410"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DAAC2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0BCBC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96841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视频设备</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57240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w:t>
            </w: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0EE68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视频监控设备</w:t>
            </w: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68AFBBA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4B61CE7F">
        <w:tblPrEx>
          <w:tblCellMar>
            <w:top w:w="30" w:type="dxa"/>
            <w:left w:w="30" w:type="dxa"/>
            <w:bottom w:w="30" w:type="dxa"/>
            <w:right w:w="30" w:type="dxa"/>
          </w:tblCellMar>
        </w:tblPrEx>
        <w:trPr>
          <w:trHeight w:val="775"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712EA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16E1C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E082E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饮食炊事机械</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0AE29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A45CD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8A08E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3D8488A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北京鉴衡认证中心</w:t>
            </w:r>
          </w:p>
          <w:p w14:paraId="207BE08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中国市政工程华北设计研究总院有限公司</w:t>
            </w:r>
          </w:p>
        </w:tc>
      </w:tr>
      <w:tr w14:paraId="34D21BE6">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3BB91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38E18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A060805</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31C686">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99ED8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3A2EA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1BC77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中国质量认证中心</w:t>
            </w:r>
          </w:p>
          <w:p w14:paraId="60C0903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北京新华节水产品认证有限公司</w:t>
            </w:r>
          </w:p>
          <w:p w14:paraId="5669D30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方圆标志认证集团有限公司</w:t>
            </w:r>
          </w:p>
        </w:tc>
      </w:tr>
      <w:tr w14:paraId="71D99F8E">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85044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02A4D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A060806</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7B704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8E296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D752A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A8B6CC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685639A7">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CAF56F">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367E1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8F046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A7CB8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F383FE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3BF95C4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r w14:paraId="547ABF91">
        <w:tblPrEx>
          <w:tblCellMar>
            <w:top w:w="30" w:type="dxa"/>
            <w:left w:w="30" w:type="dxa"/>
            <w:bottom w:w="30" w:type="dxa"/>
            <w:right w:w="30" w:type="dxa"/>
          </w:tblCellMar>
        </w:tblPrEx>
        <w:trPr>
          <w:trHeight w:val="284" w:hRule="atLeast"/>
          <w:jc w:val="center"/>
        </w:trPr>
        <w:tc>
          <w:tcPr>
            <w:tcW w:w="6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EEB36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655A4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w:t>
            </w:r>
          </w:p>
        </w:tc>
        <w:tc>
          <w:tcPr>
            <w:tcW w:w="15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45F45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w:t>
            </w:r>
          </w:p>
        </w:tc>
        <w:tc>
          <w:tcPr>
            <w:tcW w:w="12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BAB80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19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33581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p>
        </w:tc>
        <w:tc>
          <w:tcPr>
            <w:tcW w:w="2980" w:type="dxa"/>
            <w:vMerge w:val="continue"/>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14:paraId="1DC61E0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szCs w:val="24"/>
                <w:highlight w:val="none"/>
              </w:rPr>
            </w:pPr>
          </w:p>
        </w:tc>
      </w:tr>
    </w:tbl>
    <w:p w14:paraId="0414136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2.4.7</w:t>
      </w:r>
      <w:r>
        <w:rPr>
          <w:rFonts w:hint="eastAsia" w:ascii="宋体" w:hAnsi="宋体" w:eastAsia="宋体" w:cs="宋体"/>
          <w:color w:val="auto"/>
          <w:kern w:val="0"/>
          <w:sz w:val="24"/>
          <w:szCs w:val="24"/>
          <w:highlight w:val="none"/>
        </w:rPr>
        <w:t>参与实施政府采购环境标志产品认证机构名录 </w:t>
      </w:r>
    </w:p>
    <w:tbl>
      <w:tblPr>
        <w:tblStyle w:val="26"/>
        <w:tblW w:w="9629" w:type="dxa"/>
        <w:jc w:val="center"/>
        <w:shd w:val="clear" w:color="auto" w:fill="FFFFFF"/>
        <w:tblLayout w:type="fixed"/>
        <w:tblCellMar>
          <w:top w:w="30" w:type="dxa"/>
          <w:left w:w="30" w:type="dxa"/>
          <w:bottom w:w="30" w:type="dxa"/>
          <w:right w:w="30" w:type="dxa"/>
        </w:tblCellMar>
      </w:tblPr>
      <w:tblGrid>
        <w:gridCol w:w="720"/>
        <w:gridCol w:w="2363"/>
        <w:gridCol w:w="6546"/>
      </w:tblGrid>
      <w:tr w14:paraId="317072BB">
        <w:tblPrEx>
          <w:tblCellMar>
            <w:top w:w="30" w:type="dxa"/>
            <w:left w:w="30" w:type="dxa"/>
            <w:bottom w:w="30" w:type="dxa"/>
            <w:right w:w="30" w:type="dxa"/>
          </w:tblCellMar>
        </w:tblPrEx>
        <w:trPr>
          <w:trHeight w:val="434" w:hRule="atLeast"/>
          <w:jc w:val="center"/>
        </w:trPr>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1138A48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3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50C36D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目录</w:t>
            </w:r>
          </w:p>
        </w:tc>
        <w:tc>
          <w:tcPr>
            <w:tcW w:w="654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0A0BC9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认证机构名录</w:t>
            </w:r>
          </w:p>
        </w:tc>
      </w:tr>
      <w:tr w14:paraId="62A4D946">
        <w:tblPrEx>
          <w:shd w:val="clear" w:color="auto" w:fill="FFFFFF"/>
          <w:tblCellMar>
            <w:top w:w="30" w:type="dxa"/>
            <w:left w:w="30" w:type="dxa"/>
            <w:bottom w:w="30" w:type="dxa"/>
            <w:right w:w="30" w:type="dxa"/>
          </w:tblCellMar>
        </w:tblPrEx>
        <w:trPr>
          <w:trHeight w:val="861" w:hRule="atLeast"/>
          <w:jc w:val="center"/>
        </w:trPr>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EE436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3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9CB91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环境标志产品</w:t>
            </w:r>
          </w:p>
        </w:tc>
        <w:tc>
          <w:tcPr>
            <w:tcW w:w="65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75BAD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中环联合（北京）认证中心有限公司</w:t>
            </w:r>
          </w:p>
          <w:p w14:paraId="668CA96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中标合信（北京）认证有限公司</w:t>
            </w:r>
          </w:p>
          <w:p w14:paraId="3D4AFD0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中环协（北京）认证中心</w:t>
            </w:r>
          </w:p>
          <w:p w14:paraId="00DABD8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天津华诚认证有限公司</w:t>
            </w:r>
          </w:p>
        </w:tc>
      </w:tr>
    </w:tbl>
    <w:p w14:paraId="69304358">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2.5本国产品支持政策</w:t>
      </w:r>
    </w:p>
    <w:p w14:paraId="7B94885E">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务院办公厅关于在政府采购中实施本国产品标准及相关政策的通知》（国办发〔2025〕34号）以及关于贯彻落实《国务院办公厅关于在政府采购中实施本国产品标准及相关政策的通知》的意见，供应商提供的产品符合本国产品标准及相关政策的，享受评标方法规定的本国产品支持政策。</w:t>
      </w:r>
    </w:p>
    <w:p w14:paraId="0C407297">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2.5.1本国产品标准</w:t>
      </w:r>
    </w:p>
    <w:p w14:paraId="1F78C8D3">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本国产品应当符合以下条件：</w:t>
      </w:r>
    </w:p>
    <w:p w14:paraId="77BD0271">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（一）在中国境内生产</w:t>
      </w:r>
    </w:p>
    <w:p w14:paraId="2913A74F">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产品应当在中国境内生产，即在中华人民共和国关境内实现从原材料、组件到产品的属性改变。</w:t>
      </w:r>
    </w:p>
    <w:p w14:paraId="720637B8">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属性改变是指经过制造、加工或者组装等工序，产生完全不同于原材料、组件的新产品，并具有新的名称和特征（用途）。属性改变不包括以下细微操作：</w:t>
      </w:r>
    </w:p>
    <w:p w14:paraId="73948C9F">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1.为确保产品在运输或者储存期间保持某种状态而进行的操作；</w:t>
      </w:r>
    </w:p>
    <w:p w14:paraId="24E3967E">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2.为产品运输或者销售进行的包装或者展示；</w:t>
      </w:r>
    </w:p>
    <w:p w14:paraId="4A111473">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3.在产品或者其包装上粘贴或者印刷品牌、标志、标识以及其他用于区别的标记；</w:t>
      </w:r>
    </w:p>
    <w:p w14:paraId="0C4A4DDB">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4.简单的上漆、磨光和分装；</w:t>
      </w:r>
    </w:p>
    <w:p w14:paraId="19998861">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5.其他不属于属性改变的情形。</w:t>
      </w:r>
    </w:p>
    <w:p w14:paraId="32119F18">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9113BD9">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（二）在中国境内生产的组件成本占比达到规定比例</w:t>
      </w:r>
    </w:p>
    <w:p w14:paraId="5531F5C2">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产品在中国境内生产的组件成本占比应当达到规定比例，计算公式为：</w:t>
      </w:r>
    </w:p>
    <w:p w14:paraId="78ADEBF7">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0" distR="0">
            <wp:extent cx="4831080" cy="758825"/>
            <wp:effectExtent l="0" t="0" r="7620" b="3175"/>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31080" cy="758825"/>
                    </a:xfrm>
                    <a:prstGeom prst="rect">
                      <a:avLst/>
                    </a:prstGeom>
                    <a:noFill/>
                    <a:ln>
                      <a:noFill/>
                    </a:ln>
                  </pic:spPr>
                </pic:pic>
              </a:graphicData>
            </a:graphic>
          </wp:inline>
        </w:drawing>
      </w:r>
    </w:p>
    <w:p w14:paraId="4342506D">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2143C70">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（三）特定产品的关键组件、关键工序符合相关要求</w:t>
      </w:r>
    </w:p>
    <w:p w14:paraId="3D5F8288">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141F8030">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78570AE">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2.5.2本国产品标准的适用范围</w:t>
      </w:r>
    </w:p>
    <w:p w14:paraId="7540825F">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D67B6F">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2.5.3对本国产品的支持政策</w:t>
      </w:r>
    </w:p>
    <w:p w14:paraId="2D4A3428">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12BFAC6A">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4615BA">
      <w:pPr>
        <w:pStyle w:val="18"/>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B67E312">
      <w:pPr>
        <w:pStyle w:val="18"/>
        <w:tabs>
          <w:tab w:val="left" w:pos="2472"/>
        </w:tabs>
        <w:snapToGrid w:val="0"/>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3.评标程序及标准</w:t>
      </w:r>
    </w:p>
    <w:p w14:paraId="45E59E66">
      <w:pPr>
        <w:pStyle w:val="18"/>
        <w:tabs>
          <w:tab w:val="left" w:pos="2472"/>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3.1符合性评审</w:t>
      </w:r>
    </w:p>
    <w:p w14:paraId="2AC09864">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3.1.1、</w:t>
      </w:r>
      <w:r>
        <w:rPr>
          <w:rFonts w:hint="eastAsia" w:ascii="宋体" w:hAnsi="宋体" w:eastAsia="宋体" w:cs="宋体"/>
          <w:color w:val="auto"/>
          <w:sz w:val="24"/>
          <w:szCs w:val="24"/>
          <w:highlight w:val="none"/>
        </w:rPr>
        <w:t>依据招标文件的规定，评标委员会对符合资格的投标人的投标文件从有效性、完整性和对招标文件的实质性响应程度等方面进行审查，见评标方法前附表。</w:t>
      </w:r>
    </w:p>
    <w:p w14:paraId="744F3249">
      <w:pPr>
        <w:pStyle w:val="18"/>
        <w:tabs>
          <w:tab w:val="left" w:pos="2472"/>
        </w:tabs>
        <w:snapToGrid w:val="0"/>
        <w:spacing w:line="360" w:lineRule="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★3.1.2提供相同品牌产品且通过资格审查、符合性审查的不同投标人参加同一招标项目包投标的，按一家投标人计算。</w:t>
      </w:r>
    </w:p>
    <w:p w14:paraId="0E552DA3">
      <w:pPr>
        <w:pStyle w:val="18"/>
        <w:tabs>
          <w:tab w:val="left" w:pos="2472"/>
        </w:tabs>
        <w:snapToGrid w:val="0"/>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★3.1.3若单个项目包为非单一产品采购项目，对于招标文件第五章规定核心产品，多家投标人提供的核心产品品牌有一项品牌相同的，按3.2.7款规定处理。</w:t>
      </w:r>
    </w:p>
    <w:p w14:paraId="1FFA21B7">
      <w:pPr>
        <w:pStyle w:val="18"/>
        <w:tabs>
          <w:tab w:val="left" w:pos="2472"/>
        </w:tabs>
        <w:snapToGrid w:val="0"/>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★3.1.4按上述条款执行后，投标人不足3家的，本项目应予废标。</w:t>
      </w:r>
    </w:p>
    <w:p w14:paraId="65E9873B">
      <w:pPr>
        <w:rPr>
          <w:rFonts w:hint="eastAsia"/>
          <w:color w:val="auto"/>
          <w:highlight w:val="none"/>
        </w:rPr>
      </w:pPr>
    </w:p>
    <w:p w14:paraId="1EC88C72">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3.2详细评审</w:t>
      </w:r>
    </w:p>
    <w:p w14:paraId="6CF72D17">
      <w:pPr>
        <w:pStyle w:val="18"/>
        <w:tabs>
          <w:tab w:val="left" w:pos="2472"/>
        </w:tabs>
        <w:snapToGrid w:val="0"/>
        <w:spacing w:line="360" w:lineRule="auto"/>
        <w:rPr>
          <w:rFonts w:hint="eastAsia" w:ascii="宋体" w:hAnsi="宋体" w:eastAsia="宋体" w:cs="宋体"/>
          <w:color w:val="auto"/>
          <w:sz w:val="24"/>
          <w:szCs w:val="24"/>
          <w:highlight w:val="none"/>
        </w:rPr>
      </w:pPr>
      <w:bookmarkStart w:id="260" w:name="_Toc321836408"/>
      <w:r>
        <w:rPr>
          <w:rFonts w:hint="eastAsia" w:ascii="宋体" w:hAnsi="宋体" w:eastAsia="宋体" w:cs="宋体"/>
          <w:color w:val="auto"/>
          <w:sz w:val="24"/>
          <w:szCs w:val="24"/>
          <w:highlight w:val="none"/>
        </w:rPr>
        <w:t>3.2.1</w:t>
      </w:r>
      <w:bookmarkEnd w:id="260"/>
      <w:r>
        <w:rPr>
          <w:rFonts w:hint="eastAsia" w:ascii="宋体" w:hAnsi="宋体" w:eastAsia="宋体" w:cs="宋体"/>
          <w:color w:val="auto"/>
          <w:sz w:val="24"/>
          <w:szCs w:val="24"/>
          <w:highlight w:val="none"/>
        </w:rPr>
        <w:t>评标委员会按照招标文件中规定的评标方法和标准，对符合性审查合格的投标文件进行商务和技术评估，综合比较与评价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见评标方法前附表。</w:t>
      </w:r>
    </w:p>
    <w:p w14:paraId="743B3A2D">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3.2.2评标委员会各成员要依法独立评审，并对评审意见承担个人责任。对投标人的客观评分项的评分应当一致，对其他需要借助专业知识评判的评分项，应当严格按照评分细则公正评分。</w:t>
      </w:r>
    </w:p>
    <w:p w14:paraId="6F5843BA">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3.2.3评标委员会成员对需要共同认定的事项存在争议的，按照少数服从多数的原则</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结论。持不同意见的评标委员会成员应当在评标报告上签署不同意见并说明理由，否则视为同意。</w:t>
      </w:r>
    </w:p>
    <w:p w14:paraId="6D69D263">
      <w:pPr>
        <w:pStyle w:val="18"/>
        <w:tabs>
          <w:tab w:val="left" w:pos="2472"/>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3.2.4投标文件报价出现前后不一致的，按照下列规定修正：</w:t>
      </w:r>
    </w:p>
    <w:p w14:paraId="33F33F03">
      <w:pPr>
        <w:pStyle w:val="18"/>
        <w:tabs>
          <w:tab w:val="left" w:pos="2472"/>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（一）投标文件中开标一览表（报价表）内容与投标文件中相应内容不一致的，以开标一览表（报价表）为准；</w:t>
      </w:r>
    </w:p>
    <w:p w14:paraId="623DE841">
      <w:pPr>
        <w:pStyle w:val="18"/>
        <w:tabs>
          <w:tab w:val="left" w:pos="2472"/>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（二）大写金额和小写金额不一致的，以大写金额为准；</w:t>
      </w:r>
    </w:p>
    <w:p w14:paraId="5DE2F86A">
      <w:pPr>
        <w:pStyle w:val="18"/>
        <w:tabs>
          <w:tab w:val="left" w:pos="2472"/>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（三）单价金额小数点或者百分比有明显错位的，以开标一览表的总价为准，并修改单价；</w:t>
      </w:r>
    </w:p>
    <w:p w14:paraId="6FB38E12">
      <w:pPr>
        <w:pStyle w:val="18"/>
        <w:tabs>
          <w:tab w:val="left" w:pos="2472"/>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（四）总价金额与按单价汇总金额不一致的，以单价金额计算结果为准。</w:t>
      </w:r>
    </w:p>
    <w:p w14:paraId="540DAF87">
      <w:pPr>
        <w:pStyle w:val="18"/>
        <w:tabs>
          <w:tab w:val="left" w:pos="2472"/>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★同时出现两种以上不一致的，按照前款规定的顺序修正。修正后的报价按照本章3.2款的规定经投标人确认后产生约束力，投标人不确认的，其投标无效。</w:t>
      </w:r>
    </w:p>
    <w:p w14:paraId="3E70E59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3.2.5价格部分（F1）按评标方法前附表规定的投标报价计算公式，计算出各投标人价格部分得分。技术部分（F2）和商务部分（F3）得分由评标委员会成员独立评分，投标</w:t>
      </w:r>
      <w:r>
        <w:rPr>
          <w:rFonts w:hint="eastAsia" w:ascii="宋体" w:hAnsi="宋体" w:eastAsia="宋体" w:cs="宋体"/>
          <w:bCs/>
          <w:color w:val="auto"/>
          <w:sz w:val="24"/>
          <w:highlight w:val="none"/>
        </w:rPr>
        <w:t>人各项评分因素得分为该项因素各评委评分的算术平均值。所有计算结果均保留小数点后两位</w:t>
      </w:r>
      <w:r>
        <w:rPr>
          <w:rFonts w:hint="eastAsia" w:ascii="宋体" w:hAnsi="宋体" w:eastAsia="宋体" w:cs="宋体"/>
          <w:color w:val="auto"/>
          <w:sz w:val="24"/>
          <w:highlight w:val="none"/>
        </w:rPr>
        <w:t>，小数点后第三位“四舍五入”。</w:t>
      </w:r>
    </w:p>
    <w:p w14:paraId="721F8871">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★3.2.6</w:t>
      </w:r>
      <w:r>
        <w:rPr>
          <w:rFonts w:hint="eastAsia" w:ascii="宋体" w:hAnsi="宋体" w:eastAsia="宋体" w:cs="宋体"/>
          <w:color w:val="auto"/>
          <w:sz w:val="24"/>
          <w:highlight w:val="none"/>
          <w:lang w:val="en-US" w:eastAsia="zh-CN"/>
        </w:rPr>
        <w:t>异常低价投标（响应）审查</w:t>
      </w:r>
    </w:p>
    <w:p w14:paraId="15346E13">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投标人不应低于成本价（或进价）报价。</w:t>
      </w:r>
      <w:r>
        <w:rPr>
          <w:rFonts w:hint="eastAsia" w:ascii="宋体" w:hAnsi="宋体" w:eastAsia="宋体" w:cs="宋体"/>
          <w:color w:val="auto"/>
          <w:sz w:val="24"/>
          <w:highlight w:val="none"/>
          <w:lang w:val="en-US" w:eastAsia="zh-CN"/>
        </w:rPr>
        <w:t>政府采购评审中出现下列情形之一的，评标委员会应当启动异常低价投标（响应）审查程序：</w:t>
      </w:r>
    </w:p>
    <w:p w14:paraId="71CDB3C9">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3.2.6.1、投标（响应）报价低于全部通过符合性审查投标人投标（响应）报价平均值50%的，即投标（响应）报价&lt;全部通过符合性审查投标人投标（响应）报价平均值×50%；</w:t>
      </w:r>
    </w:p>
    <w:p w14:paraId="61DB9A71">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3.2.6.2、投标（响应）报价低于通过符合性审查的次低报价投标人投标（响应）报价50%的，即投标（响应）报价&lt;通过符合性审查的次低报价投标人投标（响应）报价×50%；</w:t>
      </w:r>
    </w:p>
    <w:p w14:paraId="0BF0B52C">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3.2.6.3、投标（响应）报价低于采购项目最高限价45%的，即投标（响应）报价&lt;采购项目最高限价×45%；</w:t>
      </w:r>
    </w:p>
    <w:p w14:paraId="2D494963">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3.2.6.4、评标委员会基于专业判断，认为投标人报价过低，有可能影响产品质量或者不能诚信履约的其他情形。</w:t>
      </w:r>
    </w:p>
    <w:p w14:paraId="041D0B25">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相关法律法规对投标人报价有规定的，从其规定。</w:t>
      </w:r>
    </w:p>
    <w:p w14:paraId="62DFBC61">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3.2.6.5、评标委员会启动异常低价投标（响应）审查后，属于前述第3.2.6.1项至第3.2.6.4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为30分钟。其中，属于第3.2.6.3项情形，投标人已随投标（响应）文件一并提交相关书面说明及必要的证明材料的，在评审现场可不再重复提交。</w:t>
      </w:r>
    </w:p>
    <w:p w14:paraId="04358E08">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响应）处理。</w:t>
      </w:r>
    </w:p>
    <w:p w14:paraId="3E26D30E">
      <w:pPr>
        <w:snapToGrid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C366557">
      <w:pPr>
        <w:snapToGrid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异常低价投标（响应）审查的启动原因、审查意见和审查结果应当在评审报告中记录，并随投标人提供的相关书面说明及证明材料，以及评审委员会有关互联网浏览、查询历史一并归档。</w:t>
      </w:r>
    </w:p>
    <w:p w14:paraId="5932F8E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3.2.7提供相同品牌产品且通过资格审查、符合性审查的不同投标人参加同一合同项下投标的，按一家投标人计算，评审后得分最高的同品牌投标人获得中标人推荐资格；评审得分相同的，评标委员会将依次按价格</w:t>
      </w:r>
      <w:r>
        <w:rPr>
          <w:rFonts w:hint="eastAsia" w:ascii="宋体" w:hAnsi="宋体" w:eastAsia="宋体" w:cs="宋体"/>
          <w:color w:val="auto"/>
          <w:kern w:val="2"/>
          <w:sz w:val="24"/>
          <w:szCs w:val="24"/>
          <w:highlight w:val="none"/>
        </w:rPr>
        <w:t>低</w:t>
      </w:r>
      <w:r>
        <w:rPr>
          <w:rFonts w:hint="eastAsia" w:ascii="宋体" w:hAnsi="宋体" w:eastAsia="宋体" w:cs="宋体"/>
          <w:color w:val="auto"/>
          <w:sz w:val="24"/>
          <w:highlight w:val="none"/>
        </w:rPr>
        <w:t>优先、技术部分得分高优先、商务部分得分高优先的顺序确定；所有得分均相等的，按记名投票的方式确定中标候选人，其他同品牌投标人不作为中标候选人。</w:t>
      </w:r>
    </w:p>
    <w:p w14:paraId="46D5F115">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注：非单一产品采购项目，采购人应当根据采购项目技术构成、产品价格比重等合理确定核心产品，并在招标文件中载明（详见本项目招标范围）。多家投标人提供的核心产品品牌相同的，按第3.2.7款规定处理。</w:t>
      </w:r>
    </w:p>
    <w:p w14:paraId="5DF287D6">
      <w:pPr>
        <w:pStyle w:val="35"/>
        <w:rPr>
          <w:rFonts w:hint="eastAsia"/>
          <w:color w:val="auto"/>
          <w:highlight w:val="none"/>
          <w:lang w:eastAsia="zh-CN"/>
        </w:rPr>
      </w:pPr>
    </w:p>
    <w:p w14:paraId="6AF93A33">
      <w:pPr>
        <w:pStyle w:val="4"/>
        <w:numPr>
          <w:ilvl w:val="0"/>
          <w:numId w:val="0"/>
        </w:numPr>
        <w:snapToGrid w:val="0"/>
        <w:spacing w:before="0"/>
        <w:rPr>
          <w:rFonts w:hint="eastAsia" w:ascii="宋体" w:hAnsi="宋体" w:eastAsia="宋体" w:cs="宋体"/>
          <w:color w:val="auto"/>
          <w:sz w:val="24"/>
          <w:szCs w:val="24"/>
          <w:highlight w:val="none"/>
          <w:lang w:eastAsia="zh-CN"/>
        </w:rPr>
      </w:pPr>
      <w:bookmarkStart w:id="261" w:name="_Toc321836412"/>
      <w:r>
        <w:rPr>
          <w:rFonts w:hint="eastAsia" w:ascii="宋体" w:hAnsi="宋体" w:eastAsia="宋体" w:cs="宋体"/>
          <w:color w:val="auto"/>
          <w:sz w:val="24"/>
          <w:szCs w:val="24"/>
          <w:highlight w:val="none"/>
        </w:rPr>
        <w:t>4.投标文件的澄清</w:t>
      </w:r>
      <w:bookmarkEnd w:id="261"/>
    </w:p>
    <w:p w14:paraId="793F39F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3D84DCAC">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1AEA2AED">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4.3评标委员会对投标人提交的澄清、说明有疑问的，可以要求投标人进一步澄清、说明。</w:t>
      </w:r>
    </w:p>
    <w:p w14:paraId="0F1661A6">
      <w:pPr>
        <w:pStyle w:val="4"/>
        <w:numPr>
          <w:ilvl w:val="0"/>
          <w:numId w:val="0"/>
        </w:numPr>
        <w:snapToGrid w:val="0"/>
        <w:spacing w:before="0"/>
        <w:rPr>
          <w:rFonts w:hint="eastAsia" w:ascii="宋体" w:hAnsi="宋体" w:eastAsia="宋体" w:cs="宋体"/>
          <w:color w:val="auto"/>
          <w:sz w:val="24"/>
          <w:szCs w:val="24"/>
          <w:highlight w:val="none"/>
        </w:rPr>
      </w:pPr>
      <w:bookmarkStart w:id="262" w:name="_Toc321836413"/>
      <w:r>
        <w:rPr>
          <w:rFonts w:hint="eastAsia" w:ascii="宋体" w:hAnsi="宋体" w:eastAsia="宋体" w:cs="宋体"/>
          <w:color w:val="auto"/>
          <w:sz w:val="24"/>
          <w:szCs w:val="24"/>
          <w:highlight w:val="none"/>
        </w:rPr>
        <w:t>5.评标结果</w:t>
      </w:r>
      <w:bookmarkEnd w:id="262"/>
    </w:p>
    <w:p w14:paraId="0CC35A7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5.1评标委员会按最终得分由高到低顺序推荐3名中标候选人，并提出书面评标报告。</w:t>
      </w:r>
    </w:p>
    <w:p w14:paraId="354DC98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5.2采购人根据评标委员会提出的书面评标报告和推荐的中标候选人名单，确定中标人。</w:t>
      </w:r>
    </w:p>
    <w:p w14:paraId="16A9C73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5.3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sectPr>
      <w:headerReference r:id="rId15" w:type="first"/>
      <w:footerReference r:id="rId16" w:type="default"/>
      <w:pgSz w:w="11905" w:h="16838"/>
      <w:pgMar w:top="1440" w:right="1361" w:bottom="1440" w:left="1361" w:header="850" w:footer="85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4F2E">
    <w:pPr>
      <w:pStyle w:val="20"/>
      <w:ind w:right="360"/>
      <w:jc w:val="right"/>
    </w:pPr>
    <w:r>
      <w:rPr>
        <w:rFonts w:hint="eastAsia"/>
        <w:u w:val="single"/>
      </w:rPr>
      <w:drawing>
        <wp:inline distT="0" distB="0" distL="114300" distR="114300">
          <wp:extent cx="1605280" cy="276225"/>
          <wp:effectExtent l="0" t="0" r="13970" b="952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
                  <a:stretch>
                    <a:fillRect/>
                  </a:stretch>
                </pic:blipFill>
                <pic:spPr>
                  <a:xfrm>
                    <a:off x="0" y="0"/>
                    <a:ext cx="1605280" cy="276225"/>
                  </a:xfrm>
                  <a:prstGeom prst="rect">
                    <a:avLst/>
                  </a:prstGeom>
                  <a:noFill/>
                  <a:ln>
                    <a:noFill/>
                  </a:ln>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5500">
    <w:pPr>
      <w:pStyle w:val="20"/>
      <w:ind w:right="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5AEA7">
                          <w:pPr>
                            <w:pStyle w:val="20"/>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TURjs3gEAAL8DAAAOAAAAAAAA&#10;AAEAIAAAAB4BAABkcnMvZTJvRG9jLnhtbFBLBQYAAAAABgAGAFkBAABuBQAAAAA=&#10;">
              <v:fill on="f" focussize="0,0"/>
              <v:stroke on="f"/>
              <v:imagedata o:title=""/>
              <o:lock v:ext="edit" aspectratio="f"/>
              <v:textbox inset="0mm,0mm,0mm,0mm" style="mso-fit-shape-to-text:t;">
                <w:txbxContent>
                  <w:p w14:paraId="4935AEA7">
                    <w:pPr>
                      <w:pStyle w:val="20"/>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u w:val="single"/>
      </w:rPr>
      <w:drawing>
        <wp:inline distT="0" distB="0" distL="114300" distR="114300">
          <wp:extent cx="1605280" cy="276225"/>
          <wp:effectExtent l="0" t="0" r="1397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
                  <a:stretch>
                    <a:fillRect/>
                  </a:stretch>
                </pic:blipFill>
                <pic:spPr>
                  <a:xfrm>
                    <a:off x="0" y="0"/>
                    <a:ext cx="1605280" cy="2762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B625">
    <w:pPr>
      <w:pStyle w:val="20"/>
      <w:framePr w:wrap="around" w:vAnchor="text" w:hAnchor="margin" w:xAlign="center" w:y="1"/>
      <w:rPr>
        <w:rStyle w:val="30"/>
      </w:rPr>
    </w:pPr>
    <w:r>
      <w:fldChar w:fldCharType="begin"/>
    </w:r>
    <w:r>
      <w:rPr>
        <w:rStyle w:val="30"/>
      </w:rPr>
      <w:instrText xml:space="preserve">PAGE  </w:instrText>
    </w:r>
    <w:r>
      <w:fldChar w:fldCharType="separate"/>
    </w:r>
    <w:r>
      <w:rPr>
        <w:rStyle w:val="30"/>
      </w:rPr>
      <w:t>59</w:t>
    </w:r>
    <w:r>
      <w:fldChar w:fldCharType="end"/>
    </w:r>
  </w:p>
  <w:p w14:paraId="0F2A99EE">
    <w:pPr>
      <w:pStyle w:val="20"/>
      <w:ind w:right="360"/>
      <w:rPr>
        <w:sz w:val="21"/>
      </w:rPr>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a:noFill/>
                      </a:ln>
                      <a:effectLst/>
                    </wps:spPr>
                    <wps:txbx>
                      <w:txbxContent>
                        <w:p w14:paraId="21843360">
                          <w:pPr>
                            <w:pStyle w:val="20"/>
                            <w:rPr>
                              <w:rStyle w:val="30"/>
                              <w:sz w:val="21"/>
                            </w:rPr>
                          </w:pPr>
                          <w:r>
                            <w:rPr>
                              <w:sz w:val="21"/>
                            </w:rPr>
                            <w:fldChar w:fldCharType="begin"/>
                          </w:r>
                          <w:r>
                            <w:rPr>
                              <w:rStyle w:val="30"/>
                              <w:sz w:val="21"/>
                            </w:rPr>
                            <w:instrText xml:space="preserve">Page</w:instrText>
                          </w:r>
                          <w:r>
                            <w:rPr>
                              <w:sz w:val="21"/>
                            </w:rPr>
                            <w:fldChar w:fldCharType="separate"/>
                          </w:r>
                          <w:r>
                            <w:rPr>
                              <w:rStyle w:val="30"/>
                              <w:sz w:val="21"/>
                            </w:rPr>
                            <w:t>59</w:t>
                          </w:r>
                          <w:r>
                            <w:rPr>
                              <w:sz w:val="21"/>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3.6pt;width:5.25pt;mso-position-horizontal:right;mso-position-horizontal-relative:margin;mso-wrap-distance-bottom:0pt;mso-wrap-distance-left:0pt;mso-wrap-distance-right:0pt;mso-wrap-distance-top:0pt;z-index:251660288;mso-width-relative:page;mso-height-relative:page;" filled="f" stroked="f" coordsize="21600,21600" o:gfxdata="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SfsK9MAAAADAQAADwAAAAAAAAABACAAAAAiAAAAZHJzL2Rvd25yZXYu&#10;eG1sUEsBAhQAFAAAAAgAh07iQL/ApIbHAQAAjAMAAA4AAAAAAAAAAQAgAAAAIgEAAGRycy9lMm9E&#10;b2MueG1sUEsFBgAAAAAGAAYAWQEAAFsFAAAAAA==&#10;">
              <v:fill on="f" focussize="0,0"/>
              <v:stroke on="f"/>
              <v:imagedata o:title=""/>
              <o:lock v:ext="edit" aspectratio="f"/>
              <v:textbox inset="0mm,0mm,0mm,0mm">
                <w:txbxContent>
                  <w:p w14:paraId="21843360">
                    <w:pPr>
                      <w:pStyle w:val="20"/>
                      <w:rPr>
                        <w:rStyle w:val="30"/>
                        <w:sz w:val="21"/>
                      </w:rPr>
                    </w:pPr>
                    <w:r>
                      <w:rPr>
                        <w:sz w:val="21"/>
                      </w:rPr>
                      <w:fldChar w:fldCharType="begin"/>
                    </w:r>
                    <w:r>
                      <w:rPr>
                        <w:rStyle w:val="30"/>
                        <w:sz w:val="21"/>
                      </w:rPr>
                      <w:instrText xml:space="preserve">Page</w:instrText>
                    </w:r>
                    <w:r>
                      <w:rPr>
                        <w:sz w:val="21"/>
                      </w:rPr>
                      <w:fldChar w:fldCharType="separate"/>
                    </w:r>
                    <w:r>
                      <w:rPr>
                        <w:rStyle w:val="30"/>
                        <w:sz w:val="21"/>
                      </w:rPr>
                      <w:t>59</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2633">
    <w:pPr>
      <w:pStyle w:val="20"/>
      <w:tabs>
        <w:tab w:val="center" w:pos="4156"/>
        <w:tab w:val="clear" w:pos="4153"/>
      </w:tabs>
      <w:ind w:right="360"/>
      <w:jc w:val="right"/>
    </w:pPr>
    <w:r>
      <w:rPr>
        <w:rFonts w:hint="eastAsia"/>
      </w:rPr>
      <w:drawing>
        <wp:inline distT="0" distB="0" distL="114300" distR="114300">
          <wp:extent cx="859790" cy="184150"/>
          <wp:effectExtent l="0" t="0" r="16510" b="6350"/>
          <wp:docPr id="12" name="图片 18" descr="c259f1f8bf63d6ae9fd520df1d88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 descr="c259f1f8bf63d6ae9fd520df1d88f9b"/>
                  <pic:cNvPicPr>
                    <a:picLocks noChangeAspect="1"/>
                  </pic:cNvPicPr>
                </pic:nvPicPr>
                <pic:blipFill>
                  <a:blip r:embed="rId1"/>
                  <a:srcRect l="8823" t="31194" r="10585" b="24715"/>
                  <a:stretch>
                    <a:fillRect/>
                  </a:stretch>
                </pic:blipFill>
                <pic:spPr>
                  <a:xfrm>
                    <a:off x="0" y="0"/>
                    <a:ext cx="859790" cy="18415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B659">
    <w:pPr>
      <w:pStyle w:val="20"/>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BAFB7">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3oaN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LzpywNPDz92/nH7/OP7+y&#10;6+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s3oaN8BAAC/AwAADgAAAAAA&#10;AAABACAAAAAeAQAAZHJzL2Uyb0RvYy54bWxQSwUGAAAAAAYABgBZAQAAbwUAAAAA&#10;">
              <v:fill on="f" focussize="0,0"/>
              <v:stroke on="f"/>
              <v:imagedata o:title=""/>
              <o:lock v:ext="edit" aspectratio="f"/>
              <v:textbox inset="0mm,0mm,0mm,0mm" style="mso-fit-shape-to-text:t;">
                <w:txbxContent>
                  <w:p w14:paraId="01ABAFB7">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u w:val="single"/>
      </w:rPr>
      <w:drawing>
        <wp:inline distT="0" distB="0" distL="114300" distR="114300">
          <wp:extent cx="1605280" cy="276225"/>
          <wp:effectExtent l="0" t="0" r="13970" b="9525"/>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1"/>
                  <a:stretch>
                    <a:fillRect/>
                  </a:stretch>
                </pic:blipFill>
                <pic:spPr>
                  <a:xfrm>
                    <a:off x="0" y="0"/>
                    <a:ext cx="1605280" cy="27622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1043">
    <w:pPr>
      <w:pStyle w:val="20"/>
      <w:tabs>
        <w:tab w:val="center" w:pos="4156"/>
        <w:tab w:val="clear" w:pos="4153"/>
      </w:tabs>
      <w:ind w:right="360"/>
      <w:jc w:val="right"/>
    </w:pPr>
    <w:r>
      <w:rPr>
        <w:rFonts w:hint="eastAsia"/>
      </w:rPr>
      <w:drawing>
        <wp:inline distT="0" distB="0" distL="114300" distR="114300">
          <wp:extent cx="859790" cy="184150"/>
          <wp:effectExtent l="0" t="0" r="16510" b="6350"/>
          <wp:docPr id="14" name="图片 19" descr="c259f1f8bf63d6ae9fd520df1d88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c259f1f8bf63d6ae9fd520df1d88f9b"/>
                  <pic:cNvPicPr>
                    <a:picLocks noChangeAspect="1"/>
                  </pic:cNvPicPr>
                </pic:nvPicPr>
                <pic:blipFill>
                  <a:blip r:embed="rId1"/>
                  <a:srcRect l="8823" t="31194" r="10585" b="24715"/>
                  <a:stretch>
                    <a:fillRect/>
                  </a:stretch>
                </pic:blipFill>
                <pic:spPr>
                  <a:xfrm>
                    <a:off x="0" y="0"/>
                    <a:ext cx="859790" cy="184150"/>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D7BF">
    <w:pPr>
      <w:pStyle w:val="20"/>
      <w:ind w:right="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FB2FD">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AY7l/3gEAAMADAAAOAAAAAAAA&#10;AAEAIAAAAB4BAABkcnMvZTJvRG9jLnhtbFBLBQYAAAAABgAGAFkBAABuBQAAAAA=&#10;">
              <v:fill on="f" focussize="0,0"/>
              <v:stroke on="f"/>
              <v:imagedata o:title=""/>
              <o:lock v:ext="edit" aspectratio="f"/>
              <v:textbox inset="0mm,0mm,0mm,0mm" style="mso-fit-shape-to-text:t;">
                <w:txbxContent>
                  <w:p w14:paraId="46BFB2FD">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0D8C">
    <w:pPr>
      <w:pStyle w:val="20"/>
      <w:ind w:right="360"/>
      <w:rPr>
        <w:rFonts w:hint="eastAsia" w:eastAsia="仿宋"/>
        <w:lang w:eastAsia="zh-CN"/>
      </w:rPr>
    </w:pPr>
    <w:r>
      <w:drawing>
        <wp:inline distT="0" distB="0" distL="114300" distR="114300">
          <wp:extent cx="316865" cy="177165"/>
          <wp:effectExtent l="0" t="0" r="6985" b="13335"/>
          <wp:docPr id="15" name="图片 4" descr="9b8fa071eb34fd1946a5dd0d961f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9b8fa071eb34fd1946a5dd0d961fd81"/>
                  <pic:cNvPicPr>
                    <a:picLocks noChangeAspect="1"/>
                  </pic:cNvPicPr>
                </pic:nvPicPr>
                <pic:blipFill>
                  <a:blip r:embed="rId1"/>
                  <a:stretch>
                    <a:fillRect/>
                  </a:stretch>
                </pic:blipFill>
                <pic:spPr>
                  <a:xfrm>
                    <a:off x="0" y="0"/>
                    <a:ext cx="316865" cy="177165"/>
                  </a:xfrm>
                  <a:prstGeom prst="rect">
                    <a:avLst/>
                  </a:prstGeom>
                  <a:noFill/>
                  <a:ln>
                    <a:noFill/>
                  </a:ln>
                </pic:spPr>
              </pic:pic>
            </a:graphicData>
          </a:graphic>
        </wp:inline>
      </w:drawing>
    </w:r>
    <w:r>
      <w:rPr>
        <w:rFonts w:hint="eastAsia" w:ascii="仿宋" w:hAnsi="仿宋" w:eastAsia="仿宋" w:cs="仿宋"/>
      </w:rPr>
      <mc:AlternateContent>
        <mc:Choice Requires="wps">
          <w:drawing>
            <wp:anchor distT="0" distB="0" distL="0" distR="0" simplePos="0" relativeHeight="251661312" behindDoc="0" locked="0" layoutInCell="1" allowOverlap="1">
              <wp:simplePos x="0" y="0"/>
              <wp:positionH relativeFrom="margin">
                <wp:posOffset>3003550</wp:posOffset>
              </wp:positionH>
              <wp:positionV relativeFrom="paragraph">
                <wp:posOffset>-53975</wp:posOffset>
              </wp:positionV>
              <wp:extent cx="211455" cy="287020"/>
              <wp:effectExtent l="0" t="0" r="0" b="0"/>
              <wp:wrapSquare wrapText="bothSides"/>
              <wp:docPr id="1" name="文本框 2"/>
              <wp:cNvGraphicFramePr/>
              <a:graphic xmlns:a="http://schemas.openxmlformats.org/drawingml/2006/main">
                <a:graphicData uri="http://schemas.microsoft.com/office/word/2010/wordprocessingShape">
                  <wps:wsp>
                    <wps:cNvSpPr txBox="1"/>
                    <wps:spPr>
                      <a:xfrm>
                        <a:off x="0" y="0"/>
                        <a:ext cx="211455" cy="287020"/>
                      </a:xfrm>
                      <a:prstGeom prst="rect">
                        <a:avLst/>
                      </a:prstGeom>
                      <a:noFill/>
                      <a:ln>
                        <a:noFill/>
                      </a:ln>
                    </wps:spPr>
                    <wps:txbx>
                      <w:txbxContent>
                        <w:p w14:paraId="21D9D75D">
                          <w:pPr>
                            <w:pStyle w:val="20"/>
                            <w:rPr>
                              <w:rStyle w:val="30"/>
                              <w:rFonts w:hint="eastAsia" w:hAnsi="宋体" w:cs="宋体"/>
                            </w:rPr>
                          </w:pPr>
                        </w:p>
                      </w:txbxContent>
                    </wps:txbx>
                    <wps:bodyPr wrap="square" lIns="0" tIns="0" rIns="0" bIns="0" upright="1"/>
                  </wps:wsp>
                </a:graphicData>
              </a:graphic>
            </wp:anchor>
          </w:drawing>
        </mc:Choice>
        <mc:Fallback>
          <w:pict>
            <v:shape id="文本框 2" o:spid="_x0000_s1026" o:spt="202" type="#_x0000_t202" style="position:absolute;left:0pt;margin-left:236.5pt;margin-top:-4.25pt;height:22.6pt;width:16.65pt;mso-position-horizontal-relative:margin;mso-wrap-distance-bottom:0pt;mso-wrap-distance-left:0pt;mso-wrap-distance-right:0pt;mso-wrap-distance-top:0pt;z-index:251661312;mso-width-relative:page;mso-height-relative:page;" filled="f" stroked="f" coordsize="21600,21600" o:gfxdata="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eB3tkAAAAJAQAADwAAAAAAAAABACAAAAAiAAAAZHJzL2Rvd25y&#10;ZXYueG1sUEsBAhQAFAAAAAgAh07iQHh0Ah7EAQAAfwMAAA4AAAAAAAAAAQAgAAAAKAEAAGRycy9l&#10;Mm9Eb2MueG1sUEsFBgAAAAAGAAYAWQEAAF4FAAAAAA==&#10;">
              <v:fill on="f" focussize="0,0"/>
              <v:stroke on="f"/>
              <v:imagedata o:title=""/>
              <o:lock v:ext="edit" aspectratio="f"/>
              <v:textbox inset="0mm,0mm,0mm,0mm">
                <w:txbxContent>
                  <w:p w14:paraId="21D9D75D">
                    <w:pPr>
                      <w:pStyle w:val="20"/>
                      <w:rPr>
                        <w:rStyle w:val="30"/>
                        <w:rFonts w:hint="eastAsia" w:hAnsi="宋体" w:cs="宋体"/>
                      </w:rPr>
                    </w:pPr>
                  </w:p>
                </w:txbxContent>
              </v:textbox>
              <w10:wrap type="square"/>
            </v:shape>
          </w:pict>
        </mc:Fallback>
      </mc:AlternateContent>
    </w:r>
    <w:r>
      <w:rPr>
        <w:rFonts w:hint="eastAsia" w:ascii="仿宋" w:hAnsi="仿宋" w:eastAsia="仿宋" w:cs="仿宋"/>
        <w:lang w:eastAsia="zh-CN"/>
      </w:rPr>
      <w:t>中招国际招标有限公司</w:t>
    </w:r>
  </w:p>
  <w:p w14:paraId="79FA1CCC">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49A0">
    <w:pPr>
      <w:pStyle w:val="20"/>
      <w:jc w:val="right"/>
    </w:pPr>
    <w:r>
      <w:rPr>
        <w:rFonts w:hint="eastAsia"/>
        <w:u w:val="single"/>
      </w:rPr>
      <w:drawing>
        <wp:inline distT="0" distB="0" distL="114300" distR="114300">
          <wp:extent cx="1605280" cy="276225"/>
          <wp:effectExtent l="0" t="0" r="13970" b="9525"/>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1"/>
                  <a:stretch>
                    <a:fillRect/>
                  </a:stretch>
                </pic:blipFill>
                <pic:spPr>
                  <a:xfrm>
                    <a:off x="0" y="0"/>
                    <a:ext cx="1605280" cy="276225"/>
                  </a:xfrm>
                  <a:prstGeom prst="rect">
                    <a:avLst/>
                  </a:prstGeom>
                  <a:noFill/>
                  <a:ln>
                    <a:noFill/>
                  </a:ln>
                </pic:spPr>
              </pic:pic>
            </a:graphicData>
          </a:graphic>
        </wp:inline>
      </w:drawing>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21DF4">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Bk0t8BAAC/AwAADgAAAGRycy9lMm9Eb2MueG1srVPNjtMwEL4j8Q6W&#10;7zTZSqx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hBk0t8BAAC/AwAADgAAAAAA&#10;AAABACAAAAAeAQAAZHJzL2Uyb0RvYy54bWxQSwUGAAAAAAYABgBZAQAAbwUAAAAA&#10;">
              <v:fill on="f" focussize="0,0"/>
              <v:stroke on="f"/>
              <v:imagedata o:title=""/>
              <o:lock v:ext="edit" aspectratio="f"/>
              <v:textbox inset="0mm,0mm,0mm,0mm" style="mso-fit-shape-to-text:t;">
                <w:txbxContent>
                  <w:p w14:paraId="26621DF4">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31E0">
    <w:pPr>
      <w:pStyle w:val="20"/>
      <w:ind w:right="360"/>
      <w:rPr>
        <w:rFonts w:hint="eastAsia" w:eastAsia="仿宋"/>
        <w:lang w:eastAsia="zh-CN"/>
      </w:rPr>
    </w:pPr>
    <w:r>
      <mc:AlternateContent>
        <mc:Choice Requires="wps">
          <w:drawing>
            <wp:anchor distT="0" distB="0" distL="114300" distR="114300" simplePos="0" relativeHeight="251664384" behindDoc="0" locked="0" layoutInCell="1" allowOverlap="1">
              <wp:simplePos x="0" y="0"/>
              <wp:positionH relativeFrom="margin">
                <wp:posOffset>2610485</wp:posOffset>
              </wp:positionH>
              <wp:positionV relativeFrom="paragraph">
                <wp:posOffset>0</wp:posOffset>
              </wp:positionV>
              <wp:extent cx="1828800" cy="1828800"/>
              <wp:effectExtent l="0" t="0" r="0" b="0"/>
              <wp:wrapNone/>
              <wp:docPr id="5"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122179">
                          <w:pPr>
                            <w:pStyle w:val="2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left:205.55pt;margin-top:0pt;height:144pt;width:144pt;mso-position-horizontal-relative:margin;mso-wrap-style:none;z-index:251664384;mso-width-relative:page;mso-height-relative:page;" filled="f" stroked="f" coordsize="21600,21600" o:gfxdata="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Y/XyHUAAAACAEAAA8AAAAAAAAAAQAgAAAAIgAAAGRycy9kb3du&#10;cmV2LnhtbFBLAQIUABQAAAAIAIdO4kC/vj2HygEAAJoDAAAOAAAAAAAAAAEAIAAAACMBAABkcnMv&#10;ZTJvRG9jLnhtbFBLBQYAAAAABgAGAFkBAABfBQAAAAA=&#10;">
              <v:fill on="f" focussize="0,0"/>
              <v:stroke on="f"/>
              <v:imagedata o:title=""/>
              <o:lock v:ext="edit" aspectratio="f"/>
              <v:textbox inset="0mm,0mm,0mm,0mm" style="mso-fit-shape-to-text:t;">
                <w:txbxContent>
                  <w:p w14:paraId="14122179">
                    <w:pPr>
                      <w:pStyle w:val="20"/>
                    </w:pPr>
                    <w:r>
                      <w:fldChar w:fldCharType="begin"/>
                    </w:r>
                    <w:r>
                      <w:instrText xml:space="preserve"> PAGE  \* MERGEFORMAT </w:instrText>
                    </w:r>
                    <w:r>
                      <w:fldChar w:fldCharType="separate"/>
                    </w:r>
                    <w:r>
                      <w:t>3</w:t>
                    </w:r>
                    <w:r>
                      <w:fldChar w:fldCharType="end"/>
                    </w:r>
                  </w:p>
                </w:txbxContent>
              </v:textbox>
            </v:shape>
          </w:pict>
        </mc:Fallback>
      </mc:AlternateContent>
    </w:r>
    <w:r>
      <w:drawing>
        <wp:inline distT="0" distB="0" distL="114300" distR="114300">
          <wp:extent cx="316865" cy="177165"/>
          <wp:effectExtent l="0" t="0" r="6985" b="13335"/>
          <wp:docPr id="17" name="图片 7" descr="9b8fa071eb34fd1946a5dd0d961f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9b8fa071eb34fd1946a5dd0d961fd81"/>
                  <pic:cNvPicPr>
                    <a:picLocks noChangeAspect="1"/>
                  </pic:cNvPicPr>
                </pic:nvPicPr>
                <pic:blipFill>
                  <a:blip r:embed="rId1"/>
                  <a:stretch>
                    <a:fillRect/>
                  </a:stretch>
                </pic:blipFill>
                <pic:spPr>
                  <a:xfrm>
                    <a:off x="0" y="0"/>
                    <a:ext cx="316865" cy="177165"/>
                  </a:xfrm>
                  <a:prstGeom prst="rect">
                    <a:avLst/>
                  </a:prstGeom>
                  <a:noFill/>
                  <a:ln>
                    <a:noFill/>
                  </a:ln>
                </pic:spPr>
              </pic:pic>
            </a:graphicData>
          </a:graphic>
        </wp:inline>
      </w:drawing>
    </w:r>
    <w:r>
      <w:rPr>
        <w:rFonts w:hint="eastAsia" w:ascii="仿宋" w:hAnsi="仿宋" w:eastAsia="仿宋" w:cs="仿宋"/>
      </w:rPr>
      <mc:AlternateContent>
        <mc:Choice Requires="wps">
          <w:drawing>
            <wp:anchor distT="0" distB="0" distL="0" distR="0" simplePos="0" relativeHeight="251663360" behindDoc="0" locked="0" layoutInCell="1" allowOverlap="1">
              <wp:simplePos x="0" y="0"/>
              <wp:positionH relativeFrom="margin">
                <wp:posOffset>3003550</wp:posOffset>
              </wp:positionH>
              <wp:positionV relativeFrom="paragraph">
                <wp:posOffset>-53975</wp:posOffset>
              </wp:positionV>
              <wp:extent cx="211455" cy="287020"/>
              <wp:effectExtent l="0" t="0" r="0" b="0"/>
              <wp:wrapSquare wrapText="bothSides"/>
              <wp:docPr id="4" name="文本框 2"/>
              <wp:cNvGraphicFramePr/>
              <a:graphic xmlns:a="http://schemas.openxmlformats.org/drawingml/2006/main">
                <a:graphicData uri="http://schemas.microsoft.com/office/word/2010/wordprocessingShape">
                  <wps:wsp>
                    <wps:cNvSpPr txBox="1"/>
                    <wps:spPr>
                      <a:xfrm>
                        <a:off x="0" y="0"/>
                        <a:ext cx="211455" cy="287020"/>
                      </a:xfrm>
                      <a:prstGeom prst="rect">
                        <a:avLst/>
                      </a:prstGeom>
                      <a:noFill/>
                      <a:ln>
                        <a:noFill/>
                      </a:ln>
                    </wps:spPr>
                    <wps:txbx>
                      <w:txbxContent>
                        <w:p w14:paraId="61433D9A">
                          <w:pPr>
                            <w:pStyle w:val="20"/>
                            <w:rPr>
                              <w:rStyle w:val="30"/>
                              <w:rFonts w:hint="eastAsia" w:hAnsi="宋体" w:cs="宋体"/>
                            </w:rPr>
                          </w:pPr>
                        </w:p>
                      </w:txbxContent>
                    </wps:txbx>
                    <wps:bodyPr wrap="square" lIns="0" tIns="0" rIns="0" bIns="0" upright="1"/>
                  </wps:wsp>
                </a:graphicData>
              </a:graphic>
            </wp:anchor>
          </w:drawing>
        </mc:Choice>
        <mc:Fallback>
          <w:pict>
            <v:shape id="文本框 2" o:spid="_x0000_s1026" o:spt="202" type="#_x0000_t202" style="position:absolute;left:0pt;margin-left:236.5pt;margin-top:-4.25pt;height:22.6pt;width:16.65pt;mso-position-horizontal-relative:margin;mso-wrap-distance-bottom:0pt;mso-wrap-distance-left:0pt;mso-wrap-distance-right:0pt;mso-wrap-distance-top:0pt;z-index:251663360;mso-width-relative:page;mso-height-relative:page;" filled="f" stroked="f" coordsize="21600,21600" o:gfxdata="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vXgd7ZAAAACQEAAA8AAAAAAAAAAQAgAAAAIgAAAGRycy9kb3du&#10;cmV2LnhtbFBLAQIUABQAAAAIAIdO4kDFByJQxQEAAH8DAAAOAAAAAAAAAAEAIAAAACgBAABkcnMv&#10;ZTJvRG9jLnhtbFBLBQYAAAAABgAGAFkBAABfBQAAAAA=&#10;">
              <v:fill on="f" focussize="0,0"/>
              <v:stroke on="f"/>
              <v:imagedata o:title=""/>
              <o:lock v:ext="edit" aspectratio="f"/>
              <v:textbox inset="0mm,0mm,0mm,0mm">
                <w:txbxContent>
                  <w:p w14:paraId="61433D9A">
                    <w:pPr>
                      <w:pStyle w:val="20"/>
                      <w:rPr>
                        <w:rStyle w:val="30"/>
                        <w:rFonts w:hint="eastAsia" w:hAnsi="宋体" w:cs="宋体"/>
                      </w:rPr>
                    </w:pPr>
                  </w:p>
                </w:txbxContent>
              </v:textbox>
              <w10:wrap type="square"/>
            </v:shape>
          </w:pict>
        </mc:Fallback>
      </mc:AlternateContent>
    </w:r>
    <w:r>
      <w:rPr>
        <w:rFonts w:hint="eastAsia" w:ascii="仿宋" w:hAnsi="仿宋" w:eastAsia="仿宋" w:cs="仿宋"/>
        <w:lang w:eastAsia="zh-CN"/>
      </w:rPr>
      <w:t>中招国际招标有限公司</w:t>
    </w:r>
  </w:p>
  <w:p w14:paraId="2AD2DFEC">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9E125">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Wr1MgBAACa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2Rd&#10;Z32GAA2m3QdMTOMbP+LWLH5AZ6Y9qmjzFwkRjKO656u6ckxE5Ef1uq4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TVq9TIAQAAmgMAAA4AAAAAAAAAAQAgAAAAHgEAAGRycy9lMm9Eb2Mu&#10;eG1sUEsFBgAAAAAGAAYAWQEAAFgFAAAAAA==&#10;">
              <v:fill on="f" focussize="0,0"/>
              <v:stroke on="f"/>
              <v:imagedata o:title=""/>
              <o:lock v:ext="edit" aspectratio="f"/>
              <v:textbox inset="0mm,0mm,0mm,0mm" style="mso-fit-shape-to-text:t;">
                <w:txbxContent>
                  <w:p w14:paraId="5D89E125">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A303">
    <w:pPr>
      <w:pStyle w:val="21"/>
      <w:tabs>
        <w:tab w:val="left" w:pos="7443"/>
        <w:tab w:val="clear" w:pos="4153"/>
      </w:tabs>
      <w:jc w:val="both"/>
      <w:rPr>
        <w:rFonts w:hint="eastAsia" w:ascii="宋体" w:hAnsi="宋体" w:cs="宋体"/>
      </w:rPr>
    </w:pPr>
    <w:r>
      <w:rPr>
        <w:rFonts w:hint="eastAsia" w:ascii="宋体" w:hAnsi="宋体" w:cs="宋体"/>
        <w:lang w:val="en-US" w:eastAsia="zh-CN"/>
      </w:rPr>
      <w:t>临沧市重点自然保护区生态安全风险监测预警能力建设项目</w:t>
    </w:r>
    <w:r>
      <w:rPr>
        <w:rFonts w:hint="eastAsia" w:ascii="宋体" w:hAnsi="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9B9D">
    <w:pPr>
      <w:pStyle w:val="21"/>
      <w:tabs>
        <w:tab w:val="left" w:pos="7443"/>
        <w:tab w:val="clear" w:pos="4153"/>
      </w:tabs>
      <w:jc w:val="both"/>
      <w:rPr>
        <w:rFonts w:hint="eastAsia" w:ascii="宋体" w:hAnsi="宋体" w:cs="宋体"/>
      </w:rPr>
    </w:pPr>
    <w:r>
      <w:rPr>
        <w:rFonts w:hint="eastAsia" w:ascii="宋体" w:hAnsi="宋体" w:cs="宋体"/>
        <w:lang w:eastAsia="zh-CN"/>
      </w:rPr>
      <w:t>临沧市重点自然保护区生态安全风险监测预警能力建设项目</w:t>
    </w:r>
    <w:r>
      <w:rPr>
        <w:rFonts w:hint="eastAsia" w:ascii="宋体" w:hAnsi="宋体" w:cs="宋体"/>
      </w:rPr>
      <w:tab/>
    </w:r>
    <w:r>
      <w:rPr>
        <w:rFonts w:hint="eastAsia" w:ascii="宋体" w:hAnsi="宋体" w:cs="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2EA9D">
    <w:pPr>
      <w:pStyle w:val="21"/>
      <w:tabs>
        <w:tab w:val="left" w:pos="7443"/>
        <w:tab w:val="clear" w:pos="4153"/>
      </w:tabs>
      <w:jc w:val="both"/>
    </w:pPr>
    <w:r>
      <w:rPr>
        <w:rFonts w:hint="eastAsia" w:ascii="宋体" w:hAnsi="宋体" w:cs="宋体"/>
        <w:lang w:val="en-US" w:eastAsia="zh-CN"/>
      </w:rPr>
      <w:t xml:space="preserve">临沧市重点自然保护区生态安全风险监测预警能力建设项目                                       </w:t>
    </w:r>
    <w:r>
      <w:rPr>
        <w:rFonts w:hint="eastAsia" w:ascii="宋体" w:hAnsi="宋体" w:cs="宋体"/>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D015">
    <w:pPr>
      <w:pStyle w:val="21"/>
      <w:tabs>
        <w:tab w:val="left" w:pos="7443"/>
        <w:tab w:val="clear" w:pos="4153"/>
      </w:tabs>
      <w:jc w:val="both"/>
      <w:rPr>
        <w:rFonts w:hint="eastAsia" w:ascii="宋体" w:hAnsi="宋体" w:cs="宋体"/>
      </w:rPr>
    </w:pPr>
    <w:r>
      <w:rPr>
        <w:rFonts w:hint="eastAsia" w:ascii="宋体" w:hAnsi="宋体" w:cs="宋体"/>
        <w:lang w:eastAsia="zh-CN"/>
      </w:rPr>
      <w:t>临沧市重点自然保护区生态安全风险监测预警能力建设项目</w:t>
    </w:r>
    <w:r>
      <w:rPr>
        <w:rFonts w:hint="eastAsia" w:ascii="宋体" w:hAnsi="宋体" w:cs="宋体"/>
      </w:rPr>
      <w:tab/>
    </w:r>
    <w:r>
      <w:rPr>
        <w:rFonts w:hint="eastAsia" w:ascii="宋体" w:hAnsi="宋体" w:cs="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03741"/>
    <w:multiLevelType w:val="singleLevel"/>
    <w:tmpl w:val="8EE03741"/>
    <w:lvl w:ilvl="0" w:tentative="0">
      <w:start w:val="1"/>
      <w:numFmt w:val="decimal"/>
      <w:lvlText w:val="%1."/>
      <w:lvlJc w:val="left"/>
      <w:pPr>
        <w:tabs>
          <w:tab w:val="left" w:pos="312"/>
        </w:tabs>
      </w:pPr>
    </w:lvl>
  </w:abstractNum>
  <w:abstractNum w:abstractNumId="1">
    <w:nsid w:val="8F35C18F"/>
    <w:multiLevelType w:val="multilevel"/>
    <w:tmpl w:val="8F35C18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4D0755B"/>
    <w:multiLevelType w:val="multilevel"/>
    <w:tmpl w:val="94D075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26C977D"/>
    <w:multiLevelType w:val="singleLevel"/>
    <w:tmpl w:val="B26C977D"/>
    <w:lvl w:ilvl="0" w:tentative="0">
      <w:start w:val="1"/>
      <w:numFmt w:val="decimal"/>
      <w:suff w:val="nothing"/>
      <w:lvlText w:val="（%1）"/>
      <w:lvlJc w:val="left"/>
    </w:lvl>
  </w:abstractNum>
  <w:abstractNum w:abstractNumId="4">
    <w:nsid w:val="B4D98B62"/>
    <w:multiLevelType w:val="multilevel"/>
    <w:tmpl w:val="B4D98B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CE7DDB43"/>
    <w:multiLevelType w:val="singleLevel"/>
    <w:tmpl w:val="CE7DDB43"/>
    <w:lvl w:ilvl="0" w:tentative="0">
      <w:start w:val="1"/>
      <w:numFmt w:val="decimal"/>
      <w:pStyle w:val="7"/>
      <w:lvlText w:val="%1."/>
      <w:lvlJc w:val="left"/>
      <w:pPr>
        <w:tabs>
          <w:tab w:val="left" w:pos="780"/>
        </w:tabs>
        <w:ind w:left="780" w:hanging="360"/>
      </w:pPr>
    </w:lvl>
  </w:abstractNum>
  <w:abstractNum w:abstractNumId="6">
    <w:nsid w:val="CEFF8C9A"/>
    <w:multiLevelType w:val="multilevel"/>
    <w:tmpl w:val="CEFF8C9A"/>
    <w:lvl w:ilvl="0" w:tentative="0">
      <w:start w:val="1"/>
      <w:numFmt w:val="decimal"/>
      <w:lvlText w:val="%1"/>
      <w:lvlJc w:val="left"/>
      <w:pPr>
        <w:ind w:left="716" w:hanging="432"/>
      </w:pPr>
      <w:rPr>
        <w:sz w:val="40"/>
        <w:szCs w:val="40"/>
        <w:lang w:bidi="zh-CN"/>
      </w:rPr>
    </w:lvl>
    <w:lvl w:ilvl="1" w:tentative="0">
      <w:start w:val="1"/>
      <w:numFmt w:val="decimal"/>
      <w:lvlText w:val="%1.%2"/>
      <w:lvlJc w:val="left"/>
      <w:pPr>
        <w:ind w:left="1144" w:hanging="576"/>
      </w:pPr>
      <w:rPr>
        <w:rFonts w:hint="eastAsia"/>
        <w:b/>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004" w:hanging="720"/>
      </w:pPr>
      <w:rPr>
        <w:rFonts w:hint="default" w:ascii="Calibri Light" w:hAnsi="Calibri Light"/>
        <w:b/>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1148" w:hanging="864"/>
      </w:pPr>
      <w:rPr>
        <w:rFonts w:hint="default" w:ascii="Calibri Light" w:hAnsi="Calibri Light"/>
        <w:b/>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6"/>
      <w:lvlText w:val="%1.%2.%3.%4.%5"/>
      <w:lvlJc w:val="left"/>
      <w:pPr>
        <w:ind w:left="1292" w:hanging="1008"/>
      </w:pPr>
      <w:rPr>
        <w:rFonts w:hint="default" w:ascii="Calibri Light" w:hAnsi="Calibri Light"/>
      </w:rPr>
    </w:lvl>
    <w:lvl w:ilvl="5" w:tentative="0">
      <w:start w:val="1"/>
      <w:numFmt w:val="decimal"/>
      <w:lvlText w:val="%1.%2.%3.%4.%5.%6"/>
      <w:lvlJc w:val="left"/>
      <w:pPr>
        <w:ind w:left="1436" w:hanging="1152"/>
      </w:pPr>
      <w:rPr>
        <w:rFonts w:hint="default" w:ascii="Calibri Light" w:hAnsi="Calibri Light"/>
      </w:rPr>
    </w:lvl>
    <w:lvl w:ilvl="6" w:tentative="0">
      <w:start w:val="1"/>
      <w:numFmt w:val="decimal"/>
      <w:lvlText w:val="%1.%2.%3.%4.%5.%6.%7"/>
      <w:lvlJc w:val="left"/>
      <w:pPr>
        <w:ind w:left="1580" w:hanging="1296"/>
      </w:pPr>
      <w:rPr>
        <w:rFonts w:hint="default" w:ascii="Calibri Light" w:hAnsi="Calibri Light"/>
      </w:rPr>
    </w:lvl>
    <w:lvl w:ilvl="7" w:tentative="0">
      <w:start w:val="1"/>
      <w:numFmt w:val="decimal"/>
      <w:lvlText w:val="%1.%2.%3.%4.%5.%6.%7.%8"/>
      <w:lvlJc w:val="left"/>
      <w:pPr>
        <w:ind w:left="1724" w:hanging="1440"/>
      </w:pPr>
      <w:rPr>
        <w:rFonts w:hint="default" w:ascii="Calibri Light" w:hAnsi="Calibri Light"/>
      </w:rPr>
    </w:lvl>
    <w:lvl w:ilvl="8" w:tentative="0">
      <w:start w:val="1"/>
      <w:numFmt w:val="decimal"/>
      <w:lvlText w:val="%1.%2.%3.%4.%5.%6.%7.%8.%9"/>
      <w:lvlJc w:val="left"/>
      <w:pPr>
        <w:ind w:left="1868" w:hanging="1584"/>
      </w:pPr>
      <w:rPr>
        <w:rFonts w:hint="default" w:ascii="Calibri Light" w:hAnsi="Calibri Light"/>
      </w:rPr>
    </w:lvl>
  </w:abstractNum>
  <w:abstractNum w:abstractNumId="7">
    <w:nsid w:val="F73C61B8"/>
    <w:multiLevelType w:val="singleLevel"/>
    <w:tmpl w:val="F73C61B8"/>
    <w:lvl w:ilvl="0" w:tentative="0">
      <w:start w:val="4"/>
      <w:numFmt w:val="chineseCounting"/>
      <w:suff w:val="nothing"/>
      <w:lvlText w:val="（%1）"/>
      <w:lvlJc w:val="left"/>
      <w:rPr>
        <w:rFonts w:hint="eastAsia"/>
      </w:rPr>
    </w:lvl>
  </w:abstractNum>
  <w:abstractNum w:abstractNumId="8">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B779D78"/>
    <w:multiLevelType w:val="singleLevel"/>
    <w:tmpl w:val="0B779D78"/>
    <w:lvl w:ilvl="0" w:tentative="0">
      <w:start w:val="1"/>
      <w:numFmt w:val="decimal"/>
      <w:lvlText w:val="%1."/>
      <w:lvlJc w:val="left"/>
      <w:pPr>
        <w:tabs>
          <w:tab w:val="left" w:pos="312"/>
        </w:tabs>
      </w:pPr>
    </w:lvl>
  </w:abstractNum>
  <w:abstractNum w:abstractNumId="10">
    <w:nsid w:val="1204CC85"/>
    <w:multiLevelType w:val="multilevel"/>
    <w:tmpl w:val="1204CC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CEDD0A5"/>
    <w:multiLevelType w:val="multilevel"/>
    <w:tmpl w:val="1CEDD0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4BAC8A6D"/>
    <w:multiLevelType w:val="singleLevel"/>
    <w:tmpl w:val="4BAC8A6D"/>
    <w:lvl w:ilvl="0" w:tentative="0">
      <w:start w:val="1"/>
      <w:numFmt w:val="decimal"/>
      <w:suff w:val="nothing"/>
      <w:lvlText w:val="%1、"/>
      <w:lvlJc w:val="left"/>
    </w:lvl>
  </w:abstractNum>
  <w:abstractNum w:abstractNumId="13">
    <w:nsid w:val="4F5FDDB4"/>
    <w:multiLevelType w:val="singleLevel"/>
    <w:tmpl w:val="4F5FDDB4"/>
    <w:lvl w:ilvl="0" w:tentative="0">
      <w:start w:val="1"/>
      <w:numFmt w:val="decimal"/>
      <w:suff w:val="nothing"/>
      <w:lvlText w:val="（%1）"/>
      <w:lvlJc w:val="left"/>
    </w:lvl>
  </w:abstractNum>
  <w:abstractNum w:abstractNumId="14">
    <w:nsid w:val="59006E0F"/>
    <w:multiLevelType w:val="singleLevel"/>
    <w:tmpl w:val="59006E0F"/>
    <w:lvl w:ilvl="0" w:tentative="0">
      <w:start w:val="1"/>
      <w:numFmt w:val="decimal"/>
      <w:suff w:val="nothing"/>
      <w:lvlText w:val="（%1）"/>
      <w:lvlJc w:val="left"/>
    </w:lvl>
  </w:abstractNum>
  <w:abstractNum w:abstractNumId="15">
    <w:nsid w:val="590F7224"/>
    <w:multiLevelType w:val="singleLevel"/>
    <w:tmpl w:val="590F7224"/>
    <w:lvl w:ilvl="0" w:tentative="0">
      <w:start w:val="1"/>
      <w:numFmt w:val="chineseCounting"/>
      <w:suff w:val="nothing"/>
      <w:lvlText w:val="（%1）"/>
      <w:lvlJc w:val="left"/>
      <w:rPr>
        <w:rFonts w:hint="eastAsia"/>
      </w:rPr>
    </w:lvl>
  </w:abstractNum>
  <w:abstractNum w:abstractNumId="16">
    <w:nsid w:val="5D63699A"/>
    <w:multiLevelType w:val="multilevel"/>
    <w:tmpl w:val="5D63699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63852405"/>
    <w:multiLevelType w:val="multilevel"/>
    <w:tmpl w:val="63852405"/>
    <w:lvl w:ilvl="0" w:tentative="0">
      <w:start w:val="1"/>
      <w:numFmt w:val="decimal"/>
      <w:lvlText w:val="%1."/>
      <w:lvlJc w:val="left"/>
      <w:pPr>
        <w:tabs>
          <w:tab w:val="left" w:pos="779"/>
        </w:tabs>
        <w:ind w:left="779" w:hanging="420"/>
      </w:p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8">
    <w:nsid w:val="6DB6DE82"/>
    <w:multiLevelType w:val="multilevel"/>
    <w:tmpl w:val="6DB6DE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730A21A6"/>
    <w:multiLevelType w:val="multilevel"/>
    <w:tmpl w:val="730A21A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6B6D92B"/>
    <w:multiLevelType w:val="multilevel"/>
    <w:tmpl w:val="76B6D9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7CD6E0C4"/>
    <w:multiLevelType w:val="singleLevel"/>
    <w:tmpl w:val="7CD6E0C4"/>
    <w:lvl w:ilvl="0" w:tentative="0">
      <w:start w:val="1"/>
      <w:numFmt w:val="decimal"/>
      <w:suff w:val="nothing"/>
      <w:lvlText w:val="（%1）"/>
      <w:lvlJc w:val="left"/>
    </w:lvl>
  </w:abstractNum>
  <w:num w:numId="1">
    <w:abstractNumId w:val="8"/>
  </w:num>
  <w:num w:numId="2">
    <w:abstractNumId w:val="6"/>
  </w:num>
  <w:num w:numId="3">
    <w:abstractNumId w:val="5"/>
  </w:num>
  <w:num w:numId="4">
    <w:abstractNumId w:val="7"/>
  </w:num>
  <w:num w:numId="5">
    <w:abstractNumId w:val="17"/>
  </w:num>
  <w:num w:numId="6">
    <w:abstractNumId w:val="19"/>
  </w:num>
  <w:num w:numId="7">
    <w:abstractNumId w:val="21"/>
  </w:num>
  <w:num w:numId="8">
    <w:abstractNumId w:val="12"/>
  </w:num>
  <w:num w:numId="9">
    <w:abstractNumId w:val="16"/>
  </w:num>
  <w:num w:numId="10">
    <w:abstractNumId w:val="11"/>
  </w:num>
  <w:num w:numId="11">
    <w:abstractNumId w:val="18"/>
  </w:num>
  <w:num w:numId="12">
    <w:abstractNumId w:val="13"/>
  </w:num>
  <w:num w:numId="13">
    <w:abstractNumId w:val="14"/>
  </w:num>
  <w:num w:numId="14">
    <w:abstractNumId w:val="3"/>
  </w:num>
  <w:num w:numId="15">
    <w:abstractNumId w:val="15"/>
  </w:num>
  <w:num w:numId="16">
    <w:abstractNumId w:val="0"/>
  </w:num>
  <w:num w:numId="17">
    <w:abstractNumId w:val="20"/>
  </w:num>
  <w:num w:numId="18">
    <w:abstractNumId w:val="9"/>
  </w:num>
  <w:num w:numId="19">
    <w:abstractNumId w:val="2"/>
  </w:num>
  <w:num w:numId="20">
    <w:abstractNumId w:val="4"/>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GI5NmI4OWQ1ZDU5YzFiZTQ3MDQ0MDNhYjM2Y2MifQ=="/>
    <w:docVar w:name="KSO_WPS_MARK_KEY" w:val="75aaad2c-934c-414b-a751-2bb9a42f0e3b"/>
  </w:docVars>
  <w:rsids>
    <w:rsidRoot w:val="AF9FF06F"/>
    <w:rsid w:val="00004D8A"/>
    <w:rsid w:val="000446B5"/>
    <w:rsid w:val="0005676A"/>
    <w:rsid w:val="000907CA"/>
    <w:rsid w:val="00093B05"/>
    <w:rsid w:val="000A73C9"/>
    <w:rsid w:val="000E1506"/>
    <w:rsid w:val="001300E9"/>
    <w:rsid w:val="00155405"/>
    <w:rsid w:val="00174DD5"/>
    <w:rsid w:val="00175556"/>
    <w:rsid w:val="00187D3A"/>
    <w:rsid w:val="001A43DD"/>
    <w:rsid w:val="001A57B4"/>
    <w:rsid w:val="001C1329"/>
    <w:rsid w:val="001D2A2A"/>
    <w:rsid w:val="001E7E81"/>
    <w:rsid w:val="002031CD"/>
    <w:rsid w:val="00237C3C"/>
    <w:rsid w:val="002431AF"/>
    <w:rsid w:val="0024586A"/>
    <w:rsid w:val="00260DF2"/>
    <w:rsid w:val="00284157"/>
    <w:rsid w:val="00292982"/>
    <w:rsid w:val="002A3D35"/>
    <w:rsid w:val="002D4047"/>
    <w:rsid w:val="002F741D"/>
    <w:rsid w:val="00300D07"/>
    <w:rsid w:val="00314741"/>
    <w:rsid w:val="0032703D"/>
    <w:rsid w:val="00345A50"/>
    <w:rsid w:val="00375A57"/>
    <w:rsid w:val="00402D52"/>
    <w:rsid w:val="0040337A"/>
    <w:rsid w:val="00407999"/>
    <w:rsid w:val="004177D1"/>
    <w:rsid w:val="0042004C"/>
    <w:rsid w:val="0043286D"/>
    <w:rsid w:val="004976E5"/>
    <w:rsid w:val="004A5AB2"/>
    <w:rsid w:val="004A6643"/>
    <w:rsid w:val="004A6732"/>
    <w:rsid w:val="004E474B"/>
    <w:rsid w:val="004E6045"/>
    <w:rsid w:val="00531CB4"/>
    <w:rsid w:val="00540A19"/>
    <w:rsid w:val="005479E6"/>
    <w:rsid w:val="005707BF"/>
    <w:rsid w:val="00574899"/>
    <w:rsid w:val="005A1EE7"/>
    <w:rsid w:val="005B3937"/>
    <w:rsid w:val="005E51E5"/>
    <w:rsid w:val="00600CAC"/>
    <w:rsid w:val="00605280"/>
    <w:rsid w:val="00611B30"/>
    <w:rsid w:val="00684C61"/>
    <w:rsid w:val="00686840"/>
    <w:rsid w:val="006B0745"/>
    <w:rsid w:val="006D459B"/>
    <w:rsid w:val="006D79CE"/>
    <w:rsid w:val="006E5160"/>
    <w:rsid w:val="007058BC"/>
    <w:rsid w:val="00720032"/>
    <w:rsid w:val="007302D8"/>
    <w:rsid w:val="00757855"/>
    <w:rsid w:val="00773BDD"/>
    <w:rsid w:val="0078773C"/>
    <w:rsid w:val="007A6480"/>
    <w:rsid w:val="007A69EF"/>
    <w:rsid w:val="007B2858"/>
    <w:rsid w:val="007D1D5C"/>
    <w:rsid w:val="00813E5B"/>
    <w:rsid w:val="00840BD0"/>
    <w:rsid w:val="00852792"/>
    <w:rsid w:val="00893662"/>
    <w:rsid w:val="008B1304"/>
    <w:rsid w:val="008C4F0B"/>
    <w:rsid w:val="008E7728"/>
    <w:rsid w:val="00934911"/>
    <w:rsid w:val="00940308"/>
    <w:rsid w:val="00945473"/>
    <w:rsid w:val="00953D24"/>
    <w:rsid w:val="009824E2"/>
    <w:rsid w:val="009A38B2"/>
    <w:rsid w:val="009A7AC1"/>
    <w:rsid w:val="009C4E2B"/>
    <w:rsid w:val="009D164C"/>
    <w:rsid w:val="009D446E"/>
    <w:rsid w:val="00A0077A"/>
    <w:rsid w:val="00A034D2"/>
    <w:rsid w:val="00A14810"/>
    <w:rsid w:val="00A27129"/>
    <w:rsid w:val="00A325AC"/>
    <w:rsid w:val="00A368D0"/>
    <w:rsid w:val="00A43876"/>
    <w:rsid w:val="00A639A9"/>
    <w:rsid w:val="00A6693D"/>
    <w:rsid w:val="00A80CB8"/>
    <w:rsid w:val="00AB576D"/>
    <w:rsid w:val="00AB666A"/>
    <w:rsid w:val="00AE773D"/>
    <w:rsid w:val="00AF17E6"/>
    <w:rsid w:val="00B20DF2"/>
    <w:rsid w:val="00B37A91"/>
    <w:rsid w:val="00B37AB3"/>
    <w:rsid w:val="00B561ED"/>
    <w:rsid w:val="00B624C3"/>
    <w:rsid w:val="00B63EE4"/>
    <w:rsid w:val="00B76392"/>
    <w:rsid w:val="00BA364C"/>
    <w:rsid w:val="00BC5C44"/>
    <w:rsid w:val="00BE6F41"/>
    <w:rsid w:val="00C34D73"/>
    <w:rsid w:val="00C50AEE"/>
    <w:rsid w:val="00C55688"/>
    <w:rsid w:val="00C92A62"/>
    <w:rsid w:val="00CA195F"/>
    <w:rsid w:val="00CB077F"/>
    <w:rsid w:val="00CF5075"/>
    <w:rsid w:val="00D03B64"/>
    <w:rsid w:val="00D27346"/>
    <w:rsid w:val="00D3299F"/>
    <w:rsid w:val="00D54EB7"/>
    <w:rsid w:val="00D61174"/>
    <w:rsid w:val="00DA5C53"/>
    <w:rsid w:val="00DF3681"/>
    <w:rsid w:val="00DF5106"/>
    <w:rsid w:val="00E04CDE"/>
    <w:rsid w:val="00E163E1"/>
    <w:rsid w:val="00E16D11"/>
    <w:rsid w:val="00E261FA"/>
    <w:rsid w:val="00E566E6"/>
    <w:rsid w:val="00E72646"/>
    <w:rsid w:val="00E74E8F"/>
    <w:rsid w:val="00E80001"/>
    <w:rsid w:val="00E802C0"/>
    <w:rsid w:val="00E80329"/>
    <w:rsid w:val="00EA6597"/>
    <w:rsid w:val="00EA694F"/>
    <w:rsid w:val="00EE466F"/>
    <w:rsid w:val="00EE69C0"/>
    <w:rsid w:val="00F511FA"/>
    <w:rsid w:val="00FA5ED1"/>
    <w:rsid w:val="00FC12D8"/>
    <w:rsid w:val="00FC4A0C"/>
    <w:rsid w:val="00FF66CC"/>
    <w:rsid w:val="01421FA7"/>
    <w:rsid w:val="014C59AE"/>
    <w:rsid w:val="014D4677"/>
    <w:rsid w:val="015C2B0C"/>
    <w:rsid w:val="01611507"/>
    <w:rsid w:val="01BB1431"/>
    <w:rsid w:val="01ED14A1"/>
    <w:rsid w:val="02060962"/>
    <w:rsid w:val="021301B6"/>
    <w:rsid w:val="024141DC"/>
    <w:rsid w:val="024E23D7"/>
    <w:rsid w:val="02A77DB4"/>
    <w:rsid w:val="02B7624C"/>
    <w:rsid w:val="02B85D67"/>
    <w:rsid w:val="02CC3186"/>
    <w:rsid w:val="0306110A"/>
    <w:rsid w:val="03525F75"/>
    <w:rsid w:val="03802AE2"/>
    <w:rsid w:val="03DB240E"/>
    <w:rsid w:val="03E07A24"/>
    <w:rsid w:val="03F62DA4"/>
    <w:rsid w:val="048E122E"/>
    <w:rsid w:val="04904FA7"/>
    <w:rsid w:val="04B213C1"/>
    <w:rsid w:val="04C609C8"/>
    <w:rsid w:val="04D64234"/>
    <w:rsid w:val="04FA68C4"/>
    <w:rsid w:val="04FD09E6"/>
    <w:rsid w:val="05287E80"/>
    <w:rsid w:val="056106F1"/>
    <w:rsid w:val="05CB200E"/>
    <w:rsid w:val="05CC0260"/>
    <w:rsid w:val="05CC5250"/>
    <w:rsid w:val="060162FA"/>
    <w:rsid w:val="061340E1"/>
    <w:rsid w:val="0664445A"/>
    <w:rsid w:val="066C559F"/>
    <w:rsid w:val="069F5975"/>
    <w:rsid w:val="06B30491"/>
    <w:rsid w:val="06F36E72"/>
    <w:rsid w:val="07133467"/>
    <w:rsid w:val="072F04E6"/>
    <w:rsid w:val="07493A79"/>
    <w:rsid w:val="07571DAC"/>
    <w:rsid w:val="0786416A"/>
    <w:rsid w:val="078B7CA7"/>
    <w:rsid w:val="07996868"/>
    <w:rsid w:val="07BB67DE"/>
    <w:rsid w:val="07BD6940"/>
    <w:rsid w:val="07CD1629"/>
    <w:rsid w:val="07DE3F85"/>
    <w:rsid w:val="07E21FBD"/>
    <w:rsid w:val="08017F69"/>
    <w:rsid w:val="084C79DC"/>
    <w:rsid w:val="08B1373D"/>
    <w:rsid w:val="08B90130"/>
    <w:rsid w:val="08B9066C"/>
    <w:rsid w:val="09246605"/>
    <w:rsid w:val="09354FEC"/>
    <w:rsid w:val="094B3761"/>
    <w:rsid w:val="095742E5"/>
    <w:rsid w:val="09BF1E8A"/>
    <w:rsid w:val="09E162A4"/>
    <w:rsid w:val="0A134A7F"/>
    <w:rsid w:val="0A406B46"/>
    <w:rsid w:val="0A870BFA"/>
    <w:rsid w:val="0AD00AC6"/>
    <w:rsid w:val="0AE4097E"/>
    <w:rsid w:val="0B09160F"/>
    <w:rsid w:val="0B5A630E"/>
    <w:rsid w:val="0B873928"/>
    <w:rsid w:val="0B8D0492"/>
    <w:rsid w:val="0BA83350"/>
    <w:rsid w:val="0BEF4CA9"/>
    <w:rsid w:val="0BFE2F0C"/>
    <w:rsid w:val="0BFE313E"/>
    <w:rsid w:val="0C2F03F4"/>
    <w:rsid w:val="0C342A5C"/>
    <w:rsid w:val="0C396D85"/>
    <w:rsid w:val="0C3D4DC6"/>
    <w:rsid w:val="0C5D60B6"/>
    <w:rsid w:val="0C85560D"/>
    <w:rsid w:val="0CA5180B"/>
    <w:rsid w:val="0CAA5073"/>
    <w:rsid w:val="0CBD4DA7"/>
    <w:rsid w:val="0CCA1272"/>
    <w:rsid w:val="0CEA5470"/>
    <w:rsid w:val="0CFF716D"/>
    <w:rsid w:val="0DAD25B4"/>
    <w:rsid w:val="0DDC59AD"/>
    <w:rsid w:val="0DF77E44"/>
    <w:rsid w:val="0E230C39"/>
    <w:rsid w:val="0E2A3550"/>
    <w:rsid w:val="0E2D1AB8"/>
    <w:rsid w:val="0E323E7E"/>
    <w:rsid w:val="0E3771A3"/>
    <w:rsid w:val="0E72571D"/>
    <w:rsid w:val="0EB16245"/>
    <w:rsid w:val="0F525276"/>
    <w:rsid w:val="0F813D62"/>
    <w:rsid w:val="0F9067A2"/>
    <w:rsid w:val="0F917E59"/>
    <w:rsid w:val="0F922EC6"/>
    <w:rsid w:val="0F9E6D8A"/>
    <w:rsid w:val="0FA47D57"/>
    <w:rsid w:val="0FAA6CAB"/>
    <w:rsid w:val="0FB32491"/>
    <w:rsid w:val="0FE97B57"/>
    <w:rsid w:val="0FFC11EB"/>
    <w:rsid w:val="0FFC4859"/>
    <w:rsid w:val="10444FCB"/>
    <w:rsid w:val="104D01F0"/>
    <w:rsid w:val="10594DE6"/>
    <w:rsid w:val="1065378B"/>
    <w:rsid w:val="10685029"/>
    <w:rsid w:val="108D5862"/>
    <w:rsid w:val="109F4086"/>
    <w:rsid w:val="109F4FB0"/>
    <w:rsid w:val="10E732EB"/>
    <w:rsid w:val="11090198"/>
    <w:rsid w:val="111927C8"/>
    <w:rsid w:val="112A22DF"/>
    <w:rsid w:val="1131271C"/>
    <w:rsid w:val="11457119"/>
    <w:rsid w:val="114A472F"/>
    <w:rsid w:val="114D373D"/>
    <w:rsid w:val="11537A88"/>
    <w:rsid w:val="11847C41"/>
    <w:rsid w:val="119C1E7E"/>
    <w:rsid w:val="11A2456B"/>
    <w:rsid w:val="11A72066"/>
    <w:rsid w:val="11FA7A7E"/>
    <w:rsid w:val="1202500A"/>
    <w:rsid w:val="123F625E"/>
    <w:rsid w:val="12460DC0"/>
    <w:rsid w:val="12AA36CA"/>
    <w:rsid w:val="12AF5192"/>
    <w:rsid w:val="12BA016E"/>
    <w:rsid w:val="12EC0194"/>
    <w:rsid w:val="130A061A"/>
    <w:rsid w:val="132F62D2"/>
    <w:rsid w:val="1331204B"/>
    <w:rsid w:val="1356560D"/>
    <w:rsid w:val="13593099"/>
    <w:rsid w:val="139A357D"/>
    <w:rsid w:val="13D33102"/>
    <w:rsid w:val="13D431B9"/>
    <w:rsid w:val="13EE3A98"/>
    <w:rsid w:val="13FC12B7"/>
    <w:rsid w:val="13FD7798"/>
    <w:rsid w:val="140B798B"/>
    <w:rsid w:val="140F5EE4"/>
    <w:rsid w:val="142E4C5D"/>
    <w:rsid w:val="144B073D"/>
    <w:rsid w:val="14641FAC"/>
    <w:rsid w:val="14774465"/>
    <w:rsid w:val="14863CD0"/>
    <w:rsid w:val="14885C9A"/>
    <w:rsid w:val="1496206C"/>
    <w:rsid w:val="14B51D54"/>
    <w:rsid w:val="14B922F8"/>
    <w:rsid w:val="14B94A0A"/>
    <w:rsid w:val="14BC1DE8"/>
    <w:rsid w:val="14C111AC"/>
    <w:rsid w:val="14D37975"/>
    <w:rsid w:val="14EE265B"/>
    <w:rsid w:val="154F0566"/>
    <w:rsid w:val="158A77F0"/>
    <w:rsid w:val="15B12735"/>
    <w:rsid w:val="15C076B6"/>
    <w:rsid w:val="15DF0C9D"/>
    <w:rsid w:val="1615355E"/>
    <w:rsid w:val="16162A1E"/>
    <w:rsid w:val="162D62F7"/>
    <w:rsid w:val="164B7E34"/>
    <w:rsid w:val="16646293"/>
    <w:rsid w:val="16677B31"/>
    <w:rsid w:val="167F7ADA"/>
    <w:rsid w:val="16846563"/>
    <w:rsid w:val="168E5A27"/>
    <w:rsid w:val="16CC7EB6"/>
    <w:rsid w:val="16D3271A"/>
    <w:rsid w:val="172B068F"/>
    <w:rsid w:val="176C18A3"/>
    <w:rsid w:val="17982568"/>
    <w:rsid w:val="17DF4010"/>
    <w:rsid w:val="17F315DD"/>
    <w:rsid w:val="17FA51CF"/>
    <w:rsid w:val="18F25DD8"/>
    <w:rsid w:val="196A1E12"/>
    <w:rsid w:val="197A625B"/>
    <w:rsid w:val="198016BA"/>
    <w:rsid w:val="19A370D2"/>
    <w:rsid w:val="19CA0B03"/>
    <w:rsid w:val="19ED659F"/>
    <w:rsid w:val="1A17021F"/>
    <w:rsid w:val="1A1879C8"/>
    <w:rsid w:val="1A497C7A"/>
    <w:rsid w:val="1A4B73AA"/>
    <w:rsid w:val="1A69031C"/>
    <w:rsid w:val="1A7431C4"/>
    <w:rsid w:val="1A88492D"/>
    <w:rsid w:val="1AAC1FB7"/>
    <w:rsid w:val="1AB879A8"/>
    <w:rsid w:val="1AD978C7"/>
    <w:rsid w:val="1ADE4866"/>
    <w:rsid w:val="1AED4AA9"/>
    <w:rsid w:val="1AEF7C11"/>
    <w:rsid w:val="1B104900"/>
    <w:rsid w:val="1B1B211A"/>
    <w:rsid w:val="1B533DB3"/>
    <w:rsid w:val="1B791593"/>
    <w:rsid w:val="1BD116B2"/>
    <w:rsid w:val="1BD500FB"/>
    <w:rsid w:val="1BDE5947"/>
    <w:rsid w:val="1BF0329B"/>
    <w:rsid w:val="1C4E1078"/>
    <w:rsid w:val="1C8C02F2"/>
    <w:rsid w:val="1C8D0D33"/>
    <w:rsid w:val="1CE43C8A"/>
    <w:rsid w:val="1CF00880"/>
    <w:rsid w:val="1CF739BD"/>
    <w:rsid w:val="1CF87735"/>
    <w:rsid w:val="1D0205B4"/>
    <w:rsid w:val="1D162875"/>
    <w:rsid w:val="1D452DEC"/>
    <w:rsid w:val="1D76522A"/>
    <w:rsid w:val="1DA507B1"/>
    <w:rsid w:val="1DAB5248"/>
    <w:rsid w:val="1DB87967"/>
    <w:rsid w:val="1DFF5DAB"/>
    <w:rsid w:val="1E191D3B"/>
    <w:rsid w:val="1E220F0E"/>
    <w:rsid w:val="1E4D682F"/>
    <w:rsid w:val="1E7E7FAA"/>
    <w:rsid w:val="1EAA4A5F"/>
    <w:rsid w:val="1EB4768C"/>
    <w:rsid w:val="1ECE06D1"/>
    <w:rsid w:val="1EF23D8E"/>
    <w:rsid w:val="1F066C99"/>
    <w:rsid w:val="1F263139"/>
    <w:rsid w:val="1F2E743E"/>
    <w:rsid w:val="1F3507CD"/>
    <w:rsid w:val="1F7532BF"/>
    <w:rsid w:val="1F852F42"/>
    <w:rsid w:val="1F903C55"/>
    <w:rsid w:val="1F95570F"/>
    <w:rsid w:val="1F977A62"/>
    <w:rsid w:val="1F9F20EA"/>
    <w:rsid w:val="1FDE0E64"/>
    <w:rsid w:val="1FEF514A"/>
    <w:rsid w:val="1FF74783"/>
    <w:rsid w:val="20904146"/>
    <w:rsid w:val="20A068AF"/>
    <w:rsid w:val="20A84B63"/>
    <w:rsid w:val="20CB46AB"/>
    <w:rsid w:val="20DA0532"/>
    <w:rsid w:val="20DE7666"/>
    <w:rsid w:val="20EB30B0"/>
    <w:rsid w:val="20FF1092"/>
    <w:rsid w:val="21590EA2"/>
    <w:rsid w:val="217458C3"/>
    <w:rsid w:val="218D2B42"/>
    <w:rsid w:val="218E0668"/>
    <w:rsid w:val="2194474F"/>
    <w:rsid w:val="21A0181E"/>
    <w:rsid w:val="21AC558B"/>
    <w:rsid w:val="21B06830"/>
    <w:rsid w:val="21DC7625"/>
    <w:rsid w:val="21E93AF0"/>
    <w:rsid w:val="21F901D7"/>
    <w:rsid w:val="22250FCC"/>
    <w:rsid w:val="223034CD"/>
    <w:rsid w:val="22725754"/>
    <w:rsid w:val="228C4BA7"/>
    <w:rsid w:val="228E6618"/>
    <w:rsid w:val="22964F66"/>
    <w:rsid w:val="22E628AF"/>
    <w:rsid w:val="2302130E"/>
    <w:rsid w:val="23151041"/>
    <w:rsid w:val="23476D20"/>
    <w:rsid w:val="2369138D"/>
    <w:rsid w:val="23B00626"/>
    <w:rsid w:val="23BC770E"/>
    <w:rsid w:val="23C008A0"/>
    <w:rsid w:val="23CE07D8"/>
    <w:rsid w:val="23E65FE6"/>
    <w:rsid w:val="24416B0F"/>
    <w:rsid w:val="244A1834"/>
    <w:rsid w:val="24644B09"/>
    <w:rsid w:val="246F4781"/>
    <w:rsid w:val="24736896"/>
    <w:rsid w:val="2478593F"/>
    <w:rsid w:val="249E5066"/>
    <w:rsid w:val="24EF141E"/>
    <w:rsid w:val="24F81A91"/>
    <w:rsid w:val="24FD3B3B"/>
    <w:rsid w:val="25034EC9"/>
    <w:rsid w:val="25A128B8"/>
    <w:rsid w:val="25A84FAB"/>
    <w:rsid w:val="25E116AE"/>
    <w:rsid w:val="25EB7883"/>
    <w:rsid w:val="26557F83"/>
    <w:rsid w:val="265C6F87"/>
    <w:rsid w:val="266A3452"/>
    <w:rsid w:val="26955FF5"/>
    <w:rsid w:val="26FE51C0"/>
    <w:rsid w:val="27207FB4"/>
    <w:rsid w:val="27383550"/>
    <w:rsid w:val="2751016E"/>
    <w:rsid w:val="27816921"/>
    <w:rsid w:val="27870033"/>
    <w:rsid w:val="27BC5F2F"/>
    <w:rsid w:val="27C75EB3"/>
    <w:rsid w:val="27EE1E60"/>
    <w:rsid w:val="27FF4254"/>
    <w:rsid w:val="28017DE6"/>
    <w:rsid w:val="28033B5E"/>
    <w:rsid w:val="287D421D"/>
    <w:rsid w:val="287F0D0A"/>
    <w:rsid w:val="288441A7"/>
    <w:rsid w:val="28B169A5"/>
    <w:rsid w:val="28CA01D8"/>
    <w:rsid w:val="28E15521"/>
    <w:rsid w:val="28ED2118"/>
    <w:rsid w:val="28FE2577"/>
    <w:rsid w:val="2916166F"/>
    <w:rsid w:val="29664F15"/>
    <w:rsid w:val="29791BFE"/>
    <w:rsid w:val="29833800"/>
    <w:rsid w:val="29977B72"/>
    <w:rsid w:val="29A20053"/>
    <w:rsid w:val="29A20652"/>
    <w:rsid w:val="29B80978"/>
    <w:rsid w:val="29BF3AB4"/>
    <w:rsid w:val="29EB48A9"/>
    <w:rsid w:val="29F574D6"/>
    <w:rsid w:val="29F64FFC"/>
    <w:rsid w:val="2A1956F7"/>
    <w:rsid w:val="2A420242"/>
    <w:rsid w:val="2A500BB0"/>
    <w:rsid w:val="2A515CED"/>
    <w:rsid w:val="2A640578"/>
    <w:rsid w:val="2A7C2588"/>
    <w:rsid w:val="2A7F07C1"/>
    <w:rsid w:val="2ABE7C24"/>
    <w:rsid w:val="2ADA7D53"/>
    <w:rsid w:val="2AF4744A"/>
    <w:rsid w:val="2B0A07A6"/>
    <w:rsid w:val="2B2D0EF2"/>
    <w:rsid w:val="2B3C2072"/>
    <w:rsid w:val="2B8829CE"/>
    <w:rsid w:val="2B91322F"/>
    <w:rsid w:val="2B9D773A"/>
    <w:rsid w:val="2BCD78B8"/>
    <w:rsid w:val="2BD001FB"/>
    <w:rsid w:val="2BE83639"/>
    <w:rsid w:val="2C077995"/>
    <w:rsid w:val="2C612C7F"/>
    <w:rsid w:val="2C7D570A"/>
    <w:rsid w:val="2C83526D"/>
    <w:rsid w:val="2C945EA7"/>
    <w:rsid w:val="2CF10BF7"/>
    <w:rsid w:val="2CFC71ED"/>
    <w:rsid w:val="2D034995"/>
    <w:rsid w:val="2D05482D"/>
    <w:rsid w:val="2D1C2FCC"/>
    <w:rsid w:val="2D86504B"/>
    <w:rsid w:val="2DC436ED"/>
    <w:rsid w:val="2DCE28FC"/>
    <w:rsid w:val="2DF7523D"/>
    <w:rsid w:val="2E1476C6"/>
    <w:rsid w:val="2E285B1E"/>
    <w:rsid w:val="2E3009EB"/>
    <w:rsid w:val="2E3A195C"/>
    <w:rsid w:val="2E59629F"/>
    <w:rsid w:val="2EC8340B"/>
    <w:rsid w:val="2EF02962"/>
    <w:rsid w:val="2F10090E"/>
    <w:rsid w:val="2F46626A"/>
    <w:rsid w:val="2F580A6A"/>
    <w:rsid w:val="2F5B77BD"/>
    <w:rsid w:val="2FC751AB"/>
    <w:rsid w:val="2FF811E4"/>
    <w:rsid w:val="301663F8"/>
    <w:rsid w:val="30420CBB"/>
    <w:rsid w:val="305D5CE8"/>
    <w:rsid w:val="30A752A2"/>
    <w:rsid w:val="30B71989"/>
    <w:rsid w:val="30BF45C6"/>
    <w:rsid w:val="30D37E45"/>
    <w:rsid w:val="30EE42D7"/>
    <w:rsid w:val="30F06C49"/>
    <w:rsid w:val="30FF6E8C"/>
    <w:rsid w:val="313026B9"/>
    <w:rsid w:val="313905F0"/>
    <w:rsid w:val="31501F7C"/>
    <w:rsid w:val="316B62D0"/>
    <w:rsid w:val="317573CA"/>
    <w:rsid w:val="319B5CD8"/>
    <w:rsid w:val="31E06CBE"/>
    <w:rsid w:val="31E71BCA"/>
    <w:rsid w:val="32221682"/>
    <w:rsid w:val="32343F15"/>
    <w:rsid w:val="32520CE8"/>
    <w:rsid w:val="32975D30"/>
    <w:rsid w:val="32C9288D"/>
    <w:rsid w:val="32ED6200"/>
    <w:rsid w:val="331035D3"/>
    <w:rsid w:val="331D7A9E"/>
    <w:rsid w:val="332D7CE1"/>
    <w:rsid w:val="336456CD"/>
    <w:rsid w:val="338A2465"/>
    <w:rsid w:val="338B0EAB"/>
    <w:rsid w:val="33934F5F"/>
    <w:rsid w:val="339D5A07"/>
    <w:rsid w:val="33E763B0"/>
    <w:rsid w:val="33EA46EE"/>
    <w:rsid w:val="341B7CEE"/>
    <w:rsid w:val="341C1B03"/>
    <w:rsid w:val="343D3B77"/>
    <w:rsid w:val="34470BEE"/>
    <w:rsid w:val="347453CD"/>
    <w:rsid w:val="34871673"/>
    <w:rsid w:val="34970DC0"/>
    <w:rsid w:val="34CF39C8"/>
    <w:rsid w:val="34E5499D"/>
    <w:rsid w:val="34F34F5A"/>
    <w:rsid w:val="3516135F"/>
    <w:rsid w:val="352964F2"/>
    <w:rsid w:val="356E39FD"/>
    <w:rsid w:val="357940C4"/>
    <w:rsid w:val="3586192A"/>
    <w:rsid w:val="3598340C"/>
    <w:rsid w:val="35990AF0"/>
    <w:rsid w:val="35BA60B8"/>
    <w:rsid w:val="35E23E18"/>
    <w:rsid w:val="36315D3A"/>
    <w:rsid w:val="36363350"/>
    <w:rsid w:val="36370E76"/>
    <w:rsid w:val="363C23CD"/>
    <w:rsid w:val="36511F38"/>
    <w:rsid w:val="368D0CAE"/>
    <w:rsid w:val="368D43E3"/>
    <w:rsid w:val="36974991"/>
    <w:rsid w:val="369B1405"/>
    <w:rsid w:val="36BA5D2F"/>
    <w:rsid w:val="37021484"/>
    <w:rsid w:val="3757357E"/>
    <w:rsid w:val="377A54BF"/>
    <w:rsid w:val="378400EB"/>
    <w:rsid w:val="37CF580A"/>
    <w:rsid w:val="37DC21BD"/>
    <w:rsid w:val="37DC5883"/>
    <w:rsid w:val="37F1535C"/>
    <w:rsid w:val="384C1716"/>
    <w:rsid w:val="38545D10"/>
    <w:rsid w:val="38C22936"/>
    <w:rsid w:val="38DB3C0E"/>
    <w:rsid w:val="39205BF2"/>
    <w:rsid w:val="393B3E12"/>
    <w:rsid w:val="395A55A8"/>
    <w:rsid w:val="39840B91"/>
    <w:rsid w:val="398E5251"/>
    <w:rsid w:val="399F120C"/>
    <w:rsid w:val="39F33306"/>
    <w:rsid w:val="39FE4185"/>
    <w:rsid w:val="3A125E82"/>
    <w:rsid w:val="3A1E0383"/>
    <w:rsid w:val="3A241009"/>
    <w:rsid w:val="3A2D4A6A"/>
    <w:rsid w:val="3A4F49E1"/>
    <w:rsid w:val="3A540249"/>
    <w:rsid w:val="3A701E50"/>
    <w:rsid w:val="3A8D5509"/>
    <w:rsid w:val="3ABB6BFC"/>
    <w:rsid w:val="3AE3337B"/>
    <w:rsid w:val="3AF9316B"/>
    <w:rsid w:val="3B037579"/>
    <w:rsid w:val="3B0774FE"/>
    <w:rsid w:val="3B2507D2"/>
    <w:rsid w:val="3B2A0FAA"/>
    <w:rsid w:val="3BD523CC"/>
    <w:rsid w:val="3BE940D8"/>
    <w:rsid w:val="3C1F6635"/>
    <w:rsid w:val="3C2459F9"/>
    <w:rsid w:val="3C2B6D87"/>
    <w:rsid w:val="3C3E4D0D"/>
    <w:rsid w:val="3C502C92"/>
    <w:rsid w:val="3C5845F4"/>
    <w:rsid w:val="3C7A1ABD"/>
    <w:rsid w:val="3CF9213E"/>
    <w:rsid w:val="3D2A08B6"/>
    <w:rsid w:val="3D4A6ED5"/>
    <w:rsid w:val="3D600AC3"/>
    <w:rsid w:val="3D8E5820"/>
    <w:rsid w:val="3D934BE4"/>
    <w:rsid w:val="3D9D4E6D"/>
    <w:rsid w:val="3DC53738"/>
    <w:rsid w:val="3DD05E38"/>
    <w:rsid w:val="3E2A38BF"/>
    <w:rsid w:val="3E893619"/>
    <w:rsid w:val="3EDF7955"/>
    <w:rsid w:val="3EF34034"/>
    <w:rsid w:val="3EFD78B0"/>
    <w:rsid w:val="3F223780"/>
    <w:rsid w:val="3F35128E"/>
    <w:rsid w:val="3F390032"/>
    <w:rsid w:val="3F45355D"/>
    <w:rsid w:val="3F6E5E45"/>
    <w:rsid w:val="3FB43CEC"/>
    <w:rsid w:val="3FE94F8F"/>
    <w:rsid w:val="403156EE"/>
    <w:rsid w:val="40330901"/>
    <w:rsid w:val="40396BF8"/>
    <w:rsid w:val="40421E2A"/>
    <w:rsid w:val="404D0493"/>
    <w:rsid w:val="40964000"/>
    <w:rsid w:val="40A34DF8"/>
    <w:rsid w:val="40BB2DD0"/>
    <w:rsid w:val="40CD48B1"/>
    <w:rsid w:val="40E90FBF"/>
    <w:rsid w:val="41171FD0"/>
    <w:rsid w:val="41AB7813"/>
    <w:rsid w:val="41B11ADD"/>
    <w:rsid w:val="41CA5FC7"/>
    <w:rsid w:val="41F67E38"/>
    <w:rsid w:val="41F95891"/>
    <w:rsid w:val="42424E2B"/>
    <w:rsid w:val="426265D4"/>
    <w:rsid w:val="426D2366"/>
    <w:rsid w:val="42731488"/>
    <w:rsid w:val="428C0D8B"/>
    <w:rsid w:val="428C6E16"/>
    <w:rsid w:val="429F227D"/>
    <w:rsid w:val="42C609E5"/>
    <w:rsid w:val="42EE3196"/>
    <w:rsid w:val="4317044D"/>
    <w:rsid w:val="43943464"/>
    <w:rsid w:val="43E77A38"/>
    <w:rsid w:val="43F565F9"/>
    <w:rsid w:val="44054362"/>
    <w:rsid w:val="44336CBD"/>
    <w:rsid w:val="44384737"/>
    <w:rsid w:val="445223CA"/>
    <w:rsid w:val="445A371B"/>
    <w:rsid w:val="448E25A9"/>
    <w:rsid w:val="449D1930"/>
    <w:rsid w:val="44A55652"/>
    <w:rsid w:val="44C94E87"/>
    <w:rsid w:val="44CB735A"/>
    <w:rsid w:val="44DF2E05"/>
    <w:rsid w:val="4519434E"/>
    <w:rsid w:val="452E0D8C"/>
    <w:rsid w:val="45554E75"/>
    <w:rsid w:val="4565330A"/>
    <w:rsid w:val="45B14950"/>
    <w:rsid w:val="45B47DEE"/>
    <w:rsid w:val="45BC6CA2"/>
    <w:rsid w:val="45CC3389"/>
    <w:rsid w:val="45E32481"/>
    <w:rsid w:val="45E5444B"/>
    <w:rsid w:val="45FB5A1D"/>
    <w:rsid w:val="4605689B"/>
    <w:rsid w:val="460D63C5"/>
    <w:rsid w:val="46163055"/>
    <w:rsid w:val="463E3193"/>
    <w:rsid w:val="465A7F60"/>
    <w:rsid w:val="465B470D"/>
    <w:rsid w:val="46717A8D"/>
    <w:rsid w:val="467F03FC"/>
    <w:rsid w:val="46B83361"/>
    <w:rsid w:val="46CE7474"/>
    <w:rsid w:val="46FB54C8"/>
    <w:rsid w:val="471B32D5"/>
    <w:rsid w:val="474913DE"/>
    <w:rsid w:val="47492F50"/>
    <w:rsid w:val="475A5F5D"/>
    <w:rsid w:val="47A345BE"/>
    <w:rsid w:val="47CD33E9"/>
    <w:rsid w:val="47CE14F8"/>
    <w:rsid w:val="47D91D8D"/>
    <w:rsid w:val="47F94B69"/>
    <w:rsid w:val="48030BB8"/>
    <w:rsid w:val="48500230"/>
    <w:rsid w:val="486F792F"/>
    <w:rsid w:val="48741AB6"/>
    <w:rsid w:val="48770925"/>
    <w:rsid w:val="48BF5552"/>
    <w:rsid w:val="48D124EB"/>
    <w:rsid w:val="48DB23FB"/>
    <w:rsid w:val="48F350D1"/>
    <w:rsid w:val="48FA645F"/>
    <w:rsid w:val="4908675A"/>
    <w:rsid w:val="491237A9"/>
    <w:rsid w:val="49245970"/>
    <w:rsid w:val="49362DE1"/>
    <w:rsid w:val="49584F34"/>
    <w:rsid w:val="49642532"/>
    <w:rsid w:val="49980DF2"/>
    <w:rsid w:val="499836F9"/>
    <w:rsid w:val="49B467CB"/>
    <w:rsid w:val="49D02780"/>
    <w:rsid w:val="49DC7913"/>
    <w:rsid w:val="49E36EF3"/>
    <w:rsid w:val="49EA64D4"/>
    <w:rsid w:val="4A211DC9"/>
    <w:rsid w:val="4AA523FB"/>
    <w:rsid w:val="4ACF4DCB"/>
    <w:rsid w:val="4AEF448D"/>
    <w:rsid w:val="4AEF7870"/>
    <w:rsid w:val="4AF76925"/>
    <w:rsid w:val="4B244A4D"/>
    <w:rsid w:val="4B5E4732"/>
    <w:rsid w:val="4B6371C1"/>
    <w:rsid w:val="4BBC626F"/>
    <w:rsid w:val="4BCF3BD3"/>
    <w:rsid w:val="4BEB6533"/>
    <w:rsid w:val="4BF444A8"/>
    <w:rsid w:val="4C286E40"/>
    <w:rsid w:val="4C547C35"/>
    <w:rsid w:val="4CF338F1"/>
    <w:rsid w:val="4D110A7D"/>
    <w:rsid w:val="4D317F76"/>
    <w:rsid w:val="4D3D691B"/>
    <w:rsid w:val="4D447CA9"/>
    <w:rsid w:val="4D5B0EBF"/>
    <w:rsid w:val="4D8073FA"/>
    <w:rsid w:val="4DE60D60"/>
    <w:rsid w:val="4DF86DE5"/>
    <w:rsid w:val="4DFABD63"/>
    <w:rsid w:val="4E2F0959"/>
    <w:rsid w:val="4EAA7FE0"/>
    <w:rsid w:val="4F10078B"/>
    <w:rsid w:val="4F341D9E"/>
    <w:rsid w:val="4F351375"/>
    <w:rsid w:val="4F6F16D9"/>
    <w:rsid w:val="4FB54E8E"/>
    <w:rsid w:val="4FC326FC"/>
    <w:rsid w:val="502A20A2"/>
    <w:rsid w:val="506728B9"/>
    <w:rsid w:val="50720FD1"/>
    <w:rsid w:val="50963424"/>
    <w:rsid w:val="509C305B"/>
    <w:rsid w:val="50B52C6C"/>
    <w:rsid w:val="50FB3E9D"/>
    <w:rsid w:val="51144CCD"/>
    <w:rsid w:val="511D7E7F"/>
    <w:rsid w:val="517B3EB5"/>
    <w:rsid w:val="517C0CB4"/>
    <w:rsid w:val="51870AAC"/>
    <w:rsid w:val="51B573C7"/>
    <w:rsid w:val="51B81F37"/>
    <w:rsid w:val="51B82A14"/>
    <w:rsid w:val="51C55131"/>
    <w:rsid w:val="520914C1"/>
    <w:rsid w:val="520D671C"/>
    <w:rsid w:val="52162C76"/>
    <w:rsid w:val="522D01E0"/>
    <w:rsid w:val="52416EAD"/>
    <w:rsid w:val="524C200D"/>
    <w:rsid w:val="524E16DD"/>
    <w:rsid w:val="527A5569"/>
    <w:rsid w:val="527E4E00"/>
    <w:rsid w:val="52A106B6"/>
    <w:rsid w:val="52A253BB"/>
    <w:rsid w:val="52A35472"/>
    <w:rsid w:val="52AD0782"/>
    <w:rsid w:val="52B85C27"/>
    <w:rsid w:val="52BE405A"/>
    <w:rsid w:val="52D00C69"/>
    <w:rsid w:val="52D41ACF"/>
    <w:rsid w:val="52EA6574"/>
    <w:rsid w:val="53035F10"/>
    <w:rsid w:val="532314F1"/>
    <w:rsid w:val="534E0E94"/>
    <w:rsid w:val="535E583D"/>
    <w:rsid w:val="53641033"/>
    <w:rsid w:val="537B019D"/>
    <w:rsid w:val="53966D85"/>
    <w:rsid w:val="539F58F3"/>
    <w:rsid w:val="53A96B77"/>
    <w:rsid w:val="53CE4770"/>
    <w:rsid w:val="541738D3"/>
    <w:rsid w:val="54760287"/>
    <w:rsid w:val="549239F0"/>
    <w:rsid w:val="549C486F"/>
    <w:rsid w:val="549E0786"/>
    <w:rsid w:val="549F2977"/>
    <w:rsid w:val="54FC3D2F"/>
    <w:rsid w:val="551C2C54"/>
    <w:rsid w:val="551D2366"/>
    <w:rsid w:val="553B4087"/>
    <w:rsid w:val="5559450E"/>
    <w:rsid w:val="559A7000"/>
    <w:rsid w:val="55D818D6"/>
    <w:rsid w:val="561B7DDC"/>
    <w:rsid w:val="562A2C1B"/>
    <w:rsid w:val="562F5C6E"/>
    <w:rsid w:val="56466840"/>
    <w:rsid w:val="567333AD"/>
    <w:rsid w:val="56835CE6"/>
    <w:rsid w:val="56CD51B3"/>
    <w:rsid w:val="56CD7E2B"/>
    <w:rsid w:val="56D227CA"/>
    <w:rsid w:val="570D3802"/>
    <w:rsid w:val="571A4ACB"/>
    <w:rsid w:val="57250B4B"/>
    <w:rsid w:val="57DB2116"/>
    <w:rsid w:val="57ED13EA"/>
    <w:rsid w:val="57F56770"/>
    <w:rsid w:val="58653850"/>
    <w:rsid w:val="588F2B37"/>
    <w:rsid w:val="58B35CDA"/>
    <w:rsid w:val="58E93DFA"/>
    <w:rsid w:val="58F92F1A"/>
    <w:rsid w:val="58FF4520"/>
    <w:rsid w:val="5913597C"/>
    <w:rsid w:val="591A4342"/>
    <w:rsid w:val="593136D2"/>
    <w:rsid w:val="594D6995"/>
    <w:rsid w:val="59641925"/>
    <w:rsid w:val="598F49A2"/>
    <w:rsid w:val="59921E8F"/>
    <w:rsid w:val="59C22E50"/>
    <w:rsid w:val="59C56616"/>
    <w:rsid w:val="59D27F29"/>
    <w:rsid w:val="59FF5F31"/>
    <w:rsid w:val="59FF768E"/>
    <w:rsid w:val="5A2F4AE6"/>
    <w:rsid w:val="5A35341F"/>
    <w:rsid w:val="5A364E1D"/>
    <w:rsid w:val="5A3E3CD2"/>
    <w:rsid w:val="5A53777D"/>
    <w:rsid w:val="5A63328E"/>
    <w:rsid w:val="5A755D89"/>
    <w:rsid w:val="5AD00DCE"/>
    <w:rsid w:val="5B3226CB"/>
    <w:rsid w:val="5B5C4D58"/>
    <w:rsid w:val="5B81656C"/>
    <w:rsid w:val="5BA8339A"/>
    <w:rsid w:val="5BCB0256"/>
    <w:rsid w:val="5C2F421A"/>
    <w:rsid w:val="5C5679F9"/>
    <w:rsid w:val="5C5A69C7"/>
    <w:rsid w:val="5C6C2D78"/>
    <w:rsid w:val="5C741C2D"/>
    <w:rsid w:val="5CAC7619"/>
    <w:rsid w:val="5CBA7F88"/>
    <w:rsid w:val="5D12701B"/>
    <w:rsid w:val="5D310127"/>
    <w:rsid w:val="5D69786D"/>
    <w:rsid w:val="5D835720"/>
    <w:rsid w:val="5DA91F4D"/>
    <w:rsid w:val="5DF474C9"/>
    <w:rsid w:val="5DFB0858"/>
    <w:rsid w:val="5E05776F"/>
    <w:rsid w:val="5E237042"/>
    <w:rsid w:val="5E64550A"/>
    <w:rsid w:val="5E6A32E8"/>
    <w:rsid w:val="5E7D74BF"/>
    <w:rsid w:val="5E8D11EA"/>
    <w:rsid w:val="5EA93E10"/>
    <w:rsid w:val="5EEA2E54"/>
    <w:rsid w:val="5EFA466C"/>
    <w:rsid w:val="5F1D47FE"/>
    <w:rsid w:val="5F2C67EF"/>
    <w:rsid w:val="5F3B4164"/>
    <w:rsid w:val="5F487ACD"/>
    <w:rsid w:val="5F775DBC"/>
    <w:rsid w:val="5F7CF31E"/>
    <w:rsid w:val="5FA97E40"/>
    <w:rsid w:val="5FAC5D6C"/>
    <w:rsid w:val="5FCA512F"/>
    <w:rsid w:val="5FD255E8"/>
    <w:rsid w:val="5FF34123"/>
    <w:rsid w:val="5FF75244"/>
    <w:rsid w:val="5FFC2665"/>
    <w:rsid w:val="60082DB8"/>
    <w:rsid w:val="607639C7"/>
    <w:rsid w:val="60844B35"/>
    <w:rsid w:val="60C43183"/>
    <w:rsid w:val="611A60BD"/>
    <w:rsid w:val="61453F89"/>
    <w:rsid w:val="617503D4"/>
    <w:rsid w:val="61805237"/>
    <w:rsid w:val="61860438"/>
    <w:rsid w:val="61AF76B0"/>
    <w:rsid w:val="628C5F22"/>
    <w:rsid w:val="62AB1502"/>
    <w:rsid w:val="62B47227"/>
    <w:rsid w:val="62C87909"/>
    <w:rsid w:val="62D3168C"/>
    <w:rsid w:val="62DB56A1"/>
    <w:rsid w:val="62DC103F"/>
    <w:rsid w:val="631D6B7A"/>
    <w:rsid w:val="63465008"/>
    <w:rsid w:val="6353619B"/>
    <w:rsid w:val="637F7835"/>
    <w:rsid w:val="639649A0"/>
    <w:rsid w:val="63B3155D"/>
    <w:rsid w:val="63C33BC6"/>
    <w:rsid w:val="63CD67F3"/>
    <w:rsid w:val="63D3505D"/>
    <w:rsid w:val="63ED29F1"/>
    <w:rsid w:val="63F773CC"/>
    <w:rsid w:val="63FC163A"/>
    <w:rsid w:val="63FF17F8"/>
    <w:rsid w:val="64173EAB"/>
    <w:rsid w:val="641B623A"/>
    <w:rsid w:val="642B40BD"/>
    <w:rsid w:val="64790728"/>
    <w:rsid w:val="647C661F"/>
    <w:rsid w:val="647E00DA"/>
    <w:rsid w:val="648B3FB8"/>
    <w:rsid w:val="648F3AA8"/>
    <w:rsid w:val="64D42F77"/>
    <w:rsid w:val="651B358E"/>
    <w:rsid w:val="651F445E"/>
    <w:rsid w:val="65532D27"/>
    <w:rsid w:val="65735178"/>
    <w:rsid w:val="65C028F8"/>
    <w:rsid w:val="65C6174B"/>
    <w:rsid w:val="65CE23AE"/>
    <w:rsid w:val="66742F55"/>
    <w:rsid w:val="6687787B"/>
    <w:rsid w:val="66A51361"/>
    <w:rsid w:val="66B477F6"/>
    <w:rsid w:val="66BF666F"/>
    <w:rsid w:val="66C11A15"/>
    <w:rsid w:val="66C65546"/>
    <w:rsid w:val="66CC2D91"/>
    <w:rsid w:val="66EF552A"/>
    <w:rsid w:val="66F611E1"/>
    <w:rsid w:val="66F75934"/>
    <w:rsid w:val="670254A6"/>
    <w:rsid w:val="670D4785"/>
    <w:rsid w:val="679715F1"/>
    <w:rsid w:val="67982C74"/>
    <w:rsid w:val="679A2E90"/>
    <w:rsid w:val="67B0620F"/>
    <w:rsid w:val="686A16F9"/>
    <w:rsid w:val="68757459"/>
    <w:rsid w:val="68915F25"/>
    <w:rsid w:val="689F636D"/>
    <w:rsid w:val="68E247C6"/>
    <w:rsid w:val="68E41190"/>
    <w:rsid w:val="69020CEC"/>
    <w:rsid w:val="690A7BA1"/>
    <w:rsid w:val="69321695"/>
    <w:rsid w:val="696966C5"/>
    <w:rsid w:val="69951B60"/>
    <w:rsid w:val="69CB0365"/>
    <w:rsid w:val="69E26435"/>
    <w:rsid w:val="69EB3888"/>
    <w:rsid w:val="69F779AC"/>
    <w:rsid w:val="6A3D7B02"/>
    <w:rsid w:val="6A815841"/>
    <w:rsid w:val="6A94006A"/>
    <w:rsid w:val="6A971908"/>
    <w:rsid w:val="6A9F07BD"/>
    <w:rsid w:val="6AB6625B"/>
    <w:rsid w:val="6AC95859"/>
    <w:rsid w:val="6ACE4BFE"/>
    <w:rsid w:val="6B2D5DC9"/>
    <w:rsid w:val="6B3773BA"/>
    <w:rsid w:val="6B684C06"/>
    <w:rsid w:val="6B6F21BF"/>
    <w:rsid w:val="6BAB79C9"/>
    <w:rsid w:val="6BB362CE"/>
    <w:rsid w:val="6BB838E4"/>
    <w:rsid w:val="6BB95FEA"/>
    <w:rsid w:val="6BCC7390"/>
    <w:rsid w:val="6BFE52C4"/>
    <w:rsid w:val="6C004E0B"/>
    <w:rsid w:val="6C0A1573"/>
    <w:rsid w:val="6C4258A4"/>
    <w:rsid w:val="6C4E3BC7"/>
    <w:rsid w:val="6C795771"/>
    <w:rsid w:val="6C8B0FF9"/>
    <w:rsid w:val="6C9A6408"/>
    <w:rsid w:val="6CB00A5F"/>
    <w:rsid w:val="6CB0535E"/>
    <w:rsid w:val="6CB55D87"/>
    <w:rsid w:val="6D5749A8"/>
    <w:rsid w:val="6D5D0BE7"/>
    <w:rsid w:val="6DA52838"/>
    <w:rsid w:val="6DD95D94"/>
    <w:rsid w:val="6DDA2238"/>
    <w:rsid w:val="6DED49EB"/>
    <w:rsid w:val="6DFD7CD4"/>
    <w:rsid w:val="6DFE57FA"/>
    <w:rsid w:val="6E0E1EE1"/>
    <w:rsid w:val="6E414065"/>
    <w:rsid w:val="6E54308B"/>
    <w:rsid w:val="6E602011"/>
    <w:rsid w:val="6E7B229C"/>
    <w:rsid w:val="6E8B52E0"/>
    <w:rsid w:val="6E9B6A25"/>
    <w:rsid w:val="6EDC38DC"/>
    <w:rsid w:val="6EF47329"/>
    <w:rsid w:val="6F152DFC"/>
    <w:rsid w:val="6F153DD1"/>
    <w:rsid w:val="6F1C062E"/>
    <w:rsid w:val="6F4A519B"/>
    <w:rsid w:val="6F4B2CC1"/>
    <w:rsid w:val="6F8561D3"/>
    <w:rsid w:val="6F930B39"/>
    <w:rsid w:val="6FA53C85"/>
    <w:rsid w:val="6FF9096F"/>
    <w:rsid w:val="701B6B38"/>
    <w:rsid w:val="70323478"/>
    <w:rsid w:val="703B1488"/>
    <w:rsid w:val="703D260A"/>
    <w:rsid w:val="705119F3"/>
    <w:rsid w:val="705B5186"/>
    <w:rsid w:val="70B104D6"/>
    <w:rsid w:val="71041913"/>
    <w:rsid w:val="713B3F22"/>
    <w:rsid w:val="715040D1"/>
    <w:rsid w:val="715C7408"/>
    <w:rsid w:val="716562BC"/>
    <w:rsid w:val="716D5171"/>
    <w:rsid w:val="717B2E98"/>
    <w:rsid w:val="718D2089"/>
    <w:rsid w:val="71BE3C1E"/>
    <w:rsid w:val="71CA611F"/>
    <w:rsid w:val="71FFD4AC"/>
    <w:rsid w:val="72135D18"/>
    <w:rsid w:val="72192C03"/>
    <w:rsid w:val="72373677"/>
    <w:rsid w:val="724E4FA2"/>
    <w:rsid w:val="72783DCD"/>
    <w:rsid w:val="72BB1F0C"/>
    <w:rsid w:val="72BF3E4A"/>
    <w:rsid w:val="72E2458A"/>
    <w:rsid w:val="730E687A"/>
    <w:rsid w:val="734A6EB3"/>
    <w:rsid w:val="73655681"/>
    <w:rsid w:val="73744F9D"/>
    <w:rsid w:val="73755FC7"/>
    <w:rsid w:val="738531BD"/>
    <w:rsid w:val="73CA65D6"/>
    <w:rsid w:val="73D21744"/>
    <w:rsid w:val="73D70FC8"/>
    <w:rsid w:val="73EF6311"/>
    <w:rsid w:val="7406129A"/>
    <w:rsid w:val="741F0948"/>
    <w:rsid w:val="743401C8"/>
    <w:rsid w:val="7462686A"/>
    <w:rsid w:val="749426FE"/>
    <w:rsid w:val="74CC6652"/>
    <w:rsid w:val="74EC2851"/>
    <w:rsid w:val="74F33742"/>
    <w:rsid w:val="750556C0"/>
    <w:rsid w:val="750E27C7"/>
    <w:rsid w:val="75175B20"/>
    <w:rsid w:val="75191FE3"/>
    <w:rsid w:val="751D69ED"/>
    <w:rsid w:val="7537B0D1"/>
    <w:rsid w:val="753812B9"/>
    <w:rsid w:val="754A3087"/>
    <w:rsid w:val="75507BDE"/>
    <w:rsid w:val="7591786E"/>
    <w:rsid w:val="75B275F6"/>
    <w:rsid w:val="75C56676"/>
    <w:rsid w:val="75EF084A"/>
    <w:rsid w:val="75F40F85"/>
    <w:rsid w:val="75F51C98"/>
    <w:rsid w:val="761D53B8"/>
    <w:rsid w:val="76236746"/>
    <w:rsid w:val="7630676D"/>
    <w:rsid w:val="7636727E"/>
    <w:rsid w:val="763F719A"/>
    <w:rsid w:val="76846B20"/>
    <w:rsid w:val="769413F2"/>
    <w:rsid w:val="769767EC"/>
    <w:rsid w:val="76CE66B2"/>
    <w:rsid w:val="76DEED45"/>
    <w:rsid w:val="772B64D0"/>
    <w:rsid w:val="772E53A2"/>
    <w:rsid w:val="773208B8"/>
    <w:rsid w:val="77356731"/>
    <w:rsid w:val="774A385E"/>
    <w:rsid w:val="77925931"/>
    <w:rsid w:val="77C70E30"/>
    <w:rsid w:val="77D73344"/>
    <w:rsid w:val="78000AED"/>
    <w:rsid w:val="780B209E"/>
    <w:rsid w:val="78237DF3"/>
    <w:rsid w:val="782A5B6A"/>
    <w:rsid w:val="78372035"/>
    <w:rsid w:val="783E5A5F"/>
    <w:rsid w:val="785901FD"/>
    <w:rsid w:val="78624546"/>
    <w:rsid w:val="788D434B"/>
    <w:rsid w:val="78F817C4"/>
    <w:rsid w:val="790570E3"/>
    <w:rsid w:val="79450781"/>
    <w:rsid w:val="795B1D53"/>
    <w:rsid w:val="79682453"/>
    <w:rsid w:val="79F11E63"/>
    <w:rsid w:val="7A1C4817"/>
    <w:rsid w:val="7A2465E9"/>
    <w:rsid w:val="7A55331D"/>
    <w:rsid w:val="7A637111"/>
    <w:rsid w:val="7A6C06BC"/>
    <w:rsid w:val="7ACA4638"/>
    <w:rsid w:val="7B1668D7"/>
    <w:rsid w:val="7B1869E7"/>
    <w:rsid w:val="7B1B3E90"/>
    <w:rsid w:val="7B2A7C2F"/>
    <w:rsid w:val="7B2F5245"/>
    <w:rsid w:val="7B565CF4"/>
    <w:rsid w:val="7B65510B"/>
    <w:rsid w:val="7B7610C6"/>
    <w:rsid w:val="7B84603D"/>
    <w:rsid w:val="7BCF0C13"/>
    <w:rsid w:val="7BEC2CDE"/>
    <w:rsid w:val="7BEFACEE"/>
    <w:rsid w:val="7C15430C"/>
    <w:rsid w:val="7C373F1C"/>
    <w:rsid w:val="7C655D5E"/>
    <w:rsid w:val="7C831CEC"/>
    <w:rsid w:val="7C9B5288"/>
    <w:rsid w:val="7C9D1235"/>
    <w:rsid w:val="7CA16AA5"/>
    <w:rsid w:val="7CD60F5D"/>
    <w:rsid w:val="7D0C51A1"/>
    <w:rsid w:val="7D16490F"/>
    <w:rsid w:val="7D3B0266"/>
    <w:rsid w:val="7D3B25C7"/>
    <w:rsid w:val="7D5155A2"/>
    <w:rsid w:val="7D87304F"/>
    <w:rsid w:val="7D9976F2"/>
    <w:rsid w:val="7DAF33EF"/>
    <w:rsid w:val="7DB44496"/>
    <w:rsid w:val="7DB639FC"/>
    <w:rsid w:val="7DE16282"/>
    <w:rsid w:val="7E134DC7"/>
    <w:rsid w:val="7E372D8F"/>
    <w:rsid w:val="7E394D59"/>
    <w:rsid w:val="7E431255"/>
    <w:rsid w:val="7E473FF2"/>
    <w:rsid w:val="7E521976"/>
    <w:rsid w:val="7E837D82"/>
    <w:rsid w:val="7EE30820"/>
    <w:rsid w:val="7EF66A44"/>
    <w:rsid w:val="7F2350C1"/>
    <w:rsid w:val="7F427C3D"/>
    <w:rsid w:val="7F5C720D"/>
    <w:rsid w:val="7F771C7A"/>
    <w:rsid w:val="7F961FCD"/>
    <w:rsid w:val="7F9D7069"/>
    <w:rsid w:val="7FAC155A"/>
    <w:rsid w:val="7FBDE2B6"/>
    <w:rsid w:val="7FF95B1C"/>
    <w:rsid w:val="A67FAFEF"/>
    <w:rsid w:val="AF9FF06F"/>
    <w:rsid w:val="CEBFBCED"/>
    <w:rsid w:val="DDFDB0F0"/>
    <w:rsid w:val="F75EC6AC"/>
    <w:rsid w:val="FDA86458"/>
    <w:rsid w:val="FE5E9B78"/>
    <w:rsid w:val="FEFD23CF"/>
    <w:rsid w:val="FF7F26E9"/>
    <w:rsid w:val="FFF002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1"/>
    <w:next w:val="1"/>
    <w:qFormat/>
    <w:uiPriority w:val="0"/>
    <w:pPr>
      <w:numPr>
        <w:ilvl w:val="2"/>
        <w:numId w:val="1"/>
      </w:numPr>
      <w:tabs>
        <w:tab w:val="left" w:pos="900"/>
      </w:tabs>
      <w:adjustRightInd w:val="0"/>
      <w:spacing w:before="120" w:line="360" w:lineRule="auto"/>
      <w:textAlignment w:val="baseline"/>
      <w:outlineLvl w:val="2"/>
    </w:pPr>
    <w:rPr>
      <w:rFonts w:eastAsia="黑体"/>
      <w:b/>
      <w:kern w:val="0"/>
      <w:sz w:val="28"/>
      <w:szCs w:val="20"/>
    </w:rPr>
  </w:style>
  <w:style w:type="paragraph" w:styleId="5">
    <w:name w:val="heading 4"/>
    <w:basedOn w:val="1"/>
    <w:next w:val="1"/>
    <w:unhideWhenUsed/>
    <w:qFormat/>
    <w:uiPriority w:val="9"/>
    <w:pPr>
      <w:keepNext/>
      <w:keepLines/>
      <w:spacing w:before="120"/>
      <w:outlineLvl w:val="3"/>
    </w:pPr>
    <w:rPr>
      <w:rFonts w:cstheme="majorBidi"/>
      <w:b/>
      <w:bCs/>
      <w:sz w:val="30"/>
      <w:szCs w:val="28"/>
    </w:rPr>
  </w:style>
  <w:style w:type="paragraph" w:styleId="6">
    <w:name w:val="heading 5"/>
    <w:basedOn w:val="7"/>
    <w:next w:val="8"/>
    <w:semiHidden/>
    <w:unhideWhenUsed/>
    <w:qFormat/>
    <w:uiPriority w:val="0"/>
    <w:pPr>
      <w:numPr>
        <w:ilvl w:val="4"/>
        <w:numId w:val="2"/>
      </w:numPr>
      <w:tabs>
        <w:tab w:val="left" w:pos="780"/>
      </w:tabs>
      <w:spacing w:line="360" w:lineRule="auto"/>
      <w:ind w:left="1292" w:hanging="1008"/>
      <w:jc w:val="left"/>
      <w:outlineLvl w:val="4"/>
    </w:pPr>
    <w:rPr>
      <w:rFonts w:ascii="黑体" w:hAnsi="黑体" w:eastAsia="宋体" w:cs="黑体"/>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List Number 2"/>
    <w:basedOn w:val="1"/>
    <w:qFormat/>
    <w:uiPriority w:val="0"/>
    <w:pPr>
      <w:numPr>
        <w:ilvl w:val="0"/>
        <w:numId w:val="3"/>
      </w:numPr>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able of authorities"/>
    <w:basedOn w:val="1"/>
    <w:next w:val="1"/>
    <w:unhideWhenUsed/>
    <w:qFormat/>
    <w:uiPriority w:val="0"/>
    <w:pPr>
      <w:spacing w:before="156" w:beforeLines="50" w:after="156" w:afterLines="50" w:line="360" w:lineRule="auto"/>
      <w:ind w:left="420" w:leftChars="200" w:firstLine="480" w:firstLineChars="200"/>
    </w:pPr>
    <w:rPr>
      <w:rFonts w:ascii="Times New Roman" w:hAnsi="Times New Roman"/>
      <w:sz w:val="24"/>
      <w:szCs w:val="20"/>
    </w:rPr>
  </w:style>
  <w:style w:type="paragraph" w:styleId="10">
    <w:name w:val="Normal Indent"/>
    <w:basedOn w:val="1"/>
    <w:qFormat/>
    <w:uiPriority w:val="0"/>
    <w:pPr>
      <w:tabs>
        <w:tab w:val="left" w:pos="750"/>
      </w:tabs>
      <w:spacing w:before="50" w:beforeLines="50" w:line="300" w:lineRule="auto"/>
      <w:ind w:firstLine="200" w:firstLineChars="200"/>
    </w:pPr>
    <w:rPr>
      <w:rFonts w:ascii="宋体"/>
      <w:szCs w:val="20"/>
    </w:rPr>
  </w:style>
  <w:style w:type="paragraph" w:styleId="11">
    <w:name w:val="Document Map"/>
    <w:basedOn w:val="1"/>
    <w:qFormat/>
    <w:uiPriority w:val="99"/>
    <w:pPr>
      <w:shd w:val="clear" w:color="auto" w:fill="000080"/>
    </w:pPr>
    <w:rPr>
      <w:kern w:val="0"/>
      <w:sz w:val="24"/>
    </w:r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qFormat/>
    <w:uiPriority w:val="0"/>
    <w:pPr>
      <w:jc w:val="left"/>
    </w:pPr>
  </w:style>
  <w:style w:type="paragraph" w:styleId="14">
    <w:name w:val="Body Text"/>
    <w:basedOn w:val="1"/>
    <w:next w:val="15"/>
    <w:qFormat/>
    <w:uiPriority w:val="99"/>
    <w:pPr>
      <w:spacing w:after="120"/>
    </w:pPr>
  </w:style>
  <w:style w:type="paragraph" w:styleId="15">
    <w:name w:val="toc 5"/>
    <w:basedOn w:val="1"/>
    <w:next w:val="1"/>
    <w:qFormat/>
    <w:uiPriority w:val="0"/>
    <w:pPr>
      <w:spacing w:line="440" w:lineRule="exact"/>
      <w:ind w:left="630" w:firstLine="200" w:firstLineChars="200"/>
      <w:jc w:val="left"/>
    </w:pPr>
    <w:rPr>
      <w:sz w:val="20"/>
    </w:rPr>
  </w:style>
  <w:style w:type="paragraph" w:styleId="16">
    <w:name w:val="Body Text Indent"/>
    <w:basedOn w:val="1"/>
    <w:next w:val="17"/>
    <w:qFormat/>
    <w:uiPriority w:val="99"/>
    <w:pPr>
      <w:spacing w:line="580" w:lineRule="exact"/>
      <w:ind w:left="2" w:firstLine="720" w:firstLineChars="225"/>
    </w:pPr>
    <w:rPr>
      <w:rFonts w:ascii="Times New Roman" w:hAnsi="Times New Roman" w:eastAsia="仿宋_GB2312"/>
      <w:sz w:val="32"/>
    </w:rPr>
  </w:style>
  <w:style w:type="paragraph" w:styleId="17">
    <w:name w:val="Body Text First Indent 2"/>
    <w:basedOn w:val="16"/>
    <w:unhideWhenUsed/>
    <w:qFormat/>
    <w:uiPriority w:val="99"/>
    <w:pPr>
      <w:spacing w:after="120" w:line="240" w:lineRule="auto"/>
      <w:ind w:left="420" w:leftChars="200" w:firstLine="420" w:firstLineChars="200"/>
    </w:pPr>
    <w:rPr>
      <w:sz w:val="21"/>
    </w:rPr>
  </w:style>
  <w:style w:type="paragraph" w:styleId="18">
    <w:name w:val="Plain Text"/>
    <w:basedOn w:val="1"/>
    <w:next w:val="1"/>
    <w:qFormat/>
    <w:uiPriority w:val="0"/>
    <w:rPr>
      <w:rFonts w:ascii="宋体"/>
      <w:szCs w:val="20"/>
    </w:rPr>
  </w:style>
  <w:style w:type="paragraph" w:styleId="19">
    <w:name w:val="Body Text Indent 2"/>
    <w:basedOn w:val="1"/>
    <w:qFormat/>
    <w:uiPriority w:val="0"/>
    <w:pPr>
      <w:spacing w:after="120" w:line="480" w:lineRule="auto"/>
      <w:ind w:left="200" w:leftChars="200"/>
    </w:pPr>
  </w:style>
  <w:style w:type="paragraph" w:styleId="20">
    <w:name w:val="footer"/>
    <w:basedOn w:val="1"/>
    <w:qFormat/>
    <w:uiPriority w:val="0"/>
    <w:pPr>
      <w:tabs>
        <w:tab w:val="center" w:pos="4153"/>
        <w:tab w:val="right" w:pos="8306"/>
      </w:tabs>
      <w:snapToGrid w:val="0"/>
      <w:jc w:val="left"/>
    </w:pPr>
    <w:rPr>
      <w:rFonts w:ascii="宋体"/>
      <w:sz w:val="18"/>
      <w:szCs w:val="20"/>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23">
    <w:name w:val="toc 2"/>
    <w:basedOn w:val="1"/>
    <w:next w:val="1"/>
    <w:qFormat/>
    <w:uiPriority w:val="39"/>
    <w:pPr>
      <w:tabs>
        <w:tab w:val="right" w:leader="dot" w:pos="9628"/>
      </w:tabs>
      <w:spacing w:line="260" w:lineRule="exact"/>
      <w:ind w:left="210"/>
      <w:jc w:val="left"/>
    </w:pPr>
    <w:rPr>
      <w:smallCaps/>
      <w:sz w:val="20"/>
      <w:szCs w:val="20"/>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14"/>
    <w:qFormat/>
    <w:uiPriority w:val="0"/>
    <w:pPr>
      <w:spacing w:after="120"/>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style>
  <w:style w:type="character" w:styleId="31">
    <w:name w:val="Emphasis"/>
    <w:basedOn w:val="28"/>
    <w:qFormat/>
    <w:uiPriority w:val="20"/>
    <w:rPr>
      <w:i/>
      <w:iCs/>
    </w:rPr>
  </w:style>
  <w:style w:type="character" w:styleId="32">
    <w:name w:val="Hyperlink"/>
    <w:qFormat/>
    <w:uiPriority w:val="99"/>
    <w:rPr>
      <w:color w:val="000000"/>
      <w:u w:val="none"/>
    </w:rPr>
  </w:style>
  <w:style w:type="character" w:styleId="33">
    <w:name w:val="annotation reference"/>
    <w:qFormat/>
    <w:uiPriority w:val="99"/>
    <w:rPr>
      <w:sz w:val="21"/>
      <w:szCs w:val="21"/>
    </w:rPr>
  </w:style>
  <w:style w:type="character" w:styleId="34">
    <w:name w:val="HTML Sample"/>
    <w:basedOn w:val="28"/>
    <w:qFormat/>
    <w:uiPriority w:val="0"/>
    <w:rPr>
      <w:rFonts w:ascii="Courier New" w:hAnsi="Courier New"/>
    </w:rPr>
  </w:style>
  <w:style w:type="paragraph" w:customStyle="1" w:styleId="35">
    <w:name w:val="列出段落1"/>
    <w:basedOn w:val="1"/>
    <w:qFormat/>
    <w:uiPriority w:val="99"/>
    <w:pPr>
      <w:ind w:firstLine="420" w:firstLineChars="200"/>
    </w:pPr>
    <w:rPr>
      <w:szCs w:val="21"/>
    </w:rPr>
  </w:style>
  <w:style w:type="paragraph" w:styleId="36">
    <w:name w:val="List Paragraph"/>
    <w:basedOn w:val="1"/>
    <w:qFormat/>
    <w:uiPriority w:val="34"/>
    <w:pPr>
      <w:ind w:firstLine="420"/>
    </w:p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标题 1 字符"/>
    <w:link w:val="2"/>
    <w:qFormat/>
    <w:uiPriority w:val="0"/>
    <w:rPr>
      <w:rFonts w:eastAsia="黑体"/>
      <w:b/>
      <w:kern w:val="44"/>
      <w:sz w:val="28"/>
      <w:szCs w:val="20"/>
    </w:rPr>
  </w:style>
  <w:style w:type="paragraph" w:customStyle="1" w:styleId="39">
    <w:name w:val="Normal_2"/>
    <w:qFormat/>
    <w:uiPriority w:val="0"/>
    <w:pPr>
      <w:widowControl w:val="0"/>
      <w:jc w:val="both"/>
    </w:pPr>
    <w:rPr>
      <w:rFonts w:ascii="Calibri" w:hAnsi="Calibri" w:eastAsia="宋体" w:cs="Times New Roman"/>
      <w:lang w:val="en-US" w:eastAsia="zh-CN" w:bidi="ar-SA"/>
    </w:rPr>
  </w:style>
  <w:style w:type="character" w:customStyle="1" w:styleId="40">
    <w:name w:val="_Style 32"/>
    <w:unhideWhenUsed/>
    <w:qFormat/>
    <w:uiPriority w:val="99"/>
    <w:rPr>
      <w:color w:val="605E5C"/>
      <w:shd w:val="clear" w:color="auto" w:fill="E1DFDD"/>
    </w:rPr>
  </w:style>
  <w:style w:type="character" w:customStyle="1" w:styleId="41">
    <w:name w:val="标题 2 字符"/>
    <w:qFormat/>
    <w:locked/>
    <w:uiPriority w:val="9"/>
    <w:rPr>
      <w:rFonts w:ascii="等线 Light" w:hAnsi="等线 Light" w:eastAsia="等线 Light" w:cs="Times New Roman"/>
      <w:b/>
      <w:bCs/>
      <w:sz w:val="32"/>
      <w:szCs w:val="32"/>
    </w:rPr>
  </w:style>
  <w:style w:type="paragraph" w:customStyle="1" w:styleId="42">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21"/>
      <w:szCs w:val="32"/>
      <w:lang w:val="en-US" w:eastAsia="zh-CN" w:bidi="ar-SA"/>
    </w:rPr>
  </w:style>
  <w:style w:type="paragraph" w:customStyle="1" w:styleId="43">
    <w:name w:val="Normal Indent1"/>
    <w:basedOn w:val="44"/>
    <w:qFormat/>
    <w:uiPriority w:val="99"/>
    <w:pPr>
      <w:ind w:firstLine="420" w:firstLineChars="200"/>
    </w:pPr>
    <w:rPr>
      <w:rFonts w:eastAsia="宋体" w:cs="Times New Roman"/>
    </w:rPr>
  </w:style>
  <w:style w:type="paragraph" w:customStyle="1" w:styleId="44">
    <w:name w:val="正文 New"/>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图表目录1"/>
    <w:basedOn w:val="46"/>
    <w:next w:val="46"/>
    <w:qFormat/>
    <w:uiPriority w:val="0"/>
    <w:pPr>
      <w:spacing w:line="480" w:lineRule="exact"/>
      <w:ind w:left="200" w:leftChars="200" w:hanging="200" w:hangingChars="200"/>
    </w:pPr>
    <w:rPr>
      <w:color w:val="7030A0"/>
      <w:sz w:val="24"/>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45"/>
    <w:qFormat/>
    <w:uiPriority w:val="0"/>
    <w:rPr>
      <w:rFonts w:ascii="Calibri" w:hAnsi="Calibri" w:cs="宋体"/>
    </w:rPr>
  </w:style>
  <w:style w:type="paragraph" w:customStyle="1" w:styleId="47">
    <w:name w:val="Heading1"/>
    <w:basedOn w:val="1"/>
    <w:next w:val="1"/>
    <w:qFormat/>
    <w:uiPriority w:val="0"/>
    <w:pPr>
      <w:keepNext/>
      <w:keepLines/>
      <w:spacing w:before="340" w:after="330" w:line="578" w:lineRule="auto"/>
      <w:jc w:val="both"/>
      <w:textAlignment w:val="baseline"/>
    </w:pPr>
    <w:rPr>
      <w:rFonts w:eastAsia="宋体" w:cs="Times New Roman"/>
      <w:b/>
      <w:bCs/>
      <w:kern w:val="44"/>
      <w:sz w:val="44"/>
      <w:szCs w:val="44"/>
      <w:lang w:val="en-US" w:eastAsia="zh-CN" w:bidi="ar-SA"/>
    </w:rPr>
  </w:style>
  <w:style w:type="paragraph" w:customStyle="1" w:styleId="48">
    <w:name w:val="xl23"/>
    <w:next w:val="49"/>
    <w:qFormat/>
    <w:uiPriority w:val="0"/>
    <w:pPr>
      <w:spacing w:before="100" w:beforeAutospacing="1" w:after="100" w:afterAutospacing="1"/>
      <w:jc w:val="center"/>
    </w:pPr>
    <w:rPr>
      <w:rFonts w:ascii="Arial Black" w:hAnsi="Arial Black" w:eastAsia="Arial Black" w:cs="Times New Roman"/>
      <w:sz w:val="24"/>
      <w:lang w:val="en-US" w:eastAsia="zh-CN" w:bidi="ar-SA"/>
    </w:rPr>
  </w:style>
  <w:style w:type="paragraph" w:customStyle="1" w:styleId="49">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50">
    <w:name w:val="_Style 42"/>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_Style 2"/>
    <w:basedOn w:val="1"/>
    <w:qFormat/>
    <w:uiPriority w:val="0"/>
    <w:pPr>
      <w:ind w:firstLine="420" w:firstLineChars="200"/>
    </w:pPr>
  </w:style>
  <w:style w:type="paragraph" w:customStyle="1" w:styleId="52">
    <w:name w:val="_Style 1"/>
    <w:basedOn w:val="1"/>
    <w:qFormat/>
    <w:uiPriority w:val="0"/>
    <w:pPr>
      <w:ind w:firstLine="420" w:firstLineChars="200"/>
    </w:pPr>
    <w:rPr>
      <w:rFonts w:ascii="Calibri" w:hAnsi="Calibri"/>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报告标题"/>
    <w:basedOn w:val="1"/>
    <w:qFormat/>
    <w:uiPriority w:val="0"/>
    <w:pPr>
      <w:widowControl/>
      <w:ind w:firstLine="0" w:firstLineChars="0"/>
      <w:jc w:val="center"/>
    </w:pPr>
    <w:rPr>
      <w:b/>
      <w:bCs/>
      <w:color w:val="000000" w:themeColor="text1"/>
      <w:kern w:val="0"/>
      <w:sz w:val="48"/>
      <w:szCs w:val="48"/>
      <w14:textFill>
        <w14:solidFill>
          <w14:schemeClr w14:val="tx1"/>
        </w14:solidFill>
      </w14:textFill>
    </w:rPr>
  </w:style>
  <w:style w:type="character" w:customStyle="1" w:styleId="55">
    <w:name w:val="标题 3 Char Char Char"/>
    <w:qFormat/>
    <w:uiPriority w:val="0"/>
    <w:rPr>
      <w:rFonts w:eastAsia="黑体"/>
      <w:b/>
      <w:bCs/>
      <w:kern w:val="2"/>
      <w:sz w:val="28"/>
      <w:szCs w:val="32"/>
      <w:lang w:val="en-US" w:eastAsia="zh-CN" w:bidi="ar-SA"/>
    </w:rPr>
  </w:style>
  <w:style w:type="character" w:customStyle="1" w:styleId="56">
    <w:name w:val="font21"/>
    <w:basedOn w:val="28"/>
    <w:qFormat/>
    <w:uiPriority w:val="0"/>
    <w:rPr>
      <w:rFonts w:hint="eastAsia" w:ascii="宋体" w:hAnsi="宋体" w:eastAsia="宋体" w:cs="宋体"/>
      <w:color w:val="000000"/>
      <w:sz w:val="40"/>
      <w:szCs w:val="40"/>
      <w:u w:val="none"/>
    </w:rPr>
  </w:style>
  <w:style w:type="character" w:customStyle="1" w:styleId="57">
    <w:name w:val="font11"/>
    <w:basedOn w:val="28"/>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8441</Words>
  <Characters>9524</Characters>
  <Lines>266</Lines>
  <Paragraphs>74</Paragraphs>
  <TotalTime>7</TotalTime>
  <ScaleCrop>false</ScaleCrop>
  <LinksUpToDate>false</LinksUpToDate>
  <CharactersWithSpaces>9560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2022-10-30T09:36:00Z</dcterms:created>
  <dc:creator>kylin</dc:creator>
  <cp:lastModifiedBy>钱多多</cp:lastModifiedBy>
  <cp:lastPrinted>2024-09-25T15:42:00Z</cp:lastPrinted>
  <dcterms:modified xsi:type="dcterms:W3CDTF">2026-05-21T11:20:00Z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49B2AF614B5044C6852B1DF5DFC654B3_13</vt:lpwstr>
  </property>
  <property fmtid="{D5CDD505-2E9C-101B-9397-08002B2CF9AE}" pid="4" name="KSOTemplateDocerSaveRecord">
    <vt:lpwstr>eyJoZGlkIjoiOTY1ZGI5NmI4OWQ1ZDU5YzFiZTQ3MDQ0MDNhYjM2Y2MiLCJ1c2VySWQiOiI0MjUwOTU5MTYifQ==</vt:lpwstr>
  </property>
</Properties>
</file>