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2054">
      <w:pPr>
        <w:tabs>
          <w:tab w:val="left" w:pos="426"/>
        </w:tabs>
        <w:spacing w:line="360" w:lineRule="auto"/>
        <w:ind w:left="2961" w:right="112" w:hanging="2600"/>
        <w:rPr>
          <w:rFonts w:hint="eastAsia" w:ascii="宋体" w:hAnsi="宋体" w:eastAsia="宋体" w:cs="宋体"/>
          <w:b/>
          <w:bCs/>
          <w:color w:val="000000" w:themeColor="text1"/>
          <w:sz w:val="48"/>
          <w:szCs w:val="48"/>
          <w:highlight w:val="none"/>
          <w14:textFill>
            <w14:solidFill>
              <w14:schemeClr w14:val="tx1"/>
            </w14:solidFill>
          </w14:textFill>
        </w:rPr>
      </w:pPr>
    </w:p>
    <w:p w14:paraId="5029FDE5">
      <w:pPr>
        <w:spacing w:after="240"/>
        <w:ind w:right="112"/>
        <w:jc w:val="center"/>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公开招标文件</w:t>
      </w:r>
    </w:p>
    <w:p w14:paraId="1E16482D">
      <w:pPr>
        <w:spacing w:after="240"/>
        <w:ind w:right="112"/>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（政府采购电子交易项目）</w:t>
      </w:r>
    </w:p>
    <w:p w14:paraId="3546021A">
      <w:pPr>
        <w:pStyle w:val="46"/>
        <w:rPr>
          <w:rFonts w:hint="eastAsia" w:ascii="宋体" w:hAnsi="宋体" w:eastAsia="宋体" w:cs="宋体"/>
          <w:color w:val="000000" w:themeColor="text1"/>
          <w:highlight w:val="none"/>
          <w14:textFill>
            <w14:solidFill>
              <w14:schemeClr w14:val="tx1"/>
            </w14:solidFill>
          </w14:textFill>
        </w:rPr>
      </w:pPr>
    </w:p>
    <w:p w14:paraId="3E78BC7E">
      <w:pPr>
        <w:pStyle w:val="46"/>
        <w:rPr>
          <w:rFonts w:hint="eastAsia" w:ascii="宋体" w:hAnsi="宋体" w:eastAsia="宋体" w:cs="宋体"/>
          <w:color w:val="000000" w:themeColor="text1"/>
          <w:highlight w:val="none"/>
          <w14:textFill>
            <w14:solidFill>
              <w14:schemeClr w14:val="tx1"/>
            </w14:solidFill>
          </w14:textFill>
        </w:rPr>
      </w:pPr>
    </w:p>
    <w:p w14:paraId="180B355B">
      <w:pPr>
        <w:pStyle w:val="46"/>
        <w:rPr>
          <w:rFonts w:hint="eastAsia" w:ascii="宋体" w:hAnsi="宋体" w:eastAsia="宋体" w:cs="宋体"/>
          <w:color w:val="000000" w:themeColor="text1"/>
          <w:highlight w:val="none"/>
          <w14:textFill>
            <w14:solidFill>
              <w14:schemeClr w14:val="tx1"/>
            </w14:solidFill>
          </w14:textFill>
        </w:rPr>
      </w:pPr>
    </w:p>
    <w:p w14:paraId="48EA5AC2">
      <w:pPr>
        <w:pStyle w:val="46"/>
        <w:rPr>
          <w:rFonts w:hint="eastAsia" w:ascii="宋体" w:hAnsi="宋体" w:eastAsia="宋体" w:cs="宋体"/>
          <w:color w:val="000000" w:themeColor="text1"/>
          <w:highlight w:val="none"/>
          <w14:textFill>
            <w14:solidFill>
              <w14:schemeClr w14:val="tx1"/>
            </w14:solidFill>
          </w14:textFill>
        </w:rPr>
      </w:pPr>
    </w:p>
    <w:p w14:paraId="12184C8F">
      <w:pPr>
        <w:pStyle w:val="46"/>
        <w:rPr>
          <w:rFonts w:hint="eastAsia" w:ascii="宋体" w:hAnsi="宋体" w:eastAsia="宋体" w:cs="宋体"/>
          <w:color w:val="000000" w:themeColor="text1"/>
          <w:highlight w:val="none"/>
          <w14:textFill>
            <w14:solidFill>
              <w14:schemeClr w14:val="tx1"/>
            </w14:solidFill>
          </w14:textFill>
        </w:rPr>
      </w:pPr>
    </w:p>
    <w:p w14:paraId="38E24A70">
      <w:pPr>
        <w:pStyle w:val="46"/>
        <w:rPr>
          <w:rFonts w:hint="eastAsia" w:ascii="宋体" w:hAnsi="宋体" w:eastAsia="宋体" w:cs="宋体"/>
          <w:color w:val="000000" w:themeColor="text1"/>
          <w:highlight w:val="none"/>
          <w14:textFill>
            <w14:solidFill>
              <w14:schemeClr w14:val="tx1"/>
            </w14:solidFill>
          </w14:textFill>
        </w:rPr>
      </w:pPr>
    </w:p>
    <w:p w14:paraId="3D51CAC4">
      <w:pPr>
        <w:pStyle w:val="46"/>
        <w:rPr>
          <w:rFonts w:hint="eastAsia" w:ascii="宋体" w:hAnsi="宋体" w:eastAsia="宋体" w:cs="宋体"/>
          <w:color w:val="000000" w:themeColor="text1"/>
          <w:highlight w:val="none"/>
          <w14:textFill>
            <w14:solidFill>
              <w14:schemeClr w14:val="tx1"/>
            </w14:solidFill>
          </w14:textFill>
        </w:rPr>
      </w:pPr>
    </w:p>
    <w:p w14:paraId="4F812823">
      <w:pPr>
        <w:pStyle w:val="46"/>
        <w:rPr>
          <w:rFonts w:hint="eastAsia" w:ascii="宋体" w:hAnsi="宋体" w:eastAsia="宋体" w:cs="宋体"/>
          <w:color w:val="000000" w:themeColor="text1"/>
          <w:highlight w:val="none"/>
          <w14:textFill>
            <w14:solidFill>
              <w14:schemeClr w14:val="tx1"/>
            </w14:solidFill>
          </w14:textFill>
        </w:rPr>
      </w:pPr>
    </w:p>
    <w:p w14:paraId="1D749EB4">
      <w:pPr>
        <w:spacing w:before="240" w:beforeLines="100" w:after="240" w:afterLines="100" w:line="360" w:lineRule="auto"/>
        <w:ind w:left="2016" w:leftChars="100" w:right="65" w:rightChars="31" w:hanging="1806" w:hangingChars="500"/>
        <w:rPr>
          <w:rFonts w:hint="eastAsia" w:ascii="宋体" w:hAnsi="宋体" w:eastAsia="宋体" w:cs="宋体"/>
          <w:b/>
          <w:color w:val="000000" w:themeColor="text1"/>
          <w:kern w:val="0"/>
          <w:sz w:val="32"/>
          <w:szCs w:val="32"/>
          <w:highlight w:val="none"/>
          <w:u w:val="singl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宁波市集约运维改革市本级试点单位2026年机柜租赁服务项目</w:t>
      </w:r>
    </w:p>
    <w:p w14:paraId="1EFD814D">
      <w:pPr>
        <w:spacing w:before="240" w:beforeLines="100" w:after="240" w:afterLines="100" w:line="360" w:lineRule="auto"/>
        <w:ind w:left="2016" w:leftChars="100" w:right="112" w:hanging="1806" w:hangingChars="5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NBSFZX2026016（NBMC-20262076G）</w:t>
      </w:r>
    </w:p>
    <w:p w14:paraId="4994B141">
      <w:pPr>
        <w:spacing w:before="240" w:beforeLines="100" w:after="240" w:afterLines="100" w:line="360" w:lineRule="auto"/>
        <w:ind w:left="2016" w:leftChars="100" w:hanging="1806" w:hangingChars="500"/>
        <w:rPr>
          <w:rFonts w:hint="eastAsia" w:ascii="宋体" w:hAnsi="宋体" w:eastAsia="宋体" w:cs="宋体"/>
          <w:b/>
          <w:color w:val="000000" w:themeColor="text1"/>
          <w:kern w:val="0"/>
          <w:sz w:val="32"/>
          <w:szCs w:val="32"/>
          <w:highlight w:val="none"/>
          <w:u w:val="singl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cs="宋体"/>
          <w:b/>
          <w:color w:val="000000" w:themeColor="text1"/>
          <w:kern w:val="0"/>
          <w:sz w:val="32"/>
          <w:szCs w:val="32"/>
          <w:highlight w:val="none"/>
          <w:u w:val="single"/>
          <w14:textFill>
            <w14:solidFill>
              <w14:schemeClr w14:val="tx1"/>
            </w14:solidFill>
          </w14:textFill>
        </w:rPr>
        <w:t>宁波市数据服务中心</w:t>
      </w:r>
    </w:p>
    <w:p w14:paraId="5C2E635A">
      <w:pPr>
        <w:spacing w:before="240" w:beforeLines="100" w:after="240" w:afterLines="100" w:line="360" w:lineRule="auto"/>
        <w:ind w:left="2016" w:leftChars="100" w:hanging="1806" w:hangingChars="5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宁波名诚招标代理有限公司</w:t>
      </w:r>
    </w:p>
    <w:p w14:paraId="0F23F29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sdt>
      <w:sdtPr>
        <w:rPr>
          <w:rFonts w:hint="eastAsia" w:ascii="宋体" w:hAnsi="宋体" w:eastAsia="宋体" w:cs="宋体"/>
          <w:b/>
          <w:bCs/>
          <w:color w:val="000000" w:themeColor="text1"/>
          <w:sz w:val="32"/>
          <w:szCs w:val="32"/>
          <w:highlight w:val="none"/>
          <w14:textFill>
            <w14:solidFill>
              <w14:schemeClr w14:val="tx1"/>
            </w14:solidFill>
          </w14:textFill>
        </w:rPr>
        <w:id w:val="147454322"/>
        <w15:color w:val="DBDBDB"/>
        <w:docPartObj>
          <w:docPartGallery w:val="Table of Contents"/>
          <w:docPartUnique/>
        </w:docPartObj>
      </w:sdtPr>
      <w:sdtEndPr>
        <w:rPr>
          <w:rFonts w:hint="eastAsia" w:ascii="宋体" w:hAnsi="宋体" w:eastAsia="宋体" w:cs="宋体"/>
          <w:b/>
          <w:bCs/>
          <w:color w:val="000000" w:themeColor="text1"/>
          <w:sz w:val="21"/>
          <w:szCs w:val="21"/>
          <w:highlight w:val="none"/>
          <w14:textFill>
            <w14:solidFill>
              <w14:schemeClr w14:val="tx1"/>
            </w14:solidFill>
          </w14:textFill>
        </w:rPr>
      </w:sdtEndPr>
      <w:sdtContent>
        <w:p w14:paraId="0F52CDF9">
          <w:pPr>
            <w:spacing w:after="0"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0" w:name="_Toc34844741"/>
          <w:r>
            <w:rPr>
              <w:rFonts w:hint="eastAsia" w:ascii="宋体" w:hAnsi="宋体" w:eastAsia="宋体" w:cs="宋体"/>
              <w:b/>
              <w:bCs/>
              <w:color w:val="000000" w:themeColor="text1"/>
              <w:sz w:val="32"/>
              <w:szCs w:val="32"/>
              <w:highlight w:val="none"/>
              <w14:textFill>
                <w14:solidFill>
                  <w14:schemeClr w14:val="tx1"/>
                </w14:solidFill>
              </w14:textFill>
            </w:rPr>
            <w:t>目录</w:t>
          </w:r>
        </w:p>
        <w:p w14:paraId="4091FFB8">
          <w:pPr>
            <w:pStyle w:val="19"/>
            <w:tabs>
              <w:tab w:val="right" w:leader="dot" w:pos="8880"/>
              <w:tab w:val="clear" w:pos="8846"/>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_Toc7162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99B9ED0">
          <w:pPr>
            <w:pStyle w:val="19"/>
            <w:tabs>
              <w:tab w:val="right" w:leader="dot" w:pos="8880"/>
              <w:tab w:val="clear" w:pos="8846"/>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"_Toc18043"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采购需求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_Toc18043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94713EF">
          <w:pPr>
            <w:pStyle w:val="19"/>
            <w:tabs>
              <w:tab w:val="right" w:leader="dot" w:pos="8880"/>
              <w:tab w:val="clear" w:pos="8846"/>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"_Toc21595"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第三章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_Toc21595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C8F88C4">
          <w:pPr>
            <w:pStyle w:val="19"/>
            <w:tabs>
              <w:tab w:val="right" w:leader="dot" w:pos="8880"/>
              <w:tab w:val="clear" w:pos="8846"/>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"_Toc12559"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第四章 评标方法和标准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_Toc12559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48B5B4B">
          <w:pPr>
            <w:pStyle w:val="19"/>
            <w:tabs>
              <w:tab w:val="right" w:leader="dot" w:pos="8880"/>
              <w:tab w:val="clear" w:pos="8846"/>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"_Toc14344"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第五章 合同文本</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_Toc14344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02F8FBD">
          <w:pPr>
            <w:pStyle w:val="19"/>
            <w:tabs>
              <w:tab w:val="right" w:leader="dot" w:pos="8880"/>
              <w:tab w:val="clear" w:pos="8846"/>
            </w:tab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"_Toc7123"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 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_Toc7123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3447281">
          <w:pPr>
            <w:spacing w:after="0"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33E96E81">
      <w:pPr>
        <w:pStyle w:val="2"/>
        <w:ind w:firstLine="482"/>
        <w:rPr>
          <w:rFonts w:hint="eastAsia" w:ascii="宋体" w:hAnsi="宋体" w:eastAsia="宋体" w:cs="宋体"/>
          <w:color w:val="000000" w:themeColor="text1"/>
          <w:highlight w:val="none"/>
          <w14:textFill>
            <w14:solidFill>
              <w14:schemeClr w14:val="tx1"/>
            </w14:solidFill>
          </w14:textFill>
        </w:rPr>
        <w:sectPr>
          <w:headerReference r:id="rId5" w:type="default"/>
          <w:pgSz w:w="11906" w:h="16838"/>
          <w:pgMar w:top="1276" w:right="1416" w:bottom="1276" w:left="1610" w:header="851" w:footer="851" w:gutter="0"/>
          <w:pgNumType w:start="1"/>
          <w:cols w:space="720" w:num="1"/>
          <w:docGrid w:linePitch="312" w:charSpace="0"/>
        </w:sectPr>
      </w:pPr>
    </w:p>
    <w:p w14:paraId="4C8C9B45">
      <w:pPr>
        <w:pStyle w:val="2"/>
        <w:ind w:firstLine="482"/>
        <w:rPr>
          <w:rFonts w:hint="eastAsia" w:ascii="宋体" w:hAnsi="宋体" w:eastAsia="宋体" w:cs="宋体"/>
          <w:color w:val="000000" w:themeColor="text1"/>
          <w:highlight w:val="none"/>
          <w14:textFill>
            <w14:solidFill>
              <w14:schemeClr w14:val="tx1"/>
            </w14:solidFill>
          </w14:textFill>
        </w:rPr>
      </w:pPr>
      <w:bookmarkStart w:id="1" w:name="_Toc7162"/>
      <w:r>
        <w:rPr>
          <w:rFonts w:hint="eastAsia" w:ascii="宋体" w:hAnsi="宋体" w:eastAsia="宋体" w:cs="宋体"/>
          <w:color w:val="000000" w:themeColor="text1"/>
          <w:highlight w:val="none"/>
          <w14:textFill>
            <w14:solidFill>
              <w14:schemeClr w14:val="tx1"/>
            </w14:solidFill>
          </w14:textFill>
        </w:rPr>
        <w:t>第一章 招标公告</w:t>
      </w:r>
      <w:bookmarkEnd w:id="1"/>
    </w:p>
    <w:p w14:paraId="52DB6AC2">
      <w:pPr>
        <w:pBdr>
          <w:top w:val="single" w:color="auto" w:sz="4" w:space="1"/>
          <w:left w:val="single" w:color="auto" w:sz="4" w:space="4"/>
          <w:bottom w:val="single" w:color="auto" w:sz="4" w:space="1"/>
          <w:right w:val="single" w:color="auto" w:sz="4" w:space="0"/>
        </w:pBd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项目概况</w:t>
      </w:r>
    </w:p>
    <w:p w14:paraId="57C62A73">
      <w:pPr>
        <w:pBdr>
          <w:top w:val="single" w:color="auto" w:sz="4" w:space="1"/>
          <w:left w:val="single" w:color="auto" w:sz="4" w:space="4"/>
          <w:bottom w:val="single" w:color="auto" w:sz="4" w:space="1"/>
          <w:right w:val="single" w:color="auto" w:sz="4" w:space="0"/>
        </w:pBdr>
        <w:spacing w:after="0"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bookmarkStart w:id="2" w:name="_Toc35393621"/>
      <w:bookmarkStart w:id="3" w:name="_Toc28359002"/>
      <w:bookmarkStart w:id="4" w:name="_Toc28359079"/>
      <w:bookmarkStart w:id="5" w:name="_Toc35393790"/>
      <w:bookmarkStart w:id="6" w:name="_Hlk24379207"/>
      <w:r>
        <w:rPr>
          <w:rFonts w:hint="eastAsia" w:ascii="宋体" w:hAnsi="宋体" w:eastAsia="宋体" w:cs="宋体"/>
          <w:color w:val="000000" w:themeColor="text1"/>
          <w:highlight w:val="none"/>
          <w:u w:val="single"/>
          <w14:textFill>
            <w14:solidFill>
              <w14:schemeClr w14:val="tx1"/>
            </w14:solidFill>
          </w14:textFill>
        </w:rPr>
        <w:t>宁波市集约运维改革市本级试点单位2026年机柜租赁服务项目</w:t>
      </w:r>
      <w:r>
        <w:rPr>
          <w:rFonts w:hint="eastAsia" w:ascii="宋体" w:hAnsi="宋体" w:eastAsia="宋体" w:cs="宋体"/>
          <w:color w:val="000000" w:themeColor="text1"/>
          <w:highlight w:val="none"/>
          <w14:textFill>
            <w14:solidFill>
              <w14:schemeClr w14:val="tx1"/>
            </w14:solidFill>
          </w14:textFill>
        </w:rPr>
        <w:t>招标项目的潜在投标人应在</w:t>
      </w:r>
      <w:r>
        <w:rPr>
          <w:rFonts w:hint="eastAsia" w:ascii="宋体" w:hAnsi="宋体" w:eastAsia="宋体" w:cs="宋体"/>
          <w:color w:val="000000" w:themeColor="text1"/>
          <w:highlight w:val="none"/>
          <w:u w:val="single"/>
          <w14:textFill>
            <w14:solidFill>
              <w14:schemeClr w14:val="tx1"/>
            </w14:solidFill>
          </w14:textFill>
        </w:rPr>
        <w:t>政采云平台（https：//www.zcygov.cn）</w:t>
      </w:r>
      <w:r>
        <w:rPr>
          <w:rFonts w:hint="eastAsia" w:ascii="宋体" w:hAnsi="宋体" w:eastAsia="宋体" w:cs="宋体"/>
          <w:bCs/>
          <w:color w:val="000000" w:themeColor="text1"/>
          <w:highlight w:val="none"/>
          <w:u w:val="single"/>
          <w14:textFill>
            <w14:solidFill>
              <w14:schemeClr w14:val="tx1"/>
            </w14:solidFill>
          </w14:textFill>
        </w:rPr>
        <w:t>获取（下载）招标文件，并于2026年5月20日14点00分</w:t>
      </w:r>
      <w:r>
        <w:rPr>
          <w:rFonts w:hint="eastAsia" w:ascii="宋体" w:hAnsi="宋体" w:eastAsia="宋体" w:cs="宋体"/>
          <w:bCs/>
          <w:color w:val="000000" w:themeColor="text1"/>
          <w:highlight w:val="none"/>
          <w14:textFill>
            <w14:solidFill>
              <w14:schemeClr w14:val="tx1"/>
            </w14:solidFill>
          </w14:textFill>
        </w:rPr>
        <w:t>（北京时间）前递交（上传）投标文件</w:t>
      </w:r>
      <w:r>
        <w:rPr>
          <w:rFonts w:hint="eastAsia" w:ascii="宋体" w:hAnsi="宋体" w:eastAsia="宋体" w:cs="宋体"/>
          <w:color w:val="000000" w:themeColor="text1"/>
          <w:highlight w:val="none"/>
          <w14:textFill>
            <w14:solidFill>
              <w14:schemeClr w14:val="tx1"/>
            </w14:solidFill>
          </w14:textFill>
        </w:rPr>
        <w:t>。</w:t>
      </w:r>
    </w:p>
    <w:p w14:paraId="701AE60A">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一、项目基本情况</w:t>
      </w:r>
      <w:bookmarkEnd w:id="2"/>
      <w:bookmarkEnd w:id="3"/>
      <w:bookmarkEnd w:id="4"/>
      <w:bookmarkEnd w:id="5"/>
    </w:p>
    <w:p w14:paraId="5BAE8626">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项目编号：NBSFZX2026016（NBMC-20262076G）</w:t>
      </w:r>
    </w:p>
    <w:p w14:paraId="0617F34A">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项目名称：宁波市集约运维改革市本级试点单位2026年机柜租赁服务项目</w:t>
      </w:r>
    </w:p>
    <w:bookmarkEnd w:id="6"/>
    <w:p w14:paraId="04A89779">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预算金额（元）：1189700</w:t>
      </w:r>
    </w:p>
    <w:p w14:paraId="766FD20F">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最高限价（元）：488400，701300</w:t>
      </w:r>
    </w:p>
    <w:p w14:paraId="0597AA06">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采购需求：</w:t>
      </w:r>
    </w:p>
    <w:p w14:paraId="2F44A93E">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标项一：</w:t>
      </w:r>
    </w:p>
    <w:p w14:paraId="457569A8">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标项名称：机柜租赁服务（一）</w:t>
      </w:r>
    </w:p>
    <w:p w14:paraId="7A0E6C01">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数量：1项</w:t>
      </w:r>
    </w:p>
    <w:p w14:paraId="4F1A8E40">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预算金额（元）：488400</w:t>
      </w:r>
    </w:p>
    <w:p w14:paraId="1F7059B4">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简要规格描述或项目基本概况介绍、用途：提供1家单位的1批机柜租赁服务，具体要求详见《第二章  采购需求》。</w:t>
      </w:r>
    </w:p>
    <w:p w14:paraId="2E97E70C">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标项二：</w:t>
      </w:r>
    </w:p>
    <w:p w14:paraId="3351AA46">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标项名称：机柜租赁服务（二）</w:t>
      </w:r>
    </w:p>
    <w:p w14:paraId="111FC970">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数量：1项</w:t>
      </w:r>
    </w:p>
    <w:p w14:paraId="5734E047">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预算金额（元）：701300</w:t>
      </w:r>
    </w:p>
    <w:p w14:paraId="73AB12AE">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简要规格描述或项目基本概况介绍、用途：提供2家单位的2批机柜租赁服务，具体要求详见《第二章  采购需求》。</w:t>
      </w:r>
    </w:p>
    <w:p w14:paraId="79268999">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合同履约期限：自合同约定的服务起始之日至合同全部权利义务履行完毕之日止。</w:t>
      </w:r>
    </w:p>
    <w:p w14:paraId="216F5947">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本项目（否）接受联合体投标</w:t>
      </w:r>
      <w:r>
        <w:rPr>
          <w:rFonts w:hint="eastAsia" w:ascii="宋体" w:hAnsi="宋体" w:eastAsia="宋体" w:cs="宋体"/>
          <w:color w:val="000000" w:themeColor="text1"/>
          <w:highlight w:val="none"/>
          <w:shd w:val="clear" w:color="auto" w:fill="FFFFFF"/>
          <w14:textFill>
            <w14:solidFill>
              <w14:schemeClr w14:val="tx1"/>
            </w14:solidFill>
          </w14:textFill>
        </w:rPr>
        <w:t>。</w:t>
      </w:r>
    </w:p>
    <w:p w14:paraId="4C1F238C">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bookmarkStart w:id="7" w:name="_Toc35393622"/>
      <w:bookmarkStart w:id="8" w:name="_Toc35393791"/>
      <w:bookmarkStart w:id="9" w:name="_Toc28359003"/>
      <w:bookmarkStart w:id="10" w:name="_Toc28359080"/>
      <w:r>
        <w:rPr>
          <w:rFonts w:hint="eastAsia" w:ascii="宋体" w:hAnsi="宋体" w:eastAsia="宋体" w:cs="宋体"/>
          <w:b/>
          <w:color w:val="000000" w:themeColor="text1"/>
          <w:highlight w:val="none"/>
          <w14:textFill>
            <w14:solidFill>
              <w14:schemeClr w14:val="tx1"/>
            </w14:solidFill>
          </w14:textFill>
        </w:rPr>
        <w:t>二、申请人的资格要求：</w:t>
      </w:r>
      <w:bookmarkEnd w:id="7"/>
      <w:bookmarkEnd w:id="8"/>
      <w:bookmarkEnd w:id="9"/>
      <w:bookmarkEnd w:id="10"/>
    </w:p>
    <w:p w14:paraId="2FB7CA3D">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bookmarkStart w:id="11" w:name="_Toc28359004"/>
      <w:bookmarkStart w:id="12" w:name="_Toc35393792"/>
      <w:bookmarkStart w:id="13" w:name="_Toc35393623"/>
      <w:bookmarkStart w:id="14" w:name="_Toc28359081"/>
      <w:r>
        <w:rPr>
          <w:rFonts w:hint="eastAsia" w:ascii="宋体" w:hAnsi="宋体" w:eastAsia="宋体" w:cs="宋体"/>
          <w:color w:val="000000" w:themeColor="text1"/>
          <w:highlight w:val="none"/>
          <w14:textFill>
            <w14:solidFill>
              <w14:schemeClr w14:val="tx1"/>
            </w14:solidFill>
          </w14:textFill>
        </w:rPr>
        <w:t>1.满足《中华人民共和国政府采购法》第二十二条第一款的规定；未被“信用中国”（www.creditchina.gov.cn)、中国政府采购网（www.ccgp.gov.cn）列入失信被执行人、重大税收违法失信主体、政府采购严重违法失信行为记录名单；</w:t>
      </w:r>
    </w:p>
    <w:p w14:paraId="4FE6C93B">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2.单位负责人为同一人或者存在直接控股、管理关系的不同供应商，不得同时参加本项目的政府采购活动；</w:t>
      </w:r>
    </w:p>
    <w:p w14:paraId="708BF062">
      <w:pPr>
        <w:spacing w:after="0"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bCs/>
          <w:color w:val="000000" w:themeColor="text1"/>
          <w:highlight w:val="none"/>
          <w14:textFill>
            <w14:solidFill>
              <w14:schemeClr w14:val="tx1"/>
            </w14:solidFill>
          </w14:textFill>
        </w:rPr>
        <w:t>落实政府采购政策需满足的资格要求：无。</w:t>
      </w:r>
    </w:p>
    <w:p w14:paraId="767DEF2E">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4.本项目的特定资格要求：无</w:t>
      </w:r>
      <w:r>
        <w:rPr>
          <w:rFonts w:hint="eastAsia" w:ascii="宋体" w:hAnsi="宋体" w:eastAsia="宋体" w:cs="宋体"/>
          <w:color w:val="000000" w:themeColor="text1"/>
          <w:kern w:val="0"/>
          <w:highlight w:val="none"/>
          <w14:textFill>
            <w14:solidFill>
              <w14:schemeClr w14:val="tx1"/>
            </w14:solidFill>
          </w14:textFill>
        </w:rPr>
        <w:t>。</w:t>
      </w:r>
    </w:p>
    <w:p w14:paraId="14A18A36">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三、获取招标文件</w:t>
      </w:r>
      <w:bookmarkEnd w:id="11"/>
      <w:bookmarkEnd w:id="12"/>
      <w:bookmarkEnd w:id="13"/>
      <w:bookmarkEnd w:id="14"/>
    </w:p>
    <w:p w14:paraId="14C0A6FB">
      <w:pPr>
        <w:snapToGrid w:val="0"/>
        <w:spacing w:after="0" w:line="360" w:lineRule="auto"/>
        <w:ind w:firstLine="411" w:firstLineChars="196"/>
        <w:rPr>
          <w:rFonts w:hint="eastAsia" w:ascii="宋体" w:hAnsi="宋体" w:eastAsia="宋体" w:cs="宋体"/>
          <w:b/>
          <w:color w:val="000000" w:themeColor="text1"/>
          <w:highlight w:val="none"/>
          <w14:textFill>
            <w14:solidFill>
              <w14:schemeClr w14:val="tx1"/>
            </w14:solidFill>
          </w14:textFill>
        </w:rPr>
      </w:pPr>
      <w:bookmarkStart w:id="15" w:name="_Toc28359005"/>
      <w:bookmarkStart w:id="16" w:name="_Toc28359082"/>
      <w:bookmarkStart w:id="17" w:name="_Toc35393793"/>
      <w:bookmarkStart w:id="18" w:name="_Toc35393624"/>
      <w:r>
        <w:rPr>
          <w:rFonts w:hint="eastAsia" w:ascii="宋体" w:hAnsi="宋体" w:eastAsia="宋体" w:cs="宋体"/>
          <w:color w:val="000000" w:themeColor="text1"/>
          <w:highlight w:val="none"/>
          <w14:textFill>
            <w14:solidFill>
              <w14:schemeClr w14:val="tx1"/>
            </w14:solidFill>
          </w14:textFill>
        </w:rPr>
        <w:t>时间：</w:t>
      </w:r>
      <w:r>
        <w:rPr>
          <w:rFonts w:hint="eastAsia" w:ascii="宋体" w:hAnsi="宋体" w:eastAsia="宋体" w:cs="宋体"/>
          <w:color w:val="000000" w:themeColor="text1"/>
          <w:highlight w:val="none"/>
          <w:u w:val="single"/>
          <w14:textFill>
            <w14:solidFill>
              <w14:schemeClr w14:val="tx1"/>
            </w14:solidFill>
          </w14:textFill>
        </w:rPr>
        <w:t>2026年4月30日至2026年5月11日</w:t>
      </w:r>
      <w:r>
        <w:rPr>
          <w:rFonts w:hint="eastAsia" w:ascii="宋体" w:hAnsi="宋体" w:eastAsia="宋体" w:cs="宋体"/>
          <w:color w:val="000000" w:themeColor="text1"/>
          <w:highlight w:val="none"/>
          <w14:textFill>
            <w14:solidFill>
              <w14:schemeClr w14:val="tx1"/>
            </w14:solidFill>
          </w14:textFill>
        </w:rPr>
        <w:t>，每天上午</w:t>
      </w:r>
      <w:r>
        <w:rPr>
          <w:rFonts w:hint="eastAsia" w:ascii="宋体" w:hAnsi="宋体" w:eastAsia="宋体" w:cs="宋体"/>
          <w:color w:val="000000" w:themeColor="text1"/>
          <w:highlight w:val="none"/>
          <w:u w:val="single"/>
          <w14:textFill>
            <w14:solidFill>
              <w14:schemeClr w14:val="tx1"/>
            </w14:solidFill>
          </w14:textFill>
        </w:rPr>
        <w:t>00：00</w:t>
      </w:r>
      <w:r>
        <w:rPr>
          <w:rFonts w:hint="eastAsia" w:ascii="宋体" w:hAnsi="宋体" w:eastAsia="宋体" w:cs="宋体"/>
          <w:color w:val="000000" w:themeColor="text1"/>
          <w:highlight w:val="none"/>
          <w14:textFill>
            <w14:solidFill>
              <w14:schemeClr w14:val="tx1"/>
            </w14:solidFill>
          </w14:textFill>
        </w:rPr>
        <w:t>至</w:t>
      </w:r>
      <w:r>
        <w:rPr>
          <w:rFonts w:hint="eastAsia" w:ascii="宋体" w:hAnsi="宋体" w:eastAsia="宋体" w:cs="宋体"/>
          <w:color w:val="000000" w:themeColor="text1"/>
          <w:highlight w:val="none"/>
          <w:u w:val="single"/>
          <w14:textFill>
            <w14:solidFill>
              <w14:schemeClr w14:val="tx1"/>
            </w14:solidFill>
          </w14:textFill>
        </w:rPr>
        <w:t>12：00</w:t>
      </w:r>
      <w:r>
        <w:rPr>
          <w:rFonts w:hint="eastAsia" w:ascii="宋体" w:hAnsi="宋体" w:eastAsia="宋体" w:cs="宋体"/>
          <w:color w:val="000000" w:themeColor="text1"/>
          <w:highlight w:val="none"/>
          <w14:textFill>
            <w14:solidFill>
              <w14:schemeClr w14:val="tx1"/>
            </w14:solidFill>
          </w14:textFill>
        </w:rPr>
        <w:t>，下午</w:t>
      </w:r>
      <w:r>
        <w:rPr>
          <w:rFonts w:hint="eastAsia" w:ascii="宋体" w:hAnsi="宋体" w:eastAsia="宋体" w:cs="宋体"/>
          <w:color w:val="000000" w:themeColor="text1"/>
          <w:highlight w:val="none"/>
          <w:u w:val="single"/>
          <w14:textFill>
            <w14:solidFill>
              <w14:schemeClr w14:val="tx1"/>
            </w14:solidFill>
          </w14:textFill>
        </w:rPr>
        <w:t>12：00</w:t>
      </w:r>
      <w:r>
        <w:rPr>
          <w:rFonts w:hint="eastAsia" w:ascii="宋体" w:hAnsi="宋体" w:eastAsia="宋体" w:cs="宋体"/>
          <w:color w:val="000000" w:themeColor="text1"/>
          <w:highlight w:val="none"/>
          <w14:textFill>
            <w14:solidFill>
              <w14:schemeClr w14:val="tx1"/>
            </w14:solidFill>
          </w14:textFill>
        </w:rPr>
        <w:t>至</w:t>
      </w:r>
      <w:r>
        <w:rPr>
          <w:rFonts w:hint="eastAsia" w:ascii="宋体" w:hAnsi="宋体" w:eastAsia="宋体" w:cs="宋体"/>
          <w:color w:val="000000" w:themeColor="text1"/>
          <w:highlight w:val="none"/>
          <w:u w:val="single"/>
          <w14:textFill>
            <w14:solidFill>
              <w14:schemeClr w14:val="tx1"/>
            </w14:solidFill>
          </w14:textFill>
        </w:rPr>
        <w:t>23：59</w:t>
      </w:r>
      <w:r>
        <w:rPr>
          <w:rFonts w:hint="eastAsia" w:ascii="宋体" w:hAnsi="宋体" w:eastAsia="宋体" w:cs="宋体"/>
          <w:color w:val="000000" w:themeColor="text1"/>
          <w:highlight w:val="none"/>
          <w14:textFill>
            <w14:solidFill>
              <w14:schemeClr w14:val="tx1"/>
            </w14:solidFill>
          </w14:textFill>
        </w:rPr>
        <w:t>（北京时间，线上获取法定节假日均可，线下获取文件法定节假日除外）</w:t>
      </w:r>
    </w:p>
    <w:p w14:paraId="1412D830">
      <w:pPr>
        <w:snapToGrid w:val="0"/>
        <w:spacing w:after="0" w:line="360" w:lineRule="auto"/>
        <w:ind w:firstLine="411" w:firstLineChars="1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地点（网址）：</w:t>
      </w:r>
      <w:r>
        <w:rPr>
          <w:rFonts w:hint="eastAsia" w:ascii="宋体" w:hAnsi="宋体" w:eastAsia="宋体" w:cs="宋体"/>
          <w:color w:val="000000" w:themeColor="text1"/>
          <w:highlight w:val="none"/>
          <w:u w:val="single"/>
          <w14:textFill>
            <w14:solidFill>
              <w14:schemeClr w14:val="tx1"/>
            </w14:solidFill>
          </w14:textFill>
        </w:rPr>
        <w:t>政采云平台（https：//www.zcygov.cn）</w:t>
      </w:r>
    </w:p>
    <w:p w14:paraId="1F54EE52">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14:paraId="1EF7E448">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售价（元）：0</w:t>
      </w:r>
    </w:p>
    <w:p w14:paraId="54886D7F">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四、提交投标文件</w:t>
      </w:r>
      <w:bookmarkEnd w:id="15"/>
      <w:bookmarkEnd w:id="16"/>
      <w:r>
        <w:rPr>
          <w:rFonts w:hint="eastAsia" w:ascii="宋体" w:hAnsi="宋体" w:eastAsia="宋体" w:cs="宋体"/>
          <w:b/>
          <w:color w:val="000000" w:themeColor="text1"/>
          <w:highlight w:val="none"/>
          <w14:textFill>
            <w14:solidFill>
              <w14:schemeClr w14:val="tx1"/>
            </w14:solidFill>
          </w14:textFill>
        </w:rPr>
        <w:t>截止时间、开标时间和地点</w:t>
      </w:r>
      <w:bookmarkEnd w:id="17"/>
      <w:bookmarkEnd w:id="18"/>
    </w:p>
    <w:p w14:paraId="49FD19CA">
      <w:pPr>
        <w:spacing w:after="0"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bookmarkStart w:id="19" w:name="_Toc28359084"/>
      <w:bookmarkStart w:id="20" w:name="_Toc35393794"/>
      <w:bookmarkStart w:id="21" w:name="_Toc28359007"/>
      <w:bookmarkStart w:id="22" w:name="_Toc35393625"/>
      <w:r>
        <w:rPr>
          <w:rFonts w:hint="eastAsia" w:ascii="宋体" w:hAnsi="宋体" w:eastAsia="宋体" w:cs="宋体"/>
          <w:color w:val="000000" w:themeColor="text1"/>
          <w:highlight w:val="none"/>
          <w14:textFill>
            <w14:solidFill>
              <w14:schemeClr w14:val="tx1"/>
            </w14:solidFill>
          </w14:textFill>
        </w:rPr>
        <w:t>提交投标文件截止时间：2026年5月20</w:t>
      </w:r>
      <w:r>
        <w:rPr>
          <w:rFonts w:hint="eastAsia" w:ascii="宋体" w:hAnsi="宋体" w:eastAsia="宋体" w:cs="宋体"/>
          <w:bCs/>
          <w:color w:val="000000" w:themeColor="text1"/>
          <w:highlight w:val="none"/>
          <w14:textFill>
            <w14:solidFill>
              <w14:schemeClr w14:val="tx1"/>
            </w14:solidFill>
          </w14:textFill>
        </w:rPr>
        <w:t>日14：00（北京时间）</w:t>
      </w:r>
    </w:p>
    <w:p w14:paraId="505D442F">
      <w:pPr>
        <w:spacing w:after="0"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投标地点（网址）</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政采云平台（https：//www.zcygov.cn）</w:t>
      </w:r>
    </w:p>
    <w:p w14:paraId="24F60155">
      <w:pPr>
        <w:spacing w:after="0"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开标时间：</w:t>
      </w:r>
      <w:r>
        <w:rPr>
          <w:rFonts w:hint="eastAsia" w:ascii="宋体" w:hAnsi="宋体" w:eastAsia="宋体" w:cs="宋体"/>
          <w:color w:val="000000" w:themeColor="text1"/>
          <w:highlight w:val="none"/>
          <w14:textFill>
            <w14:solidFill>
              <w14:schemeClr w14:val="tx1"/>
            </w14:solidFill>
          </w14:textFill>
        </w:rPr>
        <w:t>2026年5月20</w:t>
      </w:r>
      <w:r>
        <w:rPr>
          <w:rFonts w:hint="eastAsia" w:ascii="宋体" w:hAnsi="宋体" w:eastAsia="宋体" w:cs="宋体"/>
          <w:bCs/>
          <w:color w:val="000000" w:themeColor="text1"/>
          <w:highlight w:val="none"/>
          <w14:textFill>
            <w14:solidFill>
              <w14:schemeClr w14:val="tx1"/>
            </w14:solidFill>
          </w14:textFill>
        </w:rPr>
        <w:t>日14：00（北京时间）</w:t>
      </w:r>
    </w:p>
    <w:p w14:paraId="0C9E27C9">
      <w:pPr>
        <w:spacing w:after="0"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开标地点（网址）：</w:t>
      </w:r>
      <w:r>
        <w:rPr>
          <w:rFonts w:hint="eastAsia" w:ascii="宋体" w:hAnsi="宋体" w:eastAsia="宋体" w:cs="宋体"/>
          <w:bCs/>
          <w:color w:val="000000" w:themeColor="text1"/>
          <w:highlight w:val="none"/>
          <w:u w:val="single"/>
          <w14:textFill>
            <w14:solidFill>
              <w14:schemeClr w14:val="tx1"/>
            </w14:solidFill>
          </w14:textFill>
        </w:rPr>
        <w:t>政采云平台（https：//www.zcygov.cn）</w:t>
      </w:r>
    </w:p>
    <w:p w14:paraId="7094F58A">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五、公告期限</w:t>
      </w:r>
      <w:bookmarkEnd w:id="19"/>
      <w:bookmarkEnd w:id="20"/>
      <w:bookmarkEnd w:id="21"/>
      <w:bookmarkEnd w:id="22"/>
    </w:p>
    <w:p w14:paraId="6AFD7D3C">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自本公告发布之日起5个工作日。</w:t>
      </w:r>
    </w:p>
    <w:bookmarkEnd w:id="0"/>
    <w:p w14:paraId="783AC093">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bookmarkStart w:id="23" w:name="_Toc35393626"/>
      <w:bookmarkStart w:id="24" w:name="_Toc35393795"/>
      <w:r>
        <w:rPr>
          <w:rFonts w:hint="eastAsia" w:ascii="宋体" w:hAnsi="宋体" w:eastAsia="宋体" w:cs="宋体"/>
          <w:b/>
          <w:color w:val="000000" w:themeColor="text1"/>
          <w:highlight w:val="none"/>
          <w14:textFill>
            <w14:solidFill>
              <w14:schemeClr w14:val="tx1"/>
            </w14:solidFill>
          </w14:textFill>
        </w:rPr>
        <w:t>六、其他补充事宜</w:t>
      </w:r>
      <w:bookmarkEnd w:id="23"/>
      <w:bookmarkEnd w:id="24"/>
    </w:p>
    <w:p w14:paraId="37BAFE89">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认为采购文件使自己的权益受到损害的，可以自获取采购文件之日或者采购文件公告期限届满之日（公告期限届满后获取采购文件的，以公告期限届满之日为准）起7个工作日内，对采购文件需求的质疑以书面形式向采购人提出，对其他内容的质疑以书面形式向采购人和采购代理机构提出。质疑供应商对采购人、采购代理机构的答复不满意或者采购人、采购代理机构未在规定的时间内作出答复的，可以在答复期满后十五个工作日内向同级政府采购监督管理部门投诉。</w:t>
      </w:r>
    </w:p>
    <w:p w14:paraId="6D91DEAC">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2.其他事项：</w:t>
      </w:r>
    </w:p>
    <w:p w14:paraId="5E2A02F0">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为依法获取本项目招标文件及投标响应，潜在投标人应当按照《浙江省政府采购供应商注册及诚信管理暂行办法》的规定在“浙江政府采购网(http：//zfcg.czt.zj.gov.cn/)”政采云平台注册登记。中标人必须在采购人支付合同款前成为注册供应商。</w:t>
      </w:r>
    </w:p>
    <w:p w14:paraId="623E202E">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（2）本项目依据《浙江省政府采购项目电子交易管理暂行办法》采用电子交易方式实施采购，电子交易平台为政采云平台(</w:t>
      </w:r>
      <w:r>
        <w:rPr>
          <w:rFonts w:hint="eastAsia" w:ascii="宋体" w:hAnsi="宋体" w:eastAsia="宋体" w:cs="宋体"/>
          <w:color w:val="000000" w:themeColor="text1"/>
          <w:highlight w:val="none"/>
          <w:u w:val="single"/>
          <w14:textFill>
            <w14:solidFill>
              <w14:schemeClr w14:val="tx1"/>
            </w14:solidFill>
          </w14:textFill>
        </w:rPr>
        <w:t>https：//www.zcygov.cn</w:t>
      </w:r>
      <w:r>
        <w:rPr>
          <w:rFonts w:hint="eastAsia" w:ascii="宋体" w:hAnsi="宋体" w:eastAsia="宋体" w:cs="宋体"/>
          <w:color w:val="000000" w:themeColor="text1"/>
          <w:highlight w:val="none"/>
          <w14:textFill>
            <w14:solidFill>
              <w14:schemeClr w14:val="tx1"/>
            </w14:solidFill>
          </w14:textFill>
        </w:rPr>
        <w:t>）。潜在投标人在参与本项目投标前应当完成政采云平台的账号注册、身份认证（CA数字证书申领）、“政采云电子交易客户端”下载安装。</w:t>
      </w:r>
    </w:p>
    <w:p w14:paraId="7750DE2D">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bookmarkStart w:id="25" w:name="_Toc28359085"/>
      <w:bookmarkStart w:id="26" w:name="_Toc28359008"/>
      <w:bookmarkStart w:id="27" w:name="_Toc35393796"/>
      <w:bookmarkStart w:id="28" w:name="_Toc35393627"/>
      <w:r>
        <w:rPr>
          <w:rFonts w:hint="eastAsia" w:ascii="宋体" w:hAnsi="宋体" w:eastAsia="宋体" w:cs="宋体"/>
          <w:color w:val="000000" w:themeColor="text1"/>
          <w:highlight w:val="none"/>
          <w14:textFill>
            <w14:solidFill>
              <w14:schemeClr w14:val="tx1"/>
            </w14:solidFill>
          </w14:textFill>
        </w:rPr>
        <w:t>（3）投标人如提供备份投标文件的，应于提交投标文件截止时间前，将以U盘存储的电子备份投标文件按照招标文件的规定密封、标注并盖章后，递交至</w:t>
      </w:r>
      <w:r>
        <w:rPr>
          <w:rFonts w:hint="eastAsia" w:ascii="宋体" w:hAnsi="宋体" w:eastAsia="宋体" w:cs="宋体"/>
          <w:b/>
          <w:color w:val="000000" w:themeColor="text1"/>
          <w:highlight w:val="none"/>
          <w14:textFill>
            <w14:solidFill>
              <w14:schemeClr w14:val="tx1"/>
            </w14:solidFill>
          </w14:textFill>
        </w:rPr>
        <w:t>宁波市海曙区江汇城496号姚江时代14幢3楼</w:t>
      </w:r>
      <w:r>
        <w:rPr>
          <w:rFonts w:hint="eastAsia" w:ascii="宋体" w:hAnsi="宋体" w:eastAsia="宋体" w:cs="宋体"/>
          <w:color w:val="000000" w:themeColor="text1"/>
          <w:highlight w:val="none"/>
          <w14:textFill>
            <w14:solidFill>
              <w14:schemeClr w14:val="tx1"/>
            </w14:solidFill>
          </w14:textFill>
        </w:rPr>
        <w:t>，逾期送达或未按照规定密封包装的招标代理机构有权拒绝接收。</w:t>
      </w:r>
    </w:p>
    <w:p w14:paraId="4142DF2D">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（4）落实政府采购政策：本项目非专门面向中小企业采购，对符合财政扶持政策的中小企业、监狱企业、残疾人福利性单位给予价格优惠。</w:t>
      </w:r>
    </w:p>
    <w:p w14:paraId="341DAEFE">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七、对本次招标提出询问，请按以下方式联系。</w:t>
      </w:r>
      <w:bookmarkEnd w:id="25"/>
      <w:bookmarkEnd w:id="26"/>
      <w:bookmarkEnd w:id="27"/>
      <w:bookmarkEnd w:id="28"/>
    </w:p>
    <w:p w14:paraId="571FF5BD">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1.采购人信息</w:t>
      </w:r>
      <w:bookmarkStart w:id="54" w:name="_GoBack"/>
      <w:bookmarkEnd w:id="54"/>
    </w:p>
    <w:p w14:paraId="2F8BBB1F">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bookmarkStart w:id="29" w:name="_Toc28359086"/>
      <w:bookmarkStart w:id="30" w:name="_Toc28359009"/>
      <w:r>
        <w:rPr>
          <w:rFonts w:hint="eastAsia" w:ascii="宋体" w:hAnsi="宋体" w:eastAsia="宋体" w:cs="宋体"/>
          <w:color w:val="000000" w:themeColor="text1"/>
          <w:highlight w:val="none"/>
          <w14:textFill>
            <w14:solidFill>
              <w14:schemeClr w14:val="tx1"/>
            </w14:solidFill>
          </w14:textFill>
        </w:rPr>
        <w:t>名称：宁波市数据服务中心</w:t>
      </w:r>
    </w:p>
    <w:p w14:paraId="6ECACE93">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地址：宁波市鄞州区宁穿路2001号3号楼3楼</w:t>
      </w:r>
    </w:p>
    <w:p w14:paraId="60EEDBC9">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项目联系人（询问）：王老师</w:t>
      </w:r>
    </w:p>
    <w:p w14:paraId="431E186E">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项目联系方式：0574-89182274</w:t>
      </w:r>
    </w:p>
    <w:p w14:paraId="163753F4">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质疑联系人：徐老师</w:t>
      </w:r>
    </w:p>
    <w:p w14:paraId="24B6476E">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质疑联系方式：0574-89182286</w:t>
      </w:r>
    </w:p>
    <w:p w14:paraId="0BD4F3C3">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2.采购代理机构信息</w:t>
      </w:r>
      <w:bookmarkEnd w:id="29"/>
      <w:bookmarkEnd w:id="30"/>
    </w:p>
    <w:p w14:paraId="7D9B4DDE">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bookmarkStart w:id="31" w:name="_Toc28359010"/>
      <w:bookmarkStart w:id="32" w:name="_Toc28359087"/>
      <w:r>
        <w:rPr>
          <w:rFonts w:hint="eastAsia" w:ascii="宋体" w:hAnsi="宋体" w:eastAsia="宋体" w:cs="宋体"/>
          <w:color w:val="000000" w:themeColor="text1"/>
          <w:highlight w:val="none"/>
          <w14:textFill>
            <w14:solidFill>
              <w14:schemeClr w14:val="tx1"/>
            </w14:solidFill>
          </w14:textFill>
        </w:rPr>
        <w:t>名称：宁波名诚招标代理有限公司</w:t>
      </w:r>
    </w:p>
    <w:p w14:paraId="43F5518A">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地址：宁波市海曙区江汇城496号姚江时代14幢3楼</w:t>
      </w:r>
    </w:p>
    <w:p w14:paraId="63364BDB">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项目联系人（询问）：金生华、王立挺、何晟昊、江森杰、王裕挺</w:t>
      </w:r>
    </w:p>
    <w:p w14:paraId="4048947C">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项目联系方式（询问）：0574-87626182</w:t>
      </w:r>
    </w:p>
    <w:p w14:paraId="6548C24D">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质疑联系人：方芳</w:t>
      </w:r>
    </w:p>
    <w:p w14:paraId="61DC0400">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质疑联系方式：0574-87101271</w:t>
      </w:r>
    </w:p>
    <w:bookmarkEnd w:id="31"/>
    <w:bookmarkEnd w:id="32"/>
    <w:p w14:paraId="0A3D06BF">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3.同级政府采购监督管理部门</w:t>
      </w:r>
    </w:p>
    <w:p w14:paraId="5DDA7271">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名称：宁波市财政局政府采购监管处</w:t>
      </w:r>
    </w:p>
    <w:p w14:paraId="4497C849">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地址：宁波市海曙区中山西路19号</w:t>
      </w:r>
    </w:p>
    <w:p w14:paraId="422419AB">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联系人：张老师</w:t>
      </w:r>
    </w:p>
    <w:p w14:paraId="291E6572">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监督投诉电话：0574-89388399</w:t>
      </w:r>
    </w:p>
    <w:p w14:paraId="3ED5655D">
      <w:pPr>
        <w:rPr>
          <w:rFonts w:hint="eastAsia" w:ascii="宋体" w:hAnsi="宋体" w:eastAsia="宋体" w:cs="宋体"/>
          <w:color w:val="000000" w:themeColor="text1"/>
          <w:highlight w:val="none"/>
          <w14:textFill>
            <w14:solidFill>
              <w14:schemeClr w14:val="tx1"/>
            </w14:solidFill>
          </w14:textFill>
        </w:rPr>
      </w:pPr>
    </w:p>
    <w:p w14:paraId="4F9D8129">
      <w:pPr>
        <w:rPr>
          <w:rFonts w:hint="eastAsia" w:ascii="宋体" w:hAnsi="宋体" w:eastAsia="宋体" w:cs="宋体"/>
          <w:color w:val="000000" w:themeColor="text1"/>
          <w:highlight w:val="none"/>
          <w14:textFill>
            <w14:solidFill>
              <w14:schemeClr w14:val="tx1"/>
            </w14:solidFill>
          </w14:textFill>
        </w:rPr>
      </w:pPr>
    </w:p>
    <w:p w14:paraId="0E10996E">
      <w:pPr>
        <w:snapToGrid w:val="0"/>
        <w:spacing w:after="0" w:line="360" w:lineRule="auto"/>
        <w:ind w:firstLine="413" w:firstLineChars="196"/>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1C875639">
      <w:pPr>
        <w:snapToGrid w:val="0"/>
        <w:spacing w:after="0" w:line="360" w:lineRule="auto"/>
        <w:ind w:firstLine="413" w:firstLineChars="196"/>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CA问题联系电话（人工）：汇信CA 400-888-4636；天谷CA 400-087-8198。</w:t>
      </w:r>
    </w:p>
    <w:p w14:paraId="1689B22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AB06D0A">
      <w:pPr>
        <w:pStyle w:val="2"/>
        <w:spacing w:before="0" w:after="0"/>
        <w:ind w:firstLine="482"/>
        <w:rPr>
          <w:rFonts w:hint="eastAsia" w:ascii="宋体" w:hAnsi="宋体" w:eastAsia="宋体" w:cs="宋体"/>
          <w:color w:val="000000" w:themeColor="text1"/>
          <w:highlight w:val="none"/>
          <w14:textFill>
            <w14:solidFill>
              <w14:schemeClr w14:val="tx1"/>
            </w14:solidFill>
          </w14:textFill>
        </w:rPr>
      </w:pPr>
      <w:bookmarkStart w:id="33" w:name="_Toc18043"/>
      <w:r>
        <w:rPr>
          <w:rFonts w:hint="eastAsia" w:ascii="宋体" w:hAnsi="宋体" w:eastAsia="宋体" w:cs="宋体"/>
          <w:color w:val="000000" w:themeColor="text1"/>
          <w:highlight w:val="none"/>
          <w14:textFill>
            <w14:solidFill>
              <w14:schemeClr w14:val="tx1"/>
            </w14:solidFill>
          </w14:textFill>
        </w:rPr>
        <w:t>第二章 采购需求</w:t>
      </w:r>
      <w:bookmarkEnd w:id="33"/>
    </w:p>
    <w:p w14:paraId="5B59881B">
      <w:pPr>
        <w:snapToGrid w:val="0"/>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bookmarkStart w:id="34" w:name="OLE_LINK2"/>
      <w:bookmarkStart w:id="35" w:name="_Toc34844743"/>
      <w:r>
        <w:rPr>
          <w:rFonts w:hint="eastAsia" w:ascii="宋体" w:hAnsi="宋体" w:eastAsia="宋体" w:cs="宋体"/>
          <w:b/>
          <w:color w:val="000000" w:themeColor="text1"/>
          <w:highlight w:val="none"/>
          <w14:textFill>
            <w14:solidFill>
              <w14:schemeClr w14:val="tx1"/>
            </w14:solidFill>
          </w14:textFill>
        </w:rPr>
        <w:t>前注</w:t>
      </w:r>
    </w:p>
    <w:p w14:paraId="3C3DE380">
      <w:pPr>
        <w:snapToGrid w:val="0"/>
        <w:spacing w:after="0" w:line="360" w:lineRule="auto"/>
        <w:ind w:firstLine="420" w:firstLineChars="200"/>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14:textFill>
            <w14:solidFill>
              <w14:schemeClr w14:val="tx1"/>
            </w14:solidFill>
          </w14:textFill>
        </w:rPr>
        <w:t>本项目技术和服务的详细要求，投标人必须对其有明确的响应，并如实描述偏离情况。明确要求提供证明材料的，如在投标响应时仅复制粘贴或仅具有文字描述而未在投标文件中提供要求的佐证材料，其产生的影响直至被认定为未实质性响应的后果将由投标人自行承担。</w:t>
      </w:r>
    </w:p>
    <w:p w14:paraId="08E6FA62">
      <w:pPr>
        <w:snapToGrid w:val="0"/>
        <w:spacing w:after="0" w:line="360" w:lineRule="auto"/>
        <w:ind w:firstLine="435"/>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一、商务要求</w:t>
      </w:r>
    </w:p>
    <w:p w14:paraId="7C489968">
      <w:pPr>
        <w:snapToGrid w:val="0"/>
        <w:spacing w:after="0" w:line="360" w:lineRule="auto"/>
        <w:ind w:firstLine="435"/>
        <w:jc w:val="righ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适用于所有标项</w:t>
      </w:r>
    </w:p>
    <w:tbl>
      <w:tblPr>
        <w:tblStyle w:val="26"/>
        <w:tblW w:w="8860" w:type="dxa"/>
        <w:jc w:val="center"/>
        <w:tblLayout w:type="fixed"/>
        <w:tblCellMar>
          <w:top w:w="0" w:type="dxa"/>
          <w:left w:w="108" w:type="dxa"/>
          <w:bottom w:w="0" w:type="dxa"/>
          <w:right w:w="108" w:type="dxa"/>
        </w:tblCellMar>
      </w:tblPr>
      <w:tblGrid>
        <w:gridCol w:w="704"/>
        <w:gridCol w:w="1427"/>
        <w:gridCol w:w="6729"/>
      </w:tblGrid>
      <w:tr w14:paraId="4A9F654A">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898448">
            <w:pPr>
              <w:snapToGrid w:val="0"/>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427" w:type="dxa"/>
            <w:tcBorders>
              <w:top w:val="single" w:color="000000" w:sz="4" w:space="0"/>
              <w:left w:val="single" w:color="000000" w:sz="4" w:space="0"/>
              <w:bottom w:val="single" w:color="000000" w:sz="4" w:space="0"/>
              <w:right w:val="single" w:color="000000" w:sz="4" w:space="0"/>
            </w:tcBorders>
            <w:vAlign w:val="center"/>
          </w:tcPr>
          <w:p w14:paraId="10BBC9C3">
            <w:pPr>
              <w:snapToGrid w:val="0"/>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w:t>
            </w:r>
          </w:p>
        </w:tc>
        <w:tc>
          <w:tcPr>
            <w:tcW w:w="6729" w:type="dxa"/>
            <w:tcBorders>
              <w:top w:val="single" w:color="000000" w:sz="4" w:space="0"/>
              <w:left w:val="single" w:color="000000" w:sz="4" w:space="0"/>
              <w:bottom w:val="single" w:color="000000" w:sz="4" w:space="0"/>
              <w:right w:val="single" w:color="000000" w:sz="4" w:space="0"/>
            </w:tcBorders>
            <w:vAlign w:val="center"/>
          </w:tcPr>
          <w:p w14:paraId="1C478A11">
            <w:pPr>
              <w:snapToGrid w:val="0"/>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要求</w:t>
            </w:r>
          </w:p>
        </w:tc>
      </w:tr>
      <w:tr w14:paraId="5A95FE31">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233CB5">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27" w:type="dxa"/>
            <w:tcBorders>
              <w:top w:val="single" w:color="000000" w:sz="4" w:space="0"/>
              <w:left w:val="single" w:color="000000" w:sz="4" w:space="0"/>
              <w:bottom w:val="single" w:color="000000" w:sz="4" w:space="0"/>
              <w:right w:val="single" w:color="000000" w:sz="4" w:space="0"/>
            </w:tcBorders>
            <w:vAlign w:val="center"/>
          </w:tcPr>
          <w:p w14:paraId="4560F32A">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服务期限</w:t>
            </w:r>
          </w:p>
        </w:tc>
        <w:tc>
          <w:tcPr>
            <w:tcW w:w="6729" w:type="dxa"/>
            <w:tcBorders>
              <w:top w:val="single" w:color="000000" w:sz="4" w:space="0"/>
              <w:left w:val="single" w:color="000000" w:sz="4" w:space="0"/>
              <w:bottom w:val="single" w:color="000000" w:sz="4" w:space="0"/>
              <w:right w:val="single" w:color="000000" w:sz="4" w:space="0"/>
            </w:tcBorders>
            <w:vAlign w:val="center"/>
          </w:tcPr>
          <w:p w14:paraId="739C6E1D">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以具体服务要求为准。</w:t>
            </w:r>
          </w:p>
        </w:tc>
      </w:tr>
      <w:tr w14:paraId="032EE7BF">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EDF3D7">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7" w:type="dxa"/>
            <w:tcBorders>
              <w:top w:val="single" w:color="000000" w:sz="4" w:space="0"/>
              <w:left w:val="single" w:color="000000" w:sz="4" w:space="0"/>
              <w:bottom w:val="single" w:color="000000" w:sz="4" w:space="0"/>
              <w:right w:val="single" w:color="000000" w:sz="4" w:space="0"/>
            </w:tcBorders>
            <w:vAlign w:val="center"/>
          </w:tcPr>
          <w:p w14:paraId="45BB44A6">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交付时间</w:t>
            </w:r>
          </w:p>
        </w:tc>
        <w:tc>
          <w:tcPr>
            <w:tcW w:w="6729" w:type="dxa"/>
            <w:tcBorders>
              <w:top w:val="single" w:color="000000" w:sz="4" w:space="0"/>
              <w:left w:val="single" w:color="000000" w:sz="4" w:space="0"/>
              <w:bottom w:val="single" w:color="000000" w:sz="4" w:space="0"/>
              <w:right w:val="single" w:color="000000" w:sz="4" w:space="0"/>
            </w:tcBorders>
            <w:vAlign w:val="center"/>
          </w:tcPr>
          <w:p w14:paraId="1D0479E2">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以具体服务要求为准。</w:t>
            </w:r>
          </w:p>
        </w:tc>
      </w:tr>
      <w:tr w14:paraId="0305E5A2">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EA4F839">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427" w:type="dxa"/>
            <w:tcBorders>
              <w:top w:val="single" w:color="000000" w:sz="4" w:space="0"/>
              <w:left w:val="single" w:color="000000" w:sz="4" w:space="0"/>
              <w:bottom w:val="single" w:color="000000" w:sz="4" w:space="0"/>
              <w:right w:val="single" w:color="000000" w:sz="4" w:space="0"/>
            </w:tcBorders>
            <w:vAlign w:val="center"/>
          </w:tcPr>
          <w:p w14:paraId="16E9BB9D">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服务地点</w:t>
            </w:r>
          </w:p>
        </w:tc>
        <w:tc>
          <w:tcPr>
            <w:tcW w:w="6729" w:type="dxa"/>
            <w:tcBorders>
              <w:top w:val="single" w:color="000000" w:sz="4" w:space="0"/>
              <w:left w:val="single" w:color="000000" w:sz="4" w:space="0"/>
              <w:bottom w:val="single" w:color="000000" w:sz="4" w:space="0"/>
              <w:right w:val="single" w:color="000000" w:sz="4" w:space="0"/>
            </w:tcBorders>
            <w:vAlign w:val="center"/>
          </w:tcPr>
          <w:p w14:paraId="761F159E">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14:paraId="13680459">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2692E7">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427" w:type="dxa"/>
            <w:tcBorders>
              <w:top w:val="single" w:color="000000" w:sz="4" w:space="0"/>
              <w:left w:val="single" w:color="000000" w:sz="4" w:space="0"/>
              <w:bottom w:val="single" w:color="000000" w:sz="4" w:space="0"/>
              <w:right w:val="single" w:color="000000" w:sz="4" w:space="0"/>
            </w:tcBorders>
            <w:vAlign w:val="center"/>
          </w:tcPr>
          <w:p w14:paraId="400A17DA">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质量标准</w:t>
            </w:r>
          </w:p>
        </w:tc>
        <w:tc>
          <w:tcPr>
            <w:tcW w:w="6729" w:type="dxa"/>
            <w:tcBorders>
              <w:top w:val="single" w:color="000000" w:sz="4" w:space="0"/>
              <w:left w:val="single" w:color="000000" w:sz="4" w:space="0"/>
              <w:bottom w:val="single" w:color="000000" w:sz="4" w:space="0"/>
              <w:right w:val="single" w:color="000000" w:sz="4" w:space="0"/>
            </w:tcBorders>
            <w:vAlign w:val="center"/>
          </w:tcPr>
          <w:p w14:paraId="021CAF30">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及成果质量必须执行国家相关标准、行业标准、地方标准或者其它标准、规范（从严）：具有国家标准及规范的，按最新的标准及规范执行；具有行业标准及规范的，按最新的标准及规范执行；具有其他标准及规范的，按照最新的标准及规范执行；符合招标文件的实质性技术要求。</w:t>
            </w:r>
          </w:p>
        </w:tc>
      </w:tr>
      <w:tr w14:paraId="263E25C0">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7FB875">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427" w:type="dxa"/>
            <w:tcBorders>
              <w:top w:val="single" w:color="000000" w:sz="4" w:space="0"/>
              <w:left w:val="single" w:color="000000" w:sz="4" w:space="0"/>
              <w:bottom w:val="single" w:color="000000" w:sz="4" w:space="0"/>
              <w:right w:val="single" w:color="000000" w:sz="4" w:space="0"/>
            </w:tcBorders>
            <w:vAlign w:val="center"/>
          </w:tcPr>
          <w:p w14:paraId="7AD3EFFE">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验收</w:t>
            </w:r>
          </w:p>
        </w:tc>
        <w:tc>
          <w:tcPr>
            <w:tcW w:w="6729" w:type="dxa"/>
            <w:tcBorders>
              <w:top w:val="single" w:color="000000" w:sz="4" w:space="0"/>
              <w:left w:val="single" w:color="000000" w:sz="4" w:space="0"/>
              <w:bottom w:val="single" w:color="000000" w:sz="4" w:space="0"/>
              <w:right w:val="single" w:color="000000" w:sz="4" w:space="0"/>
            </w:tcBorders>
            <w:vAlign w:val="center"/>
          </w:tcPr>
          <w:p w14:paraId="67445F5F">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双方按照确定的技术标准进行验收。验收前，中标人应向采购人提交所有验收必备资料。</w:t>
            </w:r>
          </w:p>
        </w:tc>
      </w:tr>
      <w:tr w14:paraId="4CADB088">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73BC5D">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427" w:type="dxa"/>
            <w:tcBorders>
              <w:top w:val="single" w:color="000000" w:sz="4" w:space="0"/>
              <w:left w:val="single" w:color="000000" w:sz="4" w:space="0"/>
              <w:bottom w:val="single" w:color="000000" w:sz="4" w:space="0"/>
              <w:right w:val="single" w:color="000000" w:sz="4" w:space="0"/>
            </w:tcBorders>
            <w:vAlign w:val="center"/>
          </w:tcPr>
          <w:p w14:paraId="2CA0D3E9">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签订合同时间</w:t>
            </w:r>
          </w:p>
        </w:tc>
        <w:tc>
          <w:tcPr>
            <w:tcW w:w="6729" w:type="dxa"/>
            <w:tcBorders>
              <w:top w:val="single" w:color="000000" w:sz="4" w:space="0"/>
              <w:left w:val="single" w:color="000000" w:sz="4" w:space="0"/>
              <w:bottom w:val="single" w:color="000000" w:sz="4" w:space="0"/>
              <w:right w:val="single" w:color="000000" w:sz="4" w:space="0"/>
            </w:tcBorders>
            <w:vAlign w:val="center"/>
          </w:tcPr>
          <w:p w14:paraId="026AF790">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采购人在中标通知书发出之日起30日内与中标人签订书面合同。具体签订时间以采购人通知为准。</w:t>
            </w:r>
          </w:p>
        </w:tc>
      </w:tr>
      <w:tr w14:paraId="7AE455E0">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25AA63">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427" w:type="dxa"/>
            <w:tcBorders>
              <w:top w:val="single" w:color="000000" w:sz="4" w:space="0"/>
              <w:left w:val="single" w:color="000000" w:sz="4" w:space="0"/>
              <w:bottom w:val="single" w:color="000000" w:sz="4" w:space="0"/>
              <w:right w:val="single" w:color="000000" w:sz="4" w:space="0"/>
            </w:tcBorders>
            <w:vAlign w:val="center"/>
          </w:tcPr>
          <w:p w14:paraId="57A57A44">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合同款项支付条件及方式</w:t>
            </w:r>
          </w:p>
        </w:tc>
        <w:tc>
          <w:tcPr>
            <w:tcW w:w="6729" w:type="dxa"/>
            <w:tcBorders>
              <w:top w:val="single" w:color="000000" w:sz="4" w:space="0"/>
              <w:left w:val="single" w:color="000000" w:sz="4" w:space="0"/>
              <w:bottom w:val="single" w:color="000000" w:sz="4" w:space="0"/>
              <w:right w:val="single" w:color="000000" w:sz="4" w:space="0"/>
            </w:tcBorders>
            <w:vAlign w:val="center"/>
          </w:tcPr>
          <w:p w14:paraId="0D119086">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1.合同签订具备实施条件，且收到中标人开具的发票后7个工作日内，采购人支付合同总额的50%作为预付款。</w:t>
            </w:r>
          </w:p>
          <w:p w14:paraId="4F007E4D">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2.项目验收合格，且收到供应商递交的发票后7个工作日内，采购人支付合同总额的50%。</w:t>
            </w:r>
          </w:p>
          <w:p w14:paraId="6E7CD21E">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注：在签订合同时，供应商明确表示无需预付款或者主动要求降低预付款比例的，采购人将根据情况调整预付款及后续合同款的支付。</w:t>
            </w:r>
          </w:p>
        </w:tc>
      </w:tr>
      <w:tr w14:paraId="191B10FD">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41713F">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427" w:type="dxa"/>
            <w:tcBorders>
              <w:top w:val="single" w:color="000000" w:sz="4" w:space="0"/>
              <w:left w:val="single" w:color="000000" w:sz="4" w:space="0"/>
              <w:bottom w:val="single" w:color="000000" w:sz="4" w:space="0"/>
              <w:right w:val="single" w:color="000000" w:sz="4" w:space="0"/>
            </w:tcBorders>
            <w:vAlign w:val="center"/>
          </w:tcPr>
          <w:p w14:paraId="0BF500C6">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6729" w:type="dxa"/>
            <w:tcBorders>
              <w:top w:val="single" w:color="000000" w:sz="4" w:space="0"/>
              <w:left w:val="single" w:color="000000" w:sz="4" w:space="0"/>
              <w:bottom w:val="single" w:color="000000" w:sz="4" w:space="0"/>
              <w:right w:val="single" w:color="000000" w:sz="4" w:space="0"/>
            </w:tcBorders>
            <w:vAlign w:val="center"/>
          </w:tcPr>
          <w:p w14:paraId="21430529">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1.履约保证金金额：各标项合同金额的1%；</w:t>
            </w:r>
          </w:p>
          <w:p w14:paraId="67A4B937">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2.履约保证金缴纳形式：银行转账、银行保函、保险保单等非现金形式；</w:t>
            </w:r>
          </w:p>
          <w:p w14:paraId="6B2C2F9E">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3.履约保证金缴纳时间：合同签订后7个工作日内；</w:t>
            </w:r>
          </w:p>
          <w:p w14:paraId="22F3F192">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4.履约保证金退回时间：完成合同全部服务通过采购人验收合格后30个工作日内扣除合同违约款项后退回。</w:t>
            </w:r>
          </w:p>
        </w:tc>
      </w:tr>
      <w:tr w14:paraId="6C6D5A9D">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28767E">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427" w:type="dxa"/>
            <w:tcBorders>
              <w:top w:val="single" w:color="000000" w:sz="4" w:space="0"/>
              <w:left w:val="single" w:color="000000" w:sz="4" w:space="0"/>
              <w:bottom w:val="single" w:color="000000" w:sz="4" w:space="0"/>
              <w:right w:val="single" w:color="000000" w:sz="4" w:space="0"/>
            </w:tcBorders>
            <w:vAlign w:val="center"/>
          </w:tcPr>
          <w:p w14:paraId="1B8EDD50">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发票要求</w:t>
            </w:r>
          </w:p>
        </w:tc>
        <w:tc>
          <w:tcPr>
            <w:tcW w:w="6729" w:type="dxa"/>
            <w:tcBorders>
              <w:top w:val="single" w:color="000000" w:sz="4" w:space="0"/>
              <w:left w:val="single" w:color="000000" w:sz="4" w:space="0"/>
              <w:bottom w:val="single" w:color="000000" w:sz="4" w:space="0"/>
              <w:right w:val="single" w:color="000000" w:sz="4" w:space="0"/>
            </w:tcBorders>
            <w:vAlign w:val="center"/>
          </w:tcPr>
          <w:p w14:paraId="32711145">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1.中标人应在采购人支付费用前，依据相应的金额，先行提供足额且符合税法规定的发票。在收到中标人提供的发票后在约定的时间内支付相应款项，否则有权延迟支付而不被视为违约，亦无须承担任何责任。</w:t>
            </w:r>
          </w:p>
          <w:p w14:paraId="669642FC">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项目合同签署的中标人名称与发票开具单位及收款单位必须一致，中标人不得以任何理由在合同执行过程中要求调整发票开具单位或收款单位（中标人依法变更单位名称或存在其他特殊情况符合规定要求除外），否则视为中标人违约并自行承担相关责任，且须承担由此对采购人造成的一切损失。</w:t>
            </w:r>
          </w:p>
        </w:tc>
      </w:tr>
      <w:tr w14:paraId="2DB46CCE">
        <w:tblPrEx>
          <w:tblCellMar>
            <w:top w:w="0" w:type="dxa"/>
            <w:left w:w="108" w:type="dxa"/>
            <w:bottom w:w="0" w:type="dxa"/>
            <w:right w:w="108" w:type="dxa"/>
          </w:tblCellMar>
        </w:tblPrEx>
        <w:trPr>
          <w:trHeight w:val="26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04D87FD">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427" w:type="dxa"/>
            <w:tcBorders>
              <w:top w:val="single" w:color="000000" w:sz="4" w:space="0"/>
              <w:left w:val="single" w:color="000000" w:sz="4" w:space="0"/>
              <w:bottom w:val="single" w:color="000000" w:sz="4" w:space="0"/>
              <w:right w:val="single" w:color="000000" w:sz="4" w:space="0"/>
            </w:tcBorders>
            <w:vAlign w:val="center"/>
          </w:tcPr>
          <w:p w14:paraId="69CF69AA">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w:t>
            </w:r>
          </w:p>
        </w:tc>
        <w:tc>
          <w:tcPr>
            <w:tcW w:w="6729" w:type="dxa"/>
            <w:tcBorders>
              <w:top w:val="single" w:color="000000" w:sz="4" w:space="0"/>
              <w:left w:val="single" w:color="000000" w:sz="4" w:space="0"/>
              <w:bottom w:val="single" w:color="000000" w:sz="4" w:space="0"/>
              <w:right w:val="single" w:color="000000" w:sz="4" w:space="0"/>
            </w:tcBorders>
            <w:vAlign w:val="center"/>
          </w:tcPr>
          <w:p w14:paraId="39D92868">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合同履行过程中，中标人应承担由于其行为所造成的采购人或第三人的人身伤害、财产损失或损坏的责任，无论何种原因所造成，与采购人无涉，由此导致的损失由中标人承担，无论何种原因采购人先行支付的，采购人有权向中标人进行追偿。</w:t>
            </w:r>
          </w:p>
        </w:tc>
      </w:tr>
      <w:tr w14:paraId="3D0940BE">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07EB8C">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427" w:type="dxa"/>
            <w:tcBorders>
              <w:top w:val="single" w:color="000000" w:sz="4" w:space="0"/>
              <w:left w:val="single" w:color="000000" w:sz="4" w:space="0"/>
              <w:bottom w:val="single" w:color="000000" w:sz="4" w:space="0"/>
              <w:right w:val="single" w:color="000000" w:sz="4" w:space="0"/>
            </w:tcBorders>
            <w:vAlign w:val="center"/>
          </w:tcPr>
          <w:p w14:paraId="039DEBCD">
            <w:pPr>
              <w:snapToGrid w:val="0"/>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知识产权要求</w:t>
            </w:r>
          </w:p>
        </w:tc>
        <w:tc>
          <w:tcPr>
            <w:tcW w:w="6729" w:type="dxa"/>
            <w:tcBorders>
              <w:top w:val="single" w:color="000000" w:sz="4" w:space="0"/>
              <w:left w:val="single" w:color="000000" w:sz="4" w:space="0"/>
              <w:bottom w:val="single" w:color="000000" w:sz="4" w:space="0"/>
              <w:right w:val="single" w:color="000000" w:sz="4" w:space="0"/>
            </w:tcBorders>
            <w:vAlign w:val="center"/>
          </w:tcPr>
          <w:p w14:paraId="33DDD354">
            <w:pPr>
              <w:snapToGrid w:val="0"/>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项目实施过程中，中标人不得侵犯第三方的知识产权（包括但不限于著作权、专利权、商标权），同时，在交付本项目合同成果中也不涉及或非法使用第三方的知识产权（包括但不限于著作权、专利权、商标权）。</w:t>
            </w:r>
          </w:p>
        </w:tc>
      </w:tr>
    </w:tbl>
    <w:p w14:paraId="541228C2">
      <w:pPr>
        <w:pStyle w:val="3"/>
        <w:numPr>
          <w:ilvl w:val="1"/>
          <w:numId w:val="0"/>
        </w:numPr>
        <w:spacing w:before="0" w:after="0" w:line="360" w:lineRule="auto"/>
        <w:jc w:val="left"/>
        <w:rPr>
          <w:rFonts w:hint="eastAsia" w:ascii="宋体" w:hAnsi="宋体" w:eastAsia="宋体" w:cs="宋体"/>
          <w:color w:val="000000" w:themeColor="text1"/>
          <w:sz w:val="21"/>
          <w:szCs w:val="21"/>
          <w:highlight w:val="none"/>
          <w14:textFill>
            <w14:solidFill>
              <w14:schemeClr w14:val="tx1"/>
            </w14:solidFill>
          </w14:textFill>
        </w:rPr>
      </w:pPr>
      <w:bookmarkStart w:id="36" w:name="_Toc23202"/>
      <w:r>
        <w:rPr>
          <w:rFonts w:hint="eastAsia" w:ascii="宋体" w:hAnsi="宋体" w:eastAsia="宋体" w:cs="宋体"/>
          <w:color w:val="000000" w:themeColor="text1"/>
          <w:sz w:val="21"/>
          <w:szCs w:val="21"/>
          <w:highlight w:val="none"/>
          <w14:textFill>
            <w14:solidFill>
              <w14:schemeClr w14:val="tx1"/>
            </w14:solidFill>
          </w14:textFill>
        </w:rPr>
        <w:t>二、服务内容及要求</w:t>
      </w:r>
      <w:bookmarkEnd w:id="36"/>
    </w:p>
    <w:p w14:paraId="7FA5D860">
      <w:pPr>
        <w:pStyle w:val="4"/>
        <w:spacing w:before="0" w:after="0" w:line="36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bookmarkStart w:id="37" w:name="_Toc19226"/>
      <w:r>
        <w:rPr>
          <w:rFonts w:hint="eastAsia" w:ascii="宋体" w:hAnsi="宋体" w:eastAsia="宋体" w:cs="宋体"/>
          <w:color w:val="000000" w:themeColor="text1"/>
          <w:sz w:val="21"/>
          <w:szCs w:val="21"/>
          <w:highlight w:val="none"/>
          <w14:textFill>
            <w14:solidFill>
              <w14:schemeClr w14:val="tx1"/>
            </w14:solidFill>
          </w14:textFill>
        </w:rPr>
        <w:t>标项1.机柜租赁服务（一）</w:t>
      </w:r>
      <w:bookmarkEnd w:id="37"/>
    </w:p>
    <w:p w14:paraId="27374FAB">
      <w:pPr>
        <w:spacing w:after="0" w:line="360" w:lineRule="auto"/>
        <w:jc w:val="left"/>
        <w:rPr>
          <w:rFonts w:hint="eastAsia" w:ascii="宋体" w:hAnsi="宋体" w:eastAsia="宋体" w:cs="宋体"/>
          <w:b/>
          <w:bCs/>
          <w:color w:val="000000" w:themeColor="text1"/>
          <w:spacing w:val="-4"/>
          <w:kern w:val="0"/>
          <w:highlight w:val="none"/>
          <w14:textFill>
            <w14:solidFill>
              <w14:schemeClr w14:val="tx1"/>
            </w14:solidFill>
          </w14:textFill>
        </w:rPr>
      </w:pPr>
      <w:r>
        <w:rPr>
          <w:rFonts w:hint="eastAsia" w:ascii="宋体" w:hAnsi="宋体" w:eastAsia="宋体" w:cs="宋体"/>
          <w:b/>
          <w:bCs/>
          <w:color w:val="000000" w:themeColor="text1"/>
          <w:spacing w:val="-4"/>
          <w:kern w:val="0"/>
          <w:highlight w:val="none"/>
          <w14:textFill>
            <w14:solidFill>
              <w14:schemeClr w14:val="tx1"/>
            </w14:solidFill>
          </w14:textFill>
        </w:rPr>
        <w:t>（一）服务清单</w:t>
      </w:r>
    </w:p>
    <w:tbl>
      <w:tblPr>
        <w:tblStyle w:val="26"/>
        <w:tblW w:w="9110" w:type="dxa"/>
        <w:jc w:val="center"/>
        <w:tblLayout w:type="fixed"/>
        <w:tblCellMar>
          <w:top w:w="0" w:type="dxa"/>
          <w:left w:w="108" w:type="dxa"/>
          <w:bottom w:w="0" w:type="dxa"/>
          <w:right w:w="108" w:type="dxa"/>
        </w:tblCellMar>
      </w:tblPr>
      <w:tblGrid>
        <w:gridCol w:w="675"/>
        <w:gridCol w:w="1060"/>
        <w:gridCol w:w="1084"/>
        <w:gridCol w:w="3029"/>
        <w:gridCol w:w="2174"/>
        <w:gridCol w:w="1088"/>
      </w:tblGrid>
      <w:tr w14:paraId="7A3C1A5A">
        <w:tblPrEx>
          <w:tblCellMar>
            <w:top w:w="0" w:type="dxa"/>
            <w:left w:w="108" w:type="dxa"/>
            <w:bottom w:w="0" w:type="dxa"/>
            <w:right w:w="108" w:type="dxa"/>
          </w:tblCellMar>
        </w:tblPrEx>
        <w:trPr>
          <w:trHeight w:val="5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7F7B97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060" w:type="dxa"/>
            <w:tcBorders>
              <w:top w:val="single" w:color="000000" w:sz="4" w:space="0"/>
              <w:left w:val="single" w:color="000000" w:sz="4" w:space="0"/>
              <w:bottom w:val="single" w:color="000000" w:sz="4" w:space="0"/>
              <w:right w:val="single" w:color="000000" w:sz="4" w:space="0"/>
            </w:tcBorders>
            <w:vAlign w:val="center"/>
          </w:tcPr>
          <w:p w14:paraId="5960332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编号</w:t>
            </w:r>
          </w:p>
        </w:tc>
        <w:tc>
          <w:tcPr>
            <w:tcW w:w="1084" w:type="dxa"/>
            <w:tcBorders>
              <w:top w:val="single" w:color="000000" w:sz="4" w:space="0"/>
              <w:left w:val="single" w:color="000000" w:sz="4" w:space="0"/>
              <w:bottom w:val="single" w:color="000000" w:sz="4" w:space="0"/>
              <w:right w:val="single" w:color="000000" w:sz="4" w:space="0"/>
            </w:tcBorders>
            <w:vAlign w:val="center"/>
          </w:tcPr>
          <w:p w14:paraId="608CED1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试点单位</w:t>
            </w:r>
          </w:p>
        </w:tc>
        <w:tc>
          <w:tcPr>
            <w:tcW w:w="3029" w:type="dxa"/>
            <w:tcBorders>
              <w:top w:val="single" w:color="000000" w:sz="4" w:space="0"/>
              <w:left w:val="single" w:color="000000" w:sz="4" w:space="0"/>
              <w:bottom w:val="single" w:color="000000" w:sz="4" w:space="0"/>
              <w:right w:val="single" w:color="000000" w:sz="4" w:space="0"/>
            </w:tcBorders>
            <w:vAlign w:val="center"/>
          </w:tcPr>
          <w:p w14:paraId="4948ABB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涉及系统/运维对象</w:t>
            </w:r>
          </w:p>
        </w:tc>
        <w:tc>
          <w:tcPr>
            <w:tcW w:w="2174" w:type="dxa"/>
            <w:tcBorders>
              <w:top w:val="single" w:color="000000" w:sz="4" w:space="0"/>
              <w:left w:val="single" w:color="000000" w:sz="4" w:space="0"/>
              <w:bottom w:val="single" w:color="000000" w:sz="4" w:space="0"/>
              <w:right w:val="single" w:color="000000" w:sz="4" w:space="0"/>
            </w:tcBorders>
            <w:vAlign w:val="center"/>
          </w:tcPr>
          <w:p w14:paraId="13A239E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服务起止时间</w:t>
            </w:r>
          </w:p>
        </w:tc>
        <w:tc>
          <w:tcPr>
            <w:tcW w:w="1088" w:type="dxa"/>
            <w:tcBorders>
              <w:top w:val="single" w:color="000000" w:sz="4" w:space="0"/>
              <w:left w:val="single" w:color="000000" w:sz="4" w:space="0"/>
              <w:bottom w:val="single" w:color="000000" w:sz="4" w:space="0"/>
              <w:right w:val="single" w:color="000000" w:sz="4" w:space="0"/>
            </w:tcBorders>
            <w:vAlign w:val="center"/>
          </w:tcPr>
          <w:p w14:paraId="6ACBFD4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分项限价（万元）</w:t>
            </w:r>
          </w:p>
        </w:tc>
      </w:tr>
      <w:tr w14:paraId="6ECFBDE3">
        <w:tblPrEx>
          <w:tblCellMar>
            <w:top w:w="0" w:type="dxa"/>
            <w:left w:w="108" w:type="dxa"/>
            <w:bottom w:w="0" w:type="dxa"/>
            <w:right w:w="108" w:type="dxa"/>
          </w:tblCellMar>
        </w:tblPrEx>
        <w:trPr>
          <w:trHeight w:val="75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6DB938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060" w:type="dxa"/>
            <w:tcBorders>
              <w:top w:val="single" w:color="000000" w:sz="4" w:space="0"/>
              <w:left w:val="single" w:color="000000" w:sz="4" w:space="0"/>
              <w:bottom w:val="single" w:color="000000" w:sz="4" w:space="0"/>
              <w:right w:val="single" w:color="000000" w:sz="4" w:space="0"/>
            </w:tcBorders>
            <w:vAlign w:val="center"/>
          </w:tcPr>
          <w:p w14:paraId="5181161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02260205</w:t>
            </w:r>
          </w:p>
        </w:tc>
        <w:tc>
          <w:tcPr>
            <w:tcW w:w="1084" w:type="dxa"/>
            <w:tcBorders>
              <w:top w:val="single" w:color="000000" w:sz="4" w:space="0"/>
              <w:left w:val="single" w:color="000000" w:sz="4" w:space="0"/>
              <w:bottom w:val="single" w:color="000000" w:sz="4" w:space="0"/>
              <w:right w:val="single" w:color="000000" w:sz="4" w:space="0"/>
            </w:tcBorders>
            <w:vAlign w:val="center"/>
          </w:tcPr>
          <w:p w14:paraId="66D9144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市数据局</w:t>
            </w:r>
          </w:p>
        </w:tc>
        <w:tc>
          <w:tcPr>
            <w:tcW w:w="3029" w:type="dxa"/>
            <w:tcBorders>
              <w:top w:val="single" w:color="000000" w:sz="4" w:space="0"/>
              <w:left w:val="single" w:color="000000" w:sz="4" w:space="0"/>
              <w:bottom w:val="single" w:color="000000" w:sz="4" w:space="0"/>
              <w:right w:val="single" w:color="000000" w:sz="4" w:space="0"/>
            </w:tcBorders>
            <w:vAlign w:val="center"/>
          </w:tcPr>
          <w:p w14:paraId="28FB697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宁波市健康大脑基础支撑环境项目机柜租赁服务</w:t>
            </w:r>
          </w:p>
        </w:tc>
        <w:tc>
          <w:tcPr>
            <w:tcW w:w="2174" w:type="dxa"/>
            <w:tcBorders>
              <w:top w:val="single" w:color="000000" w:sz="4" w:space="0"/>
              <w:left w:val="single" w:color="000000" w:sz="4" w:space="0"/>
              <w:bottom w:val="single" w:color="000000" w:sz="4" w:space="0"/>
              <w:right w:val="single" w:color="000000" w:sz="4" w:space="0"/>
            </w:tcBorders>
            <w:vAlign w:val="center"/>
          </w:tcPr>
          <w:p w14:paraId="36EC5D7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2027年2月1日至2027年4月30日</w:t>
            </w:r>
          </w:p>
        </w:tc>
        <w:tc>
          <w:tcPr>
            <w:tcW w:w="1088" w:type="dxa"/>
            <w:tcBorders>
              <w:top w:val="single" w:color="000000" w:sz="4" w:space="0"/>
              <w:left w:val="single" w:color="000000" w:sz="4" w:space="0"/>
              <w:bottom w:val="single" w:color="000000" w:sz="4" w:space="0"/>
              <w:right w:val="single" w:color="000000" w:sz="4" w:space="0"/>
            </w:tcBorders>
            <w:vAlign w:val="center"/>
          </w:tcPr>
          <w:p w14:paraId="4A5C565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48.84</w:t>
            </w:r>
          </w:p>
        </w:tc>
      </w:tr>
    </w:tbl>
    <w:p w14:paraId="4C4B592B">
      <w:pPr>
        <w:spacing w:after="0" w:line="360" w:lineRule="auto"/>
        <w:jc w:val="left"/>
        <w:rPr>
          <w:rFonts w:hint="eastAsia" w:ascii="宋体" w:hAnsi="宋体" w:eastAsia="宋体" w:cs="宋体"/>
          <w:b/>
          <w:bCs/>
          <w:color w:val="000000" w:themeColor="text1"/>
          <w:spacing w:val="-4"/>
          <w:kern w:val="0"/>
          <w:highlight w:val="none"/>
          <w14:textFill>
            <w14:solidFill>
              <w14:schemeClr w14:val="tx1"/>
            </w14:solidFill>
          </w14:textFill>
        </w:rPr>
      </w:pPr>
      <w:r>
        <w:rPr>
          <w:rFonts w:hint="eastAsia" w:ascii="宋体" w:hAnsi="宋体" w:eastAsia="宋体" w:cs="宋体"/>
          <w:b/>
          <w:bCs/>
          <w:color w:val="000000" w:themeColor="text1"/>
          <w:spacing w:val="-4"/>
          <w:kern w:val="0"/>
          <w:highlight w:val="none"/>
          <w14:textFill>
            <w14:solidFill>
              <w14:schemeClr w14:val="tx1"/>
            </w14:solidFill>
          </w14:textFill>
        </w:rPr>
        <w:t>（二）具体服务内容及要求</w:t>
      </w:r>
    </w:p>
    <w:p w14:paraId="09AE17E2">
      <w:pPr>
        <w:pStyle w:val="5"/>
        <w:spacing w:after="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02260205</w:t>
      </w:r>
      <w:r>
        <w:rPr>
          <w:rFonts w:hint="eastAsia" w:ascii="宋体" w:hAnsi="宋体" w:eastAsia="宋体" w:cs="宋体"/>
          <w:color w:val="000000" w:themeColor="text1"/>
          <w:highlight w:val="none"/>
          <w14:textFill>
            <w14:solidFill>
              <w14:schemeClr w14:val="tx1"/>
            </w14:solidFill>
          </w14:textFill>
        </w:rPr>
        <w:t>宁波市健康大脑基础支撑环境项目机柜租赁服务</w:t>
      </w:r>
    </w:p>
    <w:p w14:paraId="44948A84">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一、项目背景</w:t>
      </w:r>
    </w:p>
    <w:p w14:paraId="49A53456">
      <w:pPr>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宁波市健康大脑基础支撑环境项目围绕建设高质量、现代化的“健康大脑+智慧医疗”信息系统，为各类应用系统实现集中统一建设和部署提供保障。为继续保障有关系统的平稳运行，需结合项目实际情况与宁波市卫健委新增业务需求，对项目所需的机柜资源进行租赁采购，从而持续提供安全、稳定的基础支撑环境，为相关业务的开展提供有力支持。</w:t>
      </w:r>
    </w:p>
    <w:p w14:paraId="5D5AA52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二、项目目标</w:t>
      </w:r>
    </w:p>
    <w:p w14:paraId="117073A5">
      <w:pPr>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省市数字化改革总体部署，建设高质量、现代化的“健康大脑+智慧医疗”信息系统，为各类应用系统实现集中统一建设和部署提供保障，宁波市政务云计算中心基础支撑能力进行升级，增加算力、存储、网络及网络安全资源，统筹建设健康大脑的基础支撑环境，同时采用机柜租赁的方式，满足大规模综合集成应用系统建设需求，实现基础设施更好的服务于信息化、智能化建设。</w:t>
      </w:r>
    </w:p>
    <w:p w14:paraId="37A110EF">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三、遵循标准</w:t>
      </w:r>
    </w:p>
    <w:p w14:paraId="6475155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1.《关于印发&lt;宁波市政务信息化项目网络安全审查办法&gt;》的通知》（甬网办发〔2020〕3号）</w:t>
      </w:r>
    </w:p>
    <w:p w14:paraId="7E2E5D3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2.《关于进一步加强政务信息化项目网络安全保障的通知》（甬委网办发〔2020〕6号）。</w:t>
      </w:r>
    </w:p>
    <w:p w14:paraId="618ABDF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四、服务内容及要求</w:t>
      </w:r>
    </w:p>
    <w:p w14:paraId="4DDFD562">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（一）技术参数及标准</w:t>
      </w:r>
    </w:p>
    <w:p w14:paraId="42B2C79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租赁机房共需提供</w:t>
      </w:r>
      <w:r>
        <w:rPr>
          <w:rFonts w:hint="eastAsia" w:ascii="宋体" w:hAnsi="宋体" w:eastAsia="宋体" w:cs="宋体"/>
          <w:b/>
          <w:color w:val="000000" w:themeColor="text1"/>
          <w:highlight w:val="none"/>
          <w14:textFill>
            <w14:solidFill>
              <w14:schemeClr w14:val="tx1"/>
            </w14:solidFill>
          </w14:textFill>
        </w:rPr>
        <w:t>62个标准机柜（包括60个设计功率不小于3KW的机柜和2个设计功率不小于4.5KW的机柜）</w:t>
      </w:r>
      <w:r>
        <w:rPr>
          <w:rFonts w:hint="eastAsia" w:ascii="宋体" w:hAnsi="宋体" w:eastAsia="宋体" w:cs="宋体"/>
          <w:bCs/>
          <w:color w:val="000000" w:themeColor="text1"/>
          <w:highlight w:val="none"/>
          <w14:textFill>
            <w14:solidFill>
              <w14:schemeClr w14:val="tx1"/>
            </w14:solidFill>
          </w14:textFill>
        </w:rPr>
        <w:t>；每个机柜需提供2路UPS供电，提供满足本项目需求的PDU电源插孔及其他项目需要的配套基础设施，以保障相关业务平稳运行。</w:t>
      </w:r>
    </w:p>
    <w:p w14:paraId="0AE150B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对于所租赁的机柜以及机柜所使用的机房，有以下要求：</w:t>
      </w:r>
    </w:p>
    <w:p w14:paraId="6163259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1.地理位置要求</w:t>
      </w:r>
    </w:p>
    <w:p w14:paraId="5511910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（1）IDC机房需位于宁波市辖区，IDC机房与宁波市行政中心信息化集中机房（宁波市宁穿路2001号）之间的光纤链路端到端距离不大于20KM，且光纤端对端衰耗≤10dB。</w:t>
      </w:r>
    </w:p>
    <w:p w14:paraId="06B00B5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（2）地理位置：交通便利，有利于采购人现场运维和应急情况处置。</w:t>
      </w:r>
    </w:p>
    <w:p w14:paraId="45935F2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（3）周围环境：远离腐蚀性气体、粉尘、强振动源和强噪声源、强电磁辐射源。</w:t>
      </w:r>
    </w:p>
    <w:p w14:paraId="1DADB92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（4）提供的机房应为独立园区或具备独立安防管理的区域，区域内应能提供办公、泊车等配套设施。</w:t>
      </w:r>
    </w:p>
    <w:p w14:paraId="0C64C46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2.场地技术要求</w:t>
      </w:r>
    </w:p>
    <w:p w14:paraId="1432264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（1）机房建筑采用全框架全现浇钢筋混凝土结构，采用架空防静电地板，机房无窗，机房楼层承重≥1吨/㎡，地面平整不起尘。机房顶部不结露，地面无水患；照明满足IDC机房要求。</w:t>
      </w:r>
    </w:p>
    <w:p w14:paraId="2C6AE09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（2）机房符合乙级抗震标准，有相应的抗震加固措施。</w:t>
      </w:r>
    </w:p>
    <w:p w14:paraId="3BA6782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（3）机房（含电源机房）选择在不易受洪水淹灌的地方，机房（含电源机房）地面至少高于历史最高洪水水位0.5m以上。</w:t>
      </w:r>
    </w:p>
    <w:p w14:paraId="05DCFCA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（4）机房内设置动力环境监控系统，动力环境监控系统软件中的所有监控数据能够进行实时展示以及</w:t>
      </w:r>
      <w:r>
        <w:rPr>
          <w:rFonts w:hint="eastAsia" w:ascii="宋体" w:hAnsi="宋体" w:eastAsia="宋体" w:cs="宋体"/>
          <w:bCs/>
          <w:color w:val="000000" w:themeColor="text1"/>
          <w:highlight w:val="none"/>
          <w:lang w:eastAsia="zh-CN"/>
          <w14:textFill>
            <w14:solidFill>
              <w14:schemeClr w14:val="tx1"/>
            </w14:solidFill>
          </w14:textFill>
        </w:rPr>
        <w:t>记录</w:t>
      </w:r>
      <w:r>
        <w:rPr>
          <w:rFonts w:hint="eastAsia" w:ascii="宋体" w:hAnsi="宋体" w:eastAsia="宋体" w:cs="宋体"/>
          <w:bCs/>
          <w:color w:val="000000" w:themeColor="text1"/>
          <w:highlight w:val="none"/>
          <w14:textFill>
            <w14:solidFill>
              <w14:schemeClr w14:val="tx1"/>
            </w14:solidFill>
          </w14:textFill>
        </w:rPr>
        <w:t>数据。机房动力环境监控系统应对机房内配电系统、UPS系统、精密空调系统、漏水、温湿度、消防报警、机房门禁系统、视频监控系统、新风系统等进行集中监控，实现对机房的动力、环境、安全三方面监控等功能；温湿度监控功能需对机房冷通道分别进行温湿度监控，机房空调末端机应具备温湿度监控探头。</w:t>
      </w:r>
    </w:p>
    <w:p w14:paraId="116FA3CF">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3.租用场地要求</w:t>
      </w:r>
    </w:p>
    <w:p w14:paraId="729D2AD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供一处完整、独立、物理封闭的区域；具有完备的机房管理体系，具备单独的符合国密标准的门禁系统；具备覆盖使用区域符合国密标准的视频监控系统，提供7×24小时的安全管理与视频监控服务和机房基础设施运维服务，封闭区域视频资料至少保存</w:t>
      </w:r>
      <w:r>
        <w:rPr>
          <w:rFonts w:hint="eastAsia" w:ascii="宋体" w:hAnsi="宋体" w:eastAsia="宋体" w:cs="宋体"/>
          <w:b/>
          <w:color w:val="000000" w:themeColor="text1"/>
          <w:highlight w:val="none"/>
          <w14:textFill>
            <w14:solidFill>
              <w14:schemeClr w14:val="tx1"/>
            </w14:solidFill>
          </w14:textFill>
        </w:rPr>
        <w:t>6个月</w:t>
      </w:r>
      <w:r>
        <w:rPr>
          <w:rFonts w:hint="eastAsia" w:ascii="宋体" w:hAnsi="宋体" w:eastAsia="宋体" w:cs="宋体"/>
          <w:bCs/>
          <w:color w:val="000000" w:themeColor="text1"/>
          <w:highlight w:val="none"/>
          <w14:textFill>
            <w14:solidFill>
              <w14:schemeClr w14:val="tx1"/>
            </w14:solidFill>
          </w14:textFill>
        </w:rPr>
        <w:t>。</w:t>
      </w:r>
    </w:p>
    <w:p w14:paraId="4A9BF02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（2）租用场地出入口需设置门禁控制系统，未经授权的人员，不得进入。机房门禁读卡器须至少具备密码输入、一卡通识别或指纹识别等一种进出控制功能。门禁系统相关数据具备</w:t>
      </w:r>
      <w:r>
        <w:rPr>
          <w:rFonts w:hint="eastAsia" w:ascii="宋体" w:hAnsi="宋体" w:eastAsia="宋体" w:cs="宋体"/>
          <w:b/>
          <w:color w:val="000000" w:themeColor="text1"/>
          <w:highlight w:val="none"/>
          <w14:textFill>
            <w14:solidFill>
              <w14:schemeClr w14:val="tx1"/>
            </w14:solidFill>
          </w14:textFill>
        </w:rPr>
        <w:t>1年以上</w:t>
      </w:r>
      <w:r>
        <w:rPr>
          <w:rFonts w:hint="eastAsia" w:ascii="宋体" w:hAnsi="宋体" w:eastAsia="宋体" w:cs="宋体"/>
          <w:bCs/>
          <w:color w:val="000000" w:themeColor="text1"/>
          <w:highlight w:val="none"/>
          <w14:textFill>
            <w14:solidFill>
              <w14:schemeClr w14:val="tx1"/>
            </w14:solidFill>
          </w14:textFill>
        </w:rPr>
        <w:t>的存储能力。</w:t>
      </w:r>
    </w:p>
    <w:p w14:paraId="4EBA5F4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监控系统需覆盖机房内所有区域、机房门禁内外通道区域、库房门外通道区域，系统实现对机房内主要进出通道、主要通道以及封闭通道内部的人员走动、设备运行情况进行监控，并实现实时存储，无死角和盲区。当监测到有人员进出或操作时，对视频画面进行自动记录，并能在事后追溯时进行即时调用和读取。要求能在监控界面中直接点击操作进行实时读取，也可以在专用的视频界面中进行多画面的轮询播放，封闭区域视频资料至少保存</w:t>
      </w:r>
      <w:r>
        <w:rPr>
          <w:rFonts w:hint="eastAsia" w:ascii="宋体" w:hAnsi="宋体" w:eastAsia="宋体" w:cs="宋体"/>
          <w:b/>
          <w:color w:val="000000" w:themeColor="text1"/>
          <w:highlight w:val="none"/>
          <w14:textFill>
            <w14:solidFill>
              <w14:schemeClr w14:val="tx1"/>
            </w14:solidFill>
          </w14:textFill>
        </w:rPr>
        <w:t>6个月</w:t>
      </w:r>
      <w:r>
        <w:rPr>
          <w:rFonts w:hint="eastAsia" w:ascii="宋体" w:hAnsi="宋体" w:eastAsia="宋体" w:cs="宋体"/>
          <w:bCs/>
          <w:color w:val="000000" w:themeColor="text1"/>
          <w:highlight w:val="none"/>
          <w14:textFill>
            <w14:solidFill>
              <w14:schemeClr w14:val="tx1"/>
            </w14:solidFill>
          </w14:textFill>
        </w:rPr>
        <w:t>。</w:t>
      </w:r>
    </w:p>
    <w:p w14:paraId="6E7A4800">
      <w:pPr>
        <w:snapToGrid w:val="0"/>
        <w:spacing w:after="0" w:line="360" w:lineRule="auto"/>
        <w:ind w:firstLine="420"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eastAsia="宋体" w:cs="宋体"/>
          <w:b/>
          <w:color w:val="000000" w:themeColor="text1"/>
          <w:highlight w:val="none"/>
          <w14:textFill>
            <w14:solidFill>
              <w14:schemeClr w14:val="tx1"/>
            </w14:solidFill>
          </w14:textFill>
        </w:rPr>
        <w:t>提供62个</w:t>
      </w:r>
      <w:r>
        <w:rPr>
          <w:rFonts w:hint="eastAsia" w:ascii="宋体" w:hAnsi="宋体" w:eastAsia="宋体" w:cs="宋体"/>
          <w:b/>
          <w:bCs/>
          <w:color w:val="000000" w:themeColor="text1"/>
          <w:highlight w:val="none"/>
          <w14:textFill>
            <w14:solidFill>
              <w14:schemeClr w14:val="tx1"/>
            </w14:solidFill>
          </w14:textFill>
        </w:rPr>
        <w:t>标准机柜服务，支持将所有机柜封闭到同一个区域；</w:t>
      </w:r>
      <w:r>
        <w:rPr>
          <w:rFonts w:hint="eastAsia" w:ascii="宋体" w:hAnsi="宋体" w:eastAsia="宋体" w:cs="宋体"/>
          <w:bCs/>
          <w:color w:val="000000" w:themeColor="text1"/>
          <w:highlight w:val="none"/>
          <w14:textFill>
            <w14:solidFill>
              <w14:schemeClr w14:val="tx1"/>
            </w14:solidFill>
          </w14:textFill>
        </w:rPr>
        <w:t>提供相关的机柜辅材（机柜托盘、机柜螺丝等）。根据使用方业务要求，提供指定机柜间互联的光纤或网线配线架。</w:t>
      </w:r>
    </w:p>
    <w:p w14:paraId="0BDCD2B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（5）针对设备进场、搬运路线上可能涉及到门、台阶、电梯等设施进行必要的检查和改造，协调确认和解决相关问题，配合采购人将所有设备顺利搬运进入IDC托管机房的指定位置。</w:t>
      </w:r>
    </w:p>
    <w:p w14:paraId="4E2B4FB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（6）机房内配备桌子、椅子和带有显示器、键盘的调试车以方便进行现场调试等工作。</w:t>
      </w:r>
    </w:p>
    <w:p w14:paraId="58C6CCC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（7）为采购人提供机房大楼内不低于15㎡的备料库房。办公区域（非机房大楼）提供不少于12个工位的办公场地（含对应工位数的办公桌椅、网络接口、照明等服务）和不少于6人讨论的会议室（含会议桌椅）。</w:t>
      </w:r>
      <w:r>
        <w:rPr>
          <w:rFonts w:hint="eastAsia" w:ascii="宋体" w:hAnsi="宋体" w:eastAsia="宋体" w:cs="宋体"/>
          <w:color w:val="000000" w:themeColor="text1"/>
          <w:highlight w:val="none"/>
          <w14:textFill>
            <w14:solidFill>
              <w14:schemeClr w14:val="tx1"/>
            </w14:solidFill>
          </w14:textFill>
        </w:rPr>
        <w:t>为采购人授权的办公人员提供所租机柜区域的门禁权限及现场环控系统查看权限。</w:t>
      </w:r>
    </w:p>
    <w:p w14:paraId="2C4B3E0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（8）机房采用下送风、上走线的布局,强弱电分离，机房有通风排烟设施，送风方式为下送风，保证机房内通风、恒温（23℃±1）、恒湿（40%~70%）。</w:t>
      </w:r>
    </w:p>
    <w:p w14:paraId="6D25621C">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4.电力供应要求</w:t>
      </w:r>
    </w:p>
    <w:p w14:paraId="7967D71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（1）机房应采用一类市电供电，即从两个来自不同变电站各自引入一路供电线，该两路电源不同时出现检修停电。</w:t>
      </w:r>
    </w:p>
    <w:p w14:paraId="309C853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（2）机房具备UPS后备电力支持，应采用2N的冗余配置。</w:t>
      </w:r>
    </w:p>
    <w:p w14:paraId="2509195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机房具备应急柴油发电机，在全负荷情况下，机房柴油发电机后备带载时长≥8小时，随时可以调用其它应急储备能源。投标人应具有每年不低于2次的定期电力应急演练机制。柴油发电机基本容量应包括UPS系统的基本容量、空调和制冷设备的基本容量、应急照明及关系到生命安全等需要的负荷容量。</w:t>
      </w:r>
    </w:p>
    <w:p w14:paraId="6F8DAD3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（4）投标人应保证机房内不间断电源系统（UPS）的电池后备时间应不低于30分钟，足够支撑到柴油发电机启动；柴油发电机支持自动切换，切换启动到正常提供用电须保证不超过20分钟。</w:t>
      </w:r>
    </w:p>
    <w:p w14:paraId="5D86304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
          <w:color w:val="000000" w:themeColor="text1"/>
          <w:highlight w:val="none"/>
          <w14:textFill>
            <w14:solidFill>
              <w14:schemeClr w14:val="tx1"/>
            </w14:solidFill>
          </w14:textFill>
        </w:rPr>
        <w:t>租赁期间，中标人不得以任何理由造成租赁机房部署的系统问题、使用用户投诉、对采购人或者使用用户的考核考评工作造成负面影响，否则采购人或使用用户将追究中标人相关责任。造成重大影响的，将追究中标人的法律责任。</w:t>
      </w:r>
      <w:r>
        <w:rPr>
          <w:rFonts w:hint="eastAsia" w:ascii="宋体" w:hAnsi="宋体" w:eastAsia="宋体" w:cs="宋体"/>
          <w:bCs/>
          <w:color w:val="000000" w:themeColor="text1"/>
          <w:highlight w:val="none"/>
          <w14:textFill>
            <w14:solidFill>
              <w14:schemeClr w14:val="tx1"/>
            </w14:solidFill>
          </w14:textFill>
        </w:rPr>
        <w:t>中标人应按采购人设计要求，对机柜供电进行适当改造或更换。</w:t>
      </w:r>
    </w:p>
    <w:p w14:paraId="30CF7BF5">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5.空调系统要求</w:t>
      </w:r>
    </w:p>
    <w:p w14:paraId="3FEB23F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（1）投标人应提供租用机房专业精密空调为机房制冷和新风系统。</w:t>
      </w:r>
    </w:p>
    <w:p w14:paraId="377D47B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（2）空调的给水排水管道应采用防渗漏和防结露措施。无水管穿越租用机房。管道穿过机房墙壁和楼板处应设置套管，管道与套管之间应采取密封措施。</w:t>
      </w:r>
    </w:p>
    <w:p w14:paraId="48297D4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（3）投标人提供的专用精密空调，在满足机房日常制冷需求的同时，具备应急情况下的不间断供冷设施和措施。空调数量N+1冗余，投标人应确保不因空调系统发生问题引发设备停机或损坏。</w:t>
      </w:r>
    </w:p>
    <w:p w14:paraId="06CC02D5">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6.机房安全要求</w:t>
      </w:r>
    </w:p>
    <w:p w14:paraId="33DC45A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（1）机房机柜交流接地、安全保护接地、直流工作接地、防雷接地、防静电接地的处理符合规范。机房内所有设备的可导电金属外壳、各类金属管道、建筑物金属结构应进行等电位连接。接地电阻≤1欧姆。</w:t>
      </w:r>
    </w:p>
    <w:p w14:paraId="2EFE27E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（2）具有符合国家消防规范的烟雾探测自动灭火系统，灭火系统符合相关规定，机房报警控制系统应与消防系统联动。同时，机房内配备有手动灭火器材。</w:t>
      </w:r>
    </w:p>
    <w:p w14:paraId="0D2CCB9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（3）具有专业安保人员实行7×24不间断值守。机房应有7×24小时值班人员负责机房出入登记和访问管理，严格管理机房准入制度。</w:t>
      </w:r>
    </w:p>
    <w:p w14:paraId="3867672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（4）中标人应配合将采购人所租机柜区域的相关环控数据、监控视频、门禁系统数据等实时提供给采购人，并实现实时告警推送，需按照采购人提供的技术标准完成开发建设并实时推送。</w:t>
      </w:r>
    </w:p>
    <w:p w14:paraId="019BBBE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（5）投标人需提供针对本项目的等保方案，等保方案应尽可能做到实施内容明确，物理安全控制方面考虑周全、应用安全防护全面、通信安全具有保障等，所使用机房物理环境需满足等保2.0三级要求。</w:t>
      </w:r>
    </w:p>
    <w:p w14:paraId="520EFEB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（6）投标人需提供针对本项目的商密方案，商密方案应尽可能做到实施内容明确，</w:t>
      </w:r>
      <w:r>
        <w:rPr>
          <w:rFonts w:hint="eastAsia" w:ascii="宋体" w:hAnsi="宋体" w:eastAsia="宋体" w:cs="宋体"/>
          <w:bCs/>
          <w:color w:val="000000" w:themeColor="text1"/>
          <w:highlight w:val="none"/>
          <w:lang w:bidi="ar"/>
          <w14:textFill>
            <w14:solidFill>
              <w14:schemeClr w14:val="tx1"/>
            </w14:solidFill>
          </w14:textFill>
        </w:rPr>
        <w:t>身份</w:t>
      </w:r>
      <w:r>
        <w:rPr>
          <w:rFonts w:hint="eastAsia" w:ascii="宋体" w:hAnsi="宋体" w:eastAsia="宋体" w:cs="宋体"/>
          <w:bCs/>
          <w:color w:val="000000" w:themeColor="text1"/>
          <w:highlight w:val="none"/>
          <w14:textFill>
            <w14:solidFill>
              <w14:schemeClr w14:val="tx1"/>
            </w14:solidFill>
          </w14:textFill>
        </w:rPr>
        <w:t>识别分类精准、商密等级划分鲜明、保密制度完善可行等，所使用机房应部署满足密码相关行业标准及国家要求的电子门禁系统和视频监控系统。</w:t>
      </w:r>
    </w:p>
    <w:p w14:paraId="02C3DEF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7.机房机柜要求</w:t>
      </w:r>
    </w:p>
    <w:p w14:paraId="362B8B7A">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（1）机柜采用标准19英寸黑色机柜，安装空间不少于42U；</w:t>
      </w:r>
    </w:p>
    <w:p w14:paraId="6DF12A2A">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（2）单机柜A/B路电源；</w:t>
      </w:r>
    </w:p>
    <w:p w14:paraId="5CE60CC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（3）每个机柜标配2块托盘，机架门锁，带接地铜条。机架承重不得低于1200kg，托盘承重不小于80kg；</w:t>
      </w:r>
    </w:p>
    <w:p w14:paraId="5F52A11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（4）机架的前门和后门采用≥1.5mm厚的冷轧钢板，侧门≥1.2mm厚的冷轧钢板；机架后门采用网孔门，开孔率（分布面积/机架前后门整体面积）不小于70%；</w:t>
      </w:r>
    </w:p>
    <w:p w14:paraId="74D3E4C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（5）机柜间设置冷热通道，按冷、热通道进行排布，即正对正、背对背放置。冷、热通道符合相关规范，不影响气流交换以及冷热对流。</w:t>
      </w:r>
    </w:p>
    <w:p w14:paraId="4555007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（6）所有机柜UPS输出需满足零地电压&lt;1伏； 机柜上方和前后方均应留有足够空间，便于设备进场和日常维护，同时具有好的回风环境；</w:t>
      </w:r>
    </w:p>
    <w:p w14:paraId="1F8ACB0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（7）单个机柜包含2个16位PDU，其中单个PDU C13 10A插座14位，C19 16A插座2位，进线总电流不低于32A，PDU竖向安装，带接线端子盒，带接地螺钉。若PDU插孔与采购人的设备电源插头制式不符，则中标人需对PDU进行适当改造或更换，或者提供能够满足设备安全使用的电源线。</w:t>
      </w:r>
    </w:p>
    <w:p w14:paraId="63DBD56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（8）机房内机柜上预留出线孔。</w:t>
      </w:r>
    </w:p>
    <w:p w14:paraId="014F2624">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8.机房管理要求</w:t>
      </w:r>
    </w:p>
    <w:p w14:paraId="198ACA4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（1）提供不少于12人值班工位及3张饭卡、按需提供6个固定车位2个灵活停车位、现场办公所需网络、设备上下架临时放置区，机房应备有工作鞋或鞋套。</w:t>
      </w:r>
    </w:p>
    <w:p w14:paraId="66D9A26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（2）提供园区门禁登记权限、经采购人授权后提供对应租赁区域门禁权限管理及机房主要进出口门禁权限，给予采购人授权人员应急权限。</w:t>
      </w:r>
    </w:p>
    <w:p w14:paraId="31628DD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eastAsia="宋体" w:cs="宋体"/>
          <w:bCs/>
          <w:color w:val="000000" w:themeColor="text1"/>
          <w:highlight w:val="none"/>
          <w14:textFill>
            <w14:solidFill>
              <w14:schemeClr w14:val="tx1"/>
            </w14:solidFill>
          </w14:textFill>
        </w:rPr>
        <w:t>）租赁机房所有机柜供电必须采用2N(两路UPS供电）+应急柴发架构；暖通系统采用市电+应急柴发架构，暖通系统的制冷量须有冗余；租赁区域机柜采用冷热通道隔离布局。</w:t>
      </w:r>
    </w:p>
    <w:p w14:paraId="4F919E1A">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4</w:t>
      </w:r>
      <w:r>
        <w:rPr>
          <w:rFonts w:hint="eastAsia" w:ascii="宋体" w:hAnsi="宋体" w:eastAsia="宋体" w:cs="宋体"/>
          <w:bCs/>
          <w:color w:val="000000" w:themeColor="text1"/>
          <w:highlight w:val="none"/>
          <w14:textFill>
            <w14:solidFill>
              <w14:schemeClr w14:val="tx1"/>
            </w14:solidFill>
          </w14:textFill>
        </w:rPr>
        <w:t>）租赁机房的服务团队须按照采购人管理规范管理设备及人员进出，包括但不限于：设备进出必须凭借采购人相关负责人审核通过的《电子政务工作联系单》，设备上下架进出机房须有采购人指派专人全程陪同</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当有人员或设备进出机房或有人员在机房施工作业、踏勘时，中标人还需指派专人全程陪同；中标人须做好人员及设备进出登记工作，供采购人和使用用户定期查阅，登记本需在服务到期后提供复印件交采购人和使用用户保存。</w:t>
      </w:r>
    </w:p>
    <w:p w14:paraId="35443F7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）提供5*8小时设备运行维护服务，每日不少于2次日常巡检（恶劣天气、重保期间需增加巡检次数），基础设施设备按照相关规范定期进行巡检维护（夏季梅雨季节湿度高、冬季湿度低等情况进行提前应对）。</w:t>
      </w:r>
    </w:p>
    <w:p w14:paraId="6718D18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6</w:t>
      </w:r>
      <w:r>
        <w:rPr>
          <w:rFonts w:hint="eastAsia" w:ascii="宋体" w:hAnsi="宋体" w:eastAsia="宋体" w:cs="宋体"/>
          <w:bCs/>
          <w:color w:val="000000" w:themeColor="text1"/>
          <w:highlight w:val="none"/>
          <w14:textFill>
            <w14:solidFill>
              <w14:schemeClr w14:val="tx1"/>
            </w14:solidFill>
          </w14:textFill>
        </w:rPr>
        <w:t>）租赁机房的服务团队须有明确组织架构及岗位职责 ，提供现场相关资料，提供现场紧急联系人名单、人员及设备进出管理制度、安全管理制度、管理流程等；并根据采购人要求将有关制度、专区名称及资料上墙。</w:t>
      </w:r>
    </w:p>
    <w:p w14:paraId="65186D7A">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）机房各重大系统须编制应急预案 ，并根据应急预案定期组织各种（高温、断电、消防、恶劣天气）应急演练，须提前报备给采购人并得到其审核批准后（提前3天报备），在采购人指派专人在场情况下进行演练，根据演练情况修订演练预案。</w:t>
      </w:r>
    </w:p>
    <w:p w14:paraId="25AE9F4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8</w:t>
      </w:r>
      <w:r>
        <w:rPr>
          <w:rFonts w:hint="eastAsia" w:ascii="宋体" w:hAnsi="宋体" w:eastAsia="宋体" w:cs="宋体"/>
          <w:bCs/>
          <w:color w:val="000000" w:themeColor="text1"/>
          <w:highlight w:val="none"/>
          <w14:textFill>
            <w14:solidFill>
              <w14:schemeClr w14:val="tx1"/>
            </w14:solidFill>
          </w14:textFill>
        </w:rPr>
        <w:t>）重大维修需断电及影响机房正常运行的 ，须提前通知采购人及做好相关应急预案。</w:t>
      </w:r>
    </w:p>
    <w:p w14:paraId="62FD88A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9</w:t>
      </w:r>
      <w:r>
        <w:rPr>
          <w:rFonts w:hint="eastAsia" w:ascii="宋体" w:hAnsi="宋体" w:eastAsia="宋体" w:cs="宋体"/>
          <w:bCs/>
          <w:color w:val="000000" w:themeColor="text1"/>
          <w:highlight w:val="none"/>
          <w14:textFill>
            <w14:solidFill>
              <w14:schemeClr w14:val="tx1"/>
            </w14:solidFill>
          </w14:textFill>
        </w:rPr>
        <w:t>）重大节假日及重保期间（值班表及保障函加盖公章发给采购人）须做好保障工作，实时响应。</w:t>
      </w:r>
    </w:p>
    <w:p w14:paraId="50B4C1D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机柜租赁服务涵盖的所有环控数据，包括但不仅限于配电系统（配电柜、强电列头柜）、UPS系统（UPS主机、电池监测系统）、空调系统（精密空调主机、漏水检测）、消防系统、门禁系统、视频监控系统、温湿度数据等均须按照采购人技术规范标准对接采购人提供的环控平台，供采购人实时查看、回看及相关日志查询。</w:t>
      </w:r>
    </w:p>
    <w:p w14:paraId="4678022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9.其他要求</w:t>
      </w:r>
    </w:p>
    <w:p w14:paraId="05CB11EE">
      <w:pPr>
        <w:snapToGrid w:val="0"/>
        <w:spacing w:after="0" w:line="360" w:lineRule="auto"/>
        <w:ind w:firstLine="420"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若中标人需对本项目租用中的机房、设备及数据链路进行搬迁，中标人须保证在机房、设备及数据链路搬迁期间不因机房、设备及数据链路搬迁原因造成系统问题、使用用户投诉、对采购人或者使用用户的考核考评工作造成负面影响，中标人须保证因搬迁产生的任何费用均由中标人承担，采购人不再另行支付任何费用。若不能按时按质完成，采购人将追究中标人相关责任。造成重大影响的，将追究中标人的法律责任。</w:t>
      </w:r>
    </w:p>
    <w:p w14:paraId="10D2B19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bidi="ar"/>
          <w14:textFill>
            <w14:solidFill>
              <w14:schemeClr w14:val="tx1"/>
            </w14:solidFill>
          </w14:textFill>
        </w:rPr>
        <w:t>投标人投标时需提供分项明细报价表，在服务期内采购人如有机柜租赁需求变化，以分项明细报价表单价按实结算。</w:t>
      </w:r>
    </w:p>
    <w:p w14:paraId="6E3BD8C9">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（二）服务内容及标准</w:t>
      </w:r>
    </w:p>
    <w:p w14:paraId="71F8FC0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（1）中标人在租用周期内应为采购人提供设备进场支持服务。包括配合采购人进行新购设备的接收、移动、上下架、强弱电布线、标签张贴等工作。</w:t>
      </w:r>
    </w:p>
    <w:p w14:paraId="6AABF22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中标人应建立运维管理体系，并负责对托管设备的工作环境和电气性能的运行状态和可靠性进行全面和系统的专业巡检，每天巡检不少于2次（包括周末和节假日）。中标人应提供托管设备指示灯告警的日常巡检工作。</w:t>
      </w:r>
    </w:p>
    <w:p w14:paraId="3B4C9C7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（3）中标人应提供机房7×24小时现场工程师现场值守，并提供值排班表（重要节假日保障及重要保障期须提前7个工作日提供保障期间排班表）。</w:t>
      </w:r>
    </w:p>
    <w:p w14:paraId="50ACA9D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（4）中标人机房配套设施发生故障后，应立即响应，在10分钟内通知采购人技术人员或分管领导，每30分钟向以上人员通告故障处理和恢复进度。</w:t>
      </w:r>
    </w:p>
    <w:p w14:paraId="2547BE8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（5）如采购人因紧急情况需进入机房作业，中标人应积极协助配合，保证10分钟内完成登记审批手续，以便进入机房处置，并提供技术及商务专员进行相关配合工作。</w:t>
      </w:r>
    </w:p>
    <w:p w14:paraId="6EECC85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（6）中标人针对机房及租用设备提供的服务应遵循相应管理要求规范。涉及机房、线路检修维护（包括但不限于因线路检修、工程割接、网络及软件升级等可预见的影响），应提前三个工作日通知采购人。</w:t>
      </w:r>
    </w:p>
    <w:p w14:paraId="06FD7FA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（7）中标人需根据租用机房实际运行情况，定期提交以下运维报告：</w:t>
      </w:r>
      <w:r>
        <w:rPr>
          <w:rFonts w:hint="eastAsia" w:ascii="宋体" w:hAnsi="宋体" w:eastAsia="宋体" w:cs="宋体"/>
          <w:bCs/>
          <w:color w:val="000000" w:themeColor="text1"/>
          <w:highlight w:val="none"/>
          <w14:textFill>
            <w14:solidFill>
              <w14:schemeClr w14:val="tx1"/>
            </w14:solidFill>
          </w14:textFill>
        </w:rPr>
        <w:t>服务期结束时提供运维总结分析报告</w:t>
      </w:r>
      <w:r>
        <w:rPr>
          <w:rFonts w:hint="eastAsia" w:ascii="宋体" w:hAnsi="宋体" w:eastAsia="宋体" w:cs="宋体"/>
          <w:bCs/>
          <w:color w:val="000000" w:themeColor="text1"/>
          <w:highlight w:val="none"/>
          <w14:textFill>
            <w14:solidFill>
              <w14:schemeClr w14:val="tx1"/>
            </w14:solidFill>
          </w14:textFill>
        </w:rPr>
        <w:t>，报告内容包括但不限于租用机房及配套设施基本情况和运行状态、日常运维监控、定期预防性巡检、来访人员管理情况、故障处理等中标人提供的运维服务执行情况，并需对以上运维服务执行情况进行总结分析，针对出现的问题要给出改进措施。</w:t>
      </w:r>
    </w:p>
    <w:p w14:paraId="70C92E0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中标人在服务周期内应接受采购人的服务考核，服务考核内容包含但不限于中标人的日常巡检工作、设备维保保养工作、机房进出安全管理工作、机房设备安全管理工作、对接环控平台数据传输情况、应急演练情况、应急响应情况等；针对考核结果较差的情况进行相应惩罚。</w:t>
      </w:r>
    </w:p>
    <w:p w14:paraId="4A9FB459">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1.安全要求</w:t>
      </w:r>
    </w:p>
    <w:p w14:paraId="1EF125F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投标人在投标文件中提供环境安全、设备安全、数据安全、人员组织安全、质量安全等方面的运维服务机制。</w:t>
      </w:r>
    </w:p>
    <w:p w14:paraId="38ACF201">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2.项目实施要求</w:t>
      </w:r>
    </w:p>
    <w:p w14:paraId="0A23A2D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投标人应妥善进行人员及时间安排，制定相应的项目实施详细进度计划，确定每个实施阶段的时间表及工作目标。</w:t>
      </w:r>
    </w:p>
    <w:p w14:paraId="19D5CA89">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3.项目团队要求</w:t>
      </w:r>
    </w:p>
    <w:p w14:paraId="47073E5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按照项目实施的要求，必须配置相应的项目管理、系统集成等人员，项目团队应熟悉数据中心有关系统业务并具备必要的专业知识和技术水平，在项目组织中应明确各岗位的职责，确保项目顺利实施。</w:t>
      </w:r>
    </w:p>
    <w:p w14:paraId="65BC763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在本项目的执行过程中，整个项目团队的人员要相对稳定。同时，参与此项目的技术人员必须具有强烈的服务意识和高度的责任感。项目实施期间，根据采购人的合理需要，采购人有权要求中标方对项目经理等项目组人员进行调换。</w:t>
      </w:r>
    </w:p>
    <w:p w14:paraId="754F8A9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项目实施环节至少应提供以下服务：</w:t>
      </w:r>
    </w:p>
    <w:p w14:paraId="0839138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供项目经理1名，负责整个项目的日常管理与资源调配，推进项目的进行，解决各种紧急事件。项目经理应具有丰富的项目管理经验，具有5年以上相关工作经验，并获得充分授权，可以调配项目各方的资源，保证项目保质保量按时完成。</w:t>
      </w:r>
    </w:p>
    <w:p w14:paraId="4767112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提供7*24小时现场值守服务，提供整个项目的日常巡检及日常管理，推进项目的进行，解决各种紧急事件。项目团队应熟悉数据中心供配电系统、UPS系统、暖通系统、消防系统、安防系统等系统架构、运行操作与维护流程及各类相关标准和规范。</w:t>
      </w:r>
    </w:p>
    <w:p w14:paraId="12689844">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4.服务要求及考核标准</w:t>
      </w:r>
    </w:p>
    <w:p w14:paraId="1EB8D45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（1）中标人在租用周期内应为采购人提供设备进场支持服务。包括配合采购人进行新购设备的接收、移动、上下架、强弱电布线、标签张贴等工作。</w:t>
      </w:r>
    </w:p>
    <w:p w14:paraId="359A3A0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中标人应建立运维管理体系，并负责对托管设备的工作环境和电气性能的运行状态和可靠性进行全面和系统的专业巡检，每日巡检不少于2次（包括周末和节假日）。中标人应提供托管设备指示灯告警的日常巡检工作，将设备告警情况及时通知采购人。</w:t>
      </w:r>
    </w:p>
    <w:p w14:paraId="6637AB3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（3）中标人应提供机房7×24小时现场工程师现场值守，并提供机房技术支持及机房负责人联系方式并7×24小时实时响应。上述人员应确保电话畅通，如发生电话无法联系（30 分钟内联系三次以上），应承担500元/次的违约责任。</w:t>
      </w:r>
    </w:p>
    <w:p w14:paraId="318EDE9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中标人机房配套设施发生故障后，应立即响应，在10分钟内通知采购人技术人员或分管领导，每30分钟向以上人员通告故障处理和恢复进度。如采购人因紧急情况需进入机房作业，中标人应积极协助配合，保证10分钟内完成登记审批手续，以便进入机房处置，并提供技术及商务专员进行相关配合工作。不能及时提供上述服务响应的，应承担500元/次的违约责任。</w:t>
      </w:r>
    </w:p>
    <w:p w14:paraId="4880D2D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（5）中标人应就本项目向采购人指定总负责人，负责项目整体的对接、调度等工作；服务期限内若需更换总负责人，应提前7个工作日告知采购人，否则应承担1000元/次的违约责任。</w:t>
      </w:r>
    </w:p>
    <w:p w14:paraId="4404030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（6）中标人应做好采购机柜租赁区域的人员进出及设备进出管理，若有违规进出或设备上下架情况，应承担1000元/次的违约责任。</w:t>
      </w:r>
    </w:p>
    <w:p w14:paraId="0710E86A">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中标人应提供采购人机柜租赁区域的有关动环数据（包括但不限于机柜进出风口的温度、湿度等）、门禁与视频监控等安防数据及其它所需数据，并配合做好接口调用、数据传输、协议转换等相关对接工作，保证采购人可使用相关数据；若发生传输中断等故障，中标人应及时响应并解决问题，故障处理超过30分钟未解决的，应承担500元/次的违约责任。</w:t>
      </w:r>
    </w:p>
    <w:p w14:paraId="21D35E7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（8）服务过程中中标人因工作不到位，受到采购人或机柜使用单位投诉的，经核实情况属实，应承担1000元/次的违约责任。</w:t>
      </w:r>
    </w:p>
    <w:p w14:paraId="46664A2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（9）中标人未能及时处理故障，一般故障处理时限超过1小时的应承担500元/次的违约责任，重大故障超过4小时未解决的应承担1000元/次的违约责任，经采购人书面确认可延长处理时限的除外。</w:t>
      </w:r>
    </w:p>
    <w:p w14:paraId="071B094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（10）上述服务不达标超过3次，采购人有权解除合同，并要求赔偿造成的各项损失。</w:t>
      </w:r>
    </w:p>
    <w:p w14:paraId="6F9A76E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5.安全保密要求</w:t>
      </w:r>
    </w:p>
    <w:p w14:paraId="0A10E6B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没有采购人事先书面同意，中标人不得将由采购人提供的有关合同或任何合同条文、规格、计划、图纸、样品或资料提供给与履行本合同无关的任何其他人。即使向履行本合同有关的人员提供，也应注意保密并限于履行合同的必需范围。双方需要</w:t>
      </w:r>
      <w:r>
        <w:rPr>
          <w:rFonts w:hint="eastAsia" w:ascii="宋体" w:hAnsi="宋体" w:eastAsia="宋体" w:cs="宋体"/>
          <w:b/>
          <w:color w:val="000000" w:themeColor="text1"/>
          <w:highlight w:val="none"/>
          <w14:textFill>
            <w14:solidFill>
              <w14:schemeClr w14:val="tx1"/>
            </w14:solidFill>
          </w14:textFill>
        </w:rPr>
        <w:t>签订保密协议</w:t>
      </w:r>
      <w:r>
        <w:rPr>
          <w:rFonts w:hint="eastAsia" w:ascii="宋体" w:hAnsi="宋体" w:eastAsia="宋体" w:cs="宋体"/>
          <w:bCs/>
          <w:color w:val="000000" w:themeColor="text1"/>
          <w:highlight w:val="none"/>
          <w14:textFill>
            <w14:solidFill>
              <w14:schemeClr w14:val="tx1"/>
            </w14:solidFill>
          </w14:textFill>
        </w:rPr>
        <w:t>，同时中标人涉及本项目的运维团队人员需</w:t>
      </w:r>
      <w:r>
        <w:rPr>
          <w:rFonts w:hint="eastAsia" w:ascii="宋体" w:hAnsi="宋体" w:eastAsia="宋体" w:cs="宋体"/>
          <w:b/>
          <w:color w:val="000000" w:themeColor="text1"/>
          <w:highlight w:val="none"/>
          <w14:textFill>
            <w14:solidFill>
              <w14:schemeClr w14:val="tx1"/>
            </w14:solidFill>
          </w14:textFill>
        </w:rPr>
        <w:t>签订保密承诺书和数据安全承诺书（需加盖公章）</w:t>
      </w:r>
      <w:r>
        <w:rPr>
          <w:rFonts w:hint="eastAsia" w:ascii="宋体" w:hAnsi="宋体" w:eastAsia="宋体" w:cs="宋体"/>
          <w:bCs/>
          <w:color w:val="000000" w:themeColor="text1"/>
          <w:highlight w:val="none"/>
          <w14:textFill>
            <w14:solidFill>
              <w14:schemeClr w14:val="tx1"/>
            </w14:solidFill>
          </w14:textFill>
        </w:rPr>
        <w:t>并报采购人备案，所有运维团队人员在签订合同前需</w:t>
      </w:r>
      <w:r>
        <w:rPr>
          <w:rFonts w:hint="eastAsia" w:ascii="宋体" w:hAnsi="宋体" w:eastAsia="宋体" w:cs="宋体"/>
          <w:b/>
          <w:color w:val="000000" w:themeColor="text1"/>
          <w:highlight w:val="none"/>
          <w14:textFill>
            <w14:solidFill>
              <w14:schemeClr w14:val="tx1"/>
            </w14:solidFill>
          </w14:textFill>
        </w:rPr>
        <w:t>提供最新的公安部门出具的无犯罪证明记录</w:t>
      </w:r>
      <w:r>
        <w:rPr>
          <w:rFonts w:hint="eastAsia" w:ascii="宋体" w:hAnsi="宋体" w:eastAsia="宋体" w:cs="宋体"/>
          <w:bCs/>
          <w:color w:val="000000" w:themeColor="text1"/>
          <w:highlight w:val="none"/>
          <w14:textFill>
            <w14:solidFill>
              <w14:schemeClr w14:val="tx1"/>
            </w14:solidFill>
          </w14:textFill>
        </w:rPr>
        <w:t>。</w:t>
      </w:r>
    </w:p>
    <w:p w14:paraId="5D59AA85">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6.交付时间和成果物要求</w:t>
      </w:r>
    </w:p>
    <w:p w14:paraId="20F2F15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IDC机房租赁服务：本项目为交钥匙工程，</w:t>
      </w:r>
      <w:r>
        <w:rPr>
          <w:rFonts w:hint="eastAsia" w:ascii="宋体" w:hAnsi="宋体" w:eastAsia="宋体" w:cs="宋体"/>
          <w:b/>
          <w:color w:val="000000" w:themeColor="text1"/>
          <w:highlight w:val="none"/>
          <w14:textFill>
            <w14:solidFill>
              <w14:schemeClr w14:val="tx1"/>
            </w14:solidFill>
          </w14:textFill>
        </w:rPr>
        <w:t>中标人须在2027年1月27日前完成IDC机房环境准备，如涉及设备和数据链路搬迁，中标人需保障有关业务不中断运行，并承担搬迁产生的保障、搬迁费用。</w:t>
      </w:r>
      <w:r>
        <w:rPr>
          <w:rFonts w:hint="eastAsia" w:ascii="宋体" w:hAnsi="宋体" w:eastAsia="宋体" w:cs="宋体"/>
          <w:color w:val="000000" w:themeColor="text1"/>
          <w:highlight w:val="none"/>
          <w14:textFill>
            <w14:solidFill>
              <w14:schemeClr w14:val="tx1"/>
            </w14:solidFill>
          </w14:textFill>
        </w:rPr>
        <w:t>中标人共需提供62个标准机柜及配套基础设施</w:t>
      </w:r>
      <w:r>
        <w:rPr>
          <w:rFonts w:hint="eastAsia" w:ascii="宋体" w:hAnsi="宋体" w:eastAsia="宋体" w:cs="宋体"/>
          <w:b/>
          <w:color w:val="000000" w:themeColor="text1"/>
          <w:highlight w:val="none"/>
          <w14:textFill>
            <w14:solidFill>
              <w14:schemeClr w14:val="tx1"/>
            </w14:solidFill>
          </w14:textFill>
        </w:rPr>
        <w:t>。</w:t>
      </w:r>
    </w:p>
    <w:p w14:paraId="208BBD50">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7.验收条件和标准</w:t>
      </w:r>
    </w:p>
    <w:p w14:paraId="48702B2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（1）采购人对中标人提交的标的依据采购文件上的技术规格要求和国家有关质量标准进行现场初步验收，符合采购文件技术要求的，给予签收，初步验收不合格的不予签收，甲方需在五个工作日内验收。</w:t>
      </w:r>
    </w:p>
    <w:p w14:paraId="590E22A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中标人提供的租赁专区需结合采购人提出的相关优化管理建议进行运维服务，同时按照采购文件上的技术规格和运维服务要求做好相关台账记录和报告编制作为服务履约验收依据，在验收时装订成册盖章后提交采购人归档。</w:t>
      </w:r>
    </w:p>
    <w:p w14:paraId="27BE3C8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采购人对中标人提供的本项目机柜租赁服务依据采购文件、投标文件、合同上的技术、商务、服务要求里面相关内容进行验收，由中标人在服务期满前1个月向采购人提交验收申请，采购人在收到验收申请后15日内，由采购人上级主管单位指定的第三方审计公司或者组织专家对本项目进行验收；验收前，中标人向采购人提交所有验收必备资料，否则因此导致验收延迟的后果由中标人独自承担。</w:t>
      </w:r>
    </w:p>
    <w:p w14:paraId="541057A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（4）验收时中标人必须在现场，验收完毕后作出验收结果报告。</w:t>
      </w:r>
    </w:p>
    <w:p w14:paraId="53F8FC8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（5）中标人在服务过程中因工作不到位，受到采购人或机柜使用单位投诉，经核实情况属实，而拒绝或不配合整改，或累计被投诉次数超过3次的，验收不予通过。</w:t>
      </w:r>
    </w:p>
    <w:p w14:paraId="5085F4FA">
      <w:pPr>
        <w:spacing w:line="360" w:lineRule="auto"/>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29283F9B">
      <w:pPr>
        <w:pStyle w:val="4"/>
        <w:spacing w:before="0" w:after="0" w:line="36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标项2.机柜租赁服务（二）</w:t>
      </w:r>
    </w:p>
    <w:p w14:paraId="6C402B8C">
      <w:pPr>
        <w:spacing w:after="0" w:line="360" w:lineRule="auto"/>
        <w:jc w:val="left"/>
        <w:rPr>
          <w:rFonts w:hint="eastAsia" w:ascii="宋体" w:hAnsi="宋体" w:eastAsia="宋体" w:cs="宋体"/>
          <w:b/>
          <w:bCs/>
          <w:color w:val="000000" w:themeColor="text1"/>
          <w:spacing w:val="-4"/>
          <w:kern w:val="0"/>
          <w:highlight w:val="none"/>
          <w14:textFill>
            <w14:solidFill>
              <w14:schemeClr w14:val="tx1"/>
            </w14:solidFill>
          </w14:textFill>
        </w:rPr>
      </w:pPr>
      <w:r>
        <w:rPr>
          <w:rFonts w:hint="eastAsia" w:ascii="宋体" w:hAnsi="宋体" w:eastAsia="宋体" w:cs="宋体"/>
          <w:b/>
          <w:bCs/>
          <w:color w:val="000000" w:themeColor="text1"/>
          <w:spacing w:val="-4"/>
          <w:kern w:val="0"/>
          <w:highlight w:val="none"/>
          <w14:textFill>
            <w14:solidFill>
              <w14:schemeClr w14:val="tx1"/>
            </w14:solidFill>
          </w14:textFill>
        </w:rPr>
        <w:t>（一）服务清单</w:t>
      </w:r>
    </w:p>
    <w:tbl>
      <w:tblPr>
        <w:tblStyle w:val="26"/>
        <w:tblW w:w="9161" w:type="dxa"/>
        <w:jc w:val="center"/>
        <w:tblLayout w:type="fixed"/>
        <w:tblCellMar>
          <w:top w:w="0" w:type="dxa"/>
          <w:left w:w="108" w:type="dxa"/>
          <w:bottom w:w="0" w:type="dxa"/>
          <w:right w:w="108" w:type="dxa"/>
        </w:tblCellMar>
      </w:tblPr>
      <w:tblGrid>
        <w:gridCol w:w="705"/>
        <w:gridCol w:w="1066"/>
        <w:gridCol w:w="1084"/>
        <w:gridCol w:w="3029"/>
        <w:gridCol w:w="2174"/>
        <w:gridCol w:w="1103"/>
      </w:tblGrid>
      <w:tr w14:paraId="74934AF2">
        <w:tblPrEx>
          <w:tblCellMar>
            <w:top w:w="0" w:type="dxa"/>
            <w:left w:w="108" w:type="dxa"/>
            <w:bottom w:w="0" w:type="dxa"/>
            <w:right w:w="108" w:type="dxa"/>
          </w:tblCellMar>
        </w:tblPrEx>
        <w:trPr>
          <w:trHeight w:val="58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F1B61C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066" w:type="dxa"/>
            <w:tcBorders>
              <w:top w:val="single" w:color="000000" w:sz="4" w:space="0"/>
              <w:left w:val="single" w:color="000000" w:sz="4" w:space="0"/>
              <w:bottom w:val="single" w:color="000000" w:sz="4" w:space="0"/>
              <w:right w:val="single" w:color="000000" w:sz="4" w:space="0"/>
            </w:tcBorders>
            <w:vAlign w:val="center"/>
          </w:tcPr>
          <w:p w14:paraId="68518FB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编号</w:t>
            </w:r>
          </w:p>
        </w:tc>
        <w:tc>
          <w:tcPr>
            <w:tcW w:w="1084" w:type="dxa"/>
            <w:tcBorders>
              <w:top w:val="single" w:color="000000" w:sz="4" w:space="0"/>
              <w:left w:val="single" w:color="000000" w:sz="4" w:space="0"/>
              <w:bottom w:val="single" w:color="000000" w:sz="4" w:space="0"/>
              <w:right w:val="single" w:color="000000" w:sz="4" w:space="0"/>
            </w:tcBorders>
            <w:vAlign w:val="center"/>
          </w:tcPr>
          <w:p w14:paraId="527FBC5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试点单位</w:t>
            </w:r>
          </w:p>
        </w:tc>
        <w:tc>
          <w:tcPr>
            <w:tcW w:w="3029" w:type="dxa"/>
            <w:tcBorders>
              <w:top w:val="single" w:color="000000" w:sz="4" w:space="0"/>
              <w:left w:val="single" w:color="000000" w:sz="4" w:space="0"/>
              <w:bottom w:val="single" w:color="000000" w:sz="4" w:space="0"/>
              <w:right w:val="single" w:color="000000" w:sz="4" w:space="0"/>
            </w:tcBorders>
            <w:vAlign w:val="center"/>
          </w:tcPr>
          <w:p w14:paraId="5D36AD8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涉及系统/运维对象</w:t>
            </w:r>
          </w:p>
        </w:tc>
        <w:tc>
          <w:tcPr>
            <w:tcW w:w="2174" w:type="dxa"/>
            <w:tcBorders>
              <w:top w:val="single" w:color="000000" w:sz="4" w:space="0"/>
              <w:left w:val="single" w:color="000000" w:sz="4" w:space="0"/>
              <w:bottom w:val="single" w:color="000000" w:sz="4" w:space="0"/>
              <w:right w:val="single" w:color="000000" w:sz="4" w:space="0"/>
            </w:tcBorders>
            <w:vAlign w:val="center"/>
          </w:tcPr>
          <w:p w14:paraId="69E79A0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服务起止时间</w:t>
            </w:r>
          </w:p>
        </w:tc>
        <w:tc>
          <w:tcPr>
            <w:tcW w:w="1103" w:type="dxa"/>
            <w:tcBorders>
              <w:top w:val="single" w:color="000000" w:sz="4" w:space="0"/>
              <w:left w:val="single" w:color="000000" w:sz="4" w:space="0"/>
              <w:bottom w:val="single" w:color="000000" w:sz="4" w:space="0"/>
              <w:right w:val="single" w:color="000000" w:sz="4" w:space="0"/>
            </w:tcBorders>
            <w:vAlign w:val="center"/>
          </w:tcPr>
          <w:p w14:paraId="7EE1D8E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分项限价（万元）</w:t>
            </w:r>
          </w:p>
        </w:tc>
      </w:tr>
      <w:tr w14:paraId="035E1595">
        <w:tblPrEx>
          <w:tblCellMar>
            <w:top w:w="0" w:type="dxa"/>
            <w:left w:w="108" w:type="dxa"/>
            <w:bottom w:w="0" w:type="dxa"/>
            <w:right w:w="108" w:type="dxa"/>
          </w:tblCellMar>
        </w:tblPrEx>
        <w:trPr>
          <w:trHeight w:val="7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ign w:val="center"/>
          </w:tcPr>
          <w:p w14:paraId="36BC04A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066" w:type="dxa"/>
            <w:tcBorders>
              <w:top w:val="single" w:color="000000" w:sz="4" w:space="0"/>
              <w:left w:val="single" w:color="000000" w:sz="4" w:space="0"/>
              <w:bottom w:val="single" w:color="000000" w:sz="4" w:space="0"/>
              <w:right w:val="single" w:color="000000" w:sz="4" w:space="0"/>
            </w:tcBorders>
            <w:vAlign w:val="center"/>
          </w:tcPr>
          <w:p w14:paraId="3EAC1E6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02260204</w:t>
            </w:r>
          </w:p>
        </w:tc>
        <w:tc>
          <w:tcPr>
            <w:tcW w:w="1084" w:type="dxa"/>
            <w:tcBorders>
              <w:top w:val="single" w:color="000000" w:sz="4" w:space="0"/>
              <w:left w:val="single" w:color="000000" w:sz="4" w:space="0"/>
              <w:bottom w:val="single" w:color="000000" w:sz="4" w:space="0"/>
              <w:right w:val="single" w:color="000000" w:sz="4" w:space="0"/>
            </w:tcBorders>
            <w:vAlign w:val="center"/>
          </w:tcPr>
          <w:p w14:paraId="2633749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市数据局</w:t>
            </w:r>
          </w:p>
        </w:tc>
        <w:tc>
          <w:tcPr>
            <w:tcW w:w="3029" w:type="dxa"/>
            <w:tcBorders>
              <w:top w:val="single" w:color="000000" w:sz="4" w:space="0"/>
              <w:left w:val="single" w:color="000000" w:sz="4" w:space="0"/>
              <w:bottom w:val="single" w:color="000000" w:sz="4" w:space="0"/>
              <w:right w:val="single" w:color="000000" w:sz="4" w:space="0"/>
            </w:tcBorders>
            <w:vAlign w:val="center"/>
          </w:tcPr>
          <w:p w14:paraId="2B49BE4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发票电子化改革（金税四期）基础环境项目机柜租赁服务</w:t>
            </w:r>
          </w:p>
        </w:tc>
        <w:tc>
          <w:tcPr>
            <w:tcW w:w="2174" w:type="dxa"/>
            <w:tcBorders>
              <w:top w:val="single" w:color="000000" w:sz="4" w:space="0"/>
              <w:left w:val="single" w:color="000000" w:sz="4" w:space="0"/>
              <w:bottom w:val="single" w:color="000000" w:sz="4" w:space="0"/>
              <w:right w:val="single" w:color="000000" w:sz="4" w:space="0"/>
            </w:tcBorders>
            <w:vAlign w:val="center"/>
          </w:tcPr>
          <w:p w14:paraId="70985F32">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2027年3月15日至2027年4月30日</w:t>
            </w:r>
          </w:p>
        </w:tc>
        <w:tc>
          <w:tcPr>
            <w:tcW w:w="1103" w:type="dxa"/>
            <w:tcBorders>
              <w:top w:val="single" w:color="000000" w:sz="4" w:space="0"/>
              <w:left w:val="single" w:color="000000" w:sz="4" w:space="0"/>
              <w:bottom w:val="single" w:color="000000" w:sz="4" w:space="0"/>
              <w:right w:val="single" w:color="000000" w:sz="4" w:space="0"/>
            </w:tcBorders>
            <w:vAlign w:val="center"/>
          </w:tcPr>
          <w:p w14:paraId="0C67C46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50.65</w:t>
            </w:r>
          </w:p>
        </w:tc>
      </w:tr>
      <w:tr w14:paraId="159C08BF">
        <w:tblPrEx>
          <w:tblCellMar>
            <w:top w:w="0" w:type="dxa"/>
            <w:left w:w="108" w:type="dxa"/>
            <w:bottom w:w="0" w:type="dxa"/>
            <w:right w:w="108" w:type="dxa"/>
          </w:tblCellMar>
        </w:tblPrEx>
        <w:trPr>
          <w:trHeight w:val="375"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ign w:val="center"/>
          </w:tcPr>
          <w:p w14:paraId="3B764FB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6DAC11A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02090203</w:t>
            </w:r>
          </w:p>
        </w:tc>
        <w:tc>
          <w:tcPr>
            <w:tcW w:w="1084" w:type="dxa"/>
            <w:tcBorders>
              <w:top w:val="single" w:color="000000" w:sz="4" w:space="0"/>
              <w:left w:val="single" w:color="000000" w:sz="4" w:space="0"/>
              <w:bottom w:val="single" w:color="000000" w:sz="4" w:space="0"/>
              <w:right w:val="single" w:color="000000" w:sz="4" w:space="0"/>
            </w:tcBorders>
            <w:vAlign w:val="center"/>
          </w:tcPr>
          <w:p w14:paraId="4F20D5A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市人力社保局</w:t>
            </w:r>
          </w:p>
        </w:tc>
        <w:tc>
          <w:tcPr>
            <w:tcW w:w="3029" w:type="dxa"/>
            <w:tcBorders>
              <w:top w:val="single" w:color="000000" w:sz="4" w:space="0"/>
              <w:left w:val="single" w:color="000000" w:sz="4" w:space="0"/>
              <w:bottom w:val="single" w:color="000000" w:sz="4" w:space="0"/>
              <w:right w:val="single" w:color="000000" w:sz="4" w:space="0"/>
            </w:tcBorders>
            <w:vAlign w:val="center"/>
          </w:tcPr>
          <w:p w14:paraId="26CFBBF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市人力社保局IDC机柜租用服务</w:t>
            </w:r>
          </w:p>
        </w:tc>
        <w:tc>
          <w:tcPr>
            <w:tcW w:w="2174" w:type="dxa"/>
            <w:tcBorders>
              <w:top w:val="single" w:color="000000" w:sz="4" w:space="0"/>
              <w:left w:val="single" w:color="000000" w:sz="4" w:space="0"/>
              <w:bottom w:val="single" w:color="000000" w:sz="4" w:space="0"/>
              <w:right w:val="single" w:color="000000" w:sz="4" w:space="0"/>
            </w:tcBorders>
            <w:vAlign w:val="center"/>
          </w:tcPr>
          <w:p w14:paraId="229EF8E3">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2027年1月1日至2027年4月30日</w:t>
            </w:r>
          </w:p>
        </w:tc>
        <w:tc>
          <w:tcPr>
            <w:tcW w:w="1103" w:type="dxa"/>
            <w:tcBorders>
              <w:top w:val="single" w:color="000000" w:sz="4" w:space="0"/>
              <w:left w:val="single" w:color="000000" w:sz="4" w:space="0"/>
              <w:bottom w:val="single" w:color="000000" w:sz="4" w:space="0"/>
              <w:right w:val="single" w:color="000000" w:sz="4" w:space="0"/>
            </w:tcBorders>
            <w:vAlign w:val="center"/>
          </w:tcPr>
          <w:p w14:paraId="6973E53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19.48</w:t>
            </w:r>
          </w:p>
        </w:tc>
      </w:tr>
    </w:tbl>
    <w:p w14:paraId="2AE8F5D5">
      <w:pPr>
        <w:spacing w:after="0" w:line="360" w:lineRule="auto"/>
        <w:jc w:val="left"/>
        <w:rPr>
          <w:rFonts w:hint="eastAsia" w:ascii="宋体" w:hAnsi="宋体" w:eastAsia="宋体" w:cs="宋体"/>
          <w:b/>
          <w:bCs/>
          <w:color w:val="000000" w:themeColor="text1"/>
          <w:spacing w:val="-4"/>
          <w:kern w:val="0"/>
          <w:highlight w:val="none"/>
          <w14:textFill>
            <w14:solidFill>
              <w14:schemeClr w14:val="tx1"/>
            </w14:solidFill>
          </w14:textFill>
        </w:rPr>
      </w:pPr>
      <w:r>
        <w:rPr>
          <w:rFonts w:hint="eastAsia" w:ascii="宋体" w:hAnsi="宋体" w:eastAsia="宋体" w:cs="宋体"/>
          <w:b/>
          <w:bCs/>
          <w:color w:val="000000" w:themeColor="text1"/>
          <w:spacing w:val="-4"/>
          <w:kern w:val="0"/>
          <w:highlight w:val="none"/>
          <w14:textFill>
            <w14:solidFill>
              <w14:schemeClr w14:val="tx1"/>
            </w14:solidFill>
          </w14:textFill>
        </w:rPr>
        <w:t>（二）具体服务内容及要求</w:t>
      </w:r>
    </w:p>
    <w:p w14:paraId="371C51ED">
      <w:pPr>
        <w:pStyle w:val="5"/>
        <w:spacing w:after="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02260204</w:t>
      </w:r>
      <w:r>
        <w:rPr>
          <w:rFonts w:hint="eastAsia" w:ascii="宋体" w:hAnsi="宋体" w:eastAsia="宋体" w:cs="宋体"/>
          <w:color w:val="000000" w:themeColor="text1"/>
          <w:highlight w:val="none"/>
          <w14:textFill>
            <w14:solidFill>
              <w14:schemeClr w14:val="tx1"/>
            </w14:solidFill>
          </w14:textFill>
        </w:rPr>
        <w:t>发票电子化改革（金税四期）基础环境项目机柜租赁服务</w:t>
      </w:r>
    </w:p>
    <w:p w14:paraId="7E5570D4">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二、项目背景</w:t>
      </w:r>
    </w:p>
    <w:p w14:paraId="665D3797">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照国家税务总局金税四期建设要求，在宁波市政务云计算中心的基础上，统筹建设了发票电子化改革（金税四期）基础环境项目，并结合本地实际，参考已上线的资源配置和运行情况，充分复用现有资源，对市政务云基础支撑环境（税务）进行扩容，从而进一步提升我市政务云计算中心基础支撑能力，为我市全面数字化的电子发票平台提供资源保障。为继续保障有关系统、平台的平稳运行，需结合项目实际情况与宁波市税务局的新增业务需求，对项目所需的机柜资源进行租赁采购，从而持续提供安全、稳定的基础支撑环境，为相关业务的开展提供有力支持。</w:t>
      </w:r>
    </w:p>
    <w:p w14:paraId="7DFAE1E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三、项目目标</w:t>
      </w:r>
    </w:p>
    <w:p w14:paraId="424635A2">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照“需求导向、统筹规划、协同推进、集约建设”的原则，落实国家税务总局关于推动发票电子化改革（金税四期）建设的要求，为全面数字化的电子发票平台推广提供坚实有力、健壮稳定、安全可靠的机房设施基础环境。</w:t>
      </w:r>
    </w:p>
    <w:p w14:paraId="761D2672">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四、遵循标准</w:t>
      </w:r>
    </w:p>
    <w:p w14:paraId="2B923F7B">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1.浙江省委办公厅、省政府办公厅《关于进一步深化税收征管改革的实施方案》</w:t>
      </w:r>
    </w:p>
    <w:p w14:paraId="687D6F31">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2.《关于印发&lt;宁波市政务信息化项目网络安全审查办法&gt;》的通知》（甬网办发〔2020〕3号）</w:t>
      </w:r>
    </w:p>
    <w:p w14:paraId="5B1DBB38">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3.《关于进一步加强政务信息化项目网络安全保障的通知》（甬委网办发〔2020〕6号）</w:t>
      </w:r>
    </w:p>
    <w:p w14:paraId="1D1A7908">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五、服务内容及要求</w:t>
      </w:r>
    </w:p>
    <w:p w14:paraId="12094ECB">
      <w:pPr>
        <w:snapToGrid w:val="0"/>
        <w:spacing w:after="0" w:line="360" w:lineRule="auto"/>
        <w:ind w:firstLine="422"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（一）技术参数及标准</w:t>
      </w:r>
    </w:p>
    <w:p w14:paraId="193E359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租赁机房共需提供110个标准机柜（包括</w:t>
      </w:r>
      <w:r>
        <w:rPr>
          <w:rFonts w:hint="eastAsia" w:ascii="宋体" w:hAnsi="宋体" w:eastAsia="宋体" w:cs="宋体"/>
          <w:b/>
          <w:color w:val="000000" w:themeColor="text1"/>
          <w:highlight w:val="none"/>
          <w14:textFill>
            <w14:solidFill>
              <w14:schemeClr w14:val="tx1"/>
            </w14:solidFill>
          </w14:textFill>
        </w:rPr>
        <w:t>98个设计功率不小于4.5kW的机柜和12个设计功率不小于3kW的机柜）。</w:t>
      </w:r>
      <w:r>
        <w:rPr>
          <w:rFonts w:hint="eastAsia" w:ascii="宋体" w:hAnsi="宋体" w:eastAsia="宋体" w:cs="宋体"/>
          <w:bCs/>
          <w:color w:val="000000" w:themeColor="text1"/>
          <w:highlight w:val="none"/>
          <w14:textFill>
            <w14:solidFill>
              <w14:schemeClr w14:val="tx1"/>
            </w14:solidFill>
          </w14:textFill>
        </w:rPr>
        <w:t>每个机柜需提供2路UPS供电，提供满足本项目需求的PDU电源插孔及其他项目需要的配套基础设施，以保障相关业务平稳运行。</w:t>
      </w:r>
    </w:p>
    <w:p w14:paraId="4A55A05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对于所租赁的机柜以及机柜所使用的机房，有以下要求：</w:t>
      </w:r>
    </w:p>
    <w:p w14:paraId="531421BC">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1.地理位置要求</w:t>
      </w:r>
    </w:p>
    <w:p w14:paraId="6FDF793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（1）IDC机房需位于宁波市辖区，IDC机房与市税务局数据中心机房（江北区育才路86弄18号）之间的光纤链路端到端距离不大于20km，且光纤端对端衰耗≤10dB。</w:t>
      </w:r>
    </w:p>
    <w:p w14:paraId="52497DF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（2）地理位置：交通便利，有利于采购人现场运维和应急情况处置。</w:t>
      </w:r>
    </w:p>
    <w:p w14:paraId="21DD733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（3）周围环境：远离腐蚀性气体、粉尘、强振动源和强噪声源、强电磁辐射源。</w:t>
      </w:r>
    </w:p>
    <w:p w14:paraId="3E69F35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（4）提供的机房应位于独立园区或具备独立安防管理的区域，区域内应能提供办公、泊车等配套设施。</w:t>
      </w:r>
    </w:p>
    <w:p w14:paraId="2C688EDF">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2.场地技术要求</w:t>
      </w:r>
    </w:p>
    <w:p w14:paraId="3A67D1B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（1）机房建筑采用全框架全现浇钢筋混凝土结构，采用架空防静电地板，机房无窗，机房楼层承重≥1吨/㎡，地面平整不起尘。机房顶部不结露，地面无水患；照明满足IDC机房要求。</w:t>
      </w:r>
    </w:p>
    <w:p w14:paraId="6BEE03A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（2）机房符合乙级抗震标准，有相应的抗震加固措施。</w:t>
      </w:r>
    </w:p>
    <w:p w14:paraId="5F586D8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（3）机房（含电源机房）选择在不易受洪水淹灌的地方，机房（含电源机房）地面至少高于历史最高洪水水位0.5m以上。</w:t>
      </w:r>
    </w:p>
    <w:p w14:paraId="576E375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机房内设置动力环境监控系统，动力环境监控系统软件中的所有监控数据能够进行实时展示以及数据记录。机房动力环境监控系统应对机房内配电系统、UPS系统、精密空调系统、漏水、温湿度、消防报警、机房门禁系统、视频监控系统、新风系统等进行集中监控，实现对机房的动力、环境、安全三方面监控等功能；温湿度监控功能需对机房冷通道分别进行温湿度监控，机房空调末端机应具备温湿度监控探头。</w:t>
      </w:r>
    </w:p>
    <w:p w14:paraId="27602984">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3.租用场地要求</w:t>
      </w:r>
    </w:p>
    <w:p w14:paraId="5C9B5AA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供一处完整、独立、物理封闭的区域；具有完备的机房管理体系，具备单独的符合国密标准的门禁系统；具备覆盖使用区域符合国密标准的视频监控系统，提供7×24小时的安全管理与视频监控服务和机房基础设施运维服务，封闭区域视频资料至少保存</w:t>
      </w:r>
      <w:r>
        <w:rPr>
          <w:rFonts w:hint="eastAsia" w:ascii="宋体" w:hAnsi="宋体" w:eastAsia="宋体" w:cs="宋体"/>
          <w:b/>
          <w:color w:val="000000" w:themeColor="text1"/>
          <w:highlight w:val="none"/>
          <w14:textFill>
            <w14:solidFill>
              <w14:schemeClr w14:val="tx1"/>
            </w14:solidFill>
          </w14:textFill>
        </w:rPr>
        <w:t>6个月</w:t>
      </w:r>
      <w:r>
        <w:rPr>
          <w:rFonts w:hint="eastAsia" w:ascii="宋体" w:hAnsi="宋体" w:eastAsia="宋体" w:cs="宋体"/>
          <w:bCs/>
          <w:color w:val="000000" w:themeColor="text1"/>
          <w:highlight w:val="none"/>
          <w14:textFill>
            <w14:solidFill>
              <w14:schemeClr w14:val="tx1"/>
            </w14:solidFill>
          </w14:textFill>
        </w:rPr>
        <w:t>。</w:t>
      </w:r>
    </w:p>
    <w:p w14:paraId="117C32C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（2）租用场地出入口需设置门禁控制系统，未经授权的人员，不得进入。机房门禁读卡器须至少具备密码输入、一卡通识别或指纹识别等一种进出控制功能。门禁系统相关数据具备</w:t>
      </w:r>
      <w:r>
        <w:rPr>
          <w:rFonts w:hint="eastAsia" w:ascii="宋体" w:hAnsi="宋体" w:eastAsia="宋体" w:cs="宋体"/>
          <w:b/>
          <w:color w:val="000000" w:themeColor="text1"/>
          <w:highlight w:val="none"/>
          <w14:textFill>
            <w14:solidFill>
              <w14:schemeClr w14:val="tx1"/>
            </w14:solidFill>
          </w14:textFill>
        </w:rPr>
        <w:t>1年以上</w:t>
      </w:r>
      <w:r>
        <w:rPr>
          <w:rFonts w:hint="eastAsia" w:ascii="宋体" w:hAnsi="宋体" w:eastAsia="宋体" w:cs="宋体"/>
          <w:bCs/>
          <w:color w:val="000000" w:themeColor="text1"/>
          <w:highlight w:val="none"/>
          <w14:textFill>
            <w14:solidFill>
              <w14:schemeClr w14:val="tx1"/>
            </w14:solidFill>
          </w14:textFill>
        </w:rPr>
        <w:t>的存储能力。</w:t>
      </w:r>
    </w:p>
    <w:p w14:paraId="33976B5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监控系统需覆盖机房内所有区域、机房门禁内外通道区域、库房门外通道区域，系统实现对机房内主要进出通道、主要通道以及封闭通道内部的人员走动、设备运行情况进行监控，并实现实时存储，无死角和盲区。当监测到有人员进出或操作时，对视频画面进行自动记录，并能在事后追溯时进行即时调用和读取。要求能在监控界面中直接点击操作进行实时读取，也可以在专用的视频界面中进行多画面的轮询播放，封闭区域视频资料至少保存</w:t>
      </w:r>
      <w:r>
        <w:rPr>
          <w:rFonts w:hint="eastAsia" w:ascii="宋体" w:hAnsi="宋体" w:eastAsia="宋体" w:cs="宋体"/>
          <w:b/>
          <w:color w:val="000000" w:themeColor="text1"/>
          <w:highlight w:val="none"/>
          <w14:textFill>
            <w14:solidFill>
              <w14:schemeClr w14:val="tx1"/>
            </w14:solidFill>
          </w14:textFill>
        </w:rPr>
        <w:t>6个月</w:t>
      </w:r>
      <w:r>
        <w:rPr>
          <w:rFonts w:hint="eastAsia" w:ascii="宋体" w:hAnsi="宋体" w:eastAsia="宋体" w:cs="宋体"/>
          <w:bCs/>
          <w:color w:val="000000" w:themeColor="text1"/>
          <w:highlight w:val="none"/>
          <w14:textFill>
            <w14:solidFill>
              <w14:schemeClr w14:val="tx1"/>
            </w14:solidFill>
          </w14:textFill>
        </w:rPr>
        <w:t>。</w:t>
      </w:r>
    </w:p>
    <w:p w14:paraId="25FDACF3">
      <w:pPr>
        <w:snapToGrid w:val="0"/>
        <w:spacing w:after="0" w:line="360" w:lineRule="auto"/>
        <w:ind w:firstLine="420"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eastAsia="宋体" w:cs="宋体"/>
          <w:b/>
          <w:color w:val="000000" w:themeColor="text1"/>
          <w:highlight w:val="none"/>
          <w14:textFill>
            <w14:solidFill>
              <w14:schemeClr w14:val="tx1"/>
            </w14:solidFill>
          </w14:textFill>
        </w:rPr>
        <w:t>提供110个</w:t>
      </w:r>
      <w:r>
        <w:rPr>
          <w:rFonts w:hint="eastAsia" w:ascii="宋体" w:hAnsi="宋体" w:eastAsia="宋体" w:cs="宋体"/>
          <w:b/>
          <w:bCs/>
          <w:color w:val="000000" w:themeColor="text1"/>
          <w:highlight w:val="none"/>
          <w14:textFill>
            <w14:solidFill>
              <w14:schemeClr w14:val="tx1"/>
            </w14:solidFill>
          </w14:textFill>
        </w:rPr>
        <w:t>标准机柜服务，支持将所有机柜封闭到同一个区域；</w:t>
      </w:r>
      <w:r>
        <w:rPr>
          <w:rFonts w:hint="eastAsia" w:ascii="宋体" w:hAnsi="宋体" w:eastAsia="宋体" w:cs="宋体"/>
          <w:bCs/>
          <w:color w:val="000000" w:themeColor="text1"/>
          <w:highlight w:val="none"/>
          <w14:textFill>
            <w14:solidFill>
              <w14:schemeClr w14:val="tx1"/>
            </w14:solidFill>
          </w14:textFill>
        </w:rPr>
        <w:t>提供相关的机柜辅材（机柜托盘、机柜螺丝等）。根据使用方业务要求，提供指定机柜间互联的光纤或网线配线架。</w:t>
      </w:r>
    </w:p>
    <w:p w14:paraId="6A44E6A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（5）针对设备进场、搬运路线上可能涉及到门、台阶、电梯等设施进行必要的检查和改造，协调确认和解决相关问题，配合采购人将所有设备顺利搬运进入IDC托管机房的指定位置。</w:t>
      </w:r>
    </w:p>
    <w:p w14:paraId="2FCC0FC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（6）机房内配备桌子、椅子和带有显示器、键盘的调试车以方便进行现场调试等工作。</w:t>
      </w:r>
    </w:p>
    <w:p w14:paraId="43E0DBB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（7）为采购人提供机房大楼内不低于20㎡的备料库房。办公区域提供不少于20个工位的办公场地（含对应工位数的办公桌椅、网络接口、照明等服务）。</w:t>
      </w:r>
      <w:r>
        <w:rPr>
          <w:rFonts w:hint="eastAsia" w:ascii="宋体" w:hAnsi="宋体" w:eastAsia="宋体" w:cs="宋体"/>
          <w:color w:val="000000" w:themeColor="text1"/>
          <w:highlight w:val="none"/>
          <w14:textFill>
            <w14:solidFill>
              <w14:schemeClr w14:val="tx1"/>
            </w14:solidFill>
          </w14:textFill>
        </w:rPr>
        <w:t>为采购人授权的办公人员提供所租机柜区域的门禁权限及现场环控系统查看权限。</w:t>
      </w:r>
    </w:p>
    <w:p w14:paraId="65244C0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（8）机房采用下送风、上走线的布局,强弱电分离，机房有通风排烟设施，送风方式为下送风，保证机房内通风、恒温（23℃±1）、恒湿（40%~70%）。</w:t>
      </w:r>
    </w:p>
    <w:p w14:paraId="0F86D38D">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4.电力供应要求</w:t>
      </w:r>
    </w:p>
    <w:p w14:paraId="0F8A3FA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（1）机房应采用一类市电供电，即从两个来自不同变电站各自引入一路供电线，该两路电源不同时出现检修停电。</w:t>
      </w:r>
    </w:p>
    <w:p w14:paraId="76BB55AA">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（2）机房具备UPS后备电力支持，应采用2N的冗余配置。</w:t>
      </w:r>
    </w:p>
    <w:p w14:paraId="0564AEF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机房具备应急柴油发电机，在全负荷情况下，机房柴油发电机后备带载时长≥8小时，随时可以调用其它应急储备能源。投标人应具有每年不低于2次的定期电力应急演练机制。柴油发电机基本容量应包括UPS系统的基本容量、空调和制冷设备的基本容量、应急照明及关系到生命安全等需要的负荷容量。</w:t>
      </w:r>
    </w:p>
    <w:p w14:paraId="2F8DCBB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（4）投标人应保证机房内不间断电源系统（UPS）的电池后备时间应不低于30分钟，足够支撑到柴油发电机启动；柴油发电机支持自动切换，切换启动到正常提供用电须保证不超过20分钟。</w:t>
      </w:r>
    </w:p>
    <w:p w14:paraId="50E371D6">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（5）租赁期间，中标人不得以任何理由造成租赁机房部署的系统问题、使用用户投诉或对采购人的考核考评工作造成负面影响，否则采购人将追究中标人相关责任。造成重大影响的，将追究中标人的法律责任。</w:t>
      </w:r>
      <w:r>
        <w:rPr>
          <w:rFonts w:hint="eastAsia" w:ascii="宋体" w:hAnsi="宋体" w:eastAsia="宋体" w:cs="宋体"/>
          <w:bCs/>
          <w:color w:val="000000" w:themeColor="text1"/>
          <w:highlight w:val="none"/>
          <w14:textFill>
            <w14:solidFill>
              <w14:schemeClr w14:val="tx1"/>
            </w14:solidFill>
          </w14:textFill>
        </w:rPr>
        <w:t>中标人应按采购人设计要求，对机柜供电进行适当改造或更换。</w:t>
      </w:r>
    </w:p>
    <w:p w14:paraId="63789E1D">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5.空调系统要求</w:t>
      </w:r>
    </w:p>
    <w:p w14:paraId="6672D4D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（1）投标人应提供租用机房专业精密空调为机房制冷和新风系统。</w:t>
      </w:r>
    </w:p>
    <w:p w14:paraId="2749A1B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（2）空调的给水排水管道应采用防渗漏和防结露措施。无水管穿越租用机房。管道穿过机房墙壁和楼板处应设置套管，管道与套管之间应采取密封措施。</w:t>
      </w:r>
    </w:p>
    <w:p w14:paraId="00B6ED3B">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（3）投标人提供的专用精密空调，在满足机房日常制冷需求的同时，具备应急情况下的不间断供冷设施和措施。空调数量N+1冗余，投标人应确保不因空调系统发生问题引发设备停机或损坏。</w:t>
      </w:r>
    </w:p>
    <w:p w14:paraId="739F6746">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6.机房安全要求</w:t>
      </w:r>
    </w:p>
    <w:p w14:paraId="29BC6E6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（1）机房机柜交流接地、安全保护接地、直流工作接地、防雷接地、防静电接地的处理符合规范。机房内所有设备的可导电金属外壳、各类金属管道、建筑物金属结构应进行等电位连接。接地电阻≤1欧姆。</w:t>
      </w:r>
    </w:p>
    <w:p w14:paraId="4785955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（2）具有符合国家消防规范的烟雾探测自动灭火系统，灭火系统符合相关规定，机房报警控制系统应与消防系统联动。同时，机房内配备有手动灭火器材。</w:t>
      </w:r>
    </w:p>
    <w:p w14:paraId="0855A2E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（3）具有专业安保人员实行7×24不间断值守。机房应有7×24小时值班人员负责机房出入登记和访问管理，严格管理机房准入制度。</w:t>
      </w:r>
    </w:p>
    <w:p w14:paraId="72086A2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（4）中标人应配合将采购人所租机柜区域的相关环控数据、监控视频、门禁系统数据等实时提供给采购人，并实现实时告警推送，需按照采购人提供的技术标准完成开发建设并实时推送。</w:t>
      </w:r>
    </w:p>
    <w:p w14:paraId="6C8CB51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（5）投标人需提供针对本项目的等保方案，等保方案应尽可能做到实施内容明确，物理安全控制方面考虑周全、应用安全防护全面、通信安全具有保障等，所使用机房物理环境需满足等保2.0三级要求。</w:t>
      </w:r>
    </w:p>
    <w:p w14:paraId="1F9D552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投标人需提供针对本项目的商密方案，商密方案应尽可能做到实施内容明确，身份识别分类精准、商密等级划分鲜明、保密制度完善可行等，所使用机房应部署满足密码相关行业标准及国家要求的电子门禁系统和视频监控系统。</w:t>
      </w:r>
    </w:p>
    <w:p w14:paraId="2095CB3B">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7.机房机柜要求</w:t>
      </w:r>
    </w:p>
    <w:p w14:paraId="281E121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（1）机柜采用标准19英寸黑色机柜，安装空间不少于42U；</w:t>
      </w:r>
    </w:p>
    <w:p w14:paraId="5DA5FF7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（2）单机柜A/B路电源；</w:t>
      </w:r>
    </w:p>
    <w:p w14:paraId="1434A45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（3）每个机柜标配2块托盘，机架门锁，带接地铜条。机架承重不得低于1200kg，托盘承重不小于80kg；</w:t>
      </w:r>
    </w:p>
    <w:p w14:paraId="39A77BB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（4）机架的前门和后门采用≥1.5mm厚的冷轧钢板，侧门≥1.2mm厚的冷轧钢板；机架后门采用网孔门，开孔率（分布面积/机架前后门整体面积）不小于70%；</w:t>
      </w:r>
    </w:p>
    <w:p w14:paraId="54026D3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（5）机柜间设置冷热通道，按冷、热通道进行排布，即正对正、背对背放置。冷、热通道符合相关规范，不影响气流交换以及冷热对流。</w:t>
      </w:r>
    </w:p>
    <w:p w14:paraId="54D64C0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（6）所有机柜UPS输出需满足零地电压&lt;1伏； 机柜上方和前后方均应留有足够空间，便于设备进场和日常维护，同时具有好的回风环境；</w:t>
      </w:r>
    </w:p>
    <w:p w14:paraId="711BC2D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（7）单个机柜包含2个16位PDU，其中单个PDU C13 10A插座14位，C19 16A插座2位，进线总电流不低于32A，PDU竖向安装，带接线端子盒，带接地螺钉。若PDU插孔与采购人的设备电源插头制式不符，则中标人需对PDU进行适当改造或更换，或者提供能够满足设备安全使用的电源线。</w:t>
      </w:r>
    </w:p>
    <w:p w14:paraId="2F11F42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（8）机房内机柜上预留出线孔。</w:t>
      </w:r>
    </w:p>
    <w:p w14:paraId="08612540">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8.机房管理要求</w:t>
      </w:r>
    </w:p>
    <w:p w14:paraId="78B44144">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（1）提供2-4人值班工位及饭卡、按需提供2-4个灵活停车位、现场办公所需网络、设备上下架临时放置区，机房应备有工作鞋或鞋套。</w:t>
      </w:r>
    </w:p>
    <w:p w14:paraId="2FE4D96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（2）提供园区门禁登记权限、经采购人授权后提供对应租赁区域门禁权限管理及机房主要进出口门禁权限，</w:t>
      </w:r>
      <w:r>
        <w:rPr>
          <w:rFonts w:hint="eastAsia" w:ascii="宋体" w:hAnsi="宋体" w:eastAsia="宋体" w:cs="宋体"/>
          <w:bCs/>
          <w:color w:val="000000" w:themeColor="text1"/>
          <w:highlight w:val="none"/>
          <w14:textFill>
            <w14:solidFill>
              <w14:schemeClr w14:val="tx1"/>
            </w14:solidFill>
          </w14:textFill>
        </w:rPr>
        <w:t>给予采购人授权人员应急权限</w:t>
      </w:r>
      <w:r>
        <w:rPr>
          <w:rFonts w:hint="eastAsia" w:ascii="宋体" w:hAnsi="宋体" w:eastAsia="宋体" w:cs="宋体"/>
          <w:bCs/>
          <w:color w:val="000000" w:themeColor="text1"/>
          <w:highlight w:val="none"/>
          <w14:textFill>
            <w14:solidFill>
              <w14:schemeClr w14:val="tx1"/>
            </w14:solidFill>
          </w14:textFill>
        </w:rPr>
        <w:t>。</w:t>
      </w:r>
    </w:p>
    <w:p w14:paraId="1011BD0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eastAsia="宋体" w:cs="宋体"/>
          <w:bCs/>
          <w:color w:val="000000" w:themeColor="text1"/>
          <w:highlight w:val="none"/>
          <w14:textFill>
            <w14:solidFill>
              <w14:schemeClr w14:val="tx1"/>
            </w14:solidFill>
          </w14:textFill>
        </w:rPr>
        <w:t>）租赁机房所有机柜供电必须采用2N(两路UPS供电）+应急柴发架构；暖通系统采用市电+应急柴发架构，暖通系统的制冷量须有</w:t>
      </w:r>
      <w:r>
        <w:rPr>
          <w:rFonts w:hint="eastAsia" w:ascii="宋体" w:hAnsi="宋体" w:eastAsia="宋体" w:cs="宋体"/>
          <w:bCs/>
          <w:color w:val="000000" w:themeColor="text1"/>
          <w:highlight w:val="none"/>
          <w14:textFill>
            <w14:solidFill>
              <w14:schemeClr w14:val="tx1"/>
            </w14:solidFill>
          </w14:textFill>
        </w:rPr>
        <w:t>冗余；租赁区域机柜采用冷热通道隔离布局。</w:t>
      </w:r>
    </w:p>
    <w:p w14:paraId="6AC0026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4</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租赁机房的服务团队</w:t>
      </w:r>
      <w:r>
        <w:rPr>
          <w:rFonts w:hint="eastAsia" w:ascii="宋体" w:hAnsi="宋体" w:eastAsia="宋体" w:cs="宋体"/>
          <w:bCs/>
          <w:color w:val="000000" w:themeColor="text1"/>
          <w:highlight w:val="none"/>
          <w14:textFill>
            <w14:solidFill>
              <w14:schemeClr w14:val="tx1"/>
            </w14:solidFill>
          </w14:textFill>
        </w:rPr>
        <w:t>须按照采购人管理规范管理设备及人员进出，包括但不限于：设备进出必须凭借采购人相关负责人审核通过的《电子政务工作联系单》，设备上下架进出机房须有采购人指派专人全程陪同</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当有人员、设备进出机房，或有人员在机房施工作业、踏勘时，中标人还需指派专人全程陪同；中标人须做好人员及设备进出机房登记工作，供采购人和使用用户定期查阅，登记本需在服务到期后提供复印件交采购人和使用用户保存。</w:t>
      </w:r>
    </w:p>
    <w:p w14:paraId="35BEC4B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）提供5*8小时设备运行维护服务，每日不少于2次日常巡检（恶劣天气、重保期间需增加巡检次数），基础设施设备按照相关规范定期进行巡检维护（夏季梅雨季节湿度高、冬季湿度低等情况进行提前应对）。</w:t>
      </w:r>
    </w:p>
    <w:p w14:paraId="4A22C05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6</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租赁机房的服务团队</w:t>
      </w:r>
      <w:r>
        <w:rPr>
          <w:rFonts w:hint="eastAsia" w:ascii="宋体" w:hAnsi="宋体" w:eastAsia="宋体" w:cs="宋体"/>
          <w:bCs/>
          <w:color w:val="000000" w:themeColor="text1"/>
          <w:highlight w:val="none"/>
          <w14:textFill>
            <w14:solidFill>
              <w14:schemeClr w14:val="tx1"/>
            </w14:solidFill>
          </w14:textFill>
        </w:rPr>
        <w:t>须有明确组织架构及岗位职责，提供现场相关资料，提供现场紧急联系人名单、人员及设备进出管理制度、安全管理制度、管理流程等；并根据采购人要求将有关制度、专区名称及资料上墙。</w:t>
      </w:r>
    </w:p>
    <w:p w14:paraId="32BA67F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）机房各重大系统须编制应急预案 ，并根据应急预案定期组织各种（高温、断电、消防、恶劣天气）应急演练，须提前报备给采购人并得到其审核批准后（提前3天报备），在采购人指派专人在场情况下进行演练，根据演练情况修订演练预案。</w:t>
      </w:r>
    </w:p>
    <w:p w14:paraId="10AC580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8</w:t>
      </w:r>
      <w:r>
        <w:rPr>
          <w:rFonts w:hint="eastAsia" w:ascii="宋体" w:hAnsi="宋体" w:eastAsia="宋体" w:cs="宋体"/>
          <w:bCs/>
          <w:color w:val="000000" w:themeColor="text1"/>
          <w:highlight w:val="none"/>
          <w14:textFill>
            <w14:solidFill>
              <w14:schemeClr w14:val="tx1"/>
            </w14:solidFill>
          </w14:textFill>
        </w:rPr>
        <w:t>）重大维修需断电及影响机房正常运行的 ，须提前通知采购人及做好相关应急预案。</w:t>
      </w:r>
    </w:p>
    <w:p w14:paraId="197617E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9</w:t>
      </w:r>
      <w:r>
        <w:rPr>
          <w:rFonts w:hint="eastAsia" w:ascii="宋体" w:hAnsi="宋体" w:eastAsia="宋体" w:cs="宋体"/>
          <w:bCs/>
          <w:color w:val="000000" w:themeColor="text1"/>
          <w:highlight w:val="none"/>
          <w14:textFill>
            <w14:solidFill>
              <w14:schemeClr w14:val="tx1"/>
            </w14:solidFill>
          </w14:textFill>
        </w:rPr>
        <w:t>）重大节假日及重保期间（值班表及保障函加盖公章发给采购人）须做好保障工作，实时响应。</w:t>
      </w:r>
    </w:p>
    <w:p w14:paraId="1F686B9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机柜租赁服务涵盖的所有环控数据，包括但不仅限于配电系统（配电柜、强电列头柜）、UPS系统（UPS主机、电池监测系统）、空调系统（精密空调主机、漏水检测）、消防系统、门禁系统、视频监控系统、温湿度数据等均须按照采购人技术规范标准对接采购人提供的环控平台，供采购人实时查看、回看及相关日志查询。</w:t>
      </w:r>
    </w:p>
    <w:p w14:paraId="271B5D7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9.其他要求</w:t>
      </w:r>
    </w:p>
    <w:p w14:paraId="19712D0E">
      <w:pPr>
        <w:snapToGrid w:val="0"/>
        <w:spacing w:after="0" w:line="360" w:lineRule="auto"/>
        <w:ind w:firstLine="420"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若中标人需对本项目租用中的机房、设备及数据链路进行搬迁，中标人须保证在机房、设备及数据链路搬迁期间不因机房、设备及数据链路搬迁原因造成系统问题、使用用户投诉、对采购人或者使用用户的考核考评工作造成负面影响，中标人须保证因搬迁产生的任何费用均由中标人承担，采购人不再另行支付任何费用。若不能按时按质完成，采购人将追究中标人相关责任。造成重大影响的，将追究中标人的法律责任。</w:t>
      </w:r>
    </w:p>
    <w:p w14:paraId="21263288">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bidi="ar"/>
          <w14:textFill>
            <w14:solidFill>
              <w14:schemeClr w14:val="tx1"/>
            </w14:solidFill>
          </w14:textFill>
        </w:rPr>
        <w:t>投标人投标时需提供分项明细报价表，在服务期内采购人如有机柜租赁需求变化，以分项明细报价表单价按实结算。</w:t>
      </w:r>
    </w:p>
    <w:p w14:paraId="1123E7A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（二）服务内容及标准</w:t>
      </w:r>
    </w:p>
    <w:p w14:paraId="63FDDC3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（1）中标人在租用周期内应为采购人提供设备进场支持服务。包括配合采购人进行新购设备的接收、移动、上下架、强弱电布线、标签张贴等工作。</w:t>
      </w:r>
    </w:p>
    <w:p w14:paraId="34A1EB9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中标人应建立运维管理体系，并负责对托管设备的工作环境和电气性能的运行状态和可靠性进行全面和系统的专业巡检，每天巡检不少于2次（包括周末和节假日）。中标人应提供托管设备指示灯告警的日常巡检工作。</w:t>
      </w:r>
    </w:p>
    <w:p w14:paraId="448F567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（3）中标人应提供机房7×24小时现场工程师现场值守，并提供值排班表（重要节假日保障及重要保障期须提前7个工作日提供保障期间排班表）。</w:t>
      </w:r>
    </w:p>
    <w:p w14:paraId="22C4E61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（4）中标人机房配套设施发生故障后，应立即响应，在10分钟内通知采购人技术人员或分管领导，每30分钟向以上人员通告故障处理和恢复进度。</w:t>
      </w:r>
    </w:p>
    <w:p w14:paraId="0899203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（5）如采购人因紧急情况需进入机房作业，中标人应积极协助配合，保证10分钟内完成登记审批手续，以便进入机房处置，并提供技术及商务专员进行相关配合工作。</w:t>
      </w:r>
    </w:p>
    <w:p w14:paraId="712451C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（6）中标人针对机房及租用设备提供的服务应遵循相应管理要求规范。涉及机房、线路检修维护（包括但不限于因线路检修、工程割接、网络及软件升级等可预见的影响），应提前三个工作日通知采购人。</w:t>
      </w:r>
    </w:p>
    <w:p w14:paraId="2C76622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中标人需根据租用机房实际运行情况，定期提交以下运维报告：服务期结束时提供运维总结分析报告，报告内容包括但不限于租用机房及配套设施基本情况和运行状态、日常运维监控、定期预防性巡检、来访人员管理情况、故障处理等中标人提供的运维服务执行情况，并需对以上运维服务执行情况进行总结分析，针对出现的问题要给出改进措施。</w:t>
      </w:r>
    </w:p>
    <w:p w14:paraId="3D6EF17D">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中标人在服务周期内应接受采购人的服务考核，服务考核内容包含但不限于中标人的日常巡检工作、设备维保保养工作、机房进出安全管理工作、机房设备安全管理工作、对接环控平台数据传输情况、应急演练情况、应急响应情况等；针对考核结果较差的情况进行相应惩罚。</w:t>
      </w:r>
    </w:p>
    <w:p w14:paraId="6474396C">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1.安全要求</w:t>
      </w:r>
    </w:p>
    <w:p w14:paraId="6F0C800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w:t>
      </w:r>
      <w:r>
        <w:rPr>
          <w:rFonts w:hint="eastAsia" w:ascii="宋体" w:hAnsi="宋体" w:eastAsia="宋体" w:cs="宋体"/>
          <w:bCs/>
          <w:color w:val="000000" w:themeColor="text1"/>
          <w:highlight w:val="none"/>
          <w14:textFill>
            <w14:solidFill>
              <w14:schemeClr w14:val="tx1"/>
            </w14:solidFill>
          </w14:textFill>
        </w:rPr>
        <w:t>在投标文件中提供环境安全、设备安全、数据安全、人员组织安全、质量安全等方面的运维服务机制。</w:t>
      </w:r>
    </w:p>
    <w:p w14:paraId="5344AB0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2.项目实施要求</w:t>
      </w:r>
    </w:p>
    <w:p w14:paraId="6C23E5C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投标人应妥善进行人员及时间安排，制定相应的项目实施详细进度计划，确定每个实施阶段的时间表及工作目标。</w:t>
      </w:r>
    </w:p>
    <w:p w14:paraId="46588156">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3.项目团队要求</w:t>
      </w:r>
    </w:p>
    <w:p w14:paraId="1FEF429C">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按照项目实施的要求，必须配置相应的项目管理、系统集成等人员，项目团队应熟悉数据中心有关系统业务并具备必要的专业知识和技术水平，在项目组织中应明确各岗位的职责，确保项目顺利实施。</w:t>
      </w:r>
    </w:p>
    <w:p w14:paraId="3E38C0B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在本项目的执行过程中，整个项目团队的人员要相对稳定。同时，参与此项目的人员必须具有强烈的服务意识和高度的责任感。项目实施期间，根据采购人的合理需要，采购人有权要求中标人对项目经理等项目组人员进行调换。</w:t>
      </w:r>
    </w:p>
    <w:p w14:paraId="79A0AEA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项目实施环节至少应提供以下服务：</w:t>
      </w:r>
    </w:p>
    <w:p w14:paraId="6E7C70F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供项目经理1名，负责整个项目的日常管理与资源调配，推进项目的进行，解决各种紧急事件。项目经理应具有丰富的项目管理经验，具有5年以上相关工作经验，并获得充分授权，可以调配项目各方的资源，保证项目保质保量按时完成。</w:t>
      </w:r>
    </w:p>
    <w:p w14:paraId="33FF195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提供7*24小时现场值守服务，提供整个项目的日常巡检及日常管理，推进项目的进行，解决各种紧急事件。项目团队应熟悉数据中心供配电系统、UPS系统、暖通系统、消防系统、安防系统等系统架构、运行操作与维护流程及各类相关标准和规范。</w:t>
      </w:r>
    </w:p>
    <w:p w14:paraId="51CC59DA">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4.服务要求及考核标准</w:t>
      </w:r>
    </w:p>
    <w:p w14:paraId="24949081">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在租用周期内应为采购人提供设备进场支持服务。包括配合采购人进行新购设备的接收、移动、上下架、强弱电布线、标签张贴等工作。</w:t>
      </w:r>
    </w:p>
    <w:p w14:paraId="5BB09E33">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应建立运维管理体系，并负责对托管设备的工作环境和电气性能的运行状态和可靠性进行全面和系统的专业巡检，每日巡检不少于2次（包括周末和节假日）。中标人应提供托管设备指示灯告警的日常巡检工作，将设备告警情况及时通知采购人。</w:t>
      </w:r>
    </w:p>
    <w:p w14:paraId="0A3B5B1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应提供机房7×24小时现场工程师现场值守，并提供机房技术支持及机房负责人联系方式并7×24小时实时响应。上述人员应确保电话畅通，如发生电话无法联系（30 分钟内联系三次以上），应承担500元/次的违约责任。</w:t>
      </w:r>
    </w:p>
    <w:p w14:paraId="605DDF96">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机房配套设施发生故障后，应立即响应，在10分钟内通知采购人技术人员或分管领导，每30分钟向以上人员通告故障处理和恢复进度。如采购人因紧急情况需进入机房作业，中标人应积极协助配合，保证10分钟内完成登记审批手续，以便进入机房处置，并提供技术及商务专员进行相关配合工作。不能及时提供上述服务响应的，应承担500元/次的违约责任。</w:t>
      </w:r>
    </w:p>
    <w:p w14:paraId="1757340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应就本项目向采购人指定总负责人，负责项目整体的对接、调度等工作；服务期限内若需更换总负责人，应提前7个工作日告知采购人，否则应承担1000元/次的违约责任。</w:t>
      </w:r>
    </w:p>
    <w:p w14:paraId="45DBA145">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应做好采购机柜租赁区域的人员进出及设备进出管理，若有违规进出或设备上下架情况，应承担1000元/次的违约责任。</w:t>
      </w:r>
    </w:p>
    <w:p w14:paraId="4BE3AE28">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应提供采购人机柜租赁区域的有关动环数据（包括但不限于机柜进出风口的温度、湿度等）、门禁与视频监控等安防数据及其它所需数据，并配合做好接口调用、数据传输、协议转换等相关对接工作，保证采购人可使用相关数据；若发生传输中断等故障，中标人应及时响应并解决问题，故障处理超过30分钟未解决的，应承担500元/次的违约责任。</w:t>
      </w:r>
    </w:p>
    <w:p w14:paraId="1B03657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（8）服务过程中中标人因工作不到位，受到采购人或机柜使用单位投诉的，经核实情况属实，应承担1000元/次的违约责任。</w:t>
      </w:r>
    </w:p>
    <w:p w14:paraId="666067C2">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（9）</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未能及时处理故障，一般故障处理时限超过1小时的应承担500元/次的违约责任，重大故障超过4小时未解决的应承担1000元/次的违约责任，经采购人书面确认可延长处理时限的除外。</w:t>
      </w:r>
    </w:p>
    <w:p w14:paraId="14B114C9">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（10）上述服务不达标超过3次，采购人有权解除合同，并要求赔偿造成的各项损失。</w:t>
      </w:r>
    </w:p>
    <w:p w14:paraId="0698C1AF">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5.安全保密要求</w:t>
      </w:r>
    </w:p>
    <w:p w14:paraId="651BBDD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没有采购人事先书面同意，</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不得将由采购人提供的有关合同或任何合同条文、规格、计划、图纸、样品或资料提供给与履行本合同无关的任何其他人。即使向履行本合同有关的人员提供，也应注意保密并限于履行合同的必需范围。双方需要</w:t>
      </w:r>
      <w:r>
        <w:rPr>
          <w:rFonts w:hint="eastAsia" w:ascii="宋体" w:hAnsi="宋体" w:eastAsia="宋体" w:cs="宋体"/>
          <w:b/>
          <w:color w:val="000000" w:themeColor="text1"/>
          <w:highlight w:val="none"/>
          <w14:textFill>
            <w14:solidFill>
              <w14:schemeClr w14:val="tx1"/>
            </w14:solidFill>
          </w14:textFill>
        </w:rPr>
        <w:t>签订保密协议</w:t>
      </w:r>
      <w:r>
        <w:rPr>
          <w:rFonts w:hint="eastAsia" w:ascii="宋体" w:hAnsi="宋体" w:eastAsia="宋体" w:cs="宋体"/>
          <w:bCs/>
          <w:color w:val="000000" w:themeColor="text1"/>
          <w:highlight w:val="none"/>
          <w14:textFill>
            <w14:solidFill>
              <w14:schemeClr w14:val="tx1"/>
            </w14:solidFill>
          </w14:textFill>
        </w:rPr>
        <w:t>，同时</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涉及本项目的运维团队人员需</w:t>
      </w:r>
      <w:r>
        <w:rPr>
          <w:rFonts w:hint="eastAsia" w:ascii="宋体" w:hAnsi="宋体" w:eastAsia="宋体" w:cs="宋体"/>
          <w:b/>
          <w:color w:val="000000" w:themeColor="text1"/>
          <w:highlight w:val="none"/>
          <w14:textFill>
            <w14:solidFill>
              <w14:schemeClr w14:val="tx1"/>
            </w14:solidFill>
          </w14:textFill>
        </w:rPr>
        <w:t>签订保密承诺书和数据安全承诺书（需加盖公章）</w:t>
      </w:r>
      <w:r>
        <w:rPr>
          <w:rFonts w:hint="eastAsia" w:ascii="宋体" w:hAnsi="宋体" w:eastAsia="宋体" w:cs="宋体"/>
          <w:bCs/>
          <w:color w:val="000000" w:themeColor="text1"/>
          <w:highlight w:val="none"/>
          <w14:textFill>
            <w14:solidFill>
              <w14:schemeClr w14:val="tx1"/>
            </w14:solidFill>
          </w14:textFill>
        </w:rPr>
        <w:t>并报采购人备案，所有运维团队人员在签订合同前需</w:t>
      </w:r>
      <w:r>
        <w:rPr>
          <w:rFonts w:hint="eastAsia" w:ascii="宋体" w:hAnsi="宋体" w:eastAsia="宋体" w:cs="宋体"/>
          <w:b/>
          <w:color w:val="000000" w:themeColor="text1"/>
          <w:highlight w:val="none"/>
          <w14:textFill>
            <w14:solidFill>
              <w14:schemeClr w14:val="tx1"/>
            </w14:solidFill>
          </w14:textFill>
        </w:rPr>
        <w:t>提供最新的公安部门出具的无犯罪证明记录</w:t>
      </w:r>
      <w:r>
        <w:rPr>
          <w:rFonts w:hint="eastAsia" w:ascii="宋体" w:hAnsi="宋体" w:eastAsia="宋体" w:cs="宋体"/>
          <w:bCs/>
          <w:color w:val="000000" w:themeColor="text1"/>
          <w:highlight w:val="none"/>
          <w14:textFill>
            <w14:solidFill>
              <w14:schemeClr w14:val="tx1"/>
            </w14:solidFill>
          </w14:textFill>
        </w:rPr>
        <w:t>。</w:t>
      </w:r>
    </w:p>
    <w:p w14:paraId="14D31578">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6.交付时间和成果物要求</w:t>
      </w:r>
    </w:p>
    <w:p w14:paraId="7446A7F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IDC机房租赁服务：中标人须在</w:t>
      </w:r>
      <w:r>
        <w:rPr>
          <w:rFonts w:hint="eastAsia" w:ascii="宋体" w:hAnsi="宋体" w:eastAsia="宋体" w:cs="宋体"/>
          <w:color w:val="000000" w:themeColor="text1"/>
          <w:highlight w:val="none"/>
          <w14:textFill>
            <w14:solidFill>
              <w14:schemeClr w14:val="tx1"/>
            </w14:solidFill>
          </w14:textFill>
        </w:rPr>
        <w:t>2027年3月13日前完成IDC机房环境及配套设施准备。</w:t>
      </w:r>
      <w:r>
        <w:rPr>
          <w:rFonts w:hint="eastAsia" w:ascii="宋体" w:hAnsi="宋体" w:eastAsia="宋体" w:cs="宋体"/>
          <w:b/>
          <w:color w:val="000000" w:themeColor="text1"/>
          <w:highlight w:val="none"/>
          <w14:textFill>
            <w14:solidFill>
              <w14:schemeClr w14:val="tx1"/>
            </w14:solidFill>
          </w14:textFill>
        </w:rPr>
        <w:t>如涉及设备和数据链路搬迁，中标人需保障有关业务不中断运行，并承担搬迁产生的保障、搬迁费用。</w:t>
      </w:r>
      <w:r>
        <w:rPr>
          <w:rFonts w:hint="eastAsia" w:ascii="宋体" w:hAnsi="宋体" w:eastAsia="宋体" w:cs="宋体"/>
          <w:color w:val="000000" w:themeColor="text1"/>
          <w:highlight w:val="none"/>
          <w14:textFill>
            <w14:solidFill>
              <w14:schemeClr w14:val="tx1"/>
            </w14:solidFill>
          </w14:textFill>
        </w:rPr>
        <w:t>中标人共需提供110个标准机柜及配套基础设施</w:t>
      </w:r>
      <w:r>
        <w:rPr>
          <w:rFonts w:hint="eastAsia" w:ascii="宋体" w:hAnsi="宋体" w:eastAsia="宋体" w:cs="宋体"/>
          <w:bCs/>
          <w:color w:val="000000" w:themeColor="text1"/>
          <w:highlight w:val="none"/>
          <w14:textFill>
            <w14:solidFill>
              <w14:schemeClr w14:val="tx1"/>
            </w14:solidFill>
          </w14:textFill>
        </w:rPr>
        <w:t>。</w:t>
      </w:r>
    </w:p>
    <w:p w14:paraId="3D61CDC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7.验收条件和标准</w:t>
      </w:r>
    </w:p>
    <w:p w14:paraId="0042EED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highlight w:val="none"/>
          <w14:textFill>
            <w14:solidFill>
              <w14:schemeClr w14:val="tx1"/>
            </w14:solidFill>
          </w14:textFill>
        </w:rPr>
        <w:t>采购人对中标人提交的标的依据采购文件上的技术规格要求和国家有关质量标准进行现场初步验收，符合采购文件技术要求的，给予签收，初步验收不合格的不予签收，采购人需在五个工作日内验收。</w:t>
      </w:r>
    </w:p>
    <w:p w14:paraId="124DCF00">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中标人提供的租赁专区需结合采购人提出的相关优化管理建议进行运维服务，同时按照采购文件上的技术规格和运维服务要求做好相关台账记录和报告编制作为服务履约验收依据，在验收时装订成册盖章后提交采购人归档。</w:t>
      </w:r>
    </w:p>
    <w:p w14:paraId="73AC9A8F">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采购人对中标人提供的本项目机柜租赁服务依据采购文件、投标文件、合同上的技术、商务、服务要求里面相关内容进行验收，由中标人在服务期满前1个月向采购人提交验收申请，采购人在收到验收申请后15日内，由采购人上级主管单位指定的第三方审计公司或者由采购人组织专家对本项目进行验收；验收前，中标人向采购人提交所有验收必备资料，否则因此导致验收延迟的后果由中标人独自承担。</w:t>
      </w:r>
    </w:p>
    <w:p w14:paraId="0095453E">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（4）验收时</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必须在现场，验收完毕后作出验收结果报告。</w:t>
      </w:r>
    </w:p>
    <w:p w14:paraId="3C9201C7">
      <w:pPr>
        <w:snapToGrid w:val="0"/>
        <w:spacing w:after="0" w:line="360" w:lineRule="auto"/>
        <w:ind w:firstLine="420" w:firstLineChars="200"/>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中标人</w:t>
      </w:r>
      <w:r>
        <w:rPr>
          <w:rFonts w:hint="eastAsia" w:ascii="宋体" w:hAnsi="宋体" w:eastAsia="宋体" w:cs="宋体"/>
          <w:bCs/>
          <w:color w:val="000000" w:themeColor="text1"/>
          <w:highlight w:val="none"/>
          <w14:textFill>
            <w14:solidFill>
              <w14:schemeClr w14:val="tx1"/>
            </w14:solidFill>
          </w14:textFill>
        </w:rPr>
        <w:t>在服务过程中因工作不到位，受到采购人或机柜使用单位投诉，经核实情况属实，而拒绝或不配合整改，或累计被投诉次数超过3次的，验收不予通过。</w:t>
      </w:r>
    </w:p>
    <w:p w14:paraId="45945DF5">
      <w:pPr>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595EA5A">
      <w:pPr>
        <w:pStyle w:val="5"/>
        <w:spacing w:after="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02090203</w:t>
      </w:r>
      <w:r>
        <w:rPr>
          <w:rFonts w:hint="eastAsia" w:ascii="宋体" w:hAnsi="宋体" w:eastAsia="宋体" w:cs="宋体"/>
          <w:color w:val="000000" w:themeColor="text1"/>
          <w:highlight w:val="none"/>
          <w14:textFill>
            <w14:solidFill>
              <w14:schemeClr w14:val="tx1"/>
            </w14:solidFill>
          </w14:textFill>
        </w:rPr>
        <w:t>市人力社保局IDC机柜租用服务</w:t>
      </w:r>
    </w:p>
    <w:p w14:paraId="620C653B">
      <w:pPr>
        <w:spacing w:after="0" w:line="360" w:lineRule="auto"/>
        <w:ind w:firstLine="422" w:firstLineChars="200"/>
        <w:jc w:val="left"/>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（一）IDC设备机柜</w:t>
      </w:r>
    </w:p>
    <w:p w14:paraId="21D5BB4D">
      <w:pPr>
        <w:spacing w:after="0" w:line="360" w:lineRule="auto"/>
        <w:ind w:firstLine="422" w:firstLineChars="200"/>
        <w:jc w:val="left"/>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1.</w:t>
      </w:r>
      <w:r>
        <w:rPr>
          <w:rFonts w:hint="eastAsia" w:ascii="宋体" w:hAnsi="宋体" w:eastAsia="宋体" w:cs="宋体"/>
          <w:b/>
          <w:bCs/>
          <w:color w:val="000000" w:themeColor="text1"/>
          <w:kern w:val="0"/>
          <w:highlight w:val="none"/>
          <w14:textFill>
            <w14:solidFill>
              <w14:schemeClr w14:val="tx1"/>
            </w14:solidFill>
          </w14:textFill>
        </w:rPr>
        <w:t>机柜</w:t>
      </w:r>
      <w:r>
        <w:rPr>
          <w:rFonts w:hint="eastAsia" w:ascii="宋体" w:hAnsi="宋体" w:eastAsia="宋体" w:cs="宋体"/>
          <w:b/>
          <w:bCs/>
          <w:color w:val="000000" w:themeColor="text1"/>
          <w:highlight w:val="none"/>
          <w14:textFill>
            <w14:solidFill>
              <w14:schemeClr w14:val="tx1"/>
            </w14:solidFill>
          </w14:textFill>
        </w:rPr>
        <w:t>托管</w:t>
      </w:r>
      <w:r>
        <w:rPr>
          <w:rFonts w:hint="eastAsia" w:ascii="宋体" w:hAnsi="宋体" w:eastAsia="宋体" w:cs="宋体"/>
          <w:b/>
          <w:bCs/>
          <w:color w:val="000000" w:themeColor="text1"/>
          <w:kern w:val="0"/>
          <w:highlight w:val="none"/>
          <w14:textFill>
            <w14:solidFill>
              <w14:schemeClr w14:val="tx1"/>
            </w14:solidFill>
          </w14:textFill>
        </w:rPr>
        <w:t>服务</w:t>
      </w:r>
    </w:p>
    <w:p w14:paraId="3FB7C3E4">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提供7个标准机柜和按需提供标准机柜的放置位置；每个机柜需提供2路UPS供电，42U空间，至少提供20个国标10A电源插孔、4个国标16A电源插孔；单机柜所配设备额定功率≥8KW；提供相关的机柜辅材（机柜挡板、机柜螺丝等）；需提供地板加固，单个机柜承重≥1000KG；</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br w:type="textWrapping"/>
      </w:r>
      <w:r>
        <w:rPr>
          <w:rFonts w:hint="eastAsia" w:ascii="宋体" w:hAnsi="宋体" w:eastAsia="宋体" w:cs="宋体"/>
          <w:color w:val="000000" w:themeColor="text1"/>
          <w:kern w:val="0"/>
          <w:highlight w:val="none"/>
          <w:lang w:bidi="ar"/>
          <w14:textFill>
            <w14:solidFill>
              <w14:schemeClr w14:val="tx1"/>
            </w14:solidFill>
          </w14:textFill>
        </w:rPr>
        <w:tab/>
      </w:r>
      <w:r>
        <w:rPr>
          <w:rFonts w:hint="eastAsia" w:ascii="宋体" w:hAnsi="宋体" w:eastAsia="宋体" w:cs="宋体"/>
          <w:color w:val="000000" w:themeColor="text1"/>
          <w:kern w:val="0"/>
          <w:highlight w:val="none"/>
          <w:lang w:bidi="ar"/>
          <w14:textFill>
            <w14:solidFill>
              <w14:schemeClr w14:val="tx1"/>
            </w14:solidFill>
          </w14:textFill>
        </w:rPr>
        <w:t>按需</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提供8个小型机机柜的放置位置（</w:t>
      </w:r>
      <w:r>
        <w:rPr>
          <w:rFonts w:hint="eastAsia" w:ascii="宋体" w:hAnsi="宋体" w:eastAsia="宋体" w:cs="宋体"/>
          <w:color w:val="000000" w:themeColor="text1"/>
          <w:kern w:val="0"/>
          <w:highlight w:val="none"/>
          <w:lang w:bidi="ar"/>
          <w14:textFill>
            <w14:solidFill>
              <w14:schemeClr w14:val="tx1"/>
            </w14:solidFill>
          </w14:textFill>
        </w:rPr>
        <w:t>每个小型机机柜的放置空间：宽≥65cm，深≥110cm，高≥205cm</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）；需提供地板加固，单个机柜承重≥1050KG；每</w:t>
      </w:r>
      <w:r>
        <w:rPr>
          <w:rFonts w:hint="eastAsia" w:ascii="宋体" w:hAnsi="宋体" w:eastAsia="宋体" w:cs="宋体"/>
          <w:color w:val="000000" w:themeColor="text1"/>
          <w:kern w:val="0"/>
          <w:highlight w:val="none"/>
          <w:lang w:bidi="ar"/>
          <w14:textFill>
            <w14:solidFill>
              <w14:schemeClr w14:val="tx1"/>
            </w14:solidFill>
          </w14:textFill>
        </w:rPr>
        <w:t>个</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机柜需提供2路UPS供电，单路供电所需额定功率≥12KW；提供2路三相电，单路电流32A或按需相应电流要求（采用工业连接器连接或配电盒连接，32A插头）输入机柜自带PDU；</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br w:type="textWrapping"/>
      </w:r>
      <w:r>
        <w:rPr>
          <w:rFonts w:hint="eastAsia" w:ascii="宋体" w:hAnsi="宋体" w:eastAsia="宋体" w:cs="宋体"/>
          <w:color w:val="000000" w:themeColor="text1"/>
          <w:kern w:val="0"/>
          <w:highlight w:val="none"/>
          <w:lang w:bidi="ar"/>
          <w14:textFill>
            <w14:solidFill>
              <w14:schemeClr w14:val="tx1"/>
            </w14:solidFill>
          </w14:textFill>
        </w:rPr>
        <w:tab/>
      </w:r>
      <w:r>
        <w:rPr>
          <w:rFonts w:hint="eastAsia" w:ascii="宋体" w:hAnsi="宋体" w:eastAsia="宋体" w:cs="宋体"/>
          <w:color w:val="000000" w:themeColor="text1"/>
          <w:kern w:val="0"/>
          <w:highlight w:val="none"/>
          <w:lang w:bidi="ar"/>
          <w14:textFill>
            <w14:solidFill>
              <w14:schemeClr w14:val="tx1"/>
            </w14:solidFill>
          </w14:textFill>
        </w:rPr>
        <w:t>按需</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提供3个核心存储机柜的放置位置</w:t>
      </w:r>
      <w:r>
        <w:rPr>
          <w:rFonts w:hint="eastAsia" w:ascii="宋体" w:hAnsi="宋体" w:eastAsia="宋体" w:cs="宋体"/>
          <w:color w:val="000000" w:themeColor="text1"/>
          <w:kern w:val="0"/>
          <w:highlight w:val="none"/>
          <w:lang w:bidi="ar"/>
          <w14:textFill>
            <w14:solidFill>
              <w14:schemeClr w14:val="tx1"/>
            </w14:solidFill>
          </w14:textFill>
        </w:rPr>
        <w:t>（每个核心存储机柜的放置空间：宽≥90cm，深≥130cm，高≥195cm）</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；需提供地板加固，单个机柜承重≥1300KG ；每</w:t>
      </w:r>
      <w:r>
        <w:rPr>
          <w:rFonts w:hint="eastAsia" w:ascii="宋体" w:hAnsi="宋体" w:eastAsia="宋体" w:cs="宋体"/>
          <w:color w:val="000000" w:themeColor="text1"/>
          <w:kern w:val="0"/>
          <w:highlight w:val="none"/>
          <w:lang w:bidi="ar"/>
          <w14:textFill>
            <w14:solidFill>
              <w14:schemeClr w14:val="tx1"/>
            </w14:solidFill>
          </w14:textFill>
        </w:rPr>
        <w:t>个</w:t>
      </w:r>
      <w:r>
        <w:rPr>
          <w:rFonts w:hint="eastAsia" w:ascii="宋体" w:hAnsi="宋体" w:eastAsia="宋体" w:cs="宋体"/>
          <w:color w:val="000000" w:themeColor="text1"/>
          <w:kern w:val="0"/>
          <w:sz w:val="21"/>
          <w:szCs w:val="21"/>
          <w:highlight w:val="none"/>
          <w:shd w:val="clear" w:color="auto" w:fill="auto"/>
          <w:lang w:bidi="ar"/>
          <w14:textFill>
            <w14:solidFill>
              <w14:schemeClr w14:val="tx1"/>
            </w14:solidFill>
          </w14:textFill>
        </w:rPr>
        <w:t>机柜需提供2路UPS供电，单路供电所需额定功率≥8KW；需提供2路三相电，单路电流32A（采用配电盒连接，32A插头）输入机柜自带PDU。</w:t>
      </w:r>
    </w:p>
    <w:p w14:paraId="0CE539CF">
      <w:pPr>
        <w:spacing w:after="0" w:line="360" w:lineRule="auto"/>
        <w:ind w:firstLine="422" w:firstLineChars="200"/>
        <w:jc w:val="left"/>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2.</w:t>
      </w:r>
      <w:r>
        <w:rPr>
          <w:rFonts w:hint="eastAsia" w:ascii="宋体" w:hAnsi="宋体" w:eastAsia="宋体" w:cs="宋体"/>
          <w:b/>
          <w:bCs/>
          <w:color w:val="000000" w:themeColor="text1"/>
          <w:kern w:val="0"/>
          <w:highlight w:val="none"/>
          <w14:textFill>
            <w14:solidFill>
              <w14:schemeClr w14:val="tx1"/>
            </w14:solidFill>
          </w14:textFill>
        </w:rPr>
        <w:t>基础环境需求</w:t>
      </w:r>
    </w:p>
    <w:p w14:paraId="3D9C8A4E">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投标人需自行拥有此IDC机房，提供一处完整、独立、封闭的区域给使用单位单独使用；地理位置需位于宁波市区，具备良好的机房环境，电力系统、空调系统、安防系统、门禁系统等符合机房标准化建设；具备机房环境7*24小时监控系统，保存时间≥6个月。</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2399"/>
        <w:gridCol w:w="2051"/>
      </w:tblGrid>
      <w:tr w14:paraId="0994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648" w:type="dxa"/>
            <w:vAlign w:val="center"/>
          </w:tcPr>
          <w:p w14:paraId="540AE8C6">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服务内容</w:t>
            </w:r>
          </w:p>
        </w:tc>
        <w:tc>
          <w:tcPr>
            <w:tcW w:w="2400" w:type="dxa"/>
            <w:vAlign w:val="center"/>
          </w:tcPr>
          <w:p w14:paraId="2178C3FD">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2052" w:type="dxa"/>
            <w:vAlign w:val="center"/>
          </w:tcPr>
          <w:p w14:paraId="78C8F0D4">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w:t>
            </w:r>
          </w:p>
        </w:tc>
      </w:tr>
      <w:tr w14:paraId="6190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648" w:type="dxa"/>
            <w:vAlign w:val="center"/>
          </w:tcPr>
          <w:p w14:paraId="347E7EA8">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IDC机房托管服务（标准机柜）</w:t>
            </w:r>
          </w:p>
        </w:tc>
        <w:tc>
          <w:tcPr>
            <w:tcW w:w="2400" w:type="dxa"/>
            <w:vAlign w:val="center"/>
          </w:tcPr>
          <w:p w14:paraId="4CA4A323">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052" w:type="dxa"/>
            <w:vAlign w:val="center"/>
          </w:tcPr>
          <w:p w14:paraId="42B26F16">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14:paraId="0496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648" w:type="dxa"/>
            <w:vAlign w:val="center"/>
          </w:tcPr>
          <w:p w14:paraId="07D1316D">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IDC机房托管服务（小型机柜）</w:t>
            </w:r>
          </w:p>
        </w:tc>
        <w:tc>
          <w:tcPr>
            <w:tcW w:w="2400" w:type="dxa"/>
            <w:vAlign w:val="center"/>
          </w:tcPr>
          <w:p w14:paraId="64DF8E49">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052" w:type="dxa"/>
            <w:vAlign w:val="center"/>
          </w:tcPr>
          <w:p w14:paraId="1553D319">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14:paraId="5590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648" w:type="dxa"/>
            <w:vAlign w:val="center"/>
          </w:tcPr>
          <w:p w14:paraId="698441A8">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IDC机房托管服务（核心存储机柜）</w:t>
            </w:r>
          </w:p>
        </w:tc>
        <w:tc>
          <w:tcPr>
            <w:tcW w:w="2400" w:type="dxa"/>
            <w:vAlign w:val="center"/>
          </w:tcPr>
          <w:p w14:paraId="57C170B2">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052" w:type="dxa"/>
            <w:vAlign w:val="center"/>
          </w:tcPr>
          <w:p w14:paraId="4B48309D">
            <w:pPr>
              <w:spacing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bl>
    <w:p w14:paraId="52F3C397">
      <w:pPr>
        <w:spacing w:after="0" w:line="360" w:lineRule="auto"/>
        <w:ind w:firstLine="422" w:firstLineChars="200"/>
        <w:jc w:val="left"/>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（二）其他服务要求</w:t>
      </w:r>
    </w:p>
    <w:p w14:paraId="318ED971">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提供7*24小时专人专线服务，提供7*24小时值班服务、各项巡检服务，根据使用单位要求，每月汇总提交上月巡检情况报告；为保证整体服务对于故障处理效率，中标人需提供关于本项目的备品备件服务。</w:t>
      </w:r>
    </w:p>
    <w:p w14:paraId="51DCAA1A">
      <w:pPr>
        <w:snapToGrid w:val="0"/>
        <w:spacing w:after="0" w:line="360" w:lineRule="auto"/>
        <w:ind w:firstLine="420" w:firstLineChars="200"/>
        <w:jc w:val="left"/>
        <w:rPr>
          <w:rFonts w:hint="eastAsia" w:ascii="宋体" w:hAnsi="宋体" w:eastAsia="宋体" w:cs="宋体"/>
          <w:b w:val="0"/>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eastAsia="宋体" w:cs="宋体"/>
          <w:b w:val="0"/>
          <w:color w:val="000000" w:themeColor="text1"/>
          <w:kern w:val="0"/>
          <w:highlight w:val="none"/>
          <w14:textFill>
            <w14:solidFill>
              <w14:schemeClr w14:val="tx1"/>
            </w14:solidFill>
          </w14:textFill>
        </w:rPr>
        <w:t>若中标人需对本项目租用中的机房、设备及数据链路进行搬迁，中标人须保证在机房、设备及数据链路搬迁期间不因机房、设备及数据链路搬迁原因造成系统问题、使用用户投诉、对采购人或者使用用户的考核考评工作造成负面影响，中标人须保证因搬迁产生的任何费用均由中标人承担，采购人不再另行支付任何费用。若不能按时按质完成，采购人将追究中标人相关责任。造成重大影响的，将追究中标人的法律责任。</w:t>
      </w:r>
    </w:p>
    <w:p w14:paraId="1F24678D">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投标时需提供分项明细报价表，在服务期内如有机柜租赁需求变化，以分项明细报价表单价按实结算。</w:t>
      </w:r>
    </w:p>
    <w:p w14:paraId="53DC02F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34"/>
    <w:p w14:paraId="01E77A81">
      <w:pPr>
        <w:pStyle w:val="2"/>
        <w:pageBreakBefore/>
        <w:spacing w:before="0" w:after="0"/>
        <w:ind w:firstLine="482"/>
        <w:rPr>
          <w:rFonts w:hint="eastAsia" w:ascii="宋体" w:hAnsi="宋体" w:eastAsia="宋体" w:cs="宋体"/>
          <w:color w:val="000000" w:themeColor="text1"/>
          <w:sz w:val="32"/>
          <w:highlight w:val="none"/>
          <w14:textFill>
            <w14:solidFill>
              <w14:schemeClr w14:val="tx1"/>
            </w14:solidFill>
          </w14:textFill>
        </w:rPr>
      </w:pPr>
      <w:bookmarkStart w:id="38" w:name="_Toc21595"/>
      <w:r>
        <w:rPr>
          <w:rFonts w:hint="eastAsia" w:ascii="宋体" w:hAnsi="宋体" w:eastAsia="宋体" w:cs="宋体"/>
          <w:color w:val="000000" w:themeColor="text1"/>
          <w:highlight w:val="none"/>
          <w14:textFill>
            <w14:solidFill>
              <w14:schemeClr w14:val="tx1"/>
            </w14:solidFill>
          </w14:textFill>
        </w:rPr>
        <w:t>第三章 投标人须知</w:t>
      </w:r>
      <w:bookmarkEnd w:id="35"/>
      <w:bookmarkEnd w:id="38"/>
    </w:p>
    <w:p w14:paraId="5BD426FE">
      <w:pPr>
        <w:spacing w:after="0" w:line="360" w:lineRule="auto"/>
        <w:ind w:firstLine="422"/>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投标人须知前附表</w:t>
      </w:r>
    </w:p>
    <w:p w14:paraId="22F5A685">
      <w:pPr>
        <w:spacing w:after="0" w:line="360" w:lineRule="auto"/>
        <w:ind w:firstLine="416" w:firstLineChars="200"/>
        <w:jc w:val="left"/>
        <w:rPr>
          <w:rStyle w:val="49"/>
          <w:rFonts w:hint="eastAsia" w:ascii="宋体" w:hAnsi="宋体" w:eastAsia="宋体" w:cs="宋体"/>
          <w:color w:val="000000" w:themeColor="text1"/>
          <w:spacing w:val="-6"/>
          <w:highlight w:val="none"/>
          <w14:textFill>
            <w14:solidFill>
              <w14:schemeClr w14:val="tx1"/>
            </w14:solidFill>
          </w14:textFill>
        </w:rPr>
      </w:pPr>
      <w:r>
        <w:rPr>
          <w:rStyle w:val="49"/>
          <w:rFonts w:hint="eastAsia" w:ascii="宋体" w:hAnsi="宋体" w:eastAsia="宋体" w:cs="宋体"/>
          <w:color w:val="000000" w:themeColor="text1"/>
          <w:spacing w:val="-6"/>
          <w:highlight w:val="none"/>
          <w14:textFill>
            <w14:solidFill>
              <w14:schemeClr w14:val="tx1"/>
            </w14:solidFill>
          </w14:textFill>
        </w:rPr>
        <w:t>注：本表是本项目的具体要求，是对投标人须知的具体补充和修改，如有不一致，以本表为准。</w:t>
      </w:r>
    </w:p>
    <w:tbl>
      <w:tblPr>
        <w:tblStyle w:val="26"/>
        <w:tblW w:w="87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731"/>
        <w:gridCol w:w="1845"/>
        <w:gridCol w:w="5466"/>
      </w:tblGrid>
      <w:tr w14:paraId="44B0E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F5CF047">
            <w:pPr>
              <w:spacing w:after="0" w:line="240" w:lineRule="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731" w:type="dxa"/>
            <w:tcBorders>
              <w:top w:val="single" w:color="auto" w:sz="4" w:space="0"/>
              <w:left w:val="single" w:color="auto" w:sz="4" w:space="0"/>
              <w:bottom w:val="single" w:color="auto" w:sz="4" w:space="0"/>
              <w:right w:val="single" w:color="auto" w:sz="4" w:space="0"/>
            </w:tcBorders>
            <w:vAlign w:val="center"/>
          </w:tcPr>
          <w:p w14:paraId="52CAFABF">
            <w:pPr>
              <w:spacing w:after="0" w:line="240" w:lineRule="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条款号</w:t>
            </w:r>
          </w:p>
        </w:tc>
        <w:tc>
          <w:tcPr>
            <w:tcW w:w="1845" w:type="dxa"/>
            <w:tcBorders>
              <w:top w:val="single" w:color="auto" w:sz="4" w:space="0"/>
              <w:left w:val="single" w:color="auto" w:sz="4" w:space="0"/>
              <w:bottom w:val="single" w:color="auto" w:sz="4" w:space="0"/>
              <w:right w:val="single" w:color="auto" w:sz="4" w:space="0"/>
            </w:tcBorders>
            <w:vAlign w:val="center"/>
          </w:tcPr>
          <w:p w14:paraId="36EE0BCF">
            <w:pPr>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条款名称</w:t>
            </w:r>
          </w:p>
        </w:tc>
        <w:tc>
          <w:tcPr>
            <w:tcW w:w="5466" w:type="dxa"/>
            <w:tcBorders>
              <w:top w:val="single" w:color="auto" w:sz="4" w:space="0"/>
              <w:left w:val="single" w:color="auto" w:sz="4" w:space="0"/>
              <w:bottom w:val="single" w:color="auto" w:sz="4" w:space="0"/>
              <w:right w:val="single" w:color="auto" w:sz="4" w:space="0"/>
            </w:tcBorders>
            <w:vAlign w:val="center"/>
          </w:tcPr>
          <w:p w14:paraId="4903A626">
            <w:pPr>
              <w:spacing w:after="0" w:line="24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内容、要求</w:t>
            </w:r>
          </w:p>
        </w:tc>
      </w:tr>
      <w:tr w14:paraId="1B48A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FA6BF65">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1C96A06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w:t>
            </w:r>
          </w:p>
        </w:tc>
        <w:tc>
          <w:tcPr>
            <w:tcW w:w="1845" w:type="dxa"/>
            <w:tcBorders>
              <w:top w:val="single" w:color="auto" w:sz="4" w:space="0"/>
              <w:left w:val="single" w:color="auto" w:sz="4" w:space="0"/>
              <w:bottom w:val="single" w:color="auto" w:sz="4" w:space="0"/>
              <w:right w:val="single" w:color="auto" w:sz="4" w:space="0"/>
            </w:tcBorders>
            <w:vAlign w:val="center"/>
          </w:tcPr>
          <w:p w14:paraId="4E5BE18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p>
        </w:tc>
        <w:tc>
          <w:tcPr>
            <w:tcW w:w="5466" w:type="dxa"/>
            <w:tcBorders>
              <w:top w:val="single" w:color="auto" w:sz="4" w:space="0"/>
              <w:left w:val="single" w:color="auto" w:sz="4" w:space="0"/>
              <w:bottom w:val="single" w:color="auto" w:sz="4" w:space="0"/>
              <w:right w:val="single" w:color="auto" w:sz="4" w:space="0"/>
            </w:tcBorders>
            <w:vAlign w:val="center"/>
          </w:tcPr>
          <w:p w14:paraId="7B11E0AF">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宁波市数据服务中心</w:t>
            </w:r>
          </w:p>
        </w:tc>
      </w:tr>
      <w:tr w14:paraId="3CF75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EFA7C50">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36E6601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w:t>
            </w:r>
          </w:p>
        </w:tc>
        <w:tc>
          <w:tcPr>
            <w:tcW w:w="1845" w:type="dxa"/>
            <w:tcBorders>
              <w:top w:val="single" w:color="auto" w:sz="4" w:space="0"/>
              <w:left w:val="single" w:color="auto" w:sz="4" w:space="0"/>
              <w:bottom w:val="single" w:color="auto" w:sz="4" w:space="0"/>
              <w:right w:val="single" w:color="auto" w:sz="4" w:space="0"/>
            </w:tcBorders>
            <w:vAlign w:val="center"/>
          </w:tcPr>
          <w:p w14:paraId="36D2797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p>
        </w:tc>
        <w:tc>
          <w:tcPr>
            <w:tcW w:w="5466" w:type="dxa"/>
            <w:tcBorders>
              <w:top w:val="single" w:color="auto" w:sz="4" w:space="0"/>
              <w:left w:val="single" w:color="auto" w:sz="4" w:space="0"/>
              <w:bottom w:val="single" w:color="auto" w:sz="4" w:space="0"/>
              <w:right w:val="single" w:color="auto" w:sz="4" w:space="0"/>
            </w:tcBorders>
            <w:vAlign w:val="center"/>
          </w:tcPr>
          <w:p w14:paraId="670845A6">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宁波名诚招标代理有限公司</w:t>
            </w:r>
          </w:p>
        </w:tc>
      </w:tr>
      <w:tr w14:paraId="4E349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0D77E28">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2848DAA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w:t>
            </w:r>
          </w:p>
        </w:tc>
        <w:tc>
          <w:tcPr>
            <w:tcW w:w="1845" w:type="dxa"/>
            <w:tcBorders>
              <w:top w:val="single" w:color="auto" w:sz="4" w:space="0"/>
              <w:left w:val="single" w:color="auto" w:sz="4" w:space="0"/>
              <w:bottom w:val="single" w:color="auto" w:sz="4" w:space="0"/>
              <w:right w:val="single" w:color="auto" w:sz="4" w:space="0"/>
            </w:tcBorders>
            <w:vAlign w:val="center"/>
          </w:tcPr>
          <w:p w14:paraId="7114833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政府采购监督管理部门</w:t>
            </w:r>
          </w:p>
        </w:tc>
        <w:tc>
          <w:tcPr>
            <w:tcW w:w="5466" w:type="dxa"/>
            <w:tcBorders>
              <w:top w:val="single" w:color="auto" w:sz="4" w:space="0"/>
              <w:left w:val="single" w:color="auto" w:sz="4" w:space="0"/>
              <w:bottom w:val="single" w:color="auto" w:sz="4" w:space="0"/>
              <w:right w:val="single" w:color="auto" w:sz="4" w:space="0"/>
            </w:tcBorders>
            <w:vAlign w:val="center"/>
          </w:tcPr>
          <w:p w14:paraId="2C7F7186">
            <w:pPr>
              <w:pStyle w:val="50"/>
              <w:widowControl w:val="0"/>
              <w:spacing w:before="0" w:beforeAutospacing="0" w:after="0" w:afterAutospacing="0" w:line="240" w:lineRule="auto"/>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宁波市财政局政府采购监管处</w:t>
            </w:r>
          </w:p>
        </w:tc>
      </w:tr>
      <w:tr w14:paraId="34CF8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3F0444A">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41EA333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w:t>
            </w:r>
          </w:p>
        </w:tc>
        <w:tc>
          <w:tcPr>
            <w:tcW w:w="1845" w:type="dxa"/>
            <w:tcBorders>
              <w:top w:val="single" w:color="auto" w:sz="4" w:space="0"/>
              <w:left w:val="single" w:color="auto" w:sz="4" w:space="0"/>
              <w:bottom w:val="single" w:color="auto" w:sz="4" w:space="0"/>
              <w:right w:val="single" w:color="auto" w:sz="4" w:space="0"/>
            </w:tcBorders>
            <w:vAlign w:val="center"/>
          </w:tcPr>
          <w:p w14:paraId="08BD26B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质疑函递交方式、接收部门、联系电话和通讯地址</w:t>
            </w:r>
          </w:p>
        </w:tc>
        <w:tc>
          <w:tcPr>
            <w:tcW w:w="5466" w:type="dxa"/>
            <w:tcBorders>
              <w:top w:val="single" w:color="auto" w:sz="4" w:space="0"/>
              <w:left w:val="single" w:color="auto" w:sz="4" w:space="0"/>
              <w:bottom w:val="single" w:color="auto" w:sz="4" w:space="0"/>
              <w:right w:val="single" w:color="auto" w:sz="4" w:space="0"/>
            </w:tcBorders>
            <w:vAlign w:val="center"/>
          </w:tcPr>
          <w:p w14:paraId="56EF3EFE">
            <w:pPr>
              <w:pStyle w:val="50"/>
              <w:widowControl w:val="0"/>
              <w:spacing w:before="0" w:beforeAutospacing="0" w:after="0" w:afterAutospacing="0" w:line="24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递交方式：</w:t>
            </w:r>
            <w:r>
              <w:rPr>
                <w:rFonts w:hint="eastAsia" w:ascii="宋体" w:hAnsi="宋体" w:eastAsia="宋体" w:cs="宋体"/>
                <w:color w:val="000000" w:themeColor="text1"/>
                <w:sz w:val="21"/>
                <w:szCs w:val="21"/>
                <w:highlight w:val="none"/>
                <w:u w:val="single"/>
                <w14:textFill>
                  <w14:solidFill>
                    <w14:schemeClr w14:val="tx1"/>
                  </w14:solidFill>
                </w14:textFill>
              </w:rPr>
              <w:t>书面形式</w:t>
            </w:r>
          </w:p>
          <w:p w14:paraId="03D2AD0D">
            <w:pPr>
              <w:pStyle w:val="50"/>
              <w:widowControl w:val="0"/>
              <w:spacing w:before="0" w:beforeAutospacing="0" w:after="0" w:afterAutospacing="0" w:line="240" w:lineRule="auto"/>
              <w:jc w:val="both"/>
              <w:rPr>
                <w:rFonts w:hint="eastAsia" w:ascii="宋体" w:hAnsi="宋体" w:eastAsia="宋体" w:cs="宋体"/>
                <w:b/>
                <w:b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接收部门：</w:t>
            </w:r>
            <w:r>
              <w:rPr>
                <w:rFonts w:hint="eastAsia" w:ascii="宋体" w:hAnsi="宋体" w:eastAsia="宋体" w:cs="宋体"/>
                <w:color w:val="000000" w:themeColor="text1"/>
                <w:sz w:val="21"/>
                <w:szCs w:val="21"/>
                <w:highlight w:val="none"/>
                <w:u w:val="single"/>
                <w14:textFill>
                  <w14:solidFill>
                    <w14:schemeClr w14:val="tx1"/>
                  </w14:solidFill>
                </w14:textFill>
              </w:rPr>
              <w:t>综合办</w:t>
            </w:r>
          </w:p>
          <w:p w14:paraId="184AEE9C">
            <w:pPr>
              <w:pStyle w:val="50"/>
              <w:widowControl w:val="0"/>
              <w:spacing w:before="0" w:beforeAutospacing="0" w:after="0" w:afterAutospacing="0" w:line="240" w:lineRule="auto"/>
              <w:jc w:val="both"/>
              <w:rPr>
                <w:rFonts w:hint="eastAsia" w:ascii="宋体" w:hAnsi="宋体" w:eastAsia="宋体" w:cs="宋体"/>
                <w:b/>
                <w:b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bCs/>
                <w:color w:val="000000" w:themeColor="text1"/>
                <w:sz w:val="21"/>
                <w:szCs w:val="21"/>
                <w:highlight w:val="none"/>
                <w:u w:val="single"/>
                <w14:textFill>
                  <w14:solidFill>
                    <w14:schemeClr w14:val="tx1"/>
                  </w14:solidFill>
                </w14:textFill>
              </w:rPr>
              <w:t>0574-87101271/13968311598</w:t>
            </w:r>
          </w:p>
          <w:p w14:paraId="6201E64A">
            <w:pPr>
              <w:pStyle w:val="50"/>
              <w:widowControl w:val="0"/>
              <w:spacing w:before="0" w:beforeAutospacing="0" w:after="0" w:afterAutospacing="0" w:line="240" w:lineRule="auto"/>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通讯地址：</w:t>
            </w:r>
            <w:r>
              <w:rPr>
                <w:rFonts w:hint="eastAsia" w:ascii="宋体" w:hAnsi="宋体" w:eastAsia="宋体" w:cs="宋体"/>
                <w:bCs/>
                <w:color w:val="000000" w:themeColor="text1"/>
                <w:spacing w:val="-6"/>
                <w:sz w:val="21"/>
                <w:szCs w:val="21"/>
                <w:highlight w:val="none"/>
                <w:u w:val="single"/>
                <w14:textFill>
                  <w14:solidFill>
                    <w14:schemeClr w14:val="tx1"/>
                  </w14:solidFill>
                </w14:textFill>
              </w:rPr>
              <w:t>宁波市海曙区江汇城496号姚江时代14幢3楼</w:t>
            </w:r>
          </w:p>
        </w:tc>
      </w:tr>
      <w:tr w14:paraId="3423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679A3AE">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32FBF5F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w:t>
            </w:r>
          </w:p>
        </w:tc>
        <w:tc>
          <w:tcPr>
            <w:tcW w:w="1845" w:type="dxa"/>
            <w:tcBorders>
              <w:top w:val="single" w:color="auto" w:sz="4" w:space="0"/>
              <w:left w:val="single" w:color="auto" w:sz="4" w:space="0"/>
              <w:bottom w:val="single" w:color="auto" w:sz="4" w:space="0"/>
              <w:right w:val="single" w:color="auto" w:sz="4" w:space="0"/>
            </w:tcBorders>
            <w:vAlign w:val="center"/>
          </w:tcPr>
          <w:p w14:paraId="0E48B11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采购代理服务费用的收取标准</w:t>
            </w:r>
          </w:p>
        </w:tc>
        <w:tc>
          <w:tcPr>
            <w:tcW w:w="5466" w:type="dxa"/>
            <w:tcBorders>
              <w:top w:val="single" w:color="auto" w:sz="4" w:space="0"/>
              <w:left w:val="single" w:color="auto" w:sz="4" w:space="0"/>
              <w:bottom w:val="single" w:color="auto" w:sz="4" w:space="0"/>
              <w:right w:val="single" w:color="auto" w:sz="4" w:space="0"/>
            </w:tcBorders>
            <w:vAlign w:val="center"/>
          </w:tcPr>
          <w:p w14:paraId="11871A6D">
            <w:pPr>
              <w:spacing w:after="0" w:line="240" w:lineRule="auto"/>
              <w:ind w:firstLine="29" w:firstLineChars="14"/>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本项目招标代理服务费为12600元。</w:t>
            </w:r>
          </w:p>
        </w:tc>
      </w:tr>
      <w:tr w14:paraId="51559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6886B10">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5BBCEA3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w:t>
            </w:r>
          </w:p>
        </w:tc>
        <w:tc>
          <w:tcPr>
            <w:tcW w:w="1845" w:type="dxa"/>
            <w:tcBorders>
              <w:top w:val="single" w:color="auto" w:sz="4" w:space="0"/>
              <w:left w:val="single" w:color="auto" w:sz="4" w:space="0"/>
              <w:bottom w:val="single" w:color="auto" w:sz="4" w:space="0"/>
              <w:right w:val="single" w:color="auto" w:sz="4" w:space="0"/>
            </w:tcBorders>
            <w:vAlign w:val="center"/>
          </w:tcPr>
          <w:p w14:paraId="72FE32E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采购代理服务费的支付</w:t>
            </w:r>
          </w:p>
        </w:tc>
        <w:tc>
          <w:tcPr>
            <w:tcW w:w="5466" w:type="dxa"/>
            <w:tcBorders>
              <w:top w:val="single" w:color="auto" w:sz="4" w:space="0"/>
              <w:left w:val="single" w:color="auto" w:sz="4" w:space="0"/>
              <w:bottom w:val="single" w:color="auto" w:sz="4" w:space="0"/>
              <w:right w:val="single" w:color="auto" w:sz="4" w:space="0"/>
            </w:tcBorders>
            <w:vAlign w:val="center"/>
          </w:tcPr>
          <w:p w14:paraId="4FCF4E32">
            <w:pPr>
              <w:spacing w:after="0" w:line="240" w:lineRule="auto"/>
              <w:ind w:firstLine="29" w:firstLineChars="14"/>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本项目代理服务费由采购人支付。</w:t>
            </w:r>
          </w:p>
        </w:tc>
      </w:tr>
      <w:tr w14:paraId="6EE3B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23CE3F6">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275908F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w:t>
            </w:r>
          </w:p>
        </w:tc>
        <w:tc>
          <w:tcPr>
            <w:tcW w:w="1845" w:type="dxa"/>
            <w:tcBorders>
              <w:top w:val="single" w:color="auto" w:sz="4" w:space="0"/>
              <w:left w:val="single" w:color="auto" w:sz="4" w:space="0"/>
              <w:bottom w:val="single" w:color="auto" w:sz="4" w:space="0"/>
              <w:right w:val="single" w:color="auto" w:sz="4" w:space="0"/>
            </w:tcBorders>
            <w:vAlign w:val="center"/>
          </w:tcPr>
          <w:p w14:paraId="563776FE">
            <w:pPr>
              <w:pStyle w:val="50"/>
              <w:widowControl w:val="0"/>
              <w:spacing w:before="0" w:beforeAutospacing="0" w:after="0" w:afterAutospacing="0" w:line="24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现场考察</w:t>
            </w:r>
          </w:p>
        </w:tc>
        <w:tc>
          <w:tcPr>
            <w:tcW w:w="5466" w:type="dxa"/>
            <w:tcBorders>
              <w:top w:val="single" w:color="auto" w:sz="4" w:space="0"/>
              <w:left w:val="single" w:color="auto" w:sz="4" w:space="0"/>
              <w:bottom w:val="single" w:color="auto" w:sz="4" w:space="0"/>
              <w:right w:val="single" w:color="auto" w:sz="4" w:space="0"/>
            </w:tcBorders>
            <w:vAlign w:val="center"/>
          </w:tcPr>
          <w:p w14:paraId="3A4E52F4">
            <w:pPr>
              <w:spacing w:after="0" w:line="24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w:char="F0FE"/>
            </w:r>
            <w:r>
              <w:rPr>
                <w:rFonts w:hint="eastAsia" w:ascii="宋体" w:hAnsi="宋体" w:eastAsia="宋体" w:cs="宋体"/>
                <w:color w:val="000000" w:themeColor="text1"/>
                <w:highlight w:val="none"/>
                <w14:textFill>
                  <w14:solidFill>
                    <w14:schemeClr w14:val="tx1"/>
                  </w14:solidFill>
                </w14:textFill>
              </w:rPr>
              <w:t>不</w:t>
            </w:r>
            <w:r>
              <w:rPr>
                <w:rFonts w:hint="eastAsia" w:ascii="宋体" w:hAnsi="宋体" w:eastAsia="宋体" w:cs="宋体"/>
                <w:bCs/>
                <w:color w:val="000000" w:themeColor="text1"/>
                <w:highlight w:val="none"/>
                <w14:textFill>
                  <w14:solidFill>
                    <w14:schemeClr w14:val="tx1"/>
                  </w14:solidFill>
                </w14:textFill>
              </w:rPr>
              <w:t>统一</w:t>
            </w:r>
            <w:r>
              <w:rPr>
                <w:rFonts w:hint="eastAsia" w:ascii="宋体" w:hAnsi="宋体" w:eastAsia="宋体" w:cs="宋体"/>
                <w:color w:val="000000" w:themeColor="text1"/>
                <w:highlight w:val="none"/>
                <w14:textFill>
                  <w14:solidFill>
                    <w14:schemeClr w14:val="tx1"/>
                  </w14:solidFill>
                </w14:textFill>
              </w:rPr>
              <w:t>组织现场考察，供应商为了解本项目可以自行前往项目实施地点进行现场考察，考察前请先联系采购人的项目联系人。</w:t>
            </w:r>
          </w:p>
          <w:p w14:paraId="326288DA">
            <w:pPr>
              <w:spacing w:after="0" w:line="24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统一组织</w:t>
            </w:r>
            <w:r>
              <w:rPr>
                <w:rFonts w:hint="eastAsia" w:ascii="宋体" w:hAnsi="宋体" w:eastAsia="宋体" w:cs="宋体"/>
                <w:color w:val="000000" w:themeColor="text1"/>
                <w:highlight w:val="none"/>
                <w14:textFill>
                  <w14:solidFill>
                    <w14:schemeClr w14:val="tx1"/>
                  </w14:solidFill>
                </w14:textFill>
              </w:rPr>
              <w:t>现场考察</w:t>
            </w:r>
          </w:p>
        </w:tc>
      </w:tr>
      <w:tr w14:paraId="56533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2" w:type="dxa"/>
            <w:tcBorders>
              <w:top w:val="single" w:color="auto" w:sz="4" w:space="0"/>
              <w:left w:val="single" w:color="auto" w:sz="4" w:space="0"/>
              <w:right w:val="single" w:color="auto" w:sz="4" w:space="0"/>
            </w:tcBorders>
            <w:vAlign w:val="center"/>
          </w:tcPr>
          <w:p w14:paraId="4B499A49">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vMerge w:val="restart"/>
            <w:tcBorders>
              <w:top w:val="single" w:color="auto" w:sz="4" w:space="0"/>
              <w:left w:val="single" w:color="auto" w:sz="4" w:space="0"/>
              <w:right w:val="single" w:color="auto" w:sz="4" w:space="0"/>
            </w:tcBorders>
            <w:vAlign w:val="center"/>
          </w:tcPr>
          <w:p w14:paraId="2CC441C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p>
        </w:tc>
        <w:tc>
          <w:tcPr>
            <w:tcW w:w="1845" w:type="dxa"/>
            <w:tcBorders>
              <w:top w:val="single" w:color="auto" w:sz="4" w:space="0"/>
              <w:left w:val="single" w:color="auto" w:sz="4" w:space="0"/>
              <w:right w:val="single" w:color="auto" w:sz="4" w:space="0"/>
            </w:tcBorders>
            <w:vAlign w:val="center"/>
          </w:tcPr>
          <w:p w14:paraId="3A16F85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资格要求响应文件的组成</w:t>
            </w:r>
          </w:p>
        </w:tc>
        <w:tc>
          <w:tcPr>
            <w:tcW w:w="5466" w:type="dxa"/>
            <w:tcBorders>
              <w:top w:val="single" w:color="auto" w:sz="4" w:space="0"/>
              <w:left w:val="single" w:color="auto" w:sz="4" w:space="0"/>
              <w:right w:val="single" w:color="auto" w:sz="4" w:space="0"/>
            </w:tcBorders>
            <w:vAlign w:val="center"/>
          </w:tcPr>
          <w:p w14:paraId="78F9B6CE">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1.投标人资格声明函；</w:t>
            </w:r>
          </w:p>
          <w:p w14:paraId="1AE60EEC">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2.法人或者其他组织的营业执照等登记证明文件复印件。</w:t>
            </w:r>
          </w:p>
        </w:tc>
      </w:tr>
      <w:tr w14:paraId="43BE6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2" w:type="dxa"/>
            <w:tcBorders>
              <w:top w:val="single" w:color="auto" w:sz="4" w:space="0"/>
              <w:left w:val="single" w:color="auto" w:sz="4" w:space="0"/>
              <w:right w:val="single" w:color="auto" w:sz="4" w:space="0"/>
            </w:tcBorders>
            <w:vAlign w:val="center"/>
          </w:tcPr>
          <w:p w14:paraId="507FFE54">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vMerge w:val="continue"/>
            <w:tcBorders>
              <w:left w:val="single" w:color="auto" w:sz="4" w:space="0"/>
              <w:right w:val="single" w:color="auto" w:sz="4" w:space="0"/>
            </w:tcBorders>
            <w:vAlign w:val="center"/>
          </w:tcPr>
          <w:p w14:paraId="56935A8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5" w:type="dxa"/>
            <w:tcBorders>
              <w:top w:val="single" w:color="auto" w:sz="4" w:space="0"/>
              <w:left w:val="single" w:color="auto" w:sz="4" w:space="0"/>
              <w:right w:val="single" w:color="auto" w:sz="4" w:space="0"/>
            </w:tcBorders>
            <w:vAlign w:val="center"/>
          </w:tcPr>
          <w:p w14:paraId="1973E8C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商务技术文件的组成</w:t>
            </w:r>
          </w:p>
        </w:tc>
        <w:tc>
          <w:tcPr>
            <w:tcW w:w="5466" w:type="dxa"/>
            <w:tcBorders>
              <w:top w:val="single" w:color="auto" w:sz="4" w:space="0"/>
              <w:left w:val="single" w:color="auto" w:sz="4" w:space="0"/>
              <w:right w:val="single" w:color="auto" w:sz="4" w:space="0"/>
            </w:tcBorders>
            <w:vAlign w:val="center"/>
          </w:tcPr>
          <w:p w14:paraId="12C2A03E">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1.投标函；</w:t>
            </w:r>
          </w:p>
          <w:p w14:paraId="0018902E">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2.投标人法定代表人身份证复印件（双面）或授权委托书及其附件；</w:t>
            </w:r>
          </w:p>
          <w:p w14:paraId="1177A1C7">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3.商务要求响应表；</w:t>
            </w:r>
          </w:p>
          <w:p w14:paraId="3B436BCC">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4.技术/服务要求响应表；</w:t>
            </w:r>
          </w:p>
          <w:p w14:paraId="47EED175">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5.项目实施人员情况表；</w:t>
            </w:r>
          </w:p>
          <w:p w14:paraId="5C751A1D">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6.类似项目业绩一览表；</w:t>
            </w:r>
          </w:p>
          <w:p w14:paraId="4FDB969F">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7.项目相关服务方案等与项目评审及履行合同有关的其他资料。</w:t>
            </w:r>
          </w:p>
        </w:tc>
      </w:tr>
      <w:tr w14:paraId="1E2FA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02" w:type="dxa"/>
            <w:tcBorders>
              <w:top w:val="single" w:color="auto" w:sz="4" w:space="0"/>
              <w:left w:val="single" w:color="auto" w:sz="4" w:space="0"/>
              <w:right w:val="single" w:color="auto" w:sz="4" w:space="0"/>
            </w:tcBorders>
            <w:vAlign w:val="center"/>
          </w:tcPr>
          <w:p w14:paraId="495DEBA4">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vMerge w:val="continue"/>
            <w:tcBorders>
              <w:left w:val="single" w:color="auto" w:sz="4" w:space="0"/>
              <w:right w:val="single" w:color="auto" w:sz="4" w:space="0"/>
            </w:tcBorders>
            <w:vAlign w:val="center"/>
          </w:tcPr>
          <w:p w14:paraId="3A78F6B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5" w:type="dxa"/>
            <w:tcBorders>
              <w:top w:val="single" w:color="auto" w:sz="4" w:space="0"/>
              <w:left w:val="single" w:color="auto" w:sz="4" w:space="0"/>
              <w:right w:val="single" w:color="auto" w:sz="4" w:space="0"/>
            </w:tcBorders>
            <w:vAlign w:val="center"/>
          </w:tcPr>
          <w:p w14:paraId="325409D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报价要求响应文件的组成</w:t>
            </w:r>
          </w:p>
        </w:tc>
        <w:tc>
          <w:tcPr>
            <w:tcW w:w="5466" w:type="dxa"/>
            <w:tcBorders>
              <w:top w:val="single" w:color="auto" w:sz="4" w:space="0"/>
              <w:left w:val="single" w:color="auto" w:sz="4" w:space="0"/>
              <w:right w:val="single" w:color="auto" w:sz="4" w:space="0"/>
            </w:tcBorders>
            <w:vAlign w:val="center"/>
          </w:tcPr>
          <w:p w14:paraId="2DD44ADE">
            <w:pPr>
              <w:pStyle w:val="15"/>
              <w:spacing w:after="0" w:line="240" w:lineRule="auto"/>
              <w:ind w:left="0" w:left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1.开标一览表；</w:t>
            </w:r>
          </w:p>
          <w:p w14:paraId="2316D512">
            <w:pPr>
              <w:pStyle w:val="15"/>
              <w:spacing w:after="0" w:line="240" w:lineRule="auto"/>
              <w:ind w:left="0" w:left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2.投标报价组成明细表；</w:t>
            </w:r>
            <w:r>
              <w:rPr>
                <w:rFonts w:hint="eastAsia" w:ascii="宋体" w:hAnsi="宋体" w:eastAsia="宋体" w:cs="宋体"/>
                <w:b/>
                <w:bCs/>
                <w:color w:val="000000" w:themeColor="text1"/>
                <w:kern w:val="2"/>
                <w:sz w:val="21"/>
                <w:szCs w:val="21"/>
                <w:highlight w:val="none"/>
                <w:shd w:val="clear" w:color="auto" w:fill="auto"/>
                <w14:textFill>
                  <w14:solidFill>
                    <w14:schemeClr w14:val="tx1"/>
                  </w14:solidFill>
                </w14:textFill>
              </w:rPr>
              <w:t>（需包含不同功率机柜分项报价）</w:t>
            </w:r>
          </w:p>
          <w:p w14:paraId="4C1308D8">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3.中小企业声明函或残疾人福利性单位声明函或监狱企业证明文件(不强制要求提供）；</w:t>
            </w:r>
          </w:p>
        </w:tc>
      </w:tr>
      <w:tr w14:paraId="0161E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B40CC23">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13C1AAB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w:t>
            </w:r>
          </w:p>
        </w:tc>
        <w:tc>
          <w:tcPr>
            <w:tcW w:w="1845" w:type="dxa"/>
            <w:tcBorders>
              <w:top w:val="single" w:color="auto" w:sz="4" w:space="0"/>
              <w:left w:val="single" w:color="auto" w:sz="4" w:space="0"/>
              <w:bottom w:val="single" w:color="auto" w:sz="4" w:space="0"/>
              <w:right w:val="single" w:color="auto" w:sz="4" w:space="0"/>
            </w:tcBorders>
            <w:vAlign w:val="center"/>
          </w:tcPr>
          <w:p w14:paraId="3C41CAD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投标报价的组成</w:t>
            </w:r>
          </w:p>
        </w:tc>
        <w:tc>
          <w:tcPr>
            <w:tcW w:w="5466" w:type="dxa"/>
            <w:tcBorders>
              <w:top w:val="single" w:color="auto" w:sz="4" w:space="0"/>
              <w:left w:val="single" w:color="auto" w:sz="4" w:space="0"/>
              <w:bottom w:val="single" w:color="auto" w:sz="4" w:space="0"/>
              <w:right w:val="single" w:color="auto" w:sz="4" w:space="0"/>
            </w:tcBorders>
            <w:vAlign w:val="center"/>
          </w:tcPr>
          <w:p w14:paraId="03BAEFF9">
            <w:pPr>
              <w:spacing w:after="0" w:line="240" w:lineRule="auto"/>
              <w:rPr>
                <w:rFonts w:hint="eastAsia" w:ascii="宋体" w:hAnsi="宋体" w:eastAsia="宋体" w:cs="宋体"/>
                <w:b/>
                <w:color w:val="000000" w:themeColor="text1"/>
                <w:kern w:val="0"/>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为完成本项目采购需求所包含的全部内容，达到合同目的的一切费用，包含但不仅限于：机柜租赁费、机房环境保障费（含电力系统、空调系统、消防系统、安防系统等基础设施运行维护）、现场值守及运维服务费、日常巡检维护费、故障应急处理费、环控数据对接服务费、安全管理费、人员服务费以及合同履行过程中产生的法定税费、合理利润及其他必要费用在内的全部合同价款，涵盖项目实施至验收合格前的所有直接成本与间接成本等一切与完成本项目相关的费用。</w:t>
            </w:r>
          </w:p>
        </w:tc>
      </w:tr>
      <w:tr w14:paraId="51798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E61ACC2">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44EB6FF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27.1</w:t>
            </w:r>
          </w:p>
        </w:tc>
        <w:tc>
          <w:tcPr>
            <w:tcW w:w="1845" w:type="dxa"/>
            <w:tcBorders>
              <w:top w:val="single" w:color="auto" w:sz="4" w:space="0"/>
              <w:left w:val="single" w:color="auto" w:sz="4" w:space="0"/>
              <w:bottom w:val="single" w:color="auto" w:sz="4" w:space="0"/>
              <w:right w:val="single" w:color="auto" w:sz="4" w:space="0"/>
            </w:tcBorders>
            <w:vAlign w:val="center"/>
          </w:tcPr>
          <w:p w14:paraId="286DEE3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5466" w:type="dxa"/>
            <w:tcBorders>
              <w:top w:val="single" w:color="auto" w:sz="4" w:space="0"/>
              <w:left w:val="single" w:color="auto" w:sz="4" w:space="0"/>
              <w:bottom w:val="single" w:color="auto" w:sz="4" w:space="0"/>
              <w:right w:val="single" w:color="auto" w:sz="4" w:space="0"/>
            </w:tcBorders>
            <w:vAlign w:val="center"/>
          </w:tcPr>
          <w:p w14:paraId="7AFA8027">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90日历天</w:t>
            </w:r>
          </w:p>
        </w:tc>
      </w:tr>
      <w:tr w14:paraId="1B08E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615E011">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25DF329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30.1</w:t>
            </w:r>
          </w:p>
        </w:tc>
        <w:tc>
          <w:tcPr>
            <w:tcW w:w="1845" w:type="dxa"/>
            <w:tcBorders>
              <w:top w:val="single" w:color="auto" w:sz="4" w:space="0"/>
              <w:left w:val="single" w:color="auto" w:sz="4" w:space="0"/>
              <w:bottom w:val="single" w:color="auto" w:sz="4" w:space="0"/>
              <w:right w:val="single" w:color="auto" w:sz="4" w:space="0"/>
            </w:tcBorders>
            <w:vAlign w:val="center"/>
          </w:tcPr>
          <w:p w14:paraId="573FEB9D">
            <w:pPr>
              <w:pStyle w:val="50"/>
              <w:widowControl w:val="0"/>
              <w:spacing w:before="0" w:beforeAutospacing="0" w:after="0" w:afterAutospacing="0" w:line="24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投标截止时间及地点</w:t>
            </w:r>
          </w:p>
        </w:tc>
        <w:tc>
          <w:tcPr>
            <w:tcW w:w="5466" w:type="dxa"/>
            <w:tcBorders>
              <w:top w:val="single" w:color="auto" w:sz="4" w:space="0"/>
              <w:left w:val="single" w:color="auto" w:sz="4" w:space="0"/>
              <w:bottom w:val="single" w:color="auto" w:sz="4" w:space="0"/>
              <w:right w:val="single" w:color="auto" w:sz="4" w:space="0"/>
            </w:tcBorders>
            <w:vAlign w:val="center"/>
          </w:tcPr>
          <w:p w14:paraId="0C7AA3C0">
            <w:pPr>
              <w:pStyle w:val="50"/>
              <w:widowControl w:val="0"/>
              <w:spacing w:before="0" w:beforeAutospacing="0" w:after="0" w:afterAutospacing="0" w:line="24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bCs/>
                <w:color w:val="000000" w:themeColor="text1"/>
                <w:sz w:val="21"/>
                <w:szCs w:val="21"/>
                <w:highlight w:val="none"/>
                <w:u w:val="single"/>
                <w14:textFill>
                  <w14:solidFill>
                    <w14:schemeClr w14:val="tx1"/>
                  </w14:solidFill>
                </w14:textFill>
              </w:rPr>
              <w:t>招标公告（投标邀请）</w:t>
            </w:r>
          </w:p>
        </w:tc>
      </w:tr>
      <w:tr w14:paraId="2BAB4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D64B71E">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11B803A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w:t>
            </w:r>
          </w:p>
        </w:tc>
        <w:tc>
          <w:tcPr>
            <w:tcW w:w="1845" w:type="dxa"/>
            <w:tcBorders>
              <w:top w:val="single" w:color="auto" w:sz="4" w:space="0"/>
              <w:left w:val="single" w:color="auto" w:sz="4" w:space="0"/>
              <w:bottom w:val="single" w:color="auto" w:sz="4" w:space="0"/>
              <w:right w:val="single" w:color="auto" w:sz="4" w:space="0"/>
            </w:tcBorders>
            <w:vAlign w:val="center"/>
          </w:tcPr>
          <w:p w14:paraId="2C6CAC04">
            <w:pPr>
              <w:pStyle w:val="50"/>
              <w:widowControl w:val="0"/>
              <w:spacing w:before="0" w:beforeAutospacing="0" w:after="0" w:afterAutospacing="0" w:line="24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投标文件解密时间</w:t>
            </w:r>
          </w:p>
        </w:tc>
        <w:tc>
          <w:tcPr>
            <w:tcW w:w="5466" w:type="dxa"/>
            <w:tcBorders>
              <w:top w:val="single" w:color="auto" w:sz="4" w:space="0"/>
              <w:left w:val="single" w:color="auto" w:sz="4" w:space="0"/>
              <w:bottom w:val="single" w:color="auto" w:sz="4" w:space="0"/>
              <w:right w:val="single" w:color="auto" w:sz="4" w:space="0"/>
            </w:tcBorders>
            <w:vAlign w:val="center"/>
          </w:tcPr>
          <w:p w14:paraId="1178F11D">
            <w:pPr>
              <w:pStyle w:val="50"/>
              <w:widowControl w:val="0"/>
              <w:spacing w:before="0" w:beforeAutospacing="0" w:after="0" w:afterAutospacing="0" w:line="24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开标后30分钟内（以电子交易系统解密倒计时为准）</w:t>
            </w:r>
          </w:p>
        </w:tc>
      </w:tr>
      <w:tr w14:paraId="0ED7B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EB24F82">
            <w:pPr>
              <w:numPr>
                <w:ilvl w:val="0"/>
                <w:numId w:val="2"/>
              </w:num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14:paraId="57E1CBA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36.2</w:t>
            </w:r>
          </w:p>
        </w:tc>
        <w:tc>
          <w:tcPr>
            <w:tcW w:w="1845" w:type="dxa"/>
            <w:tcBorders>
              <w:top w:val="single" w:color="auto" w:sz="4" w:space="0"/>
              <w:left w:val="single" w:color="auto" w:sz="4" w:space="0"/>
              <w:bottom w:val="single" w:color="auto" w:sz="4" w:space="0"/>
              <w:right w:val="single" w:color="auto" w:sz="4" w:space="0"/>
            </w:tcBorders>
            <w:vAlign w:val="center"/>
          </w:tcPr>
          <w:p w14:paraId="0E976580">
            <w:pPr>
              <w:pStyle w:val="50"/>
              <w:widowControl w:val="0"/>
              <w:spacing w:before="0" w:beforeAutospacing="0" w:after="0" w:afterAutospacing="0" w:line="24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评标方法</w:t>
            </w:r>
          </w:p>
        </w:tc>
        <w:tc>
          <w:tcPr>
            <w:tcW w:w="5466" w:type="dxa"/>
            <w:tcBorders>
              <w:top w:val="single" w:color="auto" w:sz="4" w:space="0"/>
              <w:left w:val="single" w:color="auto" w:sz="4" w:space="0"/>
              <w:bottom w:val="single" w:color="auto" w:sz="4" w:space="0"/>
              <w:right w:val="single" w:color="auto" w:sz="4" w:space="0"/>
            </w:tcBorders>
            <w:vAlign w:val="center"/>
          </w:tcPr>
          <w:p w14:paraId="65504056">
            <w:pPr>
              <w:pStyle w:val="50"/>
              <w:widowControl w:val="0"/>
              <w:spacing w:before="0" w:beforeAutospacing="0" w:after="0" w:afterAutospacing="0" w:line="24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综合评分法</w:t>
            </w:r>
          </w:p>
        </w:tc>
      </w:tr>
    </w:tbl>
    <w:p w14:paraId="13FCD7D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2D5D629">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一、总则</w:t>
      </w:r>
    </w:p>
    <w:p w14:paraId="77EAB435">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1.适用范围</w:t>
      </w:r>
    </w:p>
    <w:p w14:paraId="0E4420A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本招标文件适用于本次公开招标所述的服务采购。</w:t>
      </w:r>
    </w:p>
    <w:p w14:paraId="7983A58B">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2.定义</w:t>
      </w:r>
    </w:p>
    <w:p w14:paraId="594359D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2.1书面形式：包括信件、电报、电传、传真、网上公告等可以有形地表现所载内容的形式。以电子数据交换、电子邮件等方式能够有形地表现所载内容，并可以随时调取查用的数据电文，视为书面形式。</w:t>
      </w:r>
    </w:p>
    <w:p w14:paraId="73F39F2F">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2.2实质性条款：标注“▲”的属于招标文件的实质性要求条款。</w:t>
      </w:r>
    </w:p>
    <w:p w14:paraId="12DAC3C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2.3公章：投标人在投标文件及通知等事项的书面文件中的单位盖章、公章等处，均仅指与投标当事人名称全称相一致的标准公章（行政章），不得使用其它形式，如带有“专用章”“业务章”等字样的印章。</w:t>
      </w:r>
    </w:p>
    <w:p w14:paraId="706F1E4D">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2.4“电子交易平台”是指本项目政府采购活动所依托的政府采购云平台（https：//www.zcygov.cn/）。</w:t>
      </w:r>
    </w:p>
    <w:p w14:paraId="65950D13">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2.5电子签章：为投标人单位法定名称电子公章。</w:t>
      </w:r>
    </w:p>
    <w:p w14:paraId="03525E62">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2.6依法获取招标文件：供应商按照</w:t>
      </w:r>
      <w:r>
        <w:rPr>
          <w:rFonts w:hint="eastAsia" w:ascii="宋体" w:hAnsi="宋体" w:eastAsia="宋体" w:cs="宋体"/>
          <w:bCs/>
          <w:color w:val="000000" w:themeColor="text1"/>
          <w:highlight w:val="none"/>
          <w:u w:val="single"/>
          <w14:textFill>
            <w14:solidFill>
              <w14:schemeClr w14:val="tx1"/>
            </w14:solidFill>
          </w14:textFill>
        </w:rPr>
        <w:t>招标公告（投标邀请）</w:t>
      </w:r>
      <w:r>
        <w:rPr>
          <w:rFonts w:hint="eastAsia" w:ascii="宋体" w:hAnsi="宋体" w:eastAsia="宋体" w:cs="宋体"/>
          <w:bCs/>
          <w:color w:val="000000" w:themeColor="text1"/>
          <w:highlight w:val="none"/>
          <w14:textFill>
            <w14:solidFill>
              <w14:schemeClr w14:val="tx1"/>
            </w14:solidFill>
          </w14:textFill>
        </w:rPr>
        <w:t>第三条的约定实施，并最终在</w:t>
      </w:r>
      <w:r>
        <w:rPr>
          <w:rFonts w:hint="eastAsia" w:ascii="宋体" w:hAnsi="宋体" w:eastAsia="宋体" w:cs="宋体"/>
          <w:color w:val="000000" w:themeColor="text1"/>
          <w:highlight w:val="none"/>
          <w14:textFill>
            <w14:solidFill>
              <w14:schemeClr w14:val="tx1"/>
            </w14:solidFill>
          </w14:textFill>
        </w:rPr>
        <w:t>政采云平台系统后台显示通过。</w:t>
      </w:r>
    </w:p>
    <w:p w14:paraId="43B245D8">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3.采购人、采购代理机构及投标人</w:t>
      </w:r>
    </w:p>
    <w:p w14:paraId="031FBB76">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3.1采购人/甲方：是指依法开展政府采购活动的国家机关、事业单位、团体组织。本项目的采购人见</w:t>
      </w:r>
      <w:r>
        <w:rPr>
          <w:rFonts w:hint="eastAsia" w:ascii="宋体" w:hAnsi="宋体" w:eastAsia="宋体" w:cs="宋体"/>
          <w:color w:val="000000" w:themeColor="text1"/>
          <w:highlight w:val="none"/>
          <w:u w:val="single"/>
          <w14:textFill>
            <w14:solidFill>
              <w14:schemeClr w14:val="tx1"/>
            </w14:solidFill>
          </w14:textFill>
        </w:rPr>
        <w:t>投标人须知前附表</w:t>
      </w:r>
      <w:r>
        <w:rPr>
          <w:rFonts w:hint="eastAsia" w:ascii="宋体" w:hAnsi="宋体" w:eastAsia="宋体" w:cs="宋体"/>
          <w:color w:val="000000" w:themeColor="text1"/>
          <w:highlight w:val="none"/>
          <w14:textFill>
            <w14:solidFill>
              <w14:schemeClr w14:val="tx1"/>
            </w14:solidFill>
          </w14:textFill>
        </w:rPr>
        <w:t>。</w:t>
      </w:r>
    </w:p>
    <w:p w14:paraId="1827EC20">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3.2采购代理机构：是指从事采购代理业务的社会中介机构。本项目的采购代理机构见</w:t>
      </w:r>
      <w:r>
        <w:rPr>
          <w:rFonts w:hint="eastAsia" w:ascii="宋体" w:hAnsi="宋体" w:eastAsia="宋体" w:cs="宋体"/>
          <w:color w:val="000000" w:themeColor="text1"/>
          <w:highlight w:val="none"/>
          <w:u w:val="single"/>
          <w14:textFill>
            <w14:solidFill>
              <w14:schemeClr w14:val="tx1"/>
            </w14:solidFill>
          </w14:textFill>
        </w:rPr>
        <w:t>投标人须知前附表</w:t>
      </w:r>
      <w:r>
        <w:rPr>
          <w:rFonts w:hint="eastAsia" w:ascii="宋体" w:hAnsi="宋体" w:eastAsia="宋体" w:cs="宋体"/>
          <w:color w:val="000000" w:themeColor="text1"/>
          <w:highlight w:val="none"/>
          <w14:textFill>
            <w14:solidFill>
              <w14:schemeClr w14:val="tx1"/>
            </w14:solidFill>
          </w14:textFill>
        </w:rPr>
        <w:t>。</w:t>
      </w:r>
    </w:p>
    <w:p w14:paraId="67E1882D">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3.3政府采购监督管理部门：各级人民政府指定的有关部门依法履行与政府采购活动有关的监督管理职责。本项目的政府采购监督管理部门见</w:t>
      </w:r>
      <w:r>
        <w:rPr>
          <w:rFonts w:hint="eastAsia" w:ascii="宋体" w:hAnsi="宋体" w:eastAsia="宋体" w:cs="宋体"/>
          <w:color w:val="000000" w:themeColor="text1"/>
          <w:highlight w:val="none"/>
          <w:u w:val="single"/>
          <w14:textFill>
            <w14:solidFill>
              <w14:schemeClr w14:val="tx1"/>
            </w14:solidFill>
          </w14:textFill>
        </w:rPr>
        <w:t>投标人须知前附表</w:t>
      </w:r>
      <w:r>
        <w:rPr>
          <w:rFonts w:hint="eastAsia" w:ascii="宋体" w:hAnsi="宋体" w:eastAsia="宋体" w:cs="宋体"/>
          <w:color w:val="000000" w:themeColor="text1"/>
          <w:highlight w:val="none"/>
          <w14:textFill>
            <w14:solidFill>
              <w14:schemeClr w14:val="tx1"/>
            </w14:solidFill>
          </w14:textFill>
        </w:rPr>
        <w:t>。</w:t>
      </w:r>
    </w:p>
    <w:p w14:paraId="411B64CD">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3.4投标人（供应商）/乙方：是指向采购人提供货物、工程或者服务的法人、其他组织或者自然人。本项目的投标人须满足</w:t>
      </w:r>
      <w:r>
        <w:rPr>
          <w:rFonts w:hint="eastAsia" w:ascii="宋体" w:hAnsi="宋体" w:eastAsia="宋体" w:cs="宋体"/>
          <w:color w:val="000000" w:themeColor="text1"/>
          <w:highlight w:val="none"/>
          <w:u w:val="single"/>
          <w14:textFill>
            <w14:solidFill>
              <w14:schemeClr w14:val="tx1"/>
            </w14:solidFill>
          </w14:textFill>
        </w:rPr>
        <w:t>招标公告（投标邀请）</w:t>
      </w:r>
      <w:r>
        <w:rPr>
          <w:rFonts w:hint="eastAsia" w:ascii="宋体" w:hAnsi="宋体" w:eastAsia="宋体" w:cs="宋体"/>
          <w:color w:val="000000" w:themeColor="text1"/>
          <w:highlight w:val="none"/>
          <w14:textFill>
            <w14:solidFill>
              <w14:schemeClr w14:val="tx1"/>
            </w14:solidFill>
          </w14:textFill>
        </w:rPr>
        <w:t>中关于申请人的资格要求的规定。</w:t>
      </w:r>
    </w:p>
    <w:p w14:paraId="3FE3CD03">
      <w:pPr>
        <w:spacing w:after="0" w:line="360" w:lineRule="auto"/>
        <w:ind w:firstLine="420"/>
        <w:rPr>
          <w:rFonts w:hint="eastAsia" w:ascii="宋体" w:hAnsi="宋体" w:eastAsia="宋体" w:cs="宋体"/>
          <w:bCs/>
          <w:color w:val="000000" w:themeColor="text1"/>
          <w:kern w:val="0"/>
          <w:highlight w:val="none"/>
          <w14:textFill>
            <w14:solidFill>
              <w14:schemeClr w14:val="tx1"/>
            </w14:solidFill>
          </w14:textFill>
        </w:rPr>
      </w:pPr>
      <w:bookmarkStart w:id="39" w:name="_Hlk60580861"/>
      <w:r>
        <w:rPr>
          <w:rFonts w:hint="eastAsia" w:ascii="宋体" w:hAnsi="宋体" w:eastAsia="宋体" w:cs="宋体"/>
          <w:bCs/>
          <w:color w:val="000000" w:themeColor="text1"/>
          <w:kern w:val="0"/>
          <w:highlight w:val="none"/>
          <w14:textFill>
            <w14:solidFill>
              <w14:schemeClr w14:val="tx1"/>
            </w14:solidFill>
          </w14:textFill>
        </w:rPr>
        <w:t>3.5本项目不接受联合体投标。</w:t>
      </w:r>
    </w:p>
    <w:bookmarkEnd w:id="39"/>
    <w:p w14:paraId="000DEBC0">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3.6单位负责人为同一人或者存在直接控股、管理关系的不同供应商，不得参加同一合同项下的政府采购活动，否则其投标将被认定为</w:t>
      </w:r>
      <w:r>
        <w:rPr>
          <w:rFonts w:hint="eastAsia" w:ascii="宋体" w:hAnsi="宋体" w:eastAsia="宋体" w:cs="宋体"/>
          <w:b/>
          <w:bCs/>
          <w:color w:val="000000" w:themeColor="text1"/>
          <w:highlight w:val="none"/>
          <w14:textFill>
            <w14:solidFill>
              <w14:schemeClr w14:val="tx1"/>
            </w14:solidFill>
          </w14:textFill>
        </w:rPr>
        <w:t>投标无效</w:t>
      </w:r>
      <w:r>
        <w:rPr>
          <w:rFonts w:hint="eastAsia" w:ascii="宋体" w:hAnsi="宋体" w:eastAsia="宋体" w:cs="宋体"/>
          <w:color w:val="000000" w:themeColor="text1"/>
          <w:highlight w:val="none"/>
          <w14:textFill>
            <w14:solidFill>
              <w14:schemeClr w14:val="tx1"/>
            </w14:solidFill>
          </w14:textFill>
        </w:rPr>
        <w:t>。</w:t>
      </w:r>
    </w:p>
    <w:p w14:paraId="23CFCDF2">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3.7为本项目提供过整体设计、规范编制或者项目管理、监理、检测等服务的供应商，不得再参加本项目的采购活动</w:t>
      </w:r>
      <w:bookmarkStart w:id="40" w:name="_Hlk13431092"/>
      <w:r>
        <w:rPr>
          <w:rFonts w:hint="eastAsia" w:ascii="宋体" w:hAnsi="宋体" w:eastAsia="宋体" w:cs="宋体"/>
          <w:color w:val="000000" w:themeColor="text1"/>
          <w:highlight w:val="none"/>
          <w14:textFill>
            <w14:solidFill>
              <w14:schemeClr w14:val="tx1"/>
            </w14:solidFill>
          </w14:textFill>
        </w:rPr>
        <w:t>，否则其投标将被认定为</w:t>
      </w:r>
      <w:r>
        <w:rPr>
          <w:rFonts w:hint="eastAsia" w:ascii="宋体" w:hAnsi="宋体" w:eastAsia="宋体" w:cs="宋体"/>
          <w:b/>
          <w:color w:val="000000" w:themeColor="text1"/>
          <w:highlight w:val="none"/>
          <w14:textFill>
            <w14:solidFill>
              <w14:schemeClr w14:val="tx1"/>
            </w14:solidFill>
          </w14:textFill>
        </w:rPr>
        <w:t>投标无效</w:t>
      </w:r>
      <w:r>
        <w:rPr>
          <w:rFonts w:hint="eastAsia" w:ascii="宋体" w:hAnsi="宋体" w:eastAsia="宋体" w:cs="宋体"/>
          <w:color w:val="000000" w:themeColor="text1"/>
          <w:highlight w:val="none"/>
          <w14:textFill>
            <w14:solidFill>
              <w14:schemeClr w14:val="tx1"/>
            </w14:solidFill>
          </w14:textFill>
        </w:rPr>
        <w:t>。</w:t>
      </w:r>
      <w:bookmarkEnd w:id="40"/>
    </w:p>
    <w:p w14:paraId="31A599CC">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特别说明：银行、保险、石油石化、电力、电信等特定行业的全国性企业所设立的区域性分支机构，以及个体工商户、个人独资企业、合伙企业，如果已经依法办理了工商、税务和社保登记手续，并且在投标文件中提供总公司（总机构）授权或提供房产权证或其他有效财产证明材料，证明其具备实际承担责任的能力和法定的缔结合同能力，允许其参加本项目投标活动。</w:t>
      </w:r>
    </w:p>
    <w:p w14:paraId="0C33A374">
      <w:pPr>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4.资金来源</w:t>
      </w:r>
    </w:p>
    <w:p w14:paraId="05A2D271">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4.1本项目的采购人已获得足以支付本次招标后所签订的合同项下的资金。</w:t>
      </w:r>
    </w:p>
    <w:p w14:paraId="19AF2ADD">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bookmarkStart w:id="41" w:name="_Hlk11702998"/>
      <w:r>
        <w:rPr>
          <w:rFonts w:hint="eastAsia" w:ascii="宋体" w:hAnsi="宋体" w:eastAsia="宋体" w:cs="宋体"/>
          <w:color w:val="000000" w:themeColor="text1"/>
          <w:highlight w:val="none"/>
          <w14:textFill>
            <w14:solidFill>
              <w14:schemeClr w14:val="tx1"/>
            </w14:solidFill>
          </w14:textFill>
        </w:rPr>
        <w:t>4.2项目预算金额和最高限价见</w:t>
      </w:r>
      <w:r>
        <w:rPr>
          <w:rFonts w:hint="eastAsia" w:ascii="宋体" w:hAnsi="宋体" w:eastAsia="宋体" w:cs="宋体"/>
          <w:bCs/>
          <w:color w:val="000000" w:themeColor="text1"/>
          <w:kern w:val="0"/>
          <w:highlight w:val="none"/>
          <w:u w:val="single"/>
          <w14:textFill>
            <w14:solidFill>
              <w14:schemeClr w14:val="tx1"/>
            </w14:solidFill>
          </w14:textFill>
        </w:rPr>
        <w:t>招标公告（投标邀请）</w:t>
      </w:r>
      <w:r>
        <w:rPr>
          <w:rFonts w:hint="eastAsia" w:ascii="宋体" w:hAnsi="宋体" w:eastAsia="宋体" w:cs="宋体"/>
          <w:color w:val="000000" w:themeColor="text1"/>
          <w:highlight w:val="none"/>
          <w14:textFill>
            <w14:solidFill>
              <w14:schemeClr w14:val="tx1"/>
            </w14:solidFill>
          </w14:textFill>
        </w:rPr>
        <w:t>。</w:t>
      </w:r>
    </w:p>
    <w:bookmarkEnd w:id="41"/>
    <w:p w14:paraId="41691F44">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5.投标委托</w:t>
      </w:r>
    </w:p>
    <w:p w14:paraId="59C8C39C">
      <w:pPr>
        <w:pStyle w:val="53"/>
        <w:widowControl w:val="0"/>
        <w:spacing w:after="0" w:afterLines="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的签署人应当为投标人的法定代表人，并提供法定代表人身份证正反面复印件。如投标人的法定代表人委托他人签署投标文件办理投标事务的，提供投标人的法定代表人出具的授权委托书及授权代表的身份证正反面复印件。</w:t>
      </w:r>
    </w:p>
    <w:p w14:paraId="6ECBB223">
      <w:pPr>
        <w:pStyle w:val="53"/>
        <w:widowControl w:val="0"/>
        <w:spacing w:after="0" w:afterLines="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法定代表人或其授权代表未在投标文件或投标资料中签署姓名的，不要求在投标文件中提供法定代表人的身份证或授权代表委托书及其附件。分支机构投标的，可以由其负责人或其授权代表签署投标文件。</w:t>
      </w:r>
    </w:p>
    <w:p w14:paraId="577369A5">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6.投标费用</w:t>
      </w:r>
    </w:p>
    <w:p w14:paraId="40A29FC6">
      <w:pPr>
        <w:pStyle w:val="53"/>
        <w:widowControl w:val="0"/>
        <w:spacing w:after="0" w:afterLines="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不论投标的结果如何，投标人自行承担所有与准备和参加投标有关的费用。</w:t>
      </w:r>
    </w:p>
    <w:p w14:paraId="5864BE79">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7.适用法律</w:t>
      </w:r>
    </w:p>
    <w:p w14:paraId="705031AD">
      <w:pPr>
        <w:pStyle w:val="53"/>
        <w:widowControl w:val="0"/>
        <w:spacing w:after="0" w:afterLines="0"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购人、采购代理机构、投标人、评标委员会的相关行为均受《中华人民共和国政府采购法》《中华人民共和国政府采购法实施条例》《政府采购货物和服务招标投标管理办法》《中华人民共和国民法典》等法律法规的约束，其权利亦受到上述法律法规的保护。</w:t>
      </w:r>
    </w:p>
    <w:p w14:paraId="1B8B1A42">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8.知识产权</w:t>
      </w:r>
    </w:p>
    <w:p w14:paraId="6057DEAB">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人应保证在本项目使用的任何服务（包括部分使用），不会产生因第三方提出侵犯其著作权、专利权、商标权等知识产权而引起法律或经济纠纷。如果任何第三方提出侵权指控，由投标人与该第三方交涉并承担由此发生的一切责任、费用和赔偿。</w:t>
      </w:r>
    </w:p>
    <w:p w14:paraId="3E71EFE1">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投标人采用自身所不拥有的知识产权，无论是否在投标报价中单独列明，采购人均视为报价已包含投标人合法获取该知识产权的相关费用。</w:t>
      </w:r>
    </w:p>
    <w:p w14:paraId="7138EE5A">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9.转包</w:t>
      </w:r>
    </w:p>
    <w:p w14:paraId="7AC6B4D8">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本项目不允许转包。</w:t>
      </w:r>
    </w:p>
    <w:p w14:paraId="3BF8D8FF">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10.分包</w:t>
      </w:r>
    </w:p>
    <w:p w14:paraId="7C738CC8">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本项目不允许分包。</w:t>
      </w:r>
    </w:p>
    <w:p w14:paraId="00BCE0EC">
      <w:pPr>
        <w:tabs>
          <w:tab w:val="left" w:pos="426"/>
        </w:tabs>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11.质疑和投诉</w:t>
      </w:r>
    </w:p>
    <w:p w14:paraId="6AFE9EEA">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供应商认为招标文件、招标过程和中标结果使自己的权益受到损害的，可以根据《中华人民共和国政府采购法》《中华人民共和国政府采购法实施条例》和《政府采购质疑和投诉办法》《浙江省财政厅关于印发浙江省政府采购询问和质疑实施办法的通知》的有关规定，依法向采购人或采购代理机构提出质疑。</w:t>
      </w:r>
    </w:p>
    <w:p w14:paraId="74660E3A">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11.2供应商应按《政府采购质疑和投诉办法》的要求，在法定质疑期内以书面形式提出质疑，超出法定质疑期提交的质疑将被拒绝，针对同一采购程序环节的质疑应一次性提出。</w:t>
      </w:r>
    </w:p>
    <w:p w14:paraId="382D1A5F">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11.3采购代理机构的质疑函接收部门、联系电话和通讯地址</w:t>
      </w:r>
      <w:r>
        <w:rPr>
          <w:rFonts w:hint="eastAsia" w:ascii="宋体" w:hAnsi="宋体" w:eastAsia="宋体" w:cs="宋体"/>
          <w:color w:val="000000" w:themeColor="text1"/>
          <w:sz w:val="21"/>
          <w:highlight w:val="none"/>
          <w:u w:val="single"/>
          <w14:textFill>
            <w14:solidFill>
              <w14:schemeClr w14:val="tx1"/>
            </w14:solidFill>
          </w14:textFill>
        </w:rPr>
        <w:t>详见投标人须知前附表</w:t>
      </w:r>
      <w:r>
        <w:rPr>
          <w:rFonts w:hint="eastAsia" w:ascii="宋体" w:hAnsi="宋体" w:eastAsia="宋体" w:cs="宋体"/>
          <w:color w:val="000000" w:themeColor="text1"/>
          <w:sz w:val="21"/>
          <w:highlight w:val="none"/>
          <w14:textFill>
            <w14:solidFill>
              <w14:schemeClr w14:val="tx1"/>
            </w14:solidFill>
          </w14:textFill>
        </w:rPr>
        <w:t>。</w:t>
      </w:r>
    </w:p>
    <w:p w14:paraId="00EAF9B1">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11.4质疑供应商对采购人、采购代理机构的答复不满意，或者采购人、采购代理机构未在规定时间内作出答复，可以在答复期满后15个工作日内向财政部门提起投诉，财政部门信息详见</w:t>
      </w:r>
      <w:r>
        <w:rPr>
          <w:rFonts w:hint="eastAsia" w:ascii="宋体" w:hAnsi="宋体" w:eastAsia="宋体" w:cs="宋体"/>
          <w:color w:val="000000" w:themeColor="text1"/>
          <w:sz w:val="21"/>
          <w:highlight w:val="none"/>
          <w:u w:val="single"/>
          <w14:textFill>
            <w14:solidFill>
              <w14:schemeClr w14:val="tx1"/>
            </w14:solidFill>
          </w14:textFill>
        </w:rPr>
        <w:t>招标公告</w:t>
      </w:r>
      <w:r>
        <w:rPr>
          <w:rFonts w:hint="eastAsia" w:ascii="宋体" w:hAnsi="宋体" w:eastAsia="宋体" w:cs="宋体"/>
          <w:color w:val="000000" w:themeColor="text1"/>
          <w:sz w:val="21"/>
          <w:highlight w:val="none"/>
          <w14:textFill>
            <w14:solidFill>
              <w14:schemeClr w14:val="tx1"/>
            </w14:solidFill>
          </w14:textFill>
        </w:rPr>
        <w:t>。</w:t>
      </w:r>
    </w:p>
    <w:p w14:paraId="7DA177D7">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12.投标人信用记录查询及使用</w:t>
      </w:r>
    </w:p>
    <w:p w14:paraId="312F045C">
      <w:pPr>
        <w:pStyle w:val="13"/>
        <w:snapToGrid w:val="0"/>
        <w:spacing w:after="0" w:line="360" w:lineRule="auto"/>
        <w:ind w:left="0" w:leftChars="0"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12.1信用信息查询渠道：“信用中国”网站（www.creditchina.gov.cn）、中国政府采购网（www.ccgp.gov.cn）。</w:t>
      </w:r>
    </w:p>
    <w:p w14:paraId="277DCDA0">
      <w:pPr>
        <w:pStyle w:val="13"/>
        <w:snapToGrid w:val="0"/>
        <w:spacing w:after="0" w:line="360" w:lineRule="auto"/>
        <w:ind w:left="0" w:leftChars="0"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12.2信用信息查询截止时点：投标截止时间后至评审结束前。</w:t>
      </w:r>
    </w:p>
    <w:p w14:paraId="4ECA9D84">
      <w:pPr>
        <w:pStyle w:val="13"/>
        <w:snapToGrid w:val="0"/>
        <w:spacing w:after="0" w:line="360" w:lineRule="auto"/>
        <w:ind w:left="0" w:leftChars="0"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12.3信用信息查询记录和证据留存的具体方式：由采购代理机构工作人员将查询网页打印并与其他采购文件一并存档备查。投标人不良信用记录以采购代理机构查询结果为准。</w:t>
      </w:r>
    </w:p>
    <w:p w14:paraId="1AD576F2">
      <w:pPr>
        <w:pStyle w:val="13"/>
        <w:snapToGrid w:val="0"/>
        <w:spacing w:after="0" w:line="360" w:lineRule="auto"/>
        <w:ind w:left="0" w:leftChars="0"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12.4信用信息的使用规则：被“信用中国”网站(www.creditchina.gov.cn)列入“失信被执行人或重大税收违法失信主体”；被中国政府采购网(www.ccgp.gov.cn)“政府采购严重违法失信行为信息记录”列入禁止参加政府采购活动期间的投标人，其投标将被认定为</w:t>
      </w:r>
      <w:r>
        <w:rPr>
          <w:rFonts w:hint="eastAsia" w:ascii="宋体" w:hAnsi="宋体" w:eastAsia="宋体" w:cs="宋体"/>
          <w:b/>
          <w:color w:val="000000" w:themeColor="text1"/>
          <w:sz w:val="21"/>
          <w:highlight w:val="none"/>
          <w14:textFill>
            <w14:solidFill>
              <w14:schemeClr w14:val="tx1"/>
            </w14:solidFill>
          </w14:textFill>
        </w:rPr>
        <w:t>投标无效</w:t>
      </w:r>
      <w:r>
        <w:rPr>
          <w:rFonts w:hint="eastAsia" w:ascii="宋体" w:hAnsi="宋体" w:eastAsia="宋体" w:cs="宋体"/>
          <w:color w:val="000000" w:themeColor="text1"/>
          <w:sz w:val="21"/>
          <w:highlight w:val="none"/>
          <w14:textFill>
            <w14:solidFill>
              <w14:schemeClr w14:val="tx1"/>
            </w14:solidFill>
          </w14:textFill>
        </w:rPr>
        <w:t>。</w:t>
      </w:r>
    </w:p>
    <w:p w14:paraId="4947648D">
      <w:pPr>
        <w:spacing w:after="0" w:line="360" w:lineRule="auto"/>
        <w:ind w:firstLine="422"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13.政府采购信息发布媒体</w:t>
      </w:r>
    </w:p>
    <w:p w14:paraId="107251AA">
      <w:pPr>
        <w:pStyle w:val="13"/>
        <w:snapToGrid w:val="0"/>
        <w:spacing w:after="0" w:line="360" w:lineRule="auto"/>
        <w:ind w:left="0" w:leftChars="0"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本项目政府采购信息发布在</w:t>
      </w:r>
      <w:r>
        <w:rPr>
          <w:rFonts w:hint="eastAsia" w:ascii="宋体" w:hAnsi="宋体" w:eastAsia="宋体" w:cs="宋体"/>
          <w:bCs/>
          <w:color w:val="000000" w:themeColor="text1"/>
          <w:sz w:val="21"/>
          <w:highlight w:val="none"/>
          <w14:textFill>
            <w14:solidFill>
              <w14:schemeClr w14:val="tx1"/>
            </w14:solidFill>
          </w14:textFill>
        </w:rPr>
        <w:t>宁波政府采购网（http：//www.nbzfcg.cn/）、浙江政府采购网（https：//zfcg.czt.zj.gov.cn/）。</w:t>
      </w:r>
    </w:p>
    <w:p w14:paraId="45B8F806">
      <w:pPr>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14.采购代理服务费用的收取标准和方式</w:t>
      </w:r>
    </w:p>
    <w:p w14:paraId="5606528F">
      <w:pPr>
        <w:pStyle w:val="13"/>
        <w:snapToGrid w:val="0"/>
        <w:spacing w:after="0" w:line="360" w:lineRule="auto"/>
        <w:ind w:left="0" w:leftChars="0"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14.1采购代理服务费用的收取标准：见</w:t>
      </w:r>
      <w:r>
        <w:rPr>
          <w:rFonts w:hint="eastAsia" w:ascii="宋体" w:hAnsi="宋体" w:eastAsia="宋体" w:cs="宋体"/>
          <w:color w:val="000000" w:themeColor="text1"/>
          <w:sz w:val="21"/>
          <w:highlight w:val="none"/>
          <w:u w:val="single"/>
          <w14:textFill>
            <w14:solidFill>
              <w14:schemeClr w14:val="tx1"/>
            </w14:solidFill>
          </w14:textFill>
        </w:rPr>
        <w:t>投标人须知前附表</w:t>
      </w:r>
      <w:r>
        <w:rPr>
          <w:rFonts w:hint="eastAsia" w:ascii="宋体" w:hAnsi="宋体" w:eastAsia="宋体" w:cs="宋体"/>
          <w:color w:val="000000" w:themeColor="text1"/>
          <w:sz w:val="21"/>
          <w:highlight w:val="none"/>
          <w14:textFill>
            <w14:solidFill>
              <w14:schemeClr w14:val="tx1"/>
            </w14:solidFill>
          </w14:textFill>
        </w:rPr>
        <w:t>。</w:t>
      </w:r>
    </w:p>
    <w:p w14:paraId="58F1A0C5">
      <w:pPr>
        <w:pStyle w:val="13"/>
        <w:snapToGrid w:val="0"/>
        <w:spacing w:after="0" w:line="360" w:lineRule="auto"/>
        <w:ind w:left="0" w:leftChars="0"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14.2采购代理服务费的支付：见</w:t>
      </w:r>
      <w:r>
        <w:rPr>
          <w:rFonts w:hint="eastAsia" w:ascii="宋体" w:hAnsi="宋体" w:eastAsia="宋体" w:cs="宋体"/>
          <w:color w:val="000000" w:themeColor="text1"/>
          <w:sz w:val="21"/>
          <w:highlight w:val="none"/>
          <w:u w:val="single"/>
          <w14:textFill>
            <w14:solidFill>
              <w14:schemeClr w14:val="tx1"/>
            </w14:solidFill>
          </w14:textFill>
        </w:rPr>
        <w:t>投标人须知前附表</w:t>
      </w:r>
      <w:r>
        <w:rPr>
          <w:rFonts w:hint="eastAsia" w:ascii="宋体" w:hAnsi="宋体" w:eastAsia="宋体" w:cs="宋体"/>
          <w:color w:val="000000" w:themeColor="text1"/>
          <w:sz w:val="21"/>
          <w:highlight w:val="none"/>
          <w14:textFill>
            <w14:solidFill>
              <w14:schemeClr w14:val="tx1"/>
            </w14:solidFill>
          </w14:textFill>
        </w:rPr>
        <w:t>。</w:t>
      </w:r>
    </w:p>
    <w:p w14:paraId="501C1D11">
      <w:pPr>
        <w:pStyle w:val="14"/>
        <w:snapToGrid w:val="0"/>
        <w:spacing w:beforeLines="0" w:after="0" w:afterLines="0" w:line="360" w:lineRule="auto"/>
        <w:ind w:firstLine="422" w:firstLineChars="200"/>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15.其他</w:t>
      </w:r>
    </w:p>
    <w:p w14:paraId="4569AD7A">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15.1招标文件的标题和序号只是为了查阅方便，不影响对招标文件的理解。</w:t>
      </w:r>
    </w:p>
    <w:p w14:paraId="6FE23222">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15.2招标文件要求携带原件备查的资料，如该资料可以通过互联网或者相关信息系统查询的，投标人能够当场提供账号、网址等进行查询、核实资料真伪及有关数据的，视同提供了原件。</w:t>
      </w:r>
    </w:p>
    <w:p w14:paraId="343BBDC4">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15.3投标人应当及时维护政采云注册信息，包含但不仅限于单位银行账户信息等。</w:t>
      </w:r>
    </w:p>
    <w:p w14:paraId="2AF6C657">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AEB579B">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15.5鼓励供应商在参加政府采购过程中开展绿色设计、选择绿色材料、打造绿色制造工艺、开展绿色运输、做好废弃产品回收处理，实现产品全周期的绿色环保。</w:t>
      </w:r>
    </w:p>
    <w:p w14:paraId="14A2A46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15.6落实其他政府采购政策。</w:t>
      </w:r>
    </w:p>
    <w:p w14:paraId="78BDBFEC">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二、招标文件</w:t>
      </w:r>
    </w:p>
    <w:p w14:paraId="5457633C">
      <w:pPr>
        <w:pStyle w:val="14"/>
        <w:snapToGrid w:val="0"/>
        <w:spacing w:beforeLines="0" w:after="0" w:afterLines="0" w:line="360" w:lineRule="auto"/>
        <w:ind w:firstLine="422" w:firstLineChars="200"/>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16.招标文件的构成</w:t>
      </w:r>
    </w:p>
    <w:p w14:paraId="2AFE555B">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招标文件共六章，由下列文件以及在招标过程中发出的澄清或修改文件组成，内容如下：</w:t>
      </w:r>
    </w:p>
    <w:p w14:paraId="2CB439F0">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第一章  招标公告（投标邀请）</w:t>
      </w:r>
    </w:p>
    <w:p w14:paraId="4967CE4C">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第二章  采购需求</w:t>
      </w:r>
    </w:p>
    <w:p w14:paraId="45C382D9">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第三章  投标人须知</w:t>
      </w:r>
    </w:p>
    <w:p w14:paraId="163FEAEB">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第四章  评标方法和标准</w:t>
      </w:r>
    </w:p>
    <w:p w14:paraId="0B99113D">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第五章  合同文本</w:t>
      </w:r>
    </w:p>
    <w:p w14:paraId="5AD1FF82">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第六章  投标文件格式</w:t>
      </w:r>
    </w:p>
    <w:p w14:paraId="6CBA1ED3">
      <w:pPr>
        <w:pStyle w:val="7"/>
        <w:numPr>
          <w:ilvl w:val="0"/>
          <w:numId w:val="0"/>
        </w:numPr>
        <w:tabs>
          <w:tab w:val="left" w:pos="720"/>
        </w:tabs>
        <w:snapToGrid w:val="0"/>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17.招标文件的询问、澄清和修改</w:t>
      </w:r>
    </w:p>
    <w:p w14:paraId="481DA23B">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17.1询问</w:t>
      </w:r>
    </w:p>
    <w:p w14:paraId="37555B31">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投标人对招标文件有疑问，可以向</w:t>
      </w:r>
      <w:r>
        <w:rPr>
          <w:rFonts w:hint="eastAsia" w:ascii="宋体" w:hAnsi="宋体" w:eastAsia="宋体" w:cs="宋体"/>
          <w:color w:val="000000" w:themeColor="text1"/>
          <w:sz w:val="21"/>
          <w:highlight w:val="none"/>
          <w14:textFill>
            <w14:solidFill>
              <w14:schemeClr w14:val="tx1"/>
            </w14:solidFill>
          </w14:textFill>
        </w:rPr>
        <w:t>采购人或采购代理机构</w:t>
      </w:r>
      <w:r>
        <w:rPr>
          <w:rFonts w:hint="eastAsia" w:ascii="宋体" w:hAnsi="宋体" w:eastAsia="宋体" w:cs="宋体"/>
          <w:bCs/>
          <w:color w:val="000000" w:themeColor="text1"/>
          <w:sz w:val="21"/>
          <w:highlight w:val="none"/>
          <w14:textFill>
            <w14:solidFill>
              <w14:schemeClr w14:val="tx1"/>
            </w14:solidFill>
          </w14:textFill>
        </w:rPr>
        <w:t>询问，</w:t>
      </w:r>
      <w:r>
        <w:rPr>
          <w:rFonts w:hint="eastAsia" w:ascii="宋体" w:hAnsi="宋体" w:eastAsia="宋体" w:cs="宋体"/>
          <w:color w:val="000000" w:themeColor="text1"/>
          <w:sz w:val="21"/>
          <w:highlight w:val="none"/>
          <w14:textFill>
            <w14:solidFill>
              <w14:schemeClr w14:val="tx1"/>
            </w14:solidFill>
          </w14:textFill>
        </w:rPr>
        <w:t>采购人或采购代理机构将依法</w:t>
      </w:r>
      <w:r>
        <w:rPr>
          <w:rFonts w:hint="eastAsia" w:ascii="宋体" w:hAnsi="宋体" w:eastAsia="宋体" w:cs="宋体"/>
          <w:bCs/>
          <w:color w:val="000000" w:themeColor="text1"/>
          <w:sz w:val="21"/>
          <w:highlight w:val="none"/>
          <w14:textFill>
            <w14:solidFill>
              <w14:schemeClr w14:val="tx1"/>
            </w14:solidFill>
          </w14:textFill>
        </w:rPr>
        <w:t>对潜在投标人</w:t>
      </w:r>
      <w:r>
        <w:rPr>
          <w:rFonts w:hint="eastAsia" w:ascii="宋体" w:hAnsi="宋体" w:eastAsia="宋体" w:cs="宋体"/>
          <w:color w:val="000000" w:themeColor="text1"/>
          <w:sz w:val="21"/>
          <w:highlight w:val="none"/>
          <w14:textFill>
            <w14:solidFill>
              <w14:schemeClr w14:val="tx1"/>
            </w14:solidFill>
          </w14:textFill>
        </w:rPr>
        <w:t>的询问作出答复。</w:t>
      </w:r>
    </w:p>
    <w:p w14:paraId="2979E76F">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17.2澄清和修改</w:t>
      </w:r>
    </w:p>
    <w:p w14:paraId="5A84ADA3">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14:textFill>
            <w14:solidFill>
              <w14:schemeClr w14:val="tx1"/>
            </w14:solidFill>
          </w14:textFill>
        </w:rPr>
        <w:t>采购人或采购代理机构</w:t>
      </w:r>
      <w:r>
        <w:rPr>
          <w:rFonts w:hint="eastAsia" w:ascii="宋体" w:hAnsi="宋体" w:eastAsia="宋体" w:cs="宋体"/>
          <w:bCs/>
          <w:color w:val="000000" w:themeColor="text1"/>
          <w:sz w:val="21"/>
          <w:highlight w:val="none"/>
          <w14:textFill>
            <w14:solidFill>
              <w14:schemeClr w14:val="tx1"/>
            </w14:solidFill>
          </w14:textFill>
        </w:rPr>
        <w:t>可以主动地或在解答投标人提出的问题时对已发出的招标文件进行必要的澄清或者修改。</w:t>
      </w:r>
    </w:p>
    <w:p w14:paraId="6FDEA596">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2）更正信息将以网上公告的方式在宁波政府采购网（http：//www.nbzfcg.cn/）、浙江政府采购网（https：//zfcg.czt.zj.gov.cn/）公开发布。政采云平台将发送短信通知所有获取采购文件的投标人，投标人自行登陆上述网站并浏览更正内容，并按照更正后的采购文件编制投标文件。</w:t>
      </w:r>
    </w:p>
    <w:p w14:paraId="71997EF0">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（3）投标人在收到书面通知（网上公告）后，认为澄清或者修改的内容影响投标文件编制的，应当在收到书面通知后在规定时间内将有关意见以书面形式向</w:t>
      </w:r>
      <w:r>
        <w:rPr>
          <w:rFonts w:hint="eastAsia" w:ascii="宋体" w:hAnsi="宋体" w:eastAsia="宋体" w:cs="宋体"/>
          <w:color w:val="000000" w:themeColor="text1"/>
          <w:sz w:val="21"/>
          <w:highlight w:val="none"/>
          <w14:textFill>
            <w14:solidFill>
              <w14:schemeClr w14:val="tx1"/>
            </w14:solidFill>
          </w14:textFill>
        </w:rPr>
        <w:t>采购人、采购代理机构</w:t>
      </w:r>
      <w:r>
        <w:rPr>
          <w:rFonts w:hint="eastAsia" w:ascii="宋体" w:hAnsi="宋体" w:eastAsia="宋体" w:cs="宋体"/>
          <w:bCs/>
          <w:color w:val="000000" w:themeColor="text1"/>
          <w:sz w:val="21"/>
          <w:highlight w:val="none"/>
          <w14:textFill>
            <w14:solidFill>
              <w14:schemeClr w14:val="tx1"/>
            </w14:solidFill>
          </w14:textFill>
        </w:rPr>
        <w:t>提出，否则，</w:t>
      </w:r>
      <w:r>
        <w:rPr>
          <w:rFonts w:hint="eastAsia" w:ascii="宋体" w:hAnsi="宋体" w:eastAsia="宋体" w:cs="宋体"/>
          <w:color w:val="000000" w:themeColor="text1"/>
          <w:sz w:val="21"/>
          <w:highlight w:val="none"/>
          <w14:textFill>
            <w14:solidFill>
              <w14:schemeClr w14:val="tx1"/>
            </w14:solidFill>
          </w14:textFill>
        </w:rPr>
        <w:t>采购人、采购代理机构</w:t>
      </w:r>
      <w:r>
        <w:rPr>
          <w:rFonts w:hint="eastAsia" w:ascii="宋体" w:hAnsi="宋体" w:eastAsia="宋体" w:cs="宋体"/>
          <w:bCs/>
          <w:color w:val="000000" w:themeColor="text1"/>
          <w:sz w:val="21"/>
          <w:highlight w:val="none"/>
          <w14:textFill>
            <w14:solidFill>
              <w14:schemeClr w14:val="tx1"/>
            </w14:solidFill>
          </w14:textFill>
        </w:rPr>
        <w:t>视为投标人完全接受澄清或者修改的内容，且不影响投标文件编制。</w:t>
      </w:r>
    </w:p>
    <w:p w14:paraId="0DF8880A">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投标人要求澄清和回复的书面材料应当加盖单位公章并注明日期。</w:t>
      </w:r>
    </w:p>
    <w:p w14:paraId="72F83871">
      <w:pPr>
        <w:pStyle w:val="14"/>
        <w:snapToGrid w:val="0"/>
        <w:spacing w:beforeLines="0" w:after="0" w:afterLines="0" w:line="360" w:lineRule="auto"/>
        <w:ind w:firstLine="420" w:firstLineChars="200"/>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（4）投标人应当保证获取招标文件时所登记的项目联系人信息资料的真实和准确，并确保联系方式的畅通，否则，因此导致未及时收到通知事项造成的后果由投标人自行承担。</w:t>
      </w:r>
    </w:p>
    <w:p w14:paraId="02EDEC0B">
      <w:pPr>
        <w:pStyle w:val="14"/>
        <w:snapToGrid w:val="0"/>
        <w:spacing w:beforeLines="0" w:after="0" w:afterLines="0" w:line="360" w:lineRule="auto"/>
        <w:ind w:firstLine="422" w:firstLineChars="200"/>
        <w:rPr>
          <w:rFonts w:hint="eastAsia" w:ascii="宋体" w:hAnsi="宋体" w:eastAsia="宋体" w:cs="宋体"/>
          <w:b/>
          <w:bCs/>
          <w:color w:val="000000" w:themeColor="text1"/>
          <w:sz w:val="21"/>
          <w:highlight w:val="none"/>
          <w14:textFill>
            <w14:solidFill>
              <w14:schemeClr w14:val="tx1"/>
            </w14:solidFill>
          </w14:textFill>
        </w:rPr>
      </w:pPr>
      <w:r>
        <w:rPr>
          <w:rFonts w:hint="eastAsia" w:ascii="宋体" w:hAnsi="宋体" w:eastAsia="宋体" w:cs="宋体"/>
          <w:b/>
          <w:bCs/>
          <w:color w:val="000000" w:themeColor="text1"/>
          <w:sz w:val="21"/>
          <w:highlight w:val="none"/>
          <w14:textFill>
            <w14:solidFill>
              <w14:schemeClr w14:val="tx1"/>
            </w14:solidFill>
          </w14:textFill>
        </w:rPr>
        <w:t>18.现场考察及召开答疑会</w:t>
      </w:r>
    </w:p>
    <w:p w14:paraId="7CDBBBE3">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18.1现场考察事项见</w:t>
      </w:r>
      <w:r>
        <w:rPr>
          <w:rFonts w:hint="eastAsia" w:ascii="宋体" w:hAnsi="宋体" w:eastAsia="宋体" w:cs="宋体"/>
          <w:color w:val="000000" w:themeColor="text1"/>
          <w:sz w:val="21"/>
          <w:highlight w:val="none"/>
          <w:u w:val="single"/>
          <w14:textFill>
            <w14:solidFill>
              <w14:schemeClr w14:val="tx1"/>
            </w14:solidFill>
          </w14:textFill>
        </w:rPr>
        <w:t>投标人须知前附表</w:t>
      </w:r>
      <w:r>
        <w:rPr>
          <w:rFonts w:hint="eastAsia" w:ascii="宋体" w:hAnsi="宋体" w:eastAsia="宋体" w:cs="宋体"/>
          <w:color w:val="000000" w:themeColor="text1"/>
          <w:sz w:val="21"/>
          <w:highlight w:val="none"/>
          <w14:textFill>
            <w14:solidFill>
              <w14:schemeClr w14:val="tx1"/>
            </w14:solidFill>
          </w14:textFill>
        </w:rPr>
        <w:t>。</w:t>
      </w:r>
    </w:p>
    <w:p w14:paraId="06D746BB">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18.2如采购人统一组织现场考察的，潜在投标人应当在通知的时间准时参加现场考察，否则自行承担未及时参加造成的后果。除采购人的原因外，投标人自行负责现场考察造成的自身或第三人的人身伤害、财产损失或损坏的责任。</w:t>
      </w:r>
    </w:p>
    <w:p w14:paraId="667BDB8A">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18.3本项目不组织召开答疑会。</w:t>
      </w:r>
    </w:p>
    <w:p w14:paraId="6F1BD233">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三、投标文件的编制</w:t>
      </w:r>
    </w:p>
    <w:p w14:paraId="02582092">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19.投标范围</w:t>
      </w:r>
    </w:p>
    <w:p w14:paraId="51E3CE48">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投标人应当对所投标项的“采购需求”所列的全部采购标的内容进行投标，如仅响应所投项目中的部分采购标的内容，其对本项目的投标将被认定为</w:t>
      </w:r>
      <w:r>
        <w:rPr>
          <w:rFonts w:hint="eastAsia" w:ascii="宋体" w:hAnsi="宋体" w:eastAsia="宋体" w:cs="宋体"/>
          <w:b/>
          <w:color w:val="000000" w:themeColor="text1"/>
          <w:highlight w:val="none"/>
          <w14:textFill>
            <w14:solidFill>
              <w14:schemeClr w14:val="tx1"/>
            </w14:solidFill>
          </w14:textFill>
        </w:rPr>
        <w:t>投标无效</w:t>
      </w:r>
      <w:r>
        <w:rPr>
          <w:rFonts w:hint="eastAsia" w:ascii="宋体" w:hAnsi="宋体" w:eastAsia="宋体" w:cs="宋体"/>
          <w:color w:val="000000" w:themeColor="text1"/>
          <w:highlight w:val="none"/>
          <w14:textFill>
            <w14:solidFill>
              <w14:schemeClr w14:val="tx1"/>
            </w14:solidFill>
          </w14:textFill>
        </w:rPr>
        <w:t>。</w:t>
      </w:r>
    </w:p>
    <w:p w14:paraId="11BE78BD">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20.投标文件中标准和计量单位的使用</w:t>
      </w:r>
    </w:p>
    <w:p w14:paraId="3DD9A7E7">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bookmarkStart w:id="42" w:name="_Hlk16458980"/>
      <w:r>
        <w:rPr>
          <w:rFonts w:hint="eastAsia" w:ascii="宋体" w:hAnsi="宋体" w:eastAsia="宋体" w:cs="宋体"/>
          <w:color w:val="000000" w:themeColor="text1"/>
          <w:highlight w:val="none"/>
          <w14:textFill>
            <w14:solidFill>
              <w14:schemeClr w14:val="tx1"/>
            </w14:solidFill>
          </w14:textFill>
        </w:rPr>
        <w:t>20.1无论招标文件中是否要求，投标人所提供的服务应符合国家强制性标准。</w:t>
      </w:r>
    </w:p>
    <w:bookmarkEnd w:id="42"/>
    <w:p w14:paraId="3D985382">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20.2投标人与采购人或采购代理机构之间与投标有关的所有往来通知、函件和投标文件均用中文表述。投标人随投标文件提供的证明文件和资料可以为其它语言（文字），但应当附中文译文，未提供中文译文的视为未提供，翻译的中文资料与外文资料出现差异时，以中文为准。</w:t>
      </w:r>
    </w:p>
    <w:p w14:paraId="59B9F933">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20.3除招标文件中有特殊要求外，投标文件中所使用的计量单位，应采用中华人民共和国法定计量单位。</w:t>
      </w:r>
    </w:p>
    <w:p w14:paraId="7A8F8941">
      <w:pPr>
        <w:pStyle w:val="14"/>
        <w:snapToGrid w:val="0"/>
        <w:spacing w:beforeLines="0" w:after="0" w:afterLines="0" w:line="360" w:lineRule="auto"/>
        <w:ind w:firstLine="422"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21.投标文件的形式</w:t>
      </w:r>
    </w:p>
    <w:p w14:paraId="63CB3497">
      <w:pPr>
        <w:pStyle w:val="14"/>
        <w:snapToGrid w:val="0"/>
        <w:spacing w:beforeLines="0" w:after="0" w:afterLines="0" w:line="360" w:lineRule="auto"/>
        <w:ind w:firstLine="422"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本项目采用电子投标文件形式，分为电子加密投标文件和备份投标文件两种。</w:t>
      </w:r>
    </w:p>
    <w:p w14:paraId="05C4F733">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21.1电子加密投标文件是指通过“政采云电子投标客户端”完成投标文件编制后生成并加密的数据电文形式的加密标书，后缀名为【.jmbs】。</w:t>
      </w:r>
    </w:p>
    <w:p w14:paraId="1E8C51C0">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21.2备份投标文件是指与电子加密投标文件同时生成的数据电文形式的备份标书，后缀名为【.bfbs】。</w:t>
      </w:r>
    </w:p>
    <w:p w14:paraId="68DC5C81">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22.投标文件内容的构成</w:t>
      </w:r>
    </w:p>
    <w:p w14:paraId="6309689B">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22.1投标人编写的投标文件应包含资格要求响应文件、商务技术文件和报价要求响应文件。</w:t>
      </w:r>
    </w:p>
    <w:p w14:paraId="02551CF9">
      <w:pPr>
        <w:pStyle w:val="14"/>
        <w:snapToGrid w:val="0"/>
        <w:spacing w:beforeLines="0" w:after="0" w:afterLines="0"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上述各项文件的组成内容见</w:t>
      </w:r>
      <w:r>
        <w:rPr>
          <w:rFonts w:hint="eastAsia" w:ascii="宋体" w:hAnsi="宋体" w:eastAsia="宋体" w:cs="宋体"/>
          <w:color w:val="000000" w:themeColor="text1"/>
          <w:sz w:val="21"/>
          <w:highlight w:val="none"/>
          <w:u w:val="single"/>
          <w14:textFill>
            <w14:solidFill>
              <w14:schemeClr w14:val="tx1"/>
            </w14:solidFill>
          </w14:textFill>
        </w:rPr>
        <w:t>投标人须知前附表</w:t>
      </w:r>
      <w:r>
        <w:rPr>
          <w:rFonts w:hint="eastAsia" w:ascii="宋体" w:hAnsi="宋体" w:eastAsia="宋体" w:cs="宋体"/>
          <w:color w:val="000000" w:themeColor="text1"/>
          <w:sz w:val="21"/>
          <w:highlight w:val="none"/>
          <w14:textFill>
            <w14:solidFill>
              <w14:schemeClr w14:val="tx1"/>
            </w14:solidFill>
          </w14:textFill>
        </w:rPr>
        <w:t>，未列入其中的内容，投标人认为需要的可以自行提供相关材料。</w:t>
      </w:r>
    </w:p>
    <w:p w14:paraId="07DDDA2C">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22.2招标文件明确要求在投标文件中附（提交）证明材料而投标人未在投标文件中提供的，不被认定为对具体要求作出响应。</w:t>
      </w:r>
      <w:r>
        <w:rPr>
          <w:rFonts w:hint="eastAsia" w:ascii="宋体" w:hAnsi="宋体" w:eastAsia="宋体" w:cs="宋体"/>
          <w:b/>
          <w:color w:val="000000" w:themeColor="text1"/>
          <w:highlight w:val="none"/>
          <w14:textFill>
            <w14:solidFill>
              <w14:schemeClr w14:val="tx1"/>
            </w14:solidFill>
          </w14:textFill>
        </w:rPr>
        <w:t>提供的合同等证明材料应当是完整无删减、无遮挡（盖）、页码连续的原始文件的复印件，否则因证明材料缺少评审所需的关键或必要的信息或因中间页码缺失导致无法有效认定造成不予认可的风险和责任由投标人自行承担。</w:t>
      </w:r>
    </w:p>
    <w:p w14:paraId="324E83C9">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23.投标文件的制作</w:t>
      </w:r>
    </w:p>
    <w:p w14:paraId="33B477F3">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投标人应当安装“政采云电子投标客户端”，按照招标文件和政采云平台的要求编制并加密投标文件。投标文件的制作应满足以下规定：</w:t>
      </w:r>
    </w:p>
    <w:p w14:paraId="0DED7BEC">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（1）由投标人使用电子交易系统提供的投标文件制作工具制作生成。</w:t>
      </w:r>
    </w:p>
    <w:p w14:paraId="531634D7">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（2）投标人应完整地填写投标函、开标一览表等招标文件提供的格式文件，以及为响应招标文件的要求及项目评审必须提供的其他材料。</w:t>
      </w:r>
    </w:p>
    <w:p w14:paraId="19C5353E">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注：投标人应准确设置评审关联定位，避免未设置或设置错误导致投标文件被误读、漏读或者查找不到相关内容。</w:t>
      </w:r>
    </w:p>
    <w:p w14:paraId="641B915F">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24.投标文件的签署及盖章</w:t>
      </w:r>
    </w:p>
    <w:p w14:paraId="69BAAE2B">
      <w:pPr>
        <w:snapToGrid w:val="0"/>
        <w:spacing w:after="0" w:line="360" w:lineRule="auto"/>
        <w:ind w:firstLine="420"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电子签章操作指南详见《政府采购项目电子交易管理操作指南-供应商》,</w:t>
      </w:r>
      <w:r>
        <w:rPr>
          <w:rFonts w:hint="eastAsia" w:ascii="宋体" w:hAnsi="宋体" w:eastAsia="宋体" w:cs="宋体"/>
          <w:b/>
          <w:color w:val="000000" w:themeColor="text1"/>
          <w:highlight w:val="none"/>
          <w14:textFill>
            <w14:solidFill>
              <w14:schemeClr w14:val="tx1"/>
            </w14:solidFill>
          </w14:textFill>
        </w:rPr>
        <w:t>系统要求进行电子签章的文件，按系统要求签章。</w:t>
      </w:r>
    </w:p>
    <w:p w14:paraId="4A67AC12">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（1）招标文件要求签字的应当由投标人的法定代表人或经其正式授权的代表签字或盖章，</w:t>
      </w:r>
      <w:r>
        <w:rPr>
          <w:rFonts w:hint="eastAsia" w:ascii="宋体" w:hAnsi="宋体" w:eastAsia="宋体" w:cs="宋体"/>
          <w:b/>
          <w:color w:val="000000" w:themeColor="text1"/>
          <w:highlight w:val="none"/>
          <w14:textFill>
            <w14:solidFill>
              <w14:schemeClr w14:val="tx1"/>
            </w14:solidFill>
          </w14:textFill>
        </w:rPr>
        <w:t>因未获取电子姓名签章无法直接在系统中进行法定代表人或其授权代表电子签名操作的，可以线下签字或盖章后扫描上传。</w:t>
      </w:r>
    </w:p>
    <w:p w14:paraId="66B229F4">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（2）《第六章 投标文件格式》提供的相关文件要求加盖公章处，投标人均应加盖公章，</w:t>
      </w:r>
      <w:r>
        <w:rPr>
          <w:rFonts w:hint="eastAsia" w:ascii="宋体" w:hAnsi="宋体" w:eastAsia="宋体" w:cs="宋体"/>
          <w:color w:val="000000" w:themeColor="text1"/>
          <w:highlight w:val="none"/>
          <w14:textFill>
            <w14:solidFill>
              <w14:schemeClr w14:val="tx1"/>
            </w14:solidFill>
          </w14:textFill>
        </w:rPr>
        <w:t>可使用电子公章在线签章或线下加盖公章后扫描上传。</w:t>
      </w:r>
    </w:p>
    <w:p w14:paraId="221F791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（3）投标文件若有错、漏处等必须修改的，修改处应当加盖投标人公章或者由投标人的法定代表人或其授权代表签字或盖章。</w:t>
      </w:r>
    </w:p>
    <w:p w14:paraId="1455C594">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25.投标报价要求</w:t>
      </w:r>
    </w:p>
    <w:p w14:paraId="788670F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25.1报价要求：投标报价组成</w:t>
      </w:r>
      <w:r>
        <w:rPr>
          <w:rFonts w:hint="eastAsia" w:ascii="宋体" w:hAnsi="宋体" w:eastAsia="宋体" w:cs="宋体"/>
          <w:color w:val="000000" w:themeColor="text1"/>
          <w:highlight w:val="none"/>
          <w:u w:val="single"/>
          <w14:textFill>
            <w14:solidFill>
              <w14:schemeClr w14:val="tx1"/>
            </w14:solidFill>
          </w14:textFill>
        </w:rPr>
        <w:t>详见投标人须知前附表</w:t>
      </w:r>
      <w:r>
        <w:rPr>
          <w:rFonts w:hint="eastAsia" w:ascii="宋体" w:hAnsi="宋体" w:eastAsia="宋体" w:cs="宋体"/>
          <w:color w:val="000000" w:themeColor="text1"/>
          <w:highlight w:val="none"/>
          <w14:textFill>
            <w14:solidFill>
              <w14:schemeClr w14:val="tx1"/>
            </w14:solidFill>
          </w14:textFill>
        </w:rPr>
        <w:t>。</w:t>
      </w:r>
    </w:p>
    <w:p w14:paraId="4D6F128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25.2投标报价及结算货币均为人民币，针对本项目的投标报价只允许有一个，不接受有选择的或有附加条件的投标报价。</w:t>
      </w:r>
    </w:p>
    <w:p w14:paraId="3095288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25.3</w:t>
      </w:r>
      <w:r>
        <w:rPr>
          <w:rFonts w:hint="eastAsia" w:ascii="宋体" w:hAnsi="宋体" w:eastAsia="宋体" w:cs="宋体"/>
          <w:b/>
          <w:color w:val="000000" w:themeColor="text1"/>
          <w:highlight w:val="none"/>
          <w14:textFill>
            <w14:solidFill>
              <w14:schemeClr w14:val="tx1"/>
            </w14:solidFill>
          </w14:textFill>
        </w:rPr>
        <w:t>投标报价不允许为0元（即赠送），采购人不予接受，其投标文件按照投标无效处理。</w:t>
      </w:r>
    </w:p>
    <w:p w14:paraId="29194038">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26.投标保证金</w:t>
      </w:r>
    </w:p>
    <w:p w14:paraId="782A9F87">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本项目无须投标人缴纳投标保证金。</w:t>
      </w:r>
    </w:p>
    <w:p w14:paraId="381D6EEC">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27.投标有效期</w:t>
      </w:r>
    </w:p>
    <w:p w14:paraId="72774EED">
      <w:pPr>
        <w:pStyle w:val="14"/>
        <w:snapToGrid w:val="0"/>
        <w:spacing w:beforeLines="0" w:after="0" w:afterLines="0" w:line="360" w:lineRule="auto"/>
        <w:ind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27.1投标有效期为从投标截止之日算起的日历天数，投标有效期</w:t>
      </w:r>
      <w:r>
        <w:rPr>
          <w:rFonts w:hint="eastAsia" w:ascii="宋体" w:hAnsi="宋体" w:eastAsia="宋体" w:cs="宋体"/>
          <w:color w:val="000000" w:themeColor="text1"/>
          <w:sz w:val="21"/>
          <w:highlight w:val="none"/>
          <w:u w:val="single"/>
          <w14:textFill>
            <w14:solidFill>
              <w14:schemeClr w14:val="tx1"/>
            </w14:solidFill>
          </w14:textFill>
        </w:rPr>
        <w:t>详见投标人须知前附表</w:t>
      </w:r>
      <w:r>
        <w:rPr>
          <w:rFonts w:hint="eastAsia" w:ascii="宋体" w:hAnsi="宋体" w:eastAsia="宋体" w:cs="宋体"/>
          <w:color w:val="000000" w:themeColor="text1"/>
          <w:sz w:val="21"/>
          <w:highlight w:val="none"/>
          <w14:textFill>
            <w14:solidFill>
              <w14:schemeClr w14:val="tx1"/>
            </w14:solidFill>
          </w14:textFill>
        </w:rPr>
        <w:t>。</w:t>
      </w:r>
    </w:p>
    <w:p w14:paraId="36B38E9D">
      <w:pPr>
        <w:spacing w:after="0" w:line="360" w:lineRule="auto"/>
        <w:ind w:firstLine="42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27.2在投标有效期内，投标人的投标保持有效，投标人不得要求撤销或修改其投标文件。投标有效期不满足要求的投标，其投标将被认定为</w:t>
      </w:r>
      <w:r>
        <w:rPr>
          <w:rFonts w:hint="eastAsia" w:ascii="宋体" w:hAnsi="宋体" w:eastAsia="宋体" w:cs="宋体"/>
          <w:b/>
          <w:color w:val="000000" w:themeColor="text1"/>
          <w:kern w:val="0"/>
          <w:highlight w:val="none"/>
          <w14:textFill>
            <w14:solidFill>
              <w14:schemeClr w14:val="tx1"/>
            </w14:solidFill>
          </w14:textFill>
        </w:rPr>
        <w:t>投标无效</w:t>
      </w:r>
      <w:r>
        <w:rPr>
          <w:rFonts w:hint="eastAsia" w:ascii="宋体" w:hAnsi="宋体" w:eastAsia="宋体" w:cs="宋体"/>
          <w:color w:val="000000" w:themeColor="text1"/>
          <w:kern w:val="0"/>
          <w:highlight w:val="none"/>
          <w14:textFill>
            <w14:solidFill>
              <w14:schemeClr w14:val="tx1"/>
            </w14:solidFill>
          </w14:textFill>
        </w:rPr>
        <w:t>。</w:t>
      </w:r>
    </w:p>
    <w:p w14:paraId="68C05CBB">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四、投标文件的提交</w:t>
      </w:r>
    </w:p>
    <w:p w14:paraId="3120C797">
      <w:pPr>
        <w:pStyle w:val="14"/>
        <w:snapToGrid w:val="0"/>
        <w:spacing w:beforeLines="0" w:after="0" w:afterLines="0" w:line="360" w:lineRule="auto"/>
        <w:ind w:firstLine="422" w:firstLineChars="200"/>
        <w:jc w:val="left"/>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28.电子加密投标文件的提交</w:t>
      </w:r>
    </w:p>
    <w:p w14:paraId="5345AD14">
      <w:pPr>
        <w:pStyle w:val="14"/>
        <w:snapToGrid w:val="0"/>
        <w:spacing w:beforeLines="0" w:after="0" w:afterLines="0" w:line="360" w:lineRule="auto"/>
        <w:ind w:firstLine="420" w:firstLineChars="20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投标人应当在投标截止时间前将电子加密投标文件上传至政采云平台（https：//www.zcygov.cn/），成功上传后，投标人可自行打印投标文件接收回执。</w:t>
      </w:r>
    </w:p>
    <w:p w14:paraId="4E369BEB">
      <w:pPr>
        <w:pStyle w:val="14"/>
        <w:snapToGrid w:val="0"/>
        <w:spacing w:beforeLines="0" w:after="0" w:afterLines="0" w:line="360" w:lineRule="auto"/>
        <w:ind w:firstLine="422" w:firstLineChars="200"/>
        <w:jc w:val="left"/>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29.备份投标文件的提交</w:t>
      </w:r>
    </w:p>
    <w:p w14:paraId="61C524BD">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可以在投标截止时间前提交备份投标文件。备份投标文件的载体须密封包装，密封包装应当清楚的标明项目名称、项目编号、投标人名称并加盖公章。采购人或采购代理机构有权拒绝接收未按照规定密封、标注、盖章的备份投标文件。</w:t>
      </w:r>
    </w:p>
    <w:p w14:paraId="1709D2AA">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30.投标截止时间及地点</w:t>
      </w:r>
    </w:p>
    <w:p w14:paraId="4521124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30.1投标截止时间及地点见</w:t>
      </w:r>
      <w:r>
        <w:rPr>
          <w:rFonts w:hint="eastAsia" w:ascii="宋体" w:hAnsi="宋体" w:eastAsia="宋体" w:cs="宋体"/>
          <w:color w:val="000000" w:themeColor="text1"/>
          <w:highlight w:val="none"/>
          <w:u w:val="single"/>
          <w14:textFill>
            <w14:solidFill>
              <w14:schemeClr w14:val="tx1"/>
            </w14:solidFill>
          </w14:textFill>
        </w:rPr>
        <w:t>招标公告（投标邀请）</w:t>
      </w:r>
      <w:r>
        <w:rPr>
          <w:rFonts w:hint="eastAsia" w:ascii="宋体" w:hAnsi="宋体" w:eastAsia="宋体" w:cs="宋体"/>
          <w:color w:val="000000" w:themeColor="text1"/>
          <w:highlight w:val="none"/>
          <w14:textFill>
            <w14:solidFill>
              <w14:schemeClr w14:val="tx1"/>
            </w14:solidFill>
          </w14:textFill>
        </w:rPr>
        <w:t>。</w:t>
      </w:r>
    </w:p>
    <w:p w14:paraId="37210A21">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30.2采购人或采购代理机构可以根据项目情况，推迟投标截止时间。在此情况下，采购人、采购代理机构和投标人受投标截止时间约束的所有权利和义务均延长至新的截止时间。</w:t>
      </w:r>
    </w:p>
    <w:p w14:paraId="47CC4D21">
      <w:pPr>
        <w:snapToGrid w:val="0"/>
        <w:spacing w:after="0" w:line="360" w:lineRule="auto"/>
        <w:ind w:firstLine="422"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31.投标文件的修改和撤回</w:t>
      </w:r>
    </w:p>
    <w:p w14:paraId="14B61A11">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31.1投标人在投标截止时间前，可以对已经提交的投标文件进行补充、修改或者撤回。</w:t>
      </w:r>
    </w:p>
    <w:p w14:paraId="6E7C3B85">
      <w:pPr>
        <w:snapToGrid w:val="0"/>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对已经完成传输递交的电子加密投标文件进行</w:t>
      </w:r>
      <w:r>
        <w:rPr>
          <w:rFonts w:hint="eastAsia" w:ascii="宋体" w:hAnsi="宋体" w:eastAsia="宋体" w:cs="宋体"/>
          <w:color w:val="000000" w:themeColor="text1"/>
          <w:kern w:val="0"/>
          <w:highlight w:val="none"/>
          <w14:textFill>
            <w14:solidFill>
              <w14:schemeClr w14:val="tx1"/>
            </w14:solidFill>
          </w14:textFill>
        </w:rPr>
        <w:t>补充或者修改的，应当先行撤回原文件，补充、修改后重新传输递交。投标人在投标截止时间前未重新完成传输递交的，</w:t>
      </w:r>
      <w:r>
        <w:rPr>
          <w:rFonts w:hint="eastAsia" w:ascii="宋体" w:hAnsi="宋体" w:eastAsia="宋体" w:cs="宋体"/>
          <w:b/>
          <w:color w:val="000000" w:themeColor="text1"/>
          <w:kern w:val="0"/>
          <w:highlight w:val="none"/>
          <w14:textFill>
            <w14:solidFill>
              <w14:schemeClr w14:val="tx1"/>
            </w14:solidFill>
          </w14:textFill>
        </w:rPr>
        <w:t>视为撤回投标文件</w:t>
      </w:r>
      <w:r>
        <w:rPr>
          <w:rFonts w:hint="eastAsia" w:ascii="宋体" w:hAnsi="宋体" w:eastAsia="宋体" w:cs="宋体"/>
          <w:color w:val="000000" w:themeColor="text1"/>
          <w:kern w:val="0"/>
          <w:highlight w:val="none"/>
          <w14:textFill>
            <w14:solidFill>
              <w14:schemeClr w14:val="tx1"/>
            </w14:solidFill>
          </w14:textFill>
        </w:rPr>
        <w:t>。投标截止时间后递交的电子加密投标文件，电子交易平台将拒收。</w:t>
      </w:r>
    </w:p>
    <w:p w14:paraId="1E022711">
      <w:pPr>
        <w:snapToGrid w:val="0"/>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31.2投标人在投标截止时间前递交了需要补充或修改的电子加密投标文件的备份投标文件的，可以重新提交补充或修改后的备份投标文件。</w:t>
      </w:r>
    </w:p>
    <w:p w14:paraId="250ED5D6">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31.3投标截止时间后，投标人不得对其投标文件进行补充、修改。</w:t>
      </w:r>
    </w:p>
    <w:p w14:paraId="0D575F5C">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五、开标与评标</w:t>
      </w:r>
    </w:p>
    <w:p w14:paraId="443A8C5D">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32.开标</w:t>
      </w:r>
    </w:p>
    <w:p w14:paraId="4AC6BD93">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32.1采购代理机构按招标文件规定的时间通过电子交易平台组织公开开标，所有投标人均应当准时在线参加。</w:t>
      </w:r>
    </w:p>
    <w:p w14:paraId="7456E93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32.2开标时，采购代理机构依托电子交易平台发起开始解密指令，投标人应在30分钟内（以电子交易系统解密倒计时为准）对本单位的投标文件进行解密。</w:t>
      </w:r>
    </w:p>
    <w:p w14:paraId="5DA4EDBF">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32.3开标时，采购代理机构将通过网上开标系统公布开标结果，公布内容包括投标人名称、投标报价及招标文件规定的其他内容。</w:t>
      </w:r>
    </w:p>
    <w:p w14:paraId="6A1A49C4">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32.4投标人如未在线参加开标的，视同认可开标结果，事后不得对开标结果提出异议。同时，投标人因未在线参加开标而导致电子加密投标文件无法按时解密等一切后果由投标人自行承担。</w:t>
      </w:r>
    </w:p>
    <w:p w14:paraId="12913E82">
      <w:pPr>
        <w:snapToGrid w:val="0"/>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32.5发生电子加密投标文件解密失败的情形，如投标人已按招标文件规定提交了备份投标文件的，将由采购代理机构按政采云平台操作规范将备份投标文件上传至政采云平台异常端口处理，上传成功后，电子加密投标文件自动失效；使用备份投标文件仍无法成功或投标人</w:t>
      </w:r>
      <w:r>
        <w:rPr>
          <w:rFonts w:hint="eastAsia" w:ascii="宋体" w:hAnsi="宋体" w:eastAsia="宋体" w:cs="宋体"/>
          <w:color w:val="000000" w:themeColor="text1"/>
          <w:kern w:val="0"/>
          <w:highlight w:val="none"/>
          <w14:textFill>
            <w14:solidFill>
              <w14:schemeClr w14:val="tx1"/>
            </w14:solidFill>
          </w14:textFill>
        </w:rPr>
        <w:t>未按规定提交备份投标文件的</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视为撤回投标文件</w:t>
      </w:r>
      <w:r>
        <w:rPr>
          <w:rFonts w:hint="eastAsia" w:ascii="宋体" w:hAnsi="宋体" w:eastAsia="宋体" w:cs="宋体"/>
          <w:color w:val="000000" w:themeColor="text1"/>
          <w:highlight w:val="none"/>
          <w14:textFill>
            <w14:solidFill>
              <w14:schemeClr w14:val="tx1"/>
            </w14:solidFill>
          </w14:textFill>
        </w:rPr>
        <w:t>。</w:t>
      </w:r>
    </w:p>
    <w:p w14:paraId="618CB66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电子加密投标文件已按时解密的，备份投标文件自动失效。</w:t>
      </w:r>
    </w:p>
    <w:p w14:paraId="6593EF21">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32.6开标过程由采购代理机构负责记录，由参加开标的投标人代表和相关工作人员签字确认后随采购文件一并存档。</w:t>
      </w:r>
    </w:p>
    <w:p w14:paraId="6625F1B3">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投标人代表对开标过程和开标记录有疑义，以及认为采购人或采购代理机构相关工作人员有需要回避的情形的，应当场提出询问或者回避申请。</w:t>
      </w:r>
    </w:p>
    <w:p w14:paraId="4B03F8E7">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33.资格审查及组建评标委员会</w:t>
      </w:r>
    </w:p>
    <w:p w14:paraId="72591A13">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33.1开标结束后，采购代理机构依据法律法规和招标文件中规定的内容对投标人的资格进行审查，未通过资格审查的投标人不进入评标，通过资格审查的投标人不足3家的不进行评标。</w:t>
      </w:r>
    </w:p>
    <w:p w14:paraId="2C05CFD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33.2评标委员会依法组建，成员由5人及以上单数组成。</w:t>
      </w:r>
    </w:p>
    <w:p w14:paraId="6FF75DBB">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34.投标文件符合性审查与澄清</w:t>
      </w:r>
    </w:p>
    <w:p w14:paraId="253C2FA2">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34.1评标委员会负责对符合资格要求的投标人的投标文件进行符合性审查，以确定其是否满足招标文件的实质性要求。</w:t>
      </w:r>
    </w:p>
    <w:p w14:paraId="1F8FD32B">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34.2对于投标文件中含义不明确、同类问题表述不一致或者有明显文字和计算错误的内容，以及评标委员会认为投标人的报价明显低于其他通过符合性审查投标人的报价，有可能</w:t>
      </w:r>
      <w:r>
        <w:rPr>
          <w:rFonts w:hint="eastAsia" w:ascii="宋体" w:hAnsi="宋体" w:eastAsia="宋体" w:cs="宋体"/>
          <w:color w:val="000000" w:themeColor="text1"/>
          <w:highlight w:val="none"/>
          <w:shd w:val="clear" w:color="auto" w:fill="FFFFFF"/>
          <w14:textFill>
            <w14:solidFill>
              <w14:schemeClr w14:val="tx1"/>
            </w14:solidFill>
          </w14:textFill>
        </w:rPr>
        <w:t>影响服务质量或者不能诚信履约的</w:t>
      </w:r>
      <w:r>
        <w:rPr>
          <w:rFonts w:hint="eastAsia" w:ascii="宋体" w:hAnsi="宋体" w:eastAsia="宋体" w:cs="宋体"/>
          <w:color w:val="000000" w:themeColor="text1"/>
          <w:highlight w:val="none"/>
          <w14:textFill>
            <w14:solidFill>
              <w14:schemeClr w14:val="tx1"/>
            </w14:solidFill>
          </w14:textFill>
        </w:rPr>
        <w:t>，评标委员会以书面形式要求投标人作出必要的澄清、说明或者补正。</w:t>
      </w:r>
    </w:p>
    <w:p w14:paraId="795D088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澄清、说明或者补正通过电子交易平台交换数据电文，投标人提交使用电子签名的相关数据电文或通过平台上传投标人的法定代表人或其授权的代表签字或加盖公章的文件的扫描件。给予投标人提交澄清、说明或补正的时间不少于30分钟，投标人已经明确表示澄清说明或补正完毕的除外。投标人的澄清、说明或者补正不得超出投标文件的范围或者改变投标文件的实质性内容。</w:t>
      </w:r>
    </w:p>
    <w:p w14:paraId="33A74E4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34.3投标人的澄清、说明或补正将作为投标文件的一部分。</w:t>
      </w:r>
    </w:p>
    <w:p w14:paraId="4AC8944E">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34.4报价修正</w:t>
      </w:r>
    </w:p>
    <w:p w14:paraId="64B54BC3">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投标文件报价出现不一致的，按照下列规定修正：</w:t>
      </w:r>
    </w:p>
    <w:p w14:paraId="38996D63">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（1）电子交易平台客户端里开标一览表录入的投标报价与报价要求响应文件中的开标一览表投标报价不一致的，以报价要求响应文件中的投标报价为准。</w:t>
      </w:r>
    </w:p>
    <w:p w14:paraId="0FDA08F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（2）投标文件中开标一览表（报价表）内容与投标文件中相应内容不一致的，以开标一览表（报价表）为准；</w:t>
      </w:r>
    </w:p>
    <w:p w14:paraId="1204FE2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（3）大写金额和小写金额不一致的，以大写金额为准；</w:t>
      </w:r>
    </w:p>
    <w:p w14:paraId="1054E02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（4）单价金额小数点或者百分比有明显错位的，以开标一览表的总价为准，并修改单价；</w:t>
      </w:r>
    </w:p>
    <w:p w14:paraId="7327FD2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（5）总价金额与按单价汇总金额不一致的，以单价金额计算结果为准。</w:t>
      </w:r>
    </w:p>
    <w:p w14:paraId="31C103B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同时出现两种以上不一致的，按照前款规定的顺序修正。修正后的报价由投标人确认，经投标人确认后产生约束力，投标人不确认的，其投标无效。</w:t>
      </w:r>
    </w:p>
    <w:p w14:paraId="366A9306">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34.5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应当将其作为无效投标处理。</w:t>
      </w:r>
    </w:p>
    <w:p w14:paraId="521E5B7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（1）评审中出现下列情形之一的，评审委员会应当启动异常低价投标（响应）审查程序：</w:t>
      </w:r>
    </w:p>
    <w:p w14:paraId="086E57FB">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1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7FB0F8C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2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23766AD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3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投标（响应）报价低于采购项目最高限价45%的，即投标（响应）报价&lt;采购项目最高限价×45%；</w:t>
      </w:r>
    </w:p>
    <w:p w14:paraId="6BCAEE6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4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评审委员会基于专业判断，认为供应商报价过低，有可能影响产品（服务）质量或者不能诚信履约的其他情形。</w:t>
      </w:r>
    </w:p>
    <w:p w14:paraId="32D4EACE">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（2）评审委员会启动异常低价投标（响应）审查后，属于前述第</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1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项至第</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4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超过45分钟。</w:t>
      </w:r>
    </w:p>
    <w:p w14:paraId="0E869355">
      <w:pPr>
        <w:snapToGrid w:val="0"/>
        <w:spacing w:after="0" w:line="360" w:lineRule="auto"/>
        <w:ind w:firstLine="422" w:firstLineChars="20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属于上述第</w:t>
      </w: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 3 \* GB3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14:textFill>
            <w14:solidFill>
              <w14:schemeClr w14:val="tx1"/>
            </w14:solidFill>
          </w14:textFill>
        </w:rPr>
        <w:t>③</w:t>
      </w:r>
      <w:r>
        <w:rPr>
          <w:rFonts w:hint="eastAsia" w:ascii="宋体" w:hAnsi="宋体" w:eastAsia="宋体" w:cs="宋体"/>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highlight w:val="none"/>
          <w14:textFill>
            <w14:solidFill>
              <w14:schemeClr w14:val="tx1"/>
            </w14:solidFill>
          </w14:textFill>
        </w:rPr>
        <w:t>项情形，投标人未随投标文件一并提交相关书面说明及必要的证明材料，其投标按照投标无效处理。</w:t>
      </w:r>
    </w:p>
    <w:p w14:paraId="7085D8AC">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1D4EE">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C7820C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异常低价投标（响应）审查的启动原因、审查意见和审查结果在评审报告中记录，并随供应商提供的相关书面说明及证明材料，以及评审委员会有关互联网浏览、查询历史一并归档。</w:t>
      </w:r>
    </w:p>
    <w:p w14:paraId="34A2AB64">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35.投标无效</w:t>
      </w:r>
    </w:p>
    <w:p w14:paraId="50606D7A">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35.1根据招标文件的规定，评标委员会审查每份投标文件，以确定其是否满足招标文件的实质性要求。投标人不得通过修正或撤销不符合要求的偏离，从而使其投标实质上响应招标文件要求。</w:t>
      </w:r>
    </w:p>
    <w:p w14:paraId="02870E7D">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35.2投标人存在下列情况之一的，投标无效：</w:t>
      </w:r>
    </w:p>
    <w:p w14:paraId="331285F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（1）投标文件未按招标文件要求签署、盖章而影响投标文件法律效力的；</w:t>
      </w:r>
    </w:p>
    <w:p w14:paraId="097A992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（2）不具备招标文件中规定的资格要求的（包括未提交合法有效的资格证明文件）；</w:t>
      </w:r>
    </w:p>
    <w:p w14:paraId="66130A91">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（3）未对招标文件的实质性条款作出响应（包括未按要求提交证明文件）的；</w:t>
      </w:r>
    </w:p>
    <w:p w14:paraId="4DB91EC6">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（4）投标报价超过招标文件规定的预算金额或最高限价的；</w:t>
      </w:r>
    </w:p>
    <w:p w14:paraId="250A4CAC">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（5）投标文件含有采购人不能接受的附加条件的；</w:t>
      </w:r>
    </w:p>
    <w:p w14:paraId="36AF401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（6）投标文件中含有虚假材料的；</w:t>
      </w:r>
    </w:p>
    <w:p w14:paraId="4CD005DC">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（7）投标人违背诚实信用原则的；</w:t>
      </w:r>
    </w:p>
    <w:p w14:paraId="6DDA1A3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（8）仅提交备份投标文件的；</w:t>
      </w:r>
    </w:p>
    <w:p w14:paraId="3AAC3DA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（9）同一标项的投标人存在下列情形之一且无法合理解释的，其投标文件无效：</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1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不同投标人的电子投标文件上传计算机的网卡MAC地址或硬盘序列号等硬件信息相同的；②上传的电子投标文件出现使用同一标项其他投标人的数字证书加密的，或者加盖同一标项其他投标人的电子印章的；③不同投标人的电子投标文件的内容存在3处（含）以上错误一致的；④不同投标人的联系人为同一人或不同联系人的联系电话一致的；</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5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⑤</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不同投标人的电子投标文件属性显示作者为同一人的。</w:t>
      </w:r>
    </w:p>
    <w:p w14:paraId="05230E4F">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（10）法律、法规和招标文件规定的其他投标无效或无效投标的情形。</w:t>
      </w:r>
    </w:p>
    <w:p w14:paraId="5619805B">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36.比较与评价</w:t>
      </w:r>
    </w:p>
    <w:p w14:paraId="0F0470B5">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36.1评委按照招标文件规定的评标方法和标准，对符合性审查合格的投标文件进行商务和技术评估，综合比较与评价。</w:t>
      </w:r>
    </w:p>
    <w:p w14:paraId="4B585CDE">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43" w:name="OLE_LINK14"/>
      <w:r>
        <w:rPr>
          <w:rFonts w:hint="eastAsia" w:ascii="宋体" w:hAnsi="宋体" w:eastAsia="宋体" w:cs="宋体"/>
          <w:color w:val="000000" w:themeColor="text1"/>
          <w:highlight w:val="none"/>
          <w14:textFill>
            <w14:solidFill>
              <w14:schemeClr w14:val="tx1"/>
            </w14:solidFill>
          </w14:textFill>
        </w:rPr>
        <w:t>36.2本项目采用综合评分法，评标严格按照招标文件的要求和条件进行，详细评标标准见招标文件第四章。</w:t>
      </w:r>
      <w:bookmarkStart w:id="44" w:name="_Hlk60581117"/>
      <w:r>
        <w:rPr>
          <w:rFonts w:hint="eastAsia" w:ascii="宋体" w:hAnsi="宋体" w:eastAsia="宋体" w:cs="宋体"/>
          <w:color w:val="000000" w:themeColor="text1"/>
          <w:highlight w:val="none"/>
          <w14:textFill>
            <w14:solidFill>
              <w14:schemeClr w14:val="tx1"/>
            </w14:solidFill>
          </w14:textFill>
        </w:rPr>
        <w:t>针对本项目招标文件《第四章 评标方法和标准》中采用分档描述式评分标准的评审因素，其评分遵循“分档固定赋分”原则，具体规则如下：</w:t>
      </w:r>
    </w:p>
    <w:p w14:paraId="53D1CF70">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（1）固定分值：各评审因素的每一得分档次均对应一个唯一的固定分值，不设分值区间。</w:t>
      </w:r>
    </w:p>
    <w:p w14:paraId="6507AF4E">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（2）归档与赋分：评标委员会根据投标文件的响应情况，将其归入满足全部要求的得分档次，并直接赋予该档次对应的固定分值。若无法归入任一得分档次，则该项得0分。</w:t>
      </w:r>
    </w:p>
    <w:p w14:paraId="4B0C5021">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第四章“三、评审程序”第3条“详细审查和评分（评标标准兼评委打分表）”中，各评分项末尾的“注”对该项的核心评审内容及排除范围作出具体界定。评标委员会按照以下规则执行：（1）范围界定：凡“注”中明确列明为本项评审内容的，应作为评审依据；凡“注”中明确排除或指明由其他评分项评审的内容，不作为本项的评审依据。（2）禁止重复赋分：针对投标文件中的同一具体内容，如其涉及多个评分项，应依据“注”的指引归入对应评分项进行评审。评标委员会不就同一内容在多个评分项中重复计分。</w:t>
      </w:r>
    </w:p>
    <w:bookmarkEnd w:id="43"/>
    <w:p w14:paraId="15F7D7B9">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36.3根据《政府采购促进中小企业发展管理办法》（财库〔2020〕46号）、《财政部司法部关于政府采购支持监狱企业发展有关问题的通知》（财库〔2014〕68号）和《三部门联合发布关于促进残疾人就业政府采购政策的通知》（财库〔2017〕141号）及财政部门的规定，对满足价格扣除条件且在投标文件中提交了《中小企业声明函》《残疾人福利性单位声明函》或省级以上监狱管理局、戒毒管理局（含新疆生产建设兵团）出具的属于监狱企业的证明文件的投标人，其投标报价按照规定予以扣除后参与评审，具体扣除办法详见第四章。对于同时属于小微企业、监狱企业或残疾人福利性单位的，不重复进行投标报价扣除，专门面向中小企业的标项不再进行价格扣除。</w:t>
      </w:r>
    </w:p>
    <w:bookmarkEnd w:id="44"/>
    <w:p w14:paraId="3991D025">
      <w:pPr>
        <w:pStyle w:val="14"/>
        <w:snapToGrid w:val="0"/>
        <w:spacing w:beforeLines="0" w:after="0" w:afterLines="0" w:line="360" w:lineRule="auto"/>
        <w:ind w:firstLine="422" w:firstLineChars="200"/>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37.废标的情形</w:t>
      </w:r>
    </w:p>
    <w:p w14:paraId="4A09F6D5">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在本项目招标采购中，出现下列情形之一的，予以废标：</w:t>
      </w:r>
    </w:p>
    <w:p w14:paraId="5C9DB5BB">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（1）符合资格要求的投标人或者对招标文件作实质响应的投标人不足三家的；</w:t>
      </w:r>
    </w:p>
    <w:p w14:paraId="08B0341A">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42052AAE">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（3）投标人的报价均超过了采购预算，采购人不能支付的；</w:t>
      </w:r>
    </w:p>
    <w:p w14:paraId="366ACCAF">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（4）因重大变故，采购任务取消的。</w:t>
      </w:r>
    </w:p>
    <w:p w14:paraId="13A0FF89">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（5）电子交易平台无法正常运行，无法保证电子交易的公平、公正和安全的情况。</w:t>
      </w:r>
    </w:p>
    <w:p w14:paraId="1A8EFEF6">
      <w:pPr>
        <w:pStyle w:val="14"/>
        <w:snapToGrid w:val="0"/>
        <w:spacing w:beforeLines="0" w:after="0" w:afterLines="0" w:line="360" w:lineRule="auto"/>
        <w:ind w:firstLine="422" w:firstLineChars="200"/>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38.中止电子交易活动的情形</w:t>
      </w:r>
    </w:p>
    <w:p w14:paraId="3B0804D4">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采购过程中出现以下情形，导致电子交易平台无法正常运行，或者无法保证电子交易的公平、公正和安全时，采购组织机构可中止电子交易活动：</w:t>
      </w:r>
    </w:p>
    <w:p w14:paraId="7A86C338">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（1）电子交易平台发生故障而无法登录访问的；</w:t>
      </w:r>
    </w:p>
    <w:p w14:paraId="307D4E83">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（2）电子交易平台应用或数据库出现错误，不能进行正常操作的；</w:t>
      </w:r>
    </w:p>
    <w:p w14:paraId="58926B2B">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（3）电子交易平台发现严重安全漏洞，有潜在泄密危险的；</w:t>
      </w:r>
    </w:p>
    <w:p w14:paraId="1C026B43">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（4）病毒发作导致不能进行正常操作的；</w:t>
      </w:r>
    </w:p>
    <w:p w14:paraId="341979C8">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（5）其他无法保证电子交易的公平、公正和安全的情况。</w:t>
      </w:r>
    </w:p>
    <w:p w14:paraId="47F725B1">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出现前款规定情形，不影响采购公平、公正性的，采购组织机构可以待上述情形消除后继续组织电子交易活动；影响或可能影响采购公平、公正性的，将重新采购。</w:t>
      </w:r>
    </w:p>
    <w:p w14:paraId="490EA38D">
      <w:pPr>
        <w:pStyle w:val="14"/>
        <w:snapToGrid w:val="0"/>
        <w:spacing w:beforeLines="0" w:after="0" w:afterLines="0" w:line="360" w:lineRule="auto"/>
        <w:ind w:firstLine="422" w:firstLineChars="200"/>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39.中标候选人的确定原则及标准</w:t>
      </w:r>
    </w:p>
    <w:p w14:paraId="4B891926">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本项目每个标项所有有效投标人均推荐为中标候选人，评标结果按评审后得分由高到低顺序排列。得分相同的，按投标报价由低到高顺序排列。得分且投标报价相同的并列。</w:t>
      </w:r>
    </w:p>
    <w:p w14:paraId="679AB9D3">
      <w:pPr>
        <w:snapToGrid w:val="0"/>
        <w:spacing w:after="0" w:line="360" w:lineRule="auto"/>
        <w:ind w:firstLine="422" w:firstLineChars="20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40.编写评标报告</w:t>
      </w:r>
    </w:p>
    <w:p w14:paraId="4866B6A2">
      <w:pPr>
        <w:snapToGrid w:val="0"/>
        <w:spacing w:after="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全体评标委员会成员签字的原始评标记录和评标结果编写评标报告，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AC4B12A">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六、授予合同</w:t>
      </w:r>
    </w:p>
    <w:p w14:paraId="64DD58EA">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41.中标人的确定</w:t>
      </w:r>
    </w:p>
    <w:p w14:paraId="18537DB7">
      <w:pPr>
        <w:spacing w:after="0" w:line="360" w:lineRule="auto"/>
        <w:ind w:firstLine="420" w:firstLineChars="200"/>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41.1中标人确定主体为采购人，确定每个标项排名第一位的中标候选人为中标人。</w:t>
      </w:r>
    </w:p>
    <w:p w14:paraId="46A40478">
      <w:pPr>
        <w:spacing w:after="0" w:line="360" w:lineRule="auto"/>
        <w:ind w:firstLine="420" w:firstLineChars="200"/>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41.2中标候选人并列的，业绩评议得分高的确定为中标人；均相同的由采购人采用随机抽取的方式确定。</w:t>
      </w:r>
    </w:p>
    <w:p w14:paraId="5455576F">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42.中标结果公告</w:t>
      </w:r>
    </w:p>
    <w:p w14:paraId="38E9CCFC">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自中标人确定之日起2个工作日内，采购代理机构在招标公告发布媒体上公告中标结果。</w:t>
      </w:r>
    </w:p>
    <w:p w14:paraId="109318BF">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43.中标通知书和招标结果通知书</w:t>
      </w:r>
    </w:p>
    <w:p w14:paraId="559D7DB3">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43.1在公告中标结果的同时，采购代理机构向中标人发出中标通知书，向未中标的投标人发出招标结果通知书。</w:t>
      </w:r>
    </w:p>
    <w:p w14:paraId="69FAD88C">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43.2因重大变故采购任务取消时，采购人有权拒绝任何投标人中标，且对受影响的投标人不承担任何责任。</w:t>
      </w:r>
    </w:p>
    <w:p w14:paraId="560746D8">
      <w:pPr>
        <w:spacing w:after="0"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44.签订合同</w:t>
      </w:r>
    </w:p>
    <w:p w14:paraId="4A1F8A56">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采购人按照法律法规的规定与中标人签订书面合同。</w:t>
      </w:r>
    </w:p>
    <w:p w14:paraId="306F0A0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193A206">
      <w:pPr>
        <w:pStyle w:val="2"/>
        <w:spacing w:before="0" w:after="0"/>
        <w:ind w:firstLine="482"/>
        <w:rPr>
          <w:rFonts w:hint="eastAsia" w:ascii="宋体" w:hAnsi="宋体" w:eastAsia="宋体" w:cs="宋体"/>
          <w:color w:val="000000" w:themeColor="text1"/>
          <w:szCs w:val="21"/>
          <w:highlight w:val="none"/>
          <w14:textFill>
            <w14:solidFill>
              <w14:schemeClr w14:val="tx1"/>
            </w14:solidFill>
          </w14:textFill>
        </w:rPr>
      </w:pPr>
      <w:bookmarkStart w:id="45" w:name="_Toc34844744"/>
      <w:bookmarkStart w:id="46" w:name="_Toc12559"/>
      <w:r>
        <w:rPr>
          <w:rFonts w:hint="eastAsia" w:ascii="宋体" w:hAnsi="宋体" w:eastAsia="宋体" w:cs="宋体"/>
          <w:color w:val="000000" w:themeColor="text1"/>
          <w:highlight w:val="none"/>
          <w14:textFill>
            <w14:solidFill>
              <w14:schemeClr w14:val="tx1"/>
            </w14:solidFill>
          </w14:textFill>
        </w:rPr>
        <w:t>第四章 评标方法和标准</w:t>
      </w:r>
      <w:bookmarkEnd w:id="45"/>
      <w:bookmarkEnd w:id="46"/>
    </w:p>
    <w:p w14:paraId="0BEBE7FF">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一、总则</w:t>
      </w:r>
    </w:p>
    <w:p w14:paraId="406D561E">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遵循公开、公正、公平、择优和诚实信用的原则，评标人员应本着认真、公正、诚实、廉洁的精神进行评标工作，择优推荐中标候选人。评标委员会成员必须严格遵守保密规定，不得泄露评标的有关情况。</w:t>
      </w:r>
    </w:p>
    <w:p w14:paraId="16FE6068">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二、评标方法</w:t>
      </w:r>
    </w:p>
    <w:p w14:paraId="064F45BB">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本项目采用综合评分法进行评审</w:t>
      </w:r>
    </w:p>
    <w:p w14:paraId="352194E7">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时，评标委员会各成员独立对每个投标人的投标文件进行评价，根据评委打分表的评分标准和评分范围，逐栏打分并汇总。投标人的最终评标得分为所有评委评分的算术平均数，小数点后四舍五入保留二位小数。</w:t>
      </w:r>
    </w:p>
    <w:p w14:paraId="53526F70">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2.价格扣除（价格优惠）</w:t>
      </w:r>
    </w:p>
    <w:p w14:paraId="1675338A">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满足价格扣除条件且在投标文件中提交了《中小企业声明函》《残疾人福利性单位声明函》或省级以上监狱管理局、戒毒管理局（含新疆生产建设兵团）出具的属于监狱企业的证明文件的投标人（小微企业），对其投标报价给予</w:t>
      </w:r>
      <w:r>
        <w:rPr>
          <w:rFonts w:hint="eastAsia" w:ascii="宋体" w:hAnsi="宋体" w:eastAsia="宋体" w:cs="宋体"/>
          <w:color w:val="000000" w:themeColor="text1"/>
          <w:highlight w:val="none"/>
          <w:u w:val="singl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%的扣除。</w:t>
      </w:r>
    </w:p>
    <w:p w14:paraId="53AE9064">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（2）符合采购标的对应的中小企业划分标准所属行业：</w:t>
      </w:r>
      <w:r>
        <w:rPr>
          <w:rFonts w:hint="eastAsia" w:ascii="宋体" w:hAnsi="宋体" w:eastAsia="宋体" w:cs="宋体"/>
          <w:b/>
          <w:color w:val="000000" w:themeColor="text1"/>
          <w:highlight w:val="none"/>
          <w:u w:val="single"/>
          <w14:textFill>
            <w14:solidFill>
              <w14:schemeClr w14:val="tx1"/>
            </w14:solidFill>
          </w14:textFill>
        </w:rPr>
        <w:t>租赁和商务服务业</w:t>
      </w:r>
      <w:r>
        <w:rPr>
          <w:rFonts w:hint="eastAsia" w:ascii="宋体" w:hAnsi="宋体" w:eastAsia="宋体" w:cs="宋体"/>
          <w:color w:val="000000" w:themeColor="text1"/>
          <w:highlight w:val="none"/>
          <w14:textFill>
            <w14:solidFill>
              <w14:schemeClr w14:val="tx1"/>
            </w14:solidFill>
          </w14:textFill>
        </w:rPr>
        <w:t>。</w:t>
      </w:r>
    </w:p>
    <w:p w14:paraId="3B30E546">
      <w:pPr>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552F5B8">
      <w:pPr>
        <w:spacing w:after="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三、评审程序</w:t>
      </w:r>
    </w:p>
    <w:p w14:paraId="48CA9918">
      <w:pPr>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1.资格审查</w:t>
      </w:r>
    </w:p>
    <w:p w14:paraId="121DE153">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由采购人或采购代理机构对投标人进行资格审查。资格审查内容如下：</w:t>
      </w:r>
    </w:p>
    <w:tbl>
      <w:tblPr>
        <w:tblStyle w:val="26"/>
        <w:tblW w:w="88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3006"/>
        <w:gridCol w:w="4017"/>
      </w:tblGrid>
      <w:tr w14:paraId="3B93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464BD169">
            <w:pPr>
              <w:adjustRightInd w:val="0"/>
              <w:snapToGrid w:val="0"/>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34" w:type="dxa"/>
            <w:tcBorders>
              <w:bottom w:val="single" w:color="auto" w:sz="4" w:space="0"/>
            </w:tcBorders>
            <w:vAlign w:val="center"/>
          </w:tcPr>
          <w:p w14:paraId="3A16D187">
            <w:pPr>
              <w:pStyle w:val="54"/>
              <w:pBdr>
                <w:bottom w:val="none" w:color="auto" w:sz="0" w:space="0"/>
              </w:pBdr>
              <w:tabs>
                <w:tab w:val="clear" w:pos="4153"/>
                <w:tab w:val="clear" w:pos="8306"/>
              </w:tabs>
              <w:snapToGrid w:val="0"/>
              <w:spacing w:after="0" w:line="240" w:lineRule="auto"/>
              <w:ind w:right="-1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3006" w:type="dxa"/>
            <w:tcBorders>
              <w:bottom w:val="single" w:color="auto" w:sz="4" w:space="0"/>
            </w:tcBorders>
            <w:vAlign w:val="center"/>
          </w:tcPr>
          <w:p w14:paraId="39F17B7B">
            <w:pPr>
              <w:adjustRightInd w:val="0"/>
              <w:snapToGrid w:val="0"/>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审查要求</w:t>
            </w:r>
          </w:p>
        </w:tc>
        <w:tc>
          <w:tcPr>
            <w:tcW w:w="4017" w:type="dxa"/>
            <w:tcBorders>
              <w:bottom w:val="single" w:color="auto" w:sz="4" w:space="0"/>
            </w:tcBorders>
            <w:vAlign w:val="center"/>
          </w:tcPr>
          <w:p w14:paraId="29E497CE">
            <w:pPr>
              <w:adjustRightInd w:val="0"/>
              <w:snapToGrid w:val="0"/>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要求说明</w:t>
            </w:r>
          </w:p>
        </w:tc>
      </w:tr>
      <w:tr w14:paraId="5866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09" w:type="dxa"/>
            <w:vAlign w:val="center"/>
          </w:tcPr>
          <w:p w14:paraId="17C80C12">
            <w:pPr>
              <w:adjustRightInd w:val="0"/>
              <w:snapToGrid w:val="0"/>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34" w:type="dxa"/>
            <w:vAlign w:val="center"/>
          </w:tcPr>
          <w:p w14:paraId="3C3DC9C0">
            <w:pPr>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基本资质</w:t>
            </w:r>
          </w:p>
        </w:tc>
        <w:tc>
          <w:tcPr>
            <w:tcW w:w="3006" w:type="dxa"/>
            <w:vAlign w:val="center"/>
          </w:tcPr>
          <w:p w14:paraId="38F1EF1C">
            <w:pPr>
              <w:spacing w:after="0" w:line="240" w:lineRule="auto"/>
              <w:ind w:right="-1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满足《中华人民共和国政府采购法》第二十二条第一款规定</w:t>
            </w:r>
          </w:p>
        </w:tc>
        <w:tc>
          <w:tcPr>
            <w:tcW w:w="4017" w:type="dxa"/>
            <w:vAlign w:val="center"/>
          </w:tcPr>
          <w:p w14:paraId="55324876">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资格要求响应文件内提供《投标人资格声明函》</w:t>
            </w:r>
          </w:p>
        </w:tc>
      </w:tr>
      <w:tr w14:paraId="4C77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vAlign w:val="center"/>
          </w:tcPr>
          <w:p w14:paraId="248BCB7D">
            <w:pPr>
              <w:adjustRightInd w:val="0"/>
              <w:snapToGrid w:val="0"/>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34" w:type="dxa"/>
            <w:vAlign w:val="center"/>
          </w:tcPr>
          <w:p w14:paraId="121FC1EE">
            <w:pPr>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营业执照</w:t>
            </w:r>
          </w:p>
        </w:tc>
        <w:tc>
          <w:tcPr>
            <w:tcW w:w="3006" w:type="dxa"/>
            <w:vAlign w:val="center"/>
          </w:tcPr>
          <w:p w14:paraId="07FE0EDD">
            <w:pPr>
              <w:spacing w:after="0" w:line="240" w:lineRule="auto"/>
              <w:ind w:right="-1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有效的营业执照或事业单位法人证书或社会团体法人登记证书或民办非企业单位登记证书等机构登记证明复印件</w:t>
            </w:r>
          </w:p>
        </w:tc>
        <w:tc>
          <w:tcPr>
            <w:tcW w:w="4017" w:type="dxa"/>
            <w:vAlign w:val="center"/>
          </w:tcPr>
          <w:p w14:paraId="568178C0">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资格要求响应文件内提供有效</w:t>
            </w:r>
            <w:r>
              <w:rPr>
                <w:rFonts w:hint="eastAsia" w:ascii="宋体" w:hAnsi="宋体" w:eastAsia="宋体" w:cs="宋体"/>
                <w:color w:val="000000" w:themeColor="text1"/>
                <w:kern w:val="1"/>
                <w:highlight w:val="none"/>
                <w14:textFill>
                  <w14:solidFill>
                    <w14:schemeClr w14:val="tx1"/>
                  </w14:solidFill>
                </w14:textFill>
              </w:rPr>
              <w:t>的营业执照或事业单位法人证书或社会团体法人登记证书或民办非企业单位登记证书等机构登记证明扫描（复印）件，</w:t>
            </w:r>
            <w:r>
              <w:rPr>
                <w:rFonts w:hint="eastAsia" w:ascii="宋体" w:hAnsi="宋体" w:eastAsia="宋体" w:cs="宋体"/>
                <w:color w:val="000000" w:themeColor="text1"/>
                <w:highlight w:val="none"/>
                <w14:textFill>
                  <w14:solidFill>
                    <w14:schemeClr w14:val="tx1"/>
                  </w14:solidFill>
                </w14:textFill>
              </w:rPr>
              <w:t>应完整清晰的体现出证明材料的全部内容。</w:t>
            </w:r>
          </w:p>
        </w:tc>
      </w:tr>
      <w:tr w14:paraId="0885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09" w:type="dxa"/>
            <w:vAlign w:val="center"/>
          </w:tcPr>
          <w:p w14:paraId="2281A1E6">
            <w:pPr>
              <w:adjustRightInd w:val="0"/>
              <w:snapToGrid w:val="0"/>
              <w:spacing w:after="0" w:line="240" w:lineRule="auto"/>
              <w:ind w:right="-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34" w:type="dxa"/>
            <w:vAlign w:val="center"/>
          </w:tcPr>
          <w:p w14:paraId="3A8658A9">
            <w:pPr>
              <w:spacing w:after="0" w:line="240" w:lineRule="auto"/>
              <w:jc w:val="center"/>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信用情况</w:t>
            </w:r>
          </w:p>
        </w:tc>
        <w:tc>
          <w:tcPr>
            <w:tcW w:w="3006" w:type="dxa"/>
            <w:vAlign w:val="center"/>
          </w:tcPr>
          <w:p w14:paraId="6AE6C66B">
            <w:pPr>
              <w:spacing w:after="0" w:line="240" w:lineRule="auto"/>
              <w:jc w:val="left"/>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未被“信用中国”网站(www.creditchina.gov.cn)列入“失信被执行人或重大税收违法失信主体”；未被中国政府采购网(www.ccgp.gov.cn)“政府采购严重违法失信行为信息记录”中列入禁止参加政府采购活动期间</w:t>
            </w:r>
          </w:p>
        </w:tc>
        <w:tc>
          <w:tcPr>
            <w:tcW w:w="4017" w:type="dxa"/>
            <w:vAlign w:val="center"/>
          </w:tcPr>
          <w:p w14:paraId="43B649B6">
            <w:pPr>
              <w:spacing w:after="0" w:line="240" w:lineRule="auto"/>
              <w:jc w:val="left"/>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无需提供材料。</w:t>
            </w:r>
          </w:p>
        </w:tc>
      </w:tr>
    </w:tbl>
    <w:p w14:paraId="5AC96A78">
      <w:pPr>
        <w:spacing w:after="0" w:line="360" w:lineRule="auto"/>
        <w:ind w:firstLine="4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资格审查指标通过标准：</w:t>
      </w:r>
      <w:r>
        <w:rPr>
          <w:rFonts w:hint="eastAsia" w:ascii="宋体" w:hAnsi="宋体" w:eastAsia="宋体" w:cs="宋体"/>
          <w:color w:val="000000" w:themeColor="text1"/>
          <w:highlight w:val="none"/>
          <w14:textFill>
            <w14:solidFill>
              <w14:schemeClr w14:val="tx1"/>
            </w14:solidFill>
          </w14:textFill>
        </w:rPr>
        <w:t>投标人必须通过资格审查表中的全部评审指标。</w:t>
      </w:r>
    </w:p>
    <w:p w14:paraId="36E30D5F">
      <w:pPr>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2.符合性审查</w:t>
      </w:r>
    </w:p>
    <w:p w14:paraId="4FC4A488">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评标委员会对通过资格审查的投标人的投标文件进行符合性审查，以确定其是否满足招标文件的实质性要求。符合性审查内容如下：</w:t>
      </w:r>
    </w:p>
    <w:tbl>
      <w:tblPr>
        <w:tblStyle w:val="26"/>
        <w:tblW w:w="88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35"/>
        <w:gridCol w:w="3321"/>
        <w:gridCol w:w="3390"/>
      </w:tblGrid>
      <w:tr w14:paraId="2711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0" w:type="dxa"/>
            <w:tcBorders>
              <w:bottom w:val="single" w:color="auto" w:sz="4" w:space="0"/>
            </w:tcBorders>
            <w:vAlign w:val="center"/>
          </w:tcPr>
          <w:p w14:paraId="4F46EAB5">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35" w:type="dxa"/>
            <w:tcBorders>
              <w:bottom w:val="single" w:color="auto" w:sz="4" w:space="0"/>
            </w:tcBorders>
            <w:vAlign w:val="center"/>
          </w:tcPr>
          <w:p w14:paraId="0875A702">
            <w:pPr>
              <w:pStyle w:val="54"/>
              <w:pBdr>
                <w:bottom w:val="none" w:color="auto" w:sz="0" w:space="0"/>
              </w:pBdr>
              <w:tabs>
                <w:tab w:val="clear" w:pos="4153"/>
                <w:tab w:val="clear" w:pos="8306"/>
              </w:tabs>
              <w:snapToGrid w:val="0"/>
              <w:spacing w:after="0" w:line="240" w:lineRule="auto"/>
              <w:ind w:right="-11"/>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3321" w:type="dxa"/>
            <w:tcBorders>
              <w:bottom w:val="single" w:color="auto" w:sz="4" w:space="0"/>
            </w:tcBorders>
            <w:vAlign w:val="center"/>
          </w:tcPr>
          <w:p w14:paraId="2AC6F1FC">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w:t>
            </w:r>
          </w:p>
        </w:tc>
        <w:tc>
          <w:tcPr>
            <w:tcW w:w="3390" w:type="dxa"/>
            <w:tcBorders>
              <w:bottom w:val="single" w:color="auto" w:sz="4" w:space="0"/>
            </w:tcBorders>
            <w:vAlign w:val="center"/>
          </w:tcPr>
          <w:p w14:paraId="11F8836E">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要求说明</w:t>
            </w:r>
          </w:p>
        </w:tc>
      </w:tr>
      <w:tr w14:paraId="5B9B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DF0CAD4">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35" w:type="dxa"/>
            <w:vAlign w:val="center"/>
          </w:tcPr>
          <w:p w14:paraId="2BF2216B">
            <w:pPr>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w:t>
            </w:r>
          </w:p>
        </w:tc>
        <w:tc>
          <w:tcPr>
            <w:tcW w:w="3321" w:type="dxa"/>
            <w:vAlign w:val="center"/>
          </w:tcPr>
          <w:p w14:paraId="73BA93A9">
            <w:pPr>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格式、金额符合招标文件要求并加盖公章</w:t>
            </w:r>
          </w:p>
        </w:tc>
        <w:tc>
          <w:tcPr>
            <w:tcW w:w="3390" w:type="dxa"/>
            <w:vAlign w:val="center"/>
          </w:tcPr>
          <w:p w14:paraId="3660D5A6">
            <w:pPr>
              <w:adjustRightInd w:val="0"/>
              <w:snapToGrid w:val="0"/>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投标文件内提供《开标一览表》</w:t>
            </w:r>
          </w:p>
        </w:tc>
      </w:tr>
      <w:tr w14:paraId="5B71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E0ED570">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35" w:type="dxa"/>
            <w:vAlign w:val="center"/>
          </w:tcPr>
          <w:p w14:paraId="1D7576EB">
            <w:pPr>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投标函</w:t>
            </w:r>
          </w:p>
        </w:tc>
        <w:tc>
          <w:tcPr>
            <w:tcW w:w="3321" w:type="dxa"/>
            <w:vAlign w:val="center"/>
          </w:tcPr>
          <w:p w14:paraId="1E79F709">
            <w:pPr>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投标函格式、填写符合招标文件要求并加盖公章</w:t>
            </w:r>
          </w:p>
        </w:tc>
        <w:tc>
          <w:tcPr>
            <w:tcW w:w="3390" w:type="dxa"/>
            <w:vAlign w:val="center"/>
          </w:tcPr>
          <w:p w14:paraId="5AA7A124">
            <w:pPr>
              <w:adjustRightInd w:val="0"/>
              <w:snapToGrid w:val="0"/>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投标文件内提供《投标函》</w:t>
            </w:r>
          </w:p>
        </w:tc>
      </w:tr>
      <w:tr w14:paraId="47C9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Align w:val="center"/>
          </w:tcPr>
          <w:p w14:paraId="54A08F46">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435" w:type="dxa"/>
            <w:vAlign w:val="center"/>
          </w:tcPr>
          <w:p w14:paraId="6B288154">
            <w:pPr>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投标文件盖章</w:t>
            </w:r>
          </w:p>
        </w:tc>
        <w:tc>
          <w:tcPr>
            <w:tcW w:w="3321" w:type="dxa"/>
            <w:vAlign w:val="center"/>
          </w:tcPr>
          <w:p w14:paraId="7685CC52">
            <w:pPr>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投标文件按照招标文件要求进行盖章</w:t>
            </w:r>
          </w:p>
        </w:tc>
        <w:tc>
          <w:tcPr>
            <w:tcW w:w="3390" w:type="dxa"/>
            <w:vAlign w:val="center"/>
          </w:tcPr>
          <w:p w14:paraId="786A6802">
            <w:pPr>
              <w:adjustRightInd w:val="0"/>
              <w:snapToGrid w:val="0"/>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投标文件相关资料盖章满足招标文件要求</w:t>
            </w:r>
          </w:p>
        </w:tc>
      </w:tr>
      <w:tr w14:paraId="796A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AB54078">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435" w:type="dxa"/>
            <w:vAlign w:val="center"/>
          </w:tcPr>
          <w:p w14:paraId="1B8746C0">
            <w:pPr>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采购需求要求响应</w:t>
            </w:r>
          </w:p>
        </w:tc>
        <w:tc>
          <w:tcPr>
            <w:tcW w:w="3321" w:type="dxa"/>
            <w:vAlign w:val="center"/>
          </w:tcPr>
          <w:p w14:paraId="1B490E4C">
            <w:pPr>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符合招标文件采购需求中明确的实质性要求</w:t>
            </w:r>
          </w:p>
        </w:tc>
        <w:tc>
          <w:tcPr>
            <w:tcW w:w="3390" w:type="dxa"/>
            <w:vAlign w:val="center"/>
          </w:tcPr>
          <w:p w14:paraId="190B9F0F">
            <w:pPr>
              <w:adjustRightInd w:val="0"/>
              <w:snapToGrid w:val="0"/>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投标文件内提供商务要求响应表、技术/服务要求响应表</w:t>
            </w:r>
          </w:p>
        </w:tc>
      </w:tr>
      <w:tr w14:paraId="1CD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0" w:type="dxa"/>
            <w:vAlign w:val="center"/>
          </w:tcPr>
          <w:p w14:paraId="550ACE8F">
            <w:pPr>
              <w:adjustRightInd w:val="0"/>
              <w:snapToGrid w:val="0"/>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435" w:type="dxa"/>
            <w:vAlign w:val="center"/>
          </w:tcPr>
          <w:p w14:paraId="63931DE3">
            <w:pPr>
              <w:spacing w:after="0" w:line="240" w:lineRule="auto"/>
              <w:ind w:right="-1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其他要求</w:t>
            </w:r>
          </w:p>
        </w:tc>
        <w:tc>
          <w:tcPr>
            <w:tcW w:w="3321" w:type="dxa"/>
            <w:vAlign w:val="center"/>
          </w:tcPr>
          <w:p w14:paraId="19B1CD1A">
            <w:pPr>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符合法律、行政法规规定的其他条件或不存在招标文件列明的拒绝投标、不允许存在的其他情形（含投标无效或无效投标）</w:t>
            </w:r>
          </w:p>
        </w:tc>
        <w:tc>
          <w:tcPr>
            <w:tcW w:w="3390" w:type="dxa"/>
            <w:vAlign w:val="center"/>
          </w:tcPr>
          <w:p w14:paraId="424E51B1">
            <w:pPr>
              <w:adjustRightInd w:val="0"/>
              <w:snapToGrid w:val="0"/>
              <w:spacing w:after="0" w:line="240" w:lineRule="auto"/>
              <w:ind w:right="-11"/>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招标文件无明确要求的无需提供材料</w:t>
            </w:r>
          </w:p>
        </w:tc>
      </w:tr>
    </w:tbl>
    <w:p w14:paraId="2126C4C5">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符合性审查指标通过标准：</w:t>
      </w:r>
      <w:r>
        <w:rPr>
          <w:rFonts w:hint="eastAsia" w:ascii="宋体" w:hAnsi="宋体" w:eastAsia="宋体" w:cs="宋体"/>
          <w:color w:val="000000" w:themeColor="text1"/>
          <w:highlight w:val="none"/>
          <w14:textFill>
            <w14:solidFill>
              <w14:schemeClr w14:val="tx1"/>
            </w14:solidFill>
          </w14:textFill>
        </w:rPr>
        <w:t>投标人必须通过符合性审查表中的全部评审指标。</w:t>
      </w:r>
    </w:p>
    <w:p w14:paraId="7ABDD7B4">
      <w:pPr>
        <w:spacing w:after="0" w:line="360" w:lineRule="auto"/>
        <w:ind w:firstLine="420"/>
        <w:rPr>
          <w:rFonts w:hint="eastAsia" w:ascii="宋体" w:hAnsi="宋体" w:eastAsia="宋体" w:cs="宋体"/>
          <w:b/>
          <w:color w:val="000000" w:themeColor="text1"/>
          <w:highlight w:val="none"/>
          <w14:textFill>
            <w14:solidFill>
              <w14:schemeClr w14:val="tx1"/>
            </w14:solidFill>
          </w14:textFill>
        </w:rPr>
      </w:pPr>
      <w:bookmarkStart w:id="47" w:name="_Hlk173502886"/>
      <w:r>
        <w:rPr>
          <w:rFonts w:hint="eastAsia" w:ascii="宋体" w:hAnsi="宋体" w:eastAsia="宋体" w:cs="宋体"/>
          <w:b/>
          <w:color w:val="000000" w:themeColor="text1"/>
          <w:highlight w:val="none"/>
          <w14:textFill>
            <w14:solidFill>
              <w14:schemeClr w14:val="tx1"/>
            </w14:solidFill>
          </w14:textFill>
        </w:rPr>
        <w:t>3.详细审查和评分（评标标准兼评委打分表）</w:t>
      </w:r>
    </w:p>
    <w:p w14:paraId="7FA76DBB">
      <w:pPr>
        <w:pStyle w:val="8"/>
        <w:ind w:firstLine="0" w:firstLineChars="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适用于所有标项</w:t>
      </w:r>
    </w:p>
    <w:tbl>
      <w:tblPr>
        <w:tblStyle w:val="26"/>
        <w:tblW w:w="486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6"/>
        <w:gridCol w:w="6352"/>
        <w:gridCol w:w="689"/>
        <w:gridCol w:w="882"/>
      </w:tblGrid>
      <w:tr w14:paraId="2AB2C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vAlign w:val="center"/>
          </w:tcPr>
          <w:p w14:paraId="44752DA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3587" w:type="pct"/>
            <w:vAlign w:val="center"/>
          </w:tcPr>
          <w:p w14:paraId="68858C7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评分标准</w:t>
            </w:r>
          </w:p>
        </w:tc>
        <w:tc>
          <w:tcPr>
            <w:tcW w:w="389" w:type="pct"/>
            <w:vAlign w:val="center"/>
          </w:tcPr>
          <w:p w14:paraId="5501696B">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498" w:type="pct"/>
            <w:vAlign w:val="center"/>
          </w:tcPr>
          <w:p w14:paraId="59774722">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59A09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bottom w:val="single" w:color="auto" w:sz="4" w:space="0"/>
            </w:tcBorders>
            <w:vAlign w:val="center"/>
          </w:tcPr>
          <w:p w14:paraId="108694D8">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机房环境</w:t>
            </w:r>
          </w:p>
        </w:tc>
        <w:tc>
          <w:tcPr>
            <w:tcW w:w="3587" w:type="pct"/>
            <w:tcBorders>
              <w:bottom w:val="single" w:color="auto" w:sz="4" w:space="0"/>
            </w:tcBorders>
            <w:vAlign w:val="center"/>
          </w:tcPr>
          <w:p w14:paraId="2B5FEFE3">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根据机房地理位置要求提供机房环境说明（包含但不限于地理位置、周边环境、办公及泊车等配套设备情况）进行综合评审：</w:t>
            </w:r>
          </w:p>
          <w:p w14:paraId="5A273CA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①机房的地理位置、环境完全符合本项目的需求，配套设施完善得5分；</w:t>
            </w:r>
          </w:p>
          <w:p w14:paraId="26EE37D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②机房地理位置、环境及配套设施基本满足本项目的需求，得3分；</w:t>
            </w:r>
          </w:p>
          <w:p w14:paraId="685CBD91">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③机房地理位置、环境及配套设施条件一般，得1分；</w:t>
            </w:r>
          </w:p>
          <w:p w14:paraId="22773FB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61A6276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98" w:type="pct"/>
            <w:vAlign w:val="center"/>
          </w:tcPr>
          <w:p w14:paraId="1236D8A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53043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bottom w:val="single" w:color="auto" w:sz="4" w:space="0"/>
            </w:tcBorders>
            <w:vAlign w:val="center"/>
          </w:tcPr>
          <w:p w14:paraId="03515C27">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机房机柜配置</w:t>
            </w:r>
          </w:p>
        </w:tc>
        <w:tc>
          <w:tcPr>
            <w:tcW w:w="3587" w:type="pct"/>
            <w:tcBorders>
              <w:bottom w:val="single" w:color="auto" w:sz="4" w:space="0"/>
            </w:tcBorders>
            <w:vAlign w:val="center"/>
          </w:tcPr>
          <w:p w14:paraId="0C232A62">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根据供应商提供的机房机柜配置（包括但不限于机房机柜配置说明、机柜性能参数、机柜规格）进行综合评审：</w:t>
            </w:r>
          </w:p>
          <w:p w14:paraId="1F3E132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①配置齐全、性能好、设备稳定，完全符合本项目要求的得5分；</w:t>
            </w:r>
          </w:p>
          <w:p w14:paraId="5A7AD1F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②配置比较齐全、性能较好、设备比较稳定，基本符合本项目要求的得3分；</w:t>
            </w:r>
          </w:p>
          <w:p w14:paraId="2638848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③配置基本齐全、性能一般、设备稳定性一般的得1分；</w:t>
            </w:r>
          </w:p>
          <w:p w14:paraId="5416CB0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1521FDCC">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98" w:type="pct"/>
            <w:vAlign w:val="center"/>
          </w:tcPr>
          <w:p w14:paraId="75818955">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69821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bottom w:val="single" w:color="auto" w:sz="4" w:space="0"/>
            </w:tcBorders>
            <w:vAlign w:val="center"/>
          </w:tcPr>
          <w:p w14:paraId="6F6CD4B7">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机房管理服务方案</w:t>
            </w:r>
          </w:p>
        </w:tc>
        <w:tc>
          <w:tcPr>
            <w:tcW w:w="3587" w:type="pct"/>
            <w:tcBorders>
              <w:bottom w:val="single" w:color="auto" w:sz="4" w:space="0"/>
            </w:tcBorders>
            <w:vAlign w:val="center"/>
          </w:tcPr>
          <w:p w14:paraId="59FF0212">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根据采购需求提供机房管理服务方（包括但不限于机房管理体系、设备管理、机房访问权限管理、管理流程等）案进行综合评审：</w:t>
            </w:r>
          </w:p>
          <w:p w14:paraId="56593D87">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①机房管理体系和流程完善、访问权限管理严格，方案阐述说明全面、合理的得6分；</w:t>
            </w:r>
          </w:p>
          <w:p w14:paraId="16B78FC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②机房管理体系和流程比较完善、访问权限管理比较严格，方案阐述说明比较全面、比较合理的得4分；</w:t>
            </w:r>
          </w:p>
          <w:p w14:paraId="69DED1B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③机房管理体系和流程基本完整、访问权限管理严格性一般，方案阐述说明合理性一般的得2分；</w:t>
            </w:r>
          </w:p>
          <w:p w14:paraId="7E2E428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5303FC86">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98" w:type="pct"/>
            <w:vAlign w:val="center"/>
          </w:tcPr>
          <w:p w14:paraId="77B1F49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1BE51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bottom w:val="single" w:color="auto" w:sz="4" w:space="0"/>
            </w:tcBorders>
            <w:vAlign w:val="center"/>
          </w:tcPr>
          <w:p w14:paraId="0700C53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重难点分析及解决方案</w:t>
            </w:r>
          </w:p>
        </w:tc>
        <w:tc>
          <w:tcPr>
            <w:tcW w:w="3587" w:type="pct"/>
            <w:tcBorders>
              <w:bottom w:val="single" w:color="auto" w:sz="4" w:space="0"/>
            </w:tcBorders>
            <w:vAlign w:val="center"/>
          </w:tcPr>
          <w:p w14:paraId="2202C89F">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根据供应商提供的对本项目重难点分析及解决方案（包括但不限于针对本项目存在或实施过程中重难点分析、对应解决措施等）进行综合评审：</w:t>
            </w:r>
          </w:p>
          <w:p w14:paraId="5A7EC8C9">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①提供的重难点分析方案及解决方案，方案内容阐述详实全面，合理，思路清晰的，措施针对性较强的，得5分；</w:t>
            </w:r>
          </w:p>
          <w:p w14:paraId="3122E86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②提供的重难点分析方案及解决方案，方案内容阐述较为全面、具体详细，较为合理、有一定针对性、操作性一般的，得3分；</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③提供的重难点分析方案及解决方案，方案内容阐述说明内容简单、缺乏针对性、操作性差的，得1分；</w:t>
            </w:r>
          </w:p>
          <w:p w14:paraId="684549D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58F842B7">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98" w:type="pct"/>
            <w:vAlign w:val="center"/>
          </w:tcPr>
          <w:p w14:paraId="443D33A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492CC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3" w:type="pct"/>
            <w:tcBorders>
              <w:bottom w:val="single" w:color="auto" w:sz="4" w:space="0"/>
            </w:tcBorders>
            <w:vAlign w:val="center"/>
          </w:tcPr>
          <w:p w14:paraId="2822E08F">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动环数据传输方案</w:t>
            </w:r>
          </w:p>
        </w:tc>
        <w:tc>
          <w:tcPr>
            <w:tcW w:w="3587" w:type="pct"/>
            <w:tcBorders>
              <w:bottom w:val="single" w:color="auto" w:sz="4" w:space="0"/>
            </w:tcBorders>
            <w:vAlign w:val="center"/>
          </w:tcPr>
          <w:p w14:paraId="45BE1718">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供应商提供的配电系统（配电柜、强电列头柜）、UPS系统（UPS主机、电池监测系统）、空调系统（精密空调主机、漏水检测）、消防系统、门禁系统、视频监控系统、温湿度数据等动环数据传输方案进行综合评审：</w:t>
            </w:r>
          </w:p>
          <w:p w14:paraId="649DA30E">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①传输方案满足高可靠性、高安全性、高实时性和数据完整性的技术要求，能够实时查看、回看及查询相关日志等内容的得5分；</w:t>
            </w:r>
          </w:p>
          <w:p w14:paraId="08153B6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②传输方案基本满足高可靠性、高安全性、高实时性和数据完整性的技术要求，能够实时查看、回看及查询相关日志等内容的得3分；</w:t>
            </w:r>
          </w:p>
          <w:p w14:paraId="2D700D61">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③传输方案内容简单粗略，有部分内容无法满足高可靠性、高安全性、高实时性和数据完整性的技术要求，导致无法实时查看的得1分；</w:t>
            </w:r>
          </w:p>
          <w:p w14:paraId="06ED707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6E58B888">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98" w:type="pct"/>
            <w:vAlign w:val="center"/>
          </w:tcPr>
          <w:p w14:paraId="2EE80547">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46F36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top w:val="single" w:color="auto" w:sz="4" w:space="0"/>
              <w:bottom w:val="single" w:color="auto" w:sz="4" w:space="0"/>
            </w:tcBorders>
            <w:vAlign w:val="center"/>
          </w:tcPr>
          <w:p w14:paraId="36991A96">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机房抗震、消防、防洪要求</w:t>
            </w:r>
          </w:p>
        </w:tc>
        <w:tc>
          <w:tcPr>
            <w:tcW w:w="3587" w:type="pct"/>
            <w:tcBorders>
              <w:top w:val="single" w:color="auto" w:sz="4" w:space="0"/>
              <w:bottom w:val="single" w:color="auto" w:sz="4" w:space="0"/>
            </w:tcBorders>
            <w:vAlign w:val="center"/>
          </w:tcPr>
          <w:p w14:paraId="707F11B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根据场地要求提供机房抗震设计、机房消防情况、防洪情况说明进行综合评审：</w:t>
            </w:r>
          </w:p>
          <w:p w14:paraId="2F954475">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①抗震、消防、防洪设计符合标准，防护措施齐全的得4分；</w:t>
            </w:r>
          </w:p>
          <w:p w14:paraId="4BA8BE9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②抗震、消防、防洪设计基本符合标准，防护措施比较齐全的得2分；</w:t>
            </w:r>
          </w:p>
          <w:p w14:paraId="7FFB9AC1">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③抗震、消防、防洪设计基本符合标准，防护措施一般的得1分；</w:t>
            </w:r>
          </w:p>
          <w:p w14:paraId="5AB5F56B">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16902BD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498" w:type="pct"/>
            <w:vAlign w:val="center"/>
          </w:tcPr>
          <w:p w14:paraId="50F1C26D">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7C829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top w:val="single" w:color="auto" w:sz="4" w:space="0"/>
              <w:bottom w:val="single" w:color="auto" w:sz="4" w:space="0"/>
            </w:tcBorders>
            <w:vAlign w:val="center"/>
          </w:tcPr>
          <w:p w14:paraId="02D564BD">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机房电力供应要求</w:t>
            </w:r>
          </w:p>
        </w:tc>
        <w:tc>
          <w:tcPr>
            <w:tcW w:w="3587" w:type="pct"/>
            <w:tcBorders>
              <w:top w:val="single" w:color="auto" w:sz="4" w:space="0"/>
              <w:bottom w:val="single" w:color="auto" w:sz="4" w:space="0"/>
            </w:tcBorders>
            <w:vAlign w:val="center"/>
          </w:tcPr>
          <w:p w14:paraId="556246C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根据采购需求要求提供电力系统配置说明、工艺规划及技术要求，综合阐述电源能力及应急供电能力进行综合评审：</w:t>
            </w:r>
          </w:p>
          <w:p w14:paraId="19E261A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①配置齐全、工艺合理，技术要求满足采购需求，电源能力及应急供电能力强的得4分；</w:t>
            </w:r>
          </w:p>
          <w:p w14:paraId="5D8C9F70">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②配置基本齐全、工艺比较合理，技术要求基本满足采购需求，电源能力及应急供电能力较强的得2分；</w:t>
            </w:r>
          </w:p>
          <w:p w14:paraId="1F8F3679">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③配置基本齐全、工艺合理性一般，技术要求基本满足采购需求，电源能力及应急供电能力一般的得1分；</w:t>
            </w:r>
          </w:p>
          <w:p w14:paraId="258F5091">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53078360">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498" w:type="pct"/>
            <w:vAlign w:val="center"/>
          </w:tcPr>
          <w:p w14:paraId="5F06A880">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5B6F9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523" w:type="pct"/>
            <w:tcBorders>
              <w:top w:val="single" w:color="auto" w:sz="4" w:space="0"/>
              <w:bottom w:val="single" w:color="auto" w:sz="4" w:space="0"/>
            </w:tcBorders>
            <w:vAlign w:val="center"/>
          </w:tcPr>
          <w:p w14:paraId="4271A51B">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机房空调系统要求</w:t>
            </w:r>
          </w:p>
        </w:tc>
        <w:tc>
          <w:tcPr>
            <w:tcW w:w="3587" w:type="pct"/>
            <w:tcBorders>
              <w:top w:val="single" w:color="auto" w:sz="4" w:space="0"/>
              <w:bottom w:val="single" w:color="auto" w:sz="4" w:space="0"/>
            </w:tcBorders>
            <w:vAlign w:val="center"/>
          </w:tcPr>
          <w:p w14:paraId="3DAEDA3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根据采购需求要求提供空调系统配置说明、工艺规划及技术要求，综合阐述空调制冷能力及节能效果进行综合评审：</w:t>
            </w:r>
          </w:p>
          <w:p w14:paraId="1A0BCDC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①配置齐全、工艺合理，技术要求满足采购需求，空调制冷能力及节能性强的得4分；</w:t>
            </w:r>
          </w:p>
          <w:p w14:paraId="692C809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②配置基本齐全、工艺比较合理，技术要求基本满足采购需求，空调制冷能力及节能性较强的得2分；</w:t>
            </w:r>
          </w:p>
          <w:p w14:paraId="7EE09528">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③配置基本齐全、工艺合理性一般，技术要求基本满足采购需求，空调制冷能力及节能性一般的得1分；</w:t>
            </w:r>
          </w:p>
          <w:p w14:paraId="67A9F920">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758B65C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498" w:type="pct"/>
            <w:vAlign w:val="center"/>
          </w:tcPr>
          <w:p w14:paraId="40D4B688">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333C2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top w:val="single" w:color="auto" w:sz="4" w:space="0"/>
              <w:bottom w:val="single" w:color="auto" w:sz="4" w:space="0"/>
            </w:tcBorders>
            <w:vAlign w:val="center"/>
          </w:tcPr>
          <w:p w14:paraId="19D75CA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机房动力环境监控系统</w:t>
            </w:r>
          </w:p>
        </w:tc>
        <w:tc>
          <w:tcPr>
            <w:tcW w:w="3587" w:type="pct"/>
            <w:tcBorders>
              <w:top w:val="single" w:color="auto" w:sz="4" w:space="0"/>
              <w:bottom w:val="single" w:color="auto" w:sz="4" w:space="0"/>
            </w:tcBorders>
            <w:vAlign w:val="center"/>
          </w:tcPr>
          <w:p w14:paraId="64B253B1">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根据采购需求提供动力环境监控系统的配置说明、工艺规划及技术要求，综合阐述实时监控能力、视频回放能力及日志查询能力等进行综合评审：</w:t>
            </w:r>
          </w:p>
          <w:p w14:paraId="7AFA0F30">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t>配置齐全、工艺合理，技术要求满足采购需求，监控能力强的得4分；</w:t>
            </w:r>
          </w:p>
          <w:p w14:paraId="0866D0E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配置基本齐全、工艺比较合理，技术要求基本满足采购需求，监控能力较强的得2分；</w:t>
            </w:r>
          </w:p>
          <w:p w14:paraId="1D456FD5">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t>配置基本齐全、工艺合理性一般，技术要求基本满足采购需求，监控能力一般的得1分；</w:t>
            </w:r>
          </w:p>
          <w:p w14:paraId="3A0D495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0F29BB50">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498" w:type="pct"/>
            <w:vAlign w:val="center"/>
          </w:tcPr>
          <w:p w14:paraId="7329C4F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52009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3" w:type="pct"/>
            <w:tcBorders>
              <w:top w:val="single" w:color="auto" w:sz="4" w:space="0"/>
            </w:tcBorders>
            <w:vAlign w:val="center"/>
          </w:tcPr>
          <w:p w14:paraId="52ECB07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机房日常运维体系方案</w:t>
            </w:r>
          </w:p>
        </w:tc>
        <w:tc>
          <w:tcPr>
            <w:tcW w:w="3587" w:type="pct"/>
            <w:tcBorders>
              <w:top w:val="single" w:color="auto" w:sz="4" w:space="0"/>
            </w:tcBorders>
            <w:vAlign w:val="center"/>
          </w:tcPr>
          <w:p w14:paraId="0F228B7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根据采购需求提供机房日常运维方案（包含但不限于日常巡检及维护、现场值守方案、机房服务管理规范、巡查报告或运维资料文档模板等）进行综合评审：</w:t>
            </w:r>
          </w:p>
          <w:p w14:paraId="476C453F">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①运维方案详细、工作规范符合相关技术标准，日常巡查到位，巡查报告或运维资料文档齐全，模板内容完整的得7分；</w:t>
            </w:r>
          </w:p>
          <w:p w14:paraId="299BABB8">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②运维方案基本完整、工作规范基本符合相关技术标准，日常巡查比较到位，巡查报告或运维资料文档基本齐全，模板内容比较完整的得5分；</w:t>
            </w:r>
          </w:p>
          <w:p w14:paraId="69DF47B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③运维方案简单粗略、有基础日常巡查及保养保修，文档资料简单或不齐全的得3分；</w:t>
            </w:r>
          </w:p>
          <w:p w14:paraId="7F16B9D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0AC5CC98">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498" w:type="pct"/>
            <w:vAlign w:val="center"/>
          </w:tcPr>
          <w:p w14:paraId="4034EFFB">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28D50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vMerge w:val="restart"/>
            <w:vAlign w:val="center"/>
          </w:tcPr>
          <w:p w14:paraId="20C79B2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安全保密方案</w:t>
            </w:r>
          </w:p>
        </w:tc>
        <w:tc>
          <w:tcPr>
            <w:tcW w:w="3587" w:type="pct"/>
            <w:tcBorders>
              <w:top w:val="single" w:color="auto" w:sz="4" w:space="0"/>
              <w:bottom w:val="single" w:color="auto" w:sz="4" w:space="0"/>
            </w:tcBorders>
            <w:vAlign w:val="center"/>
          </w:tcPr>
          <w:p w14:paraId="05D5515E">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提供为本项目制定的安全保密方案（包含但不限于机房安全保密方案、网络安全管理方案、系统、设备的安全保密方案等进行描述）进行综合评审：</w:t>
            </w:r>
          </w:p>
          <w:p w14:paraId="440FDC13">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①方案充分考虑到全方位的安全风险，能够对网络、数据、系统等进行全面保护，安全保护及保密措施符合相关法律法规，配合工作有具体详细的服务流程的得6分；</w:t>
            </w:r>
          </w:p>
          <w:p w14:paraId="4B75365B">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②方案基本考虑到大部分的安全风险，能够对相关内容进行充分保护，基本符合相关法律法规，配合工作有基本的服务流程的得4分；</w:t>
            </w:r>
          </w:p>
          <w:p w14:paraId="4C6A6FF0">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③方案简单粗略，在安全保护操作上有一定的合理规划方案，基本符合相关法律法规，配合工作内容粗略的得2分；</w:t>
            </w:r>
          </w:p>
          <w:p w14:paraId="21B21D3B">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1755CD36">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98" w:type="pct"/>
            <w:vAlign w:val="center"/>
          </w:tcPr>
          <w:p w14:paraId="1F64A6F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4A3B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vMerge w:val="continue"/>
            <w:vAlign w:val="center"/>
          </w:tcPr>
          <w:p w14:paraId="371480A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p>
        </w:tc>
        <w:tc>
          <w:tcPr>
            <w:tcW w:w="3587" w:type="pct"/>
            <w:tcBorders>
              <w:top w:val="single" w:color="auto" w:sz="4" w:space="0"/>
              <w:bottom w:val="single" w:color="auto" w:sz="4" w:space="0"/>
            </w:tcBorders>
            <w:vAlign w:val="center"/>
          </w:tcPr>
          <w:p w14:paraId="0A4C015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（2）提供为本项目制定的等保方案（包含但不限于实施内容、物理安全控制、应用安全防护、通信安全等）进行综合评审：</w:t>
            </w:r>
          </w:p>
          <w:p w14:paraId="47530F42">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①等保方案实施内容明确，物理安全控制方面考虑周全、应用安全防护全面、通信安全保障合理的得6分；</w:t>
            </w:r>
          </w:p>
          <w:p w14:paraId="7C09D6C0">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②等保方案实施内容比较明确，物理安全控制方面考虑比较周全、应用安全防护比较全面、通信安全保障比较合理的得4分；</w:t>
            </w:r>
          </w:p>
          <w:p w14:paraId="7665678E">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③等保方案实施内容明确性一般，物理安全控制方面考虑有所欠缺、应用安全防护、通信安全保障均普通的得2分；</w:t>
            </w:r>
          </w:p>
          <w:p w14:paraId="35D0BB8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④未提供方案不得分。</w:t>
            </w:r>
          </w:p>
        </w:tc>
        <w:tc>
          <w:tcPr>
            <w:tcW w:w="389" w:type="pct"/>
            <w:vAlign w:val="center"/>
          </w:tcPr>
          <w:p w14:paraId="797D608C">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98" w:type="pct"/>
            <w:vAlign w:val="center"/>
          </w:tcPr>
          <w:p w14:paraId="32645C36">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219A2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vMerge w:val="continue"/>
            <w:tcBorders>
              <w:bottom w:val="single" w:color="auto" w:sz="4" w:space="0"/>
            </w:tcBorders>
            <w:vAlign w:val="center"/>
          </w:tcPr>
          <w:p w14:paraId="04B46AD5">
            <w:pPr>
              <w:spacing w:after="0" w:line="279" w:lineRule="auto"/>
              <w:jc w:val="center"/>
              <w:rPr>
                <w:rFonts w:hint="eastAsia" w:ascii="宋体" w:hAnsi="宋体" w:eastAsia="宋体" w:cs="宋体"/>
                <w:color w:val="000000" w:themeColor="text1"/>
                <w:highlight w:val="none"/>
                <w14:textFill>
                  <w14:solidFill>
                    <w14:schemeClr w14:val="tx1"/>
                  </w14:solidFill>
                </w14:textFill>
              </w:rPr>
            </w:pPr>
          </w:p>
        </w:tc>
        <w:tc>
          <w:tcPr>
            <w:tcW w:w="3587" w:type="pct"/>
            <w:tcBorders>
              <w:top w:val="single" w:color="auto" w:sz="4" w:space="0"/>
              <w:bottom w:val="single" w:color="auto" w:sz="4" w:space="0"/>
            </w:tcBorders>
            <w:vAlign w:val="center"/>
          </w:tcPr>
          <w:p w14:paraId="6587C429">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（3）提供为本项目制定的商密方案（包括但不限于商密实施内容、身份识别分类、商密等级划分等）进行综合评审：</w:t>
            </w:r>
          </w:p>
          <w:p w14:paraId="2AD846F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①商密方案实施内容明确，身份识别分类精准、商密等级划分鲜明、保密制度完善可行的得6分；</w:t>
            </w:r>
          </w:p>
          <w:p w14:paraId="28D2813E">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②商密方案实施内容比较明确，身份识别分类比较精准、商密等级划分比较鲜明、保密制度比较可行的得4分；</w:t>
            </w:r>
          </w:p>
          <w:p w14:paraId="6F0481AF">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③商密方案实施内容基本完整，身份识别分类分类精准性一般、商密等级划分鲜明性一般、保密制度完善程度一般的得2分；</w:t>
            </w:r>
          </w:p>
          <w:p w14:paraId="7BD6DDAF">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187F3590">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98" w:type="pct"/>
            <w:vAlign w:val="center"/>
          </w:tcPr>
          <w:p w14:paraId="2BC6E0EC">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24F88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bottom w:val="single" w:color="auto" w:sz="4" w:space="0"/>
            </w:tcBorders>
            <w:vAlign w:val="center"/>
          </w:tcPr>
          <w:p w14:paraId="15A5A322">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应急服务方案</w:t>
            </w:r>
          </w:p>
        </w:tc>
        <w:tc>
          <w:tcPr>
            <w:tcW w:w="3587" w:type="pct"/>
            <w:tcBorders>
              <w:top w:val="single" w:color="auto" w:sz="4" w:space="0"/>
              <w:bottom w:val="single" w:color="auto" w:sz="4" w:space="0"/>
            </w:tcBorders>
            <w:vAlign w:val="center"/>
          </w:tcPr>
          <w:p w14:paraId="4F25350F">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提供应急服务方案（包含但不限于人为损害事件应急预案、供电系统故障应急预案、暖通系统故障应急预案、消防系统故障应急预案、系统软件故障应急预案、通信网络故障应急预案、应急工作小组设置及工作职责等内容）进行综合评审：</w:t>
            </w:r>
          </w:p>
          <w:p w14:paraId="5209DE6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①应急预案内容详细，应急处理有明确的操作流程，解决模式明确有效的得7分；</w:t>
            </w:r>
          </w:p>
          <w:p w14:paraId="08CD86E3">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②应急预案内容基本完整，应急处理有比较明确的操作流程，解决模式比较有效的得5分；</w:t>
            </w:r>
          </w:p>
          <w:p w14:paraId="11A70579">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③应急服务方案简单粗略，应急处理的操作流程有欠缺或有明显漏洞，解决模式有效性一般的得3分；</w:t>
            </w:r>
          </w:p>
          <w:p w14:paraId="74DE2ED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2EEA4396">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498" w:type="pct"/>
            <w:vAlign w:val="center"/>
          </w:tcPr>
          <w:p w14:paraId="5DA4150B">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488F7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bottom w:val="single" w:color="auto" w:sz="4" w:space="0"/>
            </w:tcBorders>
            <w:vAlign w:val="center"/>
          </w:tcPr>
          <w:p w14:paraId="5FBFD1B1">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培训方案</w:t>
            </w:r>
          </w:p>
        </w:tc>
        <w:tc>
          <w:tcPr>
            <w:tcW w:w="3587" w:type="pct"/>
            <w:tcBorders>
              <w:top w:val="single" w:color="auto" w:sz="4" w:space="0"/>
              <w:bottom w:val="single" w:color="auto" w:sz="4" w:space="0"/>
            </w:tcBorders>
            <w:vAlign w:val="center"/>
          </w:tcPr>
          <w:p w14:paraId="62251EB0">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供应商提供的培训方案（包含但不限于培训目标、培训师资、培训对象、培训课程内容、培训计划或日程安排等）进行综合评审：</w:t>
            </w:r>
          </w:p>
          <w:p w14:paraId="63890F71">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①培训目标合理、培训课程计划详尽，培训师资经验丰富，培训对象符合采购人实际需要、培训内容充分合理、符合采购需求的得3分；</w:t>
            </w:r>
          </w:p>
          <w:p w14:paraId="1775EBF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②培训目标比较合理、培训计划基本完整，师资经验比较丰富，培训对象基本符合本项目要求、培训内容比较合理、基本符合采购需求的得2分；</w:t>
            </w:r>
          </w:p>
          <w:p w14:paraId="11A6B88B">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③培训目标比较合理、培训计划安排不太妥当，师资缺乏类似经验，培训对象基本符合本项目要求、培训内容描述简单笼统、与采购需求有部分偏差的得1分；</w:t>
            </w:r>
          </w:p>
          <w:p w14:paraId="630289C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④未提供不得分。</w:t>
            </w:r>
          </w:p>
        </w:tc>
        <w:tc>
          <w:tcPr>
            <w:tcW w:w="389" w:type="pct"/>
            <w:vAlign w:val="center"/>
          </w:tcPr>
          <w:p w14:paraId="69B5C78B">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498" w:type="pct"/>
            <w:vAlign w:val="center"/>
          </w:tcPr>
          <w:p w14:paraId="2E299BD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06E98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523" w:type="pct"/>
            <w:vMerge w:val="restart"/>
            <w:tcBorders>
              <w:top w:val="single" w:color="auto" w:sz="4" w:space="0"/>
            </w:tcBorders>
            <w:vAlign w:val="center"/>
          </w:tcPr>
          <w:p w14:paraId="6AF52F76">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团队人员</w:t>
            </w:r>
          </w:p>
        </w:tc>
        <w:tc>
          <w:tcPr>
            <w:tcW w:w="3587" w:type="pct"/>
            <w:tcBorders>
              <w:top w:val="single" w:color="auto" w:sz="4" w:space="0"/>
            </w:tcBorders>
            <w:vAlign w:val="center"/>
          </w:tcPr>
          <w:p w14:paraId="6A0B0933">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项目负责人情况</w:t>
            </w:r>
          </w:p>
          <w:p w14:paraId="2DB83C6B">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①持有有效的全国计算机与软件专业技术资格（水平）考试颁发的信息系统项目管理师、</w:t>
            </w:r>
            <w:r>
              <w:rPr>
                <w:rFonts w:hint="eastAsia" w:ascii="宋体" w:hAnsi="宋体" w:eastAsia="宋体" w:cs="宋体"/>
                <w:color w:val="000000" w:themeColor="text1"/>
                <w:sz w:val="21"/>
                <w:szCs w:val="21"/>
                <w:highlight w:val="none"/>
                <w14:textFill>
                  <w14:solidFill>
                    <w14:schemeClr w14:val="tx1"/>
                  </w14:solidFill>
                </w14:textFill>
              </w:rPr>
              <w:t>系统规划与管理师、系统分析师、网络规划设计师</w:t>
            </w:r>
            <w:r>
              <w:rPr>
                <w:rFonts w:hint="eastAsia" w:ascii="宋体" w:hAnsi="宋体" w:eastAsia="宋体" w:cs="宋体"/>
                <w:color w:val="000000" w:themeColor="text1"/>
                <w:highlight w:val="none"/>
                <w14:textFill>
                  <w14:solidFill>
                    <w14:schemeClr w14:val="tx1"/>
                  </w14:solidFill>
                </w14:textFill>
              </w:rPr>
              <w:t>证书</w:t>
            </w:r>
            <w:r>
              <w:rPr>
                <w:rFonts w:hint="eastAsia" w:ascii="宋体" w:hAnsi="宋体" w:eastAsia="宋体" w:cs="宋体"/>
                <w:color w:val="000000" w:themeColor="text1"/>
                <w:highlight w:val="none"/>
                <w:lang w:eastAsia="zh-CN"/>
                <w14:textFill>
                  <w14:solidFill>
                    <w14:schemeClr w14:val="tx1"/>
                  </w14:solidFill>
                </w14:textFill>
              </w:rPr>
              <w:t>中至少一本证书的</w:t>
            </w:r>
            <w:r>
              <w:rPr>
                <w:rFonts w:hint="eastAsia" w:ascii="宋体" w:hAnsi="宋体" w:eastAsia="宋体" w:cs="宋体"/>
                <w:color w:val="000000" w:themeColor="text1"/>
                <w:highlight w:val="none"/>
                <w14:textFill>
                  <w14:solidFill>
                    <w14:schemeClr w14:val="tx1"/>
                  </w14:solidFill>
                </w14:textFill>
              </w:rPr>
              <w:t>的得2分；</w:t>
            </w:r>
          </w:p>
          <w:p w14:paraId="1AEEAB02">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②具有5年及以上信息化相关领域工作经验的得2分。</w:t>
            </w:r>
          </w:p>
          <w:p w14:paraId="0B8B6BA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注：投标文件中须提供相应证书的有效复印（扫描）件、工作经验证明文件及社保缴纳证明材料，未提供或不符合要求的，不予计分。</w:t>
            </w:r>
          </w:p>
        </w:tc>
        <w:tc>
          <w:tcPr>
            <w:tcW w:w="389" w:type="pct"/>
            <w:vAlign w:val="center"/>
          </w:tcPr>
          <w:p w14:paraId="2557E39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498" w:type="pct"/>
            <w:vAlign w:val="center"/>
          </w:tcPr>
          <w:p w14:paraId="1FBE2AE3">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客观分</w:t>
            </w:r>
          </w:p>
        </w:tc>
      </w:tr>
      <w:tr w14:paraId="39278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23" w:type="pct"/>
            <w:vMerge w:val="continue"/>
            <w:vAlign w:val="center"/>
          </w:tcPr>
          <w:p w14:paraId="3D4B27B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p>
        </w:tc>
        <w:tc>
          <w:tcPr>
            <w:tcW w:w="3587" w:type="pct"/>
            <w:vAlign w:val="center"/>
          </w:tcPr>
          <w:p w14:paraId="2D68C282">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项目团队（除项目负责人外）的资质：</w:t>
            </w:r>
          </w:p>
          <w:p w14:paraId="5AF4689D">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①项目团队人员中，每有一人具有持有有效的全国计算机与软件专业技术资格（水平）考试颁发的信息系统项目管理师、系统规划与管理师、系统分析师、网络规划设计师</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系统集成项目管理工程师、</w:t>
            </w:r>
            <w:r>
              <w:rPr>
                <w:rFonts w:hint="eastAsia" w:ascii="宋体" w:hAnsi="宋体" w:eastAsia="宋体" w:cs="宋体"/>
                <w:color w:val="000000" w:themeColor="text1"/>
                <w:sz w:val="21"/>
                <w:szCs w:val="21"/>
                <w:highlight w:val="none"/>
                <w14:textFill>
                  <w14:solidFill>
                    <w14:schemeClr w14:val="tx1"/>
                  </w14:solidFill>
                </w14:textFill>
              </w:rPr>
              <w:t>网络工程师、信息系统管理工程师</w:t>
            </w:r>
            <w:r>
              <w:rPr>
                <w:rFonts w:hint="eastAsia" w:ascii="宋体" w:hAnsi="宋体" w:eastAsia="宋体" w:cs="宋体"/>
                <w:color w:val="000000" w:themeColor="text1"/>
                <w:highlight w:val="none"/>
                <w14:textFill>
                  <w14:solidFill>
                    <w14:schemeClr w14:val="tx1"/>
                  </w14:solidFill>
                </w14:textFill>
              </w:rPr>
              <w:t>证书</w:t>
            </w:r>
            <w:r>
              <w:rPr>
                <w:rFonts w:hint="eastAsia" w:ascii="宋体" w:hAnsi="宋体" w:eastAsia="宋体" w:cs="宋体"/>
                <w:color w:val="000000" w:themeColor="text1"/>
                <w:highlight w:val="none"/>
                <w:lang w:eastAsia="zh-CN"/>
                <w14:textFill>
                  <w14:solidFill>
                    <w14:schemeClr w14:val="tx1"/>
                  </w14:solidFill>
                </w14:textFill>
              </w:rPr>
              <w:t>中至少一本证书</w:t>
            </w:r>
            <w:r>
              <w:rPr>
                <w:rFonts w:hint="eastAsia" w:ascii="宋体" w:hAnsi="宋体" w:eastAsia="宋体" w:cs="宋体"/>
                <w:color w:val="000000" w:themeColor="text1"/>
                <w:highlight w:val="none"/>
                <w14:textFill>
                  <w14:solidFill>
                    <w14:schemeClr w14:val="tx1"/>
                  </w14:solidFill>
                </w14:textFill>
              </w:rPr>
              <w:t>的得1分，本项最多得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5EFFF442">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每有一人具有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年及以上</w:t>
            </w:r>
            <w:r>
              <w:rPr>
                <w:rFonts w:hint="eastAsia" w:ascii="宋体" w:hAnsi="宋体" w:eastAsia="宋体" w:cs="宋体"/>
                <w:color w:val="000000" w:themeColor="text1"/>
                <w:highlight w:val="none"/>
                <w14:textFill>
                  <w14:solidFill>
                    <w14:schemeClr w14:val="tx1"/>
                  </w14:solidFill>
                </w14:textFill>
              </w:rPr>
              <w:t>信息化相关领域工作经验</w:t>
            </w:r>
            <w:r>
              <w:rPr>
                <w:rFonts w:hint="eastAsia" w:ascii="宋体" w:hAnsi="宋体" w:eastAsia="宋体" w:cs="宋体"/>
                <w:color w:val="000000" w:themeColor="text1"/>
                <w:sz w:val="21"/>
                <w:szCs w:val="21"/>
                <w:highlight w:val="none"/>
                <w14:textFill>
                  <w14:solidFill>
                    <w14:schemeClr w14:val="tx1"/>
                  </w14:solidFill>
                </w14:textFill>
              </w:rPr>
              <w:t>的得1分，本项最多得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65BAB6D8">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同一人具有多本证书的，就高只计取一次得分。</w:t>
            </w:r>
          </w:p>
          <w:p w14:paraId="25CACB74">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注：投标文件中须提供相应证书的有效复印（扫描）件、工作经验证明文件及社保缴纳证明材料，未提供或不符合要求的，不予计分。</w:t>
            </w:r>
          </w:p>
        </w:tc>
        <w:tc>
          <w:tcPr>
            <w:tcW w:w="389" w:type="pct"/>
            <w:vAlign w:val="center"/>
          </w:tcPr>
          <w:p w14:paraId="6D42E09E">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98" w:type="pct"/>
            <w:vAlign w:val="center"/>
          </w:tcPr>
          <w:p w14:paraId="635FD738">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客观分</w:t>
            </w:r>
          </w:p>
        </w:tc>
      </w:tr>
      <w:tr w14:paraId="0C3FC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top w:val="single" w:color="auto" w:sz="4" w:space="0"/>
              <w:bottom w:val="single" w:color="auto" w:sz="4" w:space="0"/>
            </w:tcBorders>
            <w:vAlign w:val="center"/>
          </w:tcPr>
          <w:p w14:paraId="06732B2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类似业绩</w:t>
            </w:r>
          </w:p>
        </w:tc>
        <w:tc>
          <w:tcPr>
            <w:tcW w:w="3587" w:type="pct"/>
            <w:tcBorders>
              <w:top w:val="single" w:color="auto" w:sz="4" w:space="0"/>
              <w:bottom w:val="single" w:color="auto" w:sz="4" w:space="0"/>
            </w:tcBorders>
            <w:vAlign w:val="center"/>
          </w:tcPr>
          <w:p w14:paraId="51C2C5FE">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投标人自2023年1月1日起至投标截止时间止（以合同签订时间为准），每提供类似项目业绩，得0.5分，本项最高得1分。</w:t>
            </w:r>
          </w:p>
          <w:p w14:paraId="1A92AC5F">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注：投标文件中须提供合同复印（扫描）件，未提供或不符合要求的，不予计分。</w:t>
            </w:r>
          </w:p>
        </w:tc>
        <w:tc>
          <w:tcPr>
            <w:tcW w:w="389" w:type="pct"/>
            <w:vAlign w:val="center"/>
          </w:tcPr>
          <w:p w14:paraId="0EDE0437">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98" w:type="pct"/>
            <w:vAlign w:val="center"/>
          </w:tcPr>
          <w:p w14:paraId="1F4DF08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客观分</w:t>
            </w:r>
          </w:p>
        </w:tc>
      </w:tr>
      <w:tr w14:paraId="644A0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23" w:type="pct"/>
            <w:tcBorders>
              <w:top w:val="single" w:color="auto" w:sz="4" w:space="0"/>
              <w:bottom w:val="single" w:color="auto" w:sz="4" w:space="0"/>
            </w:tcBorders>
            <w:vAlign w:val="center"/>
          </w:tcPr>
          <w:p w14:paraId="361D1B9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认证证书</w:t>
            </w:r>
          </w:p>
        </w:tc>
        <w:tc>
          <w:tcPr>
            <w:tcW w:w="3587" w:type="pct"/>
            <w:tcBorders>
              <w:top w:val="single" w:color="auto" w:sz="4" w:space="0"/>
              <w:bottom w:val="single" w:color="auto" w:sz="4" w:space="0"/>
            </w:tcBorders>
            <w:vAlign w:val="center"/>
          </w:tcPr>
          <w:p w14:paraId="3DB26D7D">
            <w:pPr>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投标人具有经中国国家认证认可监督管理委员会认证机构颁发的有效的信息技术服务管理体系认证、信息安全管理体系认证、质量管理体系认证证书的，每个得1分，共得3分。</w:t>
            </w:r>
          </w:p>
          <w:p w14:paraId="2A93791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投标文件内提供有效的认证证书复印（扫描）件，认证证书列入全国认证认可信息公共服务平台（http://cx.cnca.cn/CertECloud/result/skipResultList）公示或可查询范围的，应当在该网站能查询到，无法查询或查询结果不符合的不予认可。</w:t>
            </w:r>
          </w:p>
        </w:tc>
        <w:tc>
          <w:tcPr>
            <w:tcW w:w="389" w:type="pct"/>
            <w:vAlign w:val="center"/>
          </w:tcPr>
          <w:p w14:paraId="42479E9B">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498" w:type="pct"/>
            <w:vAlign w:val="center"/>
          </w:tcPr>
          <w:p w14:paraId="066ABCF8">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客观分</w:t>
            </w:r>
          </w:p>
        </w:tc>
      </w:tr>
      <w:tr w14:paraId="78937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523" w:type="pct"/>
            <w:vAlign w:val="center"/>
          </w:tcPr>
          <w:p w14:paraId="2FB8AA74">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w:t>
            </w:r>
          </w:p>
          <w:p w14:paraId="63422B81">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w:t>
            </w:r>
          </w:p>
        </w:tc>
        <w:tc>
          <w:tcPr>
            <w:tcW w:w="3587" w:type="pct"/>
            <w:vAlign w:val="center"/>
          </w:tcPr>
          <w:p w14:paraId="6BB910DA">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评审基准价指的是满足采购文件要求且最低的参与评审的价格。</w:t>
            </w:r>
          </w:p>
          <w:p w14:paraId="77A552A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参与评审的价格=投标报价-小微企业价格扣除优惠值10%（如有）</w:t>
            </w:r>
          </w:p>
          <w:p w14:paraId="4C0307EC">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参与评审的价格为评审基准价的其价格得分得满分10分。</w:t>
            </w:r>
          </w:p>
          <w:p w14:paraId="494A8AB9">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其他供应商价格得分按照下列公式计算：</w:t>
            </w:r>
          </w:p>
          <w:p w14:paraId="62587876">
            <w:pPr>
              <w:spacing w:after="0" w:line="27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价格得分=（评审基准价/各供应商参与评审的价格）×10%×100。</w:t>
            </w:r>
          </w:p>
        </w:tc>
        <w:tc>
          <w:tcPr>
            <w:tcW w:w="389" w:type="pct"/>
            <w:vAlign w:val="center"/>
          </w:tcPr>
          <w:p w14:paraId="22E276F9">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498" w:type="pct"/>
            <w:vAlign w:val="center"/>
          </w:tcPr>
          <w:p w14:paraId="5EA987FC">
            <w:pPr>
              <w:spacing w:after="0" w:line="279"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客观分</w:t>
            </w:r>
          </w:p>
        </w:tc>
      </w:tr>
    </w:tbl>
    <w:p w14:paraId="6BD91AC9">
      <w:pPr>
        <w:spacing w:before="120" w:beforeLines="50" w:line="360" w:lineRule="auto"/>
        <w:rPr>
          <w:rFonts w:hint="eastAsia" w:ascii="宋体" w:hAnsi="宋体" w:eastAsia="宋体" w:cs="宋体"/>
          <w:color w:val="000000" w:themeColor="text1"/>
          <w:spacing w:val="14"/>
          <w:highlight w:val="none"/>
          <w14:textFill>
            <w14:solidFill>
              <w14:schemeClr w14:val="tx1"/>
            </w14:solidFill>
          </w14:textFill>
        </w:rPr>
      </w:pPr>
      <w:r>
        <w:rPr>
          <w:rFonts w:hint="eastAsia" w:ascii="宋体" w:hAnsi="宋体" w:eastAsia="宋体" w:cs="宋体"/>
          <w:color w:val="000000" w:themeColor="text1"/>
          <w:spacing w:val="14"/>
          <w:highlight w:val="none"/>
          <w14:textFill>
            <w14:solidFill>
              <w14:schemeClr w14:val="tx1"/>
            </w14:solidFill>
          </w14:textFill>
        </w:rPr>
        <w:t>评委签名：                                 日期：</w:t>
      </w:r>
      <w:bookmarkEnd w:id="47"/>
    </w:p>
    <w:p w14:paraId="7E8E4E92">
      <w:pPr>
        <w:spacing w:before="120" w:beforeLines="50" w:line="360" w:lineRule="auto"/>
        <w:rPr>
          <w:rFonts w:hint="eastAsia" w:ascii="宋体" w:hAnsi="宋体" w:eastAsia="宋体" w:cs="宋体"/>
          <w:color w:val="000000" w:themeColor="text1"/>
          <w:spacing w:val="14"/>
          <w:highlight w:val="none"/>
          <w14:textFill>
            <w14:solidFill>
              <w14:schemeClr w14:val="tx1"/>
            </w14:solidFill>
          </w14:textFill>
        </w:rPr>
      </w:pPr>
      <w:r>
        <w:rPr>
          <w:rFonts w:hint="eastAsia" w:ascii="宋体" w:hAnsi="宋体" w:eastAsia="宋体" w:cs="宋体"/>
          <w:color w:val="000000" w:themeColor="text1"/>
          <w:spacing w:val="14"/>
          <w:highlight w:val="none"/>
          <w14:textFill>
            <w14:solidFill>
              <w14:schemeClr w14:val="tx1"/>
            </w14:solidFill>
          </w14:textFill>
        </w:rPr>
        <w:br w:type="page"/>
      </w:r>
    </w:p>
    <w:p w14:paraId="7D7A04D9">
      <w:pPr>
        <w:pStyle w:val="2"/>
        <w:spacing w:before="0" w:after="0"/>
        <w:ind w:firstLine="482"/>
        <w:rPr>
          <w:rFonts w:hint="eastAsia" w:ascii="宋体" w:hAnsi="宋体" w:eastAsia="宋体" w:cs="宋体"/>
          <w:color w:val="000000" w:themeColor="text1"/>
          <w:highlight w:val="none"/>
          <w14:textFill>
            <w14:solidFill>
              <w14:schemeClr w14:val="tx1"/>
            </w14:solidFill>
          </w14:textFill>
        </w:rPr>
      </w:pPr>
      <w:bookmarkStart w:id="48" w:name="_Toc14344"/>
      <w:bookmarkStart w:id="49" w:name="_Toc34844745"/>
      <w:r>
        <w:rPr>
          <w:rFonts w:hint="eastAsia" w:ascii="宋体" w:hAnsi="宋体" w:eastAsia="宋体" w:cs="宋体"/>
          <w:color w:val="000000" w:themeColor="text1"/>
          <w:highlight w:val="none"/>
          <w14:textFill>
            <w14:solidFill>
              <w14:schemeClr w14:val="tx1"/>
            </w14:solidFill>
          </w14:textFill>
        </w:rPr>
        <w:t>第五章 合同文本</w:t>
      </w:r>
      <w:bookmarkEnd w:id="48"/>
      <w:bookmarkEnd w:id="49"/>
    </w:p>
    <w:p w14:paraId="1635F894">
      <w:pPr>
        <w:pStyle w:val="14"/>
        <w:spacing w:beforeLines="0" w:afterLines="0" w:line="360" w:lineRule="auto"/>
        <w:ind w:firstLine="422" w:firstLineChars="201"/>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注：本合同文本为中标后签订合同的草案，有关条款和采购文件其他部分有冲突的，以其他部分约定为准，最终以投标响应情况签订。</w:t>
      </w:r>
    </w:p>
    <w:p w14:paraId="0F0B224C">
      <w:pPr>
        <w:adjustRightInd w:val="0"/>
        <w:snapToGrid w:val="0"/>
        <w:spacing w:line="560" w:lineRule="exact"/>
        <w:ind w:left="3045" w:leftChars="1450" w:firstLine="422" w:firstLineChars="200"/>
        <w:rPr>
          <w:rFonts w:hint="eastAsia" w:ascii="宋体" w:hAnsi="宋体" w:eastAsia="宋体" w:cs="宋体"/>
          <w:b/>
          <w:color w:val="000000" w:themeColor="text1"/>
          <w:kern w:val="0"/>
          <w:highlight w:val="none"/>
          <w14:textFill>
            <w14:solidFill>
              <w14:schemeClr w14:val="tx1"/>
            </w14:solidFill>
          </w14:textFill>
        </w:rPr>
      </w:pPr>
    </w:p>
    <w:p w14:paraId="775AAABC">
      <w:pPr>
        <w:adjustRightInd w:val="0"/>
        <w:snapToGrid w:val="0"/>
        <w:jc w:val="center"/>
        <w:rPr>
          <w:rFonts w:hint="eastAsia" w:ascii="宋体" w:hAnsi="宋体" w:eastAsia="宋体" w:cs="宋体"/>
          <w:b/>
          <w:color w:val="000000" w:themeColor="text1"/>
          <w:kern w:val="0"/>
          <w:sz w:val="72"/>
          <w:szCs w:val="72"/>
          <w:highlight w:val="none"/>
          <w14:textFill>
            <w14:solidFill>
              <w14:schemeClr w14:val="tx1"/>
            </w14:solidFill>
          </w14:textFill>
        </w:rPr>
      </w:pPr>
      <w:r>
        <w:rPr>
          <w:rFonts w:hint="eastAsia" w:ascii="宋体" w:hAnsi="宋体" w:eastAsia="宋体" w:cs="宋体"/>
          <w:b/>
          <w:color w:val="000000" w:themeColor="text1"/>
          <w:kern w:val="0"/>
          <w:sz w:val="72"/>
          <w:szCs w:val="72"/>
          <w:highlight w:val="none"/>
          <w14:textFill>
            <w14:solidFill>
              <w14:schemeClr w14:val="tx1"/>
            </w14:solidFill>
          </w14:textFill>
        </w:rPr>
        <w:t>政府采购合同</w:t>
      </w:r>
    </w:p>
    <w:p w14:paraId="5B689C7F">
      <w:pPr>
        <w:adjustRightInd w:val="0"/>
        <w:snapToGrid w:val="0"/>
        <w:spacing w:line="56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(服务类）</w:t>
      </w:r>
    </w:p>
    <w:p w14:paraId="47012CCB">
      <w:pPr>
        <w:rPr>
          <w:rFonts w:hint="eastAsia" w:ascii="宋体" w:hAnsi="宋体" w:eastAsia="宋体" w:cs="宋体"/>
          <w:color w:val="000000" w:themeColor="text1"/>
          <w:highlight w:val="none"/>
          <w14:textFill>
            <w14:solidFill>
              <w14:schemeClr w14:val="tx1"/>
            </w14:solidFill>
          </w14:textFill>
        </w:rPr>
      </w:pPr>
    </w:p>
    <w:p w14:paraId="6ED4C1E9">
      <w:pPr>
        <w:rPr>
          <w:rFonts w:hint="eastAsia" w:ascii="宋体" w:hAnsi="宋体" w:eastAsia="宋体" w:cs="宋体"/>
          <w:color w:val="000000" w:themeColor="text1"/>
          <w:highlight w:val="none"/>
          <w14:textFill>
            <w14:solidFill>
              <w14:schemeClr w14:val="tx1"/>
            </w14:solidFill>
          </w14:textFill>
        </w:rPr>
      </w:pPr>
    </w:p>
    <w:p w14:paraId="2C89DECB">
      <w:pPr>
        <w:rPr>
          <w:rFonts w:hint="eastAsia" w:ascii="宋体" w:hAnsi="宋体" w:eastAsia="宋体" w:cs="宋体"/>
          <w:color w:val="000000" w:themeColor="text1"/>
          <w:highlight w:val="none"/>
          <w14:textFill>
            <w14:solidFill>
              <w14:schemeClr w14:val="tx1"/>
            </w14:solidFill>
          </w14:textFill>
        </w:rPr>
      </w:pPr>
    </w:p>
    <w:p w14:paraId="71B098F0">
      <w:pPr>
        <w:rPr>
          <w:rFonts w:hint="eastAsia" w:ascii="宋体" w:hAnsi="宋体" w:eastAsia="宋体" w:cs="宋体"/>
          <w:color w:val="000000" w:themeColor="text1"/>
          <w:highlight w:val="none"/>
          <w14:textFill>
            <w14:solidFill>
              <w14:schemeClr w14:val="tx1"/>
            </w14:solidFill>
          </w14:textFill>
        </w:rPr>
      </w:pPr>
    </w:p>
    <w:p w14:paraId="508B22A3">
      <w:pPr>
        <w:rPr>
          <w:rFonts w:hint="eastAsia" w:ascii="宋体" w:hAnsi="宋体" w:eastAsia="宋体" w:cs="宋体"/>
          <w:color w:val="000000" w:themeColor="text1"/>
          <w:highlight w:val="none"/>
          <w14:textFill>
            <w14:solidFill>
              <w14:schemeClr w14:val="tx1"/>
            </w14:solidFill>
          </w14:textFill>
        </w:rPr>
      </w:pPr>
    </w:p>
    <w:p w14:paraId="65C8A748">
      <w:pPr>
        <w:rPr>
          <w:rFonts w:hint="eastAsia" w:ascii="宋体" w:hAnsi="宋体" w:eastAsia="宋体" w:cs="宋体"/>
          <w:color w:val="000000" w:themeColor="text1"/>
          <w:highlight w:val="none"/>
          <w14:textFill>
            <w14:solidFill>
              <w14:schemeClr w14:val="tx1"/>
            </w14:solidFill>
          </w14:textFill>
        </w:rPr>
      </w:pPr>
    </w:p>
    <w:p w14:paraId="014C6C8C">
      <w:pPr>
        <w:rPr>
          <w:rFonts w:hint="eastAsia" w:ascii="宋体" w:hAnsi="宋体" w:eastAsia="宋体" w:cs="宋体"/>
          <w:color w:val="000000" w:themeColor="text1"/>
          <w:highlight w:val="none"/>
          <w14:textFill>
            <w14:solidFill>
              <w14:schemeClr w14:val="tx1"/>
            </w14:solidFill>
          </w14:textFill>
        </w:rPr>
      </w:pPr>
    </w:p>
    <w:p w14:paraId="74AF4106">
      <w:pPr>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63711E32">
      <w:pPr>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采购人（全称）: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7D567E21">
      <w:pPr>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供应商（全称）: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1E6BF88D">
      <w:pPr>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签订日期:</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3BE9E97E">
      <w:pPr>
        <w:ind w:firstLine="1280" w:firstLineChars="4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签订地点:</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0F0A9B05">
      <w:pPr>
        <w:ind w:firstLine="840" w:firstLineChars="4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68F6254">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采购人（全称，以下简称甲方）：</w:t>
      </w:r>
      <w:r>
        <w:rPr>
          <w:rFonts w:hint="eastAsia" w:ascii="宋体" w:hAnsi="宋体" w:eastAsia="宋体" w:cs="宋体"/>
          <w:color w:val="000000" w:themeColor="text1"/>
          <w:highlight w:val="none"/>
          <w:u w:val="single"/>
          <w14:textFill>
            <w14:solidFill>
              <w14:schemeClr w14:val="tx1"/>
            </w14:solidFill>
          </w14:textFill>
        </w:rPr>
        <w:t xml:space="preserve">                 </w:t>
      </w:r>
    </w:p>
    <w:p w14:paraId="6FB857E5">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r>
        <w:rPr>
          <w:rFonts w:hint="eastAsia" w:ascii="宋体" w:hAnsi="宋体" w:eastAsia="宋体" w:cs="宋体"/>
          <w:color w:val="000000" w:themeColor="text1"/>
          <w:highlight w:val="none"/>
          <w:u w:val="single"/>
          <w14:textFill>
            <w14:solidFill>
              <w14:schemeClr w14:val="tx1"/>
            </w14:solidFill>
          </w14:textFill>
        </w:rPr>
        <w:t xml:space="preserve">                                         </w:t>
      </w:r>
    </w:p>
    <w:p w14:paraId="5025C86D">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eastAsia="宋体" w:cs="宋体"/>
          <w:color w:val="000000" w:themeColor="text1"/>
          <w:highlight w:val="none"/>
          <w:u w:val="single"/>
          <w14:textFill>
            <w14:solidFill>
              <w14:schemeClr w14:val="tx1"/>
            </w14:solidFill>
          </w14:textFill>
        </w:rPr>
        <w:t xml:space="preserve">                                   </w:t>
      </w:r>
    </w:p>
    <w:p w14:paraId="769BAE87">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供应商（全称，以下简称乙方）：</w:t>
      </w:r>
      <w:r>
        <w:rPr>
          <w:rFonts w:hint="eastAsia" w:ascii="宋体" w:hAnsi="宋体" w:eastAsia="宋体" w:cs="宋体"/>
          <w:color w:val="000000" w:themeColor="text1"/>
          <w:highlight w:val="none"/>
          <w:u w:val="single"/>
          <w14:textFill>
            <w14:solidFill>
              <w14:schemeClr w14:val="tx1"/>
            </w14:solidFill>
          </w14:textFill>
        </w:rPr>
        <w:t xml:space="preserve">                 </w:t>
      </w:r>
    </w:p>
    <w:p w14:paraId="436F03C0">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r>
        <w:rPr>
          <w:rFonts w:hint="eastAsia" w:ascii="宋体" w:hAnsi="宋体" w:eastAsia="宋体" w:cs="宋体"/>
          <w:color w:val="000000" w:themeColor="text1"/>
          <w:highlight w:val="none"/>
          <w:u w:val="single"/>
          <w14:textFill>
            <w14:solidFill>
              <w14:schemeClr w14:val="tx1"/>
            </w14:solidFill>
          </w14:textFill>
        </w:rPr>
        <w:t xml:space="preserve">                                         </w:t>
      </w:r>
    </w:p>
    <w:p w14:paraId="2C33A149">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eastAsia="宋体" w:cs="宋体"/>
          <w:color w:val="000000" w:themeColor="text1"/>
          <w:highlight w:val="none"/>
          <w:u w:val="single"/>
          <w14:textFill>
            <w14:solidFill>
              <w14:schemeClr w14:val="tx1"/>
            </w14:solidFill>
          </w14:textFill>
        </w:rPr>
        <w:t xml:space="preserve">                                    </w:t>
      </w:r>
    </w:p>
    <w:p w14:paraId="3B86493D">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为了保护甲、乙双方合法权益，根据《中华人民共和国民法典》、《中华人民共和国政府采购法》及其他有关法律法规规定，为保证政府采购服务质量，明确双方的权利义务，经甲乙双方协商，本着平等互利和诚实信用的原则，双方一致同意，签订本合同。</w:t>
      </w:r>
    </w:p>
    <w:p w14:paraId="2C8D06D2">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1.服务项目内容</w:t>
      </w:r>
    </w:p>
    <w:p w14:paraId="25D60CDD">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1.1甲方通过</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方式确定由乙方提供以下服务：</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6EC49692">
      <w:pPr>
        <w:adjustRightInd w:val="0"/>
        <w:snapToGrid w:val="0"/>
        <w:spacing w:after="0"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1.2 服务内容及数量（可另附明细附件）：</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55C1BBCF">
      <w:pPr>
        <w:adjustRightInd w:val="0"/>
        <w:snapToGrid w:val="0"/>
        <w:spacing w:after="0"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val="en"/>
          <w14:textFill>
            <w14:solidFill>
              <w14:schemeClr w14:val="tx1"/>
            </w14:solidFill>
          </w14:textFill>
        </w:rPr>
        <w:t xml:space="preserve"> </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00110F26">
      <w:pPr>
        <w:adjustRightInd w:val="0"/>
        <w:snapToGrid w:val="0"/>
        <w:spacing w:after="0" w:line="360" w:lineRule="auto"/>
        <w:ind w:firstLine="210" w:firstLineChars="1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  1.3 服务地点：</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674175AE">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 服务期限：自</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月</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日至</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月</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w:t>
      </w:r>
    </w:p>
    <w:p w14:paraId="00A86428">
      <w:pPr>
        <w:spacing w:after="0" w:line="360" w:lineRule="auto"/>
        <w:ind w:firstLine="422"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2. 服务项目质量标准和要求</w:t>
      </w:r>
      <w:r>
        <w:rPr>
          <w:rFonts w:hint="eastAsia" w:ascii="宋体" w:hAnsi="宋体" w:eastAsia="宋体" w:cs="宋体"/>
          <w:color w:val="000000" w:themeColor="text1"/>
          <w:kern w:val="0"/>
          <w:highlight w:val="none"/>
          <w14:textFill>
            <w14:solidFill>
              <w14:schemeClr w14:val="tx1"/>
            </w14:solidFill>
          </w14:textFill>
        </w:rPr>
        <w:t>（可另附明细附件)</w:t>
      </w:r>
    </w:p>
    <w:p w14:paraId="325B5750">
      <w:pPr>
        <w:adjustRightInd w:val="0"/>
        <w:snapToGrid w:val="0"/>
        <w:spacing w:after="0" w:line="360" w:lineRule="auto"/>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342002B8">
      <w:pPr>
        <w:adjustRightInd w:val="0"/>
        <w:snapToGrid w:val="0"/>
        <w:spacing w:after="0"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09F73775">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3. 合同金额及报价明细</w:t>
      </w:r>
    </w:p>
    <w:p w14:paraId="3FDD0B28">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3.1本合同服务费用总金额为（大写）：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元人民币(¥</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327F670C">
      <w:pPr>
        <w:adjustRightInd w:val="0"/>
        <w:snapToGrid w:val="0"/>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3.2报价明细：</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7A5959C6">
      <w:pPr>
        <w:adjustRightInd w:val="0"/>
        <w:snapToGrid w:val="0"/>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7F99415E">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3.3合同服务费用应包括履约验收产生的检验（监测）费、劳务报酬等费用；</w:t>
      </w:r>
    </w:p>
    <w:p w14:paraId="373F222F">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3.4乙方开户名称：</w:t>
      </w:r>
    </w:p>
    <w:p w14:paraId="644917F4">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开户银行：</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7411469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银行帐号：</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5BBBF64F">
      <w:pPr>
        <w:adjustRightInd w:val="0"/>
        <w:snapToGrid w:val="0"/>
        <w:spacing w:after="0" w:line="360" w:lineRule="auto"/>
        <w:ind w:firstLine="422"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4. 付款方式，</w:t>
      </w:r>
      <w:r>
        <w:rPr>
          <w:rFonts w:hint="eastAsia" w:ascii="宋体" w:hAnsi="宋体" w:eastAsia="宋体" w:cs="宋体"/>
          <w:color w:val="000000" w:themeColor="text1"/>
          <w:kern w:val="0"/>
          <w:highlight w:val="none"/>
          <w14:textFill>
            <w14:solidFill>
              <w14:schemeClr w14:val="tx1"/>
            </w14:solidFill>
          </w14:textFill>
        </w:rPr>
        <w:t>甲方以下述第</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项方式支付合同款项。</w:t>
      </w:r>
    </w:p>
    <w:p w14:paraId="1B2CE254">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4.1一次性付款：</w:t>
      </w:r>
    </w:p>
    <w:p w14:paraId="4AAE552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乙方履约完毕后且甲方按照本合同第5条规定验收合格后，</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日内一次性支付全部服务费。</w:t>
      </w:r>
    </w:p>
    <w:p w14:paraId="3F7583C4">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4.2分期支付：</w:t>
      </w:r>
    </w:p>
    <w:p w14:paraId="09D66AD0">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（1）按年/按季度/按月支付等额的服务费；</w:t>
      </w:r>
    </w:p>
    <w:p w14:paraId="0332AF3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（2）本合同签订后</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日内，甲方向乙方支付</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元（或服务费总额的</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%)；在交付服务成果并经验收合格后，支付服务费</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元（或服务费总额的</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FFD61A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4.3按本合同项下的项目进度支付服务费（应根据项目特点具体约定,以下阶段支付仅为参考）：</w:t>
      </w:r>
    </w:p>
    <w:p w14:paraId="7053D6E3">
      <w:pPr>
        <w:adjustRightInd w:val="0"/>
        <w:snapToGrid w:val="0"/>
        <w:spacing w:after="0" w:line="360" w:lineRule="auto"/>
        <w:ind w:firstLine="315" w:firstLineChars="15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（1）乙方服务人员到达服务地点并提交服务实施方案后</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日内，甲方将总服务费的</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%支付给乙方；</w:t>
      </w:r>
    </w:p>
    <w:p w14:paraId="2FEF982E">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（2）第二次付款为总服务费的</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%,甲方在乙方提交服务阶段报告及其它文件,且该报告及相关文件符合本合同要求并经甲方验收后</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日内付给乙方；</w:t>
      </w:r>
    </w:p>
    <w:p w14:paraId="250E86EA">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（3）最后一次付款为总服务费的</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%，甲方应在乙方完全履行合同，递交服务总报告及相关文件资料并经甲方验收完毕日内付给乙方。</w:t>
      </w:r>
    </w:p>
    <w:p w14:paraId="53CEE541">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4.4其他付款：</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430FCB31">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5.验收程序、方法及标准</w:t>
      </w:r>
    </w:p>
    <w:p w14:paraId="78C03EC3">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5.1本项目验收按照《宁波市政府采购履约验收管理办法》（甬财采〔2021〕1051号）文件执行。</w:t>
      </w:r>
    </w:p>
    <w:p w14:paraId="76072E79">
      <w:pPr>
        <w:pStyle w:val="133"/>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5.2验收程序，可按照简易程序验收（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）或一般程序验收（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）进行验收。</w:t>
      </w:r>
    </w:p>
    <w:p w14:paraId="641BFF95">
      <w:pPr>
        <w:pStyle w:val="133"/>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5.3验收方法，可按照一次性验收（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）、分段验收（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）或分期验收（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）进行验收。</w:t>
      </w:r>
    </w:p>
    <w:p w14:paraId="09273CC5">
      <w:pPr>
        <w:adjustRightInd w:val="0"/>
        <w:snapToGrid w:val="0"/>
        <w:spacing w:after="0"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5.4验收标准（可另附明细附件)：</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2AB6714B">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4F4CC2B1">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6.履约保证金</w:t>
      </w:r>
    </w:p>
    <w:p w14:paraId="2A0D89A1">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6.1履约保证金金额：合同金额的1%，即大写人民币</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元（¥</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30179ED6">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6.2履约保证金缴纳形式：</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E16F1E2">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6.3履约保证金缴纳时间：合同签订后7个工作日内；</w:t>
      </w:r>
    </w:p>
    <w:p w14:paraId="4B3649D8">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6.4履约保证金退回时间：完成合同全部服务通过甲方验收合格后7个工作日内扣除合同违约款项后退回。</w:t>
      </w:r>
    </w:p>
    <w:p w14:paraId="46B7143C">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7.甲方的权利和义务</w:t>
      </w:r>
    </w:p>
    <w:p w14:paraId="2F3317AF">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7.1甲方的权利</w:t>
      </w:r>
    </w:p>
    <w:p w14:paraId="7A89965F">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（1）甲方有权随时向乙方了解项目进度，并要求乙方提供项目相关资料。</w:t>
      </w:r>
    </w:p>
    <w:p w14:paraId="0976086E">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（2）甲方有权对项目资金使用情况进行监督、检查，并要求乙方提供相关资料。</w:t>
      </w:r>
    </w:p>
    <w:p w14:paraId="25F92652">
      <w:pPr>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7AE85B88">
      <w:pPr>
        <w:widowControl/>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（4）甲方有权在乙方履行合同过程中出现损害或可能损害公共利益、公共安全情形时终止本合同。</w:t>
      </w:r>
    </w:p>
    <w:p w14:paraId="6ADFE95F">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（5）甲方有权根据国家政策或法律法规的变动对服务项目的需求标准和质量要求作出相应变动或者取消项目。</w:t>
      </w:r>
    </w:p>
    <w:p w14:paraId="31EC7DE2">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（6）甲方有权将乙方履行合同情况及不符合相关法律法规的规定情况，向相关部门报告并纳入不良信用记录、年检（报）、评估、执法等监管体系中。</w:t>
      </w:r>
    </w:p>
    <w:p w14:paraId="17EA7169">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（7）其他</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7CEE469D">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7.2甲方的义务</w:t>
      </w:r>
    </w:p>
    <w:p w14:paraId="26836F6B">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（1）甲方应及时向乙方提供与履行本合同相关的所有必须的文件、资料。</w:t>
      </w:r>
    </w:p>
    <w:p w14:paraId="1A250ADB">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（2）甲方应为乙方履行本合同过程中与相关政府部门及其他第三方的沟通、协调提供必要的协助。</w:t>
      </w:r>
    </w:p>
    <w:p w14:paraId="351DC4A1">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（3）甲方应按照合同约定支付服务费用。</w:t>
      </w:r>
    </w:p>
    <w:p w14:paraId="3B8CE781">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（4）其他</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3AC85136">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8.乙方的权利和义务</w:t>
      </w:r>
    </w:p>
    <w:p w14:paraId="57759248">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8.1乙方的权利</w:t>
      </w:r>
    </w:p>
    <w:p w14:paraId="2EC679E2">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（1）乙方有权按照本合同约定向甲方收取服务费用。</w:t>
      </w:r>
    </w:p>
    <w:p w14:paraId="195C70F0">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（2）乙方有权自甲方处获得与提供本合同项下服务相关的所有必须的文件、资料。</w:t>
      </w:r>
    </w:p>
    <w:p w14:paraId="770C4F3A">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（3）其他</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0669B603">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8.2乙方的义务</w:t>
      </w:r>
    </w:p>
    <w:p w14:paraId="5A19F9F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（1）乙方应配备具有相应资质、特定经验的工作人员负责项目实施，按照本合同约定的标准、要求和时间完成项目。</w:t>
      </w:r>
    </w:p>
    <w:p w14:paraId="2774E46F">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（2）乙方不得以任何理由将本合同项下的服务项目转包给第三方承担。</w:t>
      </w:r>
    </w:p>
    <w:p w14:paraId="78D1E9EE">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（3）乙方应全面履行本项目实施过程中的相关安全管理职责，因乙方未尽到管理职责发生安全事故的，由乙方承担相应的法律责任。</w:t>
      </w:r>
    </w:p>
    <w:p w14:paraId="01CE340F">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388B465A">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（5）乙方应接受并配合甲方或甲方组织的对本合同履行情况的监督与检查，对于甲方指出的问题，应及时作出合理解释或予以纠正。</w:t>
      </w:r>
    </w:p>
    <w:p w14:paraId="38C44811">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（6）乙方应对项目资金进行规范的财务管理和会计核算，加强自身监督，确保资金规范管理和使用。</w:t>
      </w:r>
    </w:p>
    <w:p w14:paraId="4065F63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（7）乙方应建立健全财务管理与报告制度，按要求向甲方提供资金的使用情况、项目执行情况、成果总结等材料，并配合甲方及甲方组织的监督检查或绩效评价。</w:t>
      </w:r>
    </w:p>
    <w:p w14:paraId="7AA15F69">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463C543A">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（9）项目交付后，乙方应无条件返还甲方向其提供的文件、资料并向甲方移交项目资料，同时乙方应当自留一份完整的项目档案并予以妥善保存。</w:t>
      </w:r>
    </w:p>
    <w:p w14:paraId="0ABC4B7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（10）其他</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28FF0AB1">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9. 违约责任</w:t>
      </w:r>
    </w:p>
    <w:p w14:paraId="04DBDA20">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9.1甲方无正当理由拒绝接收服务，到期拒付服务费的，甲方向乙方偿付本合同总服务费</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%的违约金。甲方逾期付款的，则每日按逾期金额的</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%向乙方偿付违约金。</w:t>
      </w:r>
    </w:p>
    <w:p w14:paraId="432B2A91">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9.2乙方提供的服务不符合本项目相关文件和本合同规定的，甲方有权拒收，并且乙方须向甲方支付本合同总服务费</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%的违约金。</w:t>
      </w:r>
    </w:p>
    <w:p w14:paraId="0EA5B6CC">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9.3乙方未能按照本合同约定时间提供服务或完成约定的项目服务内容的，从逾期之日起每日按本合同总服务费</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%的数额向甲方支付违约金；逾期</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日以上的，甲方有权终止合同，由此造成的甲方经济损失由乙方承担。</w:t>
      </w:r>
    </w:p>
    <w:p w14:paraId="3610EC1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9.4其他违约责任按《中华人民共和国民法典》处理。</w:t>
      </w:r>
    </w:p>
    <w:p w14:paraId="62EBB22A">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10. 知识产权归属</w:t>
      </w:r>
    </w:p>
    <w:p w14:paraId="6D691318">
      <w:pPr>
        <w:adjustRightInd w:val="0"/>
        <w:snapToGrid w:val="0"/>
        <w:spacing w:after="0"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0107DCAB">
      <w:pPr>
        <w:adjustRightInd w:val="0"/>
        <w:snapToGrid w:val="0"/>
        <w:spacing w:after="0"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6B0E1C0A">
      <w:pPr>
        <w:adjustRightInd w:val="0"/>
        <w:snapToGrid w:val="0"/>
        <w:spacing w:after="0"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32C488C5">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11.保密条款</w:t>
      </w:r>
    </w:p>
    <w:p w14:paraId="4700A6F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14:paraId="09D052C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2A019350">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12. 争议的解决</w:t>
      </w:r>
    </w:p>
    <w:p w14:paraId="79268AAE">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本合同在履行过程中发生的任何争议，如双方不能通过友好协商解决，通过项目所在地有管辖权的人民法院诉讼处理。</w:t>
      </w:r>
    </w:p>
    <w:p w14:paraId="46B2DC3B">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13. 不可抗力</w:t>
      </w:r>
    </w:p>
    <w:p w14:paraId="6BE97787">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13.1 不可抗力是指合同双方不可预见、不可避免、不可克服的自然灾害和社会事件。</w:t>
      </w:r>
    </w:p>
    <w:p w14:paraId="19CA50A8">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13.2 任何一方对由于不可抗力造成的部分或全部不能履行合同不承担违约责任。但迟延履行后发生不可抗力的，不能免除责任。</w:t>
      </w:r>
    </w:p>
    <w:p w14:paraId="386D60EA">
      <w:pPr>
        <w:spacing w:after="0"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13.3 遇有不可抗力的一方，应在三日内将事件的情况以书面形式通知另一方，并在事件发生后十日内，向另一方提交合同不能履行或部分不能履行或需要延期履行理由的报告。</w:t>
      </w:r>
    </w:p>
    <w:p w14:paraId="2E0DF907">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14. 合同的终止</w:t>
      </w:r>
    </w:p>
    <w:p w14:paraId="1654C2E4">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14.1本合同期满，双方未续签合同的；</w:t>
      </w:r>
    </w:p>
    <w:p w14:paraId="1A29EAFF">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14.2乙方服务能力丧失，致使本合同服务无法正常提供的；</w:t>
      </w:r>
    </w:p>
    <w:p w14:paraId="2F4D2585">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14.3在履行合同过程中，发现乙方已不符合承接主体应具备的条件，造成合同无法履行的；</w:t>
      </w:r>
    </w:p>
    <w:p w14:paraId="66E92DE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14.4受国家政策或法律法规变动影响，经双方协商终止本合同的。</w:t>
      </w:r>
    </w:p>
    <w:p w14:paraId="602946A3">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15. 税费发生与履行</w:t>
      </w:r>
    </w:p>
    <w:p w14:paraId="5496241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本合同有关的一切税费均由乙方负担。</w:t>
      </w:r>
    </w:p>
    <w:p w14:paraId="5394D717">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16. 其他</w:t>
      </w:r>
    </w:p>
    <w:p w14:paraId="3699A194">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16.1本合同所有附件及相关购买文件均为本合同的有效组成部分，与本合同具有同等法律效力。若合同附件与本合同存在不一致的，则以本合同为准。</w:t>
      </w:r>
    </w:p>
    <w:p w14:paraId="5CF3235A">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16.2在履行本合同过程中，所有经双方签署确认的文件（包括</w:t>
      </w:r>
      <w:r>
        <w:rPr>
          <w:rFonts w:hint="eastAsia" w:ascii="宋体" w:hAnsi="宋体" w:eastAsia="宋体" w:cs="宋体"/>
          <w:color w:val="000000" w:themeColor="text1"/>
          <w:spacing w:val="-6"/>
          <w:kern w:val="0"/>
          <w:highlight w:val="none"/>
          <w14:textFill>
            <w14:solidFill>
              <w14:schemeClr w14:val="tx1"/>
            </w14:solidFill>
          </w14:textFill>
        </w:rPr>
        <w:t>会议纪要、补充协议、往来信函）即成为本合同的有效组成部分。</w:t>
      </w:r>
    </w:p>
    <w:p w14:paraId="0658807B">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16.3如一方地址、电话、传真号码及乙方银行账户信息有变更，应在变更当日书面通知对方，否则，应承担相应责任。</w:t>
      </w:r>
    </w:p>
    <w:p w14:paraId="097B8163">
      <w:pPr>
        <w:numPr>
          <w:ilvl w:val="0"/>
          <w:numId w:val="3"/>
        </w:numPr>
        <w:adjustRightInd w:val="0"/>
        <w:snapToGrid w:val="0"/>
        <w:spacing w:after="0" w:line="360" w:lineRule="auto"/>
        <w:ind w:firstLine="422" w:firstLineChars="200"/>
        <w:rPr>
          <w:rFonts w:hint="eastAsia" w:ascii="宋体" w:hAnsi="宋体" w:eastAsia="宋体" w:cs="宋体"/>
          <w:b/>
          <w:color w:val="000000" w:themeColor="text1"/>
          <w:kern w:val="0"/>
          <w:highlight w:val="none"/>
          <w:u w:val="singl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补充条款</w:t>
      </w:r>
      <w:r>
        <w:rPr>
          <w:rFonts w:hint="eastAsia" w:ascii="宋体" w:hAnsi="宋体" w:eastAsia="宋体" w:cs="宋体"/>
          <w:b/>
          <w:color w:val="000000" w:themeColor="text1"/>
          <w:kern w:val="0"/>
          <w:highlight w:val="none"/>
          <w:u w:val="single"/>
          <w14:textFill>
            <w14:solidFill>
              <w14:schemeClr w14:val="tx1"/>
            </w14:solidFill>
          </w14:textFill>
        </w:rPr>
        <w:t xml:space="preserve">                                                                     </w:t>
      </w:r>
    </w:p>
    <w:p w14:paraId="3D35F64D">
      <w:pPr>
        <w:adjustRightInd w:val="0"/>
        <w:snapToGrid w:val="0"/>
        <w:spacing w:after="0" w:line="360" w:lineRule="auto"/>
        <w:rPr>
          <w:rFonts w:hint="eastAsia" w:ascii="宋体" w:hAnsi="宋体" w:eastAsia="宋体" w:cs="宋体"/>
          <w:b/>
          <w:color w:val="000000" w:themeColor="text1"/>
          <w:kern w:val="0"/>
          <w:highlight w:val="none"/>
          <w:u w:val="single"/>
          <w14:textFill>
            <w14:solidFill>
              <w14:schemeClr w14:val="tx1"/>
            </w14:solidFill>
          </w14:textFill>
        </w:rPr>
      </w:pPr>
      <w:r>
        <w:rPr>
          <w:rFonts w:hint="eastAsia" w:ascii="宋体" w:hAnsi="宋体" w:eastAsia="宋体" w:cs="宋体"/>
          <w:b/>
          <w:color w:val="000000" w:themeColor="text1"/>
          <w:kern w:val="0"/>
          <w:highlight w:val="none"/>
          <w:u w:val="single"/>
          <w14:textFill>
            <w14:solidFill>
              <w14:schemeClr w14:val="tx1"/>
            </w14:solidFill>
          </w14:textFill>
        </w:rPr>
        <w:t xml:space="preserve">                                                                                </w:t>
      </w:r>
    </w:p>
    <w:p w14:paraId="302389DA">
      <w:pPr>
        <w:adjustRightInd w:val="0"/>
        <w:snapToGrid w:val="0"/>
        <w:spacing w:after="0" w:line="360" w:lineRule="auto"/>
        <w:ind w:firstLine="422" w:firstLineChars="200"/>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18. 合同生效</w:t>
      </w:r>
    </w:p>
    <w:p w14:paraId="37F964B8">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18.1本合同订立时间：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月</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w:t>
      </w:r>
    </w:p>
    <w:p w14:paraId="7C45C15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18.2本合同订立地点：</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701B55F7">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18.3本合同在甲、乙双方法人代表或其授权代表签章之日起生效。</w:t>
      </w:r>
    </w:p>
    <w:p w14:paraId="5FE54E81">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18.4本合同一式二份，具有同等法律效力，甲乙双方各执一份。</w:t>
      </w:r>
    </w:p>
    <w:p w14:paraId="48151B8A">
      <w:pPr>
        <w:adjustRightInd w:val="0"/>
        <w:snapToGrid w:val="0"/>
        <w:spacing w:after="0" w:line="360" w:lineRule="auto"/>
        <w:ind w:firstLine="422"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color w:val="000000" w:themeColor="text1"/>
          <w:kern w:val="0"/>
          <w:highlight w:val="none"/>
          <w14:textFill>
            <w14:solidFill>
              <w14:schemeClr w14:val="tx1"/>
            </w14:solidFill>
          </w14:textFill>
        </w:rPr>
        <w:t>19. 合同附件</w:t>
      </w:r>
      <w:r>
        <w:rPr>
          <w:rFonts w:hint="eastAsia" w:ascii="宋体" w:hAnsi="宋体" w:eastAsia="宋体" w:cs="宋体"/>
          <w:color w:val="000000" w:themeColor="text1"/>
          <w:kern w:val="0"/>
          <w:highlight w:val="none"/>
          <w14:textFill>
            <w14:solidFill>
              <w14:schemeClr w14:val="tx1"/>
            </w14:solidFill>
          </w14:textFill>
        </w:rPr>
        <w:t>（若有附件应注明附件名称）</w:t>
      </w:r>
    </w:p>
    <w:p w14:paraId="0C79F356">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5C1035B8">
      <w:pPr>
        <w:adjustRightInd w:val="0"/>
        <w:snapToGrid w:val="0"/>
        <w:spacing w:after="0"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21CA146D">
      <w:pPr>
        <w:widowControl/>
        <w:wordWrap w:val="0"/>
        <w:spacing w:after="0"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采购人（盖章）：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val="en"/>
          <w14:textFill>
            <w14:solidFill>
              <w14:schemeClr w14:val="tx1"/>
            </w14:solidFill>
          </w14:textFill>
        </w:rPr>
        <w:t xml:space="preserve"> </w:t>
      </w:r>
      <w:r>
        <w:rPr>
          <w:rFonts w:hint="eastAsia" w:ascii="宋体" w:hAnsi="宋体" w:eastAsia="宋体" w:cs="宋体"/>
          <w:color w:val="000000" w:themeColor="text1"/>
          <w:kern w:val="0"/>
          <w:highlight w:val="none"/>
          <w:lang w:val="en"/>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供应商（盖章）：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 xml:space="preserve"> </w:t>
      </w:r>
    </w:p>
    <w:p w14:paraId="030A2C51">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法定代表人（盖章或签字）:              法定代表人（盖章或签字）: </w:t>
      </w:r>
    </w:p>
    <w:p w14:paraId="13279FB5">
      <w:pPr>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委托代理人（签字）：                    委托代理人（签字）：     </w:t>
      </w:r>
    </w:p>
    <w:p w14:paraId="513736F8">
      <w:pPr>
        <w:adjustRightInd w:val="0"/>
        <w:snapToGrid w:val="0"/>
        <w:spacing w:after="0"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地址：</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 xml:space="preserve">    </w:t>
      </w:r>
      <w:r>
        <w:rPr>
          <w:rFonts w:hint="eastAsia" w:ascii="宋体" w:hAnsi="宋体" w:eastAsia="宋体" w:cs="宋体"/>
          <w:color w:val="000000" w:themeColor="text1"/>
          <w:kern w:val="0"/>
          <w:highlight w:val="none"/>
          <w:lang w:val="en"/>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地址：</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3EB3D4D0">
      <w:pPr>
        <w:adjustRightInd w:val="0"/>
        <w:snapToGrid w:val="0"/>
        <w:spacing w:after="0"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电话：</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 xml:space="preserve">    </w:t>
      </w:r>
      <w:r>
        <w:rPr>
          <w:rFonts w:hint="eastAsia" w:ascii="宋体" w:hAnsi="宋体" w:eastAsia="宋体" w:cs="宋体"/>
          <w:color w:val="000000" w:themeColor="text1"/>
          <w:kern w:val="0"/>
          <w:highlight w:val="none"/>
          <w:lang w:val="en"/>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电话：</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2EE36FB8">
      <w:pPr>
        <w:adjustRightInd w:val="0"/>
        <w:snapToGrid w:val="0"/>
        <w:spacing w:after="0"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传真：</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 xml:space="preserve">    </w:t>
      </w:r>
      <w:r>
        <w:rPr>
          <w:rFonts w:hint="eastAsia" w:ascii="宋体" w:hAnsi="宋体" w:eastAsia="宋体" w:cs="宋体"/>
          <w:color w:val="000000" w:themeColor="text1"/>
          <w:kern w:val="0"/>
          <w:highlight w:val="none"/>
          <w:lang w:val="en"/>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传真：</w:t>
      </w:r>
      <w:r>
        <w:rPr>
          <w:rFonts w:hint="eastAsia" w:ascii="宋体" w:hAnsi="宋体" w:eastAsia="宋体" w:cs="宋体"/>
          <w:color w:val="000000" w:themeColor="text1"/>
          <w:kern w:val="0"/>
          <w:highlight w:val="none"/>
          <w:u w:val="single"/>
          <w14:textFill>
            <w14:solidFill>
              <w14:schemeClr w14:val="tx1"/>
            </w14:solidFill>
          </w14:textFill>
        </w:rPr>
        <w:t xml:space="preserve">                  </w:t>
      </w:r>
    </w:p>
    <w:p w14:paraId="01BDDE87">
      <w:pPr>
        <w:adjustRightInd w:val="0"/>
        <w:snapToGrid w:val="0"/>
        <w:spacing w:after="0" w:line="360" w:lineRule="auto"/>
        <w:rPr>
          <w:rFonts w:hint="eastAsia" w:ascii="宋体" w:hAnsi="宋体" w:eastAsia="宋体" w:cs="宋体"/>
          <w:color w:val="000000" w:themeColor="text1"/>
          <w:sz w:val="24"/>
          <w:szCs w:val="32"/>
          <w:highlight w:val="none"/>
          <w:lang w:bidi="ar"/>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日期：</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月</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 xml:space="preserve">日         </w:t>
      </w:r>
      <w:r>
        <w:rPr>
          <w:rFonts w:hint="eastAsia" w:ascii="宋体" w:hAnsi="宋体" w:eastAsia="宋体" w:cs="宋体"/>
          <w:color w:val="000000" w:themeColor="text1"/>
          <w:kern w:val="0"/>
          <w:highlight w:val="none"/>
          <w:lang w:val="en"/>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日期：</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月</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日</w:t>
      </w:r>
      <w:r>
        <w:rPr>
          <w:rFonts w:hint="eastAsia" w:ascii="宋体" w:hAnsi="宋体" w:eastAsia="宋体" w:cs="宋体"/>
          <w:color w:val="000000" w:themeColor="text1"/>
          <w:sz w:val="24"/>
          <w:szCs w:val="32"/>
          <w:highlight w:val="none"/>
          <w:lang w:bidi="ar"/>
          <w14:textFill>
            <w14:solidFill>
              <w14:schemeClr w14:val="tx1"/>
            </w14:solidFill>
          </w14:textFill>
        </w:rPr>
        <w:br w:type="page"/>
      </w:r>
    </w:p>
    <w:p w14:paraId="693705FD">
      <w:pPr>
        <w:rPr>
          <w:rFonts w:hint="eastAsia" w:ascii="宋体" w:hAnsi="宋体" w:eastAsia="宋体" w:cs="宋体"/>
          <w:color w:val="000000" w:themeColor="text1"/>
          <w:highlight w:val="none"/>
          <w:lang w:bidi="ar"/>
          <w14:textFill>
            <w14:solidFill>
              <w14:schemeClr w14:val="tx1"/>
            </w14:solidFill>
          </w14:textFill>
        </w:rPr>
      </w:pPr>
    </w:p>
    <w:p w14:paraId="4752AA4A">
      <w:pPr>
        <w:pStyle w:val="2"/>
        <w:spacing w:before="0" w:after="0"/>
        <w:ind w:firstLine="482"/>
        <w:rPr>
          <w:rFonts w:hint="eastAsia" w:ascii="宋体" w:hAnsi="宋体" w:eastAsia="宋体" w:cs="宋体"/>
          <w:color w:val="000000" w:themeColor="text1"/>
          <w:highlight w:val="none"/>
          <w14:textFill>
            <w14:solidFill>
              <w14:schemeClr w14:val="tx1"/>
            </w14:solidFill>
          </w14:textFill>
        </w:rPr>
      </w:pPr>
      <w:bookmarkStart w:id="50" w:name="_Toc7123"/>
      <w:bookmarkStart w:id="51" w:name="_Toc34844746"/>
      <w:r>
        <w:rPr>
          <w:rFonts w:hint="eastAsia" w:ascii="宋体" w:hAnsi="宋体" w:eastAsia="宋体" w:cs="宋体"/>
          <w:color w:val="000000" w:themeColor="text1"/>
          <w:highlight w:val="none"/>
          <w14:textFill>
            <w14:solidFill>
              <w14:schemeClr w14:val="tx1"/>
            </w14:solidFill>
          </w14:textFill>
        </w:rPr>
        <w:t>第六章 投标文件格式</w:t>
      </w:r>
      <w:bookmarkEnd w:id="50"/>
      <w:bookmarkEnd w:id="51"/>
    </w:p>
    <w:p w14:paraId="5F04C54A">
      <w:pPr>
        <w:snapToGrid w:val="0"/>
        <w:spacing w:after="0" w:line="360" w:lineRule="auto"/>
        <w:ind w:left="-23" w:leftChars="-11" w:right="-214" w:rightChars="-102" w:firstLine="21" w:firstLineChars="1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1.资格要求响应文件的有关格式</w:t>
      </w:r>
    </w:p>
    <w:p w14:paraId="7D9FF46F">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（1）投标人资格声明函</w:t>
      </w:r>
    </w:p>
    <w:p w14:paraId="51D8109B">
      <w:pPr>
        <w:spacing w:after="0" w:line="360" w:lineRule="auto"/>
        <w:rPr>
          <w:rFonts w:hint="eastAsia" w:ascii="宋体" w:hAnsi="宋体" w:eastAsia="宋体" w:cs="宋体"/>
          <w:b/>
          <w:color w:val="000000" w:themeColor="text1"/>
          <w:kern w:val="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宁波市数据服务中心、宁波名诚招标代理有限公司</w:t>
      </w:r>
    </w:p>
    <w:p w14:paraId="741DA66B">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我方参与本项目政府采购活动，郑重承诺：</w:t>
      </w:r>
    </w:p>
    <w:p w14:paraId="4FCC41E4">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一、具备《中华人民共和国政府采购法》第二十二条第一款规定的条件：</w:t>
      </w:r>
    </w:p>
    <w:p w14:paraId="22A80CC7">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w:t>
      </w:r>
    </w:p>
    <w:p w14:paraId="5017F4F9">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2.具有良好的商业信誉和健全的财务会计制度；</w:t>
      </w:r>
    </w:p>
    <w:p w14:paraId="0F12BA8C">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3.具有履行本项目合同所必需的设备和专业技术能力；</w:t>
      </w:r>
    </w:p>
    <w:p w14:paraId="0DE30340">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4.有依法缴纳税收和社会保障资金的良好记录；</w:t>
      </w:r>
    </w:p>
    <w:p w14:paraId="3BBF0E05">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5.在参加本次政府采购活动前三年内，在经营活动中没有重大违法记录（没有因违法经营受到刑事处罚或者责令停产停业、吊销许可证或者执照、较大数额罚款等行政处罚）；</w:t>
      </w:r>
    </w:p>
    <w:p w14:paraId="43213F4D">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6.具有法律、行政法规规定的其他条件。</w:t>
      </w:r>
    </w:p>
    <w:p w14:paraId="6744542E">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二、未被“信用中国”网站(www.creditchina.gov.cn)列入“失信被执行人或重大税收违法失信主体”；未被中国政府采购网(www.ccgp.gov.cn)“政府采购严重违法失信行为信息记录”列入禁止参加政府采购活动期间。</w:t>
      </w:r>
    </w:p>
    <w:p w14:paraId="79816C6C">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三、不存在以下情况：</w:t>
      </w:r>
    </w:p>
    <w:p w14:paraId="5C25613F">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为采购项目提供整体设计、规范编制或者项目管理、监理、检测等服务后再参加该采购项目的其他采购活动的。</w:t>
      </w:r>
    </w:p>
    <w:p w14:paraId="019023A0">
      <w:pPr>
        <w:spacing w:after="0" w:line="360" w:lineRule="auto"/>
        <w:rPr>
          <w:rFonts w:hint="eastAsia" w:ascii="宋体" w:hAnsi="宋体" w:eastAsia="宋体" w:cs="宋体"/>
          <w:color w:val="000000" w:themeColor="text1"/>
          <w:highlight w:val="none"/>
          <w14:textFill>
            <w14:solidFill>
              <w14:schemeClr w14:val="tx1"/>
            </w14:solidFill>
          </w14:textFill>
        </w:rPr>
      </w:pPr>
    </w:p>
    <w:p w14:paraId="21EB7865">
      <w:pPr>
        <w:spacing w:after="0" w:line="360" w:lineRule="auto"/>
        <w:rPr>
          <w:rFonts w:hint="eastAsia" w:ascii="宋体" w:hAnsi="宋体" w:eastAsia="宋体" w:cs="宋体"/>
          <w:color w:val="000000" w:themeColor="text1"/>
          <w:highlight w:val="none"/>
          <w14:textFill>
            <w14:solidFill>
              <w14:schemeClr w14:val="tx1"/>
            </w14:solidFill>
          </w14:textFill>
        </w:rPr>
      </w:pPr>
    </w:p>
    <w:p w14:paraId="5A259AC5">
      <w:pPr>
        <w:snapToGrid w:val="0"/>
        <w:spacing w:after="0" w:line="360" w:lineRule="auto"/>
        <w:ind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u w:val="single"/>
          <w14:textFill>
            <w14:solidFill>
              <w14:schemeClr w14:val="tx1"/>
            </w14:solidFill>
          </w14:textFill>
        </w:rPr>
        <w:t xml:space="preserve">（填写全称并加盖公章)     </w:t>
      </w:r>
    </w:p>
    <w:p w14:paraId="64DE4D84">
      <w:pPr>
        <w:snapToGrid w:val="0"/>
        <w:spacing w:after="0" w:line="360" w:lineRule="auto"/>
        <w:ind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39D3F7A6">
      <w:pPr>
        <w:widowControl/>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90C860F">
      <w:pPr>
        <w:snapToGrid w:val="0"/>
        <w:spacing w:after="0" w:line="360" w:lineRule="auto"/>
        <w:ind w:left="-23" w:leftChars="-11" w:right="-214" w:rightChars="-102" w:firstLine="21" w:firstLineChars="1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2.商务技术文件的有关格式</w:t>
      </w:r>
    </w:p>
    <w:p w14:paraId="6E4C444E">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（1）投标函</w:t>
      </w:r>
    </w:p>
    <w:p w14:paraId="460EA480">
      <w:pPr>
        <w:snapToGrid w:val="0"/>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宁波市数据服务中心、宁波名诚招标代理有限公司</w:t>
      </w:r>
    </w:p>
    <w:p w14:paraId="7A791309">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我方参加你方组织的</w:t>
      </w:r>
      <w:r>
        <w:rPr>
          <w:rFonts w:hint="eastAsia" w:ascii="宋体" w:hAnsi="宋体" w:eastAsia="宋体" w:cs="宋体"/>
          <w:color w:val="000000" w:themeColor="text1"/>
          <w:highlight w:val="none"/>
          <w:u w:val="single"/>
          <w14:textFill>
            <w14:solidFill>
              <w14:schemeClr w14:val="tx1"/>
            </w14:solidFill>
          </w14:textFill>
        </w:rPr>
        <w:t>宁波市集约运维改革市本级试点单位2026年机柜租赁服务项目</w:t>
      </w: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14:textFill>
            <w14:solidFill>
              <w14:schemeClr w14:val="tx1"/>
            </w14:solidFill>
          </w14:textFill>
        </w:rPr>
        <w:t>NBSFZX2026016（NBMC-20262076G）</w:t>
      </w:r>
      <w:r>
        <w:rPr>
          <w:rFonts w:hint="eastAsia" w:ascii="宋体" w:hAnsi="宋体" w:eastAsia="宋体" w:cs="宋体"/>
          <w:color w:val="000000" w:themeColor="text1"/>
          <w:highlight w:val="none"/>
          <w14:textFill>
            <w14:solidFill>
              <w14:schemeClr w14:val="tx1"/>
            </w14:solidFill>
          </w14:textFill>
        </w:rPr>
        <w:t>）招标的有关活动，并对此项目进行投标。为此：</w:t>
      </w:r>
    </w:p>
    <w:p w14:paraId="438F8BA6">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1.按招标文件规定提供的服务的投标报价见《开标一览表》。</w:t>
      </w:r>
    </w:p>
    <w:p w14:paraId="409F26E1">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2.我方将根据招标文件的规定，在合同约定的期限内完成合同规定的全部义务。</w:t>
      </w:r>
    </w:p>
    <w:p w14:paraId="7DAC0279">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我方已详细审核全部招标文件，包括招标文件的澄清或修改（如有），参考资料及有关附件，我方正式认可并遵守本项目招标文件，并对招标文件各项条款、规定及要求均无异议。我方知道必须放弃提出含糊不清或误解问题的权利。</w:t>
      </w:r>
    </w:p>
    <w:p w14:paraId="7D5DA84E">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4.我方的投标文件在招标文件规定的投标有效期之前均对我方具有约束力。</w:t>
      </w:r>
    </w:p>
    <w:p w14:paraId="36414614">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我方声明投标文件所提供的一切资料均真实无误、及时、有效，企业（单位）运营正常。由于我方提供资料不实而造成的责任和后果由我方独自承担。我方同意按照贵方提出的要求，提供与投标有关的任何证据、数据或资料。</w:t>
      </w:r>
    </w:p>
    <w:p w14:paraId="4E76149D">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6.我方完全理解最低报价并不是中标的唯一标准。</w:t>
      </w:r>
    </w:p>
    <w:p w14:paraId="7F018DCE">
      <w:pPr>
        <w:spacing w:after="0" w:line="360" w:lineRule="auto"/>
        <w:ind w:firstLine="4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如我方获得中标，承诺按照招标文件规定的金额、时间和方式支付采购代理服务费。因我方违约致使采购代理机构采取诉讼或仲裁等方式实现债权，为此支付的律师费、诉讼费、执行费、公证费、认证费、鉴定费、保全费、担保费、差旅费等为实现债权的一切费用由我方承担。</w:t>
      </w:r>
    </w:p>
    <w:p w14:paraId="65EE63CD">
      <w:pPr>
        <w:snapToGrid w:val="0"/>
        <w:spacing w:after="0" w:line="360" w:lineRule="auto"/>
        <w:ind w:right="-214" w:rightChars="-102"/>
        <w:jc w:val="left"/>
        <w:rPr>
          <w:rFonts w:hint="eastAsia" w:ascii="宋体" w:hAnsi="宋体" w:eastAsia="宋体" w:cs="宋体"/>
          <w:color w:val="000000" w:themeColor="text1"/>
          <w:highlight w:val="none"/>
          <w14:textFill>
            <w14:solidFill>
              <w14:schemeClr w14:val="tx1"/>
            </w14:solidFill>
          </w14:textFill>
        </w:rPr>
      </w:pPr>
    </w:p>
    <w:p w14:paraId="7A86B353">
      <w:pPr>
        <w:snapToGrid w:val="0"/>
        <w:spacing w:after="0" w:line="360" w:lineRule="auto"/>
        <w:rPr>
          <w:rFonts w:hint="eastAsia" w:ascii="宋体" w:hAnsi="宋体" w:eastAsia="宋体" w:cs="宋体"/>
          <w:color w:val="000000" w:themeColor="text1"/>
          <w:highlight w:val="none"/>
          <w14:textFill>
            <w14:solidFill>
              <w14:schemeClr w14:val="tx1"/>
            </w14:solidFill>
          </w14:textFill>
        </w:rPr>
      </w:pPr>
    </w:p>
    <w:p w14:paraId="047366DD">
      <w:pPr>
        <w:snapToGrid w:val="0"/>
        <w:spacing w:after="0" w:line="360" w:lineRule="auto"/>
        <w:ind w:firstLine="4252" w:firstLineChars="20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u w:val="single"/>
          <w14:textFill>
            <w14:solidFill>
              <w14:schemeClr w14:val="tx1"/>
            </w14:solidFill>
          </w14:textFill>
        </w:rPr>
        <w:t xml:space="preserve">（填写全称并加盖公章)  </w:t>
      </w:r>
    </w:p>
    <w:p w14:paraId="075CBCB8">
      <w:pPr>
        <w:snapToGrid w:val="0"/>
        <w:spacing w:after="0" w:line="360" w:lineRule="auto"/>
        <w:ind w:firstLine="4252" w:firstLineChars="20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08F247DA">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r>
        <w:rPr>
          <w:rFonts w:hint="eastAsia" w:ascii="宋体" w:hAnsi="宋体" w:eastAsia="宋体" w:cs="宋体"/>
          <w:b/>
          <w:color w:val="000000" w:themeColor="text1"/>
          <w:sz w:val="21"/>
          <w:highlight w:val="none"/>
          <w14:textFill>
            <w14:solidFill>
              <w14:schemeClr w14:val="tx1"/>
            </w14:solidFill>
          </w14:textFill>
        </w:rPr>
        <w:t>（2）授权委托书</w:t>
      </w:r>
    </w:p>
    <w:p w14:paraId="55606C0F">
      <w:pPr>
        <w:snapToGrid w:val="0"/>
        <w:spacing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宁波市数据服务中心、宁波名诚招标代理有限公司</w:t>
      </w:r>
    </w:p>
    <w:p w14:paraId="316584C4">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w:t>
      </w:r>
      <w:r>
        <w:rPr>
          <w:rFonts w:hint="eastAsia" w:ascii="宋体" w:hAnsi="宋体" w:eastAsia="宋体" w:cs="宋体"/>
          <w:color w:val="000000" w:themeColor="text1"/>
          <w:highlight w:val="none"/>
          <w:u w:val="single"/>
          <w14:textFill>
            <w14:solidFill>
              <w14:schemeClr w14:val="tx1"/>
            </w14:solidFill>
          </w14:textFill>
        </w:rPr>
        <w:t xml:space="preserve">   （姓名） </w:t>
      </w:r>
      <w:r>
        <w:rPr>
          <w:rFonts w:hint="eastAsia" w:ascii="宋体" w:hAnsi="宋体" w:eastAsia="宋体" w:cs="宋体"/>
          <w:color w:val="000000" w:themeColor="text1"/>
          <w:highlight w:val="none"/>
          <w14:textFill>
            <w14:solidFill>
              <w14:schemeClr w14:val="tx1"/>
            </w14:solidFill>
          </w14:textFill>
        </w:rPr>
        <w:t>系</w:t>
      </w:r>
      <w:r>
        <w:rPr>
          <w:rFonts w:hint="eastAsia" w:ascii="宋体" w:hAnsi="宋体" w:eastAsia="宋体" w:cs="宋体"/>
          <w:color w:val="000000" w:themeColor="text1"/>
          <w:highlight w:val="none"/>
          <w:u w:val="single"/>
          <w14:textFill>
            <w14:solidFill>
              <w14:schemeClr w14:val="tx1"/>
            </w14:solidFill>
          </w14:textFill>
        </w:rPr>
        <w:t xml:space="preserve">    （投标人名称）    </w:t>
      </w:r>
      <w:r>
        <w:rPr>
          <w:rFonts w:hint="eastAsia" w:ascii="宋体" w:hAnsi="宋体" w:eastAsia="宋体" w:cs="宋体"/>
          <w:color w:val="000000" w:themeColor="text1"/>
          <w:highlight w:val="none"/>
          <w14:textFill>
            <w14:solidFill>
              <w14:schemeClr w14:val="tx1"/>
            </w14:solidFill>
          </w14:textFill>
        </w:rPr>
        <w:t>的法定代表人，现授权委托</w:t>
      </w:r>
      <w:r>
        <w:rPr>
          <w:rFonts w:hint="eastAsia" w:ascii="宋体" w:hAnsi="宋体" w:eastAsia="宋体" w:cs="宋体"/>
          <w:color w:val="000000" w:themeColor="text1"/>
          <w:highlight w:val="none"/>
          <w:u w:val="single"/>
          <w14:textFill>
            <w14:solidFill>
              <w14:schemeClr w14:val="tx1"/>
            </w14:solidFill>
          </w14:textFill>
        </w:rPr>
        <w:t xml:space="preserve">   （姓名）  </w:t>
      </w: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以我方的名义参加</w:t>
      </w:r>
      <w:r>
        <w:rPr>
          <w:rFonts w:hint="eastAsia" w:ascii="宋体" w:hAnsi="宋体" w:eastAsia="宋体" w:cs="宋体"/>
          <w:color w:val="000000" w:themeColor="text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highlight w:val="none"/>
          <w:lang w:val="zh-CN"/>
          <w14:textFill>
            <w14:solidFill>
              <w14:schemeClr w14:val="tx1"/>
            </w14:solidFill>
          </w14:textFill>
        </w:rPr>
        <w:t>政府采购投标响应的一切事项，其法律后果由我方承担。</w:t>
      </w:r>
    </w:p>
    <w:p w14:paraId="1C2D8CED">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本授权书自出具之日起生效，在撤销授权的书面通知以前，本授权委托书一直有效。授权代表在授权委托书有效期内签署的所有文件不因授权的撤销而失效。</w:t>
      </w:r>
    </w:p>
    <w:p w14:paraId="31AEA8D4">
      <w:pPr>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授权代表无转委托权，特此授权。</w:t>
      </w:r>
    </w:p>
    <w:p w14:paraId="747F9D2C">
      <w:pPr>
        <w:snapToGrid w:val="0"/>
        <w:spacing w:after="0" w:line="360" w:lineRule="auto"/>
        <w:ind w:left="2167" w:right="112"/>
        <w:rPr>
          <w:rFonts w:hint="eastAsia" w:ascii="宋体" w:hAnsi="宋体" w:eastAsia="宋体" w:cs="宋体"/>
          <w:color w:val="000000" w:themeColor="text1"/>
          <w:highlight w:val="none"/>
          <w14:textFill>
            <w14:solidFill>
              <w14:schemeClr w14:val="tx1"/>
            </w14:solidFill>
          </w14:textFill>
        </w:rPr>
      </w:pPr>
    </w:p>
    <w:p w14:paraId="4707F88C">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u w:val="single"/>
          <w14:textFill>
            <w14:solidFill>
              <w14:schemeClr w14:val="tx1"/>
            </w14:solidFill>
          </w14:textFill>
        </w:rPr>
        <w:t>（填写全称并加盖公章）</w:t>
      </w:r>
    </w:p>
    <w:p w14:paraId="637127F4">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授权委托日期：    年   月   日</w:t>
      </w:r>
    </w:p>
    <w:p w14:paraId="3732A6A0">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6CD8F4E5">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1FE47463">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633F4DC9">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1812DBB1">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08C805BB">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07EA6FB4">
      <w:pPr>
        <w:spacing w:after="0" w:line="360" w:lineRule="auto"/>
        <w:ind w:left="2161" w:right="112" w:hanging="1800"/>
        <w:rPr>
          <w:rFonts w:hint="eastAsia" w:ascii="宋体" w:hAnsi="宋体" w:eastAsia="宋体" w:cs="宋体"/>
          <w:b/>
          <w:color w:val="000000" w:themeColor="text1"/>
          <w:highlight w:val="none"/>
          <w14:textFill>
            <w14:solidFill>
              <w14:schemeClr w14:val="tx1"/>
            </w14:solidFill>
          </w14:textFill>
        </w:rPr>
      </w:pPr>
    </w:p>
    <w:p w14:paraId="6FB05E89">
      <w:pPr>
        <w:spacing w:after="0" w:line="360" w:lineRule="auto"/>
        <w:ind w:right="11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注：本项目只允许有唯一的投标人授权代表，附授权代表身份证正反面复印件。本表及其附件只要求投标人的授权代表在投标文件中签署资料的情况下提交。</w:t>
      </w:r>
    </w:p>
    <w:p w14:paraId="156D033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BF75D2F">
      <w:pPr>
        <w:pStyle w:val="13"/>
        <w:spacing w:after="0" w:line="360" w:lineRule="auto"/>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（3）评委打分索引表</w:t>
      </w:r>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600"/>
        <w:gridCol w:w="1701"/>
        <w:gridCol w:w="2835"/>
      </w:tblGrid>
      <w:tr w14:paraId="018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439531A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3600" w:type="dxa"/>
            <w:vAlign w:val="center"/>
          </w:tcPr>
          <w:p w14:paraId="2811B56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评审因素</w:t>
            </w:r>
          </w:p>
        </w:tc>
        <w:tc>
          <w:tcPr>
            <w:tcW w:w="1701" w:type="dxa"/>
            <w:vAlign w:val="center"/>
          </w:tcPr>
          <w:p w14:paraId="4435560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文件或证明材料所在页码区间</w:t>
            </w:r>
          </w:p>
        </w:tc>
        <w:tc>
          <w:tcPr>
            <w:tcW w:w="2835" w:type="dxa"/>
            <w:vAlign w:val="center"/>
          </w:tcPr>
          <w:p w14:paraId="546EBD2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自评得分（由评委进行主观评审的不用填写自评得分）</w:t>
            </w:r>
          </w:p>
        </w:tc>
      </w:tr>
      <w:tr w14:paraId="0C2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0700F5C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600" w:type="dxa"/>
            <w:vAlign w:val="center"/>
          </w:tcPr>
          <w:p w14:paraId="20D2B7D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1" w:type="dxa"/>
            <w:vAlign w:val="center"/>
          </w:tcPr>
          <w:p w14:paraId="4443224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5" w:type="dxa"/>
            <w:vAlign w:val="center"/>
          </w:tcPr>
          <w:p w14:paraId="686C424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18F5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463BE00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3600" w:type="dxa"/>
            <w:vAlign w:val="center"/>
          </w:tcPr>
          <w:p w14:paraId="03C4578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1" w:type="dxa"/>
            <w:vAlign w:val="center"/>
          </w:tcPr>
          <w:p w14:paraId="0ADB220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5" w:type="dxa"/>
            <w:vAlign w:val="center"/>
          </w:tcPr>
          <w:p w14:paraId="39389A5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191B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4C48074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3600" w:type="dxa"/>
            <w:vAlign w:val="center"/>
          </w:tcPr>
          <w:p w14:paraId="5DBE6D1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1" w:type="dxa"/>
            <w:vAlign w:val="center"/>
          </w:tcPr>
          <w:p w14:paraId="3BFFB40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5" w:type="dxa"/>
            <w:vAlign w:val="center"/>
          </w:tcPr>
          <w:p w14:paraId="4CFE6D6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61C3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5E67ECF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3600" w:type="dxa"/>
            <w:vAlign w:val="center"/>
          </w:tcPr>
          <w:p w14:paraId="7BBBC9C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1" w:type="dxa"/>
            <w:vAlign w:val="center"/>
          </w:tcPr>
          <w:p w14:paraId="7CA558C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5" w:type="dxa"/>
            <w:vAlign w:val="center"/>
          </w:tcPr>
          <w:p w14:paraId="5747F15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682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3A2F45E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600" w:type="dxa"/>
            <w:vAlign w:val="center"/>
          </w:tcPr>
          <w:p w14:paraId="5C95A9E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1" w:type="dxa"/>
            <w:vAlign w:val="center"/>
          </w:tcPr>
          <w:p w14:paraId="185E2A4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5" w:type="dxa"/>
            <w:vAlign w:val="center"/>
          </w:tcPr>
          <w:p w14:paraId="2E9696A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712F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vAlign w:val="center"/>
          </w:tcPr>
          <w:p w14:paraId="0607A72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3600" w:type="dxa"/>
            <w:vAlign w:val="center"/>
          </w:tcPr>
          <w:p w14:paraId="3D5D220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1" w:type="dxa"/>
            <w:vAlign w:val="center"/>
          </w:tcPr>
          <w:p w14:paraId="0CBB3F8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5" w:type="dxa"/>
            <w:vAlign w:val="center"/>
          </w:tcPr>
          <w:p w14:paraId="3369882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bl>
    <w:p w14:paraId="2F2768AE">
      <w:pPr>
        <w:pStyle w:val="13"/>
        <w:spacing w:after="0" w:line="360" w:lineRule="auto"/>
        <w:ind w:left="1395" w:leftChars="67" w:right="112" w:hanging="1254"/>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注：按照评委打分表内容逐项填写，报价部分无需列入。</w:t>
      </w:r>
    </w:p>
    <w:p w14:paraId="6102CDFC">
      <w:pPr>
        <w:widowControl/>
        <w:spacing w:after="0" w:line="360" w:lineRule="auto"/>
        <w:ind w:right="11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2473B5A2">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（4）商务要求响应表</w:t>
      </w:r>
    </w:p>
    <w:tbl>
      <w:tblPr>
        <w:tblStyle w:val="26"/>
        <w:tblW w:w="90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4395"/>
        <w:gridCol w:w="1276"/>
        <w:gridCol w:w="1531"/>
      </w:tblGrid>
      <w:tr w14:paraId="5A99C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vAlign w:val="center"/>
          </w:tcPr>
          <w:p w14:paraId="5C09E38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583EAF3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4395" w:type="dxa"/>
            <w:tcBorders>
              <w:top w:val="single" w:color="auto" w:sz="4" w:space="0"/>
              <w:left w:val="single" w:color="auto" w:sz="4" w:space="0"/>
              <w:bottom w:val="single" w:color="auto" w:sz="4" w:space="0"/>
              <w:right w:val="single" w:color="auto" w:sz="4" w:space="0"/>
            </w:tcBorders>
            <w:vAlign w:val="center"/>
          </w:tcPr>
          <w:p w14:paraId="0ACA8AF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招标文件的商务要求</w:t>
            </w:r>
          </w:p>
        </w:tc>
        <w:tc>
          <w:tcPr>
            <w:tcW w:w="1276" w:type="dxa"/>
            <w:tcBorders>
              <w:top w:val="single" w:color="auto" w:sz="4" w:space="0"/>
              <w:left w:val="single" w:color="auto" w:sz="4" w:space="0"/>
              <w:bottom w:val="single" w:color="auto" w:sz="4" w:space="0"/>
              <w:right w:val="single" w:color="auto" w:sz="4" w:space="0"/>
            </w:tcBorders>
            <w:vAlign w:val="center"/>
          </w:tcPr>
          <w:p w14:paraId="2F0C837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投标响应</w:t>
            </w:r>
          </w:p>
        </w:tc>
        <w:tc>
          <w:tcPr>
            <w:tcW w:w="1531" w:type="dxa"/>
            <w:tcBorders>
              <w:top w:val="single" w:color="auto" w:sz="4" w:space="0"/>
              <w:left w:val="single" w:color="auto" w:sz="4" w:space="0"/>
              <w:bottom w:val="single" w:color="auto" w:sz="4" w:space="0"/>
              <w:right w:val="single" w:color="auto" w:sz="4" w:space="0"/>
            </w:tcBorders>
            <w:vAlign w:val="center"/>
          </w:tcPr>
          <w:p w14:paraId="2913C76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偏离说明</w:t>
            </w:r>
          </w:p>
        </w:tc>
      </w:tr>
      <w:tr w14:paraId="60EC1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vAlign w:val="center"/>
          </w:tcPr>
          <w:p w14:paraId="0ED86D3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3E6D4174">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4395" w:type="dxa"/>
            <w:tcBorders>
              <w:top w:val="single" w:color="auto" w:sz="4" w:space="0"/>
              <w:left w:val="single" w:color="auto" w:sz="4" w:space="0"/>
              <w:bottom w:val="single" w:color="auto" w:sz="4" w:space="0"/>
              <w:right w:val="single" w:color="auto" w:sz="4" w:space="0"/>
            </w:tcBorders>
            <w:vAlign w:val="center"/>
          </w:tcPr>
          <w:p w14:paraId="69176981">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DE67DF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6F2491D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78D8E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vAlign w:val="center"/>
          </w:tcPr>
          <w:p w14:paraId="54008AF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6C2A47FF">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4395" w:type="dxa"/>
            <w:tcBorders>
              <w:top w:val="single" w:color="auto" w:sz="4" w:space="0"/>
              <w:left w:val="single" w:color="auto" w:sz="4" w:space="0"/>
              <w:bottom w:val="single" w:color="auto" w:sz="4" w:space="0"/>
              <w:right w:val="single" w:color="auto" w:sz="4" w:space="0"/>
            </w:tcBorders>
            <w:vAlign w:val="center"/>
          </w:tcPr>
          <w:p w14:paraId="6067C9C8">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0BC5D67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30CFFE6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777FE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vAlign w:val="center"/>
          </w:tcPr>
          <w:p w14:paraId="4C8C55D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19CB22AB">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4395" w:type="dxa"/>
            <w:tcBorders>
              <w:top w:val="single" w:color="auto" w:sz="4" w:space="0"/>
              <w:left w:val="single" w:color="auto" w:sz="4" w:space="0"/>
              <w:bottom w:val="single" w:color="auto" w:sz="4" w:space="0"/>
              <w:right w:val="single" w:color="auto" w:sz="4" w:space="0"/>
            </w:tcBorders>
            <w:vAlign w:val="center"/>
          </w:tcPr>
          <w:p w14:paraId="6721F04B">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0DFD7EC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4DF229E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49E3C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vAlign w:val="center"/>
          </w:tcPr>
          <w:p w14:paraId="722F180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134" w:type="dxa"/>
            <w:tcBorders>
              <w:top w:val="single" w:color="auto" w:sz="4" w:space="0"/>
              <w:left w:val="single" w:color="auto" w:sz="4" w:space="0"/>
              <w:bottom w:val="single" w:color="auto" w:sz="4" w:space="0"/>
              <w:right w:val="single" w:color="auto" w:sz="4" w:space="0"/>
            </w:tcBorders>
            <w:vAlign w:val="center"/>
          </w:tcPr>
          <w:p w14:paraId="7559D084">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4395" w:type="dxa"/>
            <w:tcBorders>
              <w:top w:val="single" w:color="auto" w:sz="4" w:space="0"/>
              <w:left w:val="single" w:color="auto" w:sz="4" w:space="0"/>
              <w:bottom w:val="single" w:color="auto" w:sz="4" w:space="0"/>
              <w:right w:val="single" w:color="auto" w:sz="4" w:space="0"/>
            </w:tcBorders>
            <w:vAlign w:val="center"/>
          </w:tcPr>
          <w:p w14:paraId="36433A47">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6989F1A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06D7F34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06590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vAlign w:val="center"/>
          </w:tcPr>
          <w:p w14:paraId="3201476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134" w:type="dxa"/>
            <w:tcBorders>
              <w:top w:val="single" w:color="auto" w:sz="4" w:space="0"/>
              <w:left w:val="single" w:color="auto" w:sz="4" w:space="0"/>
              <w:bottom w:val="single" w:color="auto" w:sz="4" w:space="0"/>
              <w:right w:val="single" w:color="auto" w:sz="4" w:space="0"/>
            </w:tcBorders>
            <w:vAlign w:val="center"/>
          </w:tcPr>
          <w:p w14:paraId="75D8F46E">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4395" w:type="dxa"/>
            <w:tcBorders>
              <w:top w:val="single" w:color="auto" w:sz="4" w:space="0"/>
              <w:left w:val="single" w:color="auto" w:sz="4" w:space="0"/>
              <w:bottom w:val="single" w:color="auto" w:sz="4" w:space="0"/>
              <w:right w:val="single" w:color="auto" w:sz="4" w:space="0"/>
            </w:tcBorders>
            <w:vAlign w:val="center"/>
          </w:tcPr>
          <w:p w14:paraId="179EB0F8">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76028C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325A41A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36FDE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right w:val="single" w:color="auto" w:sz="4" w:space="0"/>
            </w:tcBorders>
            <w:vAlign w:val="center"/>
          </w:tcPr>
          <w:p w14:paraId="79643AA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134" w:type="dxa"/>
            <w:tcBorders>
              <w:top w:val="single" w:color="auto" w:sz="4" w:space="0"/>
              <w:left w:val="single" w:color="auto" w:sz="4" w:space="0"/>
              <w:right w:val="single" w:color="auto" w:sz="4" w:space="0"/>
            </w:tcBorders>
            <w:vAlign w:val="center"/>
          </w:tcPr>
          <w:p w14:paraId="22AB56D9">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4395" w:type="dxa"/>
            <w:tcBorders>
              <w:top w:val="single" w:color="auto" w:sz="4" w:space="0"/>
              <w:left w:val="single" w:color="auto" w:sz="4" w:space="0"/>
              <w:right w:val="single" w:color="auto" w:sz="4" w:space="0"/>
            </w:tcBorders>
            <w:vAlign w:val="center"/>
          </w:tcPr>
          <w:p w14:paraId="19369BD8">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6" w:type="dxa"/>
            <w:tcBorders>
              <w:top w:val="single" w:color="auto" w:sz="4" w:space="0"/>
              <w:left w:val="single" w:color="auto" w:sz="4" w:space="0"/>
              <w:right w:val="single" w:color="auto" w:sz="4" w:space="0"/>
            </w:tcBorders>
            <w:vAlign w:val="center"/>
          </w:tcPr>
          <w:p w14:paraId="7385BAC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531" w:type="dxa"/>
            <w:tcBorders>
              <w:top w:val="single" w:color="auto" w:sz="4" w:space="0"/>
              <w:left w:val="single" w:color="auto" w:sz="4" w:space="0"/>
              <w:right w:val="single" w:color="auto" w:sz="4" w:space="0"/>
            </w:tcBorders>
            <w:vAlign w:val="center"/>
          </w:tcPr>
          <w:p w14:paraId="6C9533A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bl>
    <w:p w14:paraId="20C218BF">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注：</w:t>
      </w:r>
    </w:p>
    <w:p w14:paraId="421961B6">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1.投标人保证：除本表列出的偏离外，响应招标文件《第二章 采购需求》商务要求表列明的所有要求（满足招标文件要求的条款可以不在本表填写相关内容）。</w:t>
      </w:r>
    </w:p>
    <w:p w14:paraId="46D02C95">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2.投标人应当与招标文件《第二章 采购需求》的所有商务要求逐项比较，如有偏离的，须在本表中列明，并填写偏离情况说明。如投标人未在本表中列出偏离项并填写偏离情况说明，即使其在投标文件的其他部分说明与招标文件要求有所不同或回避不答，亦视为响应招标文件《第二章 采购需求》所提出的商务要求并签署合同。若中标人以上述事项为借口而不履行合同签订手续及履行合同，则按照相关法律法规的规定处理，响应情况由评标委员会认定。</w:t>
      </w:r>
    </w:p>
    <w:p w14:paraId="140B98CD">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3.投标人必须响应《第二章 采购需求》的所有商务要求，有不响应（满足）的，按照投标无效处理。</w:t>
      </w:r>
    </w:p>
    <w:p w14:paraId="40291938">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4.投标人无论对《第二章 采购需求》有无偏离（不满足或优于）都应当将本表盖章后作为投标文件的一部分提交，未在投标文件中提供本表的按照投标无效处理。</w:t>
      </w:r>
    </w:p>
    <w:p w14:paraId="6E98D4E4">
      <w:pPr>
        <w:snapToGrid w:val="0"/>
        <w:spacing w:after="0" w:line="360" w:lineRule="auto"/>
        <w:ind w:left="-23" w:leftChars="-11" w:right="-57" w:rightChars="-27" w:firstLine="21" w:firstLineChars="10"/>
        <w:rPr>
          <w:rFonts w:hint="eastAsia" w:ascii="宋体" w:hAnsi="宋体" w:eastAsia="宋体" w:cs="宋体"/>
          <w:b/>
          <w:color w:val="000000" w:themeColor="text1"/>
          <w:highlight w:val="none"/>
          <w14:textFill>
            <w14:solidFill>
              <w14:schemeClr w14:val="tx1"/>
            </w14:solidFill>
          </w14:textFill>
        </w:rPr>
      </w:pPr>
    </w:p>
    <w:p w14:paraId="65DBBEB6">
      <w:pPr>
        <w:pStyle w:val="11"/>
        <w:spacing w:after="0" w:line="360" w:lineRule="auto"/>
        <w:ind w:left="1966" w:right="112" w:hanging="1605"/>
        <w:rPr>
          <w:rFonts w:hint="eastAsia" w:ascii="宋体" w:hAnsi="宋体" w:eastAsia="宋体" w:cs="宋体"/>
          <w:color w:val="000000" w:themeColor="text1"/>
          <w:highlight w:val="none"/>
          <w14:textFill>
            <w14:solidFill>
              <w14:schemeClr w14:val="tx1"/>
            </w14:solidFill>
          </w14:textFill>
        </w:rPr>
      </w:pPr>
    </w:p>
    <w:p w14:paraId="782C0E6C">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u w:val="single"/>
          <w14:textFill>
            <w14:solidFill>
              <w14:schemeClr w14:val="tx1"/>
            </w14:solidFill>
          </w14:textFill>
        </w:rPr>
        <w:t>填写全称并加盖公章</w:t>
      </w:r>
    </w:p>
    <w:p w14:paraId="14877CA7">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32D4E3D1">
      <w:pPr>
        <w:widowControl/>
        <w:spacing w:after="0" w:line="360" w:lineRule="auto"/>
        <w:ind w:right="11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1F9360EF">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（5）技术</w:t>
      </w:r>
      <w:bookmarkStart w:id="52" w:name="OLE_LINK4"/>
      <w:bookmarkStart w:id="53" w:name="OLE_LINK3"/>
      <w:r>
        <w:rPr>
          <w:rFonts w:hint="eastAsia" w:ascii="宋体" w:hAnsi="宋体" w:eastAsia="宋体" w:cs="宋体"/>
          <w:b/>
          <w:color w:val="000000" w:themeColor="text1"/>
          <w:sz w:val="21"/>
          <w:highlight w:val="none"/>
          <w14:textFill>
            <w14:solidFill>
              <w14:schemeClr w14:val="tx1"/>
            </w14:solidFill>
          </w14:textFill>
        </w:rPr>
        <w:t>/服务</w:t>
      </w:r>
      <w:bookmarkEnd w:id="52"/>
      <w:bookmarkEnd w:id="53"/>
      <w:r>
        <w:rPr>
          <w:rFonts w:hint="eastAsia" w:ascii="宋体" w:hAnsi="宋体" w:eastAsia="宋体" w:cs="宋体"/>
          <w:b/>
          <w:color w:val="000000" w:themeColor="text1"/>
          <w:sz w:val="21"/>
          <w:highlight w:val="none"/>
          <w14:textFill>
            <w14:solidFill>
              <w14:schemeClr w14:val="tx1"/>
            </w14:solidFill>
          </w14:textFill>
        </w:rPr>
        <w:t>要求响应表</w:t>
      </w:r>
    </w:p>
    <w:tbl>
      <w:tblPr>
        <w:tblStyle w:val="2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3969"/>
        <w:gridCol w:w="1275"/>
        <w:gridCol w:w="1702"/>
      </w:tblGrid>
      <w:tr w14:paraId="5D7E4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6DBBB0D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EAEFB6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3969" w:type="dxa"/>
            <w:tcBorders>
              <w:top w:val="single" w:color="auto" w:sz="4" w:space="0"/>
              <w:left w:val="single" w:color="auto" w:sz="4" w:space="0"/>
              <w:bottom w:val="single" w:color="auto" w:sz="4" w:space="0"/>
              <w:right w:val="single" w:color="auto" w:sz="4" w:space="0"/>
            </w:tcBorders>
            <w:vAlign w:val="center"/>
          </w:tcPr>
          <w:p w14:paraId="6B4A469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招标文件的技术/服务要求</w:t>
            </w:r>
          </w:p>
        </w:tc>
        <w:tc>
          <w:tcPr>
            <w:tcW w:w="1275" w:type="dxa"/>
            <w:tcBorders>
              <w:top w:val="single" w:color="auto" w:sz="4" w:space="0"/>
              <w:left w:val="single" w:color="auto" w:sz="4" w:space="0"/>
              <w:bottom w:val="single" w:color="auto" w:sz="4" w:space="0"/>
              <w:right w:val="single" w:color="auto" w:sz="4" w:space="0"/>
            </w:tcBorders>
            <w:vAlign w:val="center"/>
          </w:tcPr>
          <w:p w14:paraId="5F0F7C5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投标响应</w:t>
            </w:r>
          </w:p>
        </w:tc>
        <w:tc>
          <w:tcPr>
            <w:tcW w:w="1702" w:type="dxa"/>
            <w:tcBorders>
              <w:top w:val="single" w:color="auto" w:sz="4" w:space="0"/>
              <w:left w:val="single" w:color="auto" w:sz="4" w:space="0"/>
              <w:bottom w:val="single" w:color="auto" w:sz="4" w:space="0"/>
              <w:right w:val="single" w:color="auto" w:sz="4" w:space="0"/>
            </w:tcBorders>
            <w:vAlign w:val="center"/>
          </w:tcPr>
          <w:p w14:paraId="3FD72FA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偏离说明</w:t>
            </w:r>
          </w:p>
        </w:tc>
      </w:tr>
      <w:tr w14:paraId="640F3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2294E75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vAlign w:val="center"/>
          </w:tcPr>
          <w:p w14:paraId="63E503C6">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3969" w:type="dxa"/>
            <w:tcBorders>
              <w:top w:val="single" w:color="auto" w:sz="4" w:space="0"/>
              <w:left w:val="single" w:color="auto" w:sz="4" w:space="0"/>
              <w:bottom w:val="single" w:color="auto" w:sz="4" w:space="0"/>
              <w:right w:val="single" w:color="auto" w:sz="4" w:space="0"/>
            </w:tcBorders>
            <w:vAlign w:val="center"/>
          </w:tcPr>
          <w:p w14:paraId="0176A003">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3122F75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1BDBC9E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45240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5B0793B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vAlign w:val="center"/>
          </w:tcPr>
          <w:p w14:paraId="0FCE60BC">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3969" w:type="dxa"/>
            <w:tcBorders>
              <w:top w:val="single" w:color="auto" w:sz="4" w:space="0"/>
              <w:left w:val="single" w:color="auto" w:sz="4" w:space="0"/>
              <w:bottom w:val="single" w:color="auto" w:sz="4" w:space="0"/>
              <w:right w:val="single" w:color="auto" w:sz="4" w:space="0"/>
            </w:tcBorders>
            <w:vAlign w:val="center"/>
          </w:tcPr>
          <w:p w14:paraId="54F576BB">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2CC47D1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2FABE34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06AEF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33B7EF3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418" w:type="dxa"/>
            <w:tcBorders>
              <w:top w:val="single" w:color="auto" w:sz="4" w:space="0"/>
              <w:left w:val="single" w:color="auto" w:sz="4" w:space="0"/>
              <w:bottom w:val="single" w:color="auto" w:sz="4" w:space="0"/>
              <w:right w:val="single" w:color="auto" w:sz="4" w:space="0"/>
            </w:tcBorders>
            <w:vAlign w:val="center"/>
          </w:tcPr>
          <w:p w14:paraId="1B75BCAE">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3969" w:type="dxa"/>
            <w:tcBorders>
              <w:top w:val="single" w:color="auto" w:sz="4" w:space="0"/>
              <w:left w:val="single" w:color="auto" w:sz="4" w:space="0"/>
              <w:bottom w:val="single" w:color="auto" w:sz="4" w:space="0"/>
              <w:right w:val="single" w:color="auto" w:sz="4" w:space="0"/>
            </w:tcBorders>
            <w:vAlign w:val="center"/>
          </w:tcPr>
          <w:p w14:paraId="538D9D70">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458BB8C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1CA1270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07387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750B304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418" w:type="dxa"/>
            <w:tcBorders>
              <w:top w:val="single" w:color="auto" w:sz="4" w:space="0"/>
              <w:left w:val="single" w:color="auto" w:sz="4" w:space="0"/>
              <w:bottom w:val="single" w:color="auto" w:sz="4" w:space="0"/>
              <w:right w:val="single" w:color="auto" w:sz="4" w:space="0"/>
            </w:tcBorders>
            <w:vAlign w:val="center"/>
          </w:tcPr>
          <w:p w14:paraId="37376F74">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3969" w:type="dxa"/>
            <w:tcBorders>
              <w:top w:val="single" w:color="auto" w:sz="4" w:space="0"/>
              <w:left w:val="single" w:color="auto" w:sz="4" w:space="0"/>
              <w:bottom w:val="single" w:color="auto" w:sz="4" w:space="0"/>
              <w:right w:val="single" w:color="auto" w:sz="4" w:space="0"/>
            </w:tcBorders>
            <w:vAlign w:val="center"/>
          </w:tcPr>
          <w:p w14:paraId="4E0D9FAE">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4B8D241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77720C3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4E70E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5223E32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418" w:type="dxa"/>
            <w:tcBorders>
              <w:top w:val="single" w:color="auto" w:sz="4" w:space="0"/>
              <w:left w:val="single" w:color="auto" w:sz="4" w:space="0"/>
              <w:bottom w:val="single" w:color="auto" w:sz="4" w:space="0"/>
              <w:right w:val="single" w:color="auto" w:sz="4" w:space="0"/>
            </w:tcBorders>
            <w:vAlign w:val="center"/>
          </w:tcPr>
          <w:p w14:paraId="7EB234D4">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3969" w:type="dxa"/>
            <w:tcBorders>
              <w:top w:val="single" w:color="auto" w:sz="4" w:space="0"/>
              <w:left w:val="single" w:color="auto" w:sz="4" w:space="0"/>
              <w:bottom w:val="single" w:color="auto" w:sz="4" w:space="0"/>
              <w:right w:val="single" w:color="auto" w:sz="4" w:space="0"/>
            </w:tcBorders>
            <w:vAlign w:val="center"/>
          </w:tcPr>
          <w:p w14:paraId="6BE5C83B">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6CCDADF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5384950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6F846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57C65B5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418" w:type="dxa"/>
            <w:tcBorders>
              <w:top w:val="single" w:color="auto" w:sz="4" w:space="0"/>
              <w:left w:val="single" w:color="auto" w:sz="4" w:space="0"/>
              <w:bottom w:val="single" w:color="auto" w:sz="4" w:space="0"/>
              <w:right w:val="single" w:color="auto" w:sz="4" w:space="0"/>
            </w:tcBorders>
            <w:vAlign w:val="center"/>
          </w:tcPr>
          <w:p w14:paraId="1C0F16A5">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3969" w:type="dxa"/>
            <w:tcBorders>
              <w:top w:val="single" w:color="auto" w:sz="4" w:space="0"/>
              <w:left w:val="single" w:color="auto" w:sz="4" w:space="0"/>
              <w:bottom w:val="single" w:color="auto" w:sz="4" w:space="0"/>
              <w:right w:val="single" w:color="auto" w:sz="4" w:space="0"/>
            </w:tcBorders>
            <w:vAlign w:val="center"/>
          </w:tcPr>
          <w:p w14:paraId="3DA304FB">
            <w:pPr>
              <w:spacing w:after="0" w:line="240" w:lineRule="auto"/>
              <w:jc w:val="left"/>
              <w:rPr>
                <w:rFonts w:hint="eastAsia" w:ascii="宋体" w:hAnsi="宋体" w:eastAsia="宋体" w:cs="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C7B3C9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4CDA492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bl>
    <w:p w14:paraId="4A86935A">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注：</w:t>
      </w:r>
    </w:p>
    <w:p w14:paraId="01855074">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1.投标人保证：除本表列出的偏离外，响应招标文件《第二章 采购需求》列明的除商务要求以外的所有要求（满足招标文件要求的条款可以不在本表填写相关内容）。</w:t>
      </w:r>
    </w:p>
    <w:p w14:paraId="35A2BB45">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2.投标人</w:t>
      </w:r>
      <w:r>
        <w:rPr>
          <w:rFonts w:hint="eastAsia" w:ascii="宋体" w:hAnsi="宋体" w:eastAsia="宋体" w:cs="宋体"/>
          <w:color w:val="000000" w:themeColor="text1"/>
          <w:highlight w:val="none"/>
          <w14:textFill>
            <w14:solidFill>
              <w14:schemeClr w14:val="tx1"/>
            </w14:solidFill>
          </w14:textFill>
        </w:rPr>
        <w:t>应当</w:t>
      </w:r>
      <w:r>
        <w:rPr>
          <w:rFonts w:hint="eastAsia" w:ascii="宋体" w:hAnsi="宋体" w:eastAsia="宋体" w:cs="宋体"/>
          <w:color w:val="000000" w:themeColor="text1"/>
          <w:szCs w:val="22"/>
          <w:highlight w:val="none"/>
          <w14:textFill>
            <w14:solidFill>
              <w14:schemeClr w14:val="tx1"/>
            </w14:solidFill>
          </w14:textFill>
        </w:rPr>
        <w:t>与招标文件《第二章 采购需求》的相关条款逐项比较，如有偏离的，须在本表中列明，并填写偏离情况说明。如投标人未在本表中列出偏离项并填写偏离情况说明，即使其在投标文件的其他部分说明与招标文件要求有所不同或回避不答，亦视为响应招标文件《第二章 采购需求》所提出的要求并签署合同。若中标人以上述事项为借口而不履行合同签订手续及履行合同，则按照相关法律法规的规定处理，响应情况由评标委员会认定。</w:t>
      </w:r>
    </w:p>
    <w:p w14:paraId="14DC29A8">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3.投标人无论对《第二章 采购需求》的</w:t>
      </w:r>
      <w:r>
        <w:rPr>
          <w:rFonts w:hint="eastAsia" w:ascii="宋体" w:hAnsi="宋体" w:eastAsia="宋体" w:cs="宋体"/>
          <w:color w:val="000000" w:themeColor="text1"/>
          <w:highlight w:val="none"/>
          <w14:textFill>
            <w14:solidFill>
              <w14:schemeClr w14:val="tx1"/>
            </w14:solidFill>
          </w14:textFill>
        </w:rPr>
        <w:t>技术或服务要求</w:t>
      </w:r>
      <w:r>
        <w:rPr>
          <w:rFonts w:hint="eastAsia" w:ascii="宋体" w:hAnsi="宋体" w:eastAsia="宋体" w:cs="宋体"/>
          <w:color w:val="000000" w:themeColor="text1"/>
          <w:szCs w:val="22"/>
          <w:highlight w:val="none"/>
          <w14:textFill>
            <w14:solidFill>
              <w14:schemeClr w14:val="tx1"/>
            </w14:solidFill>
          </w14:textFill>
        </w:rPr>
        <w:t>有无偏离（不满足或优于）都应当将本表盖章后作为投标文件的一部分提交，未在投标文件中提供本表的按照</w:t>
      </w:r>
      <w:r>
        <w:rPr>
          <w:rFonts w:hint="eastAsia" w:ascii="宋体" w:hAnsi="宋体" w:eastAsia="宋体" w:cs="宋体"/>
          <w:color w:val="000000" w:themeColor="text1"/>
          <w:highlight w:val="none"/>
          <w14:textFill>
            <w14:solidFill>
              <w14:schemeClr w14:val="tx1"/>
            </w14:solidFill>
          </w14:textFill>
        </w:rPr>
        <w:t>投标无效</w:t>
      </w:r>
      <w:r>
        <w:rPr>
          <w:rFonts w:hint="eastAsia" w:ascii="宋体" w:hAnsi="宋体" w:eastAsia="宋体" w:cs="宋体"/>
          <w:color w:val="000000" w:themeColor="text1"/>
          <w:szCs w:val="22"/>
          <w:highlight w:val="none"/>
          <w14:textFill>
            <w14:solidFill>
              <w14:schemeClr w14:val="tx1"/>
            </w14:solidFill>
          </w14:textFill>
        </w:rPr>
        <w:t>处理。</w:t>
      </w:r>
    </w:p>
    <w:p w14:paraId="145091D7">
      <w:pPr>
        <w:pStyle w:val="58"/>
        <w:spacing w:after="0" w:line="360" w:lineRule="auto"/>
        <w:ind w:left="1806" w:leftChars="0" w:right="112" w:hanging="1806"/>
        <w:rPr>
          <w:rFonts w:hint="eastAsia" w:ascii="宋体" w:hAnsi="宋体" w:eastAsia="宋体" w:cs="宋体"/>
          <w:color w:val="000000" w:themeColor="text1"/>
          <w:highlight w:val="none"/>
          <w14:textFill>
            <w14:solidFill>
              <w14:schemeClr w14:val="tx1"/>
            </w14:solidFill>
          </w14:textFill>
        </w:rPr>
      </w:pPr>
    </w:p>
    <w:p w14:paraId="23728616">
      <w:pPr>
        <w:snapToGrid w:val="0"/>
        <w:spacing w:after="0" w:line="360" w:lineRule="auto"/>
        <w:ind w:left="361" w:right="112" w:firstLine="3402" w:firstLineChars="1620"/>
        <w:rPr>
          <w:rFonts w:hint="eastAsia" w:ascii="宋体" w:hAnsi="宋体" w:eastAsia="宋体" w:cs="宋体"/>
          <w:color w:val="000000" w:themeColor="text1"/>
          <w:highlight w:val="none"/>
          <w14:textFill>
            <w14:solidFill>
              <w14:schemeClr w14:val="tx1"/>
            </w14:solidFill>
          </w14:textFill>
        </w:rPr>
      </w:pPr>
    </w:p>
    <w:p w14:paraId="680837DD">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u w:val="single"/>
          <w14:textFill>
            <w14:solidFill>
              <w14:schemeClr w14:val="tx1"/>
            </w14:solidFill>
          </w14:textFill>
        </w:rPr>
        <w:t>填写全称并加盖公章</w:t>
      </w:r>
    </w:p>
    <w:p w14:paraId="7460D0B7">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1E541603">
      <w:pPr>
        <w:widowControl/>
        <w:spacing w:after="0" w:line="360" w:lineRule="auto"/>
        <w:ind w:right="112"/>
        <w:jc w:val="left"/>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47D1B290">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（6）项目实施人员情况表</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1167"/>
        <w:gridCol w:w="851"/>
        <w:gridCol w:w="1668"/>
        <w:gridCol w:w="2410"/>
      </w:tblGrid>
      <w:tr w14:paraId="1113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3854DD2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993" w:type="dxa"/>
            <w:vAlign w:val="center"/>
          </w:tcPr>
          <w:p w14:paraId="25269A0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75" w:type="dxa"/>
            <w:vAlign w:val="center"/>
          </w:tcPr>
          <w:p w14:paraId="575E83B2">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本项目中的岗位</w:t>
            </w:r>
          </w:p>
        </w:tc>
        <w:tc>
          <w:tcPr>
            <w:tcW w:w="1167" w:type="dxa"/>
            <w:vAlign w:val="center"/>
          </w:tcPr>
          <w:p w14:paraId="0331C02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本项目主要工作内容</w:t>
            </w:r>
          </w:p>
        </w:tc>
        <w:tc>
          <w:tcPr>
            <w:tcW w:w="851" w:type="dxa"/>
            <w:vAlign w:val="center"/>
          </w:tcPr>
          <w:p w14:paraId="2A50B6F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年龄</w:t>
            </w:r>
          </w:p>
        </w:tc>
        <w:tc>
          <w:tcPr>
            <w:tcW w:w="1668" w:type="dxa"/>
            <w:vAlign w:val="center"/>
          </w:tcPr>
          <w:p w14:paraId="4FD7BEC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性别</w:t>
            </w:r>
          </w:p>
        </w:tc>
        <w:tc>
          <w:tcPr>
            <w:tcW w:w="2410" w:type="dxa"/>
            <w:vAlign w:val="center"/>
          </w:tcPr>
          <w:p w14:paraId="16D59D2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职称</w:t>
            </w:r>
          </w:p>
        </w:tc>
      </w:tr>
      <w:tr w14:paraId="0AEF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313CC31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993" w:type="dxa"/>
            <w:vAlign w:val="center"/>
          </w:tcPr>
          <w:p w14:paraId="05047F5F">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5" w:type="dxa"/>
            <w:vAlign w:val="center"/>
          </w:tcPr>
          <w:p w14:paraId="5DD88626">
            <w:pPr>
              <w:spacing w:after="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项目负责人</w:t>
            </w:r>
          </w:p>
        </w:tc>
        <w:tc>
          <w:tcPr>
            <w:tcW w:w="1167" w:type="dxa"/>
            <w:vAlign w:val="center"/>
          </w:tcPr>
          <w:p w14:paraId="3E5673D8">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851" w:type="dxa"/>
            <w:vAlign w:val="center"/>
          </w:tcPr>
          <w:p w14:paraId="5FE2D644">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668" w:type="dxa"/>
            <w:vAlign w:val="center"/>
          </w:tcPr>
          <w:p w14:paraId="7274F769">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2410" w:type="dxa"/>
            <w:vAlign w:val="center"/>
          </w:tcPr>
          <w:p w14:paraId="59CFC4D1">
            <w:pPr>
              <w:spacing w:after="0" w:line="240" w:lineRule="auto"/>
              <w:rPr>
                <w:rFonts w:hint="eastAsia" w:ascii="宋体" w:hAnsi="宋体" w:eastAsia="宋体" w:cs="宋体"/>
                <w:color w:val="000000" w:themeColor="text1"/>
                <w:highlight w:val="none"/>
                <w14:textFill>
                  <w14:solidFill>
                    <w14:schemeClr w14:val="tx1"/>
                  </w14:solidFill>
                </w14:textFill>
              </w:rPr>
            </w:pPr>
          </w:p>
        </w:tc>
      </w:tr>
      <w:tr w14:paraId="0913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602A21A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993" w:type="dxa"/>
            <w:vAlign w:val="center"/>
          </w:tcPr>
          <w:p w14:paraId="3B622364">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5" w:type="dxa"/>
            <w:vAlign w:val="center"/>
          </w:tcPr>
          <w:p w14:paraId="31D5DC24">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167" w:type="dxa"/>
            <w:vAlign w:val="center"/>
          </w:tcPr>
          <w:p w14:paraId="1D2ECCAF">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851" w:type="dxa"/>
            <w:vAlign w:val="center"/>
          </w:tcPr>
          <w:p w14:paraId="59229FEB">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668" w:type="dxa"/>
            <w:vAlign w:val="center"/>
          </w:tcPr>
          <w:p w14:paraId="6B67C0F1">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2410" w:type="dxa"/>
            <w:vAlign w:val="center"/>
          </w:tcPr>
          <w:p w14:paraId="56F1D13A">
            <w:pPr>
              <w:spacing w:after="0" w:line="240" w:lineRule="auto"/>
              <w:rPr>
                <w:rFonts w:hint="eastAsia" w:ascii="宋体" w:hAnsi="宋体" w:eastAsia="宋体" w:cs="宋体"/>
                <w:color w:val="000000" w:themeColor="text1"/>
                <w:highlight w:val="none"/>
                <w14:textFill>
                  <w14:solidFill>
                    <w14:schemeClr w14:val="tx1"/>
                  </w14:solidFill>
                </w14:textFill>
              </w:rPr>
            </w:pPr>
          </w:p>
        </w:tc>
      </w:tr>
      <w:tr w14:paraId="3CF5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33B50586">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993" w:type="dxa"/>
            <w:vAlign w:val="center"/>
          </w:tcPr>
          <w:p w14:paraId="149AF3A7">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5" w:type="dxa"/>
            <w:vAlign w:val="center"/>
          </w:tcPr>
          <w:p w14:paraId="47E4D8B0">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167" w:type="dxa"/>
            <w:vAlign w:val="center"/>
          </w:tcPr>
          <w:p w14:paraId="08837B16">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851" w:type="dxa"/>
            <w:vAlign w:val="center"/>
          </w:tcPr>
          <w:p w14:paraId="5C09DAD4">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668" w:type="dxa"/>
            <w:vAlign w:val="center"/>
          </w:tcPr>
          <w:p w14:paraId="280C3A05">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2410" w:type="dxa"/>
            <w:vAlign w:val="center"/>
          </w:tcPr>
          <w:p w14:paraId="60038014">
            <w:pPr>
              <w:spacing w:after="0" w:line="240" w:lineRule="auto"/>
              <w:rPr>
                <w:rFonts w:hint="eastAsia" w:ascii="宋体" w:hAnsi="宋体" w:eastAsia="宋体" w:cs="宋体"/>
                <w:color w:val="000000" w:themeColor="text1"/>
                <w:highlight w:val="none"/>
                <w14:textFill>
                  <w14:solidFill>
                    <w14:schemeClr w14:val="tx1"/>
                  </w14:solidFill>
                </w14:textFill>
              </w:rPr>
            </w:pPr>
          </w:p>
        </w:tc>
      </w:tr>
      <w:tr w14:paraId="1D5A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649F095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993" w:type="dxa"/>
            <w:vAlign w:val="center"/>
          </w:tcPr>
          <w:p w14:paraId="0ABC41F3">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5" w:type="dxa"/>
            <w:vAlign w:val="center"/>
          </w:tcPr>
          <w:p w14:paraId="165DA182">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167" w:type="dxa"/>
            <w:vAlign w:val="center"/>
          </w:tcPr>
          <w:p w14:paraId="76D7994F">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851" w:type="dxa"/>
            <w:vAlign w:val="center"/>
          </w:tcPr>
          <w:p w14:paraId="07E13D44">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668" w:type="dxa"/>
            <w:vAlign w:val="center"/>
          </w:tcPr>
          <w:p w14:paraId="6A0E897A">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2410" w:type="dxa"/>
            <w:vAlign w:val="center"/>
          </w:tcPr>
          <w:p w14:paraId="33E04F1B">
            <w:pPr>
              <w:spacing w:after="0" w:line="240" w:lineRule="auto"/>
              <w:rPr>
                <w:rFonts w:hint="eastAsia" w:ascii="宋体" w:hAnsi="宋体" w:eastAsia="宋体" w:cs="宋体"/>
                <w:color w:val="000000" w:themeColor="text1"/>
                <w:highlight w:val="none"/>
                <w14:textFill>
                  <w14:solidFill>
                    <w14:schemeClr w14:val="tx1"/>
                  </w14:solidFill>
                </w14:textFill>
              </w:rPr>
            </w:pPr>
          </w:p>
        </w:tc>
      </w:tr>
      <w:tr w14:paraId="5942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4122F06C">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993" w:type="dxa"/>
            <w:vAlign w:val="center"/>
          </w:tcPr>
          <w:p w14:paraId="782C96DE">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5" w:type="dxa"/>
            <w:vAlign w:val="center"/>
          </w:tcPr>
          <w:p w14:paraId="41377C30">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167" w:type="dxa"/>
            <w:vAlign w:val="center"/>
          </w:tcPr>
          <w:p w14:paraId="0771359B">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851" w:type="dxa"/>
            <w:vAlign w:val="center"/>
          </w:tcPr>
          <w:p w14:paraId="385CFCBD">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668" w:type="dxa"/>
            <w:vAlign w:val="center"/>
          </w:tcPr>
          <w:p w14:paraId="43D5DE2E">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2410" w:type="dxa"/>
            <w:vAlign w:val="center"/>
          </w:tcPr>
          <w:p w14:paraId="286F20E3">
            <w:pPr>
              <w:spacing w:after="0" w:line="240" w:lineRule="auto"/>
              <w:rPr>
                <w:rFonts w:hint="eastAsia" w:ascii="宋体" w:hAnsi="宋体" w:eastAsia="宋体" w:cs="宋体"/>
                <w:color w:val="000000" w:themeColor="text1"/>
                <w:highlight w:val="none"/>
                <w14:textFill>
                  <w14:solidFill>
                    <w14:schemeClr w14:val="tx1"/>
                  </w14:solidFill>
                </w14:textFill>
              </w:rPr>
            </w:pPr>
          </w:p>
        </w:tc>
      </w:tr>
      <w:tr w14:paraId="3DBC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Align w:val="center"/>
          </w:tcPr>
          <w:p w14:paraId="59D5F6D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993" w:type="dxa"/>
            <w:vAlign w:val="center"/>
          </w:tcPr>
          <w:p w14:paraId="5F5EDE34">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275" w:type="dxa"/>
            <w:vAlign w:val="center"/>
          </w:tcPr>
          <w:p w14:paraId="3A25CA62">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167" w:type="dxa"/>
            <w:vAlign w:val="center"/>
          </w:tcPr>
          <w:p w14:paraId="31953F70">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851" w:type="dxa"/>
            <w:vAlign w:val="center"/>
          </w:tcPr>
          <w:p w14:paraId="7216B619">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1668" w:type="dxa"/>
            <w:vAlign w:val="center"/>
          </w:tcPr>
          <w:p w14:paraId="37213448">
            <w:pPr>
              <w:spacing w:after="0" w:line="240" w:lineRule="auto"/>
              <w:rPr>
                <w:rFonts w:hint="eastAsia" w:ascii="宋体" w:hAnsi="宋体" w:eastAsia="宋体" w:cs="宋体"/>
                <w:color w:val="000000" w:themeColor="text1"/>
                <w:highlight w:val="none"/>
                <w14:textFill>
                  <w14:solidFill>
                    <w14:schemeClr w14:val="tx1"/>
                  </w14:solidFill>
                </w14:textFill>
              </w:rPr>
            </w:pPr>
          </w:p>
        </w:tc>
        <w:tc>
          <w:tcPr>
            <w:tcW w:w="2410" w:type="dxa"/>
            <w:vAlign w:val="center"/>
          </w:tcPr>
          <w:p w14:paraId="3FB1D047">
            <w:pPr>
              <w:spacing w:after="0" w:line="240" w:lineRule="auto"/>
              <w:rPr>
                <w:rFonts w:hint="eastAsia" w:ascii="宋体" w:hAnsi="宋体" w:eastAsia="宋体" w:cs="宋体"/>
                <w:color w:val="000000" w:themeColor="text1"/>
                <w:highlight w:val="none"/>
                <w14:textFill>
                  <w14:solidFill>
                    <w14:schemeClr w14:val="tx1"/>
                  </w14:solidFill>
                </w14:textFill>
              </w:rPr>
            </w:pPr>
          </w:p>
        </w:tc>
      </w:tr>
    </w:tbl>
    <w:p w14:paraId="32D059A1">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注：</w:t>
      </w:r>
    </w:p>
    <w:p w14:paraId="27775766">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1.项目负责人（项目经理）等与评审因素相关的人员必须列入本表并明确，否则在评审中不予认可。项目负责人仅限一名。</w:t>
      </w:r>
    </w:p>
    <w:p w14:paraId="1E8FB454">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2.列入本表的人员如要更换，需经采购人同意，擅自更换或不到位属于违约行为。</w:t>
      </w:r>
    </w:p>
    <w:p w14:paraId="36CA4336">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3.学历、职称、执业（从业）资格等个人能力证明材料的复印件后附（如有）。</w:t>
      </w:r>
    </w:p>
    <w:p w14:paraId="78B189D9">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4.上述表中人员要求在投标响应文件中提供投标人为其在投标截止时间当月或前3个月内任意一个月的社保缴纳证明（如果有人员因新入职而尚未开始缴纳社保的，可提供与其签订的劳动合同复印件或扫描件），社保证明须由社保经办机构出具，或从官方政务服务平台下载打印，不符合要求的人员不予计算。</w:t>
      </w:r>
    </w:p>
    <w:p w14:paraId="25AA73A4">
      <w:pPr>
        <w:snapToGrid w:val="0"/>
        <w:spacing w:after="0" w:line="360" w:lineRule="auto"/>
        <w:ind w:left="-23" w:leftChars="-11" w:right="-57" w:rightChars="-27"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5.投标文件内提供评分标准要求的证明材料，未提供佐证能力等证书证件复印件的将不被认定。</w:t>
      </w:r>
    </w:p>
    <w:p w14:paraId="261BCA7E">
      <w:pPr>
        <w:pStyle w:val="13"/>
        <w:spacing w:after="0" w:line="360" w:lineRule="auto"/>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b/>
          <w:color w:val="000000" w:themeColor="text1"/>
          <w:sz w:val="21"/>
          <w:highlight w:val="none"/>
          <w14:textFill>
            <w14:solidFill>
              <w14:schemeClr w14:val="tx1"/>
            </w14:solidFill>
          </w14:textFill>
        </w:rPr>
        <w:t>（7）类似项目业绩一览表</w:t>
      </w:r>
    </w:p>
    <w:tbl>
      <w:tblPr>
        <w:tblStyle w:val="26"/>
        <w:tblW w:w="8799" w:type="dxa"/>
        <w:tblInd w:w="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7"/>
        <w:gridCol w:w="1560"/>
        <w:gridCol w:w="1984"/>
        <w:gridCol w:w="1844"/>
        <w:gridCol w:w="2834"/>
      </w:tblGrid>
      <w:tr w14:paraId="02C66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29A2401C">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60" w:type="dxa"/>
            <w:vAlign w:val="center"/>
          </w:tcPr>
          <w:p w14:paraId="19B0EC0F">
            <w:pPr>
              <w:spacing w:after="0" w:line="240" w:lineRule="auto"/>
              <w:ind w:left="-108" w:right="-10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1984" w:type="dxa"/>
            <w:tcBorders>
              <w:right w:val="single" w:color="auto" w:sz="4" w:space="0"/>
            </w:tcBorders>
            <w:vAlign w:val="center"/>
          </w:tcPr>
          <w:p w14:paraId="37F2D394">
            <w:pPr>
              <w:spacing w:after="0" w:line="240" w:lineRule="auto"/>
              <w:ind w:left="-108" w:right="-10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合同签订时间</w:t>
            </w:r>
          </w:p>
        </w:tc>
        <w:tc>
          <w:tcPr>
            <w:tcW w:w="1844" w:type="dxa"/>
            <w:vAlign w:val="center"/>
          </w:tcPr>
          <w:p w14:paraId="136CF901">
            <w:pPr>
              <w:spacing w:after="0" w:line="240" w:lineRule="auto"/>
              <w:ind w:left="-108" w:right="-10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金额（万元）</w:t>
            </w:r>
          </w:p>
        </w:tc>
        <w:tc>
          <w:tcPr>
            <w:tcW w:w="2834" w:type="dxa"/>
            <w:tcBorders>
              <w:right w:val="single" w:color="auto" w:sz="4" w:space="0"/>
            </w:tcBorders>
            <w:vAlign w:val="center"/>
          </w:tcPr>
          <w:p w14:paraId="6681FFF5">
            <w:pPr>
              <w:spacing w:after="0" w:line="240" w:lineRule="auto"/>
              <w:ind w:left="-108" w:right="-10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用户联系人及其联系电话</w:t>
            </w:r>
          </w:p>
        </w:tc>
      </w:tr>
      <w:tr w14:paraId="361A36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426806EC">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60" w:type="dxa"/>
            <w:vAlign w:val="center"/>
          </w:tcPr>
          <w:p w14:paraId="62136D9E">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984" w:type="dxa"/>
            <w:tcBorders>
              <w:right w:val="single" w:color="auto" w:sz="4" w:space="0"/>
            </w:tcBorders>
            <w:vAlign w:val="center"/>
          </w:tcPr>
          <w:p w14:paraId="45D81B75">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4" w:type="dxa"/>
            <w:vAlign w:val="center"/>
          </w:tcPr>
          <w:p w14:paraId="70E6481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4" w:type="dxa"/>
            <w:tcBorders>
              <w:right w:val="single" w:color="auto" w:sz="4" w:space="0"/>
            </w:tcBorders>
            <w:vAlign w:val="center"/>
          </w:tcPr>
          <w:p w14:paraId="6F25C21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1BADDC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2AEB94EE">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60" w:type="dxa"/>
            <w:vAlign w:val="center"/>
          </w:tcPr>
          <w:p w14:paraId="48A90D1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984" w:type="dxa"/>
            <w:tcBorders>
              <w:right w:val="single" w:color="auto" w:sz="4" w:space="0"/>
            </w:tcBorders>
            <w:vAlign w:val="center"/>
          </w:tcPr>
          <w:p w14:paraId="55650F9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4" w:type="dxa"/>
            <w:vAlign w:val="center"/>
          </w:tcPr>
          <w:p w14:paraId="5F06828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4" w:type="dxa"/>
            <w:tcBorders>
              <w:right w:val="single" w:color="auto" w:sz="4" w:space="0"/>
            </w:tcBorders>
            <w:vAlign w:val="center"/>
          </w:tcPr>
          <w:p w14:paraId="2DCBD22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671BE5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2DFCD99E">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60" w:type="dxa"/>
            <w:vAlign w:val="center"/>
          </w:tcPr>
          <w:p w14:paraId="324AC58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984" w:type="dxa"/>
            <w:tcBorders>
              <w:right w:val="single" w:color="auto" w:sz="4" w:space="0"/>
            </w:tcBorders>
            <w:vAlign w:val="center"/>
          </w:tcPr>
          <w:p w14:paraId="0315EA6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4" w:type="dxa"/>
            <w:vAlign w:val="center"/>
          </w:tcPr>
          <w:p w14:paraId="1E65E26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4" w:type="dxa"/>
            <w:tcBorders>
              <w:right w:val="single" w:color="auto" w:sz="4" w:space="0"/>
            </w:tcBorders>
            <w:vAlign w:val="center"/>
          </w:tcPr>
          <w:p w14:paraId="3C379CFF">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18BCE4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4E2ECBD9">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560" w:type="dxa"/>
            <w:vAlign w:val="center"/>
          </w:tcPr>
          <w:p w14:paraId="0149AF7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984" w:type="dxa"/>
            <w:tcBorders>
              <w:right w:val="single" w:color="auto" w:sz="4" w:space="0"/>
            </w:tcBorders>
            <w:vAlign w:val="center"/>
          </w:tcPr>
          <w:p w14:paraId="4D7D991D">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4" w:type="dxa"/>
            <w:vAlign w:val="center"/>
          </w:tcPr>
          <w:p w14:paraId="1D128F2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4" w:type="dxa"/>
            <w:tcBorders>
              <w:right w:val="single" w:color="auto" w:sz="4" w:space="0"/>
            </w:tcBorders>
            <w:vAlign w:val="center"/>
          </w:tcPr>
          <w:p w14:paraId="78C02F54">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18FCA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64A41937">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560" w:type="dxa"/>
            <w:vAlign w:val="center"/>
          </w:tcPr>
          <w:p w14:paraId="6677BC38">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984" w:type="dxa"/>
            <w:tcBorders>
              <w:right w:val="single" w:color="auto" w:sz="4" w:space="0"/>
            </w:tcBorders>
            <w:vAlign w:val="center"/>
          </w:tcPr>
          <w:p w14:paraId="1D2A7A50">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4" w:type="dxa"/>
            <w:vAlign w:val="center"/>
          </w:tcPr>
          <w:p w14:paraId="1A859C43">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4" w:type="dxa"/>
            <w:tcBorders>
              <w:right w:val="single" w:color="auto" w:sz="4" w:space="0"/>
            </w:tcBorders>
            <w:vAlign w:val="center"/>
          </w:tcPr>
          <w:p w14:paraId="43A1855A">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r w14:paraId="500CA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77" w:type="dxa"/>
            <w:vAlign w:val="center"/>
          </w:tcPr>
          <w:p w14:paraId="3843C449">
            <w:pPr>
              <w:spacing w:after="0" w:line="240" w:lineRule="auto"/>
              <w:ind w:left="-194" w:right="-16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560" w:type="dxa"/>
            <w:vAlign w:val="center"/>
          </w:tcPr>
          <w:p w14:paraId="00CFBD11">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984" w:type="dxa"/>
            <w:tcBorders>
              <w:right w:val="single" w:color="auto" w:sz="4" w:space="0"/>
            </w:tcBorders>
            <w:vAlign w:val="center"/>
          </w:tcPr>
          <w:p w14:paraId="12236D07">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1844" w:type="dxa"/>
            <w:vAlign w:val="center"/>
          </w:tcPr>
          <w:p w14:paraId="40243D49">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c>
          <w:tcPr>
            <w:tcW w:w="2834" w:type="dxa"/>
            <w:tcBorders>
              <w:right w:val="single" w:color="auto" w:sz="4" w:space="0"/>
            </w:tcBorders>
            <w:vAlign w:val="center"/>
          </w:tcPr>
          <w:p w14:paraId="6BE05D5B">
            <w:pPr>
              <w:spacing w:after="0" w:line="240" w:lineRule="auto"/>
              <w:jc w:val="center"/>
              <w:rPr>
                <w:rFonts w:hint="eastAsia" w:ascii="宋体" w:hAnsi="宋体" w:eastAsia="宋体" w:cs="宋体"/>
                <w:color w:val="000000" w:themeColor="text1"/>
                <w:highlight w:val="none"/>
                <w14:textFill>
                  <w14:solidFill>
                    <w14:schemeClr w14:val="tx1"/>
                  </w14:solidFill>
                </w14:textFill>
              </w:rPr>
            </w:pPr>
          </w:p>
        </w:tc>
      </w:tr>
    </w:tbl>
    <w:p w14:paraId="19EBD46A">
      <w:pPr>
        <w:spacing w:after="0" w:line="360" w:lineRule="auto"/>
        <w:ind w:left="924" w:right="112" w:hanging="924" w:hangingChars="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注：根据评委打分表的要求提供证明材料</w:t>
      </w:r>
      <w:r>
        <w:rPr>
          <w:rFonts w:hint="eastAsia" w:ascii="宋体" w:hAnsi="宋体" w:eastAsia="宋体" w:cs="宋体"/>
          <w:color w:val="000000" w:themeColor="text1"/>
          <w:highlight w:val="none"/>
          <w14:textFill>
            <w14:solidFill>
              <w14:schemeClr w14:val="tx1"/>
            </w14:solidFill>
          </w14:textFill>
        </w:rPr>
        <w:t>。</w:t>
      </w:r>
    </w:p>
    <w:p w14:paraId="74B2B43E">
      <w:pPr>
        <w:widowControl/>
        <w:spacing w:after="0" w:line="24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A723362">
      <w:pPr>
        <w:snapToGrid w:val="0"/>
        <w:spacing w:after="0" w:line="360" w:lineRule="auto"/>
        <w:ind w:left="-23" w:leftChars="-11" w:right="-214" w:rightChars="-102" w:firstLine="21" w:firstLineChars="1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3.报价要求响应文件的有关格式</w:t>
      </w:r>
    </w:p>
    <w:p w14:paraId="2D39E7A2">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（1）开标一览表</w:t>
      </w:r>
    </w:p>
    <w:tbl>
      <w:tblPr>
        <w:tblStyle w:val="2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833"/>
      </w:tblGrid>
      <w:tr w14:paraId="335C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93" w:type="dxa"/>
            <w:tcBorders>
              <w:top w:val="single" w:color="auto" w:sz="4" w:space="0"/>
              <w:left w:val="single" w:color="auto" w:sz="4" w:space="0"/>
              <w:bottom w:val="single" w:color="auto" w:sz="4" w:space="0"/>
              <w:right w:val="single" w:color="auto" w:sz="4" w:space="0"/>
            </w:tcBorders>
            <w:vAlign w:val="center"/>
          </w:tcPr>
          <w:p w14:paraId="13119B41">
            <w:pPr>
              <w:spacing w:after="0" w:line="240" w:lineRule="auto"/>
              <w:ind w:left="34" w:right="1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6833" w:type="dxa"/>
            <w:tcBorders>
              <w:top w:val="single" w:color="auto" w:sz="4" w:space="0"/>
              <w:left w:val="single" w:color="auto" w:sz="4" w:space="0"/>
              <w:bottom w:val="single" w:color="auto" w:sz="4" w:space="0"/>
              <w:right w:val="single" w:color="auto" w:sz="4" w:space="0"/>
            </w:tcBorders>
            <w:vAlign w:val="center"/>
          </w:tcPr>
          <w:p w14:paraId="0C19388A">
            <w:pPr>
              <w:spacing w:after="0" w:line="240" w:lineRule="auto"/>
              <w:ind w:left="34" w:right="1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宁波市集约运维改革市本级试点单位2026年机柜租赁服务项目</w:t>
            </w:r>
          </w:p>
        </w:tc>
      </w:tr>
      <w:tr w14:paraId="0DE7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093" w:type="dxa"/>
            <w:tcBorders>
              <w:top w:val="single" w:color="auto" w:sz="4" w:space="0"/>
              <w:left w:val="single" w:color="auto" w:sz="4" w:space="0"/>
              <w:right w:val="single" w:color="auto" w:sz="4" w:space="0"/>
            </w:tcBorders>
            <w:vAlign w:val="center"/>
          </w:tcPr>
          <w:p w14:paraId="3D428E10">
            <w:pPr>
              <w:spacing w:after="0" w:line="240" w:lineRule="auto"/>
              <w:ind w:left="34" w:right="1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p>
        </w:tc>
        <w:tc>
          <w:tcPr>
            <w:tcW w:w="6833" w:type="dxa"/>
            <w:tcBorders>
              <w:top w:val="single" w:color="auto" w:sz="4" w:space="0"/>
              <w:left w:val="single" w:color="auto" w:sz="4" w:space="0"/>
              <w:right w:val="single" w:color="auto" w:sz="4" w:space="0"/>
            </w:tcBorders>
            <w:vAlign w:val="center"/>
          </w:tcPr>
          <w:p w14:paraId="1EF0DA7D">
            <w:pPr>
              <w:spacing w:after="0" w:line="240" w:lineRule="auto"/>
              <w:ind w:left="-194" w:right="1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NBSFZX2026016（NBMC-20262076G）</w:t>
            </w:r>
          </w:p>
        </w:tc>
      </w:tr>
      <w:tr w14:paraId="59CA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093" w:type="dxa"/>
            <w:tcBorders>
              <w:top w:val="single" w:color="auto" w:sz="4" w:space="0"/>
              <w:left w:val="single" w:color="auto" w:sz="4" w:space="0"/>
              <w:right w:val="single" w:color="auto" w:sz="4" w:space="0"/>
            </w:tcBorders>
            <w:vAlign w:val="center"/>
          </w:tcPr>
          <w:p w14:paraId="3892766A">
            <w:pPr>
              <w:spacing w:after="0" w:line="240" w:lineRule="auto"/>
              <w:ind w:left="34" w:right="1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标项号</w:t>
            </w:r>
          </w:p>
        </w:tc>
        <w:tc>
          <w:tcPr>
            <w:tcW w:w="6833" w:type="dxa"/>
            <w:tcBorders>
              <w:top w:val="single" w:color="auto" w:sz="4" w:space="0"/>
              <w:left w:val="single" w:color="auto" w:sz="4" w:space="0"/>
              <w:right w:val="single" w:color="auto" w:sz="4" w:space="0"/>
            </w:tcBorders>
            <w:vAlign w:val="center"/>
          </w:tcPr>
          <w:p w14:paraId="7A4692B1">
            <w:pPr>
              <w:spacing w:after="0" w:line="240" w:lineRule="auto"/>
              <w:ind w:left="-194" w:right="112"/>
              <w:jc w:val="center"/>
              <w:rPr>
                <w:rFonts w:hint="eastAsia" w:ascii="宋体" w:hAnsi="宋体" w:eastAsia="宋体" w:cs="宋体"/>
                <w:color w:val="000000" w:themeColor="text1"/>
                <w:highlight w:val="none"/>
                <w14:textFill>
                  <w14:solidFill>
                    <w14:schemeClr w14:val="tx1"/>
                  </w14:solidFill>
                </w14:textFill>
              </w:rPr>
            </w:pPr>
          </w:p>
        </w:tc>
      </w:tr>
      <w:tr w14:paraId="0A42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093" w:type="dxa"/>
            <w:tcBorders>
              <w:top w:val="single" w:color="auto" w:sz="4" w:space="0"/>
              <w:left w:val="single" w:color="auto" w:sz="4" w:space="0"/>
              <w:right w:val="single" w:color="auto" w:sz="4" w:space="0"/>
            </w:tcBorders>
            <w:vAlign w:val="center"/>
          </w:tcPr>
          <w:p w14:paraId="68A46338">
            <w:pPr>
              <w:spacing w:after="0" w:line="240" w:lineRule="auto"/>
              <w:ind w:left="34" w:right="1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投标报价（元）</w:t>
            </w:r>
          </w:p>
        </w:tc>
        <w:tc>
          <w:tcPr>
            <w:tcW w:w="6833" w:type="dxa"/>
            <w:tcBorders>
              <w:top w:val="single" w:color="auto" w:sz="4" w:space="0"/>
              <w:left w:val="single" w:color="auto" w:sz="4" w:space="0"/>
              <w:right w:val="single" w:color="auto" w:sz="4" w:space="0"/>
            </w:tcBorders>
            <w:vAlign w:val="center"/>
          </w:tcPr>
          <w:p w14:paraId="2DE3956E">
            <w:pPr>
              <w:pStyle w:val="13"/>
              <w:spacing w:before="120" w:beforeLines="50" w:after="0" w:line="240" w:lineRule="auto"/>
              <w:ind w:left="457" w:leftChars="0" w:right="113" w:hanging="457" w:hangingChars="218"/>
              <w:jc w:val="left"/>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小写：</w:t>
            </w:r>
          </w:p>
          <w:p w14:paraId="63FBC18A">
            <w:pPr>
              <w:pStyle w:val="13"/>
              <w:spacing w:before="120" w:beforeLines="50" w:after="0" w:line="360" w:lineRule="auto"/>
              <w:ind w:left="457" w:leftChars="0" w:right="113" w:hanging="457" w:hangingChars="218"/>
              <w:jc w:val="left"/>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大写：</w:t>
            </w:r>
          </w:p>
        </w:tc>
      </w:tr>
    </w:tbl>
    <w:p w14:paraId="6EE04DF7">
      <w:pPr>
        <w:snapToGrid w:val="0"/>
        <w:spacing w:line="360" w:lineRule="auto"/>
        <w:ind w:left="-23" w:leftChars="-11" w:right="27" w:rightChars="13" w:firstLine="21" w:firstLineChars="1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注：</w:t>
      </w:r>
    </w:p>
    <w:p w14:paraId="3159962B">
      <w:pPr>
        <w:snapToGrid w:val="0"/>
        <w:spacing w:after="0" w:line="360" w:lineRule="auto"/>
        <w:ind w:left="-23" w:leftChars="-11" w:right="27" w:rightChars="13" w:firstLine="21" w:firstLineChars="1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1.报价一经涂改，应在涂改处加盖单位公章或由法定代表人或其授权代表签字，否则评标委员会将不接受该修改内容。</w:t>
      </w:r>
    </w:p>
    <w:p w14:paraId="6D34A1BA">
      <w:pPr>
        <w:snapToGrid w:val="0"/>
        <w:spacing w:after="0" w:line="360" w:lineRule="auto"/>
        <w:ind w:left="-23" w:leftChars="-11" w:right="27" w:rightChars="13" w:firstLine="21" w:firstLineChars="1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评标委员会认为投标人的报价明显低于其他通过符合性审查投标人的报价，有可能影响服务质量或者不能诚信履约的，将要求其在评审现场合理的时间内提供书面说明，必要时提交相关证明材料。投标人不能证明报价合理性的，评标委员会有权将其作为无效投标处理。为此，请投标人在投标前提前充分测算完成本项目所需的费用成本情况，评审现场给予提供说明及证明材料的时间不超过45分钟，如投标人在评审现场以时间不足等各种理由推脱或在规定的时间内提供的说明及材料不能充分证明其报价合理性或拒绝提交说明及材料而被认定为无效投标的后果均由投标人自行承担。</w:t>
      </w:r>
    </w:p>
    <w:p w14:paraId="6AC23A1A">
      <w:pPr>
        <w:spacing w:after="0" w:line="360" w:lineRule="auto"/>
        <w:ind w:right="112"/>
        <w:rPr>
          <w:rFonts w:hint="eastAsia" w:ascii="宋体" w:hAnsi="宋体" w:eastAsia="宋体" w:cs="宋体"/>
          <w:b/>
          <w:color w:val="000000" w:themeColor="text1"/>
          <w:highlight w:val="none"/>
          <w14:textFill>
            <w14:solidFill>
              <w14:schemeClr w14:val="tx1"/>
            </w14:solidFill>
          </w14:textFill>
        </w:rPr>
      </w:pPr>
    </w:p>
    <w:p w14:paraId="4DE16003">
      <w:pPr>
        <w:spacing w:after="0" w:line="360" w:lineRule="auto"/>
        <w:ind w:right="112"/>
        <w:rPr>
          <w:rFonts w:hint="eastAsia" w:ascii="宋体" w:hAnsi="宋体" w:eastAsia="宋体" w:cs="宋体"/>
          <w:color w:val="000000" w:themeColor="text1"/>
          <w:highlight w:val="none"/>
          <w14:textFill>
            <w14:solidFill>
              <w14:schemeClr w14:val="tx1"/>
            </w14:solidFill>
          </w14:textFill>
        </w:rPr>
      </w:pPr>
    </w:p>
    <w:p w14:paraId="6261AC3B">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u w:val="single"/>
          <w14:textFill>
            <w14:solidFill>
              <w14:schemeClr w14:val="tx1"/>
            </w14:solidFill>
          </w14:textFill>
        </w:rPr>
        <w:t>填写全称并加盖公章</w:t>
      </w:r>
    </w:p>
    <w:p w14:paraId="7CA6543F">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164223CB">
      <w:pPr>
        <w:snapToGrid w:val="0"/>
        <w:spacing w:after="0" w:line="360" w:lineRule="auto"/>
        <w:ind w:left="361" w:right="112" w:firstLine="3685" w:firstLineChars="175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ED73BB5">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（2）投标报价组成明细表</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36"/>
        <w:gridCol w:w="1354"/>
        <w:gridCol w:w="1418"/>
        <w:gridCol w:w="1814"/>
      </w:tblGrid>
      <w:tr w14:paraId="43E1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6435C25">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序号</w:t>
            </w:r>
          </w:p>
        </w:tc>
        <w:tc>
          <w:tcPr>
            <w:tcW w:w="3636" w:type="dxa"/>
            <w:vAlign w:val="center"/>
          </w:tcPr>
          <w:p w14:paraId="3CDEE237">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工作内容</w:t>
            </w:r>
          </w:p>
        </w:tc>
        <w:tc>
          <w:tcPr>
            <w:tcW w:w="1354" w:type="dxa"/>
            <w:vAlign w:val="center"/>
          </w:tcPr>
          <w:p w14:paraId="0FCC1532">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单价(元)</w:t>
            </w:r>
          </w:p>
        </w:tc>
        <w:tc>
          <w:tcPr>
            <w:tcW w:w="1418" w:type="dxa"/>
            <w:vAlign w:val="center"/>
          </w:tcPr>
          <w:p w14:paraId="18BEB6DA">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数量</w:t>
            </w:r>
          </w:p>
        </w:tc>
        <w:tc>
          <w:tcPr>
            <w:tcW w:w="1814" w:type="dxa"/>
            <w:vAlign w:val="center"/>
          </w:tcPr>
          <w:p w14:paraId="3CCD3A13">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小计(元)</w:t>
            </w:r>
          </w:p>
        </w:tc>
      </w:tr>
      <w:tr w14:paraId="03E7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1CB4167">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1</w:t>
            </w:r>
          </w:p>
        </w:tc>
        <w:tc>
          <w:tcPr>
            <w:tcW w:w="3636" w:type="dxa"/>
            <w:vAlign w:val="center"/>
          </w:tcPr>
          <w:p w14:paraId="3B2AAA1C">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354" w:type="dxa"/>
            <w:vAlign w:val="center"/>
          </w:tcPr>
          <w:p w14:paraId="274BB7B5">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418" w:type="dxa"/>
            <w:vAlign w:val="center"/>
          </w:tcPr>
          <w:p w14:paraId="65326ADD">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814" w:type="dxa"/>
            <w:vAlign w:val="center"/>
          </w:tcPr>
          <w:p w14:paraId="76AE4628">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r>
      <w:tr w14:paraId="30E1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3B5D774">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2</w:t>
            </w:r>
          </w:p>
        </w:tc>
        <w:tc>
          <w:tcPr>
            <w:tcW w:w="3636" w:type="dxa"/>
            <w:vAlign w:val="center"/>
          </w:tcPr>
          <w:p w14:paraId="53C3C42C">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354" w:type="dxa"/>
            <w:vAlign w:val="center"/>
          </w:tcPr>
          <w:p w14:paraId="336E89A2">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418" w:type="dxa"/>
            <w:vAlign w:val="center"/>
          </w:tcPr>
          <w:p w14:paraId="2089B317">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814" w:type="dxa"/>
            <w:vAlign w:val="center"/>
          </w:tcPr>
          <w:p w14:paraId="1C64E234">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r>
      <w:tr w14:paraId="733E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B8ADE84">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3</w:t>
            </w:r>
          </w:p>
        </w:tc>
        <w:tc>
          <w:tcPr>
            <w:tcW w:w="3636" w:type="dxa"/>
            <w:vAlign w:val="center"/>
          </w:tcPr>
          <w:p w14:paraId="6B9F0E47">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354" w:type="dxa"/>
            <w:vAlign w:val="center"/>
          </w:tcPr>
          <w:p w14:paraId="31F3329A">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418" w:type="dxa"/>
            <w:vAlign w:val="center"/>
          </w:tcPr>
          <w:p w14:paraId="73494569">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814" w:type="dxa"/>
            <w:vAlign w:val="center"/>
          </w:tcPr>
          <w:p w14:paraId="476C77A4">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r>
      <w:tr w14:paraId="5B18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947E57">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4</w:t>
            </w:r>
          </w:p>
        </w:tc>
        <w:tc>
          <w:tcPr>
            <w:tcW w:w="3636" w:type="dxa"/>
            <w:vAlign w:val="center"/>
          </w:tcPr>
          <w:p w14:paraId="2151BE8C">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354" w:type="dxa"/>
            <w:vAlign w:val="center"/>
          </w:tcPr>
          <w:p w14:paraId="197D8A5F">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418" w:type="dxa"/>
            <w:vAlign w:val="center"/>
          </w:tcPr>
          <w:p w14:paraId="2C4D929D">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814" w:type="dxa"/>
            <w:vAlign w:val="center"/>
          </w:tcPr>
          <w:p w14:paraId="5B6241A2">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r>
      <w:tr w14:paraId="03FC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00664CC">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5</w:t>
            </w:r>
          </w:p>
        </w:tc>
        <w:tc>
          <w:tcPr>
            <w:tcW w:w="3636" w:type="dxa"/>
            <w:vAlign w:val="center"/>
          </w:tcPr>
          <w:p w14:paraId="044D5BB8">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354" w:type="dxa"/>
            <w:vAlign w:val="center"/>
          </w:tcPr>
          <w:p w14:paraId="2184E17A">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418" w:type="dxa"/>
            <w:vAlign w:val="center"/>
          </w:tcPr>
          <w:p w14:paraId="3C38EBC1">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814" w:type="dxa"/>
            <w:vAlign w:val="center"/>
          </w:tcPr>
          <w:p w14:paraId="2EE8CE33">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r>
      <w:tr w14:paraId="3998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5D9510D">
            <w:pPr>
              <w:widowControl/>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w:t>
            </w:r>
          </w:p>
        </w:tc>
        <w:tc>
          <w:tcPr>
            <w:tcW w:w="3636" w:type="dxa"/>
            <w:vAlign w:val="center"/>
          </w:tcPr>
          <w:p w14:paraId="2452177D">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354" w:type="dxa"/>
            <w:vAlign w:val="center"/>
          </w:tcPr>
          <w:p w14:paraId="2BB11265">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418" w:type="dxa"/>
            <w:vAlign w:val="center"/>
          </w:tcPr>
          <w:p w14:paraId="70E92F99">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c>
          <w:tcPr>
            <w:tcW w:w="1814" w:type="dxa"/>
            <w:vAlign w:val="center"/>
          </w:tcPr>
          <w:p w14:paraId="187C9AC1">
            <w:pPr>
              <w:spacing w:after="0" w:line="240" w:lineRule="auto"/>
              <w:jc w:val="center"/>
              <w:textAlignment w:val="center"/>
              <w:rPr>
                <w:rFonts w:hint="eastAsia" w:ascii="宋体" w:hAnsi="宋体" w:eastAsia="宋体" w:cs="宋体"/>
                <w:color w:val="000000" w:themeColor="text1"/>
                <w:kern w:val="0"/>
                <w:sz w:val="21"/>
                <w:highlight w:val="none"/>
                <w14:textFill>
                  <w14:solidFill>
                    <w14:schemeClr w14:val="tx1"/>
                  </w14:solidFill>
                </w14:textFill>
              </w:rPr>
            </w:pPr>
          </w:p>
        </w:tc>
      </w:tr>
      <w:tr w14:paraId="485D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vAlign w:val="center"/>
          </w:tcPr>
          <w:p w14:paraId="0E590E56">
            <w:pPr>
              <w:spacing w:after="0" w:line="240" w:lineRule="auto"/>
              <w:jc w:val="left"/>
              <w:textAlignment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b/>
                <w:color w:val="000000" w:themeColor="text1"/>
                <w:kern w:val="0"/>
                <w:sz w:val="21"/>
                <w:highlight w:val="none"/>
                <w14:textFill>
                  <w14:solidFill>
                    <w14:schemeClr w14:val="tx1"/>
                  </w14:solidFill>
                </w14:textFill>
              </w:rPr>
              <w:t>合计金额（元，小写）：</w:t>
            </w:r>
          </w:p>
        </w:tc>
      </w:tr>
    </w:tbl>
    <w:p w14:paraId="236A7B49">
      <w:pPr>
        <w:adjustRightInd w:val="0"/>
        <w:snapToGrid w:val="0"/>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供应商的投标报价须涵盖本项目需求的全部服务内容。凡未在报价清单中单独列明的费用项目，均视为已包含在投标报价中，供应商不得以此为由要求追加费用或免除责任。</w:t>
      </w:r>
    </w:p>
    <w:p w14:paraId="162FF476">
      <w:pPr>
        <w:widowControl/>
        <w:spacing w:after="0"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0CAD00D">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（3）中小企业声明函</w:t>
      </w:r>
    </w:p>
    <w:p w14:paraId="73888AD5">
      <w:pPr>
        <w:snapToGrid w:val="0"/>
        <w:spacing w:after="0" w:line="360" w:lineRule="auto"/>
        <w:ind w:left="-23" w:leftChars="-11" w:right="-214" w:rightChars="-102"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宁波市数据服务中心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宁波市集约运维改革市本级试点单位2026年机柜租赁服务项目  </w:t>
      </w:r>
      <w:r>
        <w:rPr>
          <w:rFonts w:hint="eastAsia" w:ascii="宋体" w:hAnsi="宋体" w:eastAsia="宋体" w:cs="宋体"/>
          <w:color w:val="000000" w:themeColor="text1"/>
          <w:highlight w:val="none"/>
          <w14:textFill>
            <w14:solidFill>
              <w14:schemeClr w14:val="tx1"/>
            </w14:solidFill>
          </w14:textFill>
        </w:rPr>
        <w:t>项目采购活动，服务全部由符合政策要求的中小企业承接。相关企业（含联合体中的中小企业、签订分包意向协议的中小企业）的具体情况如下：</w:t>
      </w:r>
    </w:p>
    <w:p w14:paraId="5AB5C1C8">
      <w:pPr>
        <w:snapToGrid w:val="0"/>
        <w:spacing w:after="0" w:line="360" w:lineRule="auto"/>
        <w:ind w:left="-23" w:leftChars="-11" w:right="-214" w:rightChars="-102"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宁波市集约运维改革市本级试点单位2026年机柜租赁服务项目</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 租赁和商务服务业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；承接企业为</w:t>
      </w:r>
      <w:r>
        <w:rPr>
          <w:rFonts w:hint="eastAsia" w:ascii="宋体" w:hAnsi="宋体" w:eastAsia="宋体" w:cs="宋体"/>
          <w:color w:val="000000" w:themeColor="text1"/>
          <w:highlight w:val="none"/>
          <w:u w:val="single"/>
          <w14:textFill>
            <w14:solidFill>
              <w14:schemeClr w14:val="tx1"/>
            </w14:solidFill>
          </w14:textFill>
        </w:rPr>
        <w:t xml:space="preserve">  （企业名称）   </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人，营业收入为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万元，资产总额为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万元，属于</w:t>
      </w:r>
      <w:r>
        <w:rPr>
          <w:rFonts w:hint="eastAsia" w:ascii="宋体" w:hAnsi="宋体" w:eastAsia="宋体" w:cs="宋体"/>
          <w:color w:val="000000" w:themeColor="text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highlight w:val="none"/>
          <w14:textFill>
            <w14:solidFill>
              <w14:schemeClr w14:val="tx1"/>
            </w14:solidFill>
          </w14:textFill>
        </w:rPr>
        <w:t>；</w:t>
      </w:r>
    </w:p>
    <w:p w14:paraId="76C55A99">
      <w:pPr>
        <w:snapToGrid w:val="0"/>
        <w:spacing w:after="0" w:line="360" w:lineRule="auto"/>
        <w:ind w:left="-23" w:leftChars="-11" w:right="-214" w:rightChars="-102"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；承接企业为</w:t>
      </w:r>
      <w:r>
        <w:rPr>
          <w:rFonts w:hint="eastAsia" w:ascii="宋体" w:hAnsi="宋体" w:eastAsia="宋体" w:cs="宋体"/>
          <w:color w:val="000000" w:themeColor="text1"/>
          <w:highlight w:val="none"/>
          <w:u w:val="single"/>
          <w14:textFill>
            <w14:solidFill>
              <w14:schemeClr w14:val="tx1"/>
            </w14:solidFill>
          </w14:textFill>
        </w:rPr>
        <w:t xml:space="preserve">  （企业名称）   </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人，营业收入为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万元，资产总额为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万元，属于</w:t>
      </w:r>
      <w:r>
        <w:rPr>
          <w:rFonts w:hint="eastAsia" w:ascii="宋体" w:hAnsi="宋体" w:eastAsia="宋体" w:cs="宋体"/>
          <w:color w:val="000000" w:themeColor="text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highlight w:val="none"/>
          <w14:textFill>
            <w14:solidFill>
              <w14:schemeClr w14:val="tx1"/>
            </w14:solidFill>
          </w14:textFill>
        </w:rPr>
        <w:t>；</w:t>
      </w:r>
    </w:p>
    <w:p w14:paraId="70D3AFE2">
      <w:pPr>
        <w:snapToGrid w:val="0"/>
        <w:spacing w:after="0" w:line="360" w:lineRule="auto"/>
        <w:ind w:left="-23" w:leftChars="-11" w:right="-214" w:rightChars="-102"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2832AF83">
      <w:pPr>
        <w:snapToGrid w:val="0"/>
        <w:spacing w:after="0" w:line="360" w:lineRule="auto"/>
        <w:ind w:left="-23" w:leftChars="-11" w:right="-214" w:rightChars="-102"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以上企业，不属于大企业的分支机构，不存在控股股东为大企业的情形，也不存在与大企业的负责人为同一人的情形。本企业对上述声明内容的真实性负责。如有虚假，将依法承担相应责任。</w:t>
      </w:r>
    </w:p>
    <w:p w14:paraId="225F1F0D">
      <w:pPr>
        <w:spacing w:after="0" w:line="360" w:lineRule="auto"/>
        <w:ind w:firstLine="4676" w:firstLineChars="2227"/>
        <w:jc w:val="left"/>
        <w:rPr>
          <w:rFonts w:hint="eastAsia" w:ascii="宋体" w:hAnsi="宋体" w:eastAsia="宋体" w:cs="宋体"/>
          <w:color w:val="000000" w:themeColor="text1"/>
          <w:highlight w:val="none"/>
          <w14:textFill>
            <w14:solidFill>
              <w14:schemeClr w14:val="tx1"/>
            </w14:solidFill>
          </w14:textFill>
        </w:rPr>
      </w:pPr>
    </w:p>
    <w:p w14:paraId="6B8AABAA">
      <w:pPr>
        <w:spacing w:after="0" w:line="360" w:lineRule="auto"/>
        <w:ind w:firstLine="4676" w:firstLineChars="2227"/>
        <w:jc w:val="left"/>
        <w:rPr>
          <w:rFonts w:hint="eastAsia" w:ascii="宋体" w:hAnsi="宋体" w:eastAsia="宋体" w:cs="宋体"/>
          <w:color w:val="000000" w:themeColor="text1"/>
          <w:highlight w:val="none"/>
          <w14:textFill>
            <w14:solidFill>
              <w14:schemeClr w14:val="tx1"/>
            </w14:solidFill>
          </w14:textFill>
        </w:rPr>
      </w:pPr>
    </w:p>
    <w:p w14:paraId="13C90B0C">
      <w:pPr>
        <w:spacing w:after="0" w:line="360" w:lineRule="auto"/>
        <w:ind w:firstLine="4676" w:firstLineChars="222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企业名称（盖章）：</w:t>
      </w:r>
    </w:p>
    <w:p w14:paraId="50CD3D8F">
      <w:pPr>
        <w:spacing w:after="0" w:line="360" w:lineRule="auto"/>
        <w:ind w:firstLine="4676" w:firstLineChars="222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489D65C2">
      <w:pPr>
        <w:snapToGrid w:val="0"/>
        <w:spacing w:after="0" w:line="360" w:lineRule="auto"/>
        <w:ind w:left="-23" w:leftChars="-11" w:right="-214" w:rightChars="-102" w:firstLine="447" w:firstLineChars="213"/>
        <w:jc w:val="left"/>
        <w:rPr>
          <w:rFonts w:hint="eastAsia" w:ascii="宋体" w:hAnsi="宋体" w:eastAsia="宋体" w:cs="宋体"/>
          <w:color w:val="000000" w:themeColor="text1"/>
          <w:highlight w:val="none"/>
          <w14:textFill>
            <w14:solidFill>
              <w14:schemeClr w14:val="tx1"/>
            </w14:solidFill>
          </w14:textFill>
        </w:rPr>
      </w:pPr>
    </w:p>
    <w:p w14:paraId="742C22CD">
      <w:pPr>
        <w:snapToGrid w:val="0"/>
        <w:spacing w:after="0" w:line="360" w:lineRule="auto"/>
        <w:ind w:left="-23" w:leftChars="-11" w:right="-214" w:rightChars="-102" w:firstLine="21" w:firstLineChars="1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请投标人仔细阅读填写说明：</w:t>
      </w:r>
    </w:p>
    <w:p w14:paraId="78BE139E">
      <w:pPr>
        <w:snapToGrid w:val="0"/>
        <w:spacing w:after="0" w:line="360" w:lineRule="auto"/>
        <w:ind w:right="-214" w:rightChars="-10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1.本项目为服务采购项目。</w:t>
      </w:r>
    </w:p>
    <w:p w14:paraId="78099508">
      <w:pPr>
        <w:snapToGrid w:val="0"/>
        <w:spacing w:after="0" w:line="360" w:lineRule="auto"/>
        <w:ind w:right="-214" w:rightChars="-10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2.从业人员、营业收入、资产总额填报上一年度数据，无上一年度数据的新成立企业可不填报。</w:t>
      </w:r>
    </w:p>
    <w:p w14:paraId="58474FD9">
      <w:pPr>
        <w:snapToGrid w:val="0"/>
        <w:spacing w:after="0" w:line="360" w:lineRule="auto"/>
        <w:ind w:right="-214" w:rightChars="-10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3.投标人应当对其出具的《中小企业声明函》真实性负责，出具的《中小企业声明函》内容不实的，属于提供虚假材料。</w:t>
      </w:r>
    </w:p>
    <w:p w14:paraId="3C338FDE">
      <w:pPr>
        <w:snapToGrid w:val="0"/>
        <w:spacing w:after="0" w:line="360" w:lineRule="auto"/>
        <w:ind w:right="-214" w:rightChars="-10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4.事业单位不属于企业不应提交本声明函，其他组织形式的供应商参与本项目并提交本声明函前请仔细阅读相关政策文件。</w:t>
      </w:r>
    </w:p>
    <w:p w14:paraId="28C11280">
      <w:pPr>
        <w:snapToGrid w:val="0"/>
        <w:spacing w:after="0" w:line="360" w:lineRule="auto"/>
        <w:ind w:right="-214" w:rightChars="-102"/>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5.投标人应当谨慎填写并提供本表。</w:t>
      </w:r>
    </w:p>
    <w:p w14:paraId="2A84A22D">
      <w:pPr>
        <w:snapToGrid w:val="0"/>
        <w:spacing w:after="0" w:line="360" w:lineRule="auto"/>
        <w:ind w:left="-23" w:leftChars="-11" w:right="-214" w:rightChars="-102" w:firstLine="21" w:firstLineChars="1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8F1CD4A">
      <w:pPr>
        <w:pStyle w:val="13"/>
        <w:spacing w:after="0" w:line="360" w:lineRule="auto"/>
        <w:ind w:left="0" w:leftChars="0"/>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（4）残疾人福利性单位声明函</w:t>
      </w:r>
    </w:p>
    <w:p w14:paraId="531EF29F">
      <w:pPr>
        <w:spacing w:after="0" w:line="360" w:lineRule="auto"/>
        <w:ind w:firstLine="444" w:firstLineChars="20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highlight w:val="none"/>
          <w14:textFill>
            <w14:solidFill>
              <w14:schemeClr w14:val="tx1"/>
            </w14:solidFill>
          </w14:textFill>
        </w:rPr>
        <w:t>〔2017〕 141</w:t>
      </w:r>
      <w:r>
        <w:rPr>
          <w:rFonts w:hint="eastAsia" w:ascii="宋体" w:hAnsi="宋体" w:eastAsia="宋体" w:cs="宋体"/>
          <w:color w:val="000000" w:themeColor="text1"/>
          <w:spacing w:val="6"/>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highlight w:val="none"/>
          <w:u w:val="single"/>
          <w14:textFill>
            <w14:solidFill>
              <w14:schemeClr w14:val="tx1"/>
            </w14:solidFill>
          </w14:textFill>
        </w:rPr>
        <w:t xml:space="preserve">      （填采购人名称）    </w:t>
      </w:r>
      <w:r>
        <w:rPr>
          <w:rFonts w:hint="eastAsia" w:ascii="宋体" w:hAnsi="宋体" w:eastAsia="宋体" w:cs="宋体"/>
          <w:color w:val="000000" w:themeColor="text1"/>
          <w:spacing w:val="6"/>
          <w:highlight w:val="none"/>
          <w14:textFill>
            <w14:solidFill>
              <w14:schemeClr w14:val="tx1"/>
            </w14:solidFill>
          </w14:textFill>
        </w:rPr>
        <w:t>单位的</w:t>
      </w:r>
      <w:r>
        <w:rPr>
          <w:rFonts w:hint="eastAsia" w:ascii="宋体" w:hAnsi="宋体" w:eastAsia="宋体" w:cs="宋体"/>
          <w:color w:val="000000" w:themeColor="text1"/>
          <w:spacing w:val="6"/>
          <w:highlight w:val="none"/>
          <w:u w:val="single"/>
          <w14:textFill>
            <w14:solidFill>
              <w14:schemeClr w14:val="tx1"/>
            </w14:solidFill>
          </w14:textFill>
        </w:rPr>
        <w:t xml:space="preserve">（填项目名称）  </w:t>
      </w:r>
      <w:r>
        <w:rPr>
          <w:rFonts w:hint="eastAsia" w:ascii="宋体" w:hAnsi="宋体" w:eastAsia="宋体" w:cs="宋体"/>
          <w:color w:val="000000" w:themeColor="text1"/>
          <w:spacing w:val="6"/>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682A43A">
      <w:pPr>
        <w:spacing w:after="0" w:line="360" w:lineRule="auto"/>
        <w:ind w:firstLine="444" w:firstLineChars="20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本单位对上述声明的真实性负责。如有虚假，将依法承担相应责任。</w:t>
      </w:r>
    </w:p>
    <w:p w14:paraId="3F578C17">
      <w:pPr>
        <w:spacing w:after="0" w:line="360" w:lineRule="auto"/>
        <w:ind w:firstLine="444" w:firstLineChars="200"/>
        <w:rPr>
          <w:rFonts w:hint="eastAsia" w:ascii="宋体" w:hAnsi="宋体" w:eastAsia="宋体" w:cs="宋体"/>
          <w:color w:val="000000" w:themeColor="text1"/>
          <w:spacing w:val="6"/>
          <w:highlight w:val="none"/>
          <w14:textFill>
            <w14:solidFill>
              <w14:schemeClr w14:val="tx1"/>
            </w14:solidFill>
          </w14:textFill>
        </w:rPr>
      </w:pPr>
    </w:p>
    <w:p w14:paraId="4C041817">
      <w:pPr>
        <w:spacing w:after="0" w:line="360" w:lineRule="auto"/>
        <w:ind w:firstLine="444" w:firstLineChars="200"/>
        <w:rPr>
          <w:rFonts w:hint="eastAsia" w:ascii="宋体" w:hAnsi="宋体" w:eastAsia="宋体" w:cs="宋体"/>
          <w:color w:val="000000" w:themeColor="text1"/>
          <w:spacing w:val="6"/>
          <w:highlight w:val="none"/>
          <w14:textFill>
            <w14:solidFill>
              <w14:schemeClr w14:val="tx1"/>
            </w14:solidFill>
          </w14:textFill>
        </w:rPr>
      </w:pPr>
    </w:p>
    <w:p w14:paraId="53612310">
      <w:pPr>
        <w:tabs>
          <w:tab w:val="left" w:pos="4860"/>
        </w:tabs>
        <w:spacing w:after="0" w:line="360" w:lineRule="auto"/>
        <w:ind w:right="1560"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单位名称（盖章）：</w:t>
      </w:r>
    </w:p>
    <w:p w14:paraId="5C3C8571">
      <w:pPr>
        <w:tabs>
          <w:tab w:val="left" w:pos="4860"/>
        </w:tabs>
        <w:spacing w:after="0" w:line="360" w:lineRule="auto"/>
        <w:ind w:right="1560"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日  期：</w:t>
      </w:r>
    </w:p>
    <w:p w14:paraId="1C929CA5">
      <w:pPr>
        <w:pStyle w:val="13"/>
        <w:snapToGrid w:val="0"/>
        <w:spacing w:after="0" w:line="360" w:lineRule="auto"/>
        <w:ind w:firstLine="437" w:firstLineChars="196"/>
        <w:rPr>
          <w:rFonts w:hint="eastAsia" w:ascii="宋体" w:hAnsi="宋体" w:eastAsia="宋体" w:cs="宋体"/>
          <w:b/>
          <w:color w:val="000000" w:themeColor="text1"/>
          <w:spacing w:val="6"/>
          <w:sz w:val="21"/>
          <w:highlight w:val="none"/>
          <w14:textFill>
            <w14:solidFill>
              <w14:schemeClr w14:val="tx1"/>
            </w14:solidFill>
          </w14:textFill>
        </w:rPr>
      </w:pPr>
    </w:p>
    <w:p w14:paraId="0123E82B">
      <w:pPr>
        <w:pStyle w:val="13"/>
        <w:snapToGrid w:val="0"/>
        <w:spacing w:after="0" w:line="360" w:lineRule="auto"/>
        <w:ind w:firstLine="437" w:firstLineChars="196"/>
        <w:rPr>
          <w:rFonts w:hint="eastAsia" w:ascii="宋体" w:hAnsi="宋体" w:eastAsia="宋体" w:cs="宋体"/>
          <w:b/>
          <w:color w:val="000000" w:themeColor="text1"/>
          <w:spacing w:val="6"/>
          <w:sz w:val="21"/>
          <w:highlight w:val="none"/>
          <w14:textFill>
            <w14:solidFill>
              <w14:schemeClr w14:val="tx1"/>
            </w14:solidFill>
          </w14:textFill>
        </w:rPr>
      </w:pPr>
    </w:p>
    <w:p w14:paraId="0DCDC6EA">
      <w:pPr>
        <w:pStyle w:val="13"/>
        <w:snapToGrid w:val="0"/>
        <w:spacing w:after="0" w:line="360" w:lineRule="auto"/>
        <w:ind w:firstLine="437" w:firstLineChars="196"/>
        <w:rPr>
          <w:rFonts w:hint="eastAsia" w:ascii="宋体" w:hAnsi="宋体" w:eastAsia="宋体" w:cs="宋体"/>
          <w:b/>
          <w:color w:val="000000" w:themeColor="text1"/>
          <w:spacing w:val="6"/>
          <w:sz w:val="21"/>
          <w:highlight w:val="none"/>
          <w14:textFill>
            <w14:solidFill>
              <w14:schemeClr w14:val="tx1"/>
            </w14:solidFill>
          </w14:textFill>
        </w:rPr>
      </w:pPr>
    </w:p>
    <w:p w14:paraId="3168DD0C">
      <w:pPr>
        <w:pStyle w:val="13"/>
        <w:snapToGrid w:val="0"/>
        <w:spacing w:after="0" w:line="360" w:lineRule="auto"/>
        <w:ind w:firstLine="437" w:firstLineChars="196"/>
        <w:rPr>
          <w:rFonts w:hint="eastAsia" w:ascii="宋体" w:hAnsi="宋体" w:eastAsia="宋体" w:cs="宋体"/>
          <w:b/>
          <w:color w:val="000000" w:themeColor="text1"/>
          <w:spacing w:val="6"/>
          <w:sz w:val="21"/>
          <w:highlight w:val="none"/>
          <w14:textFill>
            <w14:solidFill>
              <w14:schemeClr w14:val="tx1"/>
            </w14:solidFill>
          </w14:textFill>
        </w:rPr>
      </w:pPr>
    </w:p>
    <w:p w14:paraId="2F67DFAB">
      <w:pPr>
        <w:spacing w:after="0" w:line="360" w:lineRule="auto"/>
        <w:ind w:firstLine="422"/>
        <w:rPr>
          <w:rFonts w:hint="eastAsia" w:ascii="宋体" w:hAnsi="宋体" w:eastAsia="宋体" w:cs="宋体"/>
          <w:b/>
          <w:color w:val="000000" w:themeColor="text1"/>
          <w:highlight w:val="none"/>
          <w14:textFill>
            <w14:solidFill>
              <w14:schemeClr w14:val="tx1"/>
            </w14:solidFill>
          </w14:textFill>
        </w:rPr>
      </w:pPr>
    </w:p>
    <w:p w14:paraId="3753C4ED">
      <w:pPr>
        <w:snapToGrid w:val="0"/>
        <w:spacing w:after="0" w:line="360" w:lineRule="auto"/>
        <w:ind w:left="-23" w:leftChars="-11" w:right="-214" w:rightChars="-102" w:firstLine="21" w:firstLineChars="1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填写说明：投标人不属于残疾人福利性单位无需且不应当提供本声明函，否则自行承担相应的责任。</w:t>
      </w:r>
    </w:p>
    <w:sectPr>
      <w:footerReference r:id="rId6" w:type="default"/>
      <w:pgSz w:w="11906" w:h="16838"/>
      <w:pgMar w:top="1276" w:right="1416" w:bottom="1276" w:left="1610" w:header="851" w:footer="851"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F389">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635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18AE4">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75pt;width:9.15pt;mso-position-horizontal:center;mso-position-horizontal-relative:margin;mso-wrap-style:none;z-index:251659264;mso-width-relative:page;mso-height-relative:page;" filled="f" stroked="f" coordsize="21600,21600" o:gfxdata="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0pdP0gAAAAMBAAAPAAAAAAAAAAEAIAAAACIAAABkcnMvZG93bnJldi54bWxQSwEC&#10;FAAUAAAACACHTuJAspkDFzMCAABhBAAADgAAAAAAAAABACAAAAAhAQAAZHJzL2Uyb0RvYy54bWxQ&#10;SwUGAAAAAAYABgBZAQAAxgUAAAAA&#10;">
              <v:fill on="f" focussize="0,0"/>
              <v:stroke on="f" weight="0.5pt"/>
              <v:imagedata o:title=""/>
              <o:lock v:ext="edit" aspectratio="f"/>
              <v:textbox inset="0mm,0mm,0mm,0mm" style="mso-fit-shape-to-text:t;">
                <w:txbxContent>
                  <w:p w14:paraId="7BE18AE4">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D9EC">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C50F"/>
    <w:multiLevelType w:val="singleLevel"/>
    <w:tmpl w:val="94FAC50F"/>
    <w:lvl w:ilvl="0" w:tentative="0">
      <w:start w:val="17"/>
      <w:numFmt w:val="decimal"/>
      <w:suff w:val="space"/>
      <w:lvlText w:val="%1."/>
      <w:lvlJc w:val="left"/>
    </w:lvl>
  </w:abstractNum>
  <w:abstractNum w:abstractNumId="1">
    <w:nsid w:val="FFFFFF88"/>
    <w:multiLevelType w:val="singleLevel"/>
    <w:tmpl w:val="FFFFFF88"/>
    <w:lvl w:ilvl="0" w:tentative="0">
      <w:start w:val="1"/>
      <w:numFmt w:val="decimal"/>
      <w:pStyle w:val="7"/>
      <w:lvlText w:val="%1."/>
      <w:lvlJc w:val="left"/>
      <w:pPr>
        <w:tabs>
          <w:tab w:val="left" w:pos="360"/>
        </w:tabs>
        <w:ind w:left="360" w:hanging="360" w:hangingChars="200"/>
      </w:pPr>
    </w:lvl>
  </w:abstractNum>
  <w:abstractNum w:abstractNumId="2">
    <w:nsid w:val="2CF3865D"/>
    <w:multiLevelType w:val="singleLevel"/>
    <w:tmpl w:val="2CF3865D"/>
    <w:lvl w:ilvl="0" w:tentative="0">
      <w:start w:val="1"/>
      <w:numFmt w:val="decimal"/>
      <w:suff w:val="nothing"/>
      <w:lvlText w:val="%1"/>
      <w:lvlJc w:val="cente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31"/>
    <w:rsid w:val="00184C36"/>
    <w:rsid w:val="00305CE7"/>
    <w:rsid w:val="00311532"/>
    <w:rsid w:val="00383031"/>
    <w:rsid w:val="00527F43"/>
    <w:rsid w:val="005619C9"/>
    <w:rsid w:val="00772395"/>
    <w:rsid w:val="008738A8"/>
    <w:rsid w:val="008D3AFB"/>
    <w:rsid w:val="009537DE"/>
    <w:rsid w:val="00B06F1F"/>
    <w:rsid w:val="00C855FB"/>
    <w:rsid w:val="00EC63D6"/>
    <w:rsid w:val="00F22F9D"/>
    <w:rsid w:val="00F4319E"/>
    <w:rsid w:val="016A2CEC"/>
    <w:rsid w:val="01822573"/>
    <w:rsid w:val="027D0F8C"/>
    <w:rsid w:val="03906A9D"/>
    <w:rsid w:val="046E6DDE"/>
    <w:rsid w:val="05476ED2"/>
    <w:rsid w:val="06954AF6"/>
    <w:rsid w:val="06CF457B"/>
    <w:rsid w:val="06D50CA8"/>
    <w:rsid w:val="072916E2"/>
    <w:rsid w:val="07462294"/>
    <w:rsid w:val="07DA3911"/>
    <w:rsid w:val="08892439"/>
    <w:rsid w:val="08D6027D"/>
    <w:rsid w:val="096B2603"/>
    <w:rsid w:val="0A5115FC"/>
    <w:rsid w:val="0B0C6D06"/>
    <w:rsid w:val="0B754EF6"/>
    <w:rsid w:val="0B7F7C01"/>
    <w:rsid w:val="0F0516BF"/>
    <w:rsid w:val="0F4277E5"/>
    <w:rsid w:val="11FE3E97"/>
    <w:rsid w:val="13D6674E"/>
    <w:rsid w:val="14EF1875"/>
    <w:rsid w:val="15785D0F"/>
    <w:rsid w:val="163D2298"/>
    <w:rsid w:val="16C0765A"/>
    <w:rsid w:val="17450627"/>
    <w:rsid w:val="18B0066B"/>
    <w:rsid w:val="197255CC"/>
    <w:rsid w:val="1A7F5449"/>
    <w:rsid w:val="1B705803"/>
    <w:rsid w:val="1BAC49AD"/>
    <w:rsid w:val="1BF956CF"/>
    <w:rsid w:val="1E06634F"/>
    <w:rsid w:val="1E7D7D1E"/>
    <w:rsid w:val="1F576E67"/>
    <w:rsid w:val="22192627"/>
    <w:rsid w:val="22BB36DF"/>
    <w:rsid w:val="257E0790"/>
    <w:rsid w:val="26616ACE"/>
    <w:rsid w:val="2AA64C74"/>
    <w:rsid w:val="2AA84549"/>
    <w:rsid w:val="2BCC4267"/>
    <w:rsid w:val="2CC4585D"/>
    <w:rsid w:val="2CE35D0C"/>
    <w:rsid w:val="2EB77450"/>
    <w:rsid w:val="30AD2108"/>
    <w:rsid w:val="318850D4"/>
    <w:rsid w:val="31D6516E"/>
    <w:rsid w:val="324A4137"/>
    <w:rsid w:val="35134CB4"/>
    <w:rsid w:val="36B74B69"/>
    <w:rsid w:val="36D76309"/>
    <w:rsid w:val="37B26A07"/>
    <w:rsid w:val="3905700A"/>
    <w:rsid w:val="399B6A85"/>
    <w:rsid w:val="39A44A75"/>
    <w:rsid w:val="3A7206CF"/>
    <w:rsid w:val="3A8C054C"/>
    <w:rsid w:val="3A9160A5"/>
    <w:rsid w:val="3BEE1B6D"/>
    <w:rsid w:val="3ED95D6C"/>
    <w:rsid w:val="405A1423"/>
    <w:rsid w:val="408E3C31"/>
    <w:rsid w:val="412F10C8"/>
    <w:rsid w:val="42A8401C"/>
    <w:rsid w:val="45336CAD"/>
    <w:rsid w:val="45C75D73"/>
    <w:rsid w:val="488E34C4"/>
    <w:rsid w:val="48F9072F"/>
    <w:rsid w:val="49EA2030"/>
    <w:rsid w:val="4BDF38C6"/>
    <w:rsid w:val="4C1F043C"/>
    <w:rsid w:val="4C2537F3"/>
    <w:rsid w:val="4C3061E2"/>
    <w:rsid w:val="4C4E515B"/>
    <w:rsid w:val="4CEF2DC0"/>
    <w:rsid w:val="4DD86B31"/>
    <w:rsid w:val="50787253"/>
    <w:rsid w:val="51084D5D"/>
    <w:rsid w:val="52742DDF"/>
    <w:rsid w:val="548117E3"/>
    <w:rsid w:val="55F83D27"/>
    <w:rsid w:val="56BE487B"/>
    <w:rsid w:val="58183175"/>
    <w:rsid w:val="591C553F"/>
    <w:rsid w:val="592A63F1"/>
    <w:rsid w:val="5CB80455"/>
    <w:rsid w:val="5D281140"/>
    <w:rsid w:val="5E0065C7"/>
    <w:rsid w:val="5E6A32E8"/>
    <w:rsid w:val="5E835555"/>
    <w:rsid w:val="5EB56C59"/>
    <w:rsid w:val="5EDA2290"/>
    <w:rsid w:val="5F465B03"/>
    <w:rsid w:val="5F5E109E"/>
    <w:rsid w:val="608B3359"/>
    <w:rsid w:val="612058C8"/>
    <w:rsid w:val="613A51F3"/>
    <w:rsid w:val="61573FF7"/>
    <w:rsid w:val="62C51434"/>
    <w:rsid w:val="63BD5026"/>
    <w:rsid w:val="640721AA"/>
    <w:rsid w:val="66C7577B"/>
    <w:rsid w:val="66D42A6D"/>
    <w:rsid w:val="67674868"/>
    <w:rsid w:val="68183DB4"/>
    <w:rsid w:val="68A2348D"/>
    <w:rsid w:val="68A44646"/>
    <w:rsid w:val="690E58E3"/>
    <w:rsid w:val="696E467C"/>
    <w:rsid w:val="6A1C5DDE"/>
    <w:rsid w:val="6B1000B4"/>
    <w:rsid w:val="6B8754D9"/>
    <w:rsid w:val="6BAA11C7"/>
    <w:rsid w:val="6E111FEB"/>
    <w:rsid w:val="6E253669"/>
    <w:rsid w:val="6E496B96"/>
    <w:rsid w:val="6F9E6F2E"/>
    <w:rsid w:val="6FE26AFC"/>
    <w:rsid w:val="70453BB5"/>
    <w:rsid w:val="70782D66"/>
    <w:rsid w:val="70D867D7"/>
    <w:rsid w:val="71643EF7"/>
    <w:rsid w:val="71812C2E"/>
    <w:rsid w:val="71A87461"/>
    <w:rsid w:val="72866971"/>
    <w:rsid w:val="745344A4"/>
    <w:rsid w:val="751766B2"/>
    <w:rsid w:val="755E374E"/>
    <w:rsid w:val="765E32DA"/>
    <w:rsid w:val="76FD7236"/>
    <w:rsid w:val="7724705D"/>
    <w:rsid w:val="77532D52"/>
    <w:rsid w:val="77F43EF6"/>
    <w:rsid w:val="7872306D"/>
    <w:rsid w:val="78AA0A59"/>
    <w:rsid w:val="78CF1137"/>
    <w:rsid w:val="79B959C0"/>
    <w:rsid w:val="79BA2F1D"/>
    <w:rsid w:val="7A9B2D4F"/>
    <w:rsid w:val="7B8E6410"/>
    <w:rsid w:val="7BD77DB7"/>
    <w:rsid w:val="7D897459"/>
    <w:rsid w:val="7DA97531"/>
    <w:rsid w:val="7E1F5A45"/>
    <w:rsid w:val="7ECB2A08"/>
    <w:rsid w:val="7EEF5417"/>
    <w:rsid w:val="7EFF3AE8"/>
    <w:rsid w:val="7F7FB97F"/>
    <w:rsid w:val="7FCA19E0"/>
    <w:rsid w:val="A5FF9634"/>
    <w:rsid w:val="AFF7E57B"/>
    <w:rsid w:val="B2FB13A5"/>
    <w:rsid w:val="BDE3CEEB"/>
    <w:rsid w:val="BF3F47C0"/>
    <w:rsid w:val="D96F85B2"/>
    <w:rsid w:val="DEFB7DD8"/>
    <w:rsid w:val="DFE2C6C2"/>
    <w:rsid w:val="F9FB9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qFormat="1" w:uiPriority="0" w:semiHidden="0"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32"/>
    <w:qFormat/>
    <w:uiPriority w:val="0"/>
    <w:pPr>
      <w:keepNext/>
      <w:keepLines/>
      <w:spacing w:before="20" w:after="20" w:line="360" w:lineRule="auto"/>
      <w:jc w:val="center"/>
      <w:outlineLvl w:val="0"/>
    </w:pPr>
    <w:rPr>
      <w:b/>
      <w:bCs/>
      <w:color w:val="000000" w:themeColor="text1"/>
      <w:kern w:val="44"/>
      <w:sz w:val="24"/>
      <w:szCs w:val="44"/>
      <w14:textFill>
        <w14:solidFill>
          <w14:schemeClr w14:val="tx1"/>
        </w14:solidFill>
      </w14:textFill>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theme="majorBidi"/>
      <w:b/>
      <w:bCs/>
      <w:kern w:val="0"/>
      <w:sz w:val="32"/>
      <w:szCs w:val="32"/>
    </w:rPr>
  </w:style>
  <w:style w:type="paragraph" w:styleId="4">
    <w:name w:val="heading 3"/>
    <w:basedOn w:val="1"/>
    <w:next w:val="1"/>
    <w:link w:val="34"/>
    <w:qFormat/>
    <w:uiPriority w:val="0"/>
    <w:pPr>
      <w:keepNext/>
      <w:keepLines/>
      <w:tabs>
        <w:tab w:val="left" w:pos="720"/>
      </w:tabs>
      <w:spacing w:before="260" w:after="260" w:line="415" w:lineRule="auto"/>
      <w:ind w:left="720" w:hanging="720"/>
      <w:outlineLvl w:val="2"/>
    </w:pPr>
    <w:rPr>
      <w:rFonts w:ascii="Times New Roman" w:hAnsi="Times New Roman" w:eastAsia="宋体" w:cs="Times New Roman"/>
      <w:b/>
      <w:bCs/>
      <w:kern w:val="0"/>
      <w:sz w:val="32"/>
      <w:szCs w:val="32"/>
    </w:rPr>
  </w:style>
  <w:style w:type="paragraph" w:styleId="5">
    <w:name w:val="heading 4"/>
    <w:basedOn w:val="1"/>
    <w:next w:val="1"/>
    <w:unhideWhenUsed/>
    <w:qFormat/>
    <w:uiPriority w:val="0"/>
    <w:pPr>
      <w:keepNext/>
      <w:keepLines/>
      <w:spacing w:line="360" w:lineRule="auto"/>
      <w:outlineLvl w:val="3"/>
    </w:pPr>
    <w:rPr>
      <w:rFonts w:ascii="Arial" w:hAnsi="Arial" w:eastAsia="宋体"/>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0"/>
    <w:pPr>
      <w:spacing w:after="0" w:line="360" w:lineRule="auto"/>
      <w:ind w:left="420" w:leftChars="200"/>
    </w:pPr>
    <w:rPr>
      <w:rFonts w:ascii="Times New Roman" w:hAnsi="Times New Roman" w:eastAsia="宋体" w:cs="Times New Roman"/>
      <w:szCs w:val="24"/>
    </w:rPr>
  </w:style>
  <w:style w:type="paragraph" w:styleId="7">
    <w:name w:val="List Number"/>
    <w:basedOn w:val="1"/>
    <w:qFormat/>
    <w:uiPriority w:val="0"/>
    <w:pPr>
      <w:numPr>
        <w:ilvl w:val="0"/>
        <w:numId w:val="1"/>
      </w:numPr>
      <w:ind w:firstLine="0" w:firstLineChars="0"/>
    </w:pPr>
  </w:style>
  <w:style w:type="paragraph" w:styleId="8">
    <w:name w:val="Normal Indent"/>
    <w:basedOn w:val="1"/>
    <w:qFormat/>
    <w:uiPriority w:val="0"/>
    <w:pPr>
      <w:ind w:firstLine="420" w:firstLineChars="200"/>
    </w:pPr>
    <w:rPr>
      <w:sz w:val="24"/>
      <w:szCs w:val="24"/>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link w:val="35"/>
    <w:semiHidden/>
    <w:unhideWhenUsed/>
    <w:qFormat/>
    <w:uiPriority w:val="0"/>
    <w:pPr>
      <w:jc w:val="left"/>
    </w:pPr>
  </w:style>
  <w:style w:type="paragraph" w:styleId="11">
    <w:name w:val="Body Text"/>
    <w:basedOn w:val="1"/>
    <w:next w:val="12"/>
    <w:link w:val="36"/>
    <w:qFormat/>
    <w:uiPriority w:val="0"/>
    <w:pPr>
      <w:spacing w:after="120"/>
    </w:pPr>
    <w:rPr>
      <w:rFonts w:ascii="Calibri" w:hAnsi="Calibri"/>
      <w:kern w:val="0"/>
      <w:sz w:val="28"/>
    </w:rPr>
  </w:style>
  <w:style w:type="paragraph" w:styleId="12">
    <w:name w:val="Body Text First Indent"/>
    <w:basedOn w:val="11"/>
    <w:next w:val="1"/>
    <w:link w:val="37"/>
    <w:unhideWhenUsed/>
    <w:qFormat/>
    <w:uiPriority w:val="0"/>
    <w:pPr>
      <w:ind w:firstLine="420" w:firstLineChars="100"/>
    </w:pPr>
  </w:style>
  <w:style w:type="paragraph" w:styleId="13">
    <w:name w:val="Body Text Indent"/>
    <w:basedOn w:val="1"/>
    <w:next w:val="1"/>
    <w:link w:val="38"/>
    <w:unhideWhenUsed/>
    <w:qFormat/>
    <w:uiPriority w:val="0"/>
    <w:pPr>
      <w:spacing w:after="120"/>
      <w:ind w:left="420" w:leftChars="200"/>
    </w:pPr>
    <w:rPr>
      <w:kern w:val="0"/>
      <w:sz w:val="20"/>
    </w:rPr>
  </w:style>
  <w:style w:type="paragraph" w:styleId="14">
    <w:name w:val="Plain Text"/>
    <w:basedOn w:val="1"/>
    <w:link w:val="39"/>
    <w:qFormat/>
    <w:uiPriority w:val="0"/>
    <w:pPr>
      <w:spacing w:beforeLines="50" w:afterLines="50" w:line="400" w:lineRule="exact"/>
    </w:pPr>
    <w:rPr>
      <w:rFonts w:ascii="宋体" w:hAnsi="Courier New" w:cs="Courier New"/>
      <w:kern w:val="0"/>
      <w:sz w:val="24"/>
    </w:rPr>
  </w:style>
  <w:style w:type="paragraph" w:styleId="15">
    <w:name w:val="Date"/>
    <w:basedOn w:val="1"/>
    <w:next w:val="1"/>
    <w:link w:val="40"/>
    <w:qFormat/>
    <w:uiPriority w:val="99"/>
    <w:pPr>
      <w:ind w:left="2500" w:leftChars="2500"/>
    </w:pPr>
    <w:rPr>
      <w:rFonts w:ascii="Calibri" w:hAnsi="Calibri" w:eastAsia="楷体_GB2312"/>
      <w:kern w:val="0"/>
      <w:sz w:val="32"/>
      <w:szCs w:val="20"/>
    </w:rPr>
  </w:style>
  <w:style w:type="paragraph" w:styleId="16">
    <w:name w:val="Balloon Text"/>
    <w:basedOn w:val="1"/>
    <w:link w:val="41"/>
    <w:qFormat/>
    <w:uiPriority w:val="0"/>
    <w:pPr>
      <w:spacing w:after="0" w:line="240" w:lineRule="auto"/>
    </w:pPr>
    <w:rPr>
      <w:sz w:val="18"/>
      <w:szCs w:val="18"/>
    </w:rPr>
  </w:style>
  <w:style w:type="paragraph" w:styleId="17">
    <w:name w:val="footer"/>
    <w:basedOn w:val="1"/>
    <w:link w:val="42"/>
    <w:unhideWhenUsed/>
    <w:qFormat/>
    <w:uiPriority w:val="99"/>
    <w:pPr>
      <w:tabs>
        <w:tab w:val="center" w:pos="4153"/>
        <w:tab w:val="right" w:pos="8306"/>
      </w:tabs>
      <w:snapToGrid w:val="0"/>
      <w:jc w:val="left"/>
    </w:pPr>
    <w:rPr>
      <w:rFonts w:ascii="Calibri" w:hAnsi="Calibri"/>
      <w:kern w:val="0"/>
      <w:sz w:val="18"/>
      <w:szCs w:val="18"/>
    </w:rPr>
  </w:style>
  <w:style w:type="paragraph" w:styleId="18">
    <w:name w:val="header"/>
    <w:basedOn w:val="1"/>
    <w:link w:val="43"/>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pPr>
      <w:tabs>
        <w:tab w:val="right" w:leader="dot" w:pos="8846"/>
      </w:tabs>
      <w:spacing w:line="360" w:lineRule="auto"/>
    </w:pPr>
  </w:style>
  <w:style w:type="paragraph" w:styleId="20">
    <w:name w:val="toc 2"/>
    <w:basedOn w:val="1"/>
    <w:next w:val="1"/>
    <w:unhideWhenUsed/>
    <w:qFormat/>
    <w:uiPriority w:val="39"/>
    <w:pPr>
      <w:ind w:left="420" w:leftChars="200"/>
    </w:pPr>
  </w:style>
  <w:style w:type="paragraph" w:styleId="21">
    <w:name w:val="Normal (Web)"/>
    <w:basedOn w:val="1"/>
    <w:link w:val="129"/>
    <w:unhideWhenUsed/>
    <w:qFormat/>
    <w:uiPriority w:val="99"/>
    <w:pPr>
      <w:widowControl/>
      <w:adjustRightInd w:val="0"/>
      <w:snapToGrid w:val="0"/>
      <w:spacing w:before="100" w:beforeAutospacing="1" w:after="100" w:afterAutospacing="1" w:line="240" w:lineRule="auto"/>
      <w:jc w:val="left"/>
    </w:pPr>
    <w:rPr>
      <w:rFonts w:ascii="宋体" w:hAnsi="宋体" w:eastAsia="宋体" w:cs="宋体"/>
      <w:kern w:val="0"/>
      <w:sz w:val="24"/>
      <w:szCs w:val="24"/>
    </w:rPr>
  </w:style>
  <w:style w:type="paragraph" w:styleId="22">
    <w:name w:val="index 1"/>
    <w:basedOn w:val="1"/>
    <w:next w:val="1"/>
    <w:qFormat/>
    <w:uiPriority w:val="0"/>
    <w:pPr>
      <w:spacing w:after="0" w:line="240" w:lineRule="auto"/>
      <w:jc w:val="center"/>
    </w:pPr>
    <w:rPr>
      <w:rFonts w:ascii="Arial" w:hAnsi="Arial" w:eastAsia="Arial" w:cs="Arial"/>
      <w:b/>
      <w:bCs/>
      <w:sz w:val="28"/>
      <w:szCs w:val="20"/>
    </w:rPr>
  </w:style>
  <w:style w:type="paragraph" w:styleId="23">
    <w:name w:val="Title"/>
    <w:basedOn w:val="1"/>
    <w:link w:val="44"/>
    <w:qFormat/>
    <w:uiPriority w:val="0"/>
    <w:pPr>
      <w:spacing w:before="240" w:after="60" w:line="240" w:lineRule="auto"/>
      <w:jc w:val="center"/>
      <w:outlineLvl w:val="0"/>
    </w:pPr>
    <w:rPr>
      <w:rFonts w:ascii="Arial" w:hAnsi="Arial" w:eastAsia="仿宋_GB2312" w:cs="Times New Roman"/>
      <w:b/>
      <w:bCs/>
      <w:kern w:val="0"/>
      <w:sz w:val="36"/>
      <w:szCs w:val="32"/>
    </w:rPr>
  </w:style>
  <w:style w:type="paragraph" w:styleId="24">
    <w:name w:val="annotation subject"/>
    <w:basedOn w:val="10"/>
    <w:next w:val="10"/>
    <w:link w:val="45"/>
    <w:semiHidden/>
    <w:unhideWhenUsed/>
    <w:qFormat/>
    <w:uiPriority w:val="0"/>
    <w:rPr>
      <w:b/>
      <w:bCs/>
    </w:rPr>
  </w:style>
  <w:style w:type="paragraph" w:styleId="25">
    <w:name w:val="Body Text First Indent 2"/>
    <w:basedOn w:val="13"/>
    <w:next w:val="9"/>
    <w:unhideWhenUsed/>
    <w:qFormat/>
    <w:uiPriority w:val="99"/>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basedOn w:val="28"/>
    <w:semiHidden/>
    <w:unhideWhenUsed/>
    <w:qFormat/>
    <w:uiPriority w:val="0"/>
    <w:rPr>
      <w:sz w:val="21"/>
      <w:szCs w:val="21"/>
    </w:rPr>
  </w:style>
  <w:style w:type="character" w:customStyle="1" w:styleId="32">
    <w:name w:val="标题 1 字符"/>
    <w:basedOn w:val="28"/>
    <w:link w:val="2"/>
    <w:qFormat/>
    <w:uiPriority w:val="0"/>
    <w:rPr>
      <w:b/>
      <w:bCs/>
      <w:color w:val="000000" w:themeColor="text1"/>
      <w:kern w:val="44"/>
      <w:sz w:val="24"/>
      <w:szCs w:val="44"/>
      <w14:textFill>
        <w14:solidFill>
          <w14:schemeClr w14:val="tx1"/>
        </w14:solidFill>
      </w14:textFill>
    </w:rPr>
  </w:style>
  <w:style w:type="character" w:customStyle="1" w:styleId="33">
    <w:name w:val="标题 2 字符"/>
    <w:basedOn w:val="28"/>
    <w:link w:val="3"/>
    <w:qFormat/>
    <w:uiPriority w:val="0"/>
    <w:rPr>
      <w:rFonts w:ascii="Arial" w:hAnsi="Arial" w:eastAsia="黑体" w:cstheme="majorBidi"/>
      <w:b/>
      <w:bCs/>
      <w:kern w:val="0"/>
      <w:sz w:val="32"/>
      <w:szCs w:val="32"/>
    </w:rPr>
  </w:style>
  <w:style w:type="character" w:customStyle="1" w:styleId="34">
    <w:name w:val="标题 3 字符"/>
    <w:basedOn w:val="28"/>
    <w:link w:val="4"/>
    <w:qFormat/>
    <w:uiPriority w:val="0"/>
    <w:rPr>
      <w:rFonts w:ascii="Times New Roman" w:hAnsi="Times New Roman" w:eastAsia="宋体" w:cs="Times New Roman"/>
      <w:b/>
      <w:bCs/>
      <w:kern w:val="0"/>
      <w:sz w:val="32"/>
      <w:szCs w:val="32"/>
    </w:rPr>
  </w:style>
  <w:style w:type="character" w:customStyle="1" w:styleId="35">
    <w:name w:val="批注文字 字符"/>
    <w:basedOn w:val="28"/>
    <w:link w:val="10"/>
    <w:semiHidden/>
    <w:qFormat/>
    <w:uiPriority w:val="0"/>
    <w:rPr>
      <w:szCs w:val="21"/>
    </w:rPr>
  </w:style>
  <w:style w:type="character" w:customStyle="1" w:styleId="36">
    <w:name w:val="正文文本 字符"/>
    <w:basedOn w:val="28"/>
    <w:link w:val="11"/>
    <w:qFormat/>
    <w:uiPriority w:val="0"/>
    <w:rPr>
      <w:rFonts w:ascii="Calibri" w:hAnsi="Calibri"/>
      <w:kern w:val="0"/>
      <w:sz w:val="28"/>
      <w:szCs w:val="21"/>
    </w:rPr>
  </w:style>
  <w:style w:type="character" w:customStyle="1" w:styleId="37">
    <w:name w:val="正文文本首行缩进 字符"/>
    <w:basedOn w:val="36"/>
    <w:link w:val="12"/>
    <w:qFormat/>
    <w:uiPriority w:val="0"/>
    <w:rPr>
      <w:rFonts w:ascii="Calibri" w:hAnsi="Calibri"/>
      <w:kern w:val="0"/>
      <w:sz w:val="28"/>
      <w:szCs w:val="21"/>
    </w:rPr>
  </w:style>
  <w:style w:type="character" w:customStyle="1" w:styleId="38">
    <w:name w:val="正文文本缩进 字符"/>
    <w:basedOn w:val="28"/>
    <w:link w:val="13"/>
    <w:qFormat/>
    <w:uiPriority w:val="0"/>
    <w:rPr>
      <w:kern w:val="0"/>
      <w:sz w:val="20"/>
      <w:szCs w:val="21"/>
    </w:rPr>
  </w:style>
  <w:style w:type="character" w:customStyle="1" w:styleId="39">
    <w:name w:val="纯文本 字符"/>
    <w:basedOn w:val="28"/>
    <w:link w:val="14"/>
    <w:qFormat/>
    <w:uiPriority w:val="0"/>
    <w:rPr>
      <w:rFonts w:ascii="宋体" w:hAnsi="Courier New" w:cs="Courier New"/>
      <w:kern w:val="0"/>
      <w:sz w:val="24"/>
      <w:szCs w:val="21"/>
    </w:rPr>
  </w:style>
  <w:style w:type="character" w:customStyle="1" w:styleId="40">
    <w:name w:val="日期 字符"/>
    <w:basedOn w:val="28"/>
    <w:link w:val="15"/>
    <w:qFormat/>
    <w:uiPriority w:val="99"/>
    <w:rPr>
      <w:rFonts w:ascii="Calibri" w:hAnsi="Calibri" w:eastAsia="楷体_GB2312"/>
      <w:kern w:val="0"/>
      <w:sz w:val="32"/>
      <w:szCs w:val="20"/>
    </w:rPr>
  </w:style>
  <w:style w:type="character" w:customStyle="1" w:styleId="41">
    <w:name w:val="批注框文本 字符"/>
    <w:basedOn w:val="28"/>
    <w:link w:val="16"/>
    <w:qFormat/>
    <w:uiPriority w:val="0"/>
    <w:rPr>
      <w:sz w:val="18"/>
      <w:szCs w:val="18"/>
    </w:rPr>
  </w:style>
  <w:style w:type="character" w:customStyle="1" w:styleId="42">
    <w:name w:val="页脚 字符"/>
    <w:basedOn w:val="28"/>
    <w:link w:val="17"/>
    <w:qFormat/>
    <w:uiPriority w:val="99"/>
    <w:rPr>
      <w:rFonts w:ascii="Calibri" w:hAnsi="Calibri"/>
      <w:kern w:val="0"/>
      <w:sz w:val="18"/>
      <w:szCs w:val="18"/>
    </w:rPr>
  </w:style>
  <w:style w:type="character" w:customStyle="1" w:styleId="43">
    <w:name w:val="页眉 字符"/>
    <w:basedOn w:val="28"/>
    <w:link w:val="18"/>
    <w:qFormat/>
    <w:uiPriority w:val="0"/>
    <w:rPr>
      <w:rFonts w:ascii="Calibri" w:hAnsi="Calibri"/>
      <w:kern w:val="0"/>
      <w:sz w:val="18"/>
      <w:szCs w:val="18"/>
    </w:rPr>
  </w:style>
  <w:style w:type="character" w:customStyle="1" w:styleId="44">
    <w:name w:val="标题 字符"/>
    <w:basedOn w:val="28"/>
    <w:link w:val="23"/>
    <w:qFormat/>
    <w:uiPriority w:val="0"/>
    <w:rPr>
      <w:rFonts w:ascii="Arial" w:hAnsi="Arial" w:eastAsia="仿宋_GB2312" w:cs="Times New Roman"/>
      <w:b/>
      <w:bCs/>
      <w:kern w:val="0"/>
      <w:sz w:val="36"/>
      <w:szCs w:val="32"/>
    </w:rPr>
  </w:style>
  <w:style w:type="character" w:customStyle="1" w:styleId="45">
    <w:name w:val="批注主题 字符"/>
    <w:basedOn w:val="35"/>
    <w:link w:val="24"/>
    <w:semiHidden/>
    <w:qFormat/>
    <w:uiPriority w:val="0"/>
    <w:rPr>
      <w:b/>
      <w:bCs/>
      <w:szCs w:val="21"/>
    </w:rPr>
  </w:style>
  <w:style w:type="paragraph" w:customStyle="1" w:styleId="46">
    <w:name w:val="*正文"/>
    <w:basedOn w:val="1"/>
    <w:next w:val="1"/>
    <w:qFormat/>
    <w:uiPriority w:val="0"/>
    <w:pPr>
      <w:widowControl/>
      <w:ind w:left="361" w:right="112" w:firstLine="480" w:firstLineChars="200"/>
    </w:pPr>
    <w:rPr>
      <w:rFonts w:ascii="仿宋_GB2312" w:eastAsia="仿宋_GB2312" w:cs="仿宋_GB2312"/>
      <w:sz w:val="24"/>
    </w:rPr>
  </w:style>
  <w:style w:type="paragraph" w:customStyle="1" w:styleId="47">
    <w:name w:val="TOC 标题1"/>
    <w:basedOn w:val="2"/>
    <w:next w:val="1"/>
    <w:qFormat/>
    <w:uiPriority w:val="39"/>
    <w:pPr>
      <w:outlineLvl w:val="9"/>
    </w:p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fontstyle01"/>
    <w:qFormat/>
    <w:uiPriority w:val="0"/>
    <w:rPr>
      <w:rFonts w:hint="eastAsia" w:ascii="宋体" w:hAnsi="宋体" w:eastAsia="宋体"/>
      <w:color w:val="000000"/>
      <w:sz w:val="22"/>
      <w:szCs w:val="22"/>
    </w:rPr>
  </w:style>
  <w:style w:type="paragraph" w:customStyle="1" w:styleId="50">
    <w:name w:val="xl31"/>
    <w:basedOn w:val="1"/>
    <w:qFormat/>
    <w:uiPriority w:val="0"/>
    <w:pPr>
      <w:widowControl/>
      <w:spacing w:before="100" w:beforeAutospacing="1" w:afterAutospacing="1"/>
      <w:jc w:val="center"/>
    </w:pPr>
    <w:rPr>
      <w:rFonts w:ascii="宋体" w:hAnsi="宋体"/>
      <w:kern w:val="0"/>
      <w:sz w:val="28"/>
      <w:szCs w:val="28"/>
    </w:rPr>
  </w:style>
  <w:style w:type="paragraph" w:customStyle="1" w:styleId="51">
    <w:name w:val="_标题2"/>
    <w:basedOn w:val="3"/>
    <w:next w:val="52"/>
    <w:qFormat/>
    <w:uiPriority w:val="0"/>
    <w:pPr>
      <w:tabs>
        <w:tab w:val="left" w:pos="860"/>
      </w:tabs>
      <w:spacing w:beforeLines="50" w:afterLines="50" w:line="413" w:lineRule="auto"/>
      <w:ind w:left="1418" w:hanging="1418"/>
    </w:pPr>
    <w:rPr>
      <w:rFonts w:ascii="Tahoma" w:hAnsi="Tahoma" w:cs="Times New Roman"/>
    </w:rPr>
  </w:style>
  <w:style w:type="paragraph" w:customStyle="1" w:styleId="52">
    <w:name w:val="_正文段落"/>
    <w:basedOn w:val="1"/>
    <w:qFormat/>
    <w:uiPriority w:val="0"/>
    <w:pPr>
      <w:spacing w:beforeLines="15" w:afterLines="15" w:line="360" w:lineRule="auto"/>
      <w:ind w:firstLine="200" w:firstLineChars="200"/>
    </w:pPr>
  </w:style>
  <w:style w:type="paragraph" w:customStyle="1" w:styleId="53">
    <w:name w:val="正文段"/>
    <w:basedOn w:val="1"/>
    <w:qFormat/>
    <w:uiPriority w:val="0"/>
    <w:pPr>
      <w:widowControl/>
      <w:snapToGrid w:val="0"/>
      <w:spacing w:afterLines="50"/>
      <w:ind w:firstLine="200" w:firstLineChars="200"/>
    </w:pPr>
    <w:rPr>
      <w:kern w:val="0"/>
      <w:sz w:val="24"/>
      <w:szCs w:val="20"/>
    </w:rPr>
  </w:style>
  <w:style w:type="paragraph" w:customStyle="1" w:styleId="54">
    <w:name w:val="D&amp;L"/>
    <w:basedOn w:val="18"/>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sz w:val="24"/>
      <w:szCs w:val="20"/>
    </w:rPr>
  </w:style>
  <w:style w:type="paragraph" w:customStyle="1" w:styleId="55">
    <w:name w:val="表格1"/>
    <w:basedOn w:val="1"/>
    <w:qFormat/>
    <w:uiPriority w:val="0"/>
    <w:pPr>
      <w:spacing w:after="0" w:line="240" w:lineRule="auto"/>
    </w:pPr>
    <w:rPr>
      <w:rFonts w:ascii="仿宋_GB2312" w:hAnsi="Times New Roman"/>
      <w:sz w:val="24"/>
      <w:szCs w:val="24"/>
    </w:rPr>
  </w:style>
  <w:style w:type="paragraph" w:customStyle="1" w:styleId="56">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列出段落1"/>
    <w:basedOn w:val="1"/>
    <w:qFormat/>
    <w:uiPriority w:val="0"/>
    <w:pPr>
      <w:ind w:firstLine="420" w:firstLineChars="200"/>
    </w:pPr>
    <w:rPr>
      <w:rFonts w:ascii="Calibri" w:hAnsi="Calibri"/>
    </w:rPr>
  </w:style>
  <w:style w:type="paragraph" w:customStyle="1" w:styleId="58">
    <w:name w:val="Body Text First Indent 21"/>
    <w:basedOn w:val="59"/>
    <w:qFormat/>
    <w:uiPriority w:val="0"/>
    <w:pPr>
      <w:ind w:firstLine="420"/>
    </w:pPr>
  </w:style>
  <w:style w:type="paragraph" w:customStyle="1" w:styleId="59">
    <w:name w:val="Body Text Indent1"/>
    <w:basedOn w:val="1"/>
    <w:qFormat/>
    <w:uiPriority w:val="0"/>
    <w:pPr>
      <w:ind w:left="420" w:leftChars="200"/>
    </w:pPr>
  </w:style>
  <w:style w:type="paragraph" w:customStyle="1" w:styleId="60">
    <w:name w:val="正文1"/>
    <w:basedOn w:val="1"/>
    <w:next w:val="1"/>
    <w:qFormat/>
    <w:uiPriority w:val="0"/>
    <w:pPr>
      <w:adjustRightInd w:val="0"/>
      <w:spacing w:after="0" w:line="318" w:lineRule="atLeast"/>
      <w:ind w:left="369" w:firstLine="369"/>
      <w:textAlignment w:val="baseline"/>
    </w:pPr>
    <w:rPr>
      <w:rFonts w:ascii="宋体" w:hAnsi="Times New Roman" w:eastAsia="宋体" w:cs="Times New Roman"/>
      <w:szCs w:val="24"/>
    </w:rPr>
  </w:style>
  <w:style w:type="paragraph" w:customStyle="1" w:styleId="61">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63">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eastAsia="宋体" w:cs="宋体"/>
      <w:kern w:val="0"/>
      <w:sz w:val="20"/>
      <w:szCs w:val="20"/>
    </w:rPr>
  </w:style>
  <w:style w:type="paragraph" w:customStyle="1" w:styleId="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71">
    <w:name w:val="xl9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7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73">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74">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75">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76">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77">
    <w:name w:val="xl98"/>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78">
    <w:name w:val="xl99"/>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7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80">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8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82">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8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8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85">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86">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8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89">
    <w:name w:val="xl110"/>
    <w:basedOn w:val="1"/>
    <w:qFormat/>
    <w:uiPriority w:val="0"/>
    <w:pPr>
      <w:widowControl/>
      <w:spacing w:before="100" w:beforeAutospacing="1" w:after="100" w:afterAutospacing="1" w:line="240" w:lineRule="auto"/>
      <w:jc w:val="center"/>
    </w:pPr>
    <w:rPr>
      <w:rFonts w:ascii="宋体" w:hAnsi="宋体" w:eastAsia="宋体" w:cs="宋体"/>
      <w:color w:val="171A1D"/>
      <w:kern w:val="0"/>
    </w:rPr>
  </w:style>
  <w:style w:type="paragraph" w:customStyle="1" w:styleId="90">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eastAsia="宋体" w:cs="宋体"/>
      <w:color w:val="4472C4"/>
      <w:kern w:val="0"/>
      <w:sz w:val="20"/>
      <w:szCs w:val="20"/>
    </w:rPr>
  </w:style>
  <w:style w:type="paragraph" w:customStyle="1" w:styleId="9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92">
    <w:name w:val="xl113"/>
    <w:basedOn w:val="1"/>
    <w:qFormat/>
    <w:uiPriority w:val="0"/>
    <w:pPr>
      <w:widowControl/>
      <w:spacing w:before="100" w:beforeAutospacing="1" w:after="100" w:afterAutospacing="1" w:line="240" w:lineRule="auto"/>
      <w:jc w:val="center"/>
    </w:pPr>
    <w:rPr>
      <w:rFonts w:ascii="宋体" w:hAnsi="宋体" w:eastAsia="宋体" w:cs="宋体"/>
      <w:kern w:val="0"/>
      <w:sz w:val="20"/>
      <w:szCs w:val="20"/>
    </w:rPr>
  </w:style>
  <w:style w:type="paragraph" w:customStyle="1" w:styleId="93">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9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95">
    <w:name w:val="xl116"/>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9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9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9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eastAsia="宋体" w:cs="宋体"/>
      <w:kern w:val="0"/>
      <w:sz w:val="20"/>
      <w:szCs w:val="20"/>
    </w:rPr>
  </w:style>
  <w:style w:type="paragraph" w:customStyle="1" w:styleId="11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eastAsia="宋体" w:cs="宋体"/>
      <w:kern w:val="0"/>
      <w:sz w:val="20"/>
      <w:szCs w:val="20"/>
    </w:rPr>
  </w:style>
  <w:style w:type="paragraph" w:customStyle="1" w:styleId="11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1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eastAsia="宋体" w:cs="宋体"/>
      <w:kern w:val="0"/>
      <w:sz w:val="20"/>
      <w:szCs w:val="20"/>
    </w:rPr>
  </w:style>
  <w:style w:type="paragraph" w:customStyle="1" w:styleId="11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20">
    <w:name w:val="xl141"/>
    <w:basedOn w:val="1"/>
    <w:qFormat/>
    <w:uiPriority w:val="0"/>
    <w:pPr>
      <w:widowControl/>
      <w:pBdr>
        <w:top w:val="single" w:color="auto" w:sz="4" w:space="0"/>
        <w:lef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12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303133"/>
      <w:kern w:val="0"/>
      <w:sz w:val="20"/>
      <w:szCs w:val="20"/>
    </w:rPr>
  </w:style>
  <w:style w:type="paragraph" w:customStyle="1" w:styleId="122">
    <w:name w:val="xl143"/>
    <w:basedOn w:val="1"/>
    <w:qFormat/>
    <w:uiPriority w:val="0"/>
    <w:pPr>
      <w:widowControl/>
      <w:spacing w:before="100" w:beforeAutospacing="1" w:after="100" w:afterAutospacing="1" w:line="240" w:lineRule="auto"/>
      <w:jc w:val="center"/>
    </w:pPr>
    <w:rPr>
      <w:rFonts w:ascii="宋体" w:hAnsi="宋体" w:eastAsia="宋体" w:cs="宋体"/>
      <w:color w:val="303133"/>
      <w:kern w:val="0"/>
      <w:sz w:val="20"/>
      <w:szCs w:val="20"/>
    </w:rPr>
  </w:style>
  <w:style w:type="paragraph" w:customStyle="1" w:styleId="123">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12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25">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26">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styleId="127">
    <w:name w:val="List Paragraph"/>
    <w:basedOn w:val="1"/>
    <w:link w:val="128"/>
    <w:qFormat/>
    <w:uiPriority w:val="34"/>
    <w:pPr>
      <w:ind w:firstLine="420" w:firstLineChars="200"/>
    </w:pPr>
  </w:style>
  <w:style w:type="character" w:customStyle="1" w:styleId="128">
    <w:name w:val="列表段落 字符"/>
    <w:link w:val="127"/>
    <w:qFormat/>
    <w:uiPriority w:val="34"/>
    <w:rPr>
      <w:szCs w:val="21"/>
    </w:rPr>
  </w:style>
  <w:style w:type="character" w:customStyle="1" w:styleId="129">
    <w:name w:val="普通(网站) 字符"/>
    <w:link w:val="21"/>
    <w:qFormat/>
    <w:locked/>
    <w:uiPriority w:val="99"/>
    <w:rPr>
      <w:rFonts w:ascii="宋体" w:hAnsi="宋体" w:eastAsia="宋体" w:cs="宋体"/>
      <w:kern w:val="0"/>
      <w:sz w:val="24"/>
      <w:szCs w:val="24"/>
    </w:rPr>
  </w:style>
  <w:style w:type="paragraph" w:customStyle="1" w:styleId="130">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31">
    <w:name w:val="修订2"/>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132">
    <w:name w:val="修订3"/>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133">
    <w:name w:val="text-tag"/>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table" w:customStyle="1" w:styleId="134">
    <w:name w:val="Table"/>
    <w:semiHidden/>
    <w:unhideWhenUsed/>
    <w:qFormat/>
    <w:uiPriority w:val="0"/>
    <w:pPr>
      <w:spacing w:after="200"/>
    </w:pPr>
    <w:rPr>
      <w:rFonts w:asciiTheme="minorHAnsi" w:hAnsiTheme="minorHAnsi" w:eastAsiaTheme="minorEastAsia" w:cstheme="minorBidi"/>
      <w:sz w:val="24"/>
      <w:szCs w:val="24"/>
      <w:lang w:eastAsia="en-US"/>
    </w:rPr>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135">
    <w:name w:val="Revision"/>
    <w:hidden/>
    <w:unhideWhenUsed/>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31824</Words>
  <Characters>33486</Characters>
  <Lines>1287</Lines>
  <Paragraphs>1329</Paragraphs>
  <TotalTime>0</TotalTime>
  <ScaleCrop>false</ScaleCrop>
  <LinksUpToDate>false</LinksUpToDate>
  <CharactersWithSpaces>33554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2026-03-25T08:01:00Z</dcterms:created>
  <dc:creator>50898</dc:creator>
  <cp:lastModifiedBy>WPS_totem</cp:lastModifiedBy>
  <cp:lastPrinted>2026-04-08T12:50:00Z</cp:lastPrinted>
  <dcterms:modified xsi:type="dcterms:W3CDTF">2026-04-30T02:55:07Z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eyJoZGlkIjoiZTg0NzliNWVmMWIwMTUwZjYyYWE5YmIxOGNiYzkxZmIiLCJ1c2VySWQiOiIxMzI1MzgwNDEwIn0=</vt:lpwstr>
  </property>
  <property fmtid="{D5CDD505-2E9C-101B-9397-08002B2CF9AE}" pid="3" name="KSOProductBuildVer">
    <vt:lpwstr>2052-12.1.0.25865</vt:lpwstr>
  </property>
  <property fmtid="{D5CDD505-2E9C-101B-9397-08002B2CF9AE}" pid="4" name="ICV">
    <vt:lpwstr>2C1BCC6D6D294EA296DD2177DABD99BD_13</vt:lpwstr>
  </property>
</Properties>
</file>