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1DC031">
      <w:pPr>
        <w:adjustRightInd w:val="0"/>
        <w:snapToGrid w:val="0"/>
        <w:spacing w:line="680" w:lineRule="exact"/>
        <w:jc w:val="center"/>
        <w:rPr>
          <w:rFonts w:ascii="黑体" w:hAnsi="黑体" w:eastAsia="黑体" w:cs="黑体"/>
          <w:color w:val="auto"/>
          <w:kern w:val="0"/>
          <w:sz w:val="36"/>
          <w:szCs w:val="36"/>
          <w:highlight w:val="none"/>
        </w:rPr>
      </w:pPr>
    </w:p>
    <w:p w14:paraId="75B9C566">
      <w:pPr>
        <w:pStyle w:val="10"/>
        <w:rPr>
          <w:color w:val="auto"/>
          <w:highlight w:val="none"/>
        </w:rPr>
      </w:pPr>
    </w:p>
    <w:p w14:paraId="76854ECE">
      <w:pPr>
        <w:rPr>
          <w:color w:val="auto"/>
          <w:highlight w:val="none"/>
        </w:rPr>
      </w:pPr>
    </w:p>
    <w:p w14:paraId="28FCD53E">
      <w:pPr>
        <w:adjustRightInd w:val="0"/>
        <w:snapToGrid w:val="0"/>
        <w:spacing w:line="680" w:lineRule="exact"/>
        <w:jc w:val="center"/>
        <w:rPr>
          <w:rFonts w:hint="eastAsia" w:ascii="宋体" w:hAnsi="宋体" w:eastAsia="宋体" w:cs="宋体"/>
          <w:b/>
          <w:bCs/>
          <w:color w:val="auto"/>
          <w:kern w:val="0"/>
          <w:sz w:val="48"/>
          <w:szCs w:val="48"/>
          <w:highlight w:val="none"/>
        </w:rPr>
      </w:pPr>
      <w:r>
        <w:rPr>
          <w:rFonts w:hint="eastAsia" w:ascii="宋体" w:hAnsi="宋体" w:cs="宋体"/>
          <w:b/>
          <w:bCs/>
          <w:color w:val="auto"/>
          <w:kern w:val="2"/>
          <w:sz w:val="40"/>
          <w:szCs w:val="40"/>
          <w:highlight w:val="none"/>
          <w:lang w:val="en-US" w:eastAsia="zh-CN" w:bidi="ar-SA"/>
        </w:rPr>
        <w:t>浙江省第十二届残疾人运动会盲人跳绳比赛整体赛事执行服务</w:t>
      </w:r>
    </w:p>
    <w:p w14:paraId="734D478D">
      <w:pPr>
        <w:adjustRightInd w:val="0"/>
        <w:snapToGrid w:val="0"/>
        <w:spacing w:line="680" w:lineRule="exact"/>
        <w:jc w:val="center"/>
        <w:rPr>
          <w:rFonts w:ascii="黑体" w:hAnsi="黑体" w:eastAsia="黑体" w:cs="黑体"/>
          <w:color w:val="auto"/>
          <w:kern w:val="0"/>
          <w:sz w:val="44"/>
          <w:szCs w:val="44"/>
          <w:highlight w:val="none"/>
        </w:rPr>
      </w:pPr>
    </w:p>
    <w:p w14:paraId="10284774">
      <w:pPr>
        <w:pStyle w:val="33"/>
        <w:rPr>
          <w:color w:val="auto"/>
          <w:highlight w:val="none"/>
        </w:rPr>
      </w:pPr>
    </w:p>
    <w:p w14:paraId="5CE70167">
      <w:pPr>
        <w:rPr>
          <w:color w:val="auto"/>
          <w:highlight w:val="none"/>
        </w:rPr>
      </w:pPr>
    </w:p>
    <w:p w14:paraId="7839DC5D">
      <w:pPr>
        <w:pStyle w:val="10"/>
        <w:rPr>
          <w:color w:val="auto"/>
          <w:highlight w:val="none"/>
        </w:rPr>
      </w:pPr>
    </w:p>
    <w:p w14:paraId="79760EA2">
      <w:pPr>
        <w:rPr>
          <w:color w:val="auto"/>
          <w:highlight w:val="none"/>
        </w:rPr>
      </w:pPr>
    </w:p>
    <w:p w14:paraId="1EF36C97">
      <w:pPr>
        <w:rPr>
          <w:color w:val="auto"/>
          <w:highlight w:val="none"/>
        </w:rPr>
      </w:pPr>
    </w:p>
    <w:p w14:paraId="3CE6E75B">
      <w:pPr>
        <w:pStyle w:val="93"/>
        <w:ind w:firstLine="440"/>
        <w:rPr>
          <w:color w:val="auto"/>
          <w:highlight w:val="none"/>
        </w:rPr>
      </w:pPr>
    </w:p>
    <w:p w14:paraId="017F777E">
      <w:pPr>
        <w:adjustRightInd w:val="0"/>
        <w:snapToGrid w:val="0"/>
        <w:jc w:val="center"/>
        <w:rPr>
          <w:rFonts w:ascii="楷体" w:hAnsi="楷体" w:eastAsia="楷体" w:cs="楷体"/>
          <w:b/>
          <w:bCs/>
          <w:color w:val="auto"/>
          <w:sz w:val="108"/>
          <w:szCs w:val="108"/>
          <w:highlight w:val="none"/>
        </w:rPr>
      </w:pPr>
      <w:r>
        <w:rPr>
          <w:rFonts w:hint="eastAsia" w:ascii="楷体" w:hAnsi="楷体" w:eastAsia="楷体" w:cs="楷体"/>
          <w:b/>
          <w:bCs/>
          <w:color w:val="auto"/>
          <w:spacing w:val="-28"/>
          <w:sz w:val="108"/>
          <w:szCs w:val="108"/>
          <w:highlight w:val="none"/>
        </w:rPr>
        <w:t>公开招标采购文件</w:t>
      </w:r>
    </w:p>
    <w:p w14:paraId="499492E8">
      <w:pPr>
        <w:spacing w:line="240" w:lineRule="exact"/>
        <w:jc w:val="center"/>
        <w:rPr>
          <w:rFonts w:ascii="仿宋_GB2312" w:eastAsia="仿宋_GB2312" w:cs="Times New Roman"/>
          <w:color w:val="auto"/>
          <w:highlight w:val="none"/>
        </w:rPr>
      </w:pPr>
    </w:p>
    <w:p w14:paraId="5E42F2B3">
      <w:pPr>
        <w:pStyle w:val="70"/>
        <w:snapToGrid w:val="0"/>
        <w:spacing w:line="440" w:lineRule="exact"/>
        <w:ind w:firstLine="0"/>
        <w:jc w:val="center"/>
        <w:rPr>
          <w:rFonts w:ascii="黑体" w:hAnsi="黑体" w:eastAsia="黑体" w:cs="黑体"/>
          <w:color w:val="auto"/>
          <w:sz w:val="28"/>
          <w:szCs w:val="28"/>
          <w:highlight w:val="none"/>
        </w:rPr>
      </w:pPr>
      <w:r>
        <w:rPr>
          <w:rFonts w:hint="eastAsia" w:ascii="黑体" w:hAnsi="黑体" w:eastAsia="黑体" w:cs="黑体"/>
          <w:color w:val="auto"/>
          <w:sz w:val="30"/>
          <w:szCs w:val="30"/>
          <w:highlight w:val="none"/>
        </w:rPr>
        <w:t>（采购编号：</w:t>
      </w:r>
      <w:r>
        <w:rPr>
          <w:rFonts w:hint="eastAsia" w:ascii="黑体" w:hAnsi="黑体" w:eastAsia="黑体" w:cs="黑体"/>
          <w:color w:val="auto"/>
          <w:sz w:val="30"/>
          <w:szCs w:val="30"/>
          <w:highlight w:val="none"/>
          <w:lang w:eastAsia="zh-CN"/>
        </w:rPr>
        <w:t>ZJJSKH-2026-MRTS</w:t>
      </w:r>
      <w:r>
        <w:rPr>
          <w:rFonts w:hint="eastAsia" w:ascii="黑体" w:hAnsi="黑体" w:eastAsia="黑体" w:cs="黑体"/>
          <w:color w:val="auto"/>
          <w:sz w:val="30"/>
          <w:szCs w:val="30"/>
          <w:highlight w:val="none"/>
        </w:rPr>
        <w:t>）</w:t>
      </w:r>
    </w:p>
    <w:p w14:paraId="14A79D6A">
      <w:pPr>
        <w:pStyle w:val="70"/>
        <w:snapToGrid w:val="0"/>
        <w:spacing w:line="440" w:lineRule="exact"/>
        <w:ind w:firstLine="0"/>
        <w:jc w:val="center"/>
        <w:rPr>
          <w:rFonts w:ascii="仿宋" w:hAnsi="仿宋" w:eastAsia="仿宋" w:cs="Times New Roman"/>
          <w:color w:val="auto"/>
          <w:sz w:val="28"/>
          <w:szCs w:val="28"/>
          <w:highlight w:val="none"/>
        </w:rPr>
      </w:pPr>
    </w:p>
    <w:p w14:paraId="641A0E19">
      <w:pPr>
        <w:pStyle w:val="70"/>
        <w:snapToGrid w:val="0"/>
        <w:spacing w:line="440" w:lineRule="exact"/>
        <w:ind w:firstLine="0"/>
        <w:jc w:val="center"/>
        <w:rPr>
          <w:rFonts w:ascii="仿宋" w:hAnsi="仿宋" w:eastAsia="仿宋" w:cs="Times New Roman"/>
          <w:color w:val="auto"/>
          <w:sz w:val="28"/>
          <w:szCs w:val="28"/>
          <w:highlight w:val="none"/>
        </w:rPr>
      </w:pPr>
    </w:p>
    <w:p w14:paraId="702DC10C">
      <w:pPr>
        <w:pStyle w:val="70"/>
        <w:snapToGrid w:val="0"/>
        <w:spacing w:line="440" w:lineRule="exact"/>
        <w:ind w:firstLine="0"/>
        <w:jc w:val="center"/>
        <w:rPr>
          <w:rFonts w:ascii="仿宋" w:hAnsi="仿宋" w:eastAsia="仿宋" w:cs="Times New Roman"/>
          <w:color w:val="auto"/>
          <w:sz w:val="28"/>
          <w:szCs w:val="28"/>
          <w:highlight w:val="none"/>
        </w:rPr>
      </w:pPr>
    </w:p>
    <w:p w14:paraId="596A5CD8">
      <w:pPr>
        <w:pStyle w:val="70"/>
        <w:snapToGrid w:val="0"/>
        <w:spacing w:line="440" w:lineRule="exact"/>
        <w:ind w:firstLine="0"/>
        <w:jc w:val="center"/>
        <w:rPr>
          <w:rFonts w:ascii="仿宋" w:hAnsi="仿宋" w:eastAsia="仿宋" w:cs="Times New Roman"/>
          <w:color w:val="auto"/>
          <w:sz w:val="28"/>
          <w:szCs w:val="28"/>
          <w:highlight w:val="none"/>
        </w:rPr>
      </w:pPr>
    </w:p>
    <w:p w14:paraId="4D4E4AE2">
      <w:pPr>
        <w:pStyle w:val="70"/>
        <w:snapToGrid w:val="0"/>
        <w:spacing w:line="440" w:lineRule="exact"/>
        <w:ind w:firstLine="0"/>
        <w:jc w:val="center"/>
        <w:rPr>
          <w:rFonts w:ascii="仿宋" w:hAnsi="仿宋" w:eastAsia="仿宋" w:cs="Times New Roman"/>
          <w:color w:val="auto"/>
          <w:sz w:val="28"/>
          <w:szCs w:val="28"/>
          <w:highlight w:val="none"/>
        </w:rPr>
      </w:pPr>
    </w:p>
    <w:p w14:paraId="68E47A6C">
      <w:pPr>
        <w:pStyle w:val="70"/>
        <w:snapToGrid w:val="0"/>
        <w:spacing w:line="440" w:lineRule="exact"/>
        <w:ind w:firstLine="0"/>
        <w:jc w:val="center"/>
        <w:rPr>
          <w:rFonts w:ascii="仿宋" w:hAnsi="仿宋" w:eastAsia="仿宋" w:cs="Times New Roman"/>
          <w:color w:val="auto"/>
          <w:sz w:val="28"/>
          <w:szCs w:val="28"/>
          <w:highlight w:val="none"/>
        </w:rPr>
      </w:pPr>
    </w:p>
    <w:p w14:paraId="4DC35A80">
      <w:pPr>
        <w:pStyle w:val="70"/>
        <w:snapToGrid w:val="0"/>
        <w:spacing w:line="440" w:lineRule="exact"/>
        <w:ind w:firstLine="0"/>
        <w:jc w:val="center"/>
        <w:rPr>
          <w:rFonts w:ascii="仿宋" w:hAnsi="仿宋" w:eastAsia="仿宋" w:cs="Times New Roman"/>
          <w:color w:val="auto"/>
          <w:sz w:val="28"/>
          <w:szCs w:val="28"/>
          <w:highlight w:val="none"/>
        </w:rPr>
      </w:pPr>
    </w:p>
    <w:p w14:paraId="2CC47675">
      <w:pPr>
        <w:pStyle w:val="2"/>
        <w:rPr>
          <w:color w:val="auto"/>
          <w:highlight w:val="none"/>
        </w:rPr>
      </w:pPr>
    </w:p>
    <w:p w14:paraId="2F513AEA">
      <w:pPr>
        <w:pStyle w:val="35"/>
        <w:rPr>
          <w:color w:val="auto"/>
          <w:highlight w:val="none"/>
        </w:rPr>
      </w:pPr>
    </w:p>
    <w:p w14:paraId="0FC43F50">
      <w:pPr>
        <w:pStyle w:val="2"/>
        <w:rPr>
          <w:color w:val="auto"/>
          <w:highlight w:val="none"/>
        </w:rPr>
      </w:pPr>
    </w:p>
    <w:p w14:paraId="5575D952">
      <w:pPr>
        <w:spacing w:line="360" w:lineRule="auto"/>
        <w:ind w:left="0" w:leftChars="0" w:firstLine="1238" w:firstLineChars="387"/>
        <w:rPr>
          <w:rFonts w:hint="eastAsia" w:ascii="黑体" w:hAnsi="新宋体" w:eastAsia="黑体" w:cs="Times New Roman"/>
          <w:color w:val="auto"/>
          <w:sz w:val="32"/>
          <w:szCs w:val="32"/>
          <w:highlight w:val="none"/>
          <w:lang w:eastAsia="zh-CN"/>
        </w:rPr>
      </w:pPr>
      <w:r>
        <w:rPr>
          <w:rFonts w:hint="eastAsia" w:ascii="黑体" w:hAnsi="新宋体" w:eastAsia="黑体" w:cs="黑体"/>
          <w:color w:val="auto"/>
          <w:sz w:val="32"/>
          <w:szCs w:val="32"/>
          <w:highlight w:val="none"/>
        </w:rPr>
        <w:t>采</w:t>
      </w:r>
      <w:r>
        <w:rPr>
          <w:rFonts w:hint="eastAsia" w:ascii="黑体" w:hAnsi="新宋体" w:eastAsia="黑体" w:cs="黑体"/>
          <w:color w:val="auto"/>
          <w:sz w:val="32"/>
          <w:szCs w:val="32"/>
          <w:highlight w:val="none"/>
          <w:lang w:val="en-US" w:eastAsia="zh-CN"/>
        </w:rPr>
        <w:t xml:space="preserve">   </w:t>
      </w:r>
      <w:r>
        <w:rPr>
          <w:rFonts w:hint="eastAsia" w:ascii="黑体" w:hAnsi="新宋体" w:eastAsia="黑体" w:cs="黑体"/>
          <w:color w:val="auto"/>
          <w:sz w:val="32"/>
          <w:szCs w:val="32"/>
          <w:highlight w:val="none"/>
        </w:rPr>
        <w:t>购</w:t>
      </w:r>
      <w:r>
        <w:rPr>
          <w:rFonts w:hint="eastAsia" w:ascii="黑体" w:hAnsi="新宋体" w:eastAsia="黑体" w:cs="黑体"/>
          <w:color w:val="auto"/>
          <w:sz w:val="32"/>
          <w:szCs w:val="32"/>
          <w:highlight w:val="none"/>
          <w:lang w:val="en-US" w:eastAsia="zh-CN"/>
        </w:rPr>
        <w:t xml:space="preserve">   </w:t>
      </w:r>
      <w:r>
        <w:rPr>
          <w:rFonts w:hint="eastAsia" w:ascii="黑体" w:hAnsi="新宋体" w:eastAsia="黑体" w:cs="黑体"/>
          <w:color w:val="auto"/>
          <w:sz w:val="32"/>
          <w:szCs w:val="32"/>
          <w:highlight w:val="none"/>
        </w:rPr>
        <w:t>人：</w:t>
      </w:r>
      <w:r>
        <w:rPr>
          <w:rFonts w:hint="eastAsia" w:ascii="黑体" w:hAnsi="宋体" w:eastAsia="黑体" w:cs="黑体"/>
          <w:color w:val="auto"/>
          <w:sz w:val="32"/>
          <w:szCs w:val="32"/>
          <w:highlight w:val="none"/>
          <w:lang w:eastAsia="zh-CN"/>
        </w:rPr>
        <w:t xml:space="preserve">开化县残疾人联合会 </w:t>
      </w:r>
    </w:p>
    <w:p w14:paraId="13901E39">
      <w:pPr>
        <w:spacing w:line="360" w:lineRule="auto"/>
        <w:jc w:val="center"/>
        <w:rPr>
          <w:rFonts w:hint="eastAsia" w:ascii="黑体" w:hAnsi="宋体" w:eastAsia="黑体" w:cs="Times New Roman"/>
          <w:color w:val="auto"/>
          <w:sz w:val="32"/>
          <w:szCs w:val="32"/>
          <w:highlight w:val="none"/>
          <w:lang w:eastAsia="zh-CN"/>
        </w:rPr>
      </w:pPr>
      <w:r>
        <w:rPr>
          <w:rFonts w:hint="eastAsia" w:ascii="黑体" w:hAnsi="新宋体" w:eastAsia="黑体" w:cs="黑体"/>
          <w:color w:val="auto"/>
          <w:sz w:val="32"/>
          <w:szCs w:val="32"/>
          <w:highlight w:val="none"/>
        </w:rPr>
        <w:t>采购代理机构：</w:t>
      </w:r>
      <w:r>
        <w:rPr>
          <w:rFonts w:hint="eastAsia" w:ascii="黑体" w:hAnsi="宋体" w:eastAsia="黑体" w:cs="黑体"/>
          <w:color w:val="auto"/>
          <w:sz w:val="32"/>
          <w:szCs w:val="32"/>
          <w:highlight w:val="none"/>
          <w:lang w:eastAsia="zh-CN"/>
        </w:rPr>
        <w:t>浙江金穗工程项目管理有限公司</w:t>
      </w:r>
    </w:p>
    <w:p w14:paraId="510217EB">
      <w:pPr>
        <w:spacing w:line="360" w:lineRule="auto"/>
        <w:jc w:val="center"/>
        <w:rPr>
          <w:rFonts w:ascii="黑体" w:hAnsi="宋体" w:eastAsia="黑体" w:cs="黑体"/>
          <w:color w:val="auto"/>
          <w:sz w:val="32"/>
          <w:szCs w:val="32"/>
          <w:highlight w:val="none"/>
        </w:rPr>
      </w:pPr>
      <w:r>
        <w:rPr>
          <w:rFonts w:hint="eastAsia" w:ascii="黑体" w:hAnsi="宋体" w:eastAsia="黑体" w:cs="黑体"/>
          <w:color w:val="auto"/>
          <w:sz w:val="32"/>
          <w:szCs w:val="32"/>
          <w:highlight w:val="none"/>
        </w:rPr>
        <w:t>二</w:t>
      </w:r>
      <w:r>
        <w:rPr>
          <w:rFonts w:hint="eastAsia" w:ascii="黑体" w:hAnsi="黑体" w:eastAsia="黑体" w:cs="黑体"/>
          <w:color w:val="auto"/>
          <w:sz w:val="32"/>
          <w:szCs w:val="32"/>
          <w:highlight w:val="none"/>
        </w:rPr>
        <w:t>○</w:t>
      </w:r>
      <w:r>
        <w:rPr>
          <w:rFonts w:hint="eastAsia" w:ascii="黑体" w:hAnsi="宋体" w:eastAsia="黑体" w:cs="黑体"/>
          <w:color w:val="auto"/>
          <w:sz w:val="32"/>
          <w:szCs w:val="32"/>
          <w:highlight w:val="none"/>
        </w:rPr>
        <w:t>二</w:t>
      </w:r>
      <w:r>
        <w:rPr>
          <w:rFonts w:hint="eastAsia" w:ascii="黑体" w:hAnsi="宋体" w:eastAsia="黑体" w:cs="黑体"/>
          <w:color w:val="auto"/>
          <w:sz w:val="32"/>
          <w:szCs w:val="32"/>
          <w:highlight w:val="none"/>
          <w:lang w:val="en-US" w:eastAsia="zh-CN"/>
        </w:rPr>
        <w:t>六</w:t>
      </w:r>
      <w:r>
        <w:rPr>
          <w:rFonts w:hint="eastAsia" w:ascii="黑体" w:hAnsi="宋体" w:eastAsia="黑体" w:cs="黑体"/>
          <w:color w:val="auto"/>
          <w:sz w:val="32"/>
          <w:szCs w:val="32"/>
          <w:highlight w:val="none"/>
        </w:rPr>
        <w:t>年</w:t>
      </w:r>
      <w:r>
        <w:rPr>
          <w:rFonts w:hint="eastAsia" w:ascii="黑体" w:hAnsi="宋体" w:eastAsia="黑体" w:cs="黑体"/>
          <w:color w:val="auto"/>
          <w:sz w:val="32"/>
          <w:szCs w:val="32"/>
          <w:highlight w:val="none"/>
          <w:lang w:val="en-US" w:eastAsia="zh-CN"/>
        </w:rPr>
        <w:t>四</w:t>
      </w:r>
      <w:r>
        <w:rPr>
          <w:rFonts w:hint="eastAsia" w:ascii="黑体" w:hAnsi="宋体" w:eastAsia="黑体" w:cs="黑体"/>
          <w:color w:val="auto"/>
          <w:sz w:val="32"/>
          <w:szCs w:val="32"/>
          <w:highlight w:val="none"/>
          <w:lang w:eastAsia="zh-CN"/>
        </w:rPr>
        <w:t>月</w:t>
      </w:r>
    </w:p>
    <w:p w14:paraId="44777AB9">
      <w:pPr>
        <w:spacing w:line="360" w:lineRule="auto"/>
        <w:jc w:val="center"/>
        <w:rPr>
          <w:rFonts w:ascii="黑体" w:hAnsi="黑体" w:eastAsia="黑体" w:cs="黑体"/>
          <w:color w:val="auto"/>
          <w:sz w:val="44"/>
          <w:szCs w:val="44"/>
          <w:highlight w:val="none"/>
        </w:rPr>
        <w:sectPr>
          <w:headerReference r:id="rId3" w:type="default"/>
          <w:footerReference r:id="rId4" w:type="default"/>
          <w:pgSz w:w="11906" w:h="16838"/>
          <w:pgMar w:top="1361" w:right="1361" w:bottom="1191" w:left="1361" w:header="850" w:footer="879" w:gutter="0"/>
          <w:pgBorders>
            <w:top w:val="none" w:sz="0" w:space="0"/>
            <w:left w:val="none" w:sz="0" w:space="0"/>
            <w:bottom w:val="none" w:sz="0" w:space="0"/>
            <w:right w:val="none" w:sz="0" w:space="0"/>
          </w:pgBorders>
          <w:pgNumType w:fmt="decimal" w:start="1"/>
          <w:cols w:space="0" w:num="1"/>
          <w:rtlGutter w:val="1"/>
          <w:docGrid w:type="lines" w:linePitch="312" w:charSpace="0"/>
        </w:sectPr>
      </w:pPr>
    </w:p>
    <w:p w14:paraId="26479D96">
      <w:pPr>
        <w:spacing w:line="360" w:lineRule="auto"/>
        <w:jc w:val="center"/>
        <w:rPr>
          <w:rFonts w:ascii="黑体" w:hAnsi="黑体" w:eastAsia="黑体" w:cs="Times New Roman"/>
          <w:color w:val="auto"/>
          <w:sz w:val="44"/>
          <w:szCs w:val="44"/>
          <w:highlight w:val="none"/>
        </w:rPr>
      </w:pPr>
      <w:r>
        <w:rPr>
          <w:rFonts w:hint="eastAsia" w:ascii="黑体" w:hAnsi="黑体" w:eastAsia="黑体" w:cs="黑体"/>
          <w:color w:val="auto"/>
          <w:sz w:val="44"/>
          <w:szCs w:val="44"/>
          <w:highlight w:val="none"/>
        </w:rPr>
        <w:t>目  录</w:t>
      </w:r>
    </w:p>
    <w:p w14:paraId="0575848B">
      <w:pPr>
        <w:pStyle w:val="70"/>
        <w:snapToGrid w:val="0"/>
        <w:spacing w:line="440" w:lineRule="exact"/>
        <w:ind w:firstLine="0"/>
        <w:rPr>
          <w:rFonts w:ascii="仿宋" w:hAnsi="仿宋" w:eastAsia="仿宋" w:cs="Times New Roman"/>
          <w:color w:val="auto"/>
          <w:sz w:val="32"/>
          <w:szCs w:val="32"/>
          <w:highlight w:val="none"/>
        </w:rPr>
      </w:pPr>
    </w:p>
    <w:p w14:paraId="5E07C5E3">
      <w:pPr>
        <w:pStyle w:val="26"/>
        <w:tabs>
          <w:tab w:val="right" w:leader="dot" w:pos="9071"/>
        </w:tabs>
        <w:spacing w:line="360" w:lineRule="auto"/>
        <w:rPr>
          <w:rFonts w:hint="eastAsia" w:ascii="宋体" w:hAnsi="宋体" w:cs="宋体"/>
          <w:color w:val="auto"/>
          <w:szCs w:val="21"/>
          <w:highlight w:val="none"/>
        </w:rPr>
      </w:pPr>
      <w:bookmarkStart w:id="0" w:name="_Toc504642661"/>
      <w:bookmarkStart w:id="1" w:name="_Toc433917258"/>
      <w:bookmarkStart w:id="2" w:name="_Toc333842542"/>
      <w:bookmarkStart w:id="3" w:name="_Toc326937528"/>
      <w:bookmarkStart w:id="4" w:name="_Toc393201705"/>
      <w:bookmarkStart w:id="5" w:name="_Toc358384686"/>
      <w:bookmarkStart w:id="6" w:name="_Toc479236970"/>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TOC \o "1-3" \h \z \u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_Toc7607 </w:instrText>
      </w:r>
      <w:r>
        <w:rPr>
          <w:rFonts w:hint="eastAsia" w:ascii="宋体" w:hAnsi="宋体" w:cs="宋体"/>
          <w:color w:val="auto"/>
          <w:szCs w:val="21"/>
          <w:highlight w:val="none"/>
        </w:rPr>
        <w:fldChar w:fldCharType="separate"/>
      </w:r>
      <w:r>
        <w:rPr>
          <w:rFonts w:hint="eastAsia" w:ascii="宋体" w:hAnsi="宋体" w:cs="宋体"/>
          <w:bCs/>
          <w:color w:val="auto"/>
          <w:szCs w:val="21"/>
          <w:highlight w:val="none"/>
        </w:rPr>
        <w:t>第一章 招标公告</w:t>
      </w:r>
      <w:r>
        <w:rPr>
          <w:rFonts w:hint="eastAsia" w:ascii="宋体" w:hAnsi="宋体" w:cs="宋体"/>
          <w:color w:val="auto"/>
          <w:szCs w:val="21"/>
          <w:highlight w:val="none"/>
        </w:rPr>
        <w:tab/>
      </w:r>
      <w:r>
        <w:rPr>
          <w:rFonts w:hint="eastAsia" w:ascii="宋体" w:hAnsi="宋体" w:cs="宋体"/>
          <w:color w:val="auto"/>
          <w:szCs w:val="21"/>
          <w:highlight w:val="none"/>
        </w:rPr>
        <w:t>3</w:t>
      </w:r>
      <w:r>
        <w:rPr>
          <w:rFonts w:hint="eastAsia" w:ascii="宋体" w:hAnsi="宋体" w:cs="宋体"/>
          <w:color w:val="auto"/>
          <w:szCs w:val="21"/>
          <w:highlight w:val="none"/>
        </w:rPr>
        <w:fldChar w:fldCharType="end"/>
      </w:r>
    </w:p>
    <w:p w14:paraId="0E9FBAA0">
      <w:pPr>
        <w:pStyle w:val="26"/>
        <w:tabs>
          <w:tab w:val="right" w:leader="dot" w:pos="9071"/>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_Toc32706 </w:instrText>
      </w:r>
      <w:r>
        <w:rPr>
          <w:rFonts w:hint="eastAsia" w:ascii="宋体" w:hAnsi="宋体" w:cs="宋体"/>
          <w:color w:val="auto"/>
          <w:szCs w:val="21"/>
          <w:highlight w:val="none"/>
        </w:rPr>
        <w:fldChar w:fldCharType="separate"/>
      </w:r>
      <w:r>
        <w:rPr>
          <w:rFonts w:hint="eastAsia" w:ascii="宋体" w:hAnsi="宋体" w:cs="宋体"/>
          <w:bCs/>
          <w:color w:val="auto"/>
          <w:szCs w:val="21"/>
          <w:highlight w:val="none"/>
        </w:rPr>
        <w:t>第二章 投标人须知及前附表</w:t>
      </w:r>
      <w:r>
        <w:rPr>
          <w:rFonts w:hint="eastAsia" w:ascii="宋体" w:hAnsi="宋体" w:cs="宋体"/>
          <w:color w:val="auto"/>
          <w:szCs w:val="21"/>
          <w:highlight w:val="none"/>
        </w:rPr>
        <w:tab/>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p>
    <w:p w14:paraId="284357B7">
      <w:pPr>
        <w:pStyle w:val="11"/>
        <w:tabs>
          <w:tab w:val="right" w:leader="dot" w:pos="9071"/>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_Toc21471 </w:instrText>
      </w:r>
      <w:r>
        <w:rPr>
          <w:rFonts w:hint="eastAsia" w:ascii="宋体" w:hAnsi="宋体" w:cs="宋体"/>
          <w:color w:val="auto"/>
          <w:szCs w:val="21"/>
          <w:highlight w:val="none"/>
        </w:rPr>
        <w:fldChar w:fldCharType="separate"/>
      </w:r>
      <w:r>
        <w:rPr>
          <w:rFonts w:hint="eastAsia" w:ascii="宋体" w:hAnsi="宋体" w:cs="宋体"/>
          <w:bCs/>
          <w:color w:val="auto"/>
          <w:kern w:val="0"/>
          <w:szCs w:val="21"/>
          <w:highlight w:val="none"/>
        </w:rPr>
        <w:t>A、投标人须知前附表</w:t>
      </w:r>
      <w:r>
        <w:rPr>
          <w:rFonts w:hint="eastAsia" w:ascii="宋体" w:hAnsi="宋体" w:cs="宋体"/>
          <w:color w:val="auto"/>
          <w:szCs w:val="21"/>
          <w:highlight w:val="none"/>
        </w:rPr>
        <w:tab/>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p>
    <w:p w14:paraId="71726670">
      <w:pPr>
        <w:pStyle w:val="11"/>
        <w:tabs>
          <w:tab w:val="right" w:leader="dot" w:pos="9071"/>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_Toc6074 </w:instrText>
      </w:r>
      <w:r>
        <w:rPr>
          <w:rFonts w:hint="eastAsia" w:ascii="宋体" w:hAnsi="宋体" w:cs="宋体"/>
          <w:color w:val="auto"/>
          <w:szCs w:val="21"/>
          <w:highlight w:val="none"/>
        </w:rPr>
        <w:fldChar w:fldCharType="separate"/>
      </w:r>
      <w:r>
        <w:rPr>
          <w:rFonts w:hint="eastAsia" w:ascii="宋体" w:hAnsi="宋体" w:cs="宋体"/>
          <w:bCs/>
          <w:color w:val="auto"/>
          <w:kern w:val="0"/>
          <w:szCs w:val="21"/>
          <w:highlight w:val="none"/>
        </w:rPr>
        <w:t>B、投标人须知</w:t>
      </w:r>
      <w:r>
        <w:rPr>
          <w:rFonts w:hint="eastAsia" w:ascii="宋体" w:hAnsi="宋体" w:cs="宋体"/>
          <w:color w:val="auto"/>
          <w:szCs w:val="21"/>
          <w:highlight w:val="none"/>
        </w:rPr>
        <w:tab/>
      </w:r>
      <w:r>
        <w:rPr>
          <w:rFonts w:hint="eastAsia" w:ascii="宋体" w:hAnsi="宋体" w:cs="宋体"/>
          <w:color w:val="auto"/>
          <w:szCs w:val="21"/>
          <w:highlight w:val="none"/>
        </w:rPr>
        <w:t>1</w:t>
      </w:r>
      <w:r>
        <w:rPr>
          <w:rFonts w:hint="eastAsia" w:ascii="宋体" w:hAnsi="宋体" w:cs="宋体"/>
          <w:color w:val="auto"/>
          <w:szCs w:val="21"/>
          <w:highlight w:val="none"/>
        </w:rPr>
        <w:fldChar w:fldCharType="end"/>
      </w:r>
      <w:r>
        <w:rPr>
          <w:rFonts w:hint="eastAsia" w:ascii="宋体" w:hAnsi="宋体" w:cs="宋体"/>
          <w:color w:val="auto"/>
          <w:szCs w:val="21"/>
          <w:highlight w:val="none"/>
        </w:rPr>
        <w:t>0</w:t>
      </w:r>
    </w:p>
    <w:p w14:paraId="4615BBC4">
      <w:pPr>
        <w:pStyle w:val="19"/>
        <w:tabs>
          <w:tab w:val="right" w:leader="dot" w:pos="9071"/>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_Toc16065 </w:instrText>
      </w:r>
      <w:r>
        <w:rPr>
          <w:rFonts w:hint="eastAsia" w:ascii="宋体" w:hAnsi="宋体" w:cs="宋体"/>
          <w:color w:val="auto"/>
          <w:szCs w:val="21"/>
          <w:highlight w:val="none"/>
        </w:rPr>
        <w:fldChar w:fldCharType="separate"/>
      </w:r>
      <w:r>
        <w:rPr>
          <w:rFonts w:hint="eastAsia" w:ascii="宋体" w:hAnsi="宋体" w:cs="宋体"/>
          <w:bCs/>
          <w:color w:val="auto"/>
          <w:kern w:val="0"/>
          <w:szCs w:val="21"/>
          <w:highlight w:val="none"/>
        </w:rPr>
        <w:t>一、总则</w:t>
      </w:r>
      <w:r>
        <w:rPr>
          <w:rFonts w:hint="eastAsia" w:ascii="宋体" w:hAnsi="宋体" w:cs="宋体"/>
          <w:color w:val="auto"/>
          <w:szCs w:val="21"/>
          <w:highlight w:val="none"/>
        </w:rPr>
        <w:tab/>
      </w:r>
      <w:r>
        <w:rPr>
          <w:rFonts w:hint="eastAsia" w:ascii="宋体" w:hAnsi="宋体" w:cs="宋体"/>
          <w:color w:val="auto"/>
          <w:szCs w:val="21"/>
          <w:highlight w:val="none"/>
        </w:rPr>
        <w:t>1</w:t>
      </w:r>
      <w:r>
        <w:rPr>
          <w:rFonts w:hint="eastAsia" w:ascii="宋体" w:hAnsi="宋体" w:cs="宋体"/>
          <w:color w:val="auto"/>
          <w:szCs w:val="21"/>
          <w:highlight w:val="none"/>
        </w:rPr>
        <w:fldChar w:fldCharType="end"/>
      </w:r>
      <w:r>
        <w:rPr>
          <w:rFonts w:hint="eastAsia" w:ascii="宋体" w:hAnsi="宋体" w:cs="宋体"/>
          <w:color w:val="auto"/>
          <w:szCs w:val="21"/>
          <w:highlight w:val="none"/>
        </w:rPr>
        <w:t>0</w:t>
      </w:r>
    </w:p>
    <w:p w14:paraId="2C0AEC3D">
      <w:pPr>
        <w:pStyle w:val="19"/>
        <w:tabs>
          <w:tab w:val="right" w:leader="dot" w:pos="9071"/>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_Toc6231 </w:instrText>
      </w:r>
      <w:r>
        <w:rPr>
          <w:rFonts w:hint="eastAsia" w:ascii="宋体" w:hAnsi="宋体" w:cs="宋体"/>
          <w:color w:val="auto"/>
          <w:szCs w:val="21"/>
          <w:highlight w:val="none"/>
        </w:rPr>
        <w:fldChar w:fldCharType="separate"/>
      </w:r>
      <w:r>
        <w:rPr>
          <w:rFonts w:hint="eastAsia" w:ascii="宋体" w:hAnsi="宋体" w:cs="宋体"/>
          <w:bCs/>
          <w:color w:val="auto"/>
          <w:kern w:val="0"/>
          <w:szCs w:val="21"/>
          <w:highlight w:val="none"/>
        </w:rPr>
        <w:t>二、招标文件</w:t>
      </w:r>
      <w:r>
        <w:rPr>
          <w:rFonts w:hint="eastAsia" w:ascii="宋体" w:hAnsi="宋体" w:cs="宋体"/>
          <w:color w:val="auto"/>
          <w:szCs w:val="21"/>
          <w:highlight w:val="none"/>
        </w:rPr>
        <w:tab/>
      </w:r>
      <w:r>
        <w:rPr>
          <w:rFonts w:hint="eastAsia" w:ascii="宋体" w:hAnsi="宋体" w:cs="宋体"/>
          <w:color w:val="auto"/>
          <w:szCs w:val="21"/>
          <w:highlight w:val="none"/>
        </w:rPr>
        <w:t>1</w:t>
      </w:r>
      <w:r>
        <w:rPr>
          <w:rFonts w:hint="eastAsia" w:ascii="宋体" w:hAnsi="宋体" w:cs="宋体"/>
          <w:color w:val="auto"/>
          <w:szCs w:val="21"/>
          <w:highlight w:val="none"/>
        </w:rPr>
        <w:fldChar w:fldCharType="end"/>
      </w:r>
      <w:r>
        <w:rPr>
          <w:rFonts w:hint="eastAsia" w:ascii="宋体" w:hAnsi="宋体" w:cs="宋体"/>
          <w:color w:val="auto"/>
          <w:szCs w:val="21"/>
          <w:highlight w:val="none"/>
        </w:rPr>
        <w:t>1</w:t>
      </w:r>
    </w:p>
    <w:p w14:paraId="4A8B79A0">
      <w:pPr>
        <w:pStyle w:val="19"/>
        <w:tabs>
          <w:tab w:val="right" w:leader="dot" w:pos="9071"/>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_Toc27714 </w:instrText>
      </w:r>
      <w:r>
        <w:rPr>
          <w:rFonts w:hint="eastAsia" w:ascii="宋体" w:hAnsi="宋体" w:cs="宋体"/>
          <w:color w:val="auto"/>
          <w:szCs w:val="21"/>
          <w:highlight w:val="none"/>
        </w:rPr>
        <w:fldChar w:fldCharType="separate"/>
      </w:r>
      <w:r>
        <w:rPr>
          <w:rFonts w:hint="eastAsia" w:ascii="宋体" w:hAnsi="宋体" w:cs="宋体"/>
          <w:bCs/>
          <w:color w:val="auto"/>
          <w:kern w:val="0"/>
          <w:szCs w:val="21"/>
          <w:highlight w:val="none"/>
        </w:rPr>
        <w:t>三、投标文件的编制</w:t>
      </w:r>
      <w:r>
        <w:rPr>
          <w:rFonts w:hint="eastAsia" w:ascii="宋体" w:hAnsi="宋体" w:cs="宋体"/>
          <w:color w:val="auto"/>
          <w:szCs w:val="21"/>
          <w:highlight w:val="none"/>
        </w:rPr>
        <w:tab/>
      </w:r>
      <w:r>
        <w:rPr>
          <w:rFonts w:hint="eastAsia" w:ascii="宋体" w:hAnsi="宋体" w:cs="宋体"/>
          <w:color w:val="auto"/>
          <w:szCs w:val="21"/>
          <w:highlight w:val="none"/>
        </w:rPr>
        <w:t>1</w:t>
      </w:r>
      <w:r>
        <w:rPr>
          <w:rFonts w:hint="eastAsia" w:ascii="宋体" w:hAnsi="宋体" w:cs="宋体"/>
          <w:color w:val="auto"/>
          <w:szCs w:val="21"/>
          <w:highlight w:val="none"/>
        </w:rPr>
        <w:fldChar w:fldCharType="end"/>
      </w:r>
      <w:r>
        <w:rPr>
          <w:rFonts w:hint="eastAsia" w:ascii="宋体" w:hAnsi="宋体" w:cs="宋体"/>
          <w:color w:val="auto"/>
          <w:szCs w:val="21"/>
          <w:highlight w:val="none"/>
        </w:rPr>
        <w:t>2</w:t>
      </w:r>
    </w:p>
    <w:p w14:paraId="37DDF4CE">
      <w:pPr>
        <w:pStyle w:val="19"/>
        <w:tabs>
          <w:tab w:val="right" w:leader="dot" w:pos="9071"/>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_Toc10346 </w:instrText>
      </w:r>
      <w:r>
        <w:rPr>
          <w:rFonts w:hint="eastAsia" w:ascii="宋体" w:hAnsi="宋体" w:cs="宋体"/>
          <w:color w:val="auto"/>
          <w:szCs w:val="21"/>
          <w:highlight w:val="none"/>
        </w:rPr>
        <w:fldChar w:fldCharType="separate"/>
      </w:r>
      <w:r>
        <w:rPr>
          <w:rFonts w:hint="eastAsia" w:ascii="宋体" w:hAnsi="宋体" w:cs="宋体"/>
          <w:bCs/>
          <w:color w:val="auto"/>
          <w:kern w:val="0"/>
          <w:szCs w:val="21"/>
          <w:highlight w:val="none"/>
        </w:rPr>
        <w:t>四、投标文件递交</w:t>
      </w:r>
      <w:r>
        <w:rPr>
          <w:rFonts w:hint="eastAsia" w:ascii="宋体" w:hAnsi="宋体" w:cs="宋体"/>
          <w:color w:val="auto"/>
          <w:szCs w:val="21"/>
          <w:highlight w:val="none"/>
        </w:rPr>
        <w:tab/>
      </w:r>
      <w:r>
        <w:rPr>
          <w:rFonts w:hint="eastAsia" w:ascii="宋体" w:hAnsi="宋体" w:cs="宋体"/>
          <w:color w:val="auto"/>
          <w:szCs w:val="21"/>
          <w:highlight w:val="none"/>
        </w:rPr>
        <w:t>1</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3</w:t>
      </w:r>
    </w:p>
    <w:p w14:paraId="16E397B4">
      <w:pPr>
        <w:pStyle w:val="19"/>
        <w:tabs>
          <w:tab w:val="right" w:leader="dot" w:pos="9071"/>
        </w:tabs>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_Toc32366 </w:instrText>
      </w:r>
      <w:r>
        <w:rPr>
          <w:rFonts w:hint="eastAsia" w:ascii="宋体" w:hAnsi="宋体" w:cs="宋体"/>
          <w:color w:val="auto"/>
          <w:szCs w:val="21"/>
          <w:highlight w:val="none"/>
        </w:rPr>
        <w:fldChar w:fldCharType="separate"/>
      </w:r>
      <w:r>
        <w:rPr>
          <w:rFonts w:hint="eastAsia" w:ascii="宋体" w:hAnsi="宋体" w:cs="宋体"/>
          <w:bCs/>
          <w:color w:val="auto"/>
          <w:kern w:val="0"/>
          <w:szCs w:val="21"/>
          <w:highlight w:val="none"/>
        </w:rPr>
        <w:t>五、开标、评标和定标</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4</w:t>
      </w:r>
    </w:p>
    <w:p w14:paraId="27ED4B3E">
      <w:pPr>
        <w:pStyle w:val="19"/>
        <w:tabs>
          <w:tab w:val="right" w:leader="dot" w:pos="9071"/>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_Toc1630 </w:instrText>
      </w:r>
      <w:r>
        <w:rPr>
          <w:rFonts w:hint="eastAsia" w:ascii="宋体" w:hAnsi="宋体" w:cs="宋体"/>
          <w:color w:val="auto"/>
          <w:szCs w:val="21"/>
          <w:highlight w:val="none"/>
        </w:rPr>
        <w:fldChar w:fldCharType="separate"/>
      </w:r>
      <w:r>
        <w:rPr>
          <w:rFonts w:hint="eastAsia" w:ascii="宋体" w:hAnsi="宋体" w:cs="宋体"/>
          <w:bCs/>
          <w:color w:val="auto"/>
          <w:kern w:val="0"/>
          <w:szCs w:val="21"/>
          <w:highlight w:val="none"/>
        </w:rPr>
        <w:t>六、合同授予</w:t>
      </w:r>
      <w:r>
        <w:rPr>
          <w:rFonts w:hint="eastAsia" w:ascii="宋体" w:hAnsi="宋体" w:cs="宋体"/>
          <w:color w:val="auto"/>
          <w:szCs w:val="21"/>
          <w:highlight w:val="none"/>
        </w:rPr>
        <w:tab/>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1</w:t>
      </w:r>
    </w:p>
    <w:p w14:paraId="7A7DAEEA">
      <w:pPr>
        <w:pStyle w:val="26"/>
        <w:tabs>
          <w:tab w:val="right" w:leader="dot" w:pos="9071"/>
        </w:tabs>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_Toc5189 </w:instrText>
      </w:r>
      <w:r>
        <w:rPr>
          <w:rFonts w:hint="eastAsia" w:ascii="宋体" w:hAnsi="宋体" w:cs="宋体"/>
          <w:color w:val="auto"/>
          <w:szCs w:val="21"/>
          <w:highlight w:val="none"/>
        </w:rPr>
        <w:fldChar w:fldCharType="separate"/>
      </w:r>
      <w:r>
        <w:rPr>
          <w:rFonts w:hint="eastAsia" w:ascii="宋体" w:hAnsi="宋体" w:cs="宋体"/>
          <w:bCs/>
          <w:color w:val="auto"/>
          <w:szCs w:val="21"/>
          <w:highlight w:val="none"/>
        </w:rPr>
        <w:t>第三章 主要合同条款</w:t>
      </w:r>
      <w:r>
        <w:rPr>
          <w:rFonts w:hint="eastAsia" w:ascii="宋体" w:hAnsi="宋体" w:cs="宋体"/>
          <w:color w:val="auto"/>
          <w:szCs w:val="21"/>
          <w:highlight w:val="none"/>
        </w:rPr>
        <w:tab/>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2</w:t>
      </w:r>
    </w:p>
    <w:p w14:paraId="12665E4C">
      <w:pPr>
        <w:pStyle w:val="26"/>
        <w:tabs>
          <w:tab w:val="right" w:leader="dot" w:pos="9071"/>
        </w:tabs>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_Toc31217 </w:instrText>
      </w:r>
      <w:r>
        <w:rPr>
          <w:rFonts w:hint="eastAsia" w:ascii="宋体" w:hAnsi="宋体" w:cs="宋体"/>
          <w:color w:val="auto"/>
          <w:szCs w:val="21"/>
          <w:highlight w:val="none"/>
        </w:rPr>
        <w:fldChar w:fldCharType="separate"/>
      </w:r>
      <w:r>
        <w:rPr>
          <w:rFonts w:hint="eastAsia" w:ascii="宋体" w:hAnsi="宋体" w:cs="宋体"/>
          <w:bCs/>
          <w:color w:val="auto"/>
          <w:szCs w:val="21"/>
          <w:highlight w:val="none"/>
        </w:rPr>
        <w:t>第四章 采购需求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33</w:t>
      </w:r>
    </w:p>
    <w:p w14:paraId="7D1B0CE4">
      <w:pPr>
        <w:pStyle w:val="26"/>
        <w:tabs>
          <w:tab w:val="right" w:leader="dot" w:pos="9071"/>
        </w:tabs>
        <w:spacing w:line="360" w:lineRule="auto"/>
        <w:rPr>
          <w:rFonts w:hint="eastAsia" w:ascii="仿宋" w:hAnsi="仿宋" w:eastAsia="宋体" w:cs="仿宋"/>
          <w:color w:val="auto"/>
          <w:sz w:val="24"/>
          <w:highlight w:val="none"/>
          <w:lang w:val="en-US" w:eastAsia="zh-CN"/>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_Toc14377 </w:instrText>
      </w:r>
      <w:r>
        <w:rPr>
          <w:rFonts w:hint="eastAsia" w:ascii="宋体" w:hAnsi="宋体" w:cs="宋体"/>
          <w:color w:val="auto"/>
          <w:szCs w:val="21"/>
          <w:highlight w:val="none"/>
        </w:rPr>
        <w:fldChar w:fldCharType="separate"/>
      </w:r>
      <w:r>
        <w:rPr>
          <w:rFonts w:hint="eastAsia" w:ascii="宋体" w:hAnsi="宋体" w:cs="宋体"/>
          <w:bCs/>
          <w:color w:val="auto"/>
          <w:kern w:val="0"/>
          <w:szCs w:val="21"/>
          <w:highlight w:val="none"/>
        </w:rPr>
        <w:t>第五章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38</w:t>
      </w:r>
    </w:p>
    <w:p w14:paraId="46E1CCC5">
      <w:pPr>
        <w:spacing w:line="360" w:lineRule="auto"/>
        <w:jc w:val="center"/>
        <w:outlineLvl w:val="0"/>
        <w:rPr>
          <w:rFonts w:ascii="黑体" w:hAnsi="宋体" w:eastAsia="黑体" w:cs="Times New Roman"/>
          <w:color w:val="auto"/>
          <w:sz w:val="32"/>
          <w:szCs w:val="32"/>
          <w:highlight w:val="none"/>
        </w:rPr>
      </w:pPr>
    </w:p>
    <w:p w14:paraId="34ADD6E8">
      <w:pPr>
        <w:bidi w:val="0"/>
        <w:rPr>
          <w:rFonts w:ascii="黑体" w:hAnsi="宋体" w:eastAsia="黑体" w:cs="Times New Roman"/>
          <w:color w:val="auto"/>
          <w:sz w:val="32"/>
          <w:szCs w:val="32"/>
          <w:highlight w:val="none"/>
        </w:rPr>
      </w:pPr>
    </w:p>
    <w:p w14:paraId="4ED7A8CB">
      <w:pPr>
        <w:keepNext w:val="0"/>
        <w:keepLines w:val="0"/>
        <w:pageBreakBefore w:val="0"/>
        <w:kinsoku/>
        <w:overflowPunct/>
        <w:topLinePunct w:val="0"/>
        <w:autoSpaceDE/>
        <w:autoSpaceDN/>
        <w:bidi w:val="0"/>
        <w:spacing w:line="440" w:lineRule="exact"/>
        <w:jc w:val="center"/>
        <w:textAlignment w:val="auto"/>
        <w:rPr>
          <w:rFonts w:ascii="黑体" w:hAnsi="宋体" w:eastAsia="黑体" w:cs="Times New Roman"/>
          <w:color w:val="auto"/>
          <w:sz w:val="32"/>
          <w:szCs w:val="32"/>
          <w:highlight w:val="none"/>
        </w:rPr>
      </w:pPr>
      <w:r>
        <w:rPr>
          <w:rFonts w:ascii="黑体" w:hAnsi="宋体" w:eastAsia="黑体" w:cs="Times New Roman"/>
          <w:color w:val="auto"/>
          <w:sz w:val="32"/>
          <w:szCs w:val="32"/>
          <w:highlight w:val="none"/>
        </w:rPr>
        <w:br w:type="page"/>
      </w:r>
      <w:bookmarkEnd w:id="0"/>
      <w:bookmarkStart w:id="7" w:name="_Toc26681"/>
    </w:p>
    <w:p w14:paraId="03D778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宋体" w:eastAsia="黑体" w:cs="Times New Roman"/>
          <w:color w:val="auto"/>
          <w:sz w:val="32"/>
          <w:szCs w:val="32"/>
          <w:highlight w:val="none"/>
        </w:rPr>
      </w:pPr>
    </w:p>
    <w:p w14:paraId="4E7DF054">
      <w:pPr>
        <w:keepNext w:val="0"/>
        <w:keepLines w:val="0"/>
        <w:pageBreakBefore w:val="0"/>
        <w:kinsoku/>
        <w:overflowPunct/>
        <w:topLinePunct w:val="0"/>
        <w:autoSpaceDE/>
        <w:autoSpaceDN/>
        <w:bidi w:val="0"/>
        <w:spacing w:line="440" w:lineRule="exact"/>
        <w:jc w:val="center"/>
        <w:textAlignment w:val="auto"/>
        <w:rPr>
          <w:rFonts w:hint="eastAsia" w:ascii="黑体" w:hAnsi="黑体" w:eastAsia="黑体" w:cs="黑体"/>
          <w:color w:val="auto"/>
          <w:sz w:val="36"/>
          <w:szCs w:val="36"/>
          <w:highlight w:val="none"/>
          <w:lang w:eastAsia="zh-CN"/>
        </w:rPr>
      </w:pPr>
      <w:r>
        <w:rPr>
          <w:rFonts w:hint="eastAsia" w:ascii="黑体" w:hAnsi="黑体" w:eastAsia="黑体" w:cs="黑体"/>
          <w:color w:val="auto"/>
          <w:kern w:val="0"/>
          <w:sz w:val="36"/>
          <w:szCs w:val="36"/>
          <w:highlight w:val="none"/>
        </w:rPr>
        <w:t xml:space="preserve">第一章 </w:t>
      </w:r>
      <w:bookmarkEnd w:id="7"/>
      <w:r>
        <w:rPr>
          <w:rFonts w:hint="eastAsia" w:ascii="黑体" w:hAnsi="黑体" w:eastAsia="黑体" w:cs="黑体"/>
          <w:color w:val="auto"/>
          <w:kern w:val="0"/>
          <w:sz w:val="36"/>
          <w:szCs w:val="36"/>
          <w:highlight w:val="none"/>
          <w:lang w:val="en-US" w:eastAsia="zh-CN"/>
        </w:rPr>
        <w:t>招标</w:t>
      </w:r>
      <w:r>
        <w:rPr>
          <w:rFonts w:hint="eastAsia" w:ascii="黑体" w:hAnsi="黑体" w:eastAsia="黑体" w:cs="黑体"/>
          <w:color w:val="auto"/>
          <w:kern w:val="0"/>
          <w:sz w:val="36"/>
          <w:szCs w:val="36"/>
          <w:highlight w:val="none"/>
          <w:lang w:eastAsia="zh-CN"/>
        </w:rPr>
        <w:t>公告</w:t>
      </w:r>
    </w:p>
    <w:p w14:paraId="0EA5B493">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spacing w:line="440" w:lineRule="exact"/>
        <w:ind w:firstLine="422" w:firstLineChars="200"/>
        <w:textAlignment w:val="auto"/>
        <w:rPr>
          <w:rFonts w:ascii="宋体" w:hAnsi="宋体" w:cs="宋体"/>
          <w:b/>
          <w:color w:val="auto"/>
          <w:highlight w:val="none"/>
        </w:rPr>
      </w:pPr>
      <w:r>
        <w:rPr>
          <w:rFonts w:hint="eastAsia" w:ascii="宋体" w:hAnsi="宋体" w:cs="宋体"/>
          <w:b/>
          <w:color w:val="auto"/>
          <w:highlight w:val="none"/>
        </w:rPr>
        <w:t>项目概况</w:t>
      </w:r>
    </w:p>
    <w:p w14:paraId="750F09D6">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spacing w:line="440" w:lineRule="exact"/>
        <w:ind w:firstLine="420" w:firstLineChars="200"/>
        <w:textAlignment w:val="auto"/>
        <w:rPr>
          <w:rFonts w:ascii="宋体" w:hAnsi="宋体" w:cs="宋体"/>
          <w:color w:val="auto"/>
          <w:highlight w:val="none"/>
        </w:rPr>
      </w:pPr>
      <w:r>
        <w:rPr>
          <w:rFonts w:hint="eastAsia" w:ascii="宋体" w:hAnsi="宋体" w:cs="宋体"/>
          <w:color w:val="auto"/>
          <w:highlight w:val="none"/>
          <w:lang w:val="en-US" w:eastAsia="zh-CN"/>
        </w:rPr>
        <w:t>浙江省第十二届残疾人运动会盲人跳绳比赛整体赛事执行服务</w:t>
      </w:r>
      <w:r>
        <w:rPr>
          <w:rFonts w:hint="eastAsia" w:ascii="宋体" w:hAnsi="宋体" w:cs="宋体"/>
          <w:color w:val="auto"/>
          <w:highlight w:val="none"/>
        </w:rPr>
        <w:t>的潜在供应商应在政采云平台（网址：https://login.zcygov.cn/login）或浙江政府采购网（http://zfcg.czt.zj.gov.cn获取</w:t>
      </w:r>
      <w:r>
        <w:rPr>
          <w:rFonts w:hint="eastAsia" w:ascii="宋体" w:hAnsi="宋体" w:cs="宋体"/>
          <w:color w:val="auto"/>
          <w:highlight w:val="none"/>
          <w:lang w:val="en-US" w:eastAsia="zh-CN"/>
        </w:rPr>
        <w:t>招标</w:t>
      </w:r>
      <w:r>
        <w:rPr>
          <w:rFonts w:hint="eastAsia" w:ascii="宋体" w:hAnsi="宋体" w:cs="宋体"/>
          <w:color w:val="auto"/>
          <w:highlight w:val="none"/>
        </w:rPr>
        <w:t>文件，并于</w:t>
      </w:r>
      <w:r>
        <w:rPr>
          <w:rFonts w:hint="eastAsia" w:ascii="宋体" w:hAnsi="宋体" w:cs="宋体"/>
          <w:color w:val="auto"/>
          <w:highlight w:val="none"/>
          <w:u w:val="single"/>
          <w:lang w:val="en-US" w:eastAsia="zh-CN"/>
        </w:rPr>
        <w:t>2026</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5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14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9 </w:t>
      </w:r>
      <w:r>
        <w:rPr>
          <w:rFonts w:hint="eastAsia" w:ascii="宋体" w:hAnsi="宋体" w:cs="宋体"/>
          <w:color w:val="auto"/>
          <w:highlight w:val="none"/>
        </w:rPr>
        <w:t>点</w:t>
      </w:r>
      <w:r>
        <w:rPr>
          <w:rFonts w:hint="eastAsia" w:ascii="宋体" w:hAnsi="宋体" w:cs="宋体"/>
          <w:color w:val="auto"/>
          <w:highlight w:val="none"/>
          <w:u w:val="single"/>
          <w:lang w:val="en-US" w:eastAsia="zh-CN"/>
        </w:rPr>
        <w:t xml:space="preserve"> 00 </w:t>
      </w:r>
      <w:r>
        <w:rPr>
          <w:rFonts w:hint="eastAsia" w:ascii="宋体" w:hAnsi="宋体" w:cs="宋体"/>
          <w:color w:val="auto"/>
          <w:highlight w:val="none"/>
        </w:rPr>
        <w:t>分（北京时间）前递交</w:t>
      </w:r>
      <w:r>
        <w:rPr>
          <w:rFonts w:hint="eastAsia" w:ascii="宋体" w:hAnsi="宋体" w:cs="宋体"/>
          <w:color w:val="auto"/>
          <w:highlight w:val="none"/>
          <w:lang w:val="en-US" w:eastAsia="zh-CN"/>
        </w:rPr>
        <w:t>投标</w:t>
      </w:r>
      <w:r>
        <w:rPr>
          <w:rFonts w:hint="eastAsia" w:ascii="宋体" w:hAnsi="宋体" w:cs="宋体"/>
          <w:color w:val="auto"/>
          <w:highlight w:val="none"/>
        </w:rPr>
        <w:t>文件。</w:t>
      </w:r>
    </w:p>
    <w:p w14:paraId="2BD475FA">
      <w:pPr>
        <w:keepNext w:val="0"/>
        <w:keepLines w:val="0"/>
        <w:pageBreakBefore w:val="0"/>
        <w:kinsoku/>
        <w:overflowPunct/>
        <w:topLinePunct w:val="0"/>
        <w:autoSpaceDE/>
        <w:autoSpaceDN/>
        <w:bidi w:val="0"/>
        <w:spacing w:line="440" w:lineRule="exact"/>
        <w:textAlignment w:val="auto"/>
        <w:rPr>
          <w:rFonts w:ascii="宋体" w:hAnsi="宋体" w:cs="宋体"/>
          <w:b/>
          <w:color w:val="auto"/>
          <w:highlight w:val="none"/>
        </w:rPr>
      </w:pPr>
      <w:r>
        <w:rPr>
          <w:rFonts w:hint="eastAsia" w:ascii="宋体" w:hAnsi="宋体" w:cs="宋体"/>
          <w:b/>
          <w:color w:val="auto"/>
          <w:highlight w:val="none"/>
        </w:rPr>
        <w:t>一、项目基本情况：</w:t>
      </w:r>
    </w:p>
    <w:p w14:paraId="08B11798">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rPr>
        <w:t>1.项目编号：</w:t>
      </w:r>
      <w:r>
        <w:rPr>
          <w:rFonts w:hint="eastAsia" w:ascii="宋体" w:hAnsi="宋体" w:cs="宋体"/>
          <w:color w:val="auto"/>
          <w:highlight w:val="none"/>
          <w:lang w:eastAsia="zh-CN"/>
        </w:rPr>
        <w:t>ZJJSKH-2026-MRTS</w:t>
      </w:r>
    </w:p>
    <w:p w14:paraId="489E06A4">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cs="宋体"/>
          <w:color w:val="auto"/>
          <w:highlight w:val="none"/>
          <w:u w:val="none"/>
          <w:lang w:eastAsia="zh-CN"/>
        </w:rPr>
      </w:pPr>
      <w:r>
        <w:rPr>
          <w:rFonts w:hint="eastAsia" w:ascii="宋体" w:hAnsi="宋体" w:cs="宋体"/>
          <w:color w:val="auto"/>
          <w:highlight w:val="none"/>
        </w:rPr>
        <w:t>2.项目名称：</w:t>
      </w:r>
      <w:r>
        <w:rPr>
          <w:rFonts w:hint="eastAsia" w:ascii="宋体" w:hAnsi="宋体" w:cs="宋体"/>
          <w:color w:val="auto"/>
          <w:highlight w:val="none"/>
          <w:u w:val="none"/>
          <w:lang w:eastAsia="zh-CN"/>
        </w:rPr>
        <w:t>浙江省第十二届残疾人运动会盲人跳绳比赛整体赛事执行服务</w:t>
      </w:r>
    </w:p>
    <w:p w14:paraId="49BB0254">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highlight w:val="none"/>
        </w:rPr>
        <w:t>3.预算金额：</w:t>
      </w:r>
      <w:r>
        <w:rPr>
          <w:rFonts w:hint="eastAsia" w:ascii="宋体" w:hAnsi="宋体" w:cs="宋体"/>
          <w:color w:val="auto"/>
          <w:kern w:val="0"/>
          <w:szCs w:val="21"/>
          <w:highlight w:val="none"/>
          <w:u w:val="single"/>
          <w:lang w:val="en-US" w:eastAsia="zh-CN"/>
        </w:rPr>
        <w:t>64.4487万元</w:t>
      </w:r>
    </w:p>
    <w:p w14:paraId="1E341024">
      <w:pPr>
        <w:keepNext w:val="0"/>
        <w:keepLines w:val="0"/>
        <w:pageBreakBefore w:val="0"/>
        <w:kinsoku/>
        <w:overflowPunct/>
        <w:topLinePunct w:val="0"/>
        <w:autoSpaceDE/>
        <w:autoSpaceDN/>
        <w:bidi w:val="0"/>
        <w:spacing w:line="44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val="en-US" w:eastAsia="zh-CN"/>
        </w:rPr>
        <w:t>最高限价：</w:t>
      </w:r>
      <w:r>
        <w:rPr>
          <w:rFonts w:hint="eastAsia" w:ascii="宋体" w:hAnsi="宋体" w:cs="宋体"/>
          <w:color w:val="auto"/>
          <w:highlight w:val="none"/>
          <w:u w:val="single"/>
          <w:lang w:val="en-US" w:eastAsia="zh-CN"/>
        </w:rPr>
        <w:t>64.4487万元</w:t>
      </w:r>
    </w:p>
    <w:p w14:paraId="28B84944">
      <w:pPr>
        <w:keepNext w:val="0"/>
        <w:keepLines w:val="0"/>
        <w:pageBreakBefore w:val="0"/>
        <w:kinsoku/>
        <w:overflowPunct/>
        <w:topLinePunct w:val="0"/>
        <w:autoSpaceDE/>
        <w:autoSpaceDN/>
        <w:bidi w:val="0"/>
        <w:spacing w:line="44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5.采购需求：</w:t>
      </w:r>
    </w:p>
    <w:tbl>
      <w:tblPr>
        <w:tblStyle w:val="38"/>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91"/>
        <w:gridCol w:w="2111"/>
        <w:gridCol w:w="955"/>
        <w:gridCol w:w="968"/>
        <w:gridCol w:w="3787"/>
        <w:gridCol w:w="730"/>
      </w:tblGrid>
      <w:tr w14:paraId="5134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991" w:type="dxa"/>
            <w:tcBorders>
              <w:top w:val="single" w:color="auto" w:sz="4" w:space="0"/>
              <w:left w:val="single" w:color="auto" w:sz="4" w:space="0"/>
              <w:bottom w:val="single" w:color="auto" w:sz="4" w:space="0"/>
              <w:right w:val="single" w:color="auto" w:sz="4" w:space="0"/>
              <w:tl2br w:val="nil"/>
              <w:tr2bl w:val="nil"/>
            </w:tcBorders>
            <w:noWrap/>
            <w:vAlign w:val="center"/>
          </w:tcPr>
          <w:p w14:paraId="61BBE8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highlight w:val="none"/>
              </w:rPr>
            </w:pPr>
            <w:r>
              <w:rPr>
                <w:rFonts w:hint="eastAsia" w:ascii="宋体" w:hAnsi="宋体" w:cs="宋体"/>
                <w:color w:val="auto"/>
                <w:highlight w:val="none"/>
              </w:rPr>
              <w:t>标项序号</w:t>
            </w:r>
          </w:p>
        </w:tc>
        <w:tc>
          <w:tcPr>
            <w:tcW w:w="2111" w:type="dxa"/>
            <w:tcBorders>
              <w:top w:val="single" w:color="auto" w:sz="4" w:space="0"/>
              <w:left w:val="single" w:color="auto" w:sz="4" w:space="0"/>
              <w:bottom w:val="single" w:color="auto" w:sz="4" w:space="0"/>
              <w:right w:val="single" w:color="auto" w:sz="4" w:space="0"/>
              <w:tl2br w:val="nil"/>
              <w:tr2bl w:val="nil"/>
            </w:tcBorders>
            <w:noWrap/>
            <w:vAlign w:val="center"/>
          </w:tcPr>
          <w:p w14:paraId="7513BF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highlight w:val="none"/>
              </w:rPr>
            </w:pPr>
            <w:r>
              <w:rPr>
                <w:rFonts w:hint="eastAsia" w:ascii="宋体" w:hAnsi="宋体" w:cs="宋体"/>
                <w:color w:val="auto"/>
                <w:highlight w:val="none"/>
              </w:rPr>
              <w:t>标项内容</w:t>
            </w:r>
          </w:p>
        </w:tc>
        <w:tc>
          <w:tcPr>
            <w:tcW w:w="955" w:type="dxa"/>
            <w:tcBorders>
              <w:top w:val="single" w:color="auto" w:sz="4" w:space="0"/>
              <w:left w:val="single" w:color="auto" w:sz="4" w:space="0"/>
              <w:bottom w:val="single" w:color="auto" w:sz="4" w:space="0"/>
              <w:right w:val="single" w:color="auto" w:sz="4" w:space="0"/>
              <w:tl2br w:val="nil"/>
              <w:tr2bl w:val="nil"/>
            </w:tcBorders>
            <w:noWrap/>
            <w:vAlign w:val="center"/>
          </w:tcPr>
          <w:p w14:paraId="45A2DC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highlight w:val="none"/>
              </w:rPr>
            </w:pPr>
            <w:r>
              <w:rPr>
                <w:rFonts w:hint="eastAsia" w:ascii="宋体" w:hAnsi="宋体" w:cs="宋体"/>
                <w:color w:val="auto"/>
                <w:highlight w:val="none"/>
              </w:rPr>
              <w:t>数量</w:t>
            </w:r>
          </w:p>
        </w:tc>
        <w:tc>
          <w:tcPr>
            <w:tcW w:w="968" w:type="dxa"/>
            <w:tcBorders>
              <w:top w:val="single" w:color="auto" w:sz="4" w:space="0"/>
              <w:left w:val="single" w:color="auto" w:sz="4" w:space="0"/>
              <w:bottom w:val="single" w:color="auto" w:sz="4" w:space="0"/>
              <w:right w:val="single" w:color="auto" w:sz="4" w:space="0"/>
              <w:tl2br w:val="nil"/>
              <w:tr2bl w:val="nil"/>
            </w:tcBorders>
            <w:noWrap/>
            <w:vAlign w:val="center"/>
          </w:tcPr>
          <w:p w14:paraId="4D9EC1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highlight w:val="none"/>
              </w:rPr>
            </w:pPr>
            <w:r>
              <w:rPr>
                <w:rFonts w:hint="eastAsia" w:ascii="宋体" w:hAnsi="宋体" w:cs="宋体"/>
                <w:color w:val="auto"/>
                <w:highlight w:val="none"/>
              </w:rPr>
              <w:t>单位</w:t>
            </w:r>
          </w:p>
        </w:tc>
        <w:tc>
          <w:tcPr>
            <w:tcW w:w="3787" w:type="dxa"/>
            <w:tcBorders>
              <w:top w:val="single" w:color="auto" w:sz="4" w:space="0"/>
              <w:left w:val="single" w:color="auto" w:sz="4" w:space="0"/>
              <w:bottom w:val="single" w:color="auto" w:sz="4" w:space="0"/>
              <w:right w:val="single" w:color="auto" w:sz="4" w:space="0"/>
              <w:tl2br w:val="nil"/>
              <w:tr2bl w:val="nil"/>
            </w:tcBorders>
            <w:noWrap/>
            <w:vAlign w:val="center"/>
          </w:tcPr>
          <w:p w14:paraId="119079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highlight w:val="none"/>
              </w:rPr>
            </w:pPr>
            <w:r>
              <w:rPr>
                <w:rFonts w:hint="eastAsia" w:ascii="宋体" w:hAnsi="宋体" w:cs="宋体"/>
                <w:color w:val="auto"/>
                <w:highlight w:val="none"/>
              </w:rPr>
              <w:t>简要技术要求、用途</w:t>
            </w:r>
          </w:p>
        </w:tc>
        <w:tc>
          <w:tcPr>
            <w:tcW w:w="730" w:type="dxa"/>
            <w:tcBorders>
              <w:top w:val="single" w:color="auto" w:sz="4" w:space="0"/>
              <w:left w:val="single" w:color="auto" w:sz="4" w:space="0"/>
              <w:bottom w:val="single" w:color="auto" w:sz="4" w:space="0"/>
              <w:right w:val="single" w:color="auto" w:sz="4" w:space="0"/>
              <w:tl2br w:val="nil"/>
              <w:tr2bl w:val="nil"/>
            </w:tcBorders>
            <w:noWrap/>
            <w:vAlign w:val="center"/>
          </w:tcPr>
          <w:p w14:paraId="0AA2C6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highlight w:val="none"/>
              </w:rPr>
            </w:pPr>
            <w:r>
              <w:rPr>
                <w:rFonts w:hint="eastAsia" w:ascii="宋体" w:hAnsi="宋体" w:cs="宋体"/>
                <w:color w:val="auto"/>
                <w:highlight w:val="none"/>
              </w:rPr>
              <w:t>备注</w:t>
            </w:r>
          </w:p>
        </w:tc>
      </w:tr>
      <w:tr w14:paraId="07D9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8" w:hRule="atLeast"/>
        </w:trPr>
        <w:tc>
          <w:tcPr>
            <w:tcW w:w="991" w:type="dxa"/>
            <w:tcBorders>
              <w:top w:val="single" w:color="auto" w:sz="4" w:space="0"/>
              <w:left w:val="single" w:color="auto" w:sz="4" w:space="0"/>
              <w:bottom w:val="single" w:color="auto" w:sz="4" w:space="0"/>
              <w:right w:val="single" w:color="auto" w:sz="4" w:space="0"/>
              <w:tl2br w:val="nil"/>
              <w:tr2bl w:val="nil"/>
            </w:tcBorders>
            <w:noWrap/>
            <w:vAlign w:val="center"/>
          </w:tcPr>
          <w:p w14:paraId="3394CD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highlight w:val="none"/>
              </w:rPr>
            </w:pPr>
            <w:bookmarkStart w:id="8" w:name="B10_序号"/>
            <w:r>
              <w:rPr>
                <w:rFonts w:hint="eastAsia" w:ascii="宋体" w:hAnsi="宋体" w:cs="宋体"/>
                <w:color w:val="auto"/>
                <w:highlight w:val="none"/>
              </w:rPr>
              <w:t>1</w:t>
            </w:r>
            <w:bookmarkEnd w:id="8"/>
          </w:p>
        </w:tc>
        <w:tc>
          <w:tcPr>
            <w:tcW w:w="2111" w:type="dxa"/>
            <w:tcBorders>
              <w:top w:val="single" w:color="auto" w:sz="4" w:space="0"/>
              <w:left w:val="single" w:color="auto" w:sz="4" w:space="0"/>
              <w:bottom w:val="single" w:color="auto" w:sz="4" w:space="0"/>
              <w:right w:val="single" w:color="auto" w:sz="4" w:space="0"/>
              <w:tl2br w:val="nil"/>
              <w:tr2bl w:val="nil"/>
            </w:tcBorders>
            <w:noWrap/>
            <w:vAlign w:val="center"/>
          </w:tcPr>
          <w:p w14:paraId="7E228F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u w:val="none"/>
                <w:lang w:eastAsia="zh-CN"/>
              </w:rPr>
              <w:t>浙江省第十二届残疾人运动会盲人跳绳比赛整体赛事执行服务</w:t>
            </w:r>
          </w:p>
        </w:tc>
        <w:tc>
          <w:tcPr>
            <w:tcW w:w="955" w:type="dxa"/>
            <w:tcBorders>
              <w:top w:val="single" w:color="auto" w:sz="4" w:space="0"/>
              <w:left w:val="single" w:color="auto" w:sz="4" w:space="0"/>
              <w:bottom w:val="single" w:color="auto" w:sz="4" w:space="0"/>
              <w:right w:val="single" w:color="auto" w:sz="4" w:space="0"/>
              <w:tl2br w:val="nil"/>
              <w:tr2bl w:val="nil"/>
            </w:tcBorders>
            <w:noWrap/>
            <w:vAlign w:val="center"/>
          </w:tcPr>
          <w:p w14:paraId="241B28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highlight w:val="none"/>
              </w:rPr>
            </w:pPr>
            <w:r>
              <w:rPr>
                <w:rFonts w:hint="eastAsia" w:ascii="宋体" w:hAnsi="宋体" w:cs="宋体"/>
                <w:color w:val="auto"/>
                <w:highlight w:val="none"/>
              </w:rPr>
              <w:t>1</w:t>
            </w:r>
          </w:p>
        </w:tc>
        <w:tc>
          <w:tcPr>
            <w:tcW w:w="968" w:type="dxa"/>
            <w:tcBorders>
              <w:top w:val="single" w:color="auto" w:sz="4" w:space="0"/>
              <w:left w:val="single" w:color="auto" w:sz="4" w:space="0"/>
              <w:bottom w:val="single" w:color="auto" w:sz="4" w:space="0"/>
              <w:right w:val="single" w:color="auto" w:sz="4" w:space="0"/>
              <w:tl2br w:val="nil"/>
              <w:tr2bl w:val="nil"/>
            </w:tcBorders>
            <w:noWrap/>
            <w:vAlign w:val="center"/>
          </w:tcPr>
          <w:p w14:paraId="53F4D7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kern w:val="21"/>
                <w:highlight w:val="none"/>
              </w:rPr>
            </w:pPr>
            <w:r>
              <w:rPr>
                <w:rFonts w:hint="eastAsia" w:ascii="宋体" w:hAnsi="宋体" w:cs="宋体"/>
                <w:color w:val="auto"/>
                <w:kern w:val="21"/>
                <w:szCs w:val="24"/>
                <w:highlight w:val="none"/>
              </w:rPr>
              <w:t>项</w:t>
            </w:r>
          </w:p>
        </w:tc>
        <w:tc>
          <w:tcPr>
            <w:tcW w:w="3787" w:type="dxa"/>
            <w:tcBorders>
              <w:top w:val="single" w:color="auto" w:sz="4" w:space="0"/>
              <w:left w:val="single" w:color="auto" w:sz="4" w:space="0"/>
              <w:bottom w:val="single" w:color="auto" w:sz="4" w:space="0"/>
              <w:right w:val="single" w:color="auto" w:sz="4" w:space="0"/>
              <w:tl2br w:val="nil"/>
              <w:tr2bl w:val="nil"/>
            </w:tcBorders>
            <w:noWrap/>
            <w:vAlign w:val="center"/>
          </w:tcPr>
          <w:p w14:paraId="778919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highlight w:val="none"/>
                <w:lang w:eastAsia="zh-CN"/>
              </w:rPr>
            </w:pPr>
            <w:r>
              <w:rPr>
                <w:rFonts w:hint="eastAsia" w:asciiTheme="minorEastAsia" w:hAnsiTheme="minorEastAsia" w:eastAsiaTheme="minorEastAsia" w:cstheme="minorEastAsia"/>
                <w:bCs/>
                <w:color w:val="auto"/>
                <w:highlight w:val="none"/>
                <w:shd w:val="clear" w:color="auto" w:fill="FFFFFF"/>
              </w:rPr>
              <w:t>详见第</w:t>
            </w:r>
            <w:r>
              <w:rPr>
                <w:rFonts w:hint="eastAsia" w:asciiTheme="minorEastAsia" w:hAnsiTheme="minorEastAsia" w:eastAsiaTheme="minorEastAsia" w:cstheme="minorEastAsia"/>
                <w:bCs/>
                <w:color w:val="auto"/>
                <w:highlight w:val="none"/>
                <w:shd w:val="clear" w:color="auto" w:fill="FFFFFF"/>
                <w:lang w:val="en-US" w:eastAsia="zh-CN"/>
              </w:rPr>
              <w:t>四</w:t>
            </w:r>
            <w:r>
              <w:rPr>
                <w:rFonts w:hint="eastAsia" w:asciiTheme="minorEastAsia" w:hAnsiTheme="minorEastAsia" w:eastAsiaTheme="minorEastAsia" w:cstheme="minorEastAsia"/>
                <w:bCs/>
                <w:color w:val="auto"/>
                <w:highlight w:val="none"/>
                <w:shd w:val="clear" w:color="auto" w:fill="FFFFFF"/>
              </w:rPr>
              <w:t>章《采购需求》</w:t>
            </w:r>
          </w:p>
        </w:tc>
        <w:tc>
          <w:tcPr>
            <w:tcW w:w="730" w:type="dxa"/>
            <w:tcBorders>
              <w:top w:val="single" w:color="auto" w:sz="4" w:space="0"/>
              <w:left w:val="single" w:color="auto" w:sz="4" w:space="0"/>
              <w:bottom w:val="single" w:color="auto" w:sz="4" w:space="0"/>
              <w:right w:val="single" w:color="auto" w:sz="4" w:space="0"/>
              <w:tl2br w:val="nil"/>
              <w:tr2bl w:val="nil"/>
            </w:tcBorders>
            <w:noWrap/>
            <w:vAlign w:val="center"/>
          </w:tcPr>
          <w:p w14:paraId="655DA2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highlight w:val="none"/>
              </w:rPr>
            </w:pPr>
            <w:bookmarkStart w:id="9" w:name="B15_备注"/>
            <w:bookmarkEnd w:id="9"/>
          </w:p>
        </w:tc>
      </w:tr>
    </w:tbl>
    <w:p w14:paraId="4FA20FCF">
      <w:pPr>
        <w:keepNext w:val="0"/>
        <w:keepLines w:val="0"/>
        <w:pageBreakBefore w:val="0"/>
        <w:kinsoku/>
        <w:overflowPunct/>
        <w:topLinePunct w:val="0"/>
        <w:autoSpaceDE/>
        <w:autoSpaceDN/>
        <w:bidi w:val="0"/>
        <w:spacing w:line="44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lang w:eastAsia="zh-CN"/>
        </w:rPr>
        <w:t>合同履行期限</w:t>
      </w:r>
      <w:r>
        <w:rPr>
          <w:rFonts w:hint="eastAsia" w:ascii="宋体" w:hAnsi="宋体" w:cs="宋体"/>
          <w:color w:val="auto"/>
          <w:szCs w:val="21"/>
          <w:highlight w:val="none"/>
          <w:lang w:val="en-US" w:eastAsia="zh-CN"/>
        </w:rPr>
        <w:t>：</w:t>
      </w:r>
      <w:r>
        <w:rPr>
          <w:rFonts w:hint="eastAsia" w:ascii="宋体" w:hAnsi="宋体" w:cs="宋体"/>
          <w:color w:val="auto"/>
          <w:highlight w:val="none"/>
          <w:lang w:val="en-US" w:eastAsia="zh-CN"/>
        </w:rPr>
        <w:t>自合同签订起至所有赛事活动结束，所有人员返程结束。但根据合同约定提前解除或终止的除外。</w:t>
      </w:r>
    </w:p>
    <w:p w14:paraId="3C065D8D">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7.本项目不接受联合体</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lang w:val="en-US" w:eastAsia="zh-CN"/>
        </w:rPr>
        <w:t>。</w:t>
      </w:r>
    </w:p>
    <w:p w14:paraId="1E9C2DC9">
      <w:pPr>
        <w:pStyle w:val="20"/>
        <w:keepNext w:val="0"/>
        <w:keepLines w:val="0"/>
        <w:pageBreakBefore w:val="0"/>
        <w:kinsoku/>
        <w:overflowPunct/>
        <w:topLinePunct w:val="0"/>
        <w:autoSpaceDE/>
        <w:autoSpaceDN/>
        <w:bidi w:val="0"/>
        <w:spacing w:line="440" w:lineRule="exact"/>
        <w:textAlignment w:val="auto"/>
        <w:rPr>
          <w:rFonts w:hAnsi="宋体"/>
          <w:b/>
          <w:color w:val="auto"/>
          <w:highlight w:val="none"/>
        </w:rPr>
      </w:pPr>
      <w:r>
        <w:rPr>
          <w:rFonts w:hint="eastAsia" w:hAnsi="宋体"/>
          <w:b/>
          <w:color w:val="auto"/>
          <w:highlight w:val="none"/>
        </w:rPr>
        <w:t>二、</w:t>
      </w:r>
      <w:r>
        <w:rPr>
          <w:rFonts w:hint="eastAsia" w:hAnsi="宋体" w:cs="宋体"/>
          <w:b/>
          <w:bCs/>
          <w:color w:val="auto"/>
          <w:szCs w:val="21"/>
          <w:highlight w:val="none"/>
          <w:lang w:eastAsia="zh-CN"/>
        </w:rPr>
        <w:t>投标</w:t>
      </w:r>
      <w:r>
        <w:rPr>
          <w:rFonts w:hint="eastAsia" w:hAnsi="宋体" w:cs="宋体"/>
          <w:b/>
          <w:color w:val="auto"/>
          <w:szCs w:val="21"/>
          <w:highlight w:val="none"/>
        </w:rPr>
        <w:t>人资格要求：</w:t>
      </w:r>
    </w:p>
    <w:p w14:paraId="5A8F5D11">
      <w:pPr>
        <w:keepNext w:val="0"/>
        <w:keepLines w:val="0"/>
        <w:pageBreakBefore w:val="0"/>
        <w:kinsoku/>
        <w:overflowPunct/>
        <w:topLinePunct w:val="0"/>
        <w:autoSpaceDE/>
        <w:autoSpaceDN/>
        <w:bidi w:val="0"/>
        <w:spacing w:line="44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1.满足《中华人民共和国政府采购法》第二十二条规定；</w:t>
      </w:r>
    </w:p>
    <w:p w14:paraId="7F479412">
      <w:pPr>
        <w:keepNext w:val="0"/>
        <w:keepLines w:val="0"/>
        <w:pageBreakBefore w:val="0"/>
        <w:kinsoku/>
        <w:overflowPunct/>
        <w:topLinePunct w:val="0"/>
        <w:autoSpaceDE/>
        <w:autoSpaceDN/>
        <w:bidi w:val="0"/>
        <w:spacing w:line="44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2.必须为未被列入“信用中国”网站(www.creditchina.gov.cn)、中国政府采购网(www.ccgp.gov.cn)渠道信用记录失信被执行人、重大税收违法案件当事人名单、政府采购严重违法失信行为记录名单的</w:t>
      </w:r>
      <w:r>
        <w:rPr>
          <w:rFonts w:hint="eastAsia" w:ascii="宋体" w:hAnsi="宋体" w:cs="宋体"/>
          <w:color w:val="auto"/>
          <w:highlight w:val="none"/>
          <w:lang w:eastAsia="zh-CN"/>
        </w:rPr>
        <w:t>投标</w:t>
      </w:r>
      <w:r>
        <w:rPr>
          <w:rFonts w:hint="eastAsia" w:ascii="宋体" w:hAnsi="宋体" w:cs="宋体"/>
          <w:color w:val="auto"/>
          <w:highlight w:val="none"/>
        </w:rPr>
        <w:t>人；</w:t>
      </w:r>
    </w:p>
    <w:p w14:paraId="1A83D300">
      <w:pPr>
        <w:keepNext w:val="0"/>
        <w:keepLines w:val="0"/>
        <w:pageBreakBefore w:val="0"/>
        <w:kinsoku/>
        <w:overflowPunct/>
        <w:topLinePunct w:val="0"/>
        <w:autoSpaceDE/>
        <w:autoSpaceDN/>
        <w:bidi w:val="0"/>
        <w:spacing w:line="44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3.落实政府采购政策需满足的资格要求：</w:t>
      </w:r>
      <w:r>
        <w:rPr>
          <w:rFonts w:hint="eastAsia" w:ascii="宋体" w:hAnsi="宋体" w:cs="宋体"/>
          <w:color w:val="auto"/>
          <w:sz w:val="21"/>
          <w:szCs w:val="21"/>
          <w:highlight w:val="none"/>
          <w:u w:val="single"/>
          <w:lang w:val="en-US" w:eastAsia="zh-CN"/>
        </w:rPr>
        <w:t>本项目专门面向中小企业采购</w:t>
      </w:r>
      <w:r>
        <w:rPr>
          <w:rFonts w:hint="eastAsia" w:ascii="宋体" w:hAnsi="宋体" w:cs="宋体"/>
          <w:color w:val="auto"/>
          <w:sz w:val="21"/>
          <w:szCs w:val="21"/>
          <w:highlight w:val="none"/>
          <w:u w:val="none"/>
          <w:lang w:eastAsia="zh-CN"/>
        </w:rPr>
        <w:t>；</w:t>
      </w:r>
    </w:p>
    <w:p w14:paraId="4745FA3A">
      <w:pPr>
        <w:keepNext w:val="0"/>
        <w:keepLines w:val="0"/>
        <w:pageBreakBefore w:val="0"/>
        <w:numPr>
          <w:ilvl w:val="0"/>
          <w:numId w:val="0"/>
        </w:numPr>
        <w:kinsoku/>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本项目的特定资格要求：</w:t>
      </w:r>
      <w:r>
        <w:rPr>
          <w:rFonts w:hint="eastAsia" w:ascii="宋体" w:hAnsi="宋体" w:cs="宋体"/>
          <w:color w:val="auto"/>
          <w:highlight w:val="none"/>
          <w:u w:val="single"/>
          <w:lang w:val="en-US" w:eastAsia="zh-CN"/>
        </w:rPr>
        <w:t xml:space="preserve"> 无</w:t>
      </w:r>
      <w:r>
        <w:rPr>
          <w:rFonts w:hint="eastAsia" w:ascii="宋体" w:hAnsi="宋体" w:cs="宋体"/>
          <w:color w:val="auto"/>
          <w:highlight w:val="none"/>
          <w:lang w:val="en-US" w:eastAsia="zh-CN"/>
        </w:rPr>
        <w:t>。</w:t>
      </w:r>
    </w:p>
    <w:p w14:paraId="0C2FE152">
      <w:pPr>
        <w:pStyle w:val="32"/>
        <w:keepNext w:val="0"/>
        <w:keepLines w:val="0"/>
        <w:pageBreakBefore w:val="0"/>
        <w:kinsoku/>
        <w:overflowPunct/>
        <w:topLinePunct w:val="0"/>
        <w:autoSpaceDE/>
        <w:autoSpaceDN/>
        <w:bidi w:val="0"/>
        <w:spacing w:beforeAutospacing="0" w:afterAutospacing="0" w:line="440" w:lineRule="exact"/>
        <w:textAlignment w:val="auto"/>
        <w:rPr>
          <w:rFonts w:ascii="宋体" w:hAnsi="宋体" w:cs="宋体"/>
          <w:color w:val="auto"/>
          <w:sz w:val="21"/>
          <w:szCs w:val="21"/>
          <w:highlight w:val="none"/>
        </w:rPr>
      </w:pPr>
      <w:r>
        <w:rPr>
          <w:rFonts w:hint="eastAsia" w:ascii="宋体" w:hAnsi="宋体" w:cs="宋体"/>
          <w:b/>
          <w:color w:val="auto"/>
          <w:sz w:val="21"/>
          <w:szCs w:val="21"/>
          <w:highlight w:val="none"/>
        </w:rPr>
        <w:t>三、获取</w:t>
      </w:r>
      <w:r>
        <w:rPr>
          <w:rFonts w:hint="eastAsia" w:ascii="宋体" w:hAnsi="宋体" w:cs="宋体"/>
          <w:b/>
          <w:color w:val="auto"/>
          <w:sz w:val="21"/>
          <w:szCs w:val="21"/>
          <w:highlight w:val="none"/>
          <w:lang w:val="en-US" w:eastAsia="zh-CN"/>
        </w:rPr>
        <w:t>招标</w:t>
      </w:r>
      <w:r>
        <w:rPr>
          <w:rFonts w:hint="eastAsia" w:ascii="宋体" w:hAnsi="宋体" w:cs="宋体"/>
          <w:b/>
          <w:color w:val="auto"/>
          <w:sz w:val="21"/>
          <w:szCs w:val="21"/>
          <w:highlight w:val="none"/>
        </w:rPr>
        <w:t>文件</w:t>
      </w:r>
      <w:r>
        <w:rPr>
          <w:rFonts w:hint="eastAsia" w:ascii="宋体" w:hAnsi="宋体" w:cs="宋体"/>
          <w:b/>
          <w:color w:val="auto"/>
          <w:sz w:val="21"/>
          <w:szCs w:val="21"/>
          <w:highlight w:val="none"/>
          <w:lang w:val="en-US" w:eastAsia="zh-CN"/>
        </w:rPr>
        <w:t>方式</w:t>
      </w:r>
      <w:r>
        <w:rPr>
          <w:rFonts w:hint="eastAsia" w:ascii="宋体" w:hAnsi="宋体" w:cs="宋体"/>
          <w:b/>
          <w:color w:val="auto"/>
          <w:sz w:val="21"/>
          <w:szCs w:val="21"/>
          <w:highlight w:val="none"/>
        </w:rPr>
        <w:t>：</w:t>
      </w:r>
    </w:p>
    <w:p w14:paraId="78EC3201">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时间：</w:t>
      </w:r>
      <w:r>
        <w:rPr>
          <w:rFonts w:hint="eastAsia" w:ascii="宋体" w:hAnsi="宋体" w:cs="宋体"/>
          <w:color w:val="auto"/>
          <w:highlight w:val="none"/>
          <w:u w:val="single"/>
        </w:rPr>
        <w:t xml:space="preserve"> / </w:t>
      </w:r>
      <w:r>
        <w:rPr>
          <w:rFonts w:hint="eastAsia" w:ascii="宋体" w:hAnsi="宋体" w:cs="宋体"/>
          <w:color w:val="auto"/>
          <w:highlight w:val="none"/>
        </w:rPr>
        <w:t>至</w:t>
      </w:r>
      <w:r>
        <w:rPr>
          <w:rFonts w:hint="eastAsia" w:ascii="宋体" w:hAnsi="宋体" w:cs="宋体"/>
          <w:color w:val="auto"/>
          <w:highlight w:val="none"/>
          <w:u w:val="single"/>
          <w:lang w:val="en-US" w:eastAsia="zh-CN"/>
        </w:rPr>
        <w:t>2026</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5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14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9:00 </w:t>
      </w:r>
      <w:r>
        <w:rPr>
          <w:rFonts w:hint="eastAsia" w:ascii="宋体" w:hAnsi="宋体" w:cs="宋体"/>
          <w:color w:val="auto"/>
          <w:highlight w:val="none"/>
        </w:rPr>
        <w:t>时（北京时间）</w:t>
      </w:r>
    </w:p>
    <w:p w14:paraId="54972D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地点：政采云平台（网址：</w:t>
      </w:r>
      <w:r>
        <w:rPr>
          <w:color w:val="auto"/>
          <w:highlight w:val="none"/>
        </w:rPr>
        <w:fldChar w:fldCharType="begin"/>
      </w:r>
      <w:r>
        <w:rPr>
          <w:color w:val="auto"/>
          <w:highlight w:val="none"/>
        </w:rPr>
        <w:instrText xml:space="preserve"> HYPERLINK "https://login.zcygov.cn/login）获取采购文件（(不是正式供应商不能获取采购文件)）。" </w:instrText>
      </w:r>
      <w:r>
        <w:rPr>
          <w:color w:val="auto"/>
          <w:highlight w:val="none"/>
        </w:rPr>
        <w:fldChar w:fldCharType="separate"/>
      </w:r>
      <w:r>
        <w:rPr>
          <w:rStyle w:val="48"/>
          <w:rFonts w:hint="eastAsia" w:ascii="宋体" w:hAnsi="宋体" w:cs="宋体"/>
          <w:color w:val="auto"/>
          <w:highlight w:val="none"/>
          <w:u w:val="none"/>
        </w:rPr>
        <w:t>https://login.zcygov.cn/login）、</w:t>
      </w:r>
      <w:r>
        <w:rPr>
          <w:rStyle w:val="48"/>
          <w:rFonts w:hint="eastAsia" w:ascii="宋体" w:hAnsi="宋体" w:cs="宋体"/>
          <w:color w:val="auto"/>
          <w:highlight w:val="none"/>
          <w:u w:val="none"/>
        </w:rPr>
        <w:fldChar w:fldCharType="end"/>
      </w:r>
      <w:r>
        <w:rPr>
          <w:rFonts w:hint="eastAsia" w:ascii="宋体" w:hAnsi="宋体" w:cs="宋体"/>
          <w:color w:val="auto"/>
          <w:highlight w:val="none"/>
        </w:rPr>
        <w:t>浙江政府采购网（http://zfcg.czt.zj.gov.cn/）</w:t>
      </w:r>
      <w:r>
        <w:rPr>
          <w:rFonts w:hint="eastAsia" w:ascii="宋体" w:hAnsi="宋体" w:cs="宋体"/>
          <w:color w:val="auto"/>
          <w:szCs w:val="21"/>
          <w:highlight w:val="none"/>
        </w:rPr>
        <w:t>免费下载</w:t>
      </w:r>
      <w:r>
        <w:rPr>
          <w:rFonts w:hint="eastAsia" w:ascii="宋体" w:hAnsi="宋体" w:cs="宋体"/>
          <w:color w:val="auto"/>
          <w:highlight w:val="none"/>
        </w:rPr>
        <w:t>。</w:t>
      </w:r>
    </w:p>
    <w:p w14:paraId="2DA200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方式：已在浙江省政府采购网注册的供应商可登录政采云平台（网址：</w:t>
      </w:r>
      <w:r>
        <w:rPr>
          <w:color w:val="auto"/>
          <w:highlight w:val="none"/>
        </w:rPr>
        <w:fldChar w:fldCharType="begin"/>
      </w:r>
      <w:r>
        <w:rPr>
          <w:color w:val="auto"/>
          <w:highlight w:val="none"/>
        </w:rPr>
        <w:instrText xml:space="preserve"> HYPERLINK "https://login.zcygov.cn/login）获取采购文件（(不是正式供应商不能获取采购文件)）。" </w:instrText>
      </w:r>
      <w:r>
        <w:rPr>
          <w:color w:val="auto"/>
          <w:highlight w:val="none"/>
        </w:rPr>
        <w:fldChar w:fldCharType="separate"/>
      </w:r>
      <w:r>
        <w:rPr>
          <w:rFonts w:hint="eastAsia" w:ascii="宋体" w:hAnsi="宋体" w:cs="宋体"/>
          <w:color w:val="auto"/>
          <w:highlight w:val="none"/>
        </w:rPr>
        <w:t>https://login.zcygov.cn/login）进入政采云系统“项目采购”模块“获取采购文件”菜单依法获取采购文件；</w:t>
      </w:r>
      <w:r>
        <w:rPr>
          <w:rFonts w:hint="eastAsia" w:ascii="宋体" w:hAnsi="宋体" w:cs="宋体"/>
          <w:color w:val="auto"/>
          <w:highlight w:val="none"/>
        </w:rPr>
        <w:fldChar w:fldCharType="end"/>
      </w:r>
      <w:r>
        <w:rPr>
          <w:rFonts w:hint="eastAsia" w:ascii="宋体" w:hAnsi="宋体" w:cs="宋体"/>
          <w:color w:val="auto"/>
          <w:highlight w:val="none"/>
        </w:rPr>
        <w:t>未在浙江省政府采购网注册的供应商可在浙江政府采购网（</w:t>
      </w:r>
      <w:r>
        <w:rPr>
          <w:rStyle w:val="48"/>
          <w:rFonts w:hint="eastAsia" w:ascii="宋体" w:hAnsi="宋体" w:cs="宋体"/>
          <w:color w:val="auto"/>
          <w:highlight w:val="none"/>
          <w:u w:val="none"/>
        </w:rPr>
        <w:t>http://zfcg.czt.zj.gov.cn/</w:t>
      </w:r>
      <w:r>
        <w:rPr>
          <w:rFonts w:hint="eastAsia" w:ascii="宋体" w:hAnsi="宋体" w:cs="宋体"/>
          <w:color w:val="auto"/>
          <w:highlight w:val="none"/>
        </w:rPr>
        <w:t>）选择“潜在供应商”获取采购文件或“游客”浏览采购文件。</w:t>
      </w:r>
    </w:p>
    <w:p w14:paraId="43B4875E">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sz w:val="21"/>
          <w:highlight w:val="none"/>
        </w:rPr>
      </w:pPr>
      <w:r>
        <w:rPr>
          <w:rFonts w:hint="eastAsia" w:ascii="宋体" w:hAnsi="宋体" w:eastAsia="宋体" w:cs="宋体"/>
          <w:b w:val="0"/>
          <w:color w:val="auto"/>
          <w:sz w:val="21"/>
          <w:highlight w:val="none"/>
        </w:rPr>
        <w:t>售价：0元</w:t>
      </w:r>
    </w:p>
    <w:p w14:paraId="3062DE97">
      <w:pPr>
        <w:keepNext w:val="0"/>
        <w:keepLines w:val="0"/>
        <w:pageBreakBefore w:val="0"/>
        <w:kinsoku/>
        <w:overflowPunct/>
        <w:topLinePunct w:val="0"/>
        <w:autoSpaceDE/>
        <w:autoSpaceDN/>
        <w:bidi w:val="0"/>
        <w:spacing w:line="440" w:lineRule="exact"/>
        <w:textAlignment w:val="auto"/>
        <w:rPr>
          <w:rFonts w:ascii="宋体" w:hAnsi="宋体" w:cs="宋体"/>
          <w:b/>
          <w:color w:val="auto"/>
          <w:highlight w:val="none"/>
        </w:rPr>
      </w:pPr>
      <w:r>
        <w:rPr>
          <w:rFonts w:hint="eastAsia" w:ascii="宋体" w:hAnsi="宋体" w:cs="宋体"/>
          <w:b/>
          <w:color w:val="auto"/>
          <w:highlight w:val="none"/>
        </w:rPr>
        <w:t>四、提交</w:t>
      </w:r>
      <w:r>
        <w:rPr>
          <w:rFonts w:hint="eastAsia" w:ascii="宋体" w:hAnsi="宋体" w:cs="宋体"/>
          <w:b/>
          <w:color w:val="auto"/>
          <w:highlight w:val="none"/>
          <w:lang w:val="en-US" w:eastAsia="zh-CN"/>
        </w:rPr>
        <w:t>投标</w:t>
      </w:r>
      <w:r>
        <w:rPr>
          <w:rFonts w:hint="eastAsia" w:ascii="宋体" w:hAnsi="宋体" w:cs="宋体"/>
          <w:b/>
          <w:color w:val="auto"/>
          <w:highlight w:val="none"/>
        </w:rPr>
        <w:t>文件截止时间、</w:t>
      </w:r>
      <w:r>
        <w:rPr>
          <w:rFonts w:hint="eastAsia" w:ascii="宋体" w:hAnsi="宋体" w:cs="宋体"/>
          <w:b/>
          <w:color w:val="auto"/>
          <w:highlight w:val="none"/>
          <w:lang w:val="en-US" w:eastAsia="zh-CN"/>
        </w:rPr>
        <w:t>开标</w:t>
      </w:r>
      <w:r>
        <w:rPr>
          <w:rFonts w:hint="eastAsia" w:ascii="宋体" w:hAnsi="宋体" w:cs="宋体"/>
          <w:b/>
          <w:color w:val="auto"/>
          <w:highlight w:val="none"/>
        </w:rPr>
        <w:t>时间和地点</w:t>
      </w:r>
    </w:p>
    <w:p w14:paraId="31B8CC17">
      <w:pPr>
        <w:keepNext w:val="0"/>
        <w:keepLines w:val="0"/>
        <w:pageBreakBefore w:val="0"/>
        <w:kinsoku/>
        <w:overflowPunct/>
        <w:topLinePunct w:val="0"/>
        <w:autoSpaceDE/>
        <w:autoSpaceDN/>
        <w:bidi w:val="0"/>
        <w:spacing w:line="44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提交</w:t>
      </w:r>
      <w:r>
        <w:rPr>
          <w:rFonts w:hint="eastAsia" w:ascii="宋体" w:hAnsi="宋体" w:cs="宋体"/>
          <w:color w:val="auto"/>
          <w:highlight w:val="none"/>
          <w:lang w:val="en-US" w:eastAsia="zh-CN"/>
        </w:rPr>
        <w:t>投标</w:t>
      </w:r>
      <w:r>
        <w:rPr>
          <w:rFonts w:hint="eastAsia" w:ascii="宋体" w:hAnsi="宋体" w:cs="宋体"/>
          <w:color w:val="auto"/>
          <w:highlight w:val="none"/>
        </w:rPr>
        <w:t>文件截止时间：</w:t>
      </w:r>
      <w:r>
        <w:rPr>
          <w:rFonts w:hint="eastAsia" w:ascii="宋体" w:hAnsi="宋体" w:cs="宋体"/>
          <w:color w:val="auto"/>
          <w:highlight w:val="none"/>
          <w:u w:val="single"/>
          <w:lang w:val="en-US" w:eastAsia="zh-CN"/>
        </w:rPr>
        <w:t>2026</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5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14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9:00 </w:t>
      </w:r>
      <w:r>
        <w:rPr>
          <w:rFonts w:hint="eastAsia" w:ascii="宋体" w:hAnsi="宋体" w:cs="宋体"/>
          <w:color w:val="auto"/>
          <w:highlight w:val="none"/>
        </w:rPr>
        <w:t>时（北京时间）</w:t>
      </w:r>
    </w:p>
    <w:p w14:paraId="33B4C836">
      <w:pPr>
        <w:keepNext w:val="0"/>
        <w:keepLines w:val="0"/>
        <w:pageBreakBefore w:val="0"/>
        <w:kinsoku/>
        <w:overflowPunct/>
        <w:topLinePunct w:val="0"/>
        <w:autoSpaceDE/>
        <w:autoSpaceDN/>
        <w:bidi w:val="0"/>
        <w:spacing w:line="440" w:lineRule="exact"/>
        <w:ind w:firstLine="420" w:firstLineChars="200"/>
        <w:textAlignment w:val="auto"/>
        <w:rPr>
          <w:rFonts w:ascii="宋体" w:hAnsi="宋体" w:cs="宋体"/>
          <w:color w:val="auto"/>
          <w:highlight w:val="none"/>
        </w:rPr>
      </w:pPr>
      <w:r>
        <w:rPr>
          <w:rFonts w:hint="eastAsia" w:ascii="宋体" w:hAnsi="宋体" w:cs="宋体"/>
          <w:color w:val="auto"/>
          <w:highlight w:val="none"/>
          <w:lang w:val="en-US" w:eastAsia="zh-CN"/>
        </w:rPr>
        <w:t>开标</w:t>
      </w:r>
      <w:r>
        <w:rPr>
          <w:rFonts w:hint="eastAsia" w:ascii="宋体" w:hAnsi="宋体" w:cs="宋体"/>
          <w:color w:val="auto"/>
          <w:highlight w:val="none"/>
        </w:rPr>
        <w:t>时间：</w:t>
      </w:r>
      <w:r>
        <w:rPr>
          <w:rFonts w:hint="eastAsia" w:ascii="宋体" w:hAnsi="宋体" w:cs="宋体"/>
          <w:color w:val="auto"/>
          <w:highlight w:val="none"/>
          <w:u w:val="single"/>
          <w:lang w:val="en-US" w:eastAsia="zh-CN"/>
        </w:rPr>
        <w:t>2026</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5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14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9:00 </w:t>
      </w:r>
      <w:r>
        <w:rPr>
          <w:rFonts w:hint="eastAsia" w:ascii="宋体" w:hAnsi="宋体" w:cs="宋体"/>
          <w:color w:val="auto"/>
          <w:highlight w:val="none"/>
        </w:rPr>
        <w:t>时（北京时间）</w:t>
      </w:r>
    </w:p>
    <w:p w14:paraId="47A73484">
      <w:pPr>
        <w:keepNext w:val="0"/>
        <w:keepLines w:val="0"/>
        <w:pageBreakBefore w:val="0"/>
        <w:kinsoku/>
        <w:overflowPunct/>
        <w:topLinePunct w:val="0"/>
        <w:autoSpaceDE/>
        <w:autoSpaceDN/>
        <w:bidi w:val="0"/>
        <w:spacing w:line="440" w:lineRule="exact"/>
        <w:ind w:firstLine="420" w:firstLineChars="200"/>
        <w:textAlignment w:val="auto"/>
        <w:rPr>
          <w:rFonts w:ascii="宋体" w:hAnsi="宋体" w:cs="宋体"/>
          <w:color w:val="auto"/>
          <w:highlight w:val="none"/>
        </w:rPr>
      </w:pPr>
      <w:r>
        <w:rPr>
          <w:rFonts w:hint="eastAsia" w:ascii="宋体" w:hAnsi="宋体" w:cs="宋体"/>
          <w:color w:val="auto"/>
          <w:highlight w:val="none"/>
          <w:lang w:val="en-US" w:eastAsia="zh-CN"/>
        </w:rPr>
        <w:t>开标</w:t>
      </w:r>
      <w:r>
        <w:rPr>
          <w:rFonts w:hint="eastAsia" w:ascii="宋体" w:hAnsi="宋体" w:cs="宋体"/>
          <w:color w:val="auto"/>
          <w:highlight w:val="none"/>
        </w:rPr>
        <w:t>地点（网址）：开化县公共资源交易中心开标区(开化县凤凰南路2号5楼)</w:t>
      </w:r>
    </w:p>
    <w:p w14:paraId="60DEC3D0">
      <w:pPr>
        <w:keepNext w:val="0"/>
        <w:keepLines w:val="0"/>
        <w:pageBreakBefore w:val="0"/>
        <w:kinsoku/>
        <w:overflowPunct/>
        <w:topLinePunct w:val="0"/>
        <w:autoSpaceDE/>
        <w:autoSpaceDN/>
        <w:bidi w:val="0"/>
        <w:spacing w:line="44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如认为需要，投标人可以选择递交以介质（U盘）存储的数据电文形式的“备份投标文件”，“备份投标文件”应当密封包装并在包装上标注投标项目名称、投标单位名称并加盖公章，且在投标截止时间前，通过邮寄或现场送达等方式送至指定地点，逾期送达或未密封将被拒收。（邮寄收件地址：</w:t>
      </w:r>
      <w:r>
        <w:rPr>
          <w:rFonts w:hint="eastAsia" w:ascii="宋体" w:hAnsi="宋体" w:cs="宋体"/>
          <w:color w:val="auto"/>
          <w:highlight w:val="none"/>
          <w:lang w:eastAsia="zh-CN"/>
        </w:rPr>
        <w:t>浙江省衢州市开化县金佰汇广场5栋245-247号</w:t>
      </w:r>
      <w:r>
        <w:rPr>
          <w:rFonts w:hint="eastAsia" w:ascii="宋体" w:hAnsi="宋体" w:cs="宋体"/>
          <w:color w:val="auto"/>
          <w:highlight w:val="none"/>
        </w:rPr>
        <w:t xml:space="preserve">  </w:t>
      </w:r>
      <w:r>
        <w:rPr>
          <w:rFonts w:hint="eastAsia" w:ascii="宋体" w:hAnsi="宋体" w:cs="宋体"/>
          <w:color w:val="auto"/>
          <w:highlight w:val="none"/>
          <w:lang w:eastAsia="zh-CN"/>
        </w:rPr>
        <w:t>浙江金穗工程项目管理有限公司</w:t>
      </w:r>
      <w:r>
        <w:rPr>
          <w:rFonts w:hint="eastAsia" w:ascii="宋体" w:hAnsi="宋体" w:cs="宋体"/>
          <w:color w:val="auto"/>
          <w:highlight w:val="none"/>
        </w:rPr>
        <w:t xml:space="preserve">  邮编：324300</w:t>
      </w:r>
      <w:r>
        <w:rPr>
          <w:rFonts w:hint="eastAsia" w:ascii="宋体" w:hAnsi="宋体" w:cs="宋体"/>
          <w:color w:val="auto"/>
          <w:highlight w:val="none"/>
          <w:lang w:val="en-US" w:eastAsia="zh-CN"/>
        </w:rPr>
        <w:t xml:space="preserve">  </w:t>
      </w:r>
      <w:r>
        <w:rPr>
          <w:rFonts w:hint="eastAsia" w:ascii="宋体" w:hAnsi="宋体" w:cs="宋体"/>
          <w:color w:val="auto"/>
          <w:highlight w:val="none"/>
        </w:rPr>
        <w:t>收件人：</w:t>
      </w:r>
      <w:r>
        <w:rPr>
          <w:rFonts w:hint="eastAsia" w:ascii="宋体" w:hAnsi="宋体" w:cs="宋体"/>
          <w:color w:val="auto"/>
          <w:highlight w:val="none"/>
          <w:lang w:eastAsia="zh-CN"/>
        </w:rPr>
        <w:t>江琴琴</w:t>
      </w:r>
      <w:r>
        <w:rPr>
          <w:rFonts w:hint="eastAsia" w:ascii="宋体" w:hAnsi="宋体" w:cs="宋体"/>
          <w:color w:val="auto"/>
          <w:highlight w:val="none"/>
        </w:rPr>
        <w:t xml:space="preserve">  联系电话：</w:t>
      </w:r>
      <w:r>
        <w:rPr>
          <w:rFonts w:hint="eastAsia" w:ascii="宋体" w:hAnsi="宋体" w:cs="宋体"/>
          <w:color w:val="auto"/>
          <w:highlight w:val="none"/>
          <w:lang w:val="en-US" w:eastAsia="zh-CN"/>
        </w:rPr>
        <w:t>13567023337</w:t>
      </w:r>
      <w:r>
        <w:rPr>
          <w:rFonts w:hint="eastAsia" w:ascii="宋体" w:hAnsi="宋体" w:cs="宋体"/>
          <w:color w:val="auto"/>
          <w:highlight w:val="none"/>
        </w:rPr>
        <w:t>）</w:t>
      </w:r>
    </w:p>
    <w:p w14:paraId="1B0109D4">
      <w:pPr>
        <w:keepNext w:val="0"/>
        <w:keepLines w:val="0"/>
        <w:pageBreakBefore w:val="0"/>
        <w:kinsoku/>
        <w:overflowPunct/>
        <w:topLinePunct w:val="0"/>
        <w:autoSpaceDE/>
        <w:autoSpaceDN/>
        <w:bidi w:val="0"/>
        <w:spacing w:line="440" w:lineRule="exact"/>
        <w:textAlignment w:val="auto"/>
        <w:rPr>
          <w:rFonts w:ascii="宋体" w:hAnsi="宋体" w:cs="宋体"/>
          <w:b/>
          <w:color w:val="auto"/>
          <w:highlight w:val="none"/>
        </w:rPr>
      </w:pPr>
      <w:r>
        <w:rPr>
          <w:rFonts w:hint="eastAsia" w:ascii="宋体" w:hAnsi="宋体" w:cs="宋体"/>
          <w:b/>
          <w:color w:val="auto"/>
          <w:highlight w:val="none"/>
        </w:rPr>
        <w:t>五、公告期限</w:t>
      </w:r>
    </w:p>
    <w:p w14:paraId="6E472467">
      <w:pPr>
        <w:keepNext w:val="0"/>
        <w:keepLines w:val="0"/>
        <w:pageBreakBefore w:val="0"/>
        <w:kinsoku/>
        <w:overflowPunct/>
        <w:topLinePunct w:val="0"/>
        <w:autoSpaceDE/>
        <w:autoSpaceDN/>
        <w:bidi w:val="0"/>
        <w:spacing w:line="44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自本公告发布之日起</w:t>
      </w:r>
      <w:r>
        <w:rPr>
          <w:rFonts w:hint="eastAsia" w:ascii="宋体" w:hAnsi="宋体" w:cs="宋体"/>
          <w:color w:val="auto"/>
          <w:highlight w:val="none"/>
          <w:lang w:val="en-US" w:eastAsia="zh-CN"/>
        </w:rPr>
        <w:t>5</w:t>
      </w:r>
      <w:r>
        <w:rPr>
          <w:rFonts w:hint="eastAsia" w:ascii="宋体" w:hAnsi="宋体" w:cs="宋体"/>
          <w:color w:val="auto"/>
          <w:highlight w:val="none"/>
        </w:rPr>
        <w:t>个工作日。</w:t>
      </w:r>
    </w:p>
    <w:p w14:paraId="7D441779">
      <w:pPr>
        <w:keepNext w:val="0"/>
        <w:keepLines w:val="0"/>
        <w:pageBreakBefore w:val="0"/>
        <w:kinsoku/>
        <w:overflowPunct/>
        <w:topLinePunct w:val="0"/>
        <w:autoSpaceDE/>
        <w:autoSpaceDN/>
        <w:bidi w:val="0"/>
        <w:spacing w:line="440" w:lineRule="exact"/>
        <w:textAlignment w:val="auto"/>
        <w:rPr>
          <w:rFonts w:ascii="宋体" w:hAnsi="宋体" w:cs="宋体"/>
          <w:b/>
          <w:color w:val="auto"/>
          <w:highlight w:val="none"/>
        </w:rPr>
      </w:pPr>
      <w:r>
        <w:rPr>
          <w:rFonts w:hint="eastAsia" w:ascii="宋体" w:hAnsi="宋体" w:cs="宋体"/>
          <w:b/>
          <w:color w:val="auto"/>
          <w:highlight w:val="none"/>
        </w:rPr>
        <w:t>六、其他补充事宜</w:t>
      </w:r>
    </w:p>
    <w:p w14:paraId="0B4C8A86">
      <w:pPr>
        <w:pStyle w:val="32"/>
        <w:widowControl w:val="0"/>
        <w:spacing w:beforeLines="0" w:beforeAutospacing="0" w:afterLines="0" w:afterAutospacing="0" w:line="380" w:lineRule="exact"/>
        <w:ind w:firstLine="422" w:firstLineChars="200"/>
        <w:rPr>
          <w:rFonts w:hint="eastAsia" w:ascii="宋体" w:hAnsi="宋体" w:cs="宋体"/>
          <w:b/>
          <w:color w:val="auto"/>
          <w:sz w:val="21"/>
          <w:szCs w:val="21"/>
          <w:shd w:val="clear" w:color="auto" w:fill="FFFFFF"/>
        </w:rPr>
      </w:pPr>
      <w:r>
        <w:rPr>
          <w:rFonts w:hint="eastAsia" w:ascii="宋体" w:hAnsi="宋体" w:cs="宋体"/>
          <w:b/>
          <w:color w:val="auto"/>
          <w:sz w:val="21"/>
          <w:szCs w:val="21"/>
          <w:shd w:val="clear" w:color="auto" w:fill="FFFFFF"/>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7D34A5CD">
      <w:pPr>
        <w:pStyle w:val="32"/>
        <w:widowControl w:val="0"/>
        <w:spacing w:beforeLines="0" w:beforeAutospacing="0" w:afterLines="0" w:afterAutospacing="0" w:line="380" w:lineRule="exact"/>
        <w:ind w:firstLine="422" w:firstLineChars="200"/>
        <w:rPr>
          <w:rFonts w:hint="eastAsia" w:ascii="宋体" w:hAnsi="宋体" w:cs="宋体"/>
          <w:b/>
          <w:color w:val="auto"/>
          <w:sz w:val="21"/>
          <w:szCs w:val="21"/>
          <w:shd w:val="clear" w:color="auto" w:fill="FFFFFF"/>
        </w:rPr>
      </w:pPr>
      <w:r>
        <w:rPr>
          <w:rFonts w:hint="eastAsia" w:ascii="宋体" w:hAnsi="宋体" w:cs="宋体"/>
          <w:b/>
          <w:color w:val="auto"/>
          <w:sz w:val="21"/>
          <w:szCs w:val="21"/>
          <w:shd w:val="clear" w:color="auto" w:fill="FFFFFF"/>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一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561BA715">
      <w:pPr>
        <w:pStyle w:val="32"/>
        <w:widowControl w:val="0"/>
        <w:spacing w:beforeAutospacing="0" w:afterAutospacing="0" w:line="400" w:lineRule="exact"/>
        <w:ind w:firstLine="422" w:firstLineChars="200"/>
        <w:rPr>
          <w:rFonts w:hint="eastAsia" w:ascii="宋体" w:hAnsi="宋体" w:eastAsia="宋体" w:cs="宋体"/>
          <w:b/>
          <w:color w:val="auto"/>
          <w:sz w:val="21"/>
          <w:szCs w:val="21"/>
          <w:highlight w:val="none"/>
          <w:shd w:val="clear" w:color="auto" w:fill="FFFFFF"/>
          <w:lang w:eastAsia="zh-CN"/>
        </w:rPr>
      </w:pPr>
      <w:r>
        <w:rPr>
          <w:rFonts w:hint="eastAsia" w:ascii="宋体" w:hAnsi="宋体" w:eastAsia="宋体" w:cs="宋体"/>
          <w:b/>
          <w:color w:val="auto"/>
          <w:sz w:val="21"/>
          <w:szCs w:val="21"/>
          <w:shd w:val="clear" w:color="auto" w:fill="FFFFFF"/>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宋体" w:hAnsi="宋体" w:eastAsia="宋体" w:cs="宋体"/>
          <w:b/>
          <w:color w:val="auto"/>
          <w:sz w:val="21"/>
          <w:szCs w:val="21"/>
          <w:shd w:val="clear" w:color="auto" w:fill="FFFFFF"/>
          <w:lang w:eastAsia="zh-CN"/>
        </w:rPr>
        <w:t>。</w:t>
      </w:r>
    </w:p>
    <w:p w14:paraId="783BAAE8">
      <w:pPr>
        <w:pStyle w:val="32"/>
        <w:widowControl w:val="0"/>
        <w:spacing w:beforeAutospacing="0" w:afterAutospacing="0" w:line="400" w:lineRule="exact"/>
        <w:ind w:firstLine="422" w:firstLineChars="200"/>
        <w:rPr>
          <w:rFonts w:ascii="宋体" w:hAnsi="宋体" w:cs="宋体"/>
          <w:b/>
          <w:color w:val="auto"/>
          <w:sz w:val="21"/>
          <w:szCs w:val="21"/>
          <w:highlight w:val="none"/>
          <w:shd w:val="clear" w:color="auto" w:fill="FFFFFF"/>
        </w:rPr>
      </w:pPr>
      <w:r>
        <w:rPr>
          <w:rFonts w:ascii="宋体" w:hAnsi="宋体" w:cs="宋体"/>
          <w:b/>
          <w:color w:val="auto"/>
          <w:sz w:val="21"/>
          <w:szCs w:val="21"/>
          <w:highlight w:val="none"/>
          <w:shd w:val="clear" w:color="auto" w:fill="FFFFFF"/>
        </w:rPr>
        <w:t>4. 其他事项</w:t>
      </w:r>
    </w:p>
    <w:p w14:paraId="112534C6">
      <w:pPr>
        <w:pStyle w:val="32"/>
        <w:widowControl w:val="0"/>
        <w:spacing w:beforeAutospacing="0" w:afterAutospacing="0" w:line="400" w:lineRule="exact"/>
        <w:ind w:firstLine="422" w:firstLineChars="200"/>
        <w:rPr>
          <w:rFonts w:ascii="宋体" w:hAnsi="宋体" w:cs="宋体"/>
          <w:b/>
          <w:color w:val="auto"/>
          <w:sz w:val="21"/>
          <w:szCs w:val="21"/>
          <w:highlight w:val="none"/>
          <w:shd w:val="clear" w:color="auto" w:fill="FFFFFF"/>
        </w:rPr>
      </w:pPr>
      <w:r>
        <w:rPr>
          <w:rFonts w:ascii="宋体" w:hAnsi="宋体" w:cs="宋体"/>
          <w:b/>
          <w:color w:val="auto"/>
          <w:sz w:val="21"/>
          <w:szCs w:val="21"/>
          <w:highlight w:val="none"/>
          <w:shd w:val="clear" w:color="auto" w:fill="FFFFFF"/>
        </w:rPr>
        <w:t>4.1.质疑和投诉相关规定详见《政府采购质疑和投诉办法》（财政部令94令）。</w:t>
      </w:r>
    </w:p>
    <w:p w14:paraId="5AF71414">
      <w:pPr>
        <w:spacing w:line="400" w:lineRule="exact"/>
        <w:ind w:firstLine="422" w:firstLineChars="200"/>
        <w:rPr>
          <w:rFonts w:ascii="宋体" w:hAnsi="宋体" w:cs="宋体"/>
          <w:color w:val="auto"/>
          <w:szCs w:val="21"/>
          <w:highlight w:val="none"/>
        </w:rPr>
      </w:pPr>
      <w:r>
        <w:rPr>
          <w:rFonts w:ascii="宋体" w:hAnsi="宋体" w:cs="宋体"/>
          <w:b/>
          <w:color w:val="auto"/>
          <w:szCs w:val="21"/>
          <w:highlight w:val="none"/>
        </w:rPr>
        <w:t>4.2.投标说明</w:t>
      </w:r>
    </w:p>
    <w:p w14:paraId="29564648">
      <w:pPr>
        <w:spacing w:line="400" w:lineRule="exact"/>
        <w:ind w:firstLine="422" w:firstLineChars="200"/>
        <w:rPr>
          <w:rFonts w:ascii="宋体" w:hAnsi="宋体" w:cs="宋体"/>
          <w:color w:val="auto"/>
          <w:szCs w:val="21"/>
          <w:highlight w:val="none"/>
        </w:rPr>
      </w:pPr>
      <w:r>
        <w:rPr>
          <w:rFonts w:ascii="宋体" w:hAnsi="宋体" w:cs="宋体"/>
          <w:b/>
          <w:color w:val="auto"/>
          <w:szCs w:val="21"/>
          <w:highlight w:val="none"/>
        </w:rPr>
        <w:t>(1)本项目实行电子投标，应按照本项目招标文件和政采云平台的要求编制、加密并递交投标文件。</w:t>
      </w:r>
    </w:p>
    <w:p w14:paraId="4B1DC48C">
      <w:pPr>
        <w:pStyle w:val="20"/>
        <w:wordWrap w:val="0"/>
        <w:adjustRightInd w:val="0"/>
        <w:snapToGrid w:val="0"/>
        <w:spacing w:line="400" w:lineRule="exact"/>
        <w:ind w:firstLine="422" w:firstLineChars="200"/>
        <w:rPr>
          <w:rFonts w:cs="宋体"/>
          <w:b/>
          <w:color w:val="auto"/>
          <w:szCs w:val="21"/>
          <w:highlight w:val="none"/>
        </w:rPr>
      </w:pPr>
      <w:r>
        <w:rPr>
          <w:rFonts w:cs="宋体"/>
          <w:b/>
          <w:color w:val="auto"/>
          <w:szCs w:val="21"/>
          <w:highlight w:val="none"/>
        </w:rPr>
        <w:t>(2)投标人应在开标前完成CA数字证书办理。（办理流程详见</w:t>
      </w:r>
      <w:r>
        <w:rPr>
          <w:rFonts w:cs="宋体"/>
          <w:b/>
          <w:color w:val="auto"/>
          <w:szCs w:val="21"/>
          <w:highlight w:val="none"/>
        </w:rPr>
        <w:fldChar w:fldCharType="begin"/>
      </w:r>
      <w:r>
        <w:rPr>
          <w:rFonts w:cs="宋体"/>
          <w:b/>
          <w:color w:val="auto"/>
          <w:szCs w:val="21"/>
          <w:highlight w:val="none"/>
        </w:rPr>
        <w:instrText xml:space="preserve"> HYPERLINK "http://zfcg.czt.zj.gov.cn/bidClientTemplate/2019-05-27/12945.html" </w:instrText>
      </w:r>
      <w:r>
        <w:rPr>
          <w:rFonts w:cs="宋体"/>
          <w:b/>
          <w:color w:val="auto"/>
          <w:szCs w:val="21"/>
          <w:highlight w:val="none"/>
        </w:rPr>
        <w:fldChar w:fldCharType="separate"/>
      </w:r>
      <w:r>
        <w:rPr>
          <w:rFonts w:cs="宋体"/>
          <w:b/>
          <w:color w:val="auto"/>
          <w:szCs w:val="21"/>
          <w:highlight w:val="none"/>
        </w:rPr>
        <w:t>http://zfcg.czt.zj.gov.cn/bidClientTemplate/2019-05-27/12945.html</w:t>
      </w:r>
      <w:r>
        <w:rPr>
          <w:rFonts w:cs="宋体"/>
          <w:b/>
          <w:color w:val="auto"/>
          <w:szCs w:val="21"/>
          <w:highlight w:val="none"/>
        </w:rPr>
        <w:fldChar w:fldCharType="end"/>
      </w:r>
      <w:r>
        <w:rPr>
          <w:rFonts w:cs="宋体"/>
          <w:b/>
          <w:color w:val="auto"/>
          <w:szCs w:val="21"/>
          <w:highlight w:val="none"/>
        </w:rPr>
        <w:t>）。完成CA数字证书办理预计一周左右，建议各投标人抓紧时间办理。</w:t>
      </w:r>
    </w:p>
    <w:p w14:paraId="5CFFAE64">
      <w:pPr>
        <w:wordWrap w:val="0"/>
        <w:snapToGrid w:val="0"/>
        <w:spacing w:line="400" w:lineRule="exact"/>
        <w:ind w:firstLine="422" w:firstLineChars="200"/>
        <w:rPr>
          <w:rFonts w:ascii="宋体" w:hAnsi="宋体" w:cs="宋体"/>
          <w:b/>
          <w:color w:val="auto"/>
          <w:szCs w:val="21"/>
          <w:highlight w:val="none"/>
        </w:rPr>
      </w:pPr>
      <w:r>
        <w:rPr>
          <w:rFonts w:ascii="宋体" w:hAnsi="宋体" w:cs="宋体"/>
          <w:b/>
          <w:color w:val="auto"/>
          <w:szCs w:val="21"/>
          <w:highlight w:val="none"/>
        </w:rPr>
        <w:t>(3)投标人通过政采云平台电子投标工具制作投标文件，电子投标工具请</w:t>
      </w:r>
      <w:r>
        <w:rPr>
          <w:rFonts w:hint="eastAsia" w:ascii="宋体" w:hAnsi="宋体" w:cs="宋体"/>
          <w:b/>
          <w:color w:val="auto"/>
          <w:szCs w:val="21"/>
          <w:highlight w:val="none"/>
          <w:lang w:eastAsia="zh-CN"/>
        </w:rPr>
        <w:t>投标人</w:t>
      </w:r>
      <w:r>
        <w:rPr>
          <w:rFonts w:ascii="宋体" w:hAnsi="宋体" w:cs="宋体"/>
          <w:b/>
          <w:color w:val="auto"/>
          <w:szCs w:val="21"/>
          <w:highlight w:val="none"/>
        </w:rPr>
        <w:t>自行前往浙江省政府采购网下载并安装，（下载网址：http://zfcg.czt.zj.gov.cn/bidClientTemplate/2019-09-24/12975.html）。</w:t>
      </w:r>
    </w:p>
    <w:p w14:paraId="6B9D48B0">
      <w:pPr>
        <w:wordWrap w:val="0"/>
        <w:snapToGrid w:val="0"/>
        <w:spacing w:line="400" w:lineRule="exact"/>
        <w:ind w:firstLine="422" w:firstLineChars="200"/>
        <w:rPr>
          <w:rFonts w:ascii="宋体" w:hAnsi="宋体" w:cs="宋体"/>
          <w:b/>
          <w:color w:val="auto"/>
          <w:szCs w:val="21"/>
          <w:highlight w:val="none"/>
        </w:rPr>
      </w:pPr>
      <w:r>
        <w:rPr>
          <w:rFonts w:ascii="宋体" w:hAnsi="宋体" w:cs="宋体"/>
          <w:b/>
          <w:color w:val="auto"/>
          <w:szCs w:val="21"/>
          <w:highlight w:val="none"/>
        </w:rPr>
        <w:t>(4)投标人应当在投标截止时间前完成投标文件的传输递交，投标截止时间前可以补充、修改或者撤回投标文件。补充或者修改投标文件的，应当先行撤回原文件，补充、修改后重新传输递交。投标截止时间前未完成传输的，视为未提供投标文件，投标无效。投标截止时间后递交的投标文件，将被政采云平台拒收。</w:t>
      </w:r>
    </w:p>
    <w:p w14:paraId="2D236DC1">
      <w:pPr>
        <w:wordWrap w:val="0"/>
        <w:snapToGrid w:val="0"/>
        <w:spacing w:line="400" w:lineRule="exact"/>
        <w:ind w:firstLine="422" w:firstLineChars="200"/>
        <w:rPr>
          <w:rFonts w:ascii="宋体" w:hAnsi="宋体" w:cs="宋体"/>
          <w:b/>
          <w:color w:val="auto"/>
          <w:szCs w:val="21"/>
          <w:highlight w:val="none"/>
        </w:rPr>
      </w:pPr>
      <w:r>
        <w:rPr>
          <w:rFonts w:ascii="宋体" w:hAnsi="宋体" w:cs="宋体"/>
          <w:b/>
          <w:color w:val="auto"/>
          <w:szCs w:val="21"/>
          <w:highlight w:val="none"/>
        </w:rPr>
        <w:t>4.3.中小企业信用融资及电子保函</w:t>
      </w:r>
    </w:p>
    <w:p w14:paraId="6E65848C">
      <w:pPr>
        <w:pStyle w:val="32"/>
        <w:widowControl w:val="0"/>
        <w:spacing w:beforeAutospacing="0" w:afterAutospacing="0" w:line="400" w:lineRule="exact"/>
        <w:ind w:firstLine="420"/>
        <w:rPr>
          <w:rFonts w:ascii="宋体" w:hAnsi="宋体" w:cs="宋体"/>
          <w:b/>
          <w:color w:val="auto"/>
          <w:sz w:val="21"/>
          <w:szCs w:val="21"/>
          <w:highlight w:val="none"/>
        </w:rPr>
      </w:pPr>
      <w:r>
        <w:rPr>
          <w:rFonts w:ascii="宋体" w:hAnsi="宋体" w:cs="宋体"/>
          <w:b/>
          <w:color w:val="auto"/>
          <w:sz w:val="21"/>
          <w:szCs w:val="21"/>
          <w:highlight w:val="none"/>
        </w:rPr>
        <w:t>投标人中标后也可在“政采云”平台申请政采贷：操作路径：登录政采云平台 - 金融服务中心 -【融资服务】，可在热门申请中选择产品直接申请，也可点击云智贷匹配适合产品进行申请，或者在可申请项目中根据该项目进行申请,也可通过登录浙江政务网-“衢融通”平台-【采购质押融资申请】。</w:t>
      </w:r>
    </w:p>
    <w:p w14:paraId="12EBAD3C">
      <w:pPr>
        <w:wordWrap w:val="0"/>
        <w:snapToGrid w:val="0"/>
        <w:spacing w:line="400" w:lineRule="exact"/>
        <w:ind w:firstLine="422" w:firstLineChars="200"/>
        <w:rPr>
          <w:rFonts w:hint="eastAsia" w:ascii="宋体" w:hAnsi="宋体" w:cs="宋体"/>
          <w:b/>
          <w:color w:val="auto"/>
          <w:szCs w:val="21"/>
          <w:highlight w:val="none"/>
        </w:rPr>
      </w:pPr>
      <w:r>
        <w:rPr>
          <w:rFonts w:ascii="宋体" w:hAnsi="宋体" w:cs="宋体"/>
          <w:b/>
          <w:color w:val="auto"/>
          <w:szCs w:val="21"/>
          <w:highlight w:val="none"/>
        </w:rPr>
        <w:t>投标人若有办理电子保函意向的可登录浙江政府采购网“浙江政采贷”（网址：</w:t>
      </w:r>
      <w:r>
        <w:rPr>
          <w:rFonts w:ascii="宋体" w:hAnsi="宋体" w:cs="宋体"/>
          <w:b/>
          <w:color w:val="auto"/>
          <w:szCs w:val="21"/>
          <w:highlight w:val="none"/>
        </w:rPr>
        <w:fldChar w:fldCharType="begin"/>
      </w:r>
      <w:r>
        <w:rPr>
          <w:rFonts w:ascii="宋体" w:hAnsi="宋体" w:cs="宋体"/>
          <w:b/>
          <w:color w:val="auto"/>
          <w:szCs w:val="21"/>
          <w:highlight w:val="none"/>
        </w:rPr>
        <w:instrText xml:space="preserve"> HYPERLINK "https://jinrong.zcygov.cn" </w:instrText>
      </w:r>
      <w:r>
        <w:rPr>
          <w:rFonts w:ascii="宋体" w:hAnsi="宋体" w:cs="宋体"/>
          <w:b/>
          <w:color w:val="auto"/>
          <w:szCs w:val="21"/>
          <w:highlight w:val="none"/>
        </w:rPr>
        <w:fldChar w:fldCharType="separate"/>
      </w:r>
      <w:r>
        <w:rPr>
          <w:rFonts w:ascii="宋体" w:hAnsi="宋体" w:cs="宋体"/>
          <w:b/>
          <w:color w:val="auto"/>
          <w:szCs w:val="21"/>
          <w:highlight w:val="none"/>
        </w:rPr>
        <w:t>https://jinrong.zcygov.cn</w:t>
      </w:r>
      <w:r>
        <w:rPr>
          <w:rFonts w:ascii="宋体" w:hAnsi="宋体" w:cs="宋体"/>
          <w:b/>
          <w:color w:val="auto"/>
          <w:szCs w:val="21"/>
          <w:highlight w:val="none"/>
        </w:rPr>
        <w:fldChar w:fldCharType="end"/>
      </w:r>
      <w:r>
        <w:rPr>
          <w:rFonts w:ascii="宋体" w:hAnsi="宋体" w:cs="宋体"/>
          <w:b/>
          <w:color w:val="auto"/>
          <w:szCs w:val="21"/>
          <w:highlight w:val="none"/>
        </w:rPr>
        <w:t>，政府采购云平台金融服务中心）查看相关政策和服务方案。</w:t>
      </w:r>
    </w:p>
    <w:p w14:paraId="7F423F8C">
      <w:pPr>
        <w:pStyle w:val="32"/>
        <w:keepNext w:val="0"/>
        <w:keepLines w:val="0"/>
        <w:pageBreakBefore w:val="0"/>
        <w:kinsoku/>
        <w:overflowPunct/>
        <w:topLinePunct w:val="0"/>
        <w:autoSpaceDE/>
        <w:autoSpaceDN/>
        <w:bidi w:val="0"/>
        <w:spacing w:beforeAutospacing="0" w:afterAutospacing="0" w:line="440" w:lineRule="exact"/>
        <w:textAlignment w:val="auto"/>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七、</w:t>
      </w:r>
      <w:r>
        <w:rPr>
          <w:rFonts w:ascii="宋体" w:hAnsi="宋体" w:cs="宋体"/>
          <w:b/>
          <w:bCs/>
          <w:color w:val="auto"/>
          <w:kern w:val="2"/>
          <w:sz w:val="21"/>
          <w:szCs w:val="21"/>
          <w:highlight w:val="none"/>
        </w:rPr>
        <w:t>对本次招标提出询问、质疑、投诉，请按以下方式联系</w:t>
      </w:r>
    </w:p>
    <w:p w14:paraId="3D4169AA">
      <w:pPr>
        <w:pStyle w:val="32"/>
        <w:keepNext w:val="0"/>
        <w:keepLines w:val="0"/>
        <w:pageBreakBefore w:val="0"/>
        <w:kinsoku/>
        <w:overflowPunct/>
        <w:topLinePunct w:val="0"/>
        <w:autoSpaceDE/>
        <w:autoSpaceDN/>
        <w:bidi w:val="0"/>
        <w:spacing w:beforeAutospacing="0" w:afterAutospacing="0" w:line="440" w:lineRule="exact"/>
        <w:ind w:firstLine="420" w:firstLineChars="200"/>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1.采购人信息</w:t>
      </w:r>
    </w:p>
    <w:p w14:paraId="1491D08B">
      <w:pPr>
        <w:pStyle w:val="32"/>
        <w:keepNext w:val="0"/>
        <w:keepLines w:val="0"/>
        <w:pageBreakBefore w:val="0"/>
        <w:kinsoku/>
        <w:overflowPunct/>
        <w:topLinePunct w:val="0"/>
        <w:autoSpaceDE/>
        <w:autoSpaceDN/>
        <w:bidi w:val="0"/>
        <w:spacing w:beforeAutospacing="0" w:afterAutospacing="0"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kern w:val="2"/>
          <w:sz w:val="21"/>
          <w:szCs w:val="21"/>
          <w:highlight w:val="none"/>
        </w:rPr>
        <w:t>名  称：</w:t>
      </w:r>
      <w:r>
        <w:rPr>
          <w:rFonts w:hint="eastAsia" w:ascii="宋体" w:hAnsi="宋体" w:cs="宋体"/>
          <w:color w:val="auto"/>
          <w:sz w:val="21"/>
          <w:szCs w:val="21"/>
          <w:highlight w:val="none"/>
          <w:lang w:eastAsia="zh-CN"/>
        </w:rPr>
        <w:t xml:space="preserve">开化县残疾人联合会 </w:t>
      </w:r>
    </w:p>
    <w:p w14:paraId="4CA61530">
      <w:pPr>
        <w:pStyle w:val="32"/>
        <w:keepNext w:val="0"/>
        <w:keepLines w:val="0"/>
        <w:pageBreakBefore w:val="0"/>
        <w:kinsoku/>
        <w:overflowPunct/>
        <w:topLinePunct w:val="0"/>
        <w:autoSpaceDE/>
        <w:autoSpaceDN/>
        <w:bidi w:val="0"/>
        <w:spacing w:beforeAutospacing="0" w:afterAutospacing="0" w:line="440" w:lineRule="exact"/>
        <w:ind w:firstLine="420" w:firstLineChars="200"/>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w:t>
      </w:r>
      <w:r>
        <w:rPr>
          <w:rFonts w:hint="eastAsia" w:ascii="宋体" w:hAnsi="宋体" w:eastAsia="宋体" w:cs="宋体"/>
          <w:color w:val="auto"/>
          <w:sz w:val="21"/>
          <w:szCs w:val="21"/>
          <w:highlight w:val="none"/>
          <w:lang w:eastAsia="zh-CN"/>
        </w:rPr>
        <w:t xml:space="preserve">  址：</w:t>
      </w:r>
      <w:r>
        <w:rPr>
          <w:rFonts w:hint="eastAsia" w:ascii="宋体" w:hAnsi="宋体" w:cs="宋体"/>
          <w:color w:val="auto"/>
          <w:sz w:val="21"/>
          <w:szCs w:val="21"/>
          <w:highlight w:val="none"/>
          <w:lang w:val="en-US" w:eastAsia="zh-CN"/>
        </w:rPr>
        <w:t>开化县华埠镇凤凰中路61号</w:t>
      </w:r>
      <w:r>
        <w:rPr>
          <w:rFonts w:ascii="微软雅黑" w:hAnsi="微软雅黑" w:eastAsia="微软雅黑" w:cs="微软雅黑"/>
          <w:i w:val="0"/>
          <w:iCs w:val="0"/>
          <w:caps w:val="0"/>
          <w:color w:val="auto"/>
          <w:spacing w:val="0"/>
          <w:sz w:val="18"/>
          <w:szCs w:val="18"/>
          <w:highlight w:val="none"/>
        </w:rPr>
        <w:t></w:t>
      </w:r>
    </w:p>
    <w:p w14:paraId="7B1C8F9B">
      <w:pPr>
        <w:pStyle w:val="32"/>
        <w:keepNext w:val="0"/>
        <w:keepLines w:val="0"/>
        <w:pageBreakBefore w:val="0"/>
        <w:shd w:val="clear" w:color="auto" w:fill="FFFFFF"/>
        <w:kinsoku/>
        <w:overflowPunct/>
        <w:topLinePunct w:val="0"/>
        <w:autoSpaceDE/>
        <w:autoSpaceDN/>
        <w:bidi w:val="0"/>
        <w:spacing w:beforeAutospacing="0" w:afterAutospacing="0" w:line="440" w:lineRule="exact"/>
        <w:ind w:firstLine="420" w:firstLineChars="200"/>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rPr>
        <w:t>项目联系人</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询问）：</w:t>
      </w:r>
      <w:r>
        <w:rPr>
          <w:rFonts w:hint="eastAsia" w:ascii="宋体" w:hAnsi="宋体" w:cs="宋体"/>
          <w:b w:val="0"/>
          <w:bCs/>
          <w:color w:val="auto"/>
          <w:spacing w:val="0"/>
          <w:kern w:val="2"/>
          <w:sz w:val="21"/>
          <w:szCs w:val="21"/>
          <w:highlight w:val="none"/>
          <w:lang w:val="en-US" w:eastAsia="zh-CN" w:bidi="ar-SA"/>
        </w:rPr>
        <w:t xml:space="preserve">余淡然 </w:t>
      </w:r>
    </w:p>
    <w:p w14:paraId="317EF53A">
      <w:pPr>
        <w:pStyle w:val="32"/>
        <w:keepNext w:val="0"/>
        <w:keepLines w:val="0"/>
        <w:pageBreakBefore w:val="0"/>
        <w:shd w:val="clear" w:color="auto" w:fill="FFFFFF"/>
        <w:kinsoku/>
        <w:overflowPunct/>
        <w:topLinePunct w:val="0"/>
        <w:autoSpaceDE/>
        <w:autoSpaceDN/>
        <w:bidi w:val="0"/>
        <w:spacing w:beforeAutospacing="0" w:afterAutospacing="0" w:line="440" w:lineRule="exact"/>
        <w:ind w:firstLine="420" w:firstLineChars="200"/>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项目联系方式（询问）：</w:t>
      </w:r>
      <w:r>
        <w:rPr>
          <w:rFonts w:hint="eastAsia" w:ascii="宋体" w:hAnsi="宋体" w:cs="宋体"/>
          <w:color w:val="000000"/>
          <w:spacing w:val="0"/>
          <w:sz w:val="21"/>
          <w:szCs w:val="21"/>
          <w:highlight w:val="none"/>
          <w:lang w:val="en-US" w:eastAsia="zh-CN"/>
        </w:rPr>
        <w:t>15757085811</w:t>
      </w:r>
    </w:p>
    <w:p w14:paraId="5FEE3DB5">
      <w:pPr>
        <w:pStyle w:val="32"/>
        <w:keepNext w:val="0"/>
        <w:keepLines w:val="0"/>
        <w:pageBreakBefore w:val="0"/>
        <w:shd w:val="clear" w:color="auto" w:fill="FFFFFF"/>
        <w:kinsoku/>
        <w:overflowPunct/>
        <w:topLinePunct w:val="0"/>
        <w:autoSpaceDE/>
        <w:autoSpaceDN/>
        <w:bidi w:val="0"/>
        <w:spacing w:beforeAutospacing="0" w:afterAutospacing="0" w:line="440" w:lineRule="exact"/>
        <w:ind w:firstLine="420" w:firstLineChars="200"/>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质疑联系人：</w:t>
      </w:r>
      <w:r>
        <w:rPr>
          <w:rFonts w:hint="eastAsia" w:ascii="宋体" w:hAnsi="宋体" w:cs="宋体"/>
          <w:color w:val="auto"/>
          <w:kern w:val="2"/>
          <w:sz w:val="21"/>
          <w:szCs w:val="21"/>
          <w:highlight w:val="none"/>
          <w:lang w:val="en-US" w:eastAsia="zh-CN"/>
        </w:rPr>
        <w:t xml:space="preserve"> 夏燕清</w:t>
      </w:r>
    </w:p>
    <w:p w14:paraId="3ED59E34">
      <w:pPr>
        <w:pStyle w:val="32"/>
        <w:keepNext w:val="0"/>
        <w:keepLines w:val="0"/>
        <w:pageBreakBefore w:val="0"/>
        <w:shd w:val="clear" w:color="auto" w:fill="FFFFFF"/>
        <w:kinsoku/>
        <w:overflowPunct/>
        <w:topLinePunct w:val="0"/>
        <w:autoSpaceDE/>
        <w:autoSpaceDN/>
        <w:bidi w:val="0"/>
        <w:spacing w:beforeAutospacing="0" w:afterAutospacing="0" w:line="440" w:lineRule="exact"/>
        <w:ind w:firstLine="420" w:firstLineChars="200"/>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质疑联系方式</w:t>
      </w:r>
      <w:r>
        <w:rPr>
          <w:rFonts w:hint="eastAsia" w:ascii="宋体" w:hAnsi="宋体" w:eastAsia="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 xml:space="preserve">15957031599 </w:t>
      </w:r>
    </w:p>
    <w:p w14:paraId="2CACBAEF">
      <w:pPr>
        <w:pStyle w:val="32"/>
        <w:keepNext w:val="0"/>
        <w:keepLines w:val="0"/>
        <w:pageBreakBefore w:val="0"/>
        <w:kinsoku/>
        <w:overflowPunct/>
        <w:topLinePunct w:val="0"/>
        <w:autoSpaceDE/>
        <w:autoSpaceDN/>
        <w:bidi w:val="0"/>
        <w:spacing w:beforeAutospacing="0" w:afterAutospacing="0"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2.采购代理机构信息</w:t>
      </w:r>
    </w:p>
    <w:p w14:paraId="0505B509">
      <w:pPr>
        <w:pStyle w:val="32"/>
        <w:keepNext w:val="0"/>
        <w:keepLines w:val="0"/>
        <w:pageBreakBefore w:val="0"/>
        <w:kinsoku/>
        <w:overflowPunct/>
        <w:topLinePunct w:val="0"/>
        <w:autoSpaceDE/>
        <w:autoSpaceDN/>
        <w:bidi w:val="0"/>
        <w:spacing w:beforeAutospacing="0" w:afterAutospacing="0" w:line="440" w:lineRule="exact"/>
        <w:ind w:firstLine="420" w:firstLineChars="200"/>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名  称：</w:t>
      </w:r>
      <w:r>
        <w:rPr>
          <w:rFonts w:hint="eastAsia" w:ascii="宋体" w:hAnsi="宋体" w:cs="宋体"/>
          <w:color w:val="auto"/>
          <w:sz w:val="21"/>
          <w:szCs w:val="21"/>
          <w:highlight w:val="none"/>
          <w:lang w:eastAsia="zh-CN"/>
        </w:rPr>
        <w:t>浙江金穗工程项目管理有限公司</w:t>
      </w:r>
      <w:r>
        <w:rPr>
          <w:rFonts w:hint="eastAsia" w:ascii="宋体" w:hAnsi="宋体" w:cs="宋体"/>
          <w:color w:val="auto"/>
          <w:kern w:val="2"/>
          <w:sz w:val="21"/>
          <w:szCs w:val="21"/>
          <w:highlight w:val="none"/>
        </w:rPr>
        <w:t> </w:t>
      </w:r>
    </w:p>
    <w:p w14:paraId="573B28AD">
      <w:pPr>
        <w:pStyle w:val="32"/>
        <w:keepNext w:val="0"/>
        <w:keepLines w:val="0"/>
        <w:pageBreakBefore w:val="0"/>
        <w:kinsoku/>
        <w:overflowPunct/>
        <w:topLinePunct w:val="0"/>
        <w:autoSpaceDE/>
        <w:autoSpaceDN/>
        <w:bidi w:val="0"/>
        <w:spacing w:beforeAutospacing="0" w:afterAutospacing="0" w:line="440" w:lineRule="exact"/>
        <w:ind w:firstLine="420" w:firstLineChars="200"/>
        <w:textAlignment w:val="auto"/>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地  址：</w:t>
      </w:r>
      <w:r>
        <w:rPr>
          <w:rFonts w:hint="eastAsia" w:ascii="宋体" w:hAnsi="宋体" w:cs="宋体"/>
          <w:color w:val="auto"/>
          <w:sz w:val="21"/>
          <w:szCs w:val="21"/>
          <w:highlight w:val="none"/>
          <w:lang w:eastAsia="zh-CN"/>
        </w:rPr>
        <w:t>开化县金佰汇广场5栋245-247号</w:t>
      </w:r>
    </w:p>
    <w:p w14:paraId="7A737B0A">
      <w:pPr>
        <w:pStyle w:val="32"/>
        <w:keepNext w:val="0"/>
        <w:keepLines w:val="0"/>
        <w:pageBreakBefore w:val="0"/>
        <w:kinsoku/>
        <w:overflowPunct/>
        <w:topLinePunct w:val="0"/>
        <w:autoSpaceDE/>
        <w:autoSpaceDN/>
        <w:bidi w:val="0"/>
        <w:spacing w:beforeAutospacing="0" w:afterAutospacing="0" w:line="440" w:lineRule="exact"/>
        <w:ind w:firstLine="420" w:firstLineChars="200"/>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项目联系人（询问）：</w:t>
      </w:r>
      <w:r>
        <w:rPr>
          <w:rFonts w:hint="eastAsia" w:ascii="宋体" w:hAnsi="宋体" w:cs="宋体"/>
          <w:color w:val="auto"/>
          <w:kern w:val="2"/>
          <w:sz w:val="21"/>
          <w:szCs w:val="21"/>
          <w:highlight w:val="none"/>
          <w:lang w:eastAsia="zh-CN"/>
        </w:rPr>
        <w:t>江琴琴</w:t>
      </w:r>
      <w:r>
        <w:rPr>
          <w:rFonts w:hint="eastAsia" w:ascii="宋体" w:hAnsi="宋体" w:cs="宋体"/>
          <w:color w:val="auto"/>
          <w:kern w:val="2"/>
          <w:sz w:val="21"/>
          <w:szCs w:val="21"/>
          <w:highlight w:val="none"/>
        </w:rPr>
        <w:t>     </w:t>
      </w:r>
    </w:p>
    <w:p w14:paraId="452D06D8">
      <w:pPr>
        <w:pStyle w:val="32"/>
        <w:keepNext w:val="0"/>
        <w:keepLines w:val="0"/>
        <w:pageBreakBefore w:val="0"/>
        <w:kinsoku/>
        <w:overflowPunct/>
        <w:topLinePunct w:val="0"/>
        <w:autoSpaceDE/>
        <w:autoSpaceDN/>
        <w:bidi w:val="0"/>
        <w:spacing w:beforeAutospacing="0" w:afterAutospacing="0" w:line="440" w:lineRule="exact"/>
        <w:ind w:firstLine="420" w:firstLineChars="200"/>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项目联系方式（询问）：</w:t>
      </w:r>
      <w:r>
        <w:rPr>
          <w:rFonts w:hint="eastAsia" w:ascii="宋体" w:hAnsi="宋体" w:cs="宋体"/>
          <w:color w:val="auto"/>
          <w:kern w:val="2"/>
          <w:sz w:val="21"/>
          <w:szCs w:val="21"/>
          <w:highlight w:val="none"/>
          <w:lang w:val="en-US" w:eastAsia="zh-CN"/>
        </w:rPr>
        <w:t>13567023337</w:t>
      </w:r>
      <w:r>
        <w:rPr>
          <w:rFonts w:hint="eastAsia" w:ascii="宋体" w:hAnsi="宋体" w:cs="宋体"/>
          <w:color w:val="auto"/>
          <w:kern w:val="2"/>
          <w:sz w:val="21"/>
          <w:szCs w:val="21"/>
          <w:highlight w:val="none"/>
        </w:rPr>
        <w:t>　</w:t>
      </w:r>
    </w:p>
    <w:p w14:paraId="24C7419D">
      <w:pPr>
        <w:pStyle w:val="32"/>
        <w:keepNext w:val="0"/>
        <w:keepLines w:val="0"/>
        <w:pageBreakBefore w:val="0"/>
        <w:kinsoku/>
        <w:overflowPunct/>
        <w:topLinePunct w:val="0"/>
        <w:autoSpaceDE/>
        <w:autoSpaceDN/>
        <w:bidi w:val="0"/>
        <w:spacing w:beforeAutospacing="0" w:afterAutospacing="0" w:line="440" w:lineRule="exact"/>
        <w:ind w:firstLine="420" w:firstLineChars="200"/>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质疑联系人：</w:t>
      </w:r>
      <w:r>
        <w:rPr>
          <w:rFonts w:hint="eastAsia" w:ascii="宋体" w:hAnsi="宋体" w:cs="宋体"/>
          <w:color w:val="auto"/>
          <w:kern w:val="2"/>
          <w:sz w:val="21"/>
          <w:szCs w:val="21"/>
          <w:highlight w:val="none"/>
          <w:lang w:val="en-US" w:eastAsia="zh-CN"/>
        </w:rPr>
        <w:t>吾温婷</w:t>
      </w:r>
      <w:r>
        <w:rPr>
          <w:rFonts w:hint="eastAsia" w:ascii="宋体" w:hAnsi="宋体" w:cs="宋体"/>
          <w:color w:val="auto"/>
          <w:kern w:val="2"/>
          <w:sz w:val="21"/>
          <w:szCs w:val="21"/>
          <w:highlight w:val="none"/>
        </w:rPr>
        <w:t>           </w:t>
      </w:r>
    </w:p>
    <w:p w14:paraId="76F8AAB3">
      <w:pPr>
        <w:pStyle w:val="32"/>
        <w:keepNext w:val="0"/>
        <w:keepLines w:val="0"/>
        <w:pageBreakBefore w:val="0"/>
        <w:kinsoku/>
        <w:overflowPunct/>
        <w:topLinePunct w:val="0"/>
        <w:autoSpaceDE/>
        <w:autoSpaceDN/>
        <w:bidi w:val="0"/>
        <w:spacing w:beforeAutospacing="0" w:afterAutospacing="0" w:line="440" w:lineRule="exact"/>
        <w:ind w:firstLine="420" w:firstLineChars="200"/>
        <w:textAlignment w:val="auto"/>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质疑联系方式：</w:t>
      </w:r>
      <w:r>
        <w:rPr>
          <w:rFonts w:hint="eastAsia" w:ascii="宋体" w:hAnsi="宋体" w:cs="宋体"/>
          <w:color w:val="auto"/>
          <w:kern w:val="2"/>
          <w:sz w:val="21"/>
          <w:szCs w:val="21"/>
          <w:highlight w:val="none"/>
          <w:lang w:eastAsia="zh-CN"/>
        </w:rPr>
        <w:t>0570-6016968</w:t>
      </w:r>
    </w:p>
    <w:p w14:paraId="27A125EF">
      <w:pPr>
        <w:pStyle w:val="32"/>
        <w:keepNext w:val="0"/>
        <w:keepLines w:val="0"/>
        <w:pageBreakBefore w:val="0"/>
        <w:kinsoku/>
        <w:overflowPunct/>
        <w:topLinePunct w:val="0"/>
        <w:autoSpaceDE/>
        <w:autoSpaceDN/>
        <w:bidi w:val="0"/>
        <w:spacing w:beforeAutospacing="0" w:afterAutospacing="0" w:line="440" w:lineRule="exact"/>
        <w:ind w:firstLine="420" w:firstLineChars="200"/>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3.同级政府采购监督管理部门            </w:t>
      </w:r>
    </w:p>
    <w:p w14:paraId="4ADECD1F">
      <w:pPr>
        <w:pStyle w:val="32"/>
        <w:keepNext w:val="0"/>
        <w:keepLines w:val="0"/>
        <w:pageBreakBefore w:val="0"/>
        <w:kinsoku/>
        <w:overflowPunct/>
        <w:topLinePunct w:val="0"/>
        <w:autoSpaceDE/>
        <w:autoSpaceDN/>
        <w:bidi w:val="0"/>
        <w:spacing w:beforeAutospacing="0" w:afterAutospacing="0" w:line="440" w:lineRule="exact"/>
        <w:ind w:firstLine="420" w:firstLineChars="200"/>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名    称：开化县财政局政府采购监管科（以下简称采监科）             </w:t>
      </w:r>
    </w:p>
    <w:p w14:paraId="3476801B">
      <w:pPr>
        <w:keepNext w:val="0"/>
        <w:keepLines w:val="0"/>
        <w:pageBreakBefore w:val="0"/>
        <w:kinsoku/>
        <w:overflowPunct/>
        <w:topLinePunct w:val="0"/>
        <w:autoSpaceDE/>
        <w:autoSpaceDN/>
        <w:bidi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地    址：开化县永吉二路</w:t>
      </w:r>
      <w:r>
        <w:rPr>
          <w:rFonts w:hint="eastAsia" w:ascii="宋体" w:hAnsi="宋体" w:cs="宋体"/>
          <w:color w:val="auto"/>
          <w:highlight w:val="none"/>
          <w:lang w:val="en-US" w:eastAsia="zh-CN"/>
        </w:rPr>
        <w:t>8</w:t>
      </w:r>
      <w:r>
        <w:rPr>
          <w:rFonts w:hint="eastAsia" w:ascii="宋体" w:hAnsi="宋体" w:cs="宋体"/>
          <w:color w:val="auto"/>
          <w:highlight w:val="none"/>
        </w:rPr>
        <w:t>号        </w:t>
      </w:r>
    </w:p>
    <w:p w14:paraId="16A65CB5">
      <w:pPr>
        <w:pStyle w:val="32"/>
        <w:keepNext w:val="0"/>
        <w:keepLines w:val="0"/>
        <w:pageBreakBefore w:val="0"/>
        <w:kinsoku/>
        <w:overflowPunct/>
        <w:topLinePunct w:val="0"/>
        <w:autoSpaceDE/>
        <w:autoSpaceDN/>
        <w:bidi w:val="0"/>
        <w:spacing w:beforeAutospacing="0" w:afterAutospacing="0" w:line="440" w:lineRule="exact"/>
        <w:ind w:firstLine="420" w:firstLineChars="200"/>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联系人 ：</w:t>
      </w:r>
      <w:r>
        <w:rPr>
          <w:rFonts w:hint="eastAsia" w:ascii="宋体" w:hAnsi="宋体" w:cs="宋体"/>
          <w:color w:val="auto"/>
          <w:kern w:val="2"/>
          <w:sz w:val="21"/>
          <w:szCs w:val="21"/>
          <w:highlight w:val="none"/>
          <w:lang w:eastAsia="zh-CN"/>
        </w:rPr>
        <w:t>江</w:t>
      </w:r>
      <w:r>
        <w:rPr>
          <w:rFonts w:hint="eastAsia" w:ascii="宋体" w:hAnsi="宋体" w:cs="宋体"/>
          <w:color w:val="auto"/>
          <w:kern w:val="2"/>
          <w:sz w:val="21"/>
          <w:szCs w:val="21"/>
          <w:highlight w:val="none"/>
          <w:lang w:val="en-US" w:eastAsia="zh-CN"/>
        </w:rPr>
        <w:t>科</w:t>
      </w:r>
      <w:r>
        <w:rPr>
          <w:rFonts w:hint="eastAsia" w:ascii="宋体" w:hAnsi="宋体" w:cs="宋体"/>
          <w:color w:val="auto"/>
          <w:kern w:val="2"/>
          <w:sz w:val="21"/>
          <w:szCs w:val="21"/>
          <w:highlight w:val="none"/>
        </w:rPr>
        <w:t>           </w:t>
      </w:r>
    </w:p>
    <w:p w14:paraId="0DFDACD5">
      <w:pPr>
        <w:pStyle w:val="32"/>
        <w:keepNext w:val="0"/>
        <w:keepLines w:val="0"/>
        <w:pageBreakBefore w:val="0"/>
        <w:kinsoku/>
        <w:overflowPunct/>
        <w:topLinePunct w:val="0"/>
        <w:autoSpaceDE/>
        <w:autoSpaceDN/>
        <w:bidi w:val="0"/>
        <w:spacing w:beforeAutospacing="0" w:afterAutospacing="0"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kern w:val="2"/>
          <w:sz w:val="21"/>
          <w:szCs w:val="21"/>
          <w:highlight w:val="none"/>
        </w:rPr>
        <w:t>监督投诉电话：0570-6013637</w:t>
      </w:r>
    </w:p>
    <w:p w14:paraId="034F4F75">
      <w:pPr>
        <w:pStyle w:val="32"/>
        <w:keepNext w:val="0"/>
        <w:keepLines w:val="0"/>
        <w:pageBreakBefore w:val="0"/>
        <w:kinsoku/>
        <w:overflowPunct/>
        <w:topLinePunct w:val="0"/>
        <w:autoSpaceDE/>
        <w:autoSpaceDN/>
        <w:bidi w:val="0"/>
        <w:spacing w:beforeAutospacing="0" w:afterAutospacing="0" w:line="440" w:lineRule="exact"/>
        <w:ind w:firstLine="422" w:firstLineChars="200"/>
        <w:textAlignment w:val="auto"/>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若对项目采购电子交易系统操作有疑问，可登录政采云（https://www.zcygov.cn/），点击右侧咨询小采，获取采小蜜智能服务管家帮助，或拨打政采云服务热线</w:t>
      </w:r>
      <w:r>
        <w:rPr>
          <w:rFonts w:hint="eastAsia" w:ascii="宋体" w:hAnsi="宋体" w:cs="宋体"/>
          <w:b/>
          <w:color w:val="auto"/>
          <w:kern w:val="2"/>
          <w:sz w:val="21"/>
          <w:szCs w:val="21"/>
          <w:highlight w:val="none"/>
          <w:lang w:val="en-US" w:eastAsia="zh-CN"/>
        </w:rPr>
        <w:t>95763</w:t>
      </w:r>
      <w:r>
        <w:rPr>
          <w:rFonts w:hint="eastAsia" w:ascii="宋体" w:hAnsi="宋体" w:cs="宋体"/>
          <w:b/>
          <w:color w:val="auto"/>
          <w:kern w:val="2"/>
          <w:sz w:val="21"/>
          <w:szCs w:val="21"/>
          <w:highlight w:val="none"/>
        </w:rPr>
        <w:t>获取热线服务帮助。</w:t>
      </w:r>
    </w:p>
    <w:p w14:paraId="03797E2E">
      <w:pPr>
        <w:pStyle w:val="32"/>
        <w:keepNext w:val="0"/>
        <w:keepLines w:val="0"/>
        <w:pageBreakBefore w:val="0"/>
        <w:kinsoku/>
        <w:overflowPunct/>
        <w:topLinePunct w:val="0"/>
        <w:autoSpaceDE/>
        <w:autoSpaceDN/>
        <w:bidi w:val="0"/>
        <w:spacing w:beforeAutospacing="0" w:afterAutospacing="0" w:line="440" w:lineRule="exact"/>
        <w:ind w:firstLine="422" w:firstLineChars="200"/>
        <w:textAlignment w:val="auto"/>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CA问题联系电话（人工）：汇信CA 400-888-4636；天谷CA 400-087-8198。</w:t>
      </w:r>
    </w:p>
    <w:p w14:paraId="2F461434">
      <w:pPr>
        <w:keepNext w:val="0"/>
        <w:keepLines w:val="0"/>
        <w:pageBreakBefore w:val="0"/>
        <w:kinsoku/>
        <w:overflowPunct/>
        <w:topLinePunct w:val="0"/>
        <w:autoSpaceDE/>
        <w:autoSpaceDN/>
        <w:bidi w:val="0"/>
        <w:spacing w:line="440" w:lineRule="exact"/>
        <w:textAlignment w:val="auto"/>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br w:type="page"/>
      </w:r>
    </w:p>
    <w:p w14:paraId="23BA73A4">
      <w:pPr>
        <w:spacing w:line="440" w:lineRule="exact"/>
        <w:jc w:val="center"/>
        <w:outlineLvl w:val="0"/>
        <w:rPr>
          <w:rFonts w:ascii="黑体" w:hAnsi="黑体" w:eastAsia="黑体" w:cs="Times New Roman"/>
          <w:color w:val="auto"/>
          <w:sz w:val="36"/>
          <w:szCs w:val="36"/>
          <w:highlight w:val="none"/>
        </w:rPr>
      </w:pPr>
      <w:r>
        <w:rPr>
          <w:rFonts w:hint="eastAsia" w:ascii="黑体" w:hAnsi="黑体" w:eastAsia="黑体" w:cs="黑体"/>
          <w:color w:val="auto"/>
          <w:sz w:val="36"/>
          <w:szCs w:val="36"/>
          <w:highlight w:val="none"/>
        </w:rPr>
        <w:t xml:space="preserve">第二章  </w:t>
      </w:r>
      <w:bookmarkEnd w:id="1"/>
      <w:bookmarkEnd w:id="2"/>
      <w:bookmarkEnd w:id="3"/>
      <w:bookmarkEnd w:id="4"/>
      <w:bookmarkEnd w:id="5"/>
      <w:bookmarkEnd w:id="6"/>
      <w:r>
        <w:rPr>
          <w:rFonts w:hint="eastAsia" w:ascii="黑体" w:hAnsi="黑体" w:eastAsia="黑体" w:cs="黑体"/>
          <w:color w:val="auto"/>
          <w:sz w:val="36"/>
          <w:szCs w:val="36"/>
          <w:highlight w:val="none"/>
        </w:rPr>
        <w:t>投标人须知及前附表</w:t>
      </w:r>
    </w:p>
    <w:p w14:paraId="22E0B494">
      <w:pPr>
        <w:widowControl/>
        <w:outlineLvl w:val="1"/>
        <w:rPr>
          <w:rFonts w:ascii="宋体" w:hAnsi="宋体" w:cs="宋体"/>
          <w:b/>
          <w:color w:val="auto"/>
          <w:kern w:val="0"/>
          <w:sz w:val="24"/>
          <w:szCs w:val="24"/>
          <w:highlight w:val="none"/>
          <w:shd w:val="clear" w:color="auto" w:fill="FFFFFF"/>
        </w:rPr>
      </w:pPr>
      <w:bookmarkStart w:id="10" w:name="_Toc504642663"/>
      <w:bookmarkStart w:id="11" w:name="_Toc326937529"/>
      <w:bookmarkStart w:id="12" w:name="_Toc472691759"/>
      <w:bookmarkStart w:id="13" w:name="_Toc393201706"/>
      <w:bookmarkStart w:id="14" w:name="_Toc479236971"/>
      <w:bookmarkStart w:id="15" w:name="_Toc358384687"/>
      <w:bookmarkStart w:id="16" w:name="_Toc433917259"/>
      <w:bookmarkStart w:id="17" w:name="_Toc333842543"/>
      <w:r>
        <w:rPr>
          <w:rFonts w:ascii="宋体" w:hAnsi="宋体" w:cs="宋体"/>
          <w:b/>
          <w:color w:val="auto"/>
          <w:kern w:val="0"/>
          <w:sz w:val="24"/>
          <w:szCs w:val="24"/>
          <w:highlight w:val="none"/>
          <w:shd w:val="clear" w:color="auto" w:fill="FFFFFF"/>
        </w:rPr>
        <w:t>A</w:t>
      </w:r>
      <w:r>
        <w:rPr>
          <w:rFonts w:hint="eastAsia" w:ascii="宋体" w:hAnsi="宋体" w:cs="宋体"/>
          <w:b/>
          <w:color w:val="auto"/>
          <w:kern w:val="0"/>
          <w:sz w:val="24"/>
          <w:szCs w:val="24"/>
          <w:highlight w:val="none"/>
          <w:shd w:val="clear" w:color="auto" w:fill="FFFFFF"/>
          <w:lang w:eastAsia="zh-CN"/>
        </w:rPr>
        <w:t>.</w:t>
      </w:r>
      <w:bookmarkEnd w:id="10"/>
      <w:r>
        <w:rPr>
          <w:rFonts w:hint="eastAsia" w:ascii="宋体" w:hAnsi="宋体" w:cs="宋体"/>
          <w:b/>
          <w:bCs/>
          <w:color w:val="auto"/>
          <w:kern w:val="0"/>
          <w:sz w:val="24"/>
          <w:highlight w:val="none"/>
        </w:rPr>
        <w:t>投标人须知前附表</w:t>
      </w:r>
    </w:p>
    <w:tbl>
      <w:tblPr>
        <w:tblStyle w:val="38"/>
        <w:tblW w:w="93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7" w:type="dxa"/>
          <w:left w:w="74" w:type="dxa"/>
          <w:bottom w:w="17" w:type="dxa"/>
          <w:right w:w="74" w:type="dxa"/>
        </w:tblCellMar>
      </w:tblPr>
      <w:tblGrid>
        <w:gridCol w:w="628"/>
        <w:gridCol w:w="1450"/>
        <w:gridCol w:w="7245"/>
      </w:tblGrid>
      <w:tr w14:paraId="605444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465" w:hRule="atLeast"/>
          <w:jc w:val="center"/>
        </w:trPr>
        <w:tc>
          <w:tcPr>
            <w:tcW w:w="628" w:type="dxa"/>
            <w:shd w:val="clear" w:color="000000" w:fill="auto"/>
            <w:vAlign w:val="center"/>
          </w:tcPr>
          <w:p w14:paraId="3FA001C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color w:val="auto"/>
                <w:highlight w:val="none"/>
                <w:shd w:val="clear" w:color="auto" w:fill="FFFFFF"/>
              </w:rPr>
            </w:pPr>
            <w:r>
              <w:rPr>
                <w:rFonts w:hint="eastAsia" w:asciiTheme="minorEastAsia" w:hAnsiTheme="minorEastAsia" w:eastAsiaTheme="minorEastAsia" w:cstheme="minorEastAsia"/>
                <w:b/>
                <w:color w:val="auto"/>
                <w:highlight w:val="none"/>
                <w:shd w:val="clear" w:color="auto" w:fill="FFFFFF"/>
              </w:rPr>
              <w:t>序号</w:t>
            </w:r>
          </w:p>
        </w:tc>
        <w:tc>
          <w:tcPr>
            <w:tcW w:w="1450" w:type="dxa"/>
            <w:shd w:val="clear" w:color="000000" w:fill="auto"/>
            <w:vAlign w:val="center"/>
          </w:tcPr>
          <w:p w14:paraId="48565E3D">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color w:val="auto"/>
                <w:highlight w:val="none"/>
                <w:shd w:val="clear" w:color="auto" w:fill="FFFFFF"/>
              </w:rPr>
            </w:pPr>
            <w:r>
              <w:rPr>
                <w:rFonts w:hint="eastAsia" w:asciiTheme="minorEastAsia" w:hAnsiTheme="minorEastAsia" w:eastAsiaTheme="minorEastAsia" w:cstheme="minorEastAsia"/>
                <w:b/>
                <w:color w:val="auto"/>
                <w:highlight w:val="none"/>
                <w:shd w:val="clear" w:color="auto" w:fill="FFFFFF"/>
              </w:rPr>
              <w:t>内容</w:t>
            </w:r>
          </w:p>
        </w:tc>
        <w:tc>
          <w:tcPr>
            <w:tcW w:w="7245" w:type="dxa"/>
            <w:shd w:val="clear" w:color="000000" w:fill="auto"/>
            <w:vAlign w:val="center"/>
          </w:tcPr>
          <w:p w14:paraId="6C56CFC6">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color w:val="auto"/>
                <w:highlight w:val="none"/>
                <w:shd w:val="clear" w:color="auto" w:fill="FFFFFF"/>
              </w:rPr>
            </w:pPr>
            <w:r>
              <w:rPr>
                <w:rFonts w:hint="eastAsia" w:asciiTheme="minorEastAsia" w:hAnsiTheme="minorEastAsia" w:eastAsiaTheme="minorEastAsia" w:cstheme="minorEastAsia"/>
                <w:b/>
                <w:color w:val="auto"/>
                <w:highlight w:val="none"/>
                <w:shd w:val="clear" w:color="auto" w:fill="FFFFFF"/>
              </w:rPr>
              <w:t>须     知</w:t>
            </w:r>
          </w:p>
        </w:tc>
      </w:tr>
      <w:tr w14:paraId="0B496C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1948" w:hRule="atLeast"/>
          <w:jc w:val="center"/>
        </w:trPr>
        <w:tc>
          <w:tcPr>
            <w:tcW w:w="628" w:type="dxa"/>
            <w:shd w:val="clear" w:color="000000" w:fill="auto"/>
            <w:vAlign w:val="center"/>
          </w:tcPr>
          <w:p w14:paraId="14F8E05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1</w:t>
            </w:r>
          </w:p>
        </w:tc>
        <w:tc>
          <w:tcPr>
            <w:tcW w:w="1450" w:type="dxa"/>
            <w:shd w:val="clear" w:color="000000" w:fill="auto"/>
            <w:vAlign w:val="center"/>
          </w:tcPr>
          <w:p w14:paraId="494FA873">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采购项目</w:t>
            </w:r>
            <w:r>
              <w:rPr>
                <w:rStyle w:val="74"/>
                <w:rFonts w:hint="eastAsia" w:asciiTheme="minorEastAsia" w:hAnsiTheme="minorEastAsia" w:eastAsiaTheme="minorEastAsia" w:cstheme="minorEastAsia"/>
                <w:color w:val="auto"/>
                <w:sz w:val="21"/>
                <w:szCs w:val="21"/>
                <w:highlight w:val="none"/>
                <w:shd w:val="clear" w:color="auto" w:fill="FFFFFF"/>
              </w:rPr>
              <w:t>概况</w:t>
            </w:r>
          </w:p>
        </w:tc>
        <w:tc>
          <w:tcPr>
            <w:tcW w:w="7245" w:type="dxa"/>
            <w:shd w:val="clear" w:color="000000" w:fill="auto"/>
            <w:vAlign w:val="center"/>
          </w:tcPr>
          <w:p w14:paraId="0381611B">
            <w:pPr>
              <w:keepNext w:val="0"/>
              <w:keepLines w:val="0"/>
              <w:suppressLineNumbers w:val="0"/>
              <w:spacing w:before="0" w:beforeAutospacing="0" w:after="0" w:afterAutospacing="0"/>
              <w:ind w:left="0" w:right="0"/>
              <w:rPr>
                <w:rStyle w:val="73"/>
                <w:rFonts w:hint="eastAsia" w:asciiTheme="minorEastAsia" w:hAnsiTheme="minorEastAsia" w:eastAsiaTheme="minorEastAsia" w:cstheme="minorEastAsia"/>
                <w:color w:val="auto"/>
                <w:highlight w:val="none"/>
                <w:lang w:eastAsia="zh-CN"/>
              </w:rPr>
            </w:pPr>
            <w:r>
              <w:rPr>
                <w:rStyle w:val="73"/>
                <w:rFonts w:hint="eastAsia" w:asciiTheme="minorEastAsia" w:hAnsiTheme="minorEastAsia" w:eastAsiaTheme="minorEastAsia" w:cstheme="minorEastAsia"/>
                <w:color w:val="auto"/>
                <w:highlight w:val="none"/>
              </w:rPr>
              <w:t>采购人：</w:t>
            </w:r>
            <w:r>
              <w:rPr>
                <w:rStyle w:val="73"/>
                <w:rFonts w:hint="eastAsia" w:asciiTheme="minorEastAsia" w:hAnsiTheme="minorEastAsia" w:eastAsiaTheme="minorEastAsia" w:cstheme="minorEastAsia"/>
                <w:color w:val="auto"/>
                <w:highlight w:val="none"/>
                <w:lang w:eastAsia="zh-CN"/>
              </w:rPr>
              <w:t xml:space="preserve">开化县残疾人联合会 </w:t>
            </w:r>
          </w:p>
          <w:p w14:paraId="268890D9">
            <w:pPr>
              <w:keepNext w:val="0"/>
              <w:keepLines w:val="0"/>
              <w:suppressLineNumbers w:val="0"/>
              <w:spacing w:before="0" w:beforeAutospacing="0" w:after="0" w:afterAutospacing="0"/>
              <w:ind w:left="0" w:right="0"/>
              <w:rPr>
                <w:rStyle w:val="73"/>
                <w:rFonts w:hint="default" w:asciiTheme="minorEastAsia" w:hAnsiTheme="minorEastAsia" w:eastAsiaTheme="minorEastAsia" w:cstheme="minorEastAsia"/>
                <w:color w:val="auto"/>
                <w:highlight w:val="none"/>
              </w:rPr>
            </w:pPr>
            <w:r>
              <w:rPr>
                <w:rStyle w:val="73"/>
                <w:rFonts w:hint="eastAsia" w:asciiTheme="minorEastAsia" w:hAnsiTheme="minorEastAsia" w:eastAsiaTheme="minorEastAsia" w:cstheme="minorEastAsia"/>
                <w:color w:val="auto"/>
                <w:highlight w:val="none"/>
              </w:rPr>
              <w:t>采购内容：</w:t>
            </w:r>
            <w:r>
              <w:rPr>
                <w:rFonts w:hint="eastAsia" w:ascii="宋体" w:hAnsi="宋体" w:cs="宋体"/>
                <w:color w:val="auto"/>
                <w:highlight w:val="none"/>
                <w:u w:val="none"/>
                <w:lang w:eastAsia="zh-CN"/>
              </w:rPr>
              <w:t>浙江省第十二届残疾人运动会盲人跳绳比赛整体赛事执行服务</w:t>
            </w:r>
            <w:r>
              <w:rPr>
                <w:rStyle w:val="73"/>
                <w:rFonts w:hint="eastAsia" w:asciiTheme="minorEastAsia" w:hAnsiTheme="minorEastAsia" w:eastAsiaTheme="minorEastAsia" w:cstheme="minorEastAsia"/>
                <w:color w:val="auto"/>
                <w:highlight w:val="none"/>
              </w:rPr>
              <w:t>（</w:t>
            </w:r>
            <w:r>
              <w:rPr>
                <w:rStyle w:val="73"/>
                <w:rFonts w:hint="default" w:cs="宋体"/>
                <w:color w:val="auto"/>
                <w:highlight w:val="none"/>
              </w:rPr>
              <w:t>详见第四章《采购需求》</w:t>
            </w:r>
            <w:r>
              <w:rPr>
                <w:rStyle w:val="73"/>
                <w:rFonts w:hint="eastAsia" w:asciiTheme="minorEastAsia" w:hAnsiTheme="minorEastAsia" w:eastAsiaTheme="minorEastAsia" w:cstheme="minorEastAsia"/>
                <w:color w:val="auto"/>
                <w:highlight w:val="none"/>
              </w:rPr>
              <w:t>）。</w:t>
            </w:r>
          </w:p>
          <w:p w14:paraId="6D15DA96">
            <w:pPr>
              <w:keepNext w:val="0"/>
              <w:keepLines w:val="0"/>
              <w:suppressLineNumbers w:val="0"/>
              <w:spacing w:before="0" w:beforeAutospacing="0" w:after="0" w:afterAutospacing="0"/>
              <w:ind w:left="0" w:right="0"/>
              <w:rPr>
                <w:rStyle w:val="73"/>
                <w:rFonts w:hint="eastAsia" w:asciiTheme="minorEastAsia" w:hAnsiTheme="minorEastAsia" w:eastAsiaTheme="minorEastAsia" w:cstheme="minorEastAsia"/>
                <w:color w:val="auto"/>
                <w:highlight w:val="none"/>
                <w:lang w:eastAsia="zh-CN"/>
              </w:rPr>
            </w:pPr>
            <w:r>
              <w:rPr>
                <w:rStyle w:val="73"/>
                <w:rFonts w:hint="eastAsia" w:asciiTheme="minorEastAsia" w:hAnsiTheme="minorEastAsia" w:eastAsiaTheme="minorEastAsia" w:cstheme="minorEastAsia"/>
                <w:color w:val="auto"/>
                <w:highlight w:val="none"/>
              </w:rPr>
              <w:t>项目编号：</w:t>
            </w:r>
            <w:r>
              <w:rPr>
                <w:rStyle w:val="73"/>
                <w:rFonts w:hint="eastAsia" w:asciiTheme="minorEastAsia" w:hAnsiTheme="minorEastAsia" w:eastAsiaTheme="minorEastAsia" w:cstheme="minorEastAsia"/>
                <w:color w:val="auto"/>
                <w:highlight w:val="none"/>
                <w:lang w:eastAsia="zh-CN"/>
              </w:rPr>
              <w:t>ZJJSKH-2026-MRTS</w:t>
            </w:r>
          </w:p>
          <w:p w14:paraId="2334F42D">
            <w:pPr>
              <w:keepNext w:val="0"/>
              <w:keepLines w:val="0"/>
              <w:suppressLineNumbers w:val="0"/>
              <w:spacing w:before="0" w:beforeAutospacing="0" w:after="0" w:afterAutospacing="0"/>
              <w:ind w:left="0" w:right="0"/>
              <w:rPr>
                <w:rFonts w:hint="eastAsia" w:ascii="宋体" w:hAnsi="宋体" w:cs="宋体"/>
                <w:color w:val="auto"/>
                <w:kern w:val="0"/>
                <w:szCs w:val="21"/>
                <w:highlight w:val="none"/>
                <w:lang w:val="en-US" w:eastAsia="zh-CN"/>
              </w:rPr>
            </w:pPr>
            <w:r>
              <w:rPr>
                <w:rStyle w:val="73"/>
                <w:rFonts w:hint="eastAsia" w:asciiTheme="minorEastAsia" w:hAnsiTheme="minorEastAsia" w:eastAsiaTheme="minorEastAsia" w:cstheme="minorEastAsia"/>
                <w:color w:val="auto"/>
                <w:highlight w:val="none"/>
                <w:lang w:eastAsia="zh-CN"/>
              </w:rPr>
              <w:t>预算金额：</w:t>
            </w:r>
            <w:r>
              <w:rPr>
                <w:rFonts w:hint="eastAsia" w:ascii="宋体" w:hAnsi="宋体" w:cs="宋体"/>
                <w:color w:val="auto"/>
                <w:kern w:val="0"/>
                <w:szCs w:val="21"/>
                <w:highlight w:val="none"/>
                <w:u w:val="single"/>
                <w:lang w:val="en-US" w:eastAsia="zh-CN"/>
              </w:rPr>
              <w:t>64.4487万元</w:t>
            </w:r>
          </w:p>
          <w:p w14:paraId="737BF96E">
            <w:pPr>
              <w:keepNext w:val="0"/>
              <w:keepLines w:val="0"/>
              <w:suppressLineNumbers w:val="0"/>
              <w:spacing w:before="0" w:beforeAutospacing="0" w:after="0" w:afterAutospacing="0"/>
              <w:ind w:left="0" w:right="0"/>
              <w:rPr>
                <w:rStyle w:val="73"/>
                <w:rFonts w:hint="eastAsia" w:asciiTheme="minorEastAsia" w:hAnsiTheme="minorEastAsia" w:eastAsiaTheme="minorEastAsia" w:cstheme="minorEastAsia"/>
                <w:color w:val="auto"/>
                <w:highlight w:val="none"/>
                <w:lang w:eastAsia="zh-CN"/>
              </w:rPr>
            </w:pPr>
            <w:r>
              <w:rPr>
                <w:rStyle w:val="73"/>
                <w:rFonts w:hint="eastAsia" w:asciiTheme="minorEastAsia" w:hAnsiTheme="minorEastAsia" w:eastAsiaTheme="minorEastAsia" w:cstheme="minorEastAsia"/>
                <w:color w:val="auto"/>
                <w:highlight w:val="none"/>
                <w:lang w:val="en-US" w:eastAsia="zh-CN"/>
              </w:rPr>
              <w:t>最高限价：</w:t>
            </w:r>
            <w:r>
              <w:rPr>
                <w:rStyle w:val="73"/>
                <w:rFonts w:hint="eastAsia" w:asciiTheme="minorEastAsia" w:hAnsiTheme="minorEastAsia" w:eastAsiaTheme="minorEastAsia" w:cstheme="minorEastAsia"/>
                <w:color w:val="auto"/>
                <w:highlight w:val="none"/>
                <w:u w:val="single"/>
                <w:lang w:val="en-US" w:eastAsia="zh-CN"/>
              </w:rPr>
              <w:t>64.4487万元</w:t>
            </w:r>
          </w:p>
          <w:p w14:paraId="0845234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highlight w:val="none"/>
                <w:shd w:val="clear" w:color="auto" w:fill="FFFFFF"/>
              </w:rPr>
            </w:pPr>
            <w:r>
              <w:rPr>
                <w:rFonts w:hint="eastAsia" w:ascii="宋体" w:hAnsi="宋体" w:cs="宋体"/>
                <w:color w:val="auto"/>
                <w:szCs w:val="21"/>
                <w:highlight w:val="none"/>
                <w:lang w:val="en-US" w:eastAsia="zh-CN"/>
              </w:rPr>
              <w:t>合同履约期限：自合同签订起至所有赛事活动结束，所有人员返程结束。但根据合同约定提前解除或终止的除外。</w:t>
            </w:r>
          </w:p>
        </w:tc>
      </w:tr>
      <w:tr w14:paraId="61EC7E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2494" w:hRule="atLeast"/>
          <w:jc w:val="center"/>
        </w:trPr>
        <w:tc>
          <w:tcPr>
            <w:tcW w:w="628" w:type="dxa"/>
            <w:shd w:val="clear" w:color="000000" w:fill="auto"/>
            <w:vAlign w:val="center"/>
          </w:tcPr>
          <w:p w14:paraId="6BBA2B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shd w:val="clear" w:color="auto" w:fill="FFFFFF"/>
                <w:lang w:eastAsia="zh-CN"/>
              </w:rPr>
            </w:pPr>
            <w:r>
              <w:rPr>
                <w:rFonts w:hint="eastAsia" w:asciiTheme="minorEastAsia" w:hAnsiTheme="minorEastAsia" w:eastAsiaTheme="minorEastAsia" w:cstheme="minorEastAsia"/>
                <w:color w:val="auto"/>
                <w:highlight w:val="none"/>
                <w:shd w:val="clear" w:color="auto" w:fill="FFFFFF"/>
                <w:lang w:val="en-US" w:eastAsia="zh-CN"/>
              </w:rPr>
              <w:t>2</w:t>
            </w:r>
          </w:p>
        </w:tc>
        <w:tc>
          <w:tcPr>
            <w:tcW w:w="1450" w:type="dxa"/>
            <w:shd w:val="clear" w:color="000000" w:fill="auto"/>
            <w:vAlign w:val="center"/>
          </w:tcPr>
          <w:p w14:paraId="2AE24451">
            <w:pPr>
              <w:pStyle w:val="20"/>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rPr>
              <w:t>信用查询</w:t>
            </w:r>
          </w:p>
        </w:tc>
        <w:tc>
          <w:tcPr>
            <w:tcW w:w="7245" w:type="dxa"/>
            <w:shd w:val="clear" w:color="000000" w:fill="auto"/>
            <w:vAlign w:val="center"/>
          </w:tcPr>
          <w:p w14:paraId="0509DF19">
            <w:pPr>
              <w:pStyle w:val="20"/>
              <w:keepNext w:val="0"/>
              <w:keepLines w:val="0"/>
              <w:suppressLineNumbers w:val="0"/>
              <w:spacing w:before="0" w:beforeAutospacing="0" w:after="0" w:afterAutospacing="0" w:line="340" w:lineRule="exact"/>
              <w:ind w:left="0" w:right="0"/>
              <w:rPr>
                <w:rFonts w:hint="eastAsia" w:hAnsi="宋体" w:cs="宋体"/>
                <w:color w:val="auto"/>
                <w:szCs w:val="21"/>
                <w:highlight w:val="none"/>
              </w:rPr>
            </w:pPr>
            <w:r>
              <w:rPr>
                <w:rFonts w:hint="eastAsia" w:hAnsi="宋体" w:cs="宋体"/>
                <w:color w:val="auto"/>
                <w:szCs w:val="21"/>
                <w:highlight w:val="none"/>
              </w:rPr>
              <w:t>根据《关于在政府采购活动中查询及使用信用记录有关问题的通知》财库[2016]125号的规定：</w:t>
            </w:r>
          </w:p>
          <w:p w14:paraId="5F06E895">
            <w:pPr>
              <w:pStyle w:val="20"/>
              <w:keepNext w:val="0"/>
              <w:keepLines w:val="0"/>
              <w:suppressLineNumbers w:val="0"/>
              <w:spacing w:before="0" w:beforeAutospacing="0" w:after="0" w:afterAutospacing="0" w:line="340" w:lineRule="exact"/>
              <w:ind w:left="0" w:right="0"/>
              <w:rPr>
                <w:rFonts w:hint="eastAsia" w:hAnsi="宋体" w:cs="宋体"/>
                <w:color w:val="auto"/>
                <w:szCs w:val="21"/>
                <w:highlight w:val="none"/>
              </w:rPr>
            </w:pPr>
            <w:r>
              <w:rPr>
                <w:rFonts w:hint="eastAsia" w:hAnsi="宋体" w:cs="宋体"/>
                <w:color w:val="auto"/>
                <w:szCs w:val="21"/>
                <w:highlight w:val="none"/>
              </w:rPr>
              <w:t>1.采购人或采购代理机构在开标当日将对本项目投标人的信用记录进行查询。查询渠道为信用中国网站（www.creditchina.gov.cn）和中国政府采购网（www.ccgp.gov.cn）等。</w:t>
            </w:r>
          </w:p>
          <w:p w14:paraId="6B1EF392">
            <w:pPr>
              <w:pStyle w:val="20"/>
              <w:keepNext w:val="0"/>
              <w:keepLines w:val="0"/>
              <w:suppressLineNumbers w:val="0"/>
              <w:spacing w:before="0" w:beforeAutospacing="0" w:after="0" w:afterAutospacing="0" w:line="340" w:lineRule="exact"/>
              <w:ind w:left="0" w:right="0"/>
              <w:rPr>
                <w:rFonts w:hint="eastAsia" w:hAnsi="宋体" w:cs="宋体"/>
                <w:color w:val="auto"/>
                <w:szCs w:val="21"/>
                <w:highlight w:val="none"/>
              </w:rPr>
            </w:pPr>
            <w:r>
              <w:rPr>
                <w:rFonts w:hint="eastAsia" w:hAnsi="宋体" w:cs="宋体"/>
                <w:color w:val="auto"/>
                <w:szCs w:val="21"/>
                <w:highlight w:val="none"/>
              </w:rPr>
              <w:t>2.信用信息查询的截止时点：提交投标文件（响应文件）截止时间前3年内；</w:t>
            </w:r>
          </w:p>
          <w:p w14:paraId="12FCE717">
            <w:pPr>
              <w:pStyle w:val="20"/>
              <w:keepNext w:val="0"/>
              <w:keepLines w:val="0"/>
              <w:suppressLineNumbers w:val="0"/>
              <w:spacing w:before="0" w:beforeAutospacing="0" w:after="0" w:afterAutospacing="0" w:line="340" w:lineRule="exact"/>
              <w:ind w:left="0" w:right="0"/>
              <w:rPr>
                <w:rFonts w:hint="eastAsia" w:hAnsi="宋体" w:cs="宋体"/>
                <w:b/>
                <w:bCs/>
                <w:color w:val="auto"/>
                <w:szCs w:val="21"/>
                <w:highlight w:val="none"/>
              </w:rPr>
            </w:pPr>
            <w:r>
              <w:rPr>
                <w:rFonts w:hint="eastAsia" w:hAnsi="宋体" w:cs="宋体"/>
                <w:color w:val="auto"/>
                <w:szCs w:val="21"/>
                <w:highlight w:val="none"/>
              </w:rPr>
              <w:t>3.使用规则：被列入失信被执行人、重大税收违法案件当事人名单、政府采购严重违法失信行为记录名单</w:t>
            </w:r>
            <w:r>
              <w:rPr>
                <w:rFonts w:hint="eastAsia" w:hAnsi="宋体" w:cs="宋体"/>
                <w:color w:val="auto"/>
                <w:szCs w:val="21"/>
                <w:highlight w:val="none"/>
                <w:lang w:eastAsia="zh-CN"/>
              </w:rPr>
              <w:t>及其他</w:t>
            </w:r>
            <w:r>
              <w:rPr>
                <w:rFonts w:hint="eastAsia" w:hAnsi="宋体" w:cs="宋体"/>
                <w:color w:val="auto"/>
                <w:szCs w:val="21"/>
                <w:highlight w:val="none"/>
              </w:rPr>
              <w:t>不符合《中华人民共和国政府采购法》第二十二条规定条件的，</w:t>
            </w:r>
            <w:r>
              <w:rPr>
                <w:rFonts w:hint="eastAsia" w:hAnsi="宋体" w:cs="宋体"/>
                <w:b/>
                <w:bCs/>
                <w:color w:val="auto"/>
                <w:szCs w:val="21"/>
                <w:highlight w:val="none"/>
              </w:rPr>
              <w:t>其投标将被拒绝。</w:t>
            </w:r>
          </w:p>
          <w:p w14:paraId="7B01FF28">
            <w:pPr>
              <w:pStyle w:val="20"/>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highlight w:val="none"/>
              </w:rPr>
            </w:pPr>
            <w:r>
              <w:rPr>
                <w:rFonts w:hint="eastAsia" w:hAnsi="宋体" w:cs="宋体"/>
                <w:color w:val="auto"/>
                <w:szCs w:val="21"/>
                <w:highlight w:val="none"/>
              </w:rPr>
              <w:t>4.联合体成员任意一方存在不良信用记录的，视同联合体存在不良信用记录。</w:t>
            </w:r>
          </w:p>
        </w:tc>
      </w:tr>
      <w:tr w14:paraId="6D69DA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735" w:hRule="atLeast"/>
          <w:jc w:val="center"/>
        </w:trPr>
        <w:tc>
          <w:tcPr>
            <w:tcW w:w="628" w:type="dxa"/>
            <w:shd w:val="clear" w:color="000000" w:fill="auto"/>
            <w:vAlign w:val="center"/>
          </w:tcPr>
          <w:p w14:paraId="25E0A75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shd w:val="clear" w:color="auto" w:fill="FFFFFF"/>
                <w:lang w:val="en-US" w:eastAsia="zh-CN"/>
              </w:rPr>
            </w:pPr>
            <w:r>
              <w:rPr>
                <w:rFonts w:hint="eastAsia" w:asciiTheme="minorEastAsia" w:hAnsiTheme="minorEastAsia" w:eastAsiaTheme="minorEastAsia" w:cstheme="minorEastAsia"/>
                <w:color w:val="auto"/>
                <w:highlight w:val="none"/>
                <w:shd w:val="clear" w:color="auto" w:fill="FFFFFF"/>
                <w:lang w:val="en-US" w:eastAsia="zh-CN"/>
              </w:rPr>
              <w:t>3</w:t>
            </w:r>
          </w:p>
        </w:tc>
        <w:tc>
          <w:tcPr>
            <w:tcW w:w="1450" w:type="dxa"/>
            <w:shd w:val="clear" w:color="000000" w:fill="auto"/>
            <w:vAlign w:val="center"/>
          </w:tcPr>
          <w:p w14:paraId="74AAD646">
            <w:pPr>
              <w:keepNext w:val="0"/>
              <w:keepLines w:val="0"/>
              <w:suppressLineNumbers w:val="0"/>
              <w:snapToGrid w:val="0"/>
              <w:spacing w:before="0" w:beforeAutospacing="0" w:after="0" w:afterAutospacing="0" w:line="360" w:lineRule="exact"/>
              <w:ind w:left="0" w:right="0"/>
              <w:jc w:val="center"/>
              <w:rPr>
                <w:rFonts w:hint="default" w:asciiTheme="minorEastAsia" w:hAnsiTheme="minorEastAsia" w:eastAsiaTheme="minorEastAsia" w:cstheme="minorEastAsia"/>
                <w:color w:val="auto"/>
                <w:highlight w:val="none"/>
              </w:rPr>
            </w:pPr>
            <w:r>
              <w:rPr>
                <w:rFonts w:hint="eastAsia" w:ascii="宋体" w:hAnsi="宋体" w:cs="宋体"/>
                <w:color w:val="auto"/>
                <w:highlight w:val="none"/>
              </w:rPr>
              <w:t>中小企业预留份额情况</w:t>
            </w:r>
          </w:p>
        </w:tc>
        <w:tc>
          <w:tcPr>
            <w:tcW w:w="7245" w:type="dxa"/>
            <w:shd w:val="clear" w:color="000000" w:fill="auto"/>
            <w:vAlign w:val="center"/>
          </w:tcPr>
          <w:p w14:paraId="5D388679">
            <w:pPr>
              <w:keepNext w:val="0"/>
              <w:keepLines w:val="0"/>
              <w:suppressLineNumbers w:val="0"/>
              <w:snapToGrid w:val="0"/>
              <w:spacing w:before="0" w:beforeAutospacing="0" w:after="0" w:afterAutospacing="0" w:line="360" w:lineRule="exact"/>
              <w:ind w:left="0" w:right="0"/>
              <w:jc w:val="left"/>
              <w:rPr>
                <w:rFonts w:hint="default"/>
                <w:highlight w:val="none"/>
              </w:rPr>
            </w:pPr>
            <w:r>
              <w:rPr>
                <w:rFonts w:hint="eastAsia" w:ascii="宋体" w:hAnsi="宋体" w:cs="宋体"/>
                <w:color w:val="auto"/>
                <w:highlight w:val="none"/>
              </w:rPr>
              <w:t>根据《政府采购促进中小企业发展管理办法》财库〔2020〕46号文件的规定，本项目（</w:t>
            </w:r>
            <w:r>
              <w:rPr>
                <w:rFonts w:hint="eastAsia" w:ascii="宋体" w:hAnsi="宋体" w:cs="宋体"/>
                <w:color w:val="auto"/>
                <w:highlight w:val="none"/>
                <w:lang w:eastAsia="zh-CN"/>
              </w:rPr>
              <w:t>☑</w:t>
            </w:r>
            <w:r>
              <w:rPr>
                <w:rFonts w:hint="eastAsia" w:ascii="宋体" w:hAnsi="宋体" w:cs="宋体"/>
                <w:color w:val="auto"/>
                <w:highlight w:val="none"/>
              </w:rPr>
              <w:t>是</w:t>
            </w:r>
            <w:r>
              <w:rPr>
                <w:rFonts w:hint="eastAsia" w:ascii="宋体" w:hAnsi="宋体" w:cs="宋体"/>
                <w:color w:val="auto"/>
                <w:highlight w:val="none"/>
                <w:lang w:eastAsia="zh-CN"/>
              </w:rPr>
              <w:t>□</w:t>
            </w:r>
            <w:r>
              <w:rPr>
                <w:rFonts w:hint="eastAsia" w:ascii="宋体" w:hAnsi="宋体" w:cs="宋体"/>
                <w:color w:val="auto"/>
                <w:highlight w:val="none"/>
              </w:rPr>
              <w:t>否）属于预留份额专门面向中小企业采购的项目。</w:t>
            </w:r>
          </w:p>
        </w:tc>
      </w:tr>
      <w:tr w14:paraId="6B0EC2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374" w:hRule="atLeast"/>
          <w:jc w:val="center"/>
        </w:trPr>
        <w:tc>
          <w:tcPr>
            <w:tcW w:w="628" w:type="dxa"/>
            <w:shd w:val="clear" w:color="000000" w:fill="auto"/>
            <w:vAlign w:val="center"/>
          </w:tcPr>
          <w:p w14:paraId="466FB24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shd w:val="clear" w:color="auto" w:fill="FFFFFF"/>
                <w:lang w:eastAsia="zh-CN"/>
              </w:rPr>
            </w:pPr>
            <w:r>
              <w:rPr>
                <w:rFonts w:hint="eastAsia" w:asciiTheme="minorEastAsia" w:hAnsiTheme="minorEastAsia" w:eastAsiaTheme="minorEastAsia" w:cstheme="minorEastAsia"/>
                <w:color w:val="auto"/>
                <w:highlight w:val="none"/>
                <w:shd w:val="clear" w:color="auto" w:fill="FFFFFF"/>
                <w:lang w:val="en-US" w:eastAsia="zh-CN"/>
              </w:rPr>
              <w:t>4</w:t>
            </w:r>
          </w:p>
        </w:tc>
        <w:tc>
          <w:tcPr>
            <w:tcW w:w="1450" w:type="dxa"/>
            <w:shd w:val="clear" w:color="000000" w:fill="auto"/>
            <w:vAlign w:val="center"/>
          </w:tcPr>
          <w:p w14:paraId="782FAE1D">
            <w:pPr>
              <w:keepNext w:val="0"/>
              <w:keepLines w:val="0"/>
              <w:suppressLineNumbers w:val="0"/>
              <w:snapToGrid w:val="0"/>
              <w:spacing w:before="0" w:beforeAutospacing="0" w:after="0" w:afterAutospacing="0" w:line="360" w:lineRule="exact"/>
              <w:ind w:left="0" w:right="0"/>
              <w:jc w:val="center"/>
              <w:rPr>
                <w:rFonts w:hint="default" w:asciiTheme="minorEastAsia" w:hAnsiTheme="minorEastAsia" w:eastAsiaTheme="minorEastAsia" w:cstheme="minorEastAsia"/>
                <w:color w:val="auto"/>
                <w:highlight w:val="none"/>
              </w:rPr>
            </w:pPr>
            <w:r>
              <w:rPr>
                <w:rFonts w:hint="eastAsia" w:ascii="宋体" w:hAnsi="宋体" w:cs="宋体"/>
                <w:color w:val="auto"/>
                <w:highlight w:val="none"/>
              </w:rPr>
              <w:t>中小企业优惠措施</w:t>
            </w:r>
          </w:p>
        </w:tc>
        <w:tc>
          <w:tcPr>
            <w:tcW w:w="7245" w:type="dxa"/>
            <w:shd w:val="clear" w:color="000000" w:fill="auto"/>
            <w:vAlign w:val="center"/>
          </w:tcPr>
          <w:p w14:paraId="4C08688B">
            <w:pPr>
              <w:pStyle w:val="103"/>
              <w:keepNext w:val="0"/>
              <w:keepLines w:val="0"/>
              <w:suppressLineNumbers w:val="0"/>
              <w:snapToGrid w:val="0"/>
              <w:spacing w:before="0" w:beforeAutospacing="0" w:after="0" w:afterAutospacing="0" w:line="360" w:lineRule="exact"/>
              <w:ind w:left="0" w:right="0" w:firstLine="0" w:firstLineChars="0"/>
              <w:rPr>
                <w:rFonts w:hint="default"/>
                <w:color w:val="auto"/>
                <w:highlight w:val="none"/>
              </w:rPr>
            </w:pPr>
            <w:r>
              <w:rPr>
                <w:rFonts w:hint="eastAsia"/>
                <w:color w:val="auto"/>
                <w:highlight w:val="none"/>
              </w:rPr>
              <w:t>1.项目属性</w:t>
            </w:r>
            <w:r>
              <w:rPr>
                <w:rFonts w:hint="eastAsia"/>
                <w:color w:val="auto"/>
                <w:highlight w:val="none"/>
                <w:lang w:eastAsia="zh-CN"/>
              </w:rPr>
              <w:t>：</w:t>
            </w:r>
            <w:r>
              <w:rPr>
                <w:rFonts w:hint="eastAsia" w:ascii="宋体" w:hAnsi="宋体" w:cs="宋体"/>
                <w:color w:val="auto"/>
                <w:highlight w:val="none"/>
              </w:rPr>
              <w:t>□</w:t>
            </w:r>
            <w:r>
              <w:rPr>
                <w:rFonts w:hint="eastAsia"/>
                <w:color w:val="auto"/>
                <w:highlight w:val="none"/>
              </w:rPr>
              <w:t>货物类</w:t>
            </w:r>
            <w:r>
              <w:rPr>
                <w:rFonts w:hint="eastAsia" w:ascii="宋体" w:hAnsi="宋体" w:cs="宋体"/>
                <w:color w:val="auto"/>
                <w:highlight w:val="none"/>
                <w:lang w:eastAsia="zh-CN"/>
              </w:rPr>
              <w:t>☑</w:t>
            </w:r>
            <w:r>
              <w:rPr>
                <w:rFonts w:hint="eastAsia"/>
                <w:color w:val="auto"/>
                <w:highlight w:val="none"/>
              </w:rPr>
              <w:t xml:space="preserve">服务类  </w:t>
            </w:r>
            <w:r>
              <w:rPr>
                <w:rFonts w:hint="eastAsia"/>
                <w:color w:val="auto"/>
                <w:highlight w:val="none"/>
                <w:lang w:eastAsia="zh-CN"/>
              </w:rPr>
              <w:t>□</w:t>
            </w:r>
            <w:r>
              <w:rPr>
                <w:rFonts w:hint="eastAsia"/>
                <w:color w:val="auto"/>
                <w:highlight w:val="none"/>
              </w:rPr>
              <w:t>工程类</w:t>
            </w:r>
          </w:p>
          <w:p w14:paraId="2693AF96">
            <w:pPr>
              <w:pStyle w:val="103"/>
              <w:keepNext w:val="0"/>
              <w:keepLines w:val="0"/>
              <w:widowControl/>
              <w:suppressLineNumbers w:val="0"/>
              <w:spacing w:before="0" w:beforeAutospacing="0" w:after="0" w:afterAutospacing="0"/>
              <w:ind w:left="0" w:right="0" w:firstLine="0" w:firstLineChars="0"/>
              <w:rPr>
                <w:rFonts w:hint="default"/>
                <w:color w:val="auto"/>
                <w:highlight w:val="none"/>
              </w:rPr>
            </w:pPr>
            <w:r>
              <w:rPr>
                <w:rFonts w:hint="eastAsia"/>
                <w:color w:val="auto"/>
                <w:highlight w:val="none"/>
              </w:rPr>
              <w:t>2.中小企业划分标准所属行业根据《中小企业划型标准规定》执行，但按财库〔2020〕46号文件规定，与大企业的负责人为同一人、或者与大企业存在直接控股、管理关系的除外。</w:t>
            </w:r>
          </w:p>
          <w:p w14:paraId="2B4747C5">
            <w:pPr>
              <w:keepNext w:val="0"/>
              <w:keepLines w:val="0"/>
              <w:suppressLineNumbers w:val="0"/>
              <w:snapToGrid w:val="0"/>
              <w:spacing w:before="0" w:beforeAutospacing="0" w:after="0" w:afterAutospacing="0" w:line="360" w:lineRule="exact"/>
              <w:ind w:left="0" w:right="0"/>
              <w:rPr>
                <w:rFonts w:hint="eastAsia"/>
                <w:color w:val="auto"/>
                <w:highlight w:val="none"/>
                <w:u w:val="single"/>
              </w:rPr>
            </w:pPr>
            <w:r>
              <w:rPr>
                <w:rFonts w:hint="eastAsia"/>
                <w:color w:val="auto"/>
                <w:highlight w:val="none"/>
              </w:rPr>
              <w:t>3.采购标的名称：</w:t>
            </w:r>
            <w:r>
              <w:rPr>
                <w:rFonts w:hint="eastAsia" w:ascii="宋体" w:hAnsi="宋体" w:cs="宋体"/>
                <w:color w:val="auto"/>
                <w:highlight w:val="none"/>
                <w:u w:val="single"/>
                <w:lang w:eastAsia="zh-CN"/>
              </w:rPr>
              <w:t>浙江省第十二届残疾人运动会盲人跳绳比赛整体赛事执行服务</w:t>
            </w:r>
            <w:r>
              <w:rPr>
                <w:rFonts w:hint="eastAsia"/>
                <w:color w:val="auto"/>
                <w:highlight w:val="none"/>
              </w:rPr>
              <w:t>，所属行业：</w:t>
            </w:r>
            <w:r>
              <w:rPr>
                <w:rFonts w:hint="eastAsia" w:ascii="宋体" w:hAnsi="宋体" w:cs="宋体"/>
                <w:bCs/>
                <w:spacing w:val="0"/>
                <w:sz w:val="21"/>
                <w:szCs w:val="21"/>
                <w:highlight w:val="none"/>
                <w:u w:val="single"/>
              </w:rPr>
              <w:t>其他未列明行业</w:t>
            </w:r>
            <w:r>
              <w:rPr>
                <w:rFonts w:hint="eastAsia"/>
                <w:color w:val="auto"/>
                <w:highlight w:val="none"/>
                <w:u w:val="single"/>
              </w:rPr>
              <w:t>。</w:t>
            </w:r>
          </w:p>
          <w:p w14:paraId="7C49446C">
            <w:pPr>
              <w:keepNext w:val="0"/>
              <w:keepLines w:val="0"/>
              <w:suppressLineNumbers w:val="0"/>
              <w:snapToGrid w:val="0"/>
              <w:spacing w:before="0" w:beforeAutospacing="0" w:after="0" w:afterAutospacing="0" w:line="360" w:lineRule="exact"/>
              <w:ind w:left="0" w:right="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4.根据财库〔2020〕46号的第十一条规定，中小企业参加政府采购活动，应当出具本办法规定的《中小企业声明函》，否则不得享受相关中小企业扶持政策。</w:t>
            </w:r>
          </w:p>
          <w:p w14:paraId="3F489B6D">
            <w:pPr>
              <w:keepNext w:val="0"/>
              <w:keepLines w:val="0"/>
              <w:suppressLineNumbers w:val="0"/>
              <w:snapToGrid w:val="0"/>
              <w:spacing w:before="0" w:beforeAutospacing="0" w:after="0" w:afterAutospacing="0" w:line="360" w:lineRule="exact"/>
              <w:ind w:left="0" w:right="0"/>
              <w:rPr>
                <w:rFonts w:hint="default"/>
                <w:color w:val="auto"/>
                <w:highlight w:val="none"/>
              </w:rPr>
            </w:pPr>
            <w:r>
              <w:rPr>
                <w:rFonts w:hint="eastAsia" w:ascii="宋体" w:hAnsi="宋体" w:cs="宋体"/>
                <w:bCs/>
                <w:color w:val="auto"/>
                <w:szCs w:val="21"/>
                <w:highlight w:val="none"/>
                <w:lang w:val="en-US" w:eastAsia="zh-CN"/>
              </w:rPr>
              <w:t>5.根据财库｛2020}46号的第九条规定：专门面向中小企业采购的标项，不再执行价格评审优惠的扶持政策。</w:t>
            </w:r>
          </w:p>
        </w:tc>
      </w:tr>
      <w:tr w14:paraId="64A0FA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374" w:hRule="atLeast"/>
          <w:jc w:val="center"/>
        </w:trPr>
        <w:tc>
          <w:tcPr>
            <w:tcW w:w="628" w:type="dxa"/>
            <w:shd w:val="clear" w:color="000000" w:fill="auto"/>
            <w:vAlign w:val="center"/>
          </w:tcPr>
          <w:p w14:paraId="50C54F8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shd w:val="clear" w:color="auto" w:fill="FFFFFF"/>
                <w:lang w:val="en-US" w:eastAsia="zh-CN"/>
              </w:rPr>
            </w:pPr>
            <w:r>
              <w:rPr>
                <w:rFonts w:hint="eastAsia" w:ascii="宋体" w:hAnsi="宋体" w:cs="宋体"/>
                <w:color w:val="auto"/>
                <w:szCs w:val="21"/>
                <w:highlight w:val="none"/>
              </w:rPr>
              <w:t>5</w:t>
            </w:r>
          </w:p>
        </w:tc>
        <w:tc>
          <w:tcPr>
            <w:tcW w:w="1450" w:type="dxa"/>
            <w:shd w:val="clear" w:color="000000" w:fill="auto"/>
            <w:vAlign w:val="center"/>
          </w:tcPr>
          <w:p w14:paraId="1B97C429">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szCs w:val="21"/>
                <w:highlight w:val="none"/>
              </w:rPr>
              <w:t>政府采购节能环保产品</w:t>
            </w:r>
          </w:p>
        </w:tc>
        <w:tc>
          <w:tcPr>
            <w:tcW w:w="7245" w:type="dxa"/>
            <w:shd w:val="clear" w:color="000000" w:fill="auto"/>
            <w:vAlign w:val="center"/>
          </w:tcPr>
          <w:p w14:paraId="10A864DD">
            <w:pPr>
              <w:keepNext w:val="0"/>
              <w:keepLines w:val="0"/>
              <w:suppressLineNumbers w:val="0"/>
              <w:snapToGrid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本项目是否适用政府采购节能环保产品：□是  ☑否</w:t>
            </w:r>
          </w:p>
          <w:p w14:paraId="0A4ABAF7">
            <w:pPr>
              <w:keepNext w:val="0"/>
              <w:keepLines w:val="0"/>
              <w:suppressLineNumbers w:val="0"/>
              <w:snapToGrid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投标产品若属于节能（环保）产品的，请提供财政部、生态环境部发布有效期内《环境标志产品政府采购品目清单》或财政部、发展改革委联合发布有效期内《节能产品政府采购品目清单》中的产品。</w:t>
            </w:r>
          </w:p>
          <w:p w14:paraId="51B2995C">
            <w:pPr>
              <w:keepNext w:val="0"/>
              <w:keepLines w:val="0"/>
              <w:suppressLineNumbers w:val="0"/>
              <w:spacing w:before="0" w:beforeAutospacing="0" w:after="0" w:afterAutospacing="0"/>
              <w:ind w:left="0" w:right="0"/>
              <w:rPr>
                <w:rFonts w:hint="eastAsia" w:hAnsi="宋体"/>
                <w:color w:val="auto"/>
                <w:highlight w:val="none"/>
              </w:rPr>
            </w:pPr>
            <w:r>
              <w:rPr>
                <w:rFonts w:hint="eastAsia" w:ascii="宋体" w:hAnsi="宋体" w:cs="宋体"/>
                <w:color w:val="auto"/>
                <w:szCs w:val="21"/>
                <w:highlight w:val="none"/>
              </w:rPr>
              <w:t>《采购需求》中要求提供的产品属于《节能产品政府采购品目清单》中政府强制采购产品的，投标人须提供该清单内产品，</w:t>
            </w:r>
            <w:r>
              <w:rPr>
                <w:rFonts w:hint="eastAsia" w:ascii="宋体" w:hAnsi="宋体" w:cs="宋体"/>
                <w:b/>
                <w:color w:val="auto"/>
                <w:szCs w:val="21"/>
                <w:highlight w:val="none"/>
              </w:rPr>
              <w:t>否则其投标将作为无效</w:t>
            </w:r>
            <w:r>
              <w:rPr>
                <w:rFonts w:hint="eastAsia" w:ascii="宋体" w:hAnsi="宋体" w:cs="宋体"/>
                <w:b/>
                <w:color w:val="auto"/>
                <w:szCs w:val="21"/>
                <w:highlight w:val="none"/>
                <w:lang w:eastAsia="zh-CN"/>
              </w:rPr>
              <w:t>投</w:t>
            </w:r>
            <w:r>
              <w:rPr>
                <w:rFonts w:hint="eastAsia" w:ascii="宋体" w:hAnsi="宋体" w:cs="宋体"/>
                <w:b/>
                <w:color w:val="auto"/>
                <w:szCs w:val="21"/>
                <w:highlight w:val="none"/>
              </w:rPr>
              <w:t>标处理。</w:t>
            </w:r>
          </w:p>
        </w:tc>
      </w:tr>
      <w:tr w14:paraId="686CC6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374" w:hRule="atLeast"/>
          <w:jc w:val="center"/>
        </w:trPr>
        <w:tc>
          <w:tcPr>
            <w:tcW w:w="628" w:type="dxa"/>
            <w:shd w:val="clear" w:color="000000" w:fill="auto"/>
            <w:vAlign w:val="center"/>
          </w:tcPr>
          <w:p w14:paraId="68AA3E6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shd w:val="clear" w:color="auto" w:fill="FFFFFF"/>
                <w:lang w:val="en-US" w:eastAsia="zh-CN"/>
              </w:rPr>
            </w:pPr>
            <w:r>
              <w:rPr>
                <w:rFonts w:hint="eastAsia" w:ascii="宋体" w:hAnsi="宋体" w:cs="宋体"/>
                <w:color w:val="auto"/>
                <w:szCs w:val="21"/>
                <w:highlight w:val="none"/>
              </w:rPr>
              <w:t>6</w:t>
            </w:r>
          </w:p>
        </w:tc>
        <w:tc>
          <w:tcPr>
            <w:tcW w:w="1450" w:type="dxa"/>
            <w:shd w:val="clear" w:color="000000" w:fill="auto"/>
            <w:vAlign w:val="center"/>
          </w:tcPr>
          <w:p w14:paraId="7BA04AD0">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szCs w:val="21"/>
                <w:highlight w:val="none"/>
              </w:rPr>
              <w:t>是否允许进口产品</w:t>
            </w:r>
          </w:p>
        </w:tc>
        <w:tc>
          <w:tcPr>
            <w:tcW w:w="7245" w:type="dxa"/>
            <w:shd w:val="clear" w:color="000000" w:fill="auto"/>
            <w:vAlign w:val="center"/>
          </w:tcPr>
          <w:p w14:paraId="24E789A1">
            <w:pPr>
              <w:pStyle w:val="8"/>
              <w:keepLines w:val="0"/>
              <w:suppressLineNumbers w:val="0"/>
              <w:spacing w:before="0" w:beforeAutospacing="0" w:after="0" w:afterAutospacing="0" w:line="240" w:lineRule="auto"/>
              <w:ind w:left="0" w:right="0"/>
              <w:rPr>
                <w:rFonts w:hint="eastAsia" w:hAnsi="宋体"/>
                <w:color w:val="auto"/>
                <w:highlight w:val="none"/>
              </w:rPr>
            </w:pPr>
            <w:r>
              <w:rPr>
                <w:rFonts w:hint="eastAsia" w:ascii="宋体" w:hAnsi="宋体" w:eastAsia="宋体" w:cs="宋体"/>
                <w:color w:val="auto"/>
                <w:sz w:val="21"/>
                <w:szCs w:val="21"/>
                <w:highlight w:val="none"/>
              </w:rPr>
              <w:t>□是   ☑否</w:t>
            </w:r>
          </w:p>
        </w:tc>
      </w:tr>
      <w:tr w14:paraId="5F09C5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374" w:hRule="atLeast"/>
          <w:jc w:val="center"/>
        </w:trPr>
        <w:tc>
          <w:tcPr>
            <w:tcW w:w="628" w:type="dxa"/>
            <w:shd w:val="clear" w:color="000000" w:fill="auto"/>
            <w:vAlign w:val="center"/>
          </w:tcPr>
          <w:p w14:paraId="2DE2C61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450" w:type="dxa"/>
            <w:shd w:val="clear" w:color="000000" w:fill="auto"/>
            <w:vAlign w:val="center"/>
          </w:tcPr>
          <w:p w14:paraId="3392DDC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是否允许转包与分包</w:t>
            </w:r>
          </w:p>
        </w:tc>
        <w:tc>
          <w:tcPr>
            <w:tcW w:w="7245" w:type="dxa"/>
            <w:shd w:val="clear" w:color="000000" w:fill="auto"/>
            <w:vAlign w:val="center"/>
          </w:tcPr>
          <w:p w14:paraId="7C7ED52D">
            <w:pPr>
              <w:keepNext w:val="0"/>
              <w:keepLines w:val="0"/>
              <w:suppressLineNumbers w:val="0"/>
              <w:spacing w:before="0" w:beforeAutospacing="0" w:after="0" w:afterAutospacing="0" w:line="36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转包：□是   ☑否</w:t>
            </w:r>
          </w:p>
          <w:p w14:paraId="2F8F54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Cs w:val="21"/>
                <w:highlight w:val="none"/>
              </w:rPr>
              <w:t>分包：□是   ☑否</w:t>
            </w:r>
          </w:p>
        </w:tc>
      </w:tr>
      <w:tr w14:paraId="25E102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374" w:hRule="atLeast"/>
          <w:jc w:val="center"/>
        </w:trPr>
        <w:tc>
          <w:tcPr>
            <w:tcW w:w="628" w:type="dxa"/>
            <w:shd w:val="clear" w:color="000000" w:fill="auto"/>
            <w:vAlign w:val="center"/>
          </w:tcPr>
          <w:p w14:paraId="6660B2A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450" w:type="dxa"/>
            <w:shd w:val="clear" w:color="000000" w:fill="auto"/>
            <w:vAlign w:val="center"/>
          </w:tcPr>
          <w:p w14:paraId="3D252AB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是否接受联合体投标</w:t>
            </w:r>
          </w:p>
        </w:tc>
        <w:tc>
          <w:tcPr>
            <w:tcW w:w="7245" w:type="dxa"/>
            <w:shd w:val="clear" w:color="000000" w:fill="auto"/>
            <w:vAlign w:val="center"/>
          </w:tcPr>
          <w:p w14:paraId="0AE44D17">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□是   ☑否</w:t>
            </w:r>
          </w:p>
        </w:tc>
      </w:tr>
      <w:tr w14:paraId="18A4F2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374" w:hRule="atLeast"/>
          <w:jc w:val="center"/>
        </w:trPr>
        <w:tc>
          <w:tcPr>
            <w:tcW w:w="628" w:type="dxa"/>
            <w:shd w:val="clear" w:color="000000" w:fill="auto"/>
            <w:vAlign w:val="center"/>
          </w:tcPr>
          <w:p w14:paraId="312B28D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450" w:type="dxa"/>
            <w:shd w:val="clear" w:color="000000" w:fill="auto"/>
            <w:vAlign w:val="center"/>
          </w:tcPr>
          <w:p w14:paraId="1050546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是否组织踏勘现场</w:t>
            </w:r>
          </w:p>
        </w:tc>
        <w:tc>
          <w:tcPr>
            <w:tcW w:w="7245" w:type="dxa"/>
            <w:shd w:val="clear" w:color="000000" w:fill="auto"/>
            <w:vAlign w:val="center"/>
          </w:tcPr>
          <w:p w14:paraId="12B49C7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Cs w:val="21"/>
                <w:highlight w:val="none"/>
              </w:rPr>
              <w:t>投标人自行组织踏勘现场，费用自理。</w:t>
            </w:r>
          </w:p>
        </w:tc>
      </w:tr>
      <w:tr w14:paraId="4E025D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374" w:hRule="atLeast"/>
          <w:jc w:val="center"/>
        </w:trPr>
        <w:tc>
          <w:tcPr>
            <w:tcW w:w="628" w:type="dxa"/>
            <w:shd w:val="clear" w:color="000000" w:fill="auto"/>
            <w:vAlign w:val="center"/>
          </w:tcPr>
          <w:p w14:paraId="4BA8D74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450" w:type="dxa"/>
            <w:shd w:val="clear" w:color="000000" w:fill="auto"/>
            <w:vAlign w:val="center"/>
          </w:tcPr>
          <w:p w14:paraId="70BCD26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答疑与澄清</w:t>
            </w:r>
          </w:p>
        </w:tc>
        <w:tc>
          <w:tcPr>
            <w:tcW w:w="7245" w:type="dxa"/>
            <w:shd w:val="clear" w:color="000000" w:fill="auto"/>
            <w:vAlign w:val="center"/>
          </w:tcPr>
          <w:p w14:paraId="5F7DC188">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投标人如对招标文件有异议，应当于公告发布之日起至公告期限满第7个工作日内，以书面形式向采购人提出，逾期不予受理。</w:t>
            </w:r>
          </w:p>
        </w:tc>
      </w:tr>
      <w:tr w14:paraId="0713F7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534" w:hRule="atLeast"/>
          <w:jc w:val="center"/>
        </w:trPr>
        <w:tc>
          <w:tcPr>
            <w:tcW w:w="628" w:type="dxa"/>
            <w:shd w:val="clear" w:color="000000" w:fill="auto"/>
            <w:vAlign w:val="center"/>
          </w:tcPr>
          <w:p w14:paraId="70E94723">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highlight w:val="none"/>
                <w:shd w:val="clear" w:color="auto" w:fill="FFFFFF"/>
                <w:lang w:val="en-US" w:eastAsia="zh-CN"/>
              </w:rPr>
            </w:pPr>
            <w:r>
              <w:rPr>
                <w:rFonts w:hint="eastAsia" w:asciiTheme="minorEastAsia" w:hAnsiTheme="minorEastAsia" w:eastAsiaTheme="minorEastAsia" w:cstheme="minorEastAsia"/>
                <w:color w:val="auto"/>
                <w:highlight w:val="none"/>
                <w:shd w:val="clear" w:color="auto" w:fill="FFFFFF"/>
                <w:lang w:val="en-US" w:eastAsia="zh-CN"/>
              </w:rPr>
              <w:t>11</w:t>
            </w:r>
          </w:p>
        </w:tc>
        <w:tc>
          <w:tcPr>
            <w:tcW w:w="1450" w:type="dxa"/>
            <w:shd w:val="clear" w:color="000000" w:fill="auto"/>
            <w:vAlign w:val="center"/>
          </w:tcPr>
          <w:p w14:paraId="6F46F1D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highlight w:val="none"/>
                <w:shd w:val="clear" w:color="auto" w:fill="FFFFFF"/>
              </w:rPr>
            </w:pPr>
            <w:r>
              <w:rPr>
                <w:rFonts w:hint="eastAsia" w:ascii="宋体" w:hAnsi="宋体" w:cs="宋体"/>
                <w:color w:val="auto"/>
                <w:szCs w:val="21"/>
                <w:highlight w:val="none"/>
              </w:rPr>
              <w:t>投标有效期</w:t>
            </w:r>
          </w:p>
        </w:tc>
        <w:tc>
          <w:tcPr>
            <w:tcW w:w="7245" w:type="dxa"/>
            <w:shd w:val="clear" w:color="000000" w:fill="auto"/>
            <w:vAlign w:val="center"/>
          </w:tcPr>
          <w:p w14:paraId="504217B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highlight w:val="none"/>
                <w:shd w:val="clear" w:color="auto" w:fill="FFFFFF"/>
              </w:rPr>
            </w:pPr>
            <w:r>
              <w:rPr>
                <w:rFonts w:hint="eastAsia" w:ascii="宋体" w:hAnsi="宋体" w:cs="宋体"/>
                <w:color w:val="auto"/>
                <w:szCs w:val="21"/>
                <w:highlight w:val="none"/>
              </w:rPr>
              <w:t>投标文件提交截止日起90日内。</w:t>
            </w:r>
          </w:p>
        </w:tc>
      </w:tr>
      <w:tr w14:paraId="29AE2D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1403" w:hRule="atLeast"/>
          <w:jc w:val="center"/>
        </w:trPr>
        <w:tc>
          <w:tcPr>
            <w:tcW w:w="628" w:type="dxa"/>
            <w:shd w:val="clear" w:color="000000" w:fill="auto"/>
            <w:vAlign w:val="center"/>
          </w:tcPr>
          <w:p w14:paraId="1DB5D611">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highlight w:val="none"/>
                <w:shd w:val="clear" w:color="auto" w:fill="FFFFFF"/>
                <w:lang w:val="en-US" w:eastAsia="zh-CN"/>
              </w:rPr>
            </w:pPr>
            <w:r>
              <w:rPr>
                <w:rFonts w:hint="eastAsia" w:asciiTheme="minorEastAsia" w:hAnsiTheme="minorEastAsia" w:eastAsiaTheme="minorEastAsia" w:cstheme="minorEastAsia"/>
                <w:color w:val="auto"/>
                <w:highlight w:val="none"/>
                <w:shd w:val="clear" w:color="auto" w:fill="FFFFFF"/>
                <w:lang w:val="en-US" w:eastAsia="zh-CN"/>
              </w:rPr>
              <w:t>12</w:t>
            </w:r>
          </w:p>
        </w:tc>
        <w:tc>
          <w:tcPr>
            <w:tcW w:w="1450" w:type="dxa"/>
            <w:shd w:val="clear" w:color="000000" w:fill="auto"/>
            <w:vAlign w:val="center"/>
          </w:tcPr>
          <w:p w14:paraId="470208D6">
            <w:pPr>
              <w:keepNext w:val="0"/>
              <w:keepLines w:val="0"/>
              <w:suppressLineNumbers w:val="0"/>
              <w:spacing w:before="0" w:beforeAutospacing="0" w:after="0" w:afterAutospacing="0" w:line="36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投标文件</w:t>
            </w:r>
          </w:p>
          <w:p w14:paraId="412A54A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highlight w:val="none"/>
                <w:shd w:val="clear" w:color="auto" w:fill="FFFFFF"/>
              </w:rPr>
            </w:pPr>
            <w:r>
              <w:rPr>
                <w:rFonts w:hint="eastAsia" w:ascii="宋体" w:hAnsi="宋体" w:cs="宋体"/>
                <w:color w:val="auto"/>
                <w:szCs w:val="21"/>
                <w:highlight w:val="none"/>
              </w:rPr>
              <w:t>递交</w:t>
            </w:r>
          </w:p>
        </w:tc>
        <w:tc>
          <w:tcPr>
            <w:tcW w:w="7245" w:type="dxa"/>
            <w:shd w:val="clear" w:color="000000" w:fill="auto"/>
            <w:vAlign w:val="center"/>
          </w:tcPr>
          <w:p w14:paraId="41F72257">
            <w:pPr>
              <w:keepNext w:val="0"/>
              <w:keepLines w:val="0"/>
              <w:suppressLineNumbers w:val="0"/>
              <w:spacing w:before="0" w:beforeAutospacing="0" w:after="0" w:afterAutospacing="0"/>
              <w:ind w:left="0" w:right="0"/>
              <w:rPr>
                <w:rFonts w:hint="default" w:asciiTheme="minorEastAsia" w:hAnsiTheme="minorEastAsia" w:eastAsiaTheme="minorEastAsia" w:cstheme="minorEastAsia"/>
                <w:b w:val="0"/>
                <w:bCs w:val="0"/>
                <w:color w:val="auto"/>
                <w:highlight w:val="none"/>
                <w:shd w:val="clear" w:color="auto" w:fill="FFFFFF"/>
              </w:rPr>
            </w:pPr>
            <w:r>
              <w:rPr>
                <w:rFonts w:hint="eastAsia" w:ascii="宋体" w:hAnsi="宋体" w:cs="宋体"/>
                <w:color w:val="auto"/>
                <w:szCs w:val="21"/>
                <w:highlight w:val="none"/>
              </w:rPr>
              <w:t>投标人应当在投标截止时间前完成投标文件的传输递交，投标截止时间前可以补充、修改或者撤回投标文件。补充或者修改投标文件的，应当先行撤回原文件，补充、修改后重新传输递交。投标截止时间前未完成传输的，视为未提供投标文件，投标无效。投标截止时间后递交的投标文件，将被政采云平台拒收。</w:t>
            </w:r>
          </w:p>
        </w:tc>
      </w:tr>
      <w:tr w14:paraId="3F754D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555" w:hRule="atLeast"/>
          <w:jc w:val="center"/>
        </w:trPr>
        <w:tc>
          <w:tcPr>
            <w:tcW w:w="628" w:type="dxa"/>
            <w:shd w:val="clear" w:color="000000" w:fill="auto"/>
            <w:vAlign w:val="center"/>
          </w:tcPr>
          <w:p w14:paraId="23241D3F">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highlight w:val="none"/>
                <w:shd w:val="clear" w:color="auto" w:fill="FFFFFF"/>
                <w:lang w:val="en-US" w:eastAsia="zh-CN"/>
              </w:rPr>
            </w:pPr>
            <w:r>
              <w:rPr>
                <w:rFonts w:hint="eastAsia" w:asciiTheme="minorEastAsia" w:hAnsiTheme="minorEastAsia" w:eastAsiaTheme="minorEastAsia" w:cstheme="minorEastAsia"/>
                <w:color w:val="auto"/>
                <w:highlight w:val="none"/>
                <w:shd w:val="clear" w:color="auto" w:fill="FFFFFF"/>
                <w:lang w:val="en-US" w:eastAsia="zh-CN"/>
              </w:rPr>
              <w:t>13</w:t>
            </w:r>
          </w:p>
        </w:tc>
        <w:tc>
          <w:tcPr>
            <w:tcW w:w="1450" w:type="dxa"/>
            <w:shd w:val="clear" w:color="000000" w:fill="auto"/>
            <w:vAlign w:val="center"/>
          </w:tcPr>
          <w:p w14:paraId="61B3675E">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联系方式</w:t>
            </w:r>
          </w:p>
        </w:tc>
        <w:tc>
          <w:tcPr>
            <w:tcW w:w="7245" w:type="dxa"/>
            <w:shd w:val="clear" w:color="000000" w:fill="auto"/>
            <w:vAlign w:val="center"/>
          </w:tcPr>
          <w:p w14:paraId="612ED72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联系电话：</w:t>
            </w:r>
            <w:r>
              <w:rPr>
                <w:rFonts w:hint="eastAsia" w:asciiTheme="minorEastAsia" w:hAnsiTheme="minorEastAsia" w:eastAsiaTheme="minorEastAsia" w:cstheme="minorEastAsia"/>
                <w:color w:val="auto"/>
                <w:highlight w:val="none"/>
                <w:shd w:val="clear" w:color="auto" w:fill="FFFFFF"/>
                <w:lang w:eastAsia="zh-CN"/>
              </w:rPr>
              <w:t>0570-6016968</w:t>
            </w:r>
            <w:r>
              <w:rPr>
                <w:rFonts w:hint="eastAsia" w:asciiTheme="minorEastAsia" w:hAnsiTheme="minorEastAsia" w:eastAsiaTheme="minorEastAsia" w:cstheme="minorEastAsia"/>
                <w:color w:val="auto"/>
                <w:highlight w:val="none"/>
                <w:shd w:val="clear" w:color="auto" w:fill="FFFFFF"/>
              </w:rPr>
              <w:t xml:space="preserve">    电子邮箱：</w:t>
            </w:r>
            <w:r>
              <w:rPr>
                <w:rFonts w:hint="eastAsia" w:asciiTheme="minorEastAsia" w:hAnsiTheme="minorEastAsia" w:eastAsiaTheme="minorEastAsia" w:cstheme="minorEastAsia"/>
                <w:color w:val="auto"/>
                <w:highlight w:val="none"/>
                <w:shd w:val="clear" w:color="auto" w:fill="FFFFFF"/>
                <w:lang w:val="en-US" w:eastAsia="zh-CN"/>
              </w:rPr>
              <w:t>380669567</w:t>
            </w:r>
            <w:r>
              <w:rPr>
                <w:rFonts w:hint="eastAsia" w:asciiTheme="minorEastAsia" w:hAnsiTheme="minorEastAsia" w:eastAsiaTheme="minorEastAsia" w:cstheme="minorEastAsia"/>
                <w:color w:val="auto"/>
                <w:highlight w:val="none"/>
                <w:shd w:val="clear" w:color="auto" w:fill="FFFFFF"/>
              </w:rPr>
              <w:t>@qq.com</w:t>
            </w:r>
          </w:p>
        </w:tc>
      </w:tr>
      <w:tr w14:paraId="49EC41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2872" w:hRule="atLeast"/>
          <w:jc w:val="center"/>
        </w:trPr>
        <w:tc>
          <w:tcPr>
            <w:tcW w:w="628" w:type="dxa"/>
            <w:shd w:val="clear" w:color="000000" w:fill="auto"/>
            <w:vAlign w:val="center"/>
          </w:tcPr>
          <w:p w14:paraId="068BEBA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shd w:val="clear" w:color="auto" w:fill="FFFFFF"/>
                <w:lang w:eastAsia="zh-CN"/>
              </w:rPr>
            </w:pPr>
            <w:r>
              <w:rPr>
                <w:rFonts w:hint="eastAsia" w:asciiTheme="minorEastAsia" w:hAnsiTheme="minorEastAsia" w:eastAsiaTheme="minorEastAsia" w:cstheme="minorEastAsia"/>
                <w:color w:val="auto"/>
                <w:highlight w:val="none"/>
                <w:shd w:val="clear" w:color="auto" w:fill="FFFFFF"/>
              </w:rPr>
              <w:t>1</w:t>
            </w:r>
            <w:r>
              <w:rPr>
                <w:rFonts w:hint="eastAsia" w:asciiTheme="minorEastAsia" w:hAnsiTheme="minorEastAsia" w:eastAsiaTheme="minorEastAsia" w:cstheme="minorEastAsia"/>
                <w:color w:val="auto"/>
                <w:highlight w:val="none"/>
                <w:shd w:val="clear" w:color="auto" w:fill="FFFFFF"/>
                <w:lang w:val="en-US" w:eastAsia="zh-CN"/>
              </w:rPr>
              <w:t>4</w:t>
            </w:r>
          </w:p>
        </w:tc>
        <w:tc>
          <w:tcPr>
            <w:tcW w:w="1450" w:type="dxa"/>
            <w:shd w:val="clear" w:color="000000" w:fill="auto"/>
            <w:vAlign w:val="center"/>
          </w:tcPr>
          <w:p w14:paraId="43914A33">
            <w:pPr>
              <w:keepNext w:val="0"/>
              <w:keepLines w:val="0"/>
              <w:suppressLineNumbers w:val="0"/>
              <w:spacing w:before="0" w:beforeAutospacing="0" w:after="0" w:afterAutospacing="0" w:line="360" w:lineRule="exact"/>
              <w:ind w:left="0" w:right="0"/>
              <w:jc w:val="center"/>
              <w:rPr>
                <w:rFonts w:hint="default" w:ascii="宋体" w:hAnsi="宋体" w:cs="宋体"/>
                <w:color w:val="auto"/>
                <w:highlight w:val="none"/>
              </w:rPr>
            </w:pPr>
            <w:r>
              <w:rPr>
                <w:rFonts w:hint="eastAsia" w:ascii="宋体" w:hAnsi="宋体" w:cs="宋体"/>
                <w:bCs/>
                <w:color w:val="auto"/>
                <w:kern w:val="0"/>
                <w:szCs w:val="21"/>
                <w:highlight w:val="none"/>
              </w:rPr>
              <w:t>投标材料形式、制作及组成</w:t>
            </w:r>
          </w:p>
        </w:tc>
        <w:tc>
          <w:tcPr>
            <w:tcW w:w="7245" w:type="dxa"/>
            <w:tcBorders>
              <w:bottom w:val="single" w:color="auto" w:sz="4" w:space="0"/>
            </w:tcBorders>
            <w:shd w:val="clear" w:color="000000" w:fill="auto"/>
            <w:vAlign w:val="center"/>
          </w:tcPr>
          <w:p w14:paraId="53EBD8E4">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1.供应商应准备投标文件，按政采云平台项目采购-电子招投标操作指南</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"https://help.zcy.gov.cn/web/site_2/2018/12-28/2573.html）及本招标文件要求递交。"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及本招标文件要求递交。</w:t>
            </w:r>
            <w:r>
              <w:rPr>
                <w:rFonts w:hint="eastAsia" w:ascii="宋体" w:hAnsi="宋体" w:cs="宋体"/>
                <w:color w:val="auto"/>
                <w:szCs w:val="21"/>
                <w:highlight w:val="none"/>
              </w:rPr>
              <w:fldChar w:fldCharType="end"/>
            </w:r>
          </w:p>
          <w:p w14:paraId="53F3FF1A">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2.投标文件均由资格证明文件、技术商务文件、报价文件三部分组成。</w:t>
            </w:r>
          </w:p>
          <w:p w14:paraId="088B9692">
            <w:pPr>
              <w:keepNext w:val="0"/>
              <w:keepLines w:val="0"/>
              <w:suppressLineNumbers w:val="0"/>
              <w:spacing w:before="0" w:beforeAutospacing="0" w:after="0" w:afterAutospacing="0" w:line="360" w:lineRule="exact"/>
              <w:ind w:left="0" w:right="0"/>
              <w:rPr>
                <w:rFonts w:hint="eastAsia" w:ascii="宋体" w:hAnsi="宋体" w:cs="宋体"/>
                <w:color w:val="auto"/>
                <w:highlight w:val="none"/>
              </w:rPr>
            </w:pPr>
            <w:r>
              <w:rPr>
                <w:rFonts w:hint="eastAsia" w:ascii="宋体" w:hAnsi="宋体" w:cs="宋体"/>
                <w:color w:val="auto"/>
                <w:szCs w:val="21"/>
                <w:highlight w:val="none"/>
              </w:rPr>
              <w:t>3.如认为需要，投标人可以选择递交以介质（U盘）存储的数据电文形式的“备份投标文件”，“备份投标文件”应当密封包装并在包装上标注投标项目名称、投标单位名称并加盖公章，且在投标截止时间前，通过邮寄或现场送达等方式送至指定地点，逾期送达或未密封将被拒收。</w:t>
            </w:r>
            <w:r>
              <w:rPr>
                <w:rFonts w:hint="eastAsia" w:ascii="宋体" w:hAnsi="宋体" w:cs="宋体"/>
                <w:color w:val="auto"/>
                <w:highlight w:val="none"/>
              </w:rPr>
              <w:t>（邮寄收件地址：</w:t>
            </w:r>
            <w:r>
              <w:rPr>
                <w:rFonts w:hint="eastAsia" w:ascii="宋体" w:hAnsi="宋体" w:cs="宋体"/>
                <w:color w:val="auto"/>
                <w:highlight w:val="none"/>
                <w:lang w:eastAsia="zh-CN"/>
              </w:rPr>
              <w:t>浙江省衢州市开化县金佰汇广场5栋245-247号</w:t>
            </w:r>
            <w:r>
              <w:rPr>
                <w:rFonts w:hint="eastAsia" w:ascii="宋体" w:hAnsi="宋体" w:cs="宋体"/>
                <w:color w:val="auto"/>
                <w:highlight w:val="none"/>
              </w:rPr>
              <w:t xml:space="preserve">  </w:t>
            </w:r>
            <w:r>
              <w:rPr>
                <w:rFonts w:hint="eastAsia" w:ascii="宋体" w:hAnsi="宋体" w:cs="宋体"/>
                <w:color w:val="auto"/>
                <w:highlight w:val="none"/>
                <w:lang w:eastAsia="zh-CN"/>
              </w:rPr>
              <w:t>浙江金穗工程项目管理有限公司</w:t>
            </w:r>
            <w:r>
              <w:rPr>
                <w:rFonts w:hint="eastAsia" w:ascii="宋体" w:hAnsi="宋体" w:cs="宋体"/>
                <w:color w:val="auto"/>
                <w:highlight w:val="none"/>
              </w:rPr>
              <w:t xml:space="preserve">  邮编：324300收件人：</w:t>
            </w:r>
            <w:r>
              <w:rPr>
                <w:rFonts w:hint="eastAsia" w:ascii="宋体" w:hAnsi="宋体" w:cs="宋体"/>
                <w:color w:val="auto"/>
                <w:highlight w:val="none"/>
                <w:lang w:eastAsia="zh-CN"/>
              </w:rPr>
              <w:t>江琴琴</w:t>
            </w:r>
            <w:r>
              <w:rPr>
                <w:rFonts w:hint="eastAsia" w:ascii="宋体" w:hAnsi="宋体" w:cs="宋体"/>
                <w:color w:val="auto"/>
                <w:highlight w:val="none"/>
              </w:rPr>
              <w:t xml:space="preserve">  联系电话：</w:t>
            </w:r>
            <w:r>
              <w:rPr>
                <w:rFonts w:hint="eastAsia" w:ascii="宋体" w:hAnsi="宋体" w:cs="宋体"/>
                <w:color w:val="auto"/>
                <w:highlight w:val="none"/>
                <w:lang w:val="en-US" w:eastAsia="zh-CN"/>
              </w:rPr>
              <w:t>13567023337</w:t>
            </w:r>
            <w:r>
              <w:rPr>
                <w:rFonts w:hint="eastAsia" w:ascii="宋体" w:hAnsi="宋体" w:cs="宋体"/>
                <w:color w:val="auto"/>
                <w:highlight w:val="none"/>
              </w:rPr>
              <w:t>）</w:t>
            </w:r>
          </w:p>
          <w:p w14:paraId="6425AC7C">
            <w:pPr>
              <w:pStyle w:val="8"/>
              <w:suppressLineNumbers w:val="0"/>
              <w:spacing w:before="0" w:beforeAutospacing="0" w:after="0" w:afterAutospacing="0"/>
              <w:ind w:left="0" w:right="0"/>
              <w:rPr>
                <w:rFonts w:hint="default"/>
                <w:color w:val="auto"/>
                <w:highlight w:val="none"/>
              </w:rPr>
            </w:pPr>
            <w:r>
              <w:rPr>
                <w:rFonts w:hint="eastAsia" w:ascii="宋体" w:hAnsi="宋体" w:eastAsia="宋体" w:cs="宋体"/>
                <w:b w:val="0"/>
                <w:bCs w:val="0"/>
                <w:color w:val="auto"/>
                <w:kern w:val="2"/>
                <w:sz w:val="21"/>
                <w:szCs w:val="21"/>
                <w:highlight w:val="none"/>
                <w:lang w:val="en-US" w:eastAsia="zh-CN" w:bidi="ar-SA"/>
              </w:rPr>
              <w:t>4.中标人在中标（成交）后须提供纸质版投标文件3份（一正二副）。</w:t>
            </w:r>
          </w:p>
        </w:tc>
      </w:tr>
      <w:tr w14:paraId="1D848B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544" w:hRule="atLeast"/>
          <w:jc w:val="center"/>
        </w:trPr>
        <w:tc>
          <w:tcPr>
            <w:tcW w:w="628" w:type="dxa"/>
            <w:shd w:val="clear" w:color="000000" w:fill="auto"/>
            <w:vAlign w:val="center"/>
          </w:tcPr>
          <w:p w14:paraId="713D882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shd w:val="clear" w:color="auto" w:fill="FFFFFF"/>
                <w:lang w:eastAsia="zh-CN"/>
              </w:rPr>
            </w:pPr>
            <w:r>
              <w:rPr>
                <w:rFonts w:hint="eastAsia" w:asciiTheme="minorEastAsia" w:hAnsiTheme="minorEastAsia" w:eastAsiaTheme="minorEastAsia" w:cstheme="minorEastAsia"/>
                <w:color w:val="auto"/>
                <w:highlight w:val="none"/>
                <w:shd w:val="clear" w:color="auto" w:fill="FFFFFF"/>
              </w:rPr>
              <w:t>1</w:t>
            </w:r>
            <w:r>
              <w:rPr>
                <w:rFonts w:hint="eastAsia" w:asciiTheme="minorEastAsia" w:hAnsiTheme="minorEastAsia" w:eastAsiaTheme="minorEastAsia" w:cstheme="minorEastAsia"/>
                <w:color w:val="auto"/>
                <w:highlight w:val="none"/>
                <w:shd w:val="clear" w:color="auto" w:fill="FFFFFF"/>
                <w:lang w:val="en-US" w:eastAsia="zh-CN"/>
              </w:rPr>
              <w:t>5</w:t>
            </w:r>
          </w:p>
        </w:tc>
        <w:tc>
          <w:tcPr>
            <w:tcW w:w="1450" w:type="dxa"/>
            <w:shd w:val="clear" w:color="000000" w:fill="auto"/>
            <w:vAlign w:val="center"/>
          </w:tcPr>
          <w:p w14:paraId="51E70E0A">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highlight w:val="none"/>
                <w:shd w:val="clear" w:color="auto" w:fill="FFFFFF"/>
              </w:rPr>
            </w:pPr>
            <w:r>
              <w:rPr>
                <w:rFonts w:hint="eastAsia" w:ascii="宋体" w:hAnsi="宋体" w:cs="宋体"/>
                <w:color w:val="auto"/>
                <w:szCs w:val="21"/>
                <w:highlight w:val="none"/>
              </w:rPr>
              <w:t>投标截止时间</w:t>
            </w:r>
          </w:p>
        </w:tc>
        <w:tc>
          <w:tcPr>
            <w:tcW w:w="7245" w:type="dxa"/>
            <w:shd w:val="clear" w:color="000000" w:fill="auto"/>
            <w:vAlign w:val="center"/>
          </w:tcPr>
          <w:p w14:paraId="6C59010F">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color w:val="auto"/>
                <w:highlight w:val="none"/>
                <w:shd w:val="clear" w:color="auto" w:fill="FFFFFF"/>
              </w:rPr>
            </w:pPr>
            <w:r>
              <w:rPr>
                <w:rFonts w:hint="eastAsia" w:ascii="宋体" w:hAnsi="宋体" w:cs="宋体"/>
                <w:color w:val="auto"/>
                <w:highlight w:val="none"/>
                <w:u w:val="single"/>
                <w:lang w:val="en-US" w:eastAsia="zh-CN"/>
              </w:rPr>
              <w:t>2026</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5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14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9:00 </w:t>
            </w:r>
            <w:r>
              <w:rPr>
                <w:rFonts w:hint="eastAsia" w:ascii="宋体" w:hAnsi="宋体" w:cs="宋体"/>
                <w:color w:val="auto"/>
                <w:highlight w:val="none"/>
              </w:rPr>
              <w:t>时</w:t>
            </w:r>
            <w:r>
              <w:rPr>
                <w:rFonts w:hint="eastAsia" w:ascii="宋体" w:hAnsi="宋体" w:cs="宋体"/>
                <w:bCs/>
                <w:color w:val="auto"/>
                <w:szCs w:val="21"/>
                <w:highlight w:val="none"/>
              </w:rPr>
              <w:t>（北京时间）</w:t>
            </w:r>
          </w:p>
        </w:tc>
      </w:tr>
      <w:tr w14:paraId="5587E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659" w:hRule="atLeast"/>
          <w:jc w:val="center"/>
        </w:trPr>
        <w:tc>
          <w:tcPr>
            <w:tcW w:w="628" w:type="dxa"/>
            <w:shd w:val="clear" w:color="000000" w:fill="auto"/>
            <w:vAlign w:val="center"/>
          </w:tcPr>
          <w:p w14:paraId="37EBA5A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shd w:val="clear" w:color="auto" w:fill="FFFFFF"/>
                <w:lang w:eastAsia="zh-CN"/>
              </w:rPr>
            </w:pPr>
            <w:r>
              <w:rPr>
                <w:rFonts w:hint="eastAsia" w:asciiTheme="minorEastAsia" w:hAnsiTheme="minorEastAsia" w:eastAsiaTheme="minorEastAsia" w:cstheme="minorEastAsia"/>
                <w:color w:val="auto"/>
                <w:highlight w:val="none"/>
                <w:shd w:val="clear" w:color="auto" w:fill="FFFFFF"/>
              </w:rPr>
              <w:t>1</w:t>
            </w:r>
            <w:r>
              <w:rPr>
                <w:rFonts w:hint="eastAsia" w:asciiTheme="minorEastAsia" w:hAnsiTheme="minorEastAsia" w:eastAsiaTheme="minorEastAsia" w:cstheme="minorEastAsia"/>
                <w:color w:val="auto"/>
                <w:highlight w:val="none"/>
                <w:shd w:val="clear" w:color="auto" w:fill="FFFFFF"/>
                <w:lang w:val="en-US" w:eastAsia="zh-CN"/>
              </w:rPr>
              <w:t>6</w:t>
            </w:r>
          </w:p>
        </w:tc>
        <w:tc>
          <w:tcPr>
            <w:tcW w:w="1450" w:type="dxa"/>
            <w:shd w:val="clear" w:color="000000" w:fill="auto"/>
            <w:vAlign w:val="center"/>
          </w:tcPr>
          <w:p w14:paraId="61F844FA">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highlight w:val="none"/>
                <w:shd w:val="clear" w:color="auto" w:fill="FFFFFF"/>
              </w:rPr>
            </w:pPr>
            <w:r>
              <w:rPr>
                <w:rFonts w:hint="eastAsia" w:ascii="宋体" w:hAnsi="宋体" w:cs="宋体"/>
                <w:color w:val="auto"/>
                <w:szCs w:val="21"/>
                <w:highlight w:val="none"/>
              </w:rPr>
              <w:t>开标</w:t>
            </w:r>
            <w:r>
              <w:rPr>
                <w:rFonts w:hint="eastAsia" w:asciiTheme="minorEastAsia" w:hAnsiTheme="minorEastAsia" w:eastAsiaTheme="minorEastAsia" w:cstheme="minorEastAsia"/>
                <w:color w:val="auto"/>
                <w:highlight w:val="none"/>
                <w:shd w:val="clear" w:color="auto" w:fill="FFFFFF"/>
              </w:rPr>
              <w:t>时间</w:t>
            </w:r>
          </w:p>
          <w:p w14:paraId="79ADD571">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及地点</w:t>
            </w:r>
          </w:p>
        </w:tc>
        <w:tc>
          <w:tcPr>
            <w:tcW w:w="7245" w:type="dxa"/>
            <w:shd w:val="clear" w:color="000000" w:fill="auto"/>
            <w:vAlign w:val="center"/>
          </w:tcPr>
          <w:p w14:paraId="0048046F">
            <w:pPr>
              <w:keepNext w:val="0"/>
              <w:keepLines w:val="0"/>
              <w:suppressLineNumbers w:val="0"/>
              <w:spacing w:before="0" w:beforeAutospacing="0" w:after="0" w:afterAutospacing="0"/>
              <w:ind w:left="0" w:right="0"/>
              <w:rPr>
                <w:rStyle w:val="76"/>
                <w:rFonts w:hint="default" w:asciiTheme="minorEastAsia" w:hAnsiTheme="minorEastAsia" w:eastAsiaTheme="minorEastAsia" w:cstheme="minorEastAsia"/>
                <w:b w:val="0"/>
                <w:bCs w:val="0"/>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lang w:val="en-US" w:eastAsia="zh-CN"/>
              </w:rPr>
              <w:t>开标</w:t>
            </w:r>
            <w:r>
              <w:rPr>
                <w:rFonts w:hint="eastAsia" w:asciiTheme="minorEastAsia" w:hAnsiTheme="minorEastAsia" w:eastAsiaTheme="minorEastAsia" w:cstheme="minorEastAsia"/>
                <w:color w:val="auto"/>
                <w:highlight w:val="none"/>
                <w:shd w:val="clear" w:color="auto" w:fill="FFFFFF"/>
              </w:rPr>
              <w:t>时间：</w:t>
            </w:r>
            <w:r>
              <w:rPr>
                <w:rFonts w:hint="eastAsia" w:ascii="宋体" w:hAnsi="宋体" w:cs="宋体"/>
                <w:color w:val="auto"/>
                <w:highlight w:val="none"/>
                <w:u w:val="single"/>
                <w:lang w:val="en-US" w:eastAsia="zh-CN"/>
              </w:rPr>
              <w:t>2026</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5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14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9:00 </w:t>
            </w:r>
            <w:r>
              <w:rPr>
                <w:rFonts w:hint="eastAsia" w:ascii="宋体" w:hAnsi="宋体" w:cs="宋体"/>
                <w:color w:val="auto"/>
                <w:highlight w:val="none"/>
              </w:rPr>
              <w:t>时</w:t>
            </w:r>
            <w:r>
              <w:rPr>
                <w:rFonts w:hint="eastAsia" w:ascii="宋体" w:hAnsi="宋体" w:cs="宋体"/>
                <w:bCs/>
                <w:color w:val="auto"/>
                <w:szCs w:val="21"/>
                <w:highlight w:val="none"/>
              </w:rPr>
              <w:t>（北京时间）</w:t>
            </w:r>
          </w:p>
          <w:p w14:paraId="3DE4B17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highlight w:val="none"/>
                <w:shd w:val="clear" w:color="auto" w:fill="FFFFFF"/>
              </w:rPr>
            </w:pPr>
            <w:r>
              <w:rPr>
                <w:rStyle w:val="73"/>
                <w:rFonts w:hint="eastAsia" w:asciiTheme="minorEastAsia" w:hAnsiTheme="minorEastAsia" w:eastAsiaTheme="minorEastAsia" w:cstheme="minorEastAsia"/>
                <w:color w:val="auto"/>
                <w:highlight w:val="none"/>
                <w:shd w:val="clear" w:color="auto" w:fill="FFFFFF"/>
                <w:lang w:val="en-US" w:eastAsia="zh-CN"/>
              </w:rPr>
              <w:t>开标</w:t>
            </w:r>
            <w:r>
              <w:rPr>
                <w:rStyle w:val="73"/>
                <w:rFonts w:hint="eastAsia" w:asciiTheme="minorEastAsia" w:hAnsiTheme="minorEastAsia" w:eastAsiaTheme="minorEastAsia" w:cstheme="minorEastAsia"/>
                <w:color w:val="auto"/>
                <w:highlight w:val="none"/>
                <w:shd w:val="clear" w:color="auto" w:fill="FFFFFF"/>
              </w:rPr>
              <w:t>地点：</w:t>
            </w:r>
            <w:r>
              <w:rPr>
                <w:rStyle w:val="73"/>
                <w:rFonts w:hint="eastAsia"/>
                <w:color w:val="auto"/>
                <w:highlight w:val="none"/>
              </w:rPr>
              <w:t>开化县公共资源交易中心开标厅</w:t>
            </w:r>
            <w:r>
              <w:rPr>
                <w:rFonts w:hint="eastAsia" w:ascii="宋体" w:hAnsi="宋体" w:cs="宋体"/>
                <w:color w:val="auto"/>
                <w:highlight w:val="none"/>
              </w:rPr>
              <w:t>（开化县凤凰南路</w:t>
            </w:r>
            <w:r>
              <w:rPr>
                <w:rFonts w:hint="default" w:ascii="宋体" w:hAnsi="宋体" w:cs="宋体"/>
                <w:color w:val="auto"/>
                <w:highlight w:val="none"/>
              </w:rPr>
              <w:t>2</w:t>
            </w:r>
            <w:r>
              <w:rPr>
                <w:rFonts w:hint="eastAsia" w:ascii="宋体" w:hAnsi="宋体" w:cs="宋体"/>
                <w:color w:val="auto"/>
                <w:highlight w:val="none"/>
              </w:rPr>
              <w:t>号</w:t>
            </w:r>
            <w:r>
              <w:rPr>
                <w:rFonts w:hint="default" w:ascii="宋体" w:hAnsi="宋体" w:cs="宋体"/>
                <w:color w:val="auto"/>
                <w:highlight w:val="none"/>
              </w:rPr>
              <w:t>5</w:t>
            </w:r>
            <w:r>
              <w:rPr>
                <w:rFonts w:hint="eastAsia" w:ascii="宋体" w:hAnsi="宋体" w:cs="宋体"/>
                <w:color w:val="auto"/>
                <w:highlight w:val="none"/>
              </w:rPr>
              <w:t>楼）</w:t>
            </w:r>
          </w:p>
        </w:tc>
      </w:tr>
      <w:tr w14:paraId="09A117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2203" w:hRule="atLeast"/>
          <w:jc w:val="center"/>
        </w:trPr>
        <w:tc>
          <w:tcPr>
            <w:tcW w:w="628" w:type="dxa"/>
            <w:shd w:val="clear" w:color="000000" w:fill="auto"/>
            <w:vAlign w:val="center"/>
          </w:tcPr>
          <w:p w14:paraId="20CAC17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shd w:val="clear" w:color="auto" w:fill="FFFFFF"/>
                <w:lang w:eastAsia="zh-CN"/>
              </w:rPr>
            </w:pPr>
            <w:r>
              <w:rPr>
                <w:rFonts w:hint="eastAsia" w:asciiTheme="minorEastAsia" w:hAnsiTheme="minorEastAsia" w:eastAsiaTheme="minorEastAsia" w:cstheme="minorEastAsia"/>
                <w:color w:val="auto"/>
                <w:highlight w:val="none"/>
                <w:shd w:val="clear" w:color="auto" w:fill="FFFFFF"/>
              </w:rPr>
              <w:t>1</w:t>
            </w:r>
            <w:r>
              <w:rPr>
                <w:rFonts w:hint="eastAsia" w:asciiTheme="minorEastAsia" w:hAnsiTheme="minorEastAsia" w:eastAsiaTheme="minorEastAsia" w:cstheme="minorEastAsia"/>
                <w:color w:val="auto"/>
                <w:highlight w:val="none"/>
                <w:shd w:val="clear" w:color="auto" w:fill="FFFFFF"/>
                <w:lang w:val="en-US" w:eastAsia="zh-CN"/>
              </w:rPr>
              <w:t>7</w:t>
            </w:r>
          </w:p>
        </w:tc>
        <w:tc>
          <w:tcPr>
            <w:tcW w:w="1450" w:type="dxa"/>
            <w:shd w:val="clear" w:color="000000" w:fill="auto"/>
            <w:vAlign w:val="center"/>
          </w:tcPr>
          <w:p w14:paraId="5C1E09AB">
            <w:pPr>
              <w:pStyle w:val="8"/>
              <w:suppressLineNumbers w:val="0"/>
              <w:spacing w:before="0" w:beforeAutospacing="0" w:after="0" w:afterAutospacing="0" w:line="240" w:lineRule="auto"/>
              <w:ind w:left="0" w:right="0"/>
              <w:jc w:val="center"/>
              <w:rPr>
                <w:rFonts w:hint="default" w:ascii="宋体" w:hAnsi="宋体" w:eastAsia="宋体" w:cs="宋体"/>
                <w:b w:val="0"/>
                <w:bCs w:val="0"/>
                <w:color w:val="auto"/>
                <w:sz w:val="21"/>
                <w:highlight w:val="none"/>
              </w:rPr>
            </w:pPr>
            <w:r>
              <w:rPr>
                <w:rFonts w:hint="default" w:ascii="宋体" w:hAnsi="宋体" w:eastAsia="宋体" w:cs="宋体"/>
                <w:b w:val="0"/>
                <w:bCs w:val="0"/>
                <w:color w:val="auto"/>
                <w:sz w:val="21"/>
                <w:highlight w:val="none"/>
              </w:rPr>
              <w:t>投标人出席</w:t>
            </w:r>
          </w:p>
          <w:p w14:paraId="6D5D03FF">
            <w:pPr>
              <w:pStyle w:val="8"/>
              <w:suppressLineNumbers w:val="0"/>
              <w:spacing w:before="0" w:beforeAutospacing="0" w:after="0" w:afterAutospacing="0" w:line="240" w:lineRule="auto"/>
              <w:ind w:left="0" w:right="0"/>
              <w:jc w:val="center"/>
              <w:rPr>
                <w:rFonts w:hint="default" w:ascii="宋体" w:hAnsi="宋体" w:eastAsia="宋体" w:cs="宋体"/>
                <w:b w:val="0"/>
                <w:bCs w:val="0"/>
                <w:color w:val="auto"/>
                <w:sz w:val="21"/>
                <w:highlight w:val="none"/>
              </w:rPr>
            </w:pPr>
            <w:r>
              <w:rPr>
                <w:rFonts w:hint="default" w:ascii="宋体" w:hAnsi="宋体" w:eastAsia="宋体" w:cs="宋体"/>
                <w:b w:val="0"/>
                <w:bCs w:val="0"/>
                <w:color w:val="auto"/>
                <w:sz w:val="21"/>
                <w:highlight w:val="none"/>
              </w:rPr>
              <w:t>招标会议</w:t>
            </w:r>
          </w:p>
        </w:tc>
        <w:tc>
          <w:tcPr>
            <w:tcW w:w="7245" w:type="dxa"/>
            <w:shd w:val="clear" w:color="000000" w:fill="auto"/>
            <w:vAlign w:val="center"/>
          </w:tcPr>
          <w:p w14:paraId="588DB497">
            <w:pPr>
              <w:pStyle w:val="8"/>
              <w:suppressLineNumbers w:val="0"/>
              <w:spacing w:before="0" w:beforeAutospacing="0" w:after="0" w:afterAutospacing="0" w:line="240" w:lineRule="auto"/>
              <w:ind w:left="0" w:right="0"/>
              <w:rPr>
                <w:rFonts w:hint="default" w:ascii="宋体" w:hAnsi="宋体" w:eastAsia="宋体" w:cs="宋体"/>
                <w:b w:val="0"/>
                <w:bCs w:val="0"/>
                <w:color w:val="auto"/>
                <w:sz w:val="21"/>
                <w:highlight w:val="none"/>
              </w:rPr>
            </w:pPr>
            <w:r>
              <w:rPr>
                <w:rFonts w:hint="default" w:ascii="宋体" w:hAnsi="宋体" w:eastAsia="宋体" w:cs="宋体"/>
                <w:b w:val="0"/>
                <w:bCs w:val="0"/>
                <w:color w:val="auto"/>
                <w:sz w:val="21"/>
                <w:highlight w:val="none"/>
              </w:rPr>
              <w:t>本项目实行电子交易，投标人代表无须出席开标现场。</w:t>
            </w:r>
          </w:p>
          <w:p w14:paraId="6FB6D647">
            <w:pPr>
              <w:pStyle w:val="8"/>
              <w:numPr>
                <w:ilvl w:val="0"/>
                <w:numId w:val="2"/>
              </w:numPr>
              <w:suppressLineNumbers w:val="0"/>
              <w:spacing w:before="0" w:beforeAutospacing="0" w:after="0" w:afterAutospacing="0" w:line="240" w:lineRule="auto"/>
              <w:ind w:left="0" w:right="0"/>
              <w:rPr>
                <w:rFonts w:hint="default" w:ascii="宋体" w:hAnsi="宋体" w:eastAsia="宋体" w:cs="宋体"/>
                <w:b w:val="0"/>
                <w:bCs w:val="0"/>
                <w:color w:val="auto"/>
                <w:sz w:val="21"/>
                <w:highlight w:val="none"/>
              </w:rPr>
            </w:pPr>
            <w:r>
              <w:rPr>
                <w:rFonts w:hint="default" w:ascii="宋体" w:hAnsi="宋体" w:eastAsia="宋体" w:cs="宋体"/>
                <w:b w:val="0"/>
                <w:bCs w:val="0"/>
                <w:color w:val="auto"/>
                <w:sz w:val="21"/>
                <w:highlight w:val="none"/>
              </w:rPr>
              <w:t xml:space="preserve">投标人须提前下载“钉钉”app，并安装注册。投标人代表可通过搜索群号 </w:t>
            </w:r>
            <w:r>
              <w:rPr>
                <w:rFonts w:hint="eastAsia" w:ascii="宋体" w:hAnsi="宋体" w:eastAsia="宋体" w:cs="宋体"/>
                <w:b w:val="0"/>
                <w:bCs w:val="0"/>
                <w:color w:val="auto"/>
                <w:sz w:val="21"/>
                <w:highlight w:val="none"/>
                <w:u w:val="single"/>
                <w:lang w:val="en-US" w:eastAsia="zh-CN"/>
              </w:rPr>
              <w:t xml:space="preserve"> 164175022096</w:t>
            </w:r>
            <w:r>
              <w:rPr>
                <w:rFonts w:hint="default" w:ascii="宋体" w:hAnsi="宋体" w:eastAsia="宋体" w:cs="宋体"/>
                <w:b w:val="0"/>
                <w:bCs w:val="0"/>
                <w:color w:val="auto"/>
                <w:sz w:val="21"/>
                <w:highlight w:val="none"/>
              </w:rPr>
              <w:t>加入项目钉钉直播群，观看现场直播。每个投标人仅限授权委托人加入钉钉群，申请加入时需进行身份验证，注明“公司名称+授权委托人姓名”，否则验证不通过。</w:t>
            </w:r>
          </w:p>
          <w:p w14:paraId="2947AA3B">
            <w:pPr>
              <w:pStyle w:val="8"/>
              <w:suppressLineNumbers w:val="0"/>
              <w:spacing w:before="0" w:beforeAutospacing="0" w:after="0" w:afterAutospacing="0" w:line="240" w:lineRule="auto"/>
              <w:ind w:left="0" w:right="0"/>
              <w:rPr>
                <w:rFonts w:hint="default" w:ascii="宋体" w:hAnsi="宋体" w:eastAsia="宋体" w:cs="宋体"/>
                <w:b w:val="0"/>
                <w:bCs w:val="0"/>
                <w:color w:val="auto"/>
                <w:sz w:val="21"/>
                <w:highlight w:val="none"/>
              </w:rPr>
            </w:pPr>
            <w:r>
              <w:rPr>
                <w:rFonts w:hint="eastAsia" w:ascii="宋体" w:hAnsi="宋体" w:eastAsia="宋体" w:cs="宋体"/>
                <w:b w:val="0"/>
                <w:bCs w:val="0"/>
                <w:color w:val="auto"/>
                <w:sz w:val="21"/>
                <w:highlight w:val="none"/>
                <w:lang w:val="en-US" w:eastAsia="zh-CN"/>
              </w:rPr>
              <w:t>2</w:t>
            </w:r>
            <w:r>
              <w:rPr>
                <w:rFonts w:hint="default" w:ascii="宋体" w:hAnsi="宋体" w:eastAsia="宋体" w:cs="宋体"/>
                <w:b w:val="0"/>
                <w:bCs w:val="0"/>
                <w:color w:val="auto"/>
                <w:sz w:val="21"/>
                <w:highlight w:val="none"/>
              </w:rPr>
              <w:t>、因采用“不见面”方式招标，建议投标人安排一名能熟练使用“钉钉”APP或有较高网络操作能力的投标代表。</w:t>
            </w:r>
          </w:p>
        </w:tc>
      </w:tr>
      <w:tr w14:paraId="03AB21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1155" w:hRule="atLeast"/>
          <w:jc w:val="center"/>
        </w:trPr>
        <w:tc>
          <w:tcPr>
            <w:tcW w:w="628" w:type="dxa"/>
            <w:shd w:val="clear" w:color="000000" w:fill="auto"/>
            <w:vAlign w:val="center"/>
          </w:tcPr>
          <w:p w14:paraId="589C681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shd w:val="clear" w:color="auto" w:fill="FFFFFF"/>
                <w:lang w:eastAsia="zh-CN"/>
              </w:rPr>
            </w:pPr>
            <w:r>
              <w:rPr>
                <w:rFonts w:hint="default" w:asciiTheme="minorEastAsia" w:hAnsiTheme="minorEastAsia" w:eastAsiaTheme="minorEastAsia" w:cstheme="minorEastAsia"/>
                <w:color w:val="auto"/>
                <w:highlight w:val="none"/>
                <w:shd w:val="clear" w:color="auto" w:fill="FFFFFF"/>
              </w:rPr>
              <w:t>1</w:t>
            </w:r>
            <w:r>
              <w:rPr>
                <w:rFonts w:hint="eastAsia" w:asciiTheme="minorEastAsia" w:hAnsiTheme="minorEastAsia" w:eastAsiaTheme="minorEastAsia" w:cstheme="minorEastAsia"/>
                <w:color w:val="auto"/>
                <w:highlight w:val="none"/>
                <w:shd w:val="clear" w:color="auto" w:fill="FFFFFF"/>
                <w:lang w:val="en-US" w:eastAsia="zh-CN"/>
              </w:rPr>
              <w:t>8</w:t>
            </w:r>
          </w:p>
        </w:tc>
        <w:tc>
          <w:tcPr>
            <w:tcW w:w="1450" w:type="dxa"/>
            <w:shd w:val="clear" w:color="000000" w:fill="auto"/>
            <w:vAlign w:val="center"/>
          </w:tcPr>
          <w:p w14:paraId="7406B61B">
            <w:pPr>
              <w:keepNext w:val="0"/>
              <w:keepLines w:val="0"/>
              <w:suppressLineNumbers w:val="0"/>
              <w:spacing w:before="0" w:beforeAutospacing="0" w:after="0" w:afterAutospacing="0" w:line="36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中标公告</w:t>
            </w:r>
          </w:p>
          <w:p w14:paraId="50588AA8">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highlight w:val="none"/>
                <w:shd w:val="clear" w:color="auto" w:fill="FFFFFF"/>
              </w:rPr>
            </w:pPr>
            <w:r>
              <w:rPr>
                <w:rFonts w:hint="eastAsia" w:ascii="宋体" w:hAnsi="宋体" w:cs="宋体"/>
                <w:color w:val="auto"/>
                <w:szCs w:val="21"/>
                <w:highlight w:val="none"/>
              </w:rPr>
              <w:t>及中标通知书</w:t>
            </w:r>
          </w:p>
        </w:tc>
        <w:tc>
          <w:tcPr>
            <w:tcW w:w="7245" w:type="dxa"/>
            <w:shd w:val="clear" w:color="000000" w:fill="auto"/>
            <w:vAlign w:val="center"/>
          </w:tcPr>
          <w:p w14:paraId="4F6F2FF8">
            <w:pPr>
              <w:keepNext w:val="0"/>
              <w:keepLines w:val="0"/>
              <w:suppressLineNumbers w:val="0"/>
              <w:spacing w:before="0" w:beforeAutospacing="0" w:after="0" w:afterAutospacing="0"/>
              <w:ind w:left="0" w:right="0"/>
              <w:rPr>
                <w:rFonts w:hint="default" w:asciiTheme="minorEastAsia" w:hAnsiTheme="minorEastAsia" w:cstheme="minorEastAsia"/>
                <w:color w:val="auto"/>
                <w:highlight w:val="none"/>
                <w:shd w:val="clear" w:color="auto" w:fill="FFFFFF"/>
              </w:rPr>
            </w:pPr>
            <w:r>
              <w:rPr>
                <w:rFonts w:hint="eastAsia" w:ascii="宋体" w:hAnsi="宋体" w:cs="宋体"/>
                <w:color w:val="auto"/>
                <w:szCs w:val="21"/>
                <w:highlight w:val="none"/>
              </w:rPr>
              <w:t>在中标供应商确定之日起2个工作日内发布中标公告及《中标通知书》，中标公告发布网址：浙江政府采购网(http://zfcg.czt.zj.gov.cn/)</w:t>
            </w:r>
            <w:r>
              <w:rPr>
                <w:rFonts w:hint="eastAsia" w:ascii="宋体" w:hAnsi="宋体" w:cs="宋体"/>
                <w:b/>
                <w:bCs/>
                <w:color w:val="auto"/>
                <w:szCs w:val="21"/>
                <w:highlight w:val="none"/>
              </w:rPr>
              <w:t>（发布中标公告时同步公开评标委员会对每个投标人的《得分汇总表》情况；中标人提供的中小企业声明函将随中标结果同时公告）。</w:t>
            </w:r>
          </w:p>
        </w:tc>
      </w:tr>
      <w:tr w14:paraId="15943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286" w:hRule="atLeast"/>
          <w:jc w:val="center"/>
        </w:trPr>
        <w:tc>
          <w:tcPr>
            <w:tcW w:w="628" w:type="dxa"/>
            <w:shd w:val="clear" w:color="000000" w:fill="auto"/>
            <w:vAlign w:val="center"/>
          </w:tcPr>
          <w:p w14:paraId="3D0982E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shd w:val="clear" w:color="auto" w:fill="FFFFFF"/>
                <w:lang w:eastAsia="zh-CN"/>
              </w:rPr>
            </w:pPr>
            <w:r>
              <w:rPr>
                <w:rFonts w:hint="eastAsia" w:asciiTheme="minorEastAsia" w:hAnsiTheme="minorEastAsia" w:eastAsiaTheme="minorEastAsia" w:cstheme="minorEastAsia"/>
                <w:color w:val="auto"/>
                <w:highlight w:val="none"/>
                <w:shd w:val="clear" w:color="auto" w:fill="FFFFFF"/>
              </w:rPr>
              <w:t>1</w:t>
            </w:r>
            <w:r>
              <w:rPr>
                <w:rFonts w:hint="eastAsia" w:asciiTheme="minorEastAsia" w:hAnsiTheme="minorEastAsia" w:eastAsiaTheme="minorEastAsia" w:cstheme="minorEastAsia"/>
                <w:color w:val="auto"/>
                <w:highlight w:val="none"/>
                <w:shd w:val="clear" w:color="auto" w:fill="FFFFFF"/>
                <w:lang w:val="en-US" w:eastAsia="zh-CN"/>
              </w:rPr>
              <w:t>9</w:t>
            </w:r>
          </w:p>
        </w:tc>
        <w:tc>
          <w:tcPr>
            <w:tcW w:w="1450" w:type="dxa"/>
            <w:shd w:val="clear" w:color="000000" w:fill="auto"/>
            <w:vAlign w:val="center"/>
          </w:tcPr>
          <w:p w14:paraId="2E5DED1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履约保证金</w:t>
            </w:r>
          </w:p>
        </w:tc>
        <w:tc>
          <w:tcPr>
            <w:tcW w:w="7245" w:type="dxa"/>
            <w:shd w:val="clear" w:color="000000" w:fill="auto"/>
            <w:vAlign w:val="center"/>
          </w:tcPr>
          <w:p w14:paraId="1F5B95F9">
            <w:pPr>
              <w:keepNext w:val="0"/>
              <w:keepLines w:val="0"/>
              <w:suppressLineNumbers w:val="0"/>
              <w:spacing w:before="0" w:beforeAutospacing="0" w:after="0" w:afterAutospacing="0" w:line="360" w:lineRule="exact"/>
              <w:ind w:left="0" w:right="0"/>
              <w:rPr>
                <w:rFonts w:hint="default" w:ascii="宋体" w:hAnsi="宋体" w:cs="宋体"/>
                <w:color w:val="auto"/>
                <w:highlight w:val="none"/>
              </w:rPr>
            </w:pPr>
            <w:r>
              <w:rPr>
                <w:rFonts w:hint="eastAsia" w:ascii="宋体" w:hAnsi="宋体" w:cs="宋体"/>
                <w:color w:val="auto"/>
                <w:highlight w:val="none"/>
                <w:lang w:eastAsia="zh-CN"/>
              </w:rPr>
              <w:t>□</w:t>
            </w:r>
            <w:r>
              <w:rPr>
                <w:rFonts w:hint="default" w:ascii="宋体" w:hAnsi="宋体" w:cs="宋体"/>
                <w:color w:val="auto"/>
                <w:highlight w:val="none"/>
              </w:rPr>
              <w:t>本项目不收取履约保证金。</w:t>
            </w:r>
          </w:p>
          <w:p w14:paraId="21549F78">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本合同签订后5个工作日内，中标人通过电汇、转账、银行或保险公司出具履约保函向采购人交纳中标金额</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cs="宋体"/>
                <w:b w:val="0"/>
                <w:bCs w:val="0"/>
                <w:color w:val="auto"/>
                <w:kern w:val="2"/>
                <w:sz w:val="21"/>
                <w:szCs w:val="21"/>
                <w:highlight w:val="none"/>
                <w:u w:val="single"/>
                <w:lang w:val="en-US" w:eastAsia="zh-CN" w:bidi="ar-SA"/>
              </w:rPr>
              <w:t>1</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%的履约保证金。</w:t>
            </w:r>
          </w:p>
          <w:p w14:paraId="0927FEEE">
            <w:pPr>
              <w:keepNext w:val="0"/>
              <w:keepLines w:val="0"/>
              <w:suppressLineNumbers w:val="0"/>
              <w:spacing w:before="0" w:beforeAutospacing="0" w:after="0" w:afterAutospacing="0"/>
              <w:ind w:left="0" w:right="0"/>
              <w:rPr>
                <w:rFonts w:hint="default" w:ascii="宋体" w:hAnsi="宋体"/>
                <w:color w:val="auto"/>
                <w:spacing w:val="-8"/>
                <w:highlight w:val="none"/>
              </w:rPr>
            </w:pPr>
            <w:r>
              <w:rPr>
                <w:rFonts w:hint="eastAsia" w:ascii="宋体" w:hAnsi="宋体" w:eastAsia="宋体" w:cs="宋体"/>
                <w:b w:val="0"/>
                <w:bCs w:val="0"/>
                <w:color w:val="auto"/>
                <w:kern w:val="2"/>
                <w:sz w:val="21"/>
                <w:szCs w:val="21"/>
                <w:highlight w:val="none"/>
                <w:lang w:val="en-US" w:eastAsia="zh-CN" w:bidi="ar-SA"/>
              </w:rPr>
              <w:t>退还：服务期满后退还（不计利息）。</w:t>
            </w:r>
          </w:p>
        </w:tc>
      </w:tr>
      <w:tr w14:paraId="6EDC2E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946" w:hRule="atLeast"/>
          <w:jc w:val="center"/>
        </w:trPr>
        <w:tc>
          <w:tcPr>
            <w:tcW w:w="628" w:type="dxa"/>
            <w:shd w:val="clear" w:color="000000" w:fill="auto"/>
            <w:vAlign w:val="center"/>
          </w:tcPr>
          <w:p w14:paraId="63DF4C8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shd w:val="clear" w:color="auto" w:fill="FFFFFF"/>
              </w:rPr>
            </w:pPr>
            <w:r>
              <w:rPr>
                <w:rFonts w:hint="eastAsia" w:ascii="宋体" w:hAnsi="宋体" w:cs="宋体"/>
                <w:color w:val="auto"/>
                <w:szCs w:val="21"/>
                <w:highlight w:val="none"/>
              </w:rPr>
              <w:t>20</w:t>
            </w:r>
          </w:p>
        </w:tc>
        <w:tc>
          <w:tcPr>
            <w:tcW w:w="1450" w:type="dxa"/>
            <w:shd w:val="clear" w:color="000000" w:fill="auto"/>
            <w:vAlign w:val="center"/>
          </w:tcPr>
          <w:p w14:paraId="2057FD2B">
            <w:pPr>
              <w:keepNext w:val="0"/>
              <w:keepLines w:val="0"/>
              <w:suppressLineNumbers w:val="0"/>
              <w:spacing w:before="0" w:beforeAutospacing="0" w:after="0" w:afterAutospacing="0" w:line="360" w:lineRule="exact"/>
              <w:ind w:left="0" w:right="0"/>
              <w:jc w:val="both"/>
              <w:rPr>
                <w:rFonts w:hint="eastAsia" w:asciiTheme="minorEastAsia" w:hAnsiTheme="minorEastAsia" w:eastAsiaTheme="minorEastAsia" w:cstheme="minorEastAsia"/>
                <w:color w:val="auto"/>
                <w:highlight w:val="none"/>
                <w:shd w:val="clear" w:color="auto" w:fill="FFFFFF"/>
              </w:rPr>
            </w:pPr>
            <w:r>
              <w:rPr>
                <w:rFonts w:hint="eastAsia" w:ascii="宋体" w:hAnsi="宋体" w:cs="宋体"/>
                <w:color w:val="auto"/>
                <w:szCs w:val="21"/>
                <w:highlight w:val="none"/>
              </w:rPr>
              <w:t>签订合同时间</w:t>
            </w:r>
          </w:p>
        </w:tc>
        <w:tc>
          <w:tcPr>
            <w:tcW w:w="7245" w:type="dxa"/>
            <w:shd w:val="clear" w:color="000000" w:fill="auto"/>
            <w:vAlign w:val="center"/>
          </w:tcPr>
          <w:p w14:paraId="6E944233">
            <w:pPr>
              <w:keepNext w:val="0"/>
              <w:keepLines w:val="0"/>
              <w:suppressLineNumbers w:val="0"/>
              <w:spacing w:before="0" w:beforeAutospacing="0" w:after="0" w:afterAutospacing="0"/>
              <w:ind w:left="0" w:right="0"/>
              <w:rPr>
                <w:rFonts w:hint="eastAsia" w:ascii="宋体" w:hAnsi="宋体" w:cs="宋体"/>
                <w:color w:val="auto"/>
                <w:highlight w:val="none"/>
                <w:lang w:eastAsia="zh-CN"/>
              </w:rPr>
            </w:pPr>
            <w:r>
              <w:rPr>
                <w:rFonts w:hint="eastAsia" w:ascii="宋体" w:hAnsi="宋体" w:cs="宋体"/>
                <w:color w:val="auto"/>
                <w:szCs w:val="21"/>
                <w:highlight w:val="none"/>
              </w:rPr>
              <w:t>中标通知书发出之日起</w:t>
            </w:r>
            <w:r>
              <w:rPr>
                <w:rFonts w:hint="eastAsia" w:ascii="宋体" w:hAnsi="宋体" w:cs="宋体"/>
                <w:b/>
                <w:i/>
                <w:color w:val="auto"/>
                <w:kern w:val="0"/>
                <w:szCs w:val="21"/>
                <w:highlight w:val="none"/>
                <w:u w:val="single"/>
              </w:rPr>
              <w:t>30日</w:t>
            </w:r>
            <w:r>
              <w:rPr>
                <w:rFonts w:hint="eastAsia" w:ascii="宋体" w:hAnsi="宋体" w:cs="宋体"/>
                <w:color w:val="auto"/>
                <w:kern w:val="0"/>
                <w:szCs w:val="21"/>
                <w:highlight w:val="none"/>
              </w:rPr>
              <w:t>内</w:t>
            </w:r>
            <w:r>
              <w:rPr>
                <w:rFonts w:hint="eastAsia" w:ascii="宋体" w:hAnsi="宋体" w:cs="宋体"/>
                <w:color w:val="auto"/>
                <w:szCs w:val="21"/>
                <w:highlight w:val="none"/>
              </w:rPr>
              <w:t>。</w:t>
            </w:r>
          </w:p>
        </w:tc>
      </w:tr>
      <w:tr w14:paraId="57B372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245" w:hRule="atLeast"/>
          <w:jc w:val="center"/>
        </w:trPr>
        <w:tc>
          <w:tcPr>
            <w:tcW w:w="628" w:type="dxa"/>
            <w:shd w:val="clear" w:color="000000" w:fill="auto"/>
            <w:vAlign w:val="center"/>
          </w:tcPr>
          <w:p w14:paraId="4ED24DC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highlight w:val="none"/>
                <w:shd w:val="clear" w:color="auto" w:fill="FFFFFF"/>
                <w:lang w:val="en-US" w:eastAsia="zh-CN"/>
              </w:rPr>
            </w:pPr>
            <w:r>
              <w:rPr>
                <w:rFonts w:hint="eastAsia" w:asciiTheme="minorEastAsia" w:hAnsiTheme="minorEastAsia" w:eastAsiaTheme="minorEastAsia" w:cstheme="minorEastAsia"/>
                <w:color w:val="auto"/>
                <w:highlight w:val="none"/>
                <w:shd w:val="clear" w:color="auto" w:fill="FFFFFF"/>
                <w:lang w:val="en-US" w:eastAsia="zh-CN"/>
              </w:rPr>
              <w:t>21</w:t>
            </w:r>
          </w:p>
        </w:tc>
        <w:tc>
          <w:tcPr>
            <w:tcW w:w="1450" w:type="dxa"/>
            <w:shd w:val="clear" w:color="000000" w:fill="auto"/>
            <w:vAlign w:val="center"/>
          </w:tcPr>
          <w:p w14:paraId="2AF6F742">
            <w:pPr>
              <w:keepNext w:val="0"/>
              <w:keepLines w:val="0"/>
              <w:suppressLineNumbers w:val="0"/>
              <w:spacing w:before="0" w:beforeAutospacing="0" w:after="0" w:afterAutospacing="0" w:line="360" w:lineRule="exact"/>
              <w:ind w:left="0" w:right="0"/>
              <w:jc w:val="both"/>
              <w:rPr>
                <w:rFonts w:hint="default" w:asciiTheme="minorEastAsia" w:hAnsiTheme="minorEastAsia" w:eastAsiaTheme="minorEastAsia" w:cstheme="minorEastAsia"/>
                <w:color w:val="auto"/>
                <w:highlight w:val="none"/>
                <w:shd w:val="clear" w:color="auto" w:fill="FFFFFF"/>
              </w:rPr>
            </w:pPr>
            <w:r>
              <w:rPr>
                <w:rFonts w:hint="eastAsia" w:ascii="宋体" w:hAnsi="宋体" w:eastAsia="宋体" w:cs="宋体"/>
                <w:color w:val="auto"/>
                <w:szCs w:val="21"/>
                <w:highlight w:val="none"/>
              </w:rPr>
              <w:t>合同价格条款</w:t>
            </w:r>
          </w:p>
        </w:tc>
        <w:tc>
          <w:tcPr>
            <w:tcW w:w="7245" w:type="dxa"/>
            <w:shd w:val="clear" w:color="000000" w:fill="auto"/>
            <w:vAlign w:val="center"/>
          </w:tcPr>
          <w:p w14:paraId="2053A927">
            <w:pPr>
              <w:keepNext w:val="0"/>
              <w:keepLines w:val="0"/>
              <w:suppressLineNumbers w:val="0"/>
              <w:spacing w:before="0" w:beforeAutospacing="0" w:after="0" w:afterAutospacing="0"/>
              <w:ind w:left="0" w:leftChars="0" w:right="0" w:rightChars="0"/>
              <w:rPr>
                <w:rFonts w:hint="default"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spacing w:val="0"/>
                <w:kern w:val="0"/>
                <w:sz w:val="21"/>
                <w:szCs w:val="21"/>
                <w:highlight w:val="none"/>
              </w:rPr>
              <w:t>本合同为固定总价合同，以成交价为基准，政策性变化等均不允许调整</w:t>
            </w:r>
            <w:r>
              <w:rPr>
                <w:rFonts w:hint="eastAsia" w:asciiTheme="minorEastAsia" w:hAnsiTheme="minorEastAsia" w:eastAsiaTheme="minorEastAsia" w:cstheme="minorEastAsia"/>
                <w:spacing w:val="0"/>
                <w:kern w:val="0"/>
                <w:sz w:val="21"/>
                <w:szCs w:val="21"/>
                <w:highlight w:val="none"/>
                <w:lang w:eastAsia="zh-CN"/>
              </w:rPr>
              <w:t>，</w:t>
            </w:r>
            <w:r>
              <w:rPr>
                <w:rFonts w:hint="eastAsia" w:ascii="宋体" w:hAnsi="宋体" w:cs="宋体"/>
                <w:color w:val="auto"/>
                <w:szCs w:val="21"/>
                <w:highlight w:val="none"/>
              </w:rPr>
              <w:t>材料价差变动不准调整</w:t>
            </w:r>
            <w:r>
              <w:rPr>
                <w:rFonts w:hint="eastAsia" w:asciiTheme="minorEastAsia" w:hAnsiTheme="minorEastAsia" w:eastAsiaTheme="minorEastAsia" w:cstheme="minorEastAsia"/>
                <w:spacing w:val="0"/>
                <w:kern w:val="0"/>
                <w:sz w:val="21"/>
                <w:szCs w:val="21"/>
                <w:highlight w:val="none"/>
              </w:rPr>
              <w:t>。</w:t>
            </w:r>
          </w:p>
        </w:tc>
      </w:tr>
      <w:tr w14:paraId="63117D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473" w:hRule="atLeast"/>
          <w:jc w:val="center"/>
        </w:trPr>
        <w:tc>
          <w:tcPr>
            <w:tcW w:w="628" w:type="dxa"/>
            <w:shd w:val="clear" w:color="000000" w:fill="auto"/>
            <w:vAlign w:val="center"/>
          </w:tcPr>
          <w:p w14:paraId="07C94CA1">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highlight w:val="none"/>
                <w:shd w:val="clear" w:color="auto" w:fill="FFFFFF"/>
                <w:lang w:val="en-US" w:eastAsia="zh-CN"/>
              </w:rPr>
            </w:pPr>
            <w:r>
              <w:rPr>
                <w:rFonts w:hint="eastAsia" w:asciiTheme="minorEastAsia" w:hAnsiTheme="minorEastAsia" w:eastAsiaTheme="minorEastAsia" w:cstheme="minorEastAsia"/>
                <w:color w:val="auto"/>
                <w:highlight w:val="none"/>
                <w:shd w:val="clear" w:color="auto" w:fill="FFFFFF"/>
                <w:lang w:val="en-US" w:eastAsia="zh-CN"/>
              </w:rPr>
              <w:t>22</w:t>
            </w:r>
          </w:p>
        </w:tc>
        <w:tc>
          <w:tcPr>
            <w:tcW w:w="1450" w:type="dxa"/>
            <w:shd w:val="clear" w:color="000000" w:fill="auto"/>
            <w:vAlign w:val="center"/>
          </w:tcPr>
          <w:p w14:paraId="152435A6">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highlight w:val="none"/>
                <w:shd w:val="clear" w:color="auto" w:fill="FFFFFF"/>
              </w:rPr>
            </w:pPr>
            <w:r>
              <w:rPr>
                <w:rFonts w:hint="eastAsia" w:ascii="宋体" w:hAnsi="宋体" w:cs="宋体"/>
                <w:color w:val="auto"/>
                <w:szCs w:val="21"/>
                <w:highlight w:val="none"/>
              </w:rPr>
              <w:t>中小企业信用融资及电子保函</w:t>
            </w:r>
          </w:p>
        </w:tc>
        <w:tc>
          <w:tcPr>
            <w:tcW w:w="7245" w:type="dxa"/>
            <w:shd w:val="clear" w:color="000000" w:fill="auto"/>
            <w:vAlign w:val="center"/>
          </w:tcPr>
          <w:p w14:paraId="606634AF">
            <w:pPr>
              <w:keepNext w:val="0"/>
              <w:keepLines w:val="0"/>
              <w:suppressLineNumbers w:val="0"/>
              <w:spacing w:before="0" w:beforeAutospacing="0" w:after="0" w:afterAutospacing="0"/>
              <w:ind w:left="0" w:right="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投标人中标后也可在“政采云”平台申请政采贷：操作路径：登录政采云平台 - 金融服务中心 -【融资服务】，可在热门申请中选择产品直接申请，也可点击云智贷匹配适合产品进行申请，或者在可申请项目中根据该项目进行申请,也可通过登录浙江政务网-“衢融通”平台-【采购质押融资申请】。</w:t>
            </w:r>
          </w:p>
          <w:p w14:paraId="759E9A58">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highlight w:val="none"/>
                <w:shd w:val="clear" w:color="auto" w:fill="FFFFFF"/>
              </w:rPr>
            </w:pPr>
            <w:r>
              <w:rPr>
                <w:rFonts w:hint="eastAsia" w:ascii="宋体" w:hAnsi="宋体" w:cs="宋体"/>
                <w:b/>
                <w:bCs/>
                <w:color w:val="auto"/>
                <w:kern w:val="0"/>
                <w:szCs w:val="21"/>
                <w:highlight w:val="none"/>
              </w:rPr>
              <w:t>投标人若有办理电子保函意向的可登录浙江政府采购网“浙江政采贷”（网址：</w:t>
            </w:r>
            <w:r>
              <w:rPr>
                <w:rFonts w:hint="eastAsia" w:ascii="宋体" w:hAnsi="宋体" w:cs="宋体"/>
                <w:b/>
                <w:bCs/>
                <w:color w:val="auto"/>
                <w:kern w:val="0"/>
                <w:szCs w:val="21"/>
                <w:highlight w:val="none"/>
              </w:rPr>
              <w:fldChar w:fldCharType="begin"/>
            </w:r>
            <w:r>
              <w:rPr>
                <w:rFonts w:hint="eastAsia" w:ascii="宋体" w:hAnsi="宋体" w:cs="宋体"/>
                <w:b/>
                <w:bCs/>
                <w:color w:val="auto"/>
                <w:kern w:val="0"/>
                <w:szCs w:val="21"/>
                <w:highlight w:val="none"/>
              </w:rPr>
              <w:instrText xml:space="preserve"> HYPERLINK "https://jinrong.zcygov.cn" </w:instrText>
            </w:r>
            <w:r>
              <w:rPr>
                <w:rFonts w:hint="eastAsia" w:ascii="宋体" w:hAnsi="宋体" w:cs="宋体"/>
                <w:b/>
                <w:bCs/>
                <w:color w:val="auto"/>
                <w:kern w:val="0"/>
                <w:szCs w:val="21"/>
                <w:highlight w:val="none"/>
              </w:rPr>
              <w:fldChar w:fldCharType="separate"/>
            </w:r>
            <w:r>
              <w:rPr>
                <w:rFonts w:hint="eastAsia" w:ascii="宋体" w:hAnsi="宋体" w:cs="宋体"/>
                <w:b/>
                <w:bCs/>
                <w:color w:val="auto"/>
                <w:kern w:val="0"/>
                <w:szCs w:val="21"/>
                <w:highlight w:val="none"/>
              </w:rPr>
              <w:t>https://jinrong.zcygov.cn</w:t>
            </w:r>
            <w:r>
              <w:rPr>
                <w:rFonts w:hint="eastAsia" w:ascii="宋体" w:hAnsi="宋体" w:cs="宋体"/>
                <w:b/>
                <w:bCs/>
                <w:color w:val="auto"/>
                <w:kern w:val="0"/>
                <w:szCs w:val="21"/>
                <w:highlight w:val="none"/>
              </w:rPr>
              <w:fldChar w:fldCharType="end"/>
            </w:r>
            <w:r>
              <w:rPr>
                <w:rFonts w:hint="eastAsia" w:ascii="宋体" w:hAnsi="宋体" w:cs="宋体"/>
                <w:b/>
                <w:bCs/>
                <w:color w:val="auto"/>
                <w:kern w:val="0"/>
                <w:szCs w:val="21"/>
                <w:highlight w:val="none"/>
              </w:rPr>
              <w:t>，政府采购云平台金融服务中心）查看相关政策和服务方案。</w:t>
            </w:r>
          </w:p>
        </w:tc>
      </w:tr>
      <w:tr w14:paraId="7CC14D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473" w:hRule="atLeast"/>
          <w:jc w:val="center"/>
        </w:trPr>
        <w:tc>
          <w:tcPr>
            <w:tcW w:w="628" w:type="dxa"/>
            <w:shd w:val="clear" w:color="000000" w:fill="auto"/>
            <w:vAlign w:val="center"/>
          </w:tcPr>
          <w:p w14:paraId="369318F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highlight w:val="none"/>
                <w:shd w:val="clear" w:color="auto" w:fill="FFFFFF"/>
                <w:lang w:val="en-US" w:eastAsia="zh-CN"/>
              </w:rPr>
            </w:pPr>
            <w:r>
              <w:rPr>
                <w:rFonts w:hint="eastAsia" w:asciiTheme="minorEastAsia" w:hAnsiTheme="minorEastAsia" w:eastAsiaTheme="minorEastAsia" w:cstheme="minorEastAsia"/>
                <w:color w:val="auto"/>
                <w:highlight w:val="none"/>
                <w:shd w:val="clear" w:color="auto" w:fill="FFFFFF"/>
                <w:lang w:val="en-US" w:eastAsia="zh-CN"/>
              </w:rPr>
              <w:t>23</w:t>
            </w:r>
          </w:p>
        </w:tc>
        <w:tc>
          <w:tcPr>
            <w:tcW w:w="1450" w:type="dxa"/>
            <w:shd w:val="clear" w:color="000000" w:fill="auto"/>
            <w:vAlign w:val="center"/>
          </w:tcPr>
          <w:p w14:paraId="0F4F5223">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auto"/>
              <w:ind w:left="0" w:right="0"/>
              <w:jc w:val="center"/>
              <w:textAlignment w:val="auto"/>
              <w:rPr>
                <w:rFonts w:hint="default"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b/>
                <w:bCs/>
                <w:smallCaps w:val="0"/>
                <w:color w:val="auto"/>
                <w:spacing w:val="0"/>
                <w:highlight w:val="none"/>
              </w:rPr>
              <w:t>违约风险</w:t>
            </w:r>
          </w:p>
        </w:tc>
        <w:tc>
          <w:tcPr>
            <w:tcW w:w="7245" w:type="dxa"/>
            <w:shd w:val="clear" w:color="000000" w:fill="auto"/>
            <w:vAlign w:val="center"/>
          </w:tcPr>
          <w:p w14:paraId="2994DE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heme="minorEastAsia" w:hAnsiTheme="minorEastAsia" w:eastAsiaTheme="minorEastAsia" w:cstheme="minorEastAsia"/>
                <w:color w:val="auto"/>
                <w:highlight w:val="none"/>
                <w:shd w:val="clear" w:color="auto" w:fill="FFFFFF"/>
              </w:rPr>
            </w:pPr>
            <w:r>
              <w:rPr>
                <w:rFonts w:hint="eastAsia" w:ascii="宋体" w:hAnsi="宋体" w:cs="宋体"/>
                <w:b/>
                <w:bCs/>
                <w:smallCaps w:val="0"/>
                <w:color w:val="auto"/>
                <w:spacing w:val="0"/>
                <w:kern w:val="0"/>
                <w:highlight w:val="none"/>
              </w:rPr>
              <w:t>成交供应商除因不可抗力（不能预见、不能避免且不能克服的客观情况）不能履行合同义务外，不得拒绝签订或者拒绝履行合同。拒绝签订或者拒绝履行合同的成交供应商不得参加对该项目重新开展的采购活动，且应当承担法律责任。</w:t>
            </w:r>
          </w:p>
        </w:tc>
      </w:tr>
      <w:tr w14:paraId="45AA6F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7" w:type="dxa"/>
            <w:left w:w="74" w:type="dxa"/>
            <w:bottom w:w="17" w:type="dxa"/>
            <w:right w:w="74" w:type="dxa"/>
          </w:tblCellMar>
        </w:tblPrEx>
        <w:trPr>
          <w:trHeight w:val="473" w:hRule="atLeast"/>
          <w:jc w:val="center"/>
        </w:trPr>
        <w:tc>
          <w:tcPr>
            <w:tcW w:w="628" w:type="dxa"/>
            <w:shd w:val="clear" w:color="000000" w:fill="auto"/>
            <w:vAlign w:val="center"/>
          </w:tcPr>
          <w:p w14:paraId="5F689B06">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highlight w:val="none"/>
                <w:shd w:val="clear" w:color="auto" w:fill="FFFFFF"/>
                <w:lang w:val="en-US" w:eastAsia="zh-CN"/>
              </w:rPr>
            </w:pPr>
            <w:bookmarkStart w:id="18" w:name="_Toc358384688"/>
            <w:bookmarkStart w:id="19" w:name="_Toc326937530"/>
            <w:bookmarkStart w:id="20" w:name="_Toc393201707"/>
            <w:bookmarkStart w:id="21" w:name="_Toc433917260"/>
            <w:bookmarkStart w:id="22" w:name="_Toc504642664"/>
            <w:bookmarkStart w:id="23" w:name="_Toc333842544"/>
            <w:r>
              <w:rPr>
                <w:rFonts w:hint="eastAsia" w:asciiTheme="minorEastAsia" w:hAnsiTheme="minorEastAsia" w:eastAsiaTheme="minorEastAsia" w:cstheme="minorEastAsia"/>
                <w:color w:val="auto"/>
                <w:highlight w:val="none"/>
                <w:shd w:val="clear" w:color="auto" w:fill="FFFFFF"/>
                <w:lang w:val="en-US" w:eastAsia="zh-CN"/>
              </w:rPr>
              <w:t>24</w:t>
            </w:r>
          </w:p>
        </w:tc>
        <w:tc>
          <w:tcPr>
            <w:tcW w:w="1450" w:type="dxa"/>
            <w:shd w:val="clear" w:color="000000" w:fill="auto"/>
            <w:vAlign w:val="center"/>
          </w:tcPr>
          <w:p w14:paraId="24842F2B">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FFFFFF"/>
                <w:lang w:val="en-US" w:eastAsia="zh-CN" w:bidi="ar-SA"/>
              </w:rPr>
            </w:pPr>
            <w:r>
              <w:rPr>
                <w:rFonts w:hint="eastAsia" w:ascii="宋体" w:hAnsi="宋体" w:cs="宋体"/>
                <w:color w:val="auto"/>
                <w:szCs w:val="21"/>
                <w:highlight w:val="none"/>
              </w:rPr>
              <w:t>重要提醒</w:t>
            </w:r>
          </w:p>
        </w:tc>
        <w:tc>
          <w:tcPr>
            <w:tcW w:w="7245" w:type="dxa"/>
            <w:shd w:val="clear" w:color="000000" w:fill="auto"/>
            <w:vAlign w:val="center"/>
          </w:tcPr>
          <w:p w14:paraId="2827454D">
            <w:pPr>
              <w:keepNext w:val="0"/>
              <w:keepLines w:val="0"/>
              <w:suppressLineNumbers w:val="0"/>
              <w:spacing w:before="0" w:beforeAutospacing="0" w:after="0" w:afterAutospacing="0" w:line="360" w:lineRule="exact"/>
              <w:ind w:left="0" w:right="0"/>
              <w:jc w:val="left"/>
              <w:rPr>
                <w:rFonts w:hint="eastAsia" w:ascii="宋体" w:hAnsi="宋体" w:cs="宋体"/>
                <w:b/>
                <w:bCs/>
                <w:color w:val="auto"/>
                <w:szCs w:val="21"/>
                <w:highlight w:val="none"/>
              </w:rPr>
            </w:pPr>
            <w:r>
              <w:rPr>
                <w:rStyle w:val="77"/>
                <w:rFonts w:hint="default" w:cs="宋体"/>
                <w:b/>
                <w:color w:val="auto"/>
                <w:highlight w:val="none"/>
              </w:rPr>
              <w:t>1.投标截止时间后，所有供应商均应当准时在线参加。</w:t>
            </w:r>
            <w:r>
              <w:rPr>
                <w:rStyle w:val="102"/>
                <w:rFonts w:hint="default" w:cs="宋体"/>
                <w:b/>
                <w:bCs/>
                <w:color w:val="auto"/>
                <w:kern w:val="0"/>
                <w:highlight w:val="none"/>
              </w:rPr>
              <w:t>在</w:t>
            </w:r>
            <w:r>
              <w:rPr>
                <w:rFonts w:hint="eastAsia" w:ascii="宋体" w:hAnsi="宋体" w:cs="宋体"/>
                <w:b/>
                <w:bCs/>
                <w:color w:val="auto"/>
                <w:szCs w:val="21"/>
                <w:highlight w:val="none"/>
              </w:rPr>
              <w:t>开标后登录政采云平台，用“项目采购-开标评标”功能对投标文件进行在线解密。在线解密投标文件时间为开标时间起30分钟内。</w:t>
            </w:r>
          </w:p>
          <w:p w14:paraId="0507764C">
            <w:pPr>
              <w:keepNext w:val="0"/>
              <w:keepLines w:val="0"/>
              <w:suppressLineNumbers w:val="0"/>
              <w:spacing w:before="0" w:beforeAutospacing="0" w:after="0" w:afterAutospacing="0" w:line="360" w:lineRule="exact"/>
              <w:ind w:left="0" w:right="0"/>
              <w:jc w:val="left"/>
              <w:rPr>
                <w:rFonts w:hint="eastAsia" w:ascii="宋体" w:hAnsi="宋体" w:cs="宋体"/>
                <w:b/>
                <w:bCs/>
                <w:color w:val="auto"/>
                <w:szCs w:val="21"/>
                <w:highlight w:val="none"/>
              </w:rPr>
            </w:pPr>
            <w:r>
              <w:rPr>
                <w:rFonts w:hint="eastAsia" w:ascii="宋体" w:hAnsi="宋体" w:cs="宋体"/>
                <w:b/>
                <w:bCs/>
                <w:color w:val="auto"/>
                <w:szCs w:val="21"/>
                <w:highlight w:val="none"/>
              </w:rPr>
              <w:t>2.所有询标流程，均在线上完成，请各投标人务必不要离开电脑太久，并留意手机短信。投标人的联系电话在投标当天保持通信畅通，因通信问题无法联系到投标人造成的后果由投标人自行承担。（请提前检查“政采云”内，关于“项目采购”的岗位权限是否已勾选上。如有问题，请致电</w:t>
            </w:r>
            <w:r>
              <w:rPr>
                <w:rFonts w:hint="eastAsia" w:ascii="宋体" w:hAnsi="宋体" w:cs="宋体"/>
                <w:b/>
                <w:bCs/>
                <w:color w:val="auto"/>
                <w:szCs w:val="21"/>
                <w:highlight w:val="none"/>
                <w:lang w:val="en-US" w:eastAsia="zh-CN"/>
              </w:rPr>
              <w:t>95763</w:t>
            </w:r>
            <w:r>
              <w:rPr>
                <w:rFonts w:hint="eastAsia" w:ascii="宋体" w:hAnsi="宋体" w:cs="宋体"/>
                <w:b/>
                <w:bCs/>
                <w:color w:val="auto"/>
                <w:szCs w:val="21"/>
                <w:highlight w:val="none"/>
              </w:rPr>
              <w:t>）。</w:t>
            </w:r>
          </w:p>
          <w:p w14:paraId="3173EEC3">
            <w:pPr>
              <w:keepNext w:val="0"/>
              <w:keepLines w:val="0"/>
              <w:suppressLineNumbers w:val="0"/>
              <w:spacing w:before="0" w:beforeAutospacing="0" w:after="0" w:afterAutospacing="0" w:line="360" w:lineRule="exact"/>
              <w:ind w:left="0" w:right="0"/>
              <w:rPr>
                <w:rStyle w:val="77"/>
                <w:rFonts w:hint="default" w:cs="宋体"/>
                <w:b/>
                <w:bCs/>
                <w:color w:val="auto"/>
                <w:highlight w:val="none"/>
              </w:rPr>
            </w:pPr>
            <w:r>
              <w:rPr>
                <w:rStyle w:val="77"/>
                <w:rFonts w:hint="default" w:cs="宋体"/>
                <w:b/>
                <w:bCs/>
                <w:color w:val="auto"/>
                <w:highlight w:val="none"/>
              </w:rPr>
              <w:t>3.带“▲”为必须满足的实质性内容。</w:t>
            </w:r>
          </w:p>
          <w:p w14:paraId="7E21F65E">
            <w:pPr>
              <w:keepNext w:val="0"/>
              <w:keepLines w:val="0"/>
              <w:suppressLineNumbers w:val="0"/>
              <w:spacing w:before="0" w:beforeAutospacing="0" w:after="0" w:afterAutospacing="0" w:line="360" w:lineRule="exact"/>
              <w:ind w:left="0" w:leftChars="0" w:right="0" w:rightChars="0"/>
              <w:rPr>
                <w:rFonts w:hint="eastAsia" w:asciiTheme="minorEastAsia" w:hAnsiTheme="minorEastAsia" w:eastAsiaTheme="minorEastAsia" w:cstheme="minorEastAsia"/>
                <w:color w:val="auto"/>
                <w:kern w:val="2"/>
                <w:sz w:val="21"/>
                <w:szCs w:val="21"/>
                <w:highlight w:val="none"/>
                <w:shd w:val="clear" w:color="auto" w:fill="FFFFFF"/>
                <w:lang w:val="en-US" w:eastAsia="zh-CN" w:bidi="ar-SA"/>
              </w:rPr>
            </w:pPr>
            <w:r>
              <w:rPr>
                <w:rFonts w:hint="eastAsia" w:ascii="宋体" w:hAnsi="宋体" w:cs="宋体"/>
                <w:color w:val="auto"/>
                <w:szCs w:val="21"/>
                <w:highlight w:val="none"/>
              </w:rPr>
              <w:t>4.本采购文件未尽事项按法律法规及行业主管部门文件执行。</w:t>
            </w:r>
          </w:p>
        </w:tc>
      </w:tr>
    </w:tbl>
    <w:p w14:paraId="0F3DF1C5">
      <w:pPr>
        <w:pStyle w:val="93"/>
        <w:ind w:firstLine="440"/>
        <w:rPr>
          <w:color w:val="auto"/>
          <w:highlight w:val="none"/>
        </w:rPr>
      </w:pPr>
    </w:p>
    <w:p w14:paraId="58D51537">
      <w:pPr>
        <w:widowControl/>
        <w:spacing w:line="400" w:lineRule="exact"/>
        <w:outlineLvl w:val="1"/>
        <w:rPr>
          <w:rFonts w:ascii="宋体" w:hAnsi="宋体" w:cs="宋体"/>
          <w:b/>
          <w:bCs/>
          <w:color w:val="auto"/>
          <w:kern w:val="0"/>
          <w:sz w:val="28"/>
          <w:szCs w:val="28"/>
          <w:highlight w:val="none"/>
          <w:shd w:val="clear" w:color="auto" w:fill="FFFFFF"/>
        </w:rPr>
      </w:pPr>
      <w:r>
        <w:rPr>
          <w:rFonts w:ascii="宋体" w:hAnsi="宋体" w:cs="宋体"/>
          <w:b/>
          <w:bCs/>
          <w:color w:val="auto"/>
          <w:kern w:val="0"/>
          <w:sz w:val="28"/>
          <w:szCs w:val="28"/>
          <w:highlight w:val="none"/>
          <w:shd w:val="clear" w:color="auto" w:fill="FFFFFF"/>
        </w:rPr>
        <w:br w:type="page"/>
      </w:r>
      <w:r>
        <w:rPr>
          <w:rFonts w:ascii="宋体" w:hAnsi="宋体" w:cs="宋体"/>
          <w:b/>
          <w:bCs/>
          <w:color w:val="auto"/>
          <w:kern w:val="0"/>
          <w:sz w:val="28"/>
          <w:szCs w:val="28"/>
          <w:highlight w:val="none"/>
          <w:shd w:val="clear" w:color="auto" w:fill="FFFFFF"/>
        </w:rPr>
        <w:t>B</w:t>
      </w:r>
      <w:r>
        <w:rPr>
          <w:rFonts w:hint="eastAsia" w:ascii="宋体" w:hAnsi="宋体" w:cs="宋体"/>
          <w:b/>
          <w:bCs/>
          <w:color w:val="auto"/>
          <w:kern w:val="0"/>
          <w:sz w:val="28"/>
          <w:szCs w:val="28"/>
          <w:highlight w:val="none"/>
          <w:shd w:val="clear" w:color="auto" w:fill="FFFFFF"/>
          <w:lang w:eastAsia="zh-CN"/>
        </w:rPr>
        <w:t>.</w:t>
      </w:r>
      <w:bookmarkEnd w:id="18"/>
      <w:bookmarkEnd w:id="19"/>
      <w:bookmarkEnd w:id="20"/>
      <w:bookmarkEnd w:id="21"/>
      <w:bookmarkEnd w:id="22"/>
      <w:bookmarkEnd w:id="23"/>
      <w:r>
        <w:rPr>
          <w:rFonts w:hint="eastAsia" w:ascii="宋体" w:hAnsi="宋体" w:cs="宋体"/>
          <w:b/>
          <w:bCs/>
          <w:color w:val="auto"/>
          <w:kern w:val="0"/>
          <w:sz w:val="28"/>
          <w:szCs w:val="40"/>
          <w:highlight w:val="none"/>
        </w:rPr>
        <w:t>投标人须知</w:t>
      </w:r>
    </w:p>
    <w:p w14:paraId="14E56ADD">
      <w:pPr>
        <w:widowControl/>
        <w:spacing w:line="400" w:lineRule="exact"/>
        <w:jc w:val="center"/>
        <w:outlineLvl w:val="2"/>
        <w:rPr>
          <w:rFonts w:ascii="宋体" w:hAnsi="宋体" w:cs="宋体"/>
          <w:b/>
          <w:bCs/>
          <w:color w:val="auto"/>
          <w:kern w:val="0"/>
          <w:sz w:val="28"/>
          <w:szCs w:val="28"/>
          <w:highlight w:val="none"/>
        </w:rPr>
      </w:pPr>
      <w:bookmarkStart w:id="24" w:name="_Toc333842545"/>
      <w:bookmarkStart w:id="25" w:name="_Toc326937531"/>
      <w:bookmarkStart w:id="26" w:name="_Toc504642665"/>
      <w:bookmarkStart w:id="27" w:name="_Toc393201708"/>
      <w:bookmarkStart w:id="28" w:name="_Toc358384689"/>
      <w:bookmarkStart w:id="29" w:name="_Toc433917261"/>
      <w:r>
        <w:rPr>
          <w:rFonts w:hint="eastAsia" w:ascii="宋体" w:hAnsi="宋体" w:cs="宋体"/>
          <w:b/>
          <w:bCs/>
          <w:color w:val="auto"/>
          <w:kern w:val="0"/>
          <w:sz w:val="28"/>
          <w:szCs w:val="28"/>
          <w:highlight w:val="none"/>
        </w:rPr>
        <w:t>一、总则</w:t>
      </w:r>
      <w:bookmarkEnd w:id="24"/>
      <w:bookmarkEnd w:id="25"/>
      <w:bookmarkEnd w:id="26"/>
      <w:bookmarkEnd w:id="27"/>
      <w:bookmarkEnd w:id="28"/>
      <w:bookmarkEnd w:id="29"/>
    </w:p>
    <w:p w14:paraId="702FF409">
      <w:pPr>
        <w:widowControl/>
        <w:spacing w:line="400" w:lineRule="exact"/>
        <w:ind w:firstLine="422" w:firstLineChars="200"/>
        <w:rPr>
          <w:rFonts w:asciiTheme="minorEastAsia" w:hAnsiTheme="minorEastAsia" w:eastAsiaTheme="minorEastAsia" w:cstheme="minorEastAsia"/>
          <w:b/>
          <w:bCs/>
          <w:color w:val="auto"/>
          <w:kern w:val="0"/>
          <w:highlight w:val="none"/>
          <w:shd w:val="clear" w:color="auto" w:fill="FFFFFF"/>
        </w:rPr>
      </w:pPr>
      <w:r>
        <w:rPr>
          <w:rFonts w:hint="eastAsia" w:asciiTheme="minorEastAsia" w:hAnsiTheme="minorEastAsia" w:eastAsiaTheme="minorEastAsia" w:cstheme="minorEastAsia"/>
          <w:b/>
          <w:bCs/>
          <w:color w:val="auto"/>
          <w:kern w:val="0"/>
          <w:highlight w:val="none"/>
          <w:shd w:val="clear" w:color="auto" w:fill="FFFFFF"/>
        </w:rPr>
        <w:t>1</w:t>
      </w:r>
      <w:r>
        <w:rPr>
          <w:rFonts w:hint="eastAsia" w:asciiTheme="minorEastAsia" w:hAnsiTheme="minorEastAsia" w:eastAsiaTheme="minorEastAsia" w:cstheme="minorEastAsia"/>
          <w:color w:val="auto"/>
          <w:kern w:val="0"/>
          <w:highlight w:val="none"/>
          <w:shd w:val="clear" w:color="auto" w:fill="FFFFFF"/>
        </w:rPr>
        <w:t>.</w:t>
      </w:r>
      <w:r>
        <w:rPr>
          <w:rFonts w:hint="eastAsia" w:asciiTheme="minorEastAsia" w:hAnsiTheme="minorEastAsia" w:eastAsiaTheme="minorEastAsia" w:cstheme="minorEastAsia"/>
          <w:b/>
          <w:bCs/>
          <w:color w:val="auto"/>
          <w:kern w:val="0"/>
          <w:highlight w:val="none"/>
          <w:shd w:val="clear" w:color="auto" w:fill="FFFFFF"/>
        </w:rPr>
        <w:t>项目概况</w:t>
      </w:r>
    </w:p>
    <w:p w14:paraId="5F3F1C7C">
      <w:pPr>
        <w:widowControl/>
        <w:spacing w:line="400" w:lineRule="exact"/>
        <w:ind w:firstLine="420" w:firstLineChars="200"/>
        <w:rPr>
          <w:rFonts w:hint="eastAsia" w:asciiTheme="minorEastAsia" w:hAnsiTheme="minorEastAsia" w:eastAsiaTheme="minorEastAsia" w:cstheme="minorEastAsia"/>
          <w:bCs/>
          <w:color w:val="auto"/>
          <w:highlight w:val="none"/>
          <w:shd w:val="clear" w:color="auto" w:fill="FFFFFF"/>
          <w:lang w:eastAsia="zh-CN"/>
        </w:rPr>
      </w:pPr>
      <w:r>
        <w:rPr>
          <w:rFonts w:hint="eastAsia" w:asciiTheme="minorEastAsia" w:hAnsiTheme="minorEastAsia" w:eastAsiaTheme="minorEastAsia" w:cstheme="minorEastAsia"/>
          <w:bCs/>
          <w:color w:val="auto"/>
          <w:kern w:val="0"/>
          <w:highlight w:val="none"/>
          <w:shd w:val="clear" w:color="auto" w:fill="FFFFFF"/>
        </w:rPr>
        <w:t>1.1采购人：</w:t>
      </w:r>
      <w:r>
        <w:rPr>
          <w:rFonts w:hint="eastAsia" w:asciiTheme="minorEastAsia" w:hAnsiTheme="minorEastAsia" w:eastAsiaTheme="minorEastAsia" w:cstheme="minorEastAsia"/>
          <w:bCs/>
          <w:color w:val="auto"/>
          <w:highlight w:val="none"/>
          <w:shd w:val="clear" w:color="auto" w:fill="FFFFFF"/>
          <w:lang w:eastAsia="zh-CN"/>
        </w:rPr>
        <w:t xml:space="preserve">开化县残疾人联合会 </w:t>
      </w:r>
    </w:p>
    <w:p w14:paraId="1CD0DDBC">
      <w:pPr>
        <w:spacing w:line="400" w:lineRule="exact"/>
        <w:ind w:firstLine="420" w:firstLineChars="200"/>
        <w:rPr>
          <w:rFonts w:asciiTheme="minorEastAsia" w:hAnsiTheme="minorEastAsia" w:eastAsiaTheme="minorEastAsia" w:cstheme="minorEastAsia"/>
          <w:bCs/>
          <w:color w:val="auto"/>
          <w:kern w:val="0"/>
          <w:highlight w:val="none"/>
          <w:shd w:val="clear" w:color="auto" w:fill="FFFFFF"/>
        </w:rPr>
      </w:pPr>
      <w:r>
        <w:rPr>
          <w:rFonts w:hint="eastAsia" w:asciiTheme="minorEastAsia" w:hAnsiTheme="minorEastAsia" w:eastAsiaTheme="minorEastAsia" w:cstheme="minorEastAsia"/>
          <w:bCs/>
          <w:color w:val="auto"/>
          <w:kern w:val="0"/>
          <w:highlight w:val="none"/>
          <w:shd w:val="clear" w:color="auto" w:fill="FFFFFF"/>
        </w:rPr>
        <w:t>1.2采购内容：</w:t>
      </w:r>
      <w:r>
        <w:rPr>
          <w:rFonts w:hint="eastAsia" w:ascii="宋体" w:hAnsi="宋体" w:cs="宋体"/>
          <w:color w:val="auto"/>
          <w:highlight w:val="none"/>
          <w:u w:val="none"/>
          <w:lang w:eastAsia="zh-CN"/>
        </w:rPr>
        <w:t>浙江省第十二届残疾人运动会盲人跳绳比赛整体赛事执行服务</w:t>
      </w:r>
      <w:r>
        <w:rPr>
          <w:rFonts w:hint="eastAsia" w:asciiTheme="minorEastAsia" w:hAnsiTheme="minorEastAsia" w:eastAsiaTheme="minorEastAsia" w:cstheme="minorEastAsia"/>
          <w:bCs/>
          <w:color w:val="auto"/>
          <w:highlight w:val="none"/>
          <w:shd w:val="clear" w:color="auto" w:fill="FFFFFF"/>
        </w:rPr>
        <w:t>（详见《采购需求》）</w:t>
      </w:r>
    </w:p>
    <w:p w14:paraId="0C545D9E">
      <w:pPr>
        <w:spacing w:line="400" w:lineRule="exact"/>
        <w:ind w:firstLine="420" w:firstLineChars="200"/>
        <w:rPr>
          <w:rFonts w:hint="eastAsia" w:asciiTheme="minorEastAsia" w:hAnsiTheme="minorEastAsia" w:eastAsiaTheme="minorEastAsia" w:cstheme="minorEastAsia"/>
          <w:bCs/>
          <w:color w:val="auto"/>
          <w:kern w:val="0"/>
          <w:highlight w:val="none"/>
          <w:shd w:val="clear" w:color="auto" w:fill="FFFFFF"/>
          <w:lang w:eastAsia="zh-CN"/>
        </w:rPr>
      </w:pPr>
      <w:r>
        <w:rPr>
          <w:rFonts w:hint="eastAsia" w:asciiTheme="minorEastAsia" w:hAnsiTheme="minorEastAsia" w:eastAsiaTheme="minorEastAsia" w:cstheme="minorEastAsia"/>
          <w:bCs/>
          <w:color w:val="auto"/>
          <w:kern w:val="0"/>
          <w:highlight w:val="none"/>
          <w:shd w:val="clear" w:color="auto" w:fill="FFFFFF"/>
        </w:rPr>
        <w:t>1.3采购编号：</w:t>
      </w:r>
      <w:r>
        <w:rPr>
          <w:rFonts w:hint="eastAsia" w:asciiTheme="minorEastAsia" w:hAnsiTheme="minorEastAsia" w:eastAsiaTheme="minorEastAsia" w:cstheme="minorEastAsia"/>
          <w:bCs/>
          <w:color w:val="auto"/>
          <w:kern w:val="0"/>
          <w:highlight w:val="none"/>
          <w:shd w:val="clear" w:color="auto" w:fill="FFFFFF"/>
          <w:lang w:eastAsia="zh-CN"/>
        </w:rPr>
        <w:t>ZJJSKH-2026-MRTS</w:t>
      </w:r>
    </w:p>
    <w:p w14:paraId="12273EF7">
      <w:pPr>
        <w:widowControl/>
        <w:spacing w:line="400" w:lineRule="exact"/>
        <w:ind w:firstLine="420" w:firstLineChars="200"/>
        <w:rPr>
          <w:rFonts w:hint="eastAsia" w:ascii="宋体" w:hAnsi="宋体" w:cs="宋体"/>
          <w:color w:val="auto"/>
          <w:kern w:val="0"/>
          <w:szCs w:val="21"/>
          <w:highlight w:val="none"/>
          <w:lang w:val="en-US" w:eastAsia="zh-CN"/>
        </w:rPr>
      </w:pPr>
      <w:r>
        <w:rPr>
          <w:rFonts w:hint="eastAsia" w:asciiTheme="minorEastAsia" w:hAnsiTheme="minorEastAsia" w:eastAsiaTheme="minorEastAsia" w:cstheme="minorEastAsia"/>
          <w:bCs/>
          <w:color w:val="auto"/>
          <w:kern w:val="0"/>
          <w:highlight w:val="none"/>
          <w:shd w:val="clear" w:color="auto" w:fill="FFFFFF"/>
        </w:rPr>
        <w:t>1.4</w:t>
      </w:r>
      <w:r>
        <w:rPr>
          <w:rFonts w:hint="eastAsia" w:asciiTheme="minorEastAsia" w:hAnsiTheme="minorEastAsia" w:eastAsiaTheme="minorEastAsia" w:cstheme="minorEastAsia"/>
          <w:bCs/>
          <w:color w:val="auto"/>
          <w:kern w:val="0"/>
          <w:highlight w:val="none"/>
          <w:shd w:val="clear" w:color="auto" w:fill="FFFFFF"/>
          <w:lang w:eastAsia="zh-CN"/>
        </w:rPr>
        <w:t>预算金额</w:t>
      </w:r>
      <w:r>
        <w:rPr>
          <w:rFonts w:hint="eastAsia" w:ascii="宋体" w:hAnsi="宋体" w:cs="宋体"/>
          <w:bCs/>
          <w:color w:val="auto"/>
          <w:sz w:val="21"/>
          <w:szCs w:val="21"/>
          <w:highlight w:val="none"/>
          <w:lang w:eastAsia="zh-CN"/>
        </w:rPr>
        <w:t>/最高限价</w:t>
      </w:r>
      <w:r>
        <w:rPr>
          <w:rFonts w:hint="eastAsia" w:asciiTheme="minorEastAsia" w:hAnsiTheme="minorEastAsia" w:eastAsiaTheme="minorEastAsia" w:cstheme="minorEastAsia"/>
          <w:bCs/>
          <w:color w:val="auto"/>
          <w:kern w:val="0"/>
          <w:highlight w:val="none"/>
          <w:shd w:val="clear" w:color="auto" w:fill="FFFFFF"/>
          <w:lang w:eastAsia="zh-CN"/>
        </w:rPr>
        <w:t>：</w:t>
      </w:r>
      <w:r>
        <w:rPr>
          <w:rFonts w:hint="eastAsia" w:ascii="宋体" w:hAnsi="宋体" w:cs="宋体"/>
          <w:color w:val="auto"/>
          <w:kern w:val="0"/>
          <w:szCs w:val="21"/>
          <w:highlight w:val="none"/>
          <w:lang w:val="en-US" w:eastAsia="zh-CN"/>
        </w:rPr>
        <w:t>64.4487万元</w:t>
      </w:r>
    </w:p>
    <w:p w14:paraId="33C85BBC">
      <w:pPr>
        <w:spacing w:line="400" w:lineRule="exact"/>
        <w:ind w:firstLine="420" w:firstLineChars="200"/>
        <w:rPr>
          <w:rFonts w:asciiTheme="minorEastAsia" w:hAnsiTheme="minorEastAsia" w:eastAsiaTheme="minorEastAsia" w:cstheme="minorEastAsia"/>
          <w:bCs/>
          <w:color w:val="auto"/>
          <w:kern w:val="0"/>
          <w:highlight w:val="none"/>
          <w:shd w:val="clear" w:color="auto" w:fill="FFFFFF"/>
        </w:rPr>
      </w:pPr>
      <w:r>
        <w:rPr>
          <w:rFonts w:hint="eastAsia" w:asciiTheme="minorEastAsia" w:hAnsiTheme="minorEastAsia" w:eastAsiaTheme="minorEastAsia" w:cstheme="minorEastAsia"/>
          <w:bCs/>
          <w:color w:val="auto"/>
          <w:kern w:val="0"/>
          <w:highlight w:val="none"/>
          <w:shd w:val="clear" w:color="auto" w:fill="FFFFFF"/>
        </w:rPr>
        <w:t>1.</w:t>
      </w:r>
      <w:r>
        <w:rPr>
          <w:rFonts w:hint="eastAsia" w:asciiTheme="minorEastAsia" w:hAnsiTheme="minorEastAsia" w:eastAsiaTheme="minorEastAsia" w:cstheme="minorEastAsia"/>
          <w:bCs/>
          <w:color w:val="auto"/>
          <w:kern w:val="0"/>
          <w:highlight w:val="none"/>
          <w:shd w:val="clear" w:color="auto" w:fill="FFFFFF"/>
          <w:lang w:val="en-US" w:eastAsia="zh-CN"/>
        </w:rPr>
        <w:t>5</w:t>
      </w:r>
      <w:r>
        <w:rPr>
          <w:rFonts w:hint="eastAsia" w:ascii="宋体" w:hAnsi="宋体" w:cs="宋体"/>
          <w:spacing w:val="0"/>
          <w:highlight w:val="none"/>
        </w:rPr>
        <w:t>合同履行期限</w:t>
      </w:r>
      <w:r>
        <w:rPr>
          <w:rFonts w:hint="eastAsia" w:ascii="宋体" w:hAnsi="宋体" w:cs="宋体"/>
          <w:color w:val="auto"/>
          <w:szCs w:val="21"/>
          <w:highlight w:val="none"/>
          <w:lang w:val="en-US" w:eastAsia="zh-CN"/>
        </w:rPr>
        <w:t>：自合同签订起至所有赛事活动结束，所有人员返程结束。但根据合同约定提前解除或终止的除外。</w:t>
      </w:r>
    </w:p>
    <w:p w14:paraId="0B86CB8E">
      <w:pPr>
        <w:spacing w:line="400" w:lineRule="exact"/>
        <w:ind w:firstLine="211" w:firstLineChars="100"/>
        <w:jc w:val="left"/>
        <w:rPr>
          <w:rFonts w:asciiTheme="minorEastAsia" w:hAnsiTheme="minorEastAsia" w:eastAsiaTheme="minorEastAsia" w:cstheme="minorEastAsia"/>
          <w:bCs/>
          <w:color w:val="auto"/>
          <w:kern w:val="0"/>
          <w:highlight w:val="none"/>
          <w:shd w:val="clear" w:color="auto" w:fill="FFFFFF"/>
        </w:rPr>
      </w:pPr>
      <w:r>
        <w:rPr>
          <w:rFonts w:hint="eastAsia" w:asciiTheme="minorEastAsia" w:hAnsiTheme="minorEastAsia" w:eastAsiaTheme="minorEastAsia" w:cstheme="minorEastAsia"/>
          <w:b/>
          <w:bCs/>
          <w:color w:val="auto"/>
          <w:kern w:val="0"/>
          <w:highlight w:val="none"/>
          <w:shd w:val="clear" w:color="auto" w:fill="FFFFFF"/>
        </w:rPr>
        <w:t>2.</w:t>
      </w:r>
      <w:r>
        <w:rPr>
          <w:rFonts w:hint="eastAsia" w:ascii="宋体" w:hAnsi="宋体" w:cs="宋体"/>
          <w:b/>
          <w:bCs/>
          <w:color w:val="auto"/>
          <w:kern w:val="0"/>
          <w:szCs w:val="21"/>
          <w:highlight w:val="none"/>
        </w:rPr>
        <w:t>投标人资格</w:t>
      </w:r>
    </w:p>
    <w:p w14:paraId="3F41856B">
      <w:pPr>
        <w:spacing w:line="400" w:lineRule="exact"/>
        <w:ind w:firstLine="420" w:firstLineChars="200"/>
        <w:rPr>
          <w:rFonts w:asciiTheme="minorEastAsia" w:hAnsiTheme="minorEastAsia" w:eastAsiaTheme="minorEastAsia" w:cstheme="minorEastAsia"/>
          <w:color w:val="auto"/>
          <w:kern w:val="0"/>
          <w:highlight w:val="none"/>
          <w:shd w:val="clear" w:color="auto" w:fill="FFFFFF"/>
        </w:rPr>
      </w:pPr>
      <w:r>
        <w:rPr>
          <w:rFonts w:hint="eastAsia" w:asciiTheme="minorEastAsia" w:hAnsiTheme="minorEastAsia" w:eastAsiaTheme="minorEastAsia" w:cstheme="minorEastAsia"/>
          <w:color w:val="auto"/>
          <w:kern w:val="0"/>
          <w:highlight w:val="none"/>
          <w:shd w:val="clear" w:color="auto" w:fill="FFFFFF"/>
        </w:rPr>
        <w:t>2.1满足《中华人民共和国政府采购法》第二十二条规定；</w:t>
      </w:r>
    </w:p>
    <w:p w14:paraId="08F9E53E">
      <w:pPr>
        <w:spacing w:line="400" w:lineRule="exact"/>
        <w:ind w:firstLine="420" w:firstLineChars="200"/>
        <w:rPr>
          <w:rFonts w:asciiTheme="minorEastAsia" w:hAnsiTheme="minorEastAsia" w:eastAsiaTheme="minorEastAsia" w:cstheme="minorEastAsia"/>
          <w:color w:val="auto"/>
          <w:kern w:val="0"/>
          <w:highlight w:val="none"/>
          <w:shd w:val="clear" w:color="auto" w:fill="FFFFFF"/>
        </w:rPr>
      </w:pPr>
      <w:r>
        <w:rPr>
          <w:rFonts w:hint="eastAsia" w:asciiTheme="minorEastAsia" w:hAnsiTheme="minorEastAsia" w:eastAsiaTheme="minorEastAsia" w:cstheme="minorEastAsia"/>
          <w:color w:val="auto"/>
          <w:kern w:val="0"/>
          <w:highlight w:val="none"/>
          <w:shd w:val="clear" w:color="auto" w:fill="FFFFFF"/>
        </w:rPr>
        <w:t>2.2必须为未被列入“信用中国”网站(www.creditchina.gov.cn)、中国政府采购网(www.ccgp.gov.cn)渠道信用记录失信被执行人、重大税收违法案件当事人名单、政府采购严重违法失信行为记录名单的</w:t>
      </w:r>
      <w:r>
        <w:rPr>
          <w:rFonts w:hint="eastAsia" w:asciiTheme="minorEastAsia" w:hAnsiTheme="minorEastAsia" w:eastAsiaTheme="minorEastAsia" w:cstheme="minorEastAsia"/>
          <w:color w:val="auto"/>
          <w:kern w:val="0"/>
          <w:highlight w:val="none"/>
          <w:shd w:val="clear" w:color="auto" w:fill="FFFFFF"/>
          <w:lang w:eastAsia="zh-CN"/>
        </w:rPr>
        <w:t>投标</w:t>
      </w:r>
      <w:r>
        <w:rPr>
          <w:rFonts w:hint="eastAsia" w:asciiTheme="minorEastAsia" w:hAnsiTheme="minorEastAsia" w:eastAsiaTheme="minorEastAsia" w:cstheme="minorEastAsia"/>
          <w:color w:val="auto"/>
          <w:kern w:val="0"/>
          <w:highlight w:val="none"/>
          <w:shd w:val="clear" w:color="auto" w:fill="FFFFFF"/>
        </w:rPr>
        <w:t>人；</w:t>
      </w:r>
    </w:p>
    <w:p w14:paraId="17CF7ED1">
      <w:pPr>
        <w:keepNext w:val="0"/>
        <w:keepLines w:val="0"/>
        <w:pageBreakBefore w:val="0"/>
        <w:kinsoku/>
        <w:overflowPunct/>
        <w:topLinePunct w:val="0"/>
        <w:autoSpaceDE/>
        <w:autoSpaceDN/>
        <w:bidi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3</w:t>
      </w:r>
      <w:r>
        <w:rPr>
          <w:rFonts w:hint="eastAsia" w:ascii="宋体" w:hAnsi="宋体" w:cs="宋体"/>
          <w:color w:val="auto"/>
          <w:highlight w:val="none"/>
          <w:lang w:val="en-US" w:eastAsia="zh-CN"/>
        </w:rPr>
        <w:t xml:space="preserve"> </w:t>
      </w:r>
      <w:r>
        <w:rPr>
          <w:rFonts w:hint="eastAsia" w:ascii="宋体" w:hAnsi="宋体" w:cs="宋体"/>
          <w:color w:val="auto"/>
          <w:highlight w:val="none"/>
        </w:rPr>
        <w:t>落实政府采购政策需满足的资格要求：</w:t>
      </w:r>
      <w:r>
        <w:rPr>
          <w:rFonts w:hint="eastAsia" w:ascii="宋体" w:hAnsi="宋体" w:cs="宋体"/>
          <w:color w:val="auto"/>
          <w:highlight w:val="none"/>
          <w:u w:val="single"/>
          <w:lang w:eastAsia="zh-CN"/>
        </w:rPr>
        <w:t>本项目专门面向中小企业采购</w:t>
      </w:r>
      <w:r>
        <w:rPr>
          <w:rFonts w:hint="eastAsia" w:ascii="宋体" w:hAnsi="宋体" w:cs="宋体"/>
          <w:color w:val="auto"/>
          <w:highlight w:val="none"/>
        </w:rPr>
        <w:t>；</w:t>
      </w:r>
    </w:p>
    <w:p w14:paraId="4C421596">
      <w:pPr>
        <w:keepNext w:val="0"/>
        <w:keepLines w:val="0"/>
        <w:pageBreakBefore w:val="0"/>
        <w:numPr>
          <w:ilvl w:val="0"/>
          <w:numId w:val="0"/>
        </w:numPr>
        <w:kinsoku/>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本项目的特定资格要求：</w:t>
      </w:r>
      <w:r>
        <w:rPr>
          <w:rFonts w:hint="eastAsia" w:ascii="宋体" w:hAnsi="宋体" w:cs="宋体"/>
          <w:color w:val="auto"/>
          <w:highlight w:val="none"/>
          <w:u w:val="single"/>
          <w:lang w:val="en-US" w:eastAsia="zh-CN"/>
        </w:rPr>
        <w:t>无</w:t>
      </w:r>
      <w:r>
        <w:rPr>
          <w:rFonts w:hint="eastAsia" w:ascii="宋体" w:hAnsi="宋体" w:eastAsia="宋体" w:cs="宋体"/>
          <w:color w:val="auto"/>
          <w:highlight w:val="none"/>
          <w:lang w:val="en-US" w:eastAsia="zh-CN"/>
        </w:rPr>
        <w:t>。</w:t>
      </w:r>
    </w:p>
    <w:p w14:paraId="675B2CAD">
      <w:pPr>
        <w:widowControl/>
        <w:spacing w:line="400" w:lineRule="exact"/>
        <w:ind w:firstLine="422" w:firstLineChars="200"/>
        <w:rPr>
          <w:rFonts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3.</w:t>
      </w:r>
      <w:r>
        <w:rPr>
          <w:rFonts w:hint="eastAsia" w:ascii="宋体" w:hAnsi="宋体" w:cs="宋体"/>
          <w:b/>
          <w:bCs/>
          <w:color w:val="auto"/>
          <w:kern w:val="0"/>
          <w:szCs w:val="21"/>
          <w:highlight w:val="none"/>
        </w:rPr>
        <w:t>投标费用</w:t>
      </w:r>
    </w:p>
    <w:p w14:paraId="112EE7BB">
      <w:pPr>
        <w:autoSpaceDE w:val="0"/>
        <w:autoSpaceDN w:val="0"/>
        <w:spacing w:line="400" w:lineRule="exact"/>
        <w:ind w:firstLine="420" w:firstLineChars="200"/>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3.1</w:t>
      </w:r>
      <w:r>
        <w:rPr>
          <w:rFonts w:hint="eastAsia" w:ascii="宋体" w:hAnsi="宋体" w:cs="宋体"/>
          <w:bCs/>
          <w:color w:val="auto"/>
          <w:kern w:val="0"/>
          <w:szCs w:val="21"/>
          <w:highlight w:val="none"/>
        </w:rPr>
        <w:t>不论投标结果如何，投标人均自行承担所有与参加投标有关的全部费用</w:t>
      </w:r>
      <w:r>
        <w:rPr>
          <w:rFonts w:hint="eastAsia" w:asciiTheme="minorEastAsia" w:hAnsiTheme="minorEastAsia" w:eastAsiaTheme="minorEastAsia" w:cstheme="minorEastAsia"/>
          <w:color w:val="auto"/>
          <w:highlight w:val="none"/>
          <w:lang w:val="zh-CN"/>
        </w:rPr>
        <w:t>，采购代理机构和采购人均无义务和责任承担这些费用。</w:t>
      </w:r>
    </w:p>
    <w:p w14:paraId="5711CA49">
      <w:pPr>
        <w:spacing w:line="400" w:lineRule="exact"/>
        <w:ind w:firstLine="411" w:firstLineChars="196"/>
        <w:jc w:val="left"/>
        <w:rPr>
          <w:rFonts w:hint="eastAsia" w:ascii="宋体" w:hAnsi="宋体" w:eastAsia="宋体" w:cs="宋体"/>
          <w:b/>
          <w:color w:val="auto"/>
          <w:highlight w:val="none"/>
          <w:u w:val="single"/>
          <w:lang w:val="zh-CN"/>
        </w:rPr>
      </w:pPr>
      <w:r>
        <w:rPr>
          <w:rFonts w:hint="eastAsia" w:ascii="宋体" w:hAnsi="宋体" w:eastAsia="宋体" w:cs="宋体"/>
          <w:color w:val="auto"/>
          <w:highlight w:val="none"/>
          <w:lang w:val="zh-CN"/>
        </w:rPr>
        <w:t>●</w:t>
      </w:r>
      <w:r>
        <w:rPr>
          <w:rFonts w:hint="eastAsia" w:ascii="宋体" w:hAnsi="宋体" w:eastAsia="宋体" w:cs="宋体"/>
          <w:b/>
          <w:color w:val="auto"/>
          <w:highlight w:val="none"/>
          <w:u w:val="single"/>
          <w:lang w:val="zh-CN"/>
        </w:rPr>
        <w:t>招标代理费由成交单位支付</w:t>
      </w:r>
      <w:r>
        <w:rPr>
          <w:rFonts w:hint="eastAsia" w:ascii="宋体" w:hAnsi="宋体" w:cs="宋体"/>
          <w:b/>
          <w:color w:val="auto"/>
          <w:highlight w:val="none"/>
          <w:u w:val="single"/>
          <w:lang w:val="zh-CN"/>
        </w:rPr>
        <w:t>，</w:t>
      </w:r>
      <w:r>
        <w:rPr>
          <w:rFonts w:hint="eastAsia" w:asciiTheme="minorEastAsia" w:hAnsiTheme="minorEastAsia" w:eastAsiaTheme="minorEastAsia" w:cstheme="minorEastAsia"/>
          <w:b/>
          <w:highlight w:val="none"/>
          <w:u w:val="single"/>
        </w:rPr>
        <w:t>招标代理费按</w:t>
      </w:r>
      <w:r>
        <w:rPr>
          <w:rFonts w:hint="eastAsia" w:asciiTheme="minorEastAsia" w:hAnsiTheme="minorEastAsia" w:eastAsiaTheme="minorEastAsia" w:cstheme="minorEastAsia"/>
          <w:b/>
          <w:highlight w:val="none"/>
          <w:u w:val="single"/>
          <w:lang w:val="en-US" w:eastAsia="zh-CN"/>
        </w:rPr>
        <w:t>7500元计取</w:t>
      </w:r>
      <w:r>
        <w:rPr>
          <w:rFonts w:hint="eastAsia" w:ascii="宋体" w:hAnsi="宋体" w:eastAsia="宋体" w:cs="宋体"/>
          <w:b/>
          <w:color w:val="auto"/>
          <w:highlight w:val="none"/>
          <w:u w:val="single"/>
          <w:lang w:val="zh-CN"/>
        </w:rPr>
        <w:t>。</w:t>
      </w:r>
    </w:p>
    <w:p w14:paraId="68282271">
      <w:pPr>
        <w:pStyle w:val="8"/>
        <w:spacing w:line="400" w:lineRule="exact"/>
        <w:ind w:firstLine="422"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val="zh-CN"/>
        </w:rPr>
        <w:t>▲4</w:t>
      </w:r>
      <w:r>
        <w:rPr>
          <w:rFonts w:hint="eastAsia" w:ascii="宋体" w:hAnsi="宋体" w:eastAsia="宋体" w:cs="宋体"/>
          <w:color w:val="auto"/>
          <w:sz w:val="21"/>
          <w:highlight w:val="none"/>
        </w:rPr>
        <w:t>.投标委托</w:t>
      </w:r>
    </w:p>
    <w:p w14:paraId="4E0620A1">
      <w:pPr>
        <w:pStyle w:val="8"/>
        <w:spacing w:line="400" w:lineRule="exact"/>
        <w:ind w:firstLine="420" w:firstLineChars="200"/>
        <w:rPr>
          <w:rFonts w:ascii="宋体" w:hAnsi="宋体" w:eastAsia="宋体" w:cs="宋体"/>
          <w:b w:val="0"/>
          <w:bCs w:val="0"/>
          <w:color w:val="auto"/>
          <w:sz w:val="21"/>
          <w:highlight w:val="none"/>
          <w:lang w:val="zh-CN"/>
        </w:rPr>
      </w:pPr>
      <w:r>
        <w:rPr>
          <w:rFonts w:hint="eastAsia" w:ascii="宋体" w:hAnsi="宋体" w:eastAsia="宋体" w:cs="宋体"/>
          <w:b w:val="0"/>
          <w:bCs w:val="0"/>
          <w:color w:val="auto"/>
          <w:sz w:val="21"/>
          <w:highlight w:val="none"/>
        </w:rPr>
        <w:t>投标人代表无须出席开标现场，电子投标文件中的授权委托书须加盖单位公章。</w:t>
      </w:r>
    </w:p>
    <w:p w14:paraId="1AEC3E3D">
      <w:pPr>
        <w:spacing w:line="400" w:lineRule="exact"/>
        <w:ind w:firstLine="422" w:firstLineChars="20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shd w:val="clear" w:color="auto" w:fill="FFFFFF"/>
        </w:rPr>
        <w:t>5.</w:t>
      </w:r>
      <w:r>
        <w:rPr>
          <w:rFonts w:hint="eastAsia" w:asciiTheme="minorEastAsia" w:hAnsiTheme="minorEastAsia" w:eastAsiaTheme="minorEastAsia" w:cstheme="minorEastAsia"/>
          <w:b/>
          <w:bCs/>
          <w:color w:val="auto"/>
          <w:highlight w:val="none"/>
        </w:rPr>
        <w:t>关于中小企业参与政府采购活动的规定</w:t>
      </w:r>
    </w:p>
    <w:p w14:paraId="4E8C0AB3">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根据《中小企业划型标准规定》（工信部联企业〔2011〕300号）、《政府采购促进中小企业发展管理办法》（财库〔2020〕46号）的有关规定，《政府采购促进中小企业发展管理办法》所称中小企业（含中型、小型、微型企业，下同）应当同时符合以下条件：</w:t>
      </w:r>
    </w:p>
    <w:p w14:paraId="4543712D">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（一）在货物采购项目中，货物由中小企业制造，即货物由中小企业生产且使用该中小企业商号或者注册商标；</w:t>
      </w:r>
    </w:p>
    <w:p w14:paraId="2B7A6704">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（二）在工程采购项目中，工程由中小企业承建，即工程施工单位为中小企业；</w:t>
      </w:r>
    </w:p>
    <w:p w14:paraId="32B4A950">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（三）在服务采购项目中，服务由中小企业承接，即提供服务的人员为中小企业依照《中华人民共和国劳动合同法》订立劳动合同的从业人员。</w:t>
      </w:r>
    </w:p>
    <w:p w14:paraId="3BDE673B">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在货物采购项目中，供应商提供的货物既有中小企业制造货物，也有大型企业制造货物的，不享受本办法规定的中小企业扶持政策。</w:t>
      </w:r>
    </w:p>
    <w:p w14:paraId="7C378780">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5.2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w:t>
      </w:r>
    </w:p>
    <w:p w14:paraId="5E1CC528">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根据财库[2014]68号的相关规定，在政府采购活动中，监狱企业视同小型、微型企业，享受评审中价格扣除政策，并在投标文件中提供由省级以上监狱管理局、戒毒管理局（含新疆生产建设兵团）出具的属于监狱企业的证明文件。</w:t>
      </w:r>
    </w:p>
    <w:p w14:paraId="114285DC">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小型、微型企业参加投标时，应提供《中小企业声明函》；监狱或戒毒企业参加投标时应提供《省级以上监狱管理局、戒毒管理局（含新疆生产建设兵团）出具的属于监狱企业的证明文件》；残疾人福利性单位参加投标时应提供残疾人福利性单位声明函。</w:t>
      </w:r>
    </w:p>
    <w:p w14:paraId="6E058DFC">
      <w:pPr>
        <w:spacing w:line="400" w:lineRule="exact"/>
        <w:ind w:firstLine="211" w:firstLineChars="1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▲5.5本项目专门面向中小企业采购，符合条件但不提供以上材料（中小企业声明函或残疾人福利性单位声明函或监狱企业的证明文件）的投标人作为投标无效处理。</w:t>
      </w:r>
    </w:p>
    <w:p w14:paraId="7547EB60">
      <w:pPr>
        <w:snapToGrid w:val="0"/>
        <w:spacing w:line="40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5.6根据财库{2020}46号的第九条规定：本项目专门面向中小企业采购的标项，不再执行价格评审优惠的扶持政策。</w:t>
      </w:r>
    </w:p>
    <w:p w14:paraId="794672E7">
      <w:pPr>
        <w:keepNext w:val="0"/>
        <w:keepLines w:val="0"/>
        <w:pageBreakBefore w:val="0"/>
        <w:widowControl/>
        <w:kinsoku/>
        <w:wordWrap/>
        <w:overflowPunct/>
        <w:topLinePunct w:val="0"/>
        <w:autoSpaceDE/>
        <w:autoSpaceDN/>
        <w:bidi w:val="0"/>
        <w:adjustRightInd/>
        <w:spacing w:line="360" w:lineRule="auto"/>
        <w:ind w:firstLine="211" w:firstLineChars="100"/>
        <w:textAlignment w:val="auto"/>
        <w:rPr>
          <w:rFonts w:ascii="宋体" w:hAnsi="宋体" w:cs="宋体"/>
          <w:b/>
          <w:bCs/>
          <w:color w:val="auto"/>
          <w:kern w:val="0"/>
          <w:highlight w:val="none"/>
          <w:u w:val="none"/>
        </w:rPr>
      </w:pPr>
      <w:r>
        <w:rPr>
          <w:rFonts w:hint="eastAsia" w:ascii="宋体" w:hAnsi="宋体" w:cs="宋体"/>
          <w:b/>
          <w:bCs/>
          <w:color w:val="auto"/>
          <w:kern w:val="0"/>
          <w:highlight w:val="none"/>
          <w:u w:val="none"/>
        </w:rPr>
        <w:t>▲6.特别说明</w:t>
      </w:r>
    </w:p>
    <w:p w14:paraId="67B58D50">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6.1供应商所使用的资格、信誉、荣誉、业绩与企业认证必须为本法人所拥有(且在有效期内)。</w:t>
      </w:r>
    </w:p>
    <w:p w14:paraId="6204D144">
      <w:pPr>
        <w:pStyle w:val="32"/>
        <w:widowControl w:val="0"/>
        <w:spacing w:beforeAutospacing="0" w:afterAutospacing="0"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6.2投标人应仔细阅读招标文件的所有内容，按照招标文件的要求提交投标文件，并对所提供的全部资料的真实性承担法律责任。</w:t>
      </w:r>
    </w:p>
    <w:p w14:paraId="31659372">
      <w:pPr>
        <w:pStyle w:val="32"/>
        <w:widowControl w:val="0"/>
        <w:spacing w:beforeAutospacing="0" w:afterAutospacing="0"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6.3招标文件中如有描述歧义或前后不一致的地方，评标委员会有权按公平、合理的原则进行评判，但对同一条款的评判适用于每个投标人。</w:t>
      </w:r>
    </w:p>
    <w:p w14:paraId="23BE8787">
      <w:pPr>
        <w:pStyle w:val="32"/>
        <w:widowControl w:val="0"/>
        <w:spacing w:beforeAutospacing="0" w:afterAutospacing="0" w:line="440" w:lineRule="exact"/>
        <w:ind w:firstLine="420" w:firstLineChars="200"/>
        <w:rPr>
          <w:rFonts w:hint="eastAsia" w:ascii="宋体" w:hAnsi="宋体" w:cs="宋体"/>
          <w:b/>
          <w:color w:val="auto"/>
          <w:sz w:val="21"/>
          <w:szCs w:val="21"/>
          <w:highlight w:val="none"/>
        </w:rPr>
      </w:pPr>
      <w:r>
        <w:rPr>
          <w:rFonts w:hint="eastAsia" w:ascii="宋体" w:hAnsi="宋体" w:cs="宋体"/>
          <w:color w:val="auto"/>
          <w:sz w:val="21"/>
          <w:szCs w:val="21"/>
          <w:highlight w:val="none"/>
        </w:rPr>
        <w:t>6.4投标文件对实质性条款必须做出承诺并能响应或优于招标文件的规定。投标文件的响应内容必须真实、明确、准确。否则，评标委员会将对其作出不利的评审。</w:t>
      </w:r>
    </w:p>
    <w:p w14:paraId="16E3AA4E">
      <w:pPr>
        <w:spacing w:line="400" w:lineRule="exact"/>
        <w:ind w:firstLine="422" w:firstLineChars="200"/>
        <w:rPr>
          <w:rFonts w:asciiTheme="minorEastAsia" w:hAnsiTheme="minorEastAsia" w:eastAsiaTheme="minorEastAsia" w:cstheme="minorEastAsia"/>
          <w:b/>
          <w:bCs w:val="0"/>
          <w:color w:val="auto"/>
          <w:highlight w:val="none"/>
          <w:shd w:val="clear" w:color="auto" w:fill="FFFFFF"/>
        </w:rPr>
      </w:pPr>
      <w:r>
        <w:rPr>
          <w:rFonts w:hint="eastAsia" w:asciiTheme="minorEastAsia" w:hAnsiTheme="minorEastAsia" w:eastAsiaTheme="minorEastAsia" w:cstheme="minorEastAsia"/>
          <w:b/>
          <w:bCs w:val="0"/>
          <w:color w:val="auto"/>
          <w:highlight w:val="none"/>
          <w:shd w:val="clear" w:color="auto" w:fill="FFFFFF"/>
        </w:rPr>
        <w:t>7.解释权 </w:t>
      </w:r>
    </w:p>
    <w:p w14:paraId="7D94849E">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2"/>
        <w:rPr>
          <w:rFonts w:hint="eastAsia" w:ascii="宋体" w:hAnsi="宋体" w:cs="宋体"/>
          <w:bCs/>
          <w:color w:val="auto"/>
          <w:kern w:val="0"/>
          <w:szCs w:val="21"/>
          <w:highlight w:val="none"/>
        </w:rPr>
      </w:pPr>
      <w:bookmarkStart w:id="30" w:name="_Toc433917262"/>
      <w:bookmarkStart w:id="31" w:name="_Toc358384690"/>
      <w:bookmarkStart w:id="32" w:name="_Toc504642666"/>
      <w:bookmarkStart w:id="33" w:name="_Toc333842546"/>
      <w:bookmarkStart w:id="34" w:name="_Toc326937532"/>
      <w:bookmarkStart w:id="35" w:name="_Toc393201709"/>
      <w:r>
        <w:rPr>
          <w:rFonts w:hint="eastAsia" w:ascii="宋体" w:hAnsi="宋体" w:cs="宋体"/>
          <w:bCs/>
          <w:color w:val="auto"/>
          <w:kern w:val="0"/>
          <w:szCs w:val="21"/>
          <w:highlight w:val="none"/>
        </w:rPr>
        <w:t>本招标文件的《采购需求》、《评审方法》解释权归采购人，其余部分归采购代理机构。</w:t>
      </w:r>
    </w:p>
    <w:p w14:paraId="06C99DC5">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2"/>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招标</w:t>
      </w:r>
      <w:r>
        <w:rPr>
          <w:rFonts w:hint="eastAsia" w:ascii="宋体" w:hAnsi="宋体" w:cs="宋体"/>
          <w:b/>
          <w:bCs/>
          <w:color w:val="auto"/>
          <w:kern w:val="0"/>
          <w:sz w:val="28"/>
          <w:szCs w:val="28"/>
          <w:highlight w:val="none"/>
        </w:rPr>
        <w:t>文件</w:t>
      </w:r>
      <w:bookmarkEnd w:id="30"/>
      <w:bookmarkEnd w:id="31"/>
      <w:bookmarkEnd w:id="32"/>
      <w:bookmarkEnd w:id="33"/>
      <w:bookmarkEnd w:id="34"/>
      <w:bookmarkEnd w:id="35"/>
    </w:p>
    <w:p w14:paraId="5F122798">
      <w:pPr>
        <w:widowControl/>
        <w:spacing w:line="400" w:lineRule="exact"/>
        <w:ind w:firstLine="422" w:firstLineChars="200"/>
        <w:rPr>
          <w:rFonts w:ascii="宋体" w:hAnsi="宋体"/>
          <w:b/>
          <w:color w:val="auto"/>
          <w:kern w:val="0"/>
          <w:highlight w:val="none"/>
          <w:lang w:val="zh-CN"/>
        </w:rPr>
      </w:pPr>
      <w:r>
        <w:rPr>
          <w:rFonts w:hint="eastAsia" w:ascii="宋体" w:hAnsi="宋体"/>
          <w:b/>
          <w:color w:val="auto"/>
          <w:kern w:val="0"/>
          <w:highlight w:val="none"/>
          <w:lang w:val="zh-CN"/>
        </w:rPr>
        <w:t>8</w:t>
      </w:r>
      <w:r>
        <w:rPr>
          <w:rFonts w:hint="eastAsia" w:ascii="宋体" w:hAnsi="宋体"/>
          <w:b/>
          <w:color w:val="auto"/>
          <w:kern w:val="0"/>
          <w:highlight w:val="none"/>
        </w:rPr>
        <w:t>.</w:t>
      </w:r>
      <w:r>
        <w:rPr>
          <w:rFonts w:hint="eastAsia" w:ascii="宋体" w:hAnsi="宋体"/>
          <w:b/>
          <w:color w:val="auto"/>
          <w:kern w:val="0"/>
          <w:highlight w:val="none"/>
          <w:lang w:val="en-US" w:eastAsia="zh-CN"/>
        </w:rPr>
        <w:t>招标</w:t>
      </w:r>
      <w:r>
        <w:rPr>
          <w:rFonts w:hint="eastAsia" w:ascii="宋体" w:hAnsi="宋体"/>
          <w:b/>
          <w:color w:val="auto"/>
          <w:kern w:val="0"/>
          <w:highlight w:val="none"/>
          <w:lang w:val="zh-CN"/>
        </w:rPr>
        <w:t>文件构成</w:t>
      </w:r>
    </w:p>
    <w:p w14:paraId="181A1306">
      <w:pPr>
        <w:widowControl/>
        <w:spacing w:line="400" w:lineRule="exact"/>
        <w:ind w:firstLine="420" w:firstLineChars="200"/>
        <w:rPr>
          <w:rFonts w:ascii="宋体" w:hAnsi="宋体"/>
          <w:bCs/>
          <w:color w:val="auto"/>
          <w:kern w:val="0"/>
          <w:highlight w:val="none"/>
          <w:lang w:val="zh-CN"/>
        </w:rPr>
      </w:pPr>
      <w:r>
        <w:rPr>
          <w:rFonts w:hint="eastAsia" w:ascii="宋体" w:hAnsi="宋体"/>
          <w:bCs/>
          <w:color w:val="auto"/>
          <w:kern w:val="0"/>
          <w:highlight w:val="none"/>
          <w:lang w:val="zh-CN"/>
        </w:rPr>
        <w:t xml:space="preserve">8.1 </w:t>
      </w:r>
      <w:r>
        <w:rPr>
          <w:rFonts w:hint="eastAsia" w:ascii="宋体" w:hAnsi="宋体"/>
          <w:bCs/>
          <w:color w:val="auto"/>
          <w:kern w:val="0"/>
          <w:highlight w:val="none"/>
          <w:lang w:val="en-US" w:eastAsia="zh-CN"/>
        </w:rPr>
        <w:t>招标</w:t>
      </w:r>
      <w:r>
        <w:rPr>
          <w:rFonts w:hint="eastAsia" w:ascii="宋体" w:hAnsi="宋体"/>
          <w:bCs/>
          <w:color w:val="auto"/>
          <w:kern w:val="0"/>
          <w:highlight w:val="none"/>
          <w:lang w:val="zh-CN"/>
        </w:rPr>
        <w:t xml:space="preserve">文件包括 </w:t>
      </w:r>
    </w:p>
    <w:p w14:paraId="76DCC514">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第一章  招标公告</w:t>
      </w:r>
    </w:p>
    <w:p w14:paraId="17939ADC">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第二章  </w:t>
      </w:r>
      <w:r>
        <w:rPr>
          <w:rFonts w:hint="eastAsia" w:ascii="宋体" w:hAnsi="宋体" w:cs="宋体"/>
          <w:bCs/>
          <w:color w:val="auto"/>
          <w:kern w:val="0"/>
          <w:szCs w:val="21"/>
          <w:highlight w:val="none"/>
        </w:rPr>
        <w:t>投标人须知及前附表</w:t>
      </w:r>
    </w:p>
    <w:p w14:paraId="186AEC90">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第三章  合同条款及前附表 </w:t>
      </w:r>
    </w:p>
    <w:p w14:paraId="1388A433">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第四章  采购需求</w:t>
      </w:r>
    </w:p>
    <w:p w14:paraId="25711525">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第五章  投标文件格式</w:t>
      </w:r>
    </w:p>
    <w:p w14:paraId="7BC3FA3F">
      <w:pPr>
        <w:spacing w:line="400" w:lineRule="exact"/>
        <w:ind w:firstLine="420" w:firstLineChars="200"/>
        <w:jc w:val="left"/>
        <w:rPr>
          <w:rFonts w:ascii="宋体" w:hAnsi="宋体"/>
          <w:bCs/>
          <w:color w:val="auto"/>
          <w:kern w:val="0"/>
          <w:highlight w:val="none"/>
          <w:lang w:val="zh-CN"/>
        </w:rPr>
      </w:pPr>
      <w:r>
        <w:rPr>
          <w:rFonts w:hint="eastAsia" w:ascii="宋体" w:hAnsi="宋体"/>
          <w:bCs/>
          <w:color w:val="auto"/>
          <w:kern w:val="0"/>
          <w:highlight w:val="none"/>
          <w:lang w:val="zh-CN"/>
        </w:rPr>
        <w:t xml:space="preserve">8.2 </w:t>
      </w:r>
      <w:r>
        <w:rPr>
          <w:rFonts w:hint="eastAsia" w:ascii="宋体" w:hAnsi="宋体" w:cs="宋体"/>
          <w:color w:val="auto"/>
          <w:kern w:val="0"/>
          <w:szCs w:val="21"/>
          <w:highlight w:val="none"/>
        </w:rPr>
        <w:t>投标人应认真阅读招标文件中所有的事项、格式、条款和规范等要求，从而对招标文件做出实质性的响应。如果没有按照招标文件的要求提交全部投标文件或资料，没有对招标文件作出实质性响应，其风险应当由投标人自行承担。</w:t>
      </w:r>
    </w:p>
    <w:p w14:paraId="42B08A0D">
      <w:pPr>
        <w:widowControl/>
        <w:spacing w:line="400" w:lineRule="exact"/>
        <w:ind w:firstLine="422" w:firstLineChars="200"/>
        <w:rPr>
          <w:rFonts w:ascii="宋体" w:hAnsi="宋体"/>
          <w:b/>
          <w:color w:val="auto"/>
          <w:kern w:val="0"/>
          <w:highlight w:val="none"/>
          <w:lang w:val="zh-CN"/>
        </w:rPr>
      </w:pPr>
      <w:r>
        <w:rPr>
          <w:rFonts w:hint="eastAsia" w:ascii="宋体" w:hAnsi="宋体"/>
          <w:b/>
          <w:color w:val="auto"/>
          <w:kern w:val="0"/>
          <w:highlight w:val="none"/>
          <w:lang w:val="zh-CN"/>
        </w:rPr>
        <w:t>9</w:t>
      </w:r>
      <w:r>
        <w:rPr>
          <w:rFonts w:hint="eastAsia" w:ascii="宋体" w:hAnsi="宋体"/>
          <w:b/>
          <w:color w:val="auto"/>
          <w:kern w:val="0"/>
          <w:highlight w:val="none"/>
        </w:rPr>
        <w:t>.</w:t>
      </w:r>
      <w:r>
        <w:rPr>
          <w:rFonts w:hint="eastAsia" w:ascii="宋体" w:hAnsi="宋体"/>
          <w:b/>
          <w:color w:val="auto"/>
          <w:kern w:val="0"/>
          <w:highlight w:val="none"/>
          <w:lang w:val="en-US" w:eastAsia="zh-CN"/>
        </w:rPr>
        <w:t>招标</w:t>
      </w:r>
      <w:r>
        <w:rPr>
          <w:rFonts w:hint="eastAsia" w:ascii="宋体" w:hAnsi="宋体"/>
          <w:b/>
          <w:color w:val="auto"/>
          <w:kern w:val="0"/>
          <w:highlight w:val="none"/>
          <w:lang w:val="zh-CN"/>
        </w:rPr>
        <w:t>文件的修改、澄清</w:t>
      </w:r>
    </w:p>
    <w:p w14:paraId="1A110C92">
      <w:pPr>
        <w:pStyle w:val="32"/>
        <w:widowControl w:val="0"/>
        <w:spacing w:beforeAutospacing="0" w:afterAutospacing="0" w:line="400" w:lineRule="exact"/>
        <w:ind w:firstLine="420" w:firstLineChars="200"/>
        <w:rPr>
          <w:rFonts w:hint="eastAsia" w:ascii="宋体" w:hAnsi="宋体" w:cs="宋体"/>
          <w:color w:val="auto"/>
          <w:sz w:val="21"/>
          <w:szCs w:val="21"/>
          <w:highlight w:val="none"/>
        </w:rPr>
      </w:pPr>
      <w:bookmarkStart w:id="36" w:name="_Toc326937533"/>
      <w:bookmarkStart w:id="37" w:name="_Toc433917263"/>
      <w:bookmarkStart w:id="38" w:name="_Toc358384691"/>
      <w:bookmarkStart w:id="39" w:name="_Toc504642667"/>
      <w:bookmarkStart w:id="40" w:name="_Toc393201710"/>
      <w:bookmarkStart w:id="41" w:name="_Toc333842547"/>
      <w:r>
        <w:rPr>
          <w:rFonts w:hint="eastAsia" w:ascii="宋体" w:hAnsi="宋体" w:cs="宋体"/>
          <w:color w:val="auto"/>
          <w:sz w:val="21"/>
          <w:szCs w:val="21"/>
          <w:highlight w:val="none"/>
        </w:rPr>
        <w:t>9.1采购人或者采购代理机构可以对已发出的招标文件进行必要的澄清或者修改，但不得改变采购标的和资格条件。澄清或者修改应当在原公告发布媒体上发布澄清（更正）公告。澄清或者修改的内容为招标文件的组成部分。</w:t>
      </w:r>
    </w:p>
    <w:p w14:paraId="1C3E991B">
      <w:pPr>
        <w:tabs>
          <w:tab w:val="left" w:pos="527"/>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9.2澄清或者修改的内容可能影响投标文件编制的，采购人或者采购代理机构应当在投标截止时间至少15日前(不足15日的，应当顺延提交投标文件的截止时间)。</w:t>
      </w:r>
    </w:p>
    <w:p w14:paraId="3FFC2C8E">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9.3不论采购人向投标人发送的资料文件，还是投标人提出的问题，均采用信息发布网上公告形式，任何口头提问及答复一律无效。</w:t>
      </w:r>
    </w:p>
    <w:p w14:paraId="54964C32">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2"/>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三、</w:t>
      </w:r>
      <w:r>
        <w:rPr>
          <w:rFonts w:hint="eastAsia" w:ascii="宋体" w:hAnsi="宋体" w:cs="宋体"/>
          <w:b/>
          <w:bCs/>
          <w:color w:val="auto"/>
          <w:kern w:val="0"/>
          <w:sz w:val="28"/>
          <w:szCs w:val="28"/>
          <w:highlight w:val="none"/>
          <w:lang w:val="en-US" w:eastAsia="zh-CN"/>
        </w:rPr>
        <w:t>投标</w:t>
      </w:r>
      <w:r>
        <w:rPr>
          <w:rFonts w:hint="eastAsia" w:ascii="宋体" w:hAnsi="宋体" w:cs="宋体"/>
          <w:b/>
          <w:bCs/>
          <w:color w:val="auto"/>
          <w:kern w:val="0"/>
          <w:sz w:val="28"/>
          <w:szCs w:val="28"/>
          <w:highlight w:val="none"/>
        </w:rPr>
        <w:t>文件的编制</w:t>
      </w:r>
      <w:bookmarkEnd w:id="36"/>
      <w:bookmarkEnd w:id="37"/>
      <w:bookmarkEnd w:id="38"/>
      <w:bookmarkEnd w:id="39"/>
      <w:bookmarkEnd w:id="40"/>
      <w:bookmarkEnd w:id="41"/>
    </w:p>
    <w:p w14:paraId="675380EB">
      <w:pPr>
        <w:spacing w:line="400" w:lineRule="exact"/>
        <w:ind w:firstLine="422" w:firstLineChars="20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10.投标文件的构成</w:t>
      </w:r>
    </w:p>
    <w:p w14:paraId="653E7EF5">
      <w:pPr>
        <w:adjustRightInd w:val="0"/>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投标文件由资格证明文件、技术商务文件、报价文件三部分组成。</w:t>
      </w:r>
      <w:r>
        <w:rPr>
          <w:rFonts w:hint="eastAsia" w:ascii="宋体" w:hAnsi="宋体" w:cs="宋体"/>
          <w:bCs/>
          <w:color w:val="auto"/>
          <w:kern w:val="0"/>
          <w:szCs w:val="21"/>
          <w:highlight w:val="none"/>
        </w:rPr>
        <w:t>电子投标文件中须加盖公章部分均采用CA签章。</w:t>
      </w:r>
    </w:p>
    <w:p w14:paraId="0708D4E3">
      <w:pPr>
        <w:widowControl/>
        <w:spacing w:line="400" w:lineRule="exact"/>
        <w:ind w:firstLine="210" w:firstLineChars="100"/>
        <w:jc w:val="left"/>
        <w:rPr>
          <w:rFonts w:hint="default" w:asciiTheme="minorEastAsia" w:hAnsiTheme="minorEastAsia" w:eastAsiaTheme="minorEastAsia" w:cstheme="minorEastAsia"/>
          <w:b/>
          <w:bCs/>
          <w:color w:val="auto"/>
          <w:kern w:val="0"/>
          <w:highlight w:val="none"/>
          <w:shd w:val="clear" w:color="auto" w:fill="FFFFFF"/>
          <w:lang w:val="en-US" w:eastAsia="zh-CN"/>
        </w:rPr>
      </w:pPr>
      <w:r>
        <w:rPr>
          <w:rFonts w:hint="eastAsia" w:ascii="宋体" w:hAnsi="宋体" w:cs="宋体"/>
          <w:color w:val="auto"/>
          <w:highlight w:val="none"/>
        </w:rPr>
        <w:t>▲</w:t>
      </w:r>
      <w:r>
        <w:rPr>
          <w:rFonts w:hint="eastAsia" w:asciiTheme="minorEastAsia" w:hAnsiTheme="minorEastAsia" w:eastAsiaTheme="minorEastAsia" w:cstheme="minorEastAsia"/>
          <w:b/>
          <w:bCs/>
          <w:color w:val="auto"/>
          <w:kern w:val="0"/>
          <w:highlight w:val="none"/>
          <w:shd w:val="clear" w:color="auto" w:fill="FFFFFF"/>
        </w:rPr>
        <w:t>10.1资格证明文件</w:t>
      </w:r>
    </w:p>
    <w:p w14:paraId="69E38B6F">
      <w:pPr>
        <w:widowControl/>
        <w:spacing w:line="400" w:lineRule="exact"/>
        <w:ind w:firstLine="420" w:firstLineChars="200"/>
        <w:rPr>
          <w:rFonts w:ascii="宋体" w:hAnsi="宋体" w:cs="宋体"/>
          <w:color w:val="auto"/>
          <w:highlight w:val="none"/>
        </w:rPr>
      </w:pPr>
      <w:r>
        <w:rPr>
          <w:rFonts w:hint="eastAsia" w:ascii="宋体" w:hAnsi="宋体" w:cs="宋体"/>
          <w:color w:val="auto"/>
          <w:highlight w:val="none"/>
        </w:rPr>
        <w:t>10.1.1包括但不限于以下内容：</w:t>
      </w:r>
    </w:p>
    <w:p w14:paraId="3B6838D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（1）符合参加政府采购活动应当具备的一般条件的承诺函（格式附后）；</w:t>
      </w:r>
    </w:p>
    <w:p w14:paraId="2783431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（2）中小企业声明函（格式附后）；</w:t>
      </w:r>
    </w:p>
    <w:p w14:paraId="6CE0FC5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（3）残疾人福利性单位声明函（若有，格式附后）； </w:t>
      </w:r>
    </w:p>
    <w:p w14:paraId="1B01AC3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（4）省级以上监狱管理局、戒毒管理局（含新疆生产建设兵团）出具的属于监狱企业的证明文件（若有）；</w:t>
      </w:r>
    </w:p>
    <w:p w14:paraId="6A9D31E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（5）法人或者其他组织的营业执照等证明文件扫描件；</w:t>
      </w:r>
    </w:p>
    <w:p w14:paraId="0C1698D6">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法定代表人身份证明及身份证（正、反面）原件扫描件（格式附后）；</w:t>
      </w:r>
    </w:p>
    <w:p w14:paraId="0C1CC1E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）法定代表人授权委托书（如为授权委托人参加投标，格式附后）；</w:t>
      </w:r>
    </w:p>
    <w:p w14:paraId="6833756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投标人需要说明的其他文件和说明（</w:t>
      </w:r>
      <w:r>
        <w:rPr>
          <w:rFonts w:hint="eastAsia" w:ascii="宋体" w:hAnsi="宋体" w:eastAsia="宋体" w:cs="宋体"/>
          <w:color w:val="auto"/>
          <w:szCs w:val="21"/>
          <w:highlight w:val="none"/>
          <w:lang w:eastAsia="zh-CN"/>
        </w:rPr>
        <w:t>若有</w:t>
      </w:r>
      <w:r>
        <w:rPr>
          <w:rFonts w:hint="eastAsia" w:ascii="宋体" w:hAnsi="宋体" w:eastAsia="宋体" w:cs="宋体"/>
          <w:color w:val="auto"/>
          <w:szCs w:val="21"/>
          <w:highlight w:val="none"/>
        </w:rPr>
        <w:t>）。</w:t>
      </w:r>
    </w:p>
    <w:p w14:paraId="6399612A">
      <w:pPr>
        <w:keepNext w:val="0"/>
        <w:keepLines w:val="0"/>
        <w:pageBreakBefore w:val="0"/>
        <w:kinsoku/>
        <w:wordWrap/>
        <w:overflowPunct/>
        <w:topLinePunct w:val="0"/>
        <w:bidi w:val="0"/>
        <w:spacing w:line="400" w:lineRule="exact"/>
        <w:ind w:left="0" w:leftChars="0" w:firstLine="422" w:firstLineChars="200"/>
        <w:textAlignment w:val="auto"/>
        <w:rPr>
          <w:rFonts w:hint="eastAsia"/>
          <w:highlight w:val="none"/>
        </w:rPr>
      </w:pPr>
      <w:r>
        <w:rPr>
          <w:rFonts w:hint="eastAsia" w:ascii="宋体" w:hAnsi="宋体" w:cs="宋体"/>
          <w:b/>
          <w:bCs/>
          <w:color w:val="auto"/>
          <w:spacing w:val="0"/>
          <w:sz w:val="21"/>
          <w:szCs w:val="21"/>
          <w:highlight w:val="none"/>
          <w:lang w:eastAsia="zh-CN"/>
        </w:rPr>
        <w:t>▲其中（</w:t>
      </w:r>
      <w:r>
        <w:rPr>
          <w:rFonts w:hint="eastAsia" w:ascii="宋体" w:hAnsi="宋体" w:cs="宋体"/>
          <w:b/>
          <w:bCs/>
          <w:color w:val="auto"/>
          <w:spacing w:val="0"/>
          <w:sz w:val="21"/>
          <w:szCs w:val="21"/>
          <w:highlight w:val="none"/>
          <w:lang w:val="en-US" w:eastAsia="zh-CN"/>
        </w:rPr>
        <w:t>2</w:t>
      </w:r>
      <w:r>
        <w:rPr>
          <w:rFonts w:hint="eastAsia" w:ascii="宋体" w:hAnsi="宋体" w:cs="宋体"/>
          <w:b/>
          <w:bCs/>
          <w:color w:val="auto"/>
          <w:spacing w:val="0"/>
          <w:sz w:val="21"/>
          <w:szCs w:val="21"/>
          <w:highlight w:val="none"/>
          <w:lang w:eastAsia="zh-CN"/>
        </w:rPr>
        <w:t>）中小企业声明函，（</w:t>
      </w:r>
      <w:r>
        <w:rPr>
          <w:rFonts w:hint="eastAsia" w:ascii="宋体" w:hAnsi="宋体" w:cs="宋体"/>
          <w:b/>
          <w:bCs/>
          <w:color w:val="auto"/>
          <w:spacing w:val="0"/>
          <w:sz w:val="21"/>
          <w:szCs w:val="21"/>
          <w:highlight w:val="none"/>
          <w:lang w:val="en-US" w:eastAsia="zh-CN"/>
        </w:rPr>
        <w:t>3</w:t>
      </w:r>
      <w:r>
        <w:rPr>
          <w:rFonts w:hint="eastAsia" w:ascii="宋体" w:hAnsi="宋体" w:cs="宋体"/>
          <w:b/>
          <w:bCs/>
          <w:color w:val="auto"/>
          <w:spacing w:val="0"/>
          <w:sz w:val="21"/>
          <w:szCs w:val="21"/>
          <w:highlight w:val="none"/>
          <w:lang w:eastAsia="zh-CN"/>
        </w:rPr>
        <w:t>）残疾人福利性单位声明函，（</w:t>
      </w:r>
      <w:r>
        <w:rPr>
          <w:rFonts w:hint="eastAsia" w:ascii="宋体" w:hAnsi="宋体" w:cs="宋体"/>
          <w:b/>
          <w:bCs/>
          <w:color w:val="auto"/>
          <w:spacing w:val="0"/>
          <w:sz w:val="21"/>
          <w:szCs w:val="21"/>
          <w:highlight w:val="none"/>
          <w:lang w:val="en-US" w:eastAsia="zh-CN"/>
        </w:rPr>
        <w:t>4</w:t>
      </w:r>
      <w:r>
        <w:rPr>
          <w:rFonts w:hint="eastAsia" w:ascii="宋体" w:hAnsi="宋体" w:cs="宋体"/>
          <w:b/>
          <w:bCs/>
          <w:color w:val="auto"/>
          <w:spacing w:val="0"/>
          <w:sz w:val="21"/>
          <w:szCs w:val="21"/>
          <w:highlight w:val="none"/>
          <w:lang w:eastAsia="zh-CN"/>
        </w:rPr>
        <w:t>）省级以上监狱管理局、戒毒管理局（含新疆生产建设兵团）出具的属于监狱企业的证明文件，</w:t>
      </w:r>
      <w:r>
        <w:rPr>
          <w:rFonts w:hint="eastAsia" w:ascii="宋体" w:hAnsi="宋体" w:cs="宋体"/>
          <w:b/>
          <w:bCs/>
          <w:color w:val="auto"/>
          <w:spacing w:val="0"/>
          <w:sz w:val="21"/>
          <w:szCs w:val="21"/>
          <w:highlight w:val="none"/>
          <w:lang w:val="en-US" w:eastAsia="zh-CN"/>
        </w:rPr>
        <w:t>响应</w:t>
      </w:r>
      <w:r>
        <w:rPr>
          <w:rFonts w:hint="eastAsia" w:ascii="宋体" w:hAnsi="宋体" w:cs="宋体"/>
          <w:b/>
          <w:bCs/>
          <w:color w:val="auto"/>
          <w:spacing w:val="0"/>
          <w:sz w:val="21"/>
          <w:szCs w:val="21"/>
          <w:highlight w:val="none"/>
          <w:lang w:eastAsia="zh-CN"/>
        </w:rPr>
        <w:t>人</w:t>
      </w:r>
      <w:r>
        <w:rPr>
          <w:rFonts w:hint="eastAsia" w:ascii="宋体" w:hAnsi="宋体" w:cs="宋体"/>
          <w:b/>
          <w:bCs/>
          <w:color w:val="auto"/>
          <w:spacing w:val="0"/>
          <w:sz w:val="21"/>
          <w:szCs w:val="21"/>
          <w:highlight w:val="none"/>
          <w:lang w:val="en-US" w:eastAsia="zh-CN"/>
        </w:rPr>
        <w:t>响应</w:t>
      </w:r>
      <w:r>
        <w:rPr>
          <w:rFonts w:hint="eastAsia" w:ascii="宋体" w:hAnsi="宋体" w:cs="宋体"/>
          <w:b/>
          <w:bCs/>
          <w:color w:val="auto"/>
          <w:spacing w:val="0"/>
          <w:sz w:val="21"/>
          <w:szCs w:val="21"/>
          <w:highlight w:val="none"/>
          <w:lang w:eastAsia="zh-CN"/>
        </w:rPr>
        <w:t>时必须提供其中的一项，否则作无效标处理。</w:t>
      </w:r>
    </w:p>
    <w:p w14:paraId="4F47B2CE">
      <w:pPr>
        <w:widowControl/>
        <w:spacing w:line="400" w:lineRule="exact"/>
        <w:ind w:firstLine="413" w:firstLineChars="196"/>
        <w:jc w:val="left"/>
        <w:rPr>
          <w:rFonts w:asciiTheme="minorEastAsia" w:hAnsiTheme="minorEastAsia" w:eastAsiaTheme="minorEastAsia" w:cstheme="minorEastAsia"/>
          <w:b/>
          <w:bCs/>
          <w:color w:val="auto"/>
          <w:kern w:val="0"/>
          <w:highlight w:val="none"/>
          <w:shd w:val="clear" w:color="auto" w:fill="FFFFFF"/>
        </w:rPr>
      </w:pPr>
      <w:r>
        <w:rPr>
          <w:rFonts w:hint="eastAsia" w:asciiTheme="minorEastAsia" w:hAnsiTheme="minorEastAsia" w:eastAsiaTheme="minorEastAsia" w:cstheme="minorEastAsia"/>
          <w:b/>
          <w:bCs/>
          <w:color w:val="auto"/>
          <w:kern w:val="0"/>
          <w:highlight w:val="none"/>
          <w:shd w:val="clear" w:color="auto" w:fill="FFFFFF"/>
        </w:rPr>
        <w:t>10.2技术商务文件</w:t>
      </w:r>
    </w:p>
    <w:p w14:paraId="1D912D27">
      <w:pPr>
        <w:spacing w:line="400" w:lineRule="exact"/>
        <w:ind w:firstLine="413" w:firstLineChars="197"/>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10.2.1包括但不限于以下内容：</w:t>
      </w:r>
    </w:p>
    <w:p w14:paraId="59089DCE">
      <w:pPr>
        <w:spacing w:line="400" w:lineRule="exact"/>
        <w:ind w:firstLine="210" w:firstLineChars="100"/>
        <w:rPr>
          <w:rFonts w:hint="eastAsia" w:ascii="宋体" w:hAnsi="宋体" w:eastAsia="宋体" w:cs="宋体"/>
          <w:color w:val="auto"/>
          <w:szCs w:val="21"/>
          <w:highlight w:val="none"/>
          <w:lang w:val="en-US" w:eastAsia="zh-CN"/>
        </w:rPr>
      </w:pPr>
      <w:r>
        <w:rPr>
          <w:rStyle w:val="48"/>
          <w:rFonts w:hint="eastAsia" w:ascii="宋体" w:hAnsi="宋体" w:eastAsia="宋体" w:cs="宋体"/>
          <w:color w:val="auto"/>
          <w:kern w:val="0"/>
          <w:szCs w:val="22"/>
          <w:highlight w:val="none"/>
          <w:u w:val="none"/>
        </w:rPr>
        <w:t>▲</w:t>
      </w:r>
      <w:r>
        <w:rPr>
          <w:rFonts w:hint="eastAsia" w:ascii="宋体" w:hAnsi="宋体" w:eastAsia="宋体" w:cs="宋体"/>
          <w:color w:val="auto"/>
          <w:szCs w:val="21"/>
          <w:highlight w:val="none"/>
          <w:lang w:val="en-US" w:eastAsia="zh-CN"/>
        </w:rPr>
        <w:t>(1)政府采购项目供应商技术商务评分索引表；</w:t>
      </w:r>
    </w:p>
    <w:p w14:paraId="6714D889">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(2)企业业绩</w:t>
      </w:r>
    </w:p>
    <w:p w14:paraId="6321EC10">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(3)服务响应</w:t>
      </w:r>
    </w:p>
    <w:p w14:paraId="4B5B93FD">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(4)响应速度</w:t>
      </w:r>
    </w:p>
    <w:p w14:paraId="403C49F7">
      <w:pPr>
        <w:spacing w:line="400" w:lineRule="exact"/>
        <w:ind w:firstLine="420" w:firstLineChars="200"/>
        <w:rPr>
          <w:rFonts w:hint="eastAsia"/>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)运营团队配置</w:t>
      </w:r>
    </w:p>
    <w:p w14:paraId="64346570">
      <w:pPr>
        <w:spacing w:line="400" w:lineRule="exact"/>
        <w:ind w:firstLine="420" w:firstLineChars="200"/>
        <w:rPr>
          <w:rFonts w:hint="default" w:ascii="宋体" w:hAnsi="宋体" w:eastAsia="宋体" w:cs="宋体"/>
          <w:color w:val="FF0000"/>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)运营实施方案</w:t>
      </w:r>
    </w:p>
    <w:p w14:paraId="47D36412">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)志愿者调度方案</w:t>
      </w:r>
    </w:p>
    <w:p w14:paraId="4CFA3A3B">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)宣传方案</w:t>
      </w:r>
    </w:p>
    <w:p w14:paraId="296CEB00">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)场地布置方案</w:t>
      </w:r>
    </w:p>
    <w:p w14:paraId="4E2C3168">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)无障碍保障方案</w:t>
      </w:r>
    </w:p>
    <w:p w14:paraId="303DA06A">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val="en-US" w:eastAsia="zh-CN"/>
        </w:rPr>
        <w:t>)安全保障方案</w:t>
      </w:r>
    </w:p>
    <w:p w14:paraId="2DC887E2">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)应急处置措施</w:t>
      </w:r>
    </w:p>
    <w:p w14:paraId="7293EEED">
      <w:pPr>
        <w:spacing w:line="400" w:lineRule="exact"/>
        <w:ind w:firstLine="420" w:firstLineChars="20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器材保障方案</w:t>
      </w:r>
    </w:p>
    <w:p w14:paraId="36AF8BBD">
      <w:pPr>
        <w:spacing w:line="400" w:lineRule="exact"/>
        <w:ind w:firstLine="420" w:firstLineChars="20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)会议策划方案</w:t>
      </w:r>
    </w:p>
    <w:p w14:paraId="12BB9CAF">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)后勤服务方案</w:t>
      </w:r>
    </w:p>
    <w:p w14:paraId="42D3C5A6">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)投标人需要说明的其他文件和说明</w:t>
      </w:r>
    </w:p>
    <w:p w14:paraId="035167F5">
      <w:pPr>
        <w:widowControl/>
        <w:spacing w:line="400" w:lineRule="exact"/>
        <w:ind w:firstLine="527" w:firstLineChars="250"/>
        <w:jc w:val="left"/>
        <w:rPr>
          <w:rFonts w:asciiTheme="minorEastAsia" w:hAnsiTheme="minorEastAsia" w:eastAsiaTheme="minorEastAsia" w:cstheme="minorEastAsia"/>
          <w:b/>
          <w:bCs/>
          <w:color w:val="auto"/>
          <w:kern w:val="0"/>
          <w:highlight w:val="none"/>
          <w:shd w:val="clear" w:color="auto" w:fill="FFFFFF"/>
        </w:rPr>
      </w:pPr>
      <w:r>
        <w:rPr>
          <w:rFonts w:hint="eastAsia" w:asciiTheme="minorEastAsia" w:hAnsiTheme="minorEastAsia" w:eastAsiaTheme="minorEastAsia" w:cstheme="minorEastAsia"/>
          <w:b/>
          <w:bCs/>
          <w:color w:val="auto"/>
          <w:kern w:val="0"/>
          <w:highlight w:val="none"/>
          <w:shd w:val="clear" w:color="auto" w:fill="FFFFFF"/>
        </w:rPr>
        <w:t>10.3 报价文件：</w:t>
      </w:r>
    </w:p>
    <w:p w14:paraId="48CD4A04">
      <w:pPr>
        <w:autoSpaceDE w:val="0"/>
        <w:autoSpaceDN w:val="0"/>
        <w:spacing w:line="400" w:lineRule="exact"/>
        <w:ind w:firstLine="525" w:firstLineChars="250"/>
        <w:rPr>
          <w:rFonts w:ascii="宋体" w:hAnsi="宋体" w:cs="宋体"/>
          <w:color w:val="auto"/>
          <w:kern w:val="0"/>
          <w:highlight w:val="none"/>
        </w:rPr>
      </w:pPr>
      <w:r>
        <w:rPr>
          <w:rFonts w:hint="eastAsia" w:asciiTheme="minorEastAsia" w:hAnsiTheme="minorEastAsia" w:eastAsiaTheme="minorEastAsia" w:cstheme="minorEastAsia"/>
          <w:color w:val="auto"/>
          <w:highlight w:val="none"/>
        </w:rPr>
        <w:t>包括但不限于以下内容：</w:t>
      </w:r>
    </w:p>
    <w:p w14:paraId="327FCC54">
      <w:pPr>
        <w:tabs>
          <w:tab w:val="left" w:pos="527"/>
        </w:tabs>
        <w:spacing w:line="400"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（1）投标函（格式附后）；</w:t>
      </w:r>
    </w:p>
    <w:p w14:paraId="3D1CC7BE">
      <w:pPr>
        <w:spacing w:line="400" w:lineRule="exact"/>
        <w:ind w:firstLine="210" w:firstLineChars="100"/>
        <w:rPr>
          <w:rFonts w:hint="eastAsia" w:ascii="宋体" w:hAnsi="宋体" w:cs="宋体"/>
          <w:b/>
          <w:bCs/>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（2）开标一览表（格式附后）；</w:t>
      </w:r>
    </w:p>
    <w:p w14:paraId="1BB58E27">
      <w:pPr>
        <w:spacing w:line="400" w:lineRule="exact"/>
        <w:ind w:firstLine="210" w:firstLineChars="100"/>
        <w:rPr>
          <w:rFonts w:hint="eastAsia" w:ascii="宋体" w:hAnsi="宋体" w:cs="宋体"/>
          <w:color w:val="auto"/>
          <w:kern w:val="0"/>
          <w:szCs w:val="21"/>
          <w:highlight w:val="none"/>
          <w:lang w:eastAsia="zh-CN"/>
        </w:rPr>
      </w:pPr>
      <w:r>
        <w:rPr>
          <w:rFonts w:hint="eastAsia" w:ascii="宋体" w:hAnsi="宋体" w:eastAsia="宋体" w:cs="宋体"/>
          <w:bCs/>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）投标报价明细表；</w:t>
      </w:r>
    </w:p>
    <w:p w14:paraId="5B09609F">
      <w:pPr>
        <w:spacing w:line="400" w:lineRule="exact"/>
        <w:ind w:firstLine="420" w:firstLineChars="200"/>
        <w:jc w:val="left"/>
        <w:rPr>
          <w:rFonts w:hint="eastAsia" w:ascii="宋体" w:hAnsi="宋体" w:eastAsia="宋体" w:cs="宋体"/>
          <w:color w:val="auto"/>
          <w:kern w:val="0"/>
          <w:highlight w:val="none"/>
          <w:lang w:val="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投标人需要说明的其他文件和说明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若有</w:t>
      </w:r>
      <w:r>
        <w:rPr>
          <w:rFonts w:hint="eastAsia" w:ascii="宋体" w:hAnsi="宋体" w:eastAsia="宋体" w:cs="宋体"/>
          <w:color w:val="auto"/>
          <w:szCs w:val="21"/>
          <w:highlight w:val="none"/>
        </w:rPr>
        <w:t>）</w:t>
      </w:r>
      <w:r>
        <w:rPr>
          <w:rFonts w:hint="eastAsia" w:ascii="宋体" w:hAnsi="宋体" w:eastAsia="宋体" w:cs="宋体"/>
          <w:color w:val="auto"/>
          <w:kern w:val="0"/>
          <w:highlight w:val="none"/>
          <w:lang w:val="zh-CN"/>
        </w:rPr>
        <w:t>。</w:t>
      </w:r>
    </w:p>
    <w:p w14:paraId="63437497">
      <w:pPr>
        <w:spacing w:line="400" w:lineRule="exact"/>
        <w:ind w:firstLine="422" w:firstLineChars="200"/>
        <w:jc w:val="left"/>
        <w:rPr>
          <w:rFonts w:asciiTheme="minorEastAsia" w:hAnsiTheme="minorEastAsia" w:eastAsiaTheme="minorEastAsia" w:cstheme="minorEastAsia"/>
          <w:b/>
          <w:color w:val="auto"/>
          <w:kern w:val="0"/>
          <w:highlight w:val="none"/>
          <w:shd w:val="clear" w:color="auto" w:fill="FFFFFF"/>
        </w:rPr>
      </w:pPr>
      <w:r>
        <w:rPr>
          <w:rFonts w:hint="eastAsia" w:asciiTheme="minorEastAsia" w:hAnsiTheme="minorEastAsia" w:eastAsiaTheme="minorEastAsia" w:cstheme="minorEastAsia"/>
          <w:b/>
          <w:color w:val="auto"/>
          <w:kern w:val="0"/>
          <w:highlight w:val="none"/>
          <w:shd w:val="clear" w:color="auto" w:fill="FFFFFF"/>
        </w:rPr>
        <w:t>11.</w:t>
      </w:r>
      <w:r>
        <w:rPr>
          <w:rFonts w:hint="eastAsia" w:asciiTheme="minorEastAsia" w:hAnsiTheme="minorEastAsia" w:eastAsiaTheme="minorEastAsia" w:cstheme="minorEastAsia"/>
          <w:b/>
          <w:color w:val="auto"/>
          <w:kern w:val="0"/>
          <w:highlight w:val="none"/>
          <w:shd w:val="clear" w:color="auto" w:fill="FFFFFF"/>
          <w:lang w:eastAsia="zh-CN"/>
        </w:rPr>
        <w:t>投标</w:t>
      </w:r>
      <w:r>
        <w:rPr>
          <w:rFonts w:hint="eastAsia" w:asciiTheme="minorEastAsia" w:hAnsiTheme="minorEastAsia" w:eastAsiaTheme="minorEastAsia" w:cstheme="minorEastAsia"/>
          <w:b/>
          <w:color w:val="auto"/>
          <w:kern w:val="0"/>
          <w:highlight w:val="none"/>
          <w:shd w:val="clear" w:color="auto" w:fill="FFFFFF"/>
        </w:rPr>
        <w:t xml:space="preserve">文件的语言及计量单位 </w:t>
      </w:r>
    </w:p>
    <w:p w14:paraId="596870FE">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11.1投标文件以及投标人与采购人就有关投标事宜的所有来往函电，均应以中文汉语书写。除签名、盖章、专用名称等特殊情形外，以中文汉语以外的文字表述的投标文件视同未提供。</w:t>
      </w:r>
    </w:p>
    <w:p w14:paraId="69275C18">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bCs/>
          <w:color w:val="auto"/>
          <w:kern w:val="0"/>
          <w:szCs w:val="21"/>
          <w:highlight w:val="none"/>
        </w:rPr>
        <w:t>11</w:t>
      </w:r>
      <w:r>
        <w:rPr>
          <w:rFonts w:hint="eastAsia" w:ascii="宋体" w:hAnsi="宋体" w:cs="宋体"/>
          <w:color w:val="auto"/>
          <w:kern w:val="0"/>
          <w:szCs w:val="21"/>
          <w:highlight w:val="none"/>
        </w:rPr>
        <w:t>.2除技术性能中另有规定外，投标文件所使用的计量单位，一律使用法定计量单位。</w:t>
      </w:r>
    </w:p>
    <w:p w14:paraId="6C595F3D">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bCs/>
          <w:color w:val="auto"/>
          <w:kern w:val="0"/>
          <w:szCs w:val="21"/>
          <w:highlight w:val="none"/>
        </w:rPr>
        <w:t>11</w:t>
      </w:r>
      <w:r>
        <w:rPr>
          <w:rFonts w:hint="eastAsia" w:ascii="宋体" w:hAnsi="宋体" w:cs="宋体"/>
          <w:color w:val="auto"/>
          <w:kern w:val="0"/>
          <w:szCs w:val="21"/>
          <w:highlight w:val="none"/>
        </w:rPr>
        <w:t>.3招标文件已有明确规定的，使用招标文件规定的计量单位；招标文件没有规定的，应采用中华人民共和国法定计量单位（货币单位：人民币元），否则视同未响应。</w:t>
      </w:r>
    </w:p>
    <w:p w14:paraId="257D189B">
      <w:pPr>
        <w:widowControl/>
        <w:tabs>
          <w:tab w:val="center" w:pos="4771"/>
        </w:tabs>
        <w:spacing w:line="400" w:lineRule="exact"/>
        <w:ind w:firstLine="207" w:firstLineChars="98"/>
        <w:jc w:val="left"/>
        <w:rPr>
          <w:rFonts w:asciiTheme="minorEastAsia" w:hAnsiTheme="minorEastAsia" w:eastAsiaTheme="minorEastAsia" w:cstheme="minorEastAsia"/>
          <w:b/>
          <w:bCs/>
          <w:color w:val="auto"/>
          <w:kern w:val="0"/>
          <w:highlight w:val="none"/>
          <w:shd w:val="clear" w:color="auto" w:fill="FFFFFF"/>
        </w:rPr>
      </w:pPr>
      <w:r>
        <w:rPr>
          <w:rFonts w:hint="eastAsia" w:asciiTheme="minorEastAsia" w:hAnsiTheme="minorEastAsia" w:eastAsiaTheme="minorEastAsia" w:cstheme="minorEastAsia"/>
          <w:b/>
          <w:bCs/>
          <w:color w:val="auto"/>
          <w:kern w:val="0"/>
          <w:highlight w:val="none"/>
          <w:shd w:val="clear" w:color="auto" w:fill="FFFFFF"/>
        </w:rPr>
        <w:t>▲12.</w:t>
      </w:r>
      <w:r>
        <w:rPr>
          <w:rFonts w:hint="eastAsia" w:ascii="宋体" w:hAnsi="宋体" w:cs="宋体"/>
          <w:b/>
          <w:bCs/>
          <w:color w:val="auto"/>
          <w:kern w:val="0"/>
          <w:szCs w:val="21"/>
          <w:highlight w:val="none"/>
        </w:rPr>
        <w:t>投标报价</w:t>
      </w:r>
    </w:p>
    <w:p w14:paraId="6827F260">
      <w:pPr>
        <w:keepNext w:val="0"/>
        <w:keepLines w:val="0"/>
        <w:pageBreakBefore w:val="0"/>
        <w:kinsoku/>
        <w:wordWrap/>
        <w:overflowPunct/>
        <w:topLinePunct w:val="0"/>
        <w:bidi w:val="0"/>
        <w:spacing w:line="400" w:lineRule="exact"/>
        <w:ind w:firstLine="422" w:firstLineChars="200"/>
        <w:jc w:val="left"/>
        <w:textAlignment w:val="auto"/>
        <w:rPr>
          <w:rFonts w:hint="eastAsia" w:ascii="宋体" w:hAnsi="宋体" w:cs="宋体"/>
          <w:b/>
          <w:bCs/>
          <w:smallCaps w:val="0"/>
          <w:color w:val="auto"/>
          <w:spacing w:val="0"/>
          <w:kern w:val="0"/>
          <w:highlight w:val="none"/>
        </w:rPr>
      </w:pPr>
      <w:r>
        <w:rPr>
          <w:rFonts w:hint="eastAsia" w:asciiTheme="minorEastAsia" w:hAnsiTheme="minorEastAsia" w:eastAsiaTheme="minorEastAsia" w:cstheme="minorEastAsia"/>
          <w:b/>
          <w:bCs/>
          <w:smallCaps w:val="0"/>
          <w:color w:val="auto"/>
          <w:spacing w:val="0"/>
          <w:kern w:val="0"/>
          <w:highlight w:val="none"/>
        </w:rPr>
        <w:t>12.1</w:t>
      </w:r>
      <w:r>
        <w:rPr>
          <w:rFonts w:hint="eastAsia" w:ascii="宋体" w:hAnsi="宋体" w:cs="宋体" w:eastAsiaTheme="minorEastAsia"/>
          <w:b/>
          <w:bCs/>
          <w:smallCaps w:val="0"/>
          <w:color w:val="auto"/>
          <w:spacing w:val="0"/>
          <w:kern w:val="0"/>
          <w:highlight w:val="none"/>
          <w:lang w:val="en-US" w:eastAsia="zh-CN"/>
        </w:rPr>
        <w:t>投标人</w:t>
      </w:r>
      <w:r>
        <w:rPr>
          <w:rFonts w:hint="eastAsia" w:ascii="宋体" w:hAnsi="宋体" w:cs="宋体"/>
          <w:b/>
          <w:bCs/>
          <w:smallCaps w:val="0"/>
          <w:color w:val="auto"/>
          <w:spacing w:val="0"/>
          <w:kern w:val="0"/>
          <w:highlight w:val="none"/>
        </w:rPr>
        <w:t>的</w:t>
      </w:r>
      <w:r>
        <w:rPr>
          <w:rFonts w:hint="eastAsia" w:ascii="宋体" w:hAnsi="宋体" w:cs="宋体"/>
          <w:b/>
          <w:bCs/>
          <w:smallCaps w:val="0"/>
          <w:color w:val="auto"/>
          <w:spacing w:val="0"/>
          <w:kern w:val="0"/>
          <w:highlight w:val="none"/>
          <w:lang w:val="en-US" w:eastAsia="zh-CN"/>
        </w:rPr>
        <w:t>投标</w:t>
      </w:r>
      <w:r>
        <w:rPr>
          <w:rFonts w:hint="eastAsia" w:ascii="宋体" w:hAnsi="宋体" w:cs="宋体"/>
          <w:b/>
          <w:bCs/>
          <w:smallCaps w:val="0"/>
          <w:color w:val="auto"/>
          <w:spacing w:val="0"/>
          <w:kern w:val="0"/>
          <w:highlight w:val="none"/>
        </w:rPr>
        <w:t>报价为含税</w:t>
      </w:r>
      <w:r>
        <w:rPr>
          <w:rFonts w:hint="eastAsia" w:ascii="宋体" w:hAnsi="宋体" w:cs="宋体"/>
          <w:b/>
          <w:bCs/>
          <w:smallCaps w:val="0"/>
          <w:color w:val="auto"/>
          <w:spacing w:val="0"/>
          <w:kern w:val="0"/>
          <w:highlight w:val="none"/>
          <w:lang w:val="en-US" w:eastAsia="zh-CN"/>
        </w:rPr>
        <w:t>总价</w:t>
      </w:r>
      <w:r>
        <w:rPr>
          <w:rFonts w:hint="eastAsia" w:ascii="宋体" w:hAnsi="宋体" w:cs="宋体"/>
          <w:b/>
          <w:bCs/>
          <w:smallCaps w:val="0"/>
          <w:color w:val="auto"/>
          <w:spacing w:val="0"/>
          <w:kern w:val="0"/>
          <w:highlight w:val="none"/>
        </w:rPr>
        <w:t>（以人民币为结算单位），</w:t>
      </w:r>
      <w:r>
        <w:rPr>
          <w:rFonts w:hint="eastAsia" w:ascii="宋体" w:hAnsi="宋体" w:cs="宋体"/>
          <w:b/>
          <w:sz w:val="21"/>
          <w:szCs w:val="21"/>
          <w:highlight w:val="none"/>
          <w:u w:val="single"/>
          <w:lang w:eastAsia="zh-CN"/>
        </w:rPr>
        <w:t>投标人报价应包括完成该项目所涉及的全部费用</w:t>
      </w:r>
      <w:r>
        <w:rPr>
          <w:rFonts w:hint="eastAsia" w:ascii="宋体" w:hAnsi="宋体" w:cs="宋体"/>
          <w:b/>
          <w:bCs/>
          <w:smallCaps w:val="0"/>
          <w:color w:val="auto"/>
          <w:spacing w:val="0"/>
          <w:kern w:val="0"/>
          <w:highlight w:val="none"/>
        </w:rPr>
        <w:t>。</w:t>
      </w:r>
      <w:r>
        <w:rPr>
          <w:rFonts w:hint="eastAsia" w:ascii="宋体" w:hAnsi="宋体" w:cs="宋体"/>
          <w:b/>
          <w:bCs/>
          <w:smallCaps w:val="0"/>
          <w:color w:val="auto"/>
          <w:spacing w:val="0"/>
          <w:kern w:val="0"/>
          <w:highlight w:val="none"/>
          <w:lang w:val="en-US" w:eastAsia="zh-CN"/>
        </w:rPr>
        <w:t>投标</w:t>
      </w:r>
      <w:r>
        <w:rPr>
          <w:rFonts w:hint="eastAsia" w:ascii="宋体" w:hAnsi="宋体" w:cs="宋体"/>
          <w:b/>
          <w:bCs/>
          <w:smallCaps w:val="0"/>
          <w:color w:val="auto"/>
          <w:spacing w:val="0"/>
          <w:kern w:val="0"/>
          <w:highlight w:val="none"/>
        </w:rPr>
        <w:t>人的</w:t>
      </w:r>
      <w:r>
        <w:rPr>
          <w:rFonts w:hint="eastAsia" w:ascii="宋体" w:hAnsi="宋体" w:cs="宋体"/>
          <w:b/>
          <w:bCs/>
          <w:smallCaps w:val="0"/>
          <w:color w:val="auto"/>
          <w:spacing w:val="0"/>
          <w:kern w:val="0"/>
          <w:highlight w:val="none"/>
          <w:lang w:val="en-US" w:eastAsia="zh-CN"/>
        </w:rPr>
        <w:t>投标</w:t>
      </w:r>
      <w:r>
        <w:rPr>
          <w:rFonts w:hint="eastAsia" w:ascii="宋体" w:hAnsi="宋体" w:cs="宋体"/>
          <w:b/>
          <w:bCs/>
          <w:smallCaps w:val="0"/>
          <w:color w:val="auto"/>
          <w:spacing w:val="0"/>
          <w:kern w:val="0"/>
          <w:highlight w:val="none"/>
        </w:rPr>
        <w:t>报价为整个采购项目的总报价，如有漏项，视同已包含在其总项目中，合同总价不做调整。</w:t>
      </w:r>
    </w:p>
    <w:p w14:paraId="3D3C5FAD">
      <w:pPr>
        <w:keepNext w:val="0"/>
        <w:keepLines w:val="0"/>
        <w:pageBreakBefore w:val="0"/>
        <w:kinsoku/>
        <w:wordWrap/>
        <w:overflowPunct/>
        <w:topLinePunct w:val="0"/>
        <w:bidi w:val="0"/>
        <w:spacing w:line="400" w:lineRule="exact"/>
        <w:ind w:firstLine="420" w:firstLineChars="200"/>
        <w:jc w:val="left"/>
        <w:textAlignment w:val="auto"/>
        <w:rPr>
          <w:rFonts w:asciiTheme="minorEastAsia" w:hAnsiTheme="minorEastAsia" w:eastAsiaTheme="minorEastAsia" w:cstheme="minorEastAsia"/>
          <w:smallCaps w:val="0"/>
          <w:color w:val="auto"/>
          <w:spacing w:val="0"/>
          <w:kern w:val="0"/>
          <w:highlight w:val="none"/>
        </w:rPr>
      </w:pPr>
      <w:r>
        <w:rPr>
          <w:rFonts w:hint="eastAsia" w:asciiTheme="minorEastAsia" w:hAnsiTheme="minorEastAsia" w:eastAsiaTheme="minorEastAsia" w:cstheme="minorEastAsia"/>
          <w:smallCaps w:val="0"/>
          <w:color w:val="auto"/>
          <w:spacing w:val="0"/>
          <w:kern w:val="0"/>
          <w:highlight w:val="none"/>
        </w:rPr>
        <w:t>12.</w:t>
      </w:r>
      <w:r>
        <w:rPr>
          <w:rFonts w:hint="eastAsia" w:asciiTheme="minorEastAsia" w:hAnsiTheme="minorEastAsia" w:eastAsiaTheme="minorEastAsia" w:cstheme="minorEastAsia"/>
          <w:smallCaps w:val="0"/>
          <w:color w:val="auto"/>
          <w:spacing w:val="0"/>
          <w:kern w:val="0"/>
          <w:highlight w:val="none"/>
          <w:lang w:val="en-US" w:eastAsia="zh-CN"/>
        </w:rPr>
        <w:t>2</w:t>
      </w:r>
      <w:r>
        <w:rPr>
          <w:rFonts w:hint="eastAsia" w:ascii="宋体" w:hAnsi="宋体" w:cs="宋体" w:eastAsiaTheme="minorEastAsia"/>
          <w:smallCaps w:val="0"/>
          <w:color w:val="auto"/>
          <w:spacing w:val="0"/>
          <w:kern w:val="0"/>
          <w:highlight w:val="none"/>
          <w:lang w:val="en-US" w:eastAsia="zh-CN"/>
        </w:rPr>
        <w:t>投标</w:t>
      </w:r>
      <w:r>
        <w:rPr>
          <w:rFonts w:hint="eastAsia" w:ascii="宋体" w:hAnsi="宋体" w:cs="宋体"/>
          <w:smallCaps w:val="0"/>
          <w:color w:val="auto"/>
          <w:spacing w:val="0"/>
          <w:kern w:val="0"/>
          <w:highlight w:val="none"/>
        </w:rPr>
        <w:t>人对《</w:t>
      </w:r>
      <w:r>
        <w:rPr>
          <w:rFonts w:hint="eastAsia" w:ascii="宋体" w:hAnsi="宋体" w:cs="宋体"/>
          <w:smallCaps w:val="0"/>
          <w:color w:val="auto"/>
          <w:spacing w:val="0"/>
          <w:kern w:val="0"/>
          <w:highlight w:val="none"/>
          <w:lang w:val="en-US" w:eastAsia="zh-CN"/>
        </w:rPr>
        <w:t>开标</w:t>
      </w:r>
      <w:r>
        <w:rPr>
          <w:rFonts w:hint="eastAsia" w:ascii="宋体" w:hAnsi="宋体" w:cs="宋体"/>
          <w:smallCaps w:val="0"/>
          <w:color w:val="auto"/>
          <w:spacing w:val="0"/>
          <w:kern w:val="0"/>
          <w:highlight w:val="none"/>
        </w:rPr>
        <w:t>一览表》中的报价只能提出一个不变报价，采购人不接受任何有选择的报价。</w:t>
      </w:r>
    </w:p>
    <w:p w14:paraId="128CB2EA">
      <w:pPr>
        <w:keepNext w:val="0"/>
        <w:keepLines w:val="0"/>
        <w:pageBreakBefore w:val="0"/>
        <w:kinsoku/>
        <w:wordWrap/>
        <w:overflowPunct/>
        <w:topLinePunct w:val="0"/>
        <w:autoSpaceDE/>
        <w:autoSpaceDN/>
        <w:bidi w:val="0"/>
        <w:spacing w:line="400" w:lineRule="exact"/>
        <w:ind w:firstLine="420" w:firstLineChars="200"/>
        <w:jc w:val="left"/>
        <w:textAlignment w:val="auto"/>
        <w:rPr>
          <w:rFonts w:asciiTheme="minorEastAsia" w:hAnsiTheme="minorEastAsia" w:eastAsiaTheme="minorEastAsia" w:cstheme="minorEastAsia"/>
          <w:smallCaps w:val="0"/>
          <w:color w:val="auto"/>
          <w:spacing w:val="0"/>
          <w:kern w:val="0"/>
          <w:highlight w:val="none"/>
        </w:rPr>
      </w:pPr>
      <w:r>
        <w:rPr>
          <w:rFonts w:hint="eastAsia" w:asciiTheme="minorEastAsia" w:hAnsiTheme="minorEastAsia" w:eastAsiaTheme="minorEastAsia" w:cstheme="minorEastAsia"/>
          <w:smallCaps w:val="0"/>
          <w:color w:val="auto"/>
          <w:spacing w:val="0"/>
          <w:kern w:val="0"/>
          <w:highlight w:val="none"/>
        </w:rPr>
        <w:t>12.</w:t>
      </w:r>
      <w:r>
        <w:rPr>
          <w:rFonts w:hint="eastAsia" w:asciiTheme="minorEastAsia" w:hAnsiTheme="minorEastAsia" w:eastAsiaTheme="minorEastAsia" w:cstheme="minorEastAsia"/>
          <w:smallCaps w:val="0"/>
          <w:color w:val="auto"/>
          <w:spacing w:val="0"/>
          <w:kern w:val="0"/>
          <w:highlight w:val="none"/>
          <w:lang w:val="en-US" w:eastAsia="zh-CN"/>
        </w:rPr>
        <w:t>3</w:t>
      </w:r>
      <w:r>
        <w:rPr>
          <w:rFonts w:hint="eastAsia" w:asciiTheme="minorEastAsia" w:hAnsiTheme="minorEastAsia" w:eastAsiaTheme="minorEastAsia" w:cstheme="minorEastAsia"/>
          <w:smallCaps w:val="0"/>
          <w:color w:val="auto"/>
          <w:spacing w:val="0"/>
          <w:kern w:val="0"/>
          <w:highlight w:val="none"/>
        </w:rPr>
        <w:t>文字大写的数据与数字表示有差别，以大写为准。</w:t>
      </w:r>
    </w:p>
    <w:p w14:paraId="3445E5CF">
      <w:pPr>
        <w:spacing w:line="400" w:lineRule="exact"/>
        <w:ind w:firstLine="413" w:firstLineChars="196"/>
        <w:jc w:val="left"/>
        <w:rPr>
          <w:rFonts w:asciiTheme="minorEastAsia" w:hAnsiTheme="minorEastAsia" w:eastAsiaTheme="minorEastAsia" w:cstheme="minorEastAsia"/>
          <w:color w:val="auto"/>
          <w:kern w:val="0"/>
          <w:highlight w:val="none"/>
          <w:shd w:val="clear" w:color="auto" w:fill="FFFFFF"/>
        </w:rPr>
      </w:pPr>
      <w:r>
        <w:rPr>
          <w:rFonts w:hint="eastAsia" w:asciiTheme="minorEastAsia" w:hAnsiTheme="minorEastAsia" w:eastAsiaTheme="minorEastAsia" w:cstheme="minorEastAsia"/>
          <w:b/>
          <w:bCs/>
          <w:color w:val="auto"/>
          <w:kern w:val="0"/>
          <w:highlight w:val="none"/>
          <w:shd w:val="clear" w:color="auto" w:fill="FFFFFF"/>
        </w:rPr>
        <w:t>13.</w:t>
      </w:r>
      <w:r>
        <w:rPr>
          <w:rFonts w:hint="eastAsia" w:asciiTheme="minorEastAsia" w:hAnsiTheme="minorEastAsia" w:eastAsiaTheme="minorEastAsia" w:cstheme="minorEastAsia"/>
          <w:b/>
          <w:bCs/>
          <w:color w:val="auto"/>
          <w:kern w:val="0"/>
          <w:highlight w:val="none"/>
          <w:shd w:val="clear" w:color="auto" w:fill="FFFFFF"/>
          <w:lang w:val="en-US" w:eastAsia="zh-CN"/>
        </w:rPr>
        <w:t>投标</w:t>
      </w:r>
      <w:r>
        <w:rPr>
          <w:rFonts w:hint="eastAsia" w:asciiTheme="minorEastAsia" w:hAnsiTheme="minorEastAsia" w:eastAsiaTheme="minorEastAsia" w:cstheme="minorEastAsia"/>
          <w:b/>
          <w:bCs/>
          <w:color w:val="auto"/>
          <w:kern w:val="0"/>
          <w:highlight w:val="none"/>
          <w:shd w:val="clear" w:color="auto" w:fill="FFFFFF"/>
        </w:rPr>
        <w:t>文件的编写要求</w:t>
      </w:r>
    </w:p>
    <w:p w14:paraId="124BE8BA">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bCs/>
          <w:color w:val="auto"/>
          <w:kern w:val="0"/>
          <w:szCs w:val="21"/>
          <w:highlight w:val="none"/>
        </w:rPr>
        <w:t>13</w:t>
      </w:r>
      <w:r>
        <w:rPr>
          <w:rFonts w:hint="eastAsia" w:ascii="宋体" w:hAnsi="宋体" w:cs="宋体"/>
          <w:color w:val="auto"/>
          <w:kern w:val="0"/>
          <w:szCs w:val="21"/>
          <w:highlight w:val="none"/>
        </w:rPr>
        <w:t>.1投标人应按本招标文件规定的格式和顺序编制投标文件，投标文件内容不完整、编排混乱导致投标文件被误读、漏读或者查找不到相关内容的，为投标人的责任。</w:t>
      </w:r>
    </w:p>
    <w:p w14:paraId="2CDE03B9">
      <w:pPr>
        <w:adjustRightInd w:val="0"/>
        <w:snapToGrid w:val="0"/>
        <w:spacing w:line="400" w:lineRule="exact"/>
        <w:ind w:firstLine="210" w:firstLineChars="100"/>
        <w:rPr>
          <w:rFonts w:hint="eastAsia" w:ascii="宋体" w:hAnsi="宋体" w:cs="宋体"/>
          <w:color w:val="auto"/>
          <w:kern w:val="0"/>
          <w:szCs w:val="21"/>
          <w:highlight w:val="none"/>
        </w:rPr>
      </w:pPr>
      <w:r>
        <w:rPr>
          <w:rFonts w:hint="eastAsia" w:ascii="宋体" w:hAnsi="宋体" w:cs="宋体"/>
          <w:bCs/>
          <w:color w:val="auto"/>
          <w:kern w:val="0"/>
          <w:szCs w:val="21"/>
          <w:highlight w:val="none"/>
        </w:rPr>
        <w:t>▲13</w:t>
      </w:r>
      <w:r>
        <w:rPr>
          <w:rFonts w:hint="eastAsia" w:ascii="宋体" w:hAnsi="宋体" w:cs="宋体"/>
          <w:color w:val="auto"/>
          <w:kern w:val="0"/>
          <w:szCs w:val="21"/>
          <w:highlight w:val="none"/>
        </w:rPr>
        <w:t>.2保证所提供的全部资料的真实性、完整性及有效性，对招标文件作出实质性响应。否则，其投标文件可能被拒绝。</w:t>
      </w:r>
    </w:p>
    <w:p w14:paraId="3387AD33">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14.</w:t>
      </w:r>
      <w:r>
        <w:rPr>
          <w:rFonts w:hint="eastAsia" w:ascii="宋体" w:hAnsi="宋体" w:cs="宋体"/>
          <w:b/>
          <w:color w:val="auto"/>
          <w:kern w:val="0"/>
          <w:szCs w:val="21"/>
          <w:highlight w:val="none"/>
        </w:rPr>
        <w:t>投标文件的制作</w:t>
      </w:r>
    </w:p>
    <w:p w14:paraId="411E7C40">
      <w:pPr>
        <w:adjustRightInd w:val="0"/>
        <w:snapToGrid w:val="0"/>
        <w:spacing w:line="400" w:lineRule="exact"/>
        <w:ind w:firstLine="396" w:firstLineChars="200"/>
        <w:rPr>
          <w:rFonts w:hint="eastAsia" w:ascii="宋体" w:hAnsi="宋体" w:cs="宋体"/>
          <w:bCs/>
          <w:color w:val="auto"/>
          <w:spacing w:val="-6"/>
          <w:szCs w:val="21"/>
          <w:highlight w:val="none"/>
        </w:rPr>
      </w:pPr>
      <w:r>
        <w:rPr>
          <w:rFonts w:hint="eastAsia" w:ascii="宋体" w:hAnsi="宋体" w:cs="宋体"/>
          <w:bCs/>
          <w:color w:val="auto"/>
          <w:spacing w:val="-6"/>
          <w:szCs w:val="21"/>
          <w:highlight w:val="none"/>
        </w:rPr>
        <w:t>投标文件应按“政采云供应商项目采购-电子招投标操作指南”及本招标文件要求制作、加密并递交。</w:t>
      </w:r>
    </w:p>
    <w:p w14:paraId="58CD94A5">
      <w:pPr>
        <w:spacing w:line="400" w:lineRule="exact"/>
        <w:ind w:firstLine="422" w:firstLineChars="200"/>
        <w:jc w:val="left"/>
        <w:rPr>
          <w:rFonts w:hint="eastAsia" w:ascii="宋体" w:hAnsi="宋体" w:cs="宋体"/>
          <w:b/>
          <w:bCs/>
          <w:color w:val="auto"/>
          <w:kern w:val="0"/>
          <w:szCs w:val="21"/>
          <w:highlight w:val="none"/>
        </w:rPr>
      </w:pPr>
      <w:bookmarkStart w:id="42" w:name="_Toc433917264"/>
      <w:bookmarkStart w:id="43" w:name="_Toc393201711"/>
      <w:bookmarkStart w:id="44" w:name="_Toc333842548"/>
      <w:bookmarkStart w:id="45" w:name="_Toc326937534"/>
      <w:bookmarkStart w:id="46" w:name="_Toc358384692"/>
      <w:bookmarkStart w:id="47" w:name="_Toc504642668"/>
      <w:r>
        <w:rPr>
          <w:rFonts w:hint="eastAsia" w:ascii="宋体" w:hAnsi="宋体" w:cs="宋体"/>
          <w:b/>
          <w:bCs/>
          <w:color w:val="auto"/>
          <w:kern w:val="0"/>
          <w:szCs w:val="21"/>
          <w:highlight w:val="none"/>
        </w:rPr>
        <w:t>15.投标的有效期</w:t>
      </w:r>
    </w:p>
    <w:p w14:paraId="72B10DE0">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15.1</w:t>
      </w:r>
      <w:r>
        <w:rPr>
          <w:rFonts w:hint="eastAsia" w:ascii="宋体" w:hAnsi="宋体" w:cs="宋体"/>
          <w:color w:val="auto"/>
          <w:szCs w:val="21"/>
          <w:highlight w:val="none"/>
        </w:rPr>
        <w:t>投标文件提交截止日起90日内。</w:t>
      </w:r>
    </w:p>
    <w:p w14:paraId="43F7E4F5">
      <w:pPr>
        <w:spacing w:line="400" w:lineRule="exact"/>
        <w:ind w:firstLine="420" w:firstLineChars="200"/>
        <w:jc w:val="left"/>
        <w:rPr>
          <w:rFonts w:hint="eastAsia" w:ascii="宋体" w:hAnsi="宋体" w:cs="宋体"/>
          <w:color w:val="auto"/>
          <w:spacing w:val="-8"/>
          <w:kern w:val="0"/>
          <w:szCs w:val="21"/>
          <w:highlight w:val="none"/>
        </w:rPr>
      </w:pPr>
      <w:r>
        <w:rPr>
          <w:rFonts w:hint="eastAsia" w:ascii="宋体" w:hAnsi="宋体" w:cs="宋体"/>
          <w:color w:val="auto"/>
          <w:kern w:val="0"/>
          <w:szCs w:val="21"/>
          <w:highlight w:val="none"/>
        </w:rPr>
        <w:t xml:space="preserve">15.2 </w:t>
      </w:r>
      <w:r>
        <w:rPr>
          <w:rFonts w:hint="eastAsia" w:ascii="宋体" w:hAnsi="宋体" w:cs="宋体"/>
          <w:color w:val="auto"/>
          <w:spacing w:val="-8"/>
          <w:kern w:val="0"/>
          <w:szCs w:val="21"/>
          <w:highlight w:val="none"/>
        </w:rPr>
        <w:t>特殊情况下，采购人可与投标人协商延长投标文件的有效期。</w:t>
      </w:r>
    </w:p>
    <w:bookmarkEnd w:id="42"/>
    <w:bookmarkEnd w:id="43"/>
    <w:bookmarkEnd w:id="44"/>
    <w:bookmarkEnd w:id="45"/>
    <w:bookmarkEnd w:id="46"/>
    <w:bookmarkEnd w:id="47"/>
    <w:p w14:paraId="3A3A845A">
      <w:pPr>
        <w:jc w:val="center"/>
        <w:outlineLvl w:val="2"/>
        <w:rPr>
          <w:rFonts w:hint="eastAsia" w:ascii="宋体" w:hAnsi="宋体" w:cs="宋体"/>
          <w:b/>
          <w:bCs/>
          <w:color w:val="auto"/>
          <w:kern w:val="0"/>
          <w:sz w:val="28"/>
          <w:szCs w:val="28"/>
          <w:highlight w:val="none"/>
        </w:rPr>
      </w:pPr>
      <w:bookmarkStart w:id="48" w:name="_Toc358384693"/>
      <w:bookmarkStart w:id="49" w:name="_Toc326937535"/>
      <w:bookmarkStart w:id="50" w:name="_Toc333842549"/>
      <w:bookmarkStart w:id="51" w:name="_Toc393201712"/>
      <w:bookmarkStart w:id="52" w:name="_Toc504642669"/>
      <w:bookmarkStart w:id="53" w:name="_Toc433917265"/>
      <w:r>
        <w:rPr>
          <w:rFonts w:hint="eastAsia" w:ascii="宋体" w:hAnsi="宋体" w:cs="宋体"/>
          <w:b/>
          <w:bCs/>
          <w:color w:val="auto"/>
          <w:kern w:val="0"/>
          <w:sz w:val="28"/>
          <w:szCs w:val="28"/>
          <w:highlight w:val="none"/>
        </w:rPr>
        <w:t>四、投标文件的递交</w:t>
      </w:r>
    </w:p>
    <w:p w14:paraId="14466C6E">
      <w:pPr>
        <w:spacing w:line="400" w:lineRule="exact"/>
        <w:ind w:firstLine="422" w:firstLineChars="20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16.投标文件的签署</w:t>
      </w:r>
    </w:p>
    <w:p w14:paraId="24E9F72F">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16.1投标文件按“政采云平台供应商项目采购-电子招投标操作指南”</w:t>
      </w:r>
      <w:r>
        <w:rPr>
          <w:rFonts w:hint="eastAsia" w:ascii="宋体" w:hAnsi="宋体" w:cs="宋体"/>
          <w:bCs/>
          <w:color w:val="auto"/>
          <w:szCs w:val="21"/>
          <w:highlight w:val="none"/>
        </w:rPr>
        <w:fldChar w:fldCharType="begin"/>
      </w:r>
      <w:r>
        <w:rPr>
          <w:rFonts w:hint="eastAsia" w:ascii="宋体" w:hAnsi="宋体" w:cs="宋体"/>
          <w:bCs/>
          <w:color w:val="auto"/>
          <w:szCs w:val="21"/>
          <w:highlight w:val="none"/>
        </w:rPr>
        <w:instrText xml:space="preserve"> HYPERLINK "https://help.zcy.gov.cn/web/site_2/2018/12-28/2573.html）及本招标文件规定的格式和顺序编制电子投标文件并进行关联定位。" </w:instrText>
      </w:r>
      <w:r>
        <w:rPr>
          <w:rFonts w:hint="eastAsia" w:ascii="宋体" w:hAnsi="宋体" w:cs="宋体"/>
          <w:bCs/>
          <w:color w:val="auto"/>
          <w:szCs w:val="21"/>
          <w:highlight w:val="none"/>
        </w:rPr>
        <w:fldChar w:fldCharType="separate"/>
      </w:r>
      <w:r>
        <w:rPr>
          <w:rFonts w:hint="eastAsia" w:ascii="宋体" w:hAnsi="宋体" w:cs="宋体"/>
          <w:bCs/>
          <w:color w:val="auto"/>
          <w:szCs w:val="21"/>
          <w:highlight w:val="none"/>
        </w:rPr>
        <w:t>及本招标文件规定的格式和顺序编制投标文件并进行关联定位，投标文件内容不完整、编排混乱、关联错误导致投标文件被误读、漏读或者查找不到相关内容的，是投标人的责任。</w:t>
      </w:r>
      <w:r>
        <w:rPr>
          <w:rFonts w:hint="eastAsia" w:ascii="宋体" w:hAnsi="宋体" w:cs="宋体"/>
          <w:bCs/>
          <w:color w:val="auto"/>
          <w:szCs w:val="21"/>
          <w:highlight w:val="none"/>
        </w:rPr>
        <w:fldChar w:fldCharType="end"/>
      </w:r>
    </w:p>
    <w:p w14:paraId="16023151">
      <w:pPr>
        <w:snapToGrid w:val="0"/>
        <w:spacing w:line="400" w:lineRule="exact"/>
        <w:ind w:firstLine="210" w:firstLineChars="100"/>
        <w:rPr>
          <w:rFonts w:hint="eastAsia" w:ascii="宋体" w:hAnsi="宋体" w:cs="宋体"/>
          <w:bCs/>
          <w:color w:val="auto"/>
          <w:szCs w:val="21"/>
          <w:highlight w:val="none"/>
        </w:rPr>
      </w:pPr>
      <w:r>
        <w:rPr>
          <w:rFonts w:hint="eastAsia" w:ascii="宋体" w:hAnsi="宋体" w:cs="宋体"/>
          <w:bCs/>
          <w:color w:val="auto"/>
          <w:szCs w:val="21"/>
          <w:highlight w:val="none"/>
        </w:rPr>
        <w:t>▲16.2投标文件中须加盖公章部分均采用CA签章。</w:t>
      </w:r>
    </w:p>
    <w:p w14:paraId="1355D609">
      <w:pPr>
        <w:adjustRightInd w:val="0"/>
        <w:snapToGrid w:val="0"/>
        <w:spacing w:line="400" w:lineRule="exact"/>
        <w:ind w:firstLine="422" w:firstLineChars="200"/>
        <w:rPr>
          <w:rFonts w:hint="eastAsia" w:ascii="宋体" w:hAnsi="宋体" w:cs="宋体"/>
          <w:bCs/>
          <w:color w:val="auto"/>
          <w:szCs w:val="21"/>
          <w:highlight w:val="none"/>
        </w:rPr>
      </w:pPr>
      <w:r>
        <w:rPr>
          <w:rFonts w:hint="eastAsia" w:ascii="宋体" w:hAnsi="宋体" w:cs="宋体"/>
          <w:b/>
          <w:bCs/>
          <w:color w:val="auto"/>
          <w:kern w:val="0"/>
          <w:szCs w:val="21"/>
          <w:highlight w:val="none"/>
        </w:rPr>
        <w:t>17.投标截止时间和开标地点</w:t>
      </w:r>
    </w:p>
    <w:p w14:paraId="1342FB26">
      <w:pPr>
        <w:pStyle w:val="32"/>
        <w:tabs>
          <w:tab w:val="left" w:pos="6930"/>
        </w:tabs>
        <w:spacing w:beforeAutospacing="0" w:afterAutospacing="0" w:line="400" w:lineRule="exact"/>
        <w:ind w:firstLine="420" w:firstLineChars="200"/>
        <w:rPr>
          <w:rFonts w:ascii="宋体" w:hAnsi="宋体" w:cs="宋体"/>
          <w:bCs/>
          <w:color w:val="auto"/>
          <w:kern w:val="2"/>
          <w:sz w:val="21"/>
          <w:szCs w:val="21"/>
          <w:highlight w:val="none"/>
        </w:rPr>
      </w:pPr>
      <w:r>
        <w:rPr>
          <w:rFonts w:hint="eastAsia" w:ascii="宋体" w:hAnsi="宋体" w:cs="宋体"/>
          <w:bCs/>
          <w:color w:val="auto"/>
          <w:kern w:val="2"/>
          <w:sz w:val="21"/>
          <w:szCs w:val="21"/>
          <w:highlight w:val="none"/>
        </w:rPr>
        <w:t>17.1截止时间：</w:t>
      </w:r>
      <w:r>
        <w:rPr>
          <w:rFonts w:hint="eastAsia" w:ascii="宋体" w:hAnsi="宋体" w:cs="宋体"/>
          <w:color w:val="auto"/>
          <w:sz w:val="21"/>
          <w:szCs w:val="21"/>
          <w:highlight w:val="none"/>
          <w:u w:val="single"/>
          <w:lang w:val="en-US" w:eastAsia="zh-CN"/>
        </w:rPr>
        <w:t>2026</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5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14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9:00 </w:t>
      </w:r>
      <w:r>
        <w:rPr>
          <w:rFonts w:hint="eastAsia" w:ascii="宋体" w:hAnsi="宋体" w:cs="宋体"/>
          <w:color w:val="auto"/>
          <w:sz w:val="21"/>
          <w:szCs w:val="21"/>
          <w:highlight w:val="none"/>
        </w:rPr>
        <w:t>时（北京时间）</w:t>
      </w:r>
      <w:r>
        <w:rPr>
          <w:rFonts w:hint="eastAsia" w:ascii="宋体" w:hAnsi="宋体" w:cs="宋体"/>
          <w:bCs/>
          <w:color w:val="auto"/>
          <w:kern w:val="2"/>
          <w:sz w:val="21"/>
          <w:szCs w:val="21"/>
          <w:highlight w:val="none"/>
        </w:rPr>
        <w:t>，逾期不受理；</w:t>
      </w:r>
    </w:p>
    <w:p w14:paraId="61EC92C7">
      <w:pPr>
        <w:pStyle w:val="20"/>
        <w:adjustRightInd w:val="0"/>
        <w:snapToGrid w:val="0"/>
        <w:spacing w:line="400" w:lineRule="exact"/>
        <w:ind w:firstLine="420" w:firstLineChars="200"/>
        <w:rPr>
          <w:rFonts w:hAnsi="宋体"/>
          <w:b/>
          <w:strike/>
          <w:color w:val="auto"/>
          <w:highlight w:val="none"/>
        </w:rPr>
      </w:pPr>
      <w:r>
        <w:rPr>
          <w:rFonts w:hint="eastAsia" w:hAnsi="宋体"/>
          <w:bCs/>
          <w:color w:val="auto"/>
          <w:highlight w:val="none"/>
        </w:rPr>
        <w:t>17.2地点：开化县公共资源交易中心开标区(开化县凤凰南路2号5楼)。</w:t>
      </w:r>
    </w:p>
    <w:p w14:paraId="67C03D9B">
      <w:pPr>
        <w:pStyle w:val="8"/>
        <w:spacing w:line="400" w:lineRule="exact"/>
        <w:ind w:firstLine="422" w:firstLineChars="200"/>
        <w:rPr>
          <w:rFonts w:ascii="宋体" w:hAnsi="宋体" w:eastAsia="宋体" w:cs="宋体"/>
          <w:color w:val="auto"/>
          <w:sz w:val="21"/>
          <w:highlight w:val="none"/>
        </w:rPr>
      </w:pPr>
      <w:r>
        <w:rPr>
          <w:rFonts w:hint="eastAsia" w:ascii="宋体" w:hAnsi="宋体" w:eastAsia="宋体" w:cs="宋体"/>
          <w:color w:val="auto"/>
          <w:sz w:val="21"/>
          <w:highlight w:val="none"/>
        </w:rPr>
        <w:t>18.</w:t>
      </w:r>
      <w:r>
        <w:rPr>
          <w:rFonts w:hint="eastAsia" w:ascii="宋体" w:hAnsi="宋体" w:eastAsia="宋体" w:cs="宋体"/>
          <w:color w:val="auto"/>
          <w:sz w:val="21"/>
          <w:highlight w:val="none"/>
          <w:lang w:val="en-US" w:eastAsia="zh-CN"/>
        </w:rPr>
        <w:t>投标</w:t>
      </w:r>
      <w:r>
        <w:rPr>
          <w:rFonts w:hint="eastAsia" w:ascii="宋体" w:hAnsi="宋体" w:eastAsia="宋体" w:cs="宋体"/>
          <w:color w:val="auto"/>
          <w:sz w:val="21"/>
          <w:highlight w:val="none"/>
        </w:rPr>
        <w:t>文件的</w:t>
      </w:r>
      <w:r>
        <w:rPr>
          <w:rFonts w:hint="eastAsia" w:ascii="宋体" w:hAnsi="宋体" w:eastAsia="宋体" w:cs="宋体"/>
          <w:bCs w:val="0"/>
          <w:color w:val="auto"/>
          <w:sz w:val="21"/>
          <w:highlight w:val="none"/>
        </w:rPr>
        <w:t>补充、修改和撤回</w:t>
      </w:r>
    </w:p>
    <w:p w14:paraId="06F2F8E1">
      <w:pPr>
        <w:autoSpaceDE w:val="0"/>
        <w:autoSpaceDN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18.1</w:t>
      </w:r>
      <w:r>
        <w:rPr>
          <w:rFonts w:hint="eastAsia" w:ascii="宋体" w:hAnsi="宋体" w:cs="宋体"/>
          <w:color w:val="auto"/>
          <w:szCs w:val="21"/>
          <w:highlight w:val="none"/>
        </w:rPr>
        <w:t>投标人应当在投标截止时间前完成投标文件的传输递交，投标截止时间前可以补充、修改或者撤回投标文件。补充或者修改投标文件的，应当先行撤回原文件，补充、修改后重新传输递交。投标截止时间前未完成传输的，视为未提供投标文件，投标无效。投标截止时间后递交的投标文件，将被政采云平台拒收。</w:t>
      </w:r>
    </w:p>
    <w:p w14:paraId="684A5A8D">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18.2投标人修改后的投标文件应按原来的规定编制、标记和递交。</w:t>
      </w:r>
    </w:p>
    <w:p w14:paraId="6A0802DA">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18.3在递交投标文件截止期之后，投标人不得对其投标文件做任何修改。</w:t>
      </w:r>
    </w:p>
    <w:p w14:paraId="69847041">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18.4递交投标文件截止期后，投标人不得撤回其投标文件。</w:t>
      </w:r>
    </w:p>
    <w:p w14:paraId="3A05C8F2">
      <w:pPr>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18.5实质上没有响应本文件要求的投标文件将被拒绝。投标人不得通过修正或撤销不合要求的偏离或保留从而使其投标文件成为实质上响应的文件。</w:t>
      </w:r>
    </w:p>
    <w:bookmarkEnd w:id="48"/>
    <w:bookmarkEnd w:id="49"/>
    <w:bookmarkEnd w:id="50"/>
    <w:bookmarkEnd w:id="51"/>
    <w:bookmarkEnd w:id="52"/>
    <w:bookmarkEnd w:id="53"/>
    <w:p w14:paraId="2920C663">
      <w:pPr>
        <w:jc w:val="center"/>
        <w:outlineLvl w:val="2"/>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五、开标、评标和定标</w:t>
      </w:r>
    </w:p>
    <w:p w14:paraId="520634D6">
      <w:pPr>
        <w:spacing w:line="400" w:lineRule="exact"/>
        <w:ind w:firstLine="413" w:firstLineChars="196"/>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19.开评标程序</w:t>
      </w:r>
    </w:p>
    <w:p w14:paraId="567660B1">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19.1采购代理机构将按照招标文件规定的时间、地点和程序组织开标，投标人应派法定代表人或其授权委托人准时参加线上开标会议，无关人员不得进入开标现场。投标人如未准时在线参加的，事后不得对采购相关人员、开标过程和开标结果提出异议。</w:t>
      </w:r>
    </w:p>
    <w:p w14:paraId="052520A4">
      <w:pPr>
        <w:pStyle w:val="20"/>
        <w:snapToGrid w:val="0"/>
        <w:spacing w:line="400" w:lineRule="exact"/>
        <w:ind w:firstLine="413" w:firstLineChars="196"/>
        <w:rPr>
          <w:rFonts w:hint="eastAsia" w:hAnsi="宋体" w:cs="宋体"/>
          <w:b/>
          <w:bCs/>
          <w:color w:val="auto"/>
          <w:szCs w:val="21"/>
          <w:highlight w:val="none"/>
        </w:rPr>
      </w:pPr>
      <w:r>
        <w:rPr>
          <w:rFonts w:hint="eastAsia" w:hAnsi="宋体" w:cs="宋体"/>
          <w:b/>
          <w:color w:val="auto"/>
          <w:szCs w:val="21"/>
          <w:highlight w:val="none"/>
        </w:rPr>
        <w:t>19.</w:t>
      </w:r>
      <w:r>
        <w:rPr>
          <w:rFonts w:hint="eastAsia" w:hAnsi="宋体" w:cs="宋体"/>
          <w:b/>
          <w:color w:val="auto"/>
          <w:szCs w:val="21"/>
          <w:highlight w:val="none"/>
          <w:lang w:val="en-US" w:eastAsia="zh-CN"/>
        </w:rPr>
        <w:t>2</w:t>
      </w:r>
      <w:r>
        <w:rPr>
          <w:rFonts w:hint="eastAsia" w:hAnsi="宋体" w:cs="宋体"/>
          <w:b/>
          <w:bCs/>
          <w:color w:val="auto"/>
          <w:szCs w:val="21"/>
          <w:highlight w:val="none"/>
        </w:rPr>
        <w:t>开标及评审程序</w:t>
      </w:r>
    </w:p>
    <w:p w14:paraId="2A0062FC">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19.2.1采购代理机构落实工作场地、设施，检查录音录像采集设备运行情况，验证电子交易平台是否能正常登录；</w:t>
      </w:r>
    </w:p>
    <w:p w14:paraId="3BF04386">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19.2.2开标由采购代理机构主持，主持人介绍开标现场的人员情况，告知投标人代表相关权利、义务、开评标纪律、应当回避的情形等注意事项；</w:t>
      </w:r>
    </w:p>
    <w:p w14:paraId="6383EBD9">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19.2.3投标截止时，电子交易平台自动提取所有电子投标文件。采购代理机构点击[开始解密]按钮后，投标人用“项目采购-开标评标”功能对投标文件进行在线解密。解密时限为30分钟；</w:t>
      </w:r>
    </w:p>
    <w:p w14:paraId="57C37C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19.2.4投标人应当在解密时限内完成解密，如所有投标人的电子投标文件都已经解密完成的，则电子交易平台自动结束解密。如有任一投标人未解密，电子交易平台会在解密时限截止时自动结束解密；</w:t>
      </w:r>
    </w:p>
    <w:p w14:paraId="6468AE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19.2.5解密时限内未完成解密且按规定提供了备份投标文件的，招标方将拆封其备份投标文件，并导入电子交易平台；</w:t>
      </w:r>
    </w:p>
    <w:p w14:paraId="265142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19.2.6由采购人代表对资格证明文件进行评审，公布资格证明文件评审结果；</w:t>
      </w:r>
    </w:p>
    <w:p w14:paraId="6C70AE9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19.2.7由评标委员会对技术商务文件进行评审，公布商务和技术评审无效投标人名称及理由，有效投标人的商务和技术得分情况；</w:t>
      </w:r>
    </w:p>
    <w:p w14:paraId="6CA97C2A">
      <w:pPr>
        <w:spacing w:line="400" w:lineRule="exact"/>
        <w:ind w:firstLine="420" w:firstLineChars="200"/>
        <w:rPr>
          <w:rFonts w:hint="eastAsia" w:ascii="宋体" w:hAnsi="宋体" w:cs="宋体"/>
          <w:color w:val="auto"/>
          <w:kern w:val="0"/>
          <w:szCs w:val="21"/>
          <w:highlight w:val="none"/>
        </w:rPr>
      </w:pPr>
      <w:r>
        <w:rPr>
          <w:rFonts w:hint="eastAsia" w:ascii="宋体" w:hAnsi="宋体" w:cs="宋体"/>
          <w:bCs/>
          <w:color w:val="auto"/>
          <w:szCs w:val="21"/>
          <w:highlight w:val="none"/>
        </w:rPr>
        <w:t>19.2.8</w:t>
      </w:r>
      <w:r>
        <w:rPr>
          <w:rFonts w:hint="eastAsia" w:ascii="宋体" w:hAnsi="宋体" w:cs="宋体"/>
          <w:color w:val="auto"/>
          <w:kern w:val="0"/>
          <w:szCs w:val="21"/>
          <w:highlight w:val="none"/>
        </w:rPr>
        <w:t>在电子交易平台开启投标人的报价文件信息，投标人对报价信息进行确认。投标人对报价信息不予确认的不影响后续评标过程；</w:t>
      </w:r>
    </w:p>
    <w:p w14:paraId="14A42A13">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19.2.9评标委员会对报价情况进行评审；</w:t>
      </w:r>
    </w:p>
    <w:p w14:paraId="21825589">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19.2.10公布评审结果。</w:t>
      </w:r>
    </w:p>
    <w:p w14:paraId="3E007FAF">
      <w:pPr>
        <w:spacing w:line="400" w:lineRule="exact"/>
        <w:ind w:firstLine="413" w:firstLineChars="196"/>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20.</w:t>
      </w:r>
      <w:r>
        <w:rPr>
          <w:rFonts w:hint="eastAsia" w:ascii="宋体" w:hAnsi="宋体" w:cs="宋体"/>
          <w:b/>
          <w:color w:val="auto"/>
          <w:kern w:val="0"/>
          <w:szCs w:val="21"/>
          <w:highlight w:val="none"/>
        </w:rPr>
        <w:t>组建</w:t>
      </w:r>
      <w:r>
        <w:rPr>
          <w:rFonts w:hint="eastAsia" w:ascii="宋体" w:hAnsi="宋体" w:cs="宋体"/>
          <w:b/>
          <w:bCs/>
          <w:color w:val="auto"/>
          <w:kern w:val="0"/>
          <w:szCs w:val="21"/>
          <w:highlight w:val="none"/>
        </w:rPr>
        <w:t>评标委员会</w:t>
      </w:r>
    </w:p>
    <w:p w14:paraId="7FD1805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20.1评标工作由评标委员会负责，</w:t>
      </w:r>
      <w:r>
        <w:rPr>
          <w:rFonts w:hint="eastAsia" w:ascii="宋体" w:hAnsi="宋体" w:cs="宋体"/>
          <w:color w:val="auto"/>
          <w:szCs w:val="21"/>
          <w:highlight w:val="none"/>
        </w:rPr>
        <w:t>评标委员会由采购人代表和评审专家组成，成员人数为</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人，其中评审专家不得少于成员总数的三分之二。</w:t>
      </w:r>
    </w:p>
    <w:p w14:paraId="45B070B9">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20.2</w:t>
      </w:r>
      <w:r>
        <w:rPr>
          <w:rFonts w:hint="eastAsia" w:ascii="宋体" w:hAnsi="宋体" w:cs="宋体"/>
          <w:color w:val="auto"/>
          <w:szCs w:val="21"/>
          <w:highlight w:val="none"/>
        </w:rPr>
        <w:t>评标组长</w:t>
      </w:r>
      <w:r>
        <w:rPr>
          <w:rFonts w:hint="eastAsia" w:ascii="宋体" w:hAnsi="宋体" w:cs="宋体"/>
          <w:color w:val="auto"/>
          <w:kern w:val="0"/>
          <w:szCs w:val="21"/>
          <w:highlight w:val="none"/>
        </w:rPr>
        <w:t>由</w:t>
      </w:r>
      <w:r>
        <w:rPr>
          <w:rFonts w:hint="eastAsia" w:ascii="宋体" w:hAnsi="宋体" w:cs="宋体"/>
          <w:bCs/>
          <w:color w:val="auto"/>
          <w:kern w:val="0"/>
          <w:szCs w:val="21"/>
          <w:highlight w:val="none"/>
        </w:rPr>
        <w:t>评标委员会</w:t>
      </w:r>
      <w:r>
        <w:rPr>
          <w:rFonts w:hint="eastAsia" w:ascii="宋体" w:hAnsi="宋体" w:cs="宋体"/>
          <w:color w:val="auto"/>
          <w:kern w:val="0"/>
          <w:szCs w:val="21"/>
          <w:highlight w:val="none"/>
        </w:rPr>
        <w:t>成员推荐产生，采购人代表不得担任</w:t>
      </w:r>
      <w:r>
        <w:rPr>
          <w:rFonts w:hint="eastAsia" w:ascii="宋体" w:hAnsi="宋体" w:cs="宋体"/>
          <w:color w:val="auto"/>
          <w:szCs w:val="21"/>
          <w:highlight w:val="none"/>
        </w:rPr>
        <w:t>评标组长。</w:t>
      </w:r>
    </w:p>
    <w:p w14:paraId="03C21C9D">
      <w:pPr>
        <w:spacing w:line="400" w:lineRule="exact"/>
        <w:ind w:firstLine="413" w:firstLineChars="196"/>
        <w:jc w:val="left"/>
        <w:rPr>
          <w:rFonts w:hint="eastAsia" w:ascii="宋体" w:hAnsi="宋体" w:cs="宋体"/>
          <w:b/>
          <w:bCs/>
          <w:iCs/>
          <w:color w:val="auto"/>
          <w:kern w:val="0"/>
          <w:szCs w:val="21"/>
          <w:highlight w:val="none"/>
        </w:rPr>
      </w:pPr>
      <w:r>
        <w:rPr>
          <w:rFonts w:hint="eastAsia" w:ascii="宋体" w:hAnsi="宋体" w:cs="宋体"/>
          <w:b/>
          <w:bCs/>
          <w:iCs/>
          <w:color w:val="auto"/>
          <w:kern w:val="0"/>
          <w:szCs w:val="21"/>
          <w:highlight w:val="none"/>
        </w:rPr>
        <w:t>21.组织评标程序</w:t>
      </w:r>
    </w:p>
    <w:p w14:paraId="435DC72C">
      <w:pPr>
        <w:pStyle w:val="20"/>
        <w:snapToGrid w:val="0"/>
        <w:spacing w:line="400" w:lineRule="exact"/>
        <w:ind w:firstLine="411" w:firstLineChars="196"/>
        <w:rPr>
          <w:rFonts w:hint="eastAsia" w:hAnsi="宋体" w:cs="宋体"/>
          <w:iCs/>
          <w:color w:val="auto"/>
          <w:kern w:val="0"/>
          <w:szCs w:val="21"/>
          <w:highlight w:val="none"/>
        </w:rPr>
      </w:pPr>
      <w:r>
        <w:rPr>
          <w:rFonts w:hint="eastAsia" w:hAnsi="宋体" w:cs="宋体"/>
          <w:iCs/>
          <w:color w:val="auto"/>
          <w:kern w:val="0"/>
          <w:szCs w:val="21"/>
          <w:highlight w:val="none"/>
        </w:rPr>
        <w:t>采购组织机构要按照采购文件规定的时间、地点及程序组织评标，各评审专家及相关人员应参加评审活动并接受核验、签到，无关人员不得进入评审现场。</w:t>
      </w:r>
    </w:p>
    <w:p w14:paraId="30167CFC">
      <w:pPr>
        <w:pStyle w:val="20"/>
        <w:snapToGrid w:val="0"/>
        <w:spacing w:line="400" w:lineRule="exact"/>
        <w:ind w:firstLine="411" w:firstLineChars="196"/>
        <w:rPr>
          <w:rFonts w:hint="eastAsia" w:hAnsi="宋体" w:cs="宋体"/>
          <w:iCs/>
          <w:color w:val="auto"/>
          <w:kern w:val="0"/>
          <w:szCs w:val="21"/>
          <w:highlight w:val="none"/>
        </w:rPr>
      </w:pPr>
      <w:r>
        <w:rPr>
          <w:rFonts w:hint="eastAsia" w:hAnsi="宋体" w:cs="宋体"/>
          <w:iCs/>
          <w:color w:val="auto"/>
          <w:kern w:val="0"/>
          <w:szCs w:val="21"/>
          <w:highlight w:val="none"/>
        </w:rPr>
        <w:t>21.1开启开标场地录音录像采集设备，并确保正常运行。</w:t>
      </w:r>
    </w:p>
    <w:p w14:paraId="3D6B0477">
      <w:pPr>
        <w:pStyle w:val="20"/>
        <w:snapToGrid w:val="0"/>
        <w:spacing w:line="400" w:lineRule="exact"/>
        <w:ind w:firstLine="411" w:firstLineChars="196"/>
        <w:rPr>
          <w:rFonts w:hint="eastAsia" w:hAnsi="宋体" w:cs="宋体"/>
          <w:iCs/>
          <w:color w:val="auto"/>
          <w:kern w:val="0"/>
          <w:szCs w:val="21"/>
          <w:highlight w:val="none"/>
        </w:rPr>
      </w:pPr>
      <w:r>
        <w:rPr>
          <w:rFonts w:hint="eastAsia" w:hAnsi="宋体" w:cs="宋体"/>
          <w:iCs/>
          <w:color w:val="auto"/>
          <w:kern w:val="0"/>
          <w:szCs w:val="21"/>
          <w:highlight w:val="none"/>
        </w:rPr>
        <w:t>21.2按规定统一收缴、保存评标现场相关人员通讯工具。</w:t>
      </w:r>
    </w:p>
    <w:p w14:paraId="44A6D225">
      <w:pPr>
        <w:pStyle w:val="20"/>
        <w:snapToGrid w:val="0"/>
        <w:spacing w:line="400" w:lineRule="exact"/>
        <w:ind w:firstLine="411" w:firstLineChars="196"/>
        <w:rPr>
          <w:rFonts w:hint="eastAsia" w:hAnsi="宋体" w:cs="宋体"/>
          <w:iCs/>
          <w:color w:val="auto"/>
          <w:kern w:val="0"/>
          <w:szCs w:val="21"/>
          <w:highlight w:val="none"/>
        </w:rPr>
      </w:pPr>
      <w:r>
        <w:rPr>
          <w:rFonts w:hint="eastAsia" w:hAnsi="宋体" w:cs="宋体"/>
          <w:iCs/>
          <w:color w:val="auto"/>
          <w:kern w:val="0"/>
          <w:szCs w:val="21"/>
          <w:highlight w:val="none"/>
        </w:rPr>
        <w:t>21.3介绍评审现场的人员情况，宣布评审工作纪律，告知评审人员应当回避情形；组织推选评标委员会组长。</w:t>
      </w:r>
    </w:p>
    <w:p w14:paraId="1019C1E0">
      <w:pPr>
        <w:spacing w:line="400" w:lineRule="exact"/>
        <w:ind w:firstLine="411" w:firstLineChars="196"/>
        <w:jc w:val="left"/>
        <w:rPr>
          <w:rFonts w:hint="eastAsia" w:ascii="宋体" w:hAnsi="宋体" w:cs="宋体"/>
          <w:iCs/>
          <w:color w:val="auto"/>
          <w:kern w:val="0"/>
          <w:szCs w:val="21"/>
          <w:highlight w:val="none"/>
        </w:rPr>
      </w:pPr>
      <w:r>
        <w:rPr>
          <w:rFonts w:hint="eastAsia" w:ascii="宋体" w:hAnsi="宋体" w:cs="宋体"/>
          <w:iCs/>
          <w:color w:val="auto"/>
          <w:kern w:val="0"/>
          <w:szCs w:val="21"/>
          <w:highlight w:val="none"/>
        </w:rPr>
        <w:t>21.4宣读提交投标文件的供应商名单，组织评标委员会各位成员签订纸质形式的《政府采购评审人员廉洁自律承诺书》。</w:t>
      </w:r>
    </w:p>
    <w:p w14:paraId="48FEE556">
      <w:pPr>
        <w:pStyle w:val="20"/>
        <w:snapToGrid w:val="0"/>
        <w:spacing w:line="400" w:lineRule="exact"/>
        <w:ind w:firstLine="420" w:firstLineChars="200"/>
        <w:rPr>
          <w:rFonts w:hint="eastAsia" w:hAnsi="宋体" w:cs="宋体"/>
          <w:iCs/>
          <w:color w:val="auto"/>
          <w:kern w:val="0"/>
          <w:szCs w:val="21"/>
          <w:highlight w:val="none"/>
        </w:rPr>
      </w:pPr>
      <w:r>
        <w:rPr>
          <w:rFonts w:hint="eastAsia" w:hAnsi="宋体" w:cs="宋体"/>
          <w:iCs/>
          <w:color w:val="auto"/>
          <w:kern w:val="0"/>
          <w:szCs w:val="21"/>
          <w:highlight w:val="none"/>
        </w:rPr>
        <w:t>21.5采购人可以在评标前说明项目背景和采购需求，说明内容不得含有歧视性、倾向性意见，不得超出招标文件所述范围。说明应当提交书面材料，并随采购文件一并存档。</w:t>
      </w:r>
    </w:p>
    <w:p w14:paraId="4684FBC0">
      <w:pPr>
        <w:pStyle w:val="20"/>
        <w:snapToGrid w:val="0"/>
        <w:spacing w:line="400" w:lineRule="exact"/>
        <w:ind w:firstLine="420" w:firstLineChars="200"/>
        <w:rPr>
          <w:rFonts w:hint="eastAsia" w:hAnsi="宋体" w:cs="宋体"/>
          <w:bCs/>
          <w:color w:val="auto"/>
          <w:szCs w:val="21"/>
          <w:highlight w:val="none"/>
        </w:rPr>
      </w:pPr>
      <w:r>
        <w:rPr>
          <w:rFonts w:hint="eastAsia" w:hAnsi="宋体" w:cs="宋体"/>
          <w:bCs/>
          <w:color w:val="auto"/>
          <w:szCs w:val="21"/>
          <w:highlight w:val="none"/>
        </w:rPr>
        <w:t>21.6评标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112ABEB1">
      <w:pPr>
        <w:pStyle w:val="20"/>
        <w:snapToGrid w:val="0"/>
        <w:spacing w:line="400" w:lineRule="exact"/>
        <w:ind w:firstLine="420" w:firstLineChars="200"/>
        <w:rPr>
          <w:rFonts w:hint="eastAsia" w:hAnsi="宋体" w:cs="宋体"/>
          <w:bCs/>
          <w:color w:val="auto"/>
          <w:szCs w:val="21"/>
          <w:highlight w:val="none"/>
        </w:rPr>
      </w:pPr>
      <w:r>
        <w:rPr>
          <w:rFonts w:hint="eastAsia" w:hAnsi="宋体" w:cs="宋体"/>
          <w:bCs/>
          <w:color w:val="auto"/>
          <w:szCs w:val="21"/>
          <w:highlight w:val="none"/>
        </w:rPr>
        <w:t>21.7评标委员会对各供应商投标文件的有效性、完整性和响应程度进行审查，确定是否对招标文件作出实质性响应。</w:t>
      </w:r>
    </w:p>
    <w:p w14:paraId="3652D956">
      <w:pPr>
        <w:pStyle w:val="20"/>
        <w:snapToGrid w:val="0"/>
        <w:spacing w:line="400" w:lineRule="exact"/>
        <w:ind w:firstLine="420" w:firstLineChars="200"/>
        <w:rPr>
          <w:rFonts w:hint="eastAsia" w:hAnsi="宋体" w:cs="宋体"/>
          <w:bCs/>
          <w:color w:val="auto"/>
          <w:szCs w:val="21"/>
          <w:highlight w:val="none"/>
        </w:rPr>
      </w:pPr>
      <w:r>
        <w:rPr>
          <w:rFonts w:hint="eastAsia" w:hAnsi="宋体" w:cs="宋体"/>
          <w:bCs/>
          <w:color w:val="auto"/>
          <w:szCs w:val="21"/>
          <w:highlight w:val="none"/>
        </w:rPr>
        <w:t>21.8评标委员会按招标文件规定的评审方法和评审标准，依法独立对供应商投标文件进行评估、比较，并给予评价或打分，不受任何单位和个人的干预。</w:t>
      </w:r>
    </w:p>
    <w:p w14:paraId="3D33E88C">
      <w:pPr>
        <w:pStyle w:val="20"/>
        <w:snapToGrid w:val="0"/>
        <w:spacing w:line="400" w:lineRule="exact"/>
        <w:ind w:firstLine="420" w:firstLineChars="200"/>
        <w:rPr>
          <w:rFonts w:hint="eastAsia" w:hAnsi="宋体" w:cs="宋体"/>
          <w:bCs/>
          <w:color w:val="auto"/>
          <w:szCs w:val="21"/>
          <w:highlight w:val="none"/>
        </w:rPr>
      </w:pPr>
      <w:r>
        <w:rPr>
          <w:rFonts w:hint="eastAsia" w:hAnsi="宋体" w:cs="宋体"/>
          <w:bCs/>
          <w:color w:val="auto"/>
          <w:szCs w:val="21"/>
          <w:highlight w:val="none"/>
        </w:rPr>
        <w:t>21.9评标委员会对各供应商投标文件非实质性内容</w:t>
      </w:r>
      <w:r>
        <w:rPr>
          <w:rFonts w:hint="eastAsia" w:hAnsi="宋体" w:cs="宋体"/>
          <w:bCs/>
          <w:color w:val="auto"/>
          <w:szCs w:val="21"/>
          <w:highlight w:val="none"/>
          <w:lang w:eastAsia="zh-CN"/>
        </w:rPr>
        <w:t>有疑义</w:t>
      </w:r>
      <w:r>
        <w:rPr>
          <w:rFonts w:hint="eastAsia" w:hAnsi="宋体" w:cs="宋体"/>
          <w:bCs/>
          <w:color w:val="auto"/>
          <w:szCs w:val="21"/>
          <w:highlight w:val="none"/>
        </w:rPr>
        <w:t>或异议，或者审查发现明显的文字或计算错误等，及时向评标组长提出。经评标委员会商议认为需要供应商作出必要澄清或说明的，应通过政采云平台线上发送询标函给供应商，供应商应通过政采云平台线上及时作出澄清或说明。询标函及澄清说明文件应作为政府采购项目档案归档留存。</w:t>
      </w:r>
    </w:p>
    <w:p w14:paraId="750DEDDD">
      <w:pPr>
        <w:pStyle w:val="20"/>
        <w:snapToGrid w:val="0"/>
        <w:spacing w:line="400" w:lineRule="exact"/>
        <w:ind w:firstLine="420" w:firstLineChars="200"/>
        <w:rPr>
          <w:rFonts w:hint="eastAsia" w:hAnsi="宋体" w:cs="宋体"/>
          <w:bCs/>
          <w:color w:val="auto"/>
          <w:szCs w:val="21"/>
          <w:highlight w:val="none"/>
        </w:rPr>
      </w:pPr>
      <w:r>
        <w:rPr>
          <w:rFonts w:hint="eastAsia" w:hAnsi="宋体" w:cs="宋体"/>
          <w:bCs/>
          <w:color w:val="auto"/>
          <w:szCs w:val="21"/>
          <w:highlight w:val="none"/>
        </w:rPr>
        <w:t>21.10评标委员会需对采购代理机构唱票或统计的评审结果进行确认，现场监督员应对评审结果签署监督意见。如发现分值汇总计算错误的、分项评分超出评分标准范围、对客观评审因素评分不一致的以及经评标委员会认定评分畸高、畸低的（其总评分偏离平均分30%以上的），应由相关人员当场改正或作出说明；拒不改正又不作说明的，由现场监督员如实记载后存入项目档案资料。</w:t>
      </w:r>
    </w:p>
    <w:p w14:paraId="6FC65472">
      <w:pPr>
        <w:pStyle w:val="20"/>
        <w:snapToGrid w:val="0"/>
        <w:spacing w:line="400" w:lineRule="exact"/>
        <w:ind w:firstLine="420" w:firstLineChars="200"/>
        <w:rPr>
          <w:rFonts w:hint="eastAsia" w:hAnsi="宋体" w:cs="宋体"/>
          <w:bCs/>
          <w:color w:val="auto"/>
          <w:szCs w:val="21"/>
          <w:highlight w:val="none"/>
        </w:rPr>
      </w:pPr>
      <w:r>
        <w:rPr>
          <w:rFonts w:hint="eastAsia" w:hAnsi="宋体" w:cs="宋体"/>
          <w:bCs/>
          <w:color w:val="auto"/>
          <w:szCs w:val="21"/>
          <w:highlight w:val="none"/>
        </w:rPr>
        <w:t xml:space="preserve">21.11评标委员会根据评审汇总情况和招标文件规定确定中标候选供应商排序名单。 </w:t>
      </w:r>
    </w:p>
    <w:p w14:paraId="1A2DB462">
      <w:pPr>
        <w:pStyle w:val="20"/>
        <w:snapToGrid w:val="0"/>
        <w:spacing w:line="400" w:lineRule="exact"/>
        <w:ind w:firstLine="420" w:firstLineChars="200"/>
        <w:rPr>
          <w:rFonts w:hint="eastAsia" w:hAnsi="宋体" w:cs="宋体"/>
          <w:bCs/>
          <w:color w:val="auto"/>
          <w:szCs w:val="21"/>
          <w:highlight w:val="none"/>
        </w:rPr>
      </w:pPr>
      <w:r>
        <w:rPr>
          <w:rFonts w:hint="eastAsia" w:hAnsi="宋体" w:cs="宋体"/>
          <w:bCs/>
          <w:color w:val="auto"/>
          <w:szCs w:val="21"/>
          <w:highlight w:val="none"/>
        </w:rPr>
        <w:t>21.12起草评标报告，所有评标委员会须在评标报告上签字确认。</w:t>
      </w:r>
    </w:p>
    <w:p w14:paraId="2D1B08F0">
      <w:pPr>
        <w:spacing w:line="400" w:lineRule="exact"/>
        <w:ind w:firstLine="413" w:firstLineChars="196"/>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22.评标原则</w:t>
      </w:r>
    </w:p>
    <w:p w14:paraId="6FB8FC2E">
      <w:pPr>
        <w:pStyle w:val="20"/>
        <w:snapToGrid w:val="0"/>
        <w:spacing w:line="400" w:lineRule="exact"/>
        <w:ind w:firstLine="420" w:firstLineChars="200"/>
        <w:rPr>
          <w:rFonts w:hint="eastAsia" w:hAnsi="宋体" w:cs="宋体"/>
          <w:color w:val="auto"/>
          <w:szCs w:val="21"/>
          <w:highlight w:val="none"/>
        </w:rPr>
      </w:pPr>
      <w:r>
        <w:rPr>
          <w:rFonts w:hint="eastAsia" w:hAnsi="宋体" w:cs="宋体"/>
          <w:color w:val="auto"/>
          <w:szCs w:val="21"/>
          <w:highlight w:val="none"/>
        </w:rPr>
        <w:t>22.1评标委员会必须公平、公正、客观，不带任何倾向性和启发性；不得向外界透露任何与评标有关的内容；任何单位和个人不得干扰、影响评标的正常进行；评标委员会及有关工作人员不得私下与投标人接触。</w:t>
      </w:r>
    </w:p>
    <w:p w14:paraId="42E37E74">
      <w:pPr>
        <w:pStyle w:val="20"/>
        <w:snapToGrid w:val="0"/>
        <w:spacing w:line="400" w:lineRule="exact"/>
        <w:ind w:firstLine="411" w:firstLineChars="196"/>
        <w:rPr>
          <w:rFonts w:hint="eastAsia" w:hAnsi="宋体" w:cs="宋体"/>
          <w:bCs/>
          <w:color w:val="auto"/>
          <w:szCs w:val="21"/>
          <w:highlight w:val="none"/>
        </w:rPr>
      </w:pPr>
      <w:r>
        <w:rPr>
          <w:rFonts w:hint="eastAsia" w:hAnsi="宋体" w:cs="宋体"/>
          <w:bCs/>
          <w:color w:val="auto"/>
          <w:szCs w:val="21"/>
          <w:highlight w:val="none"/>
        </w:rPr>
        <w:t>22.2</w:t>
      </w:r>
      <w:r>
        <w:rPr>
          <w:rFonts w:hint="eastAsia" w:hAnsi="宋体" w:cs="宋体"/>
          <w:color w:val="auto"/>
          <w:szCs w:val="21"/>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r>
        <w:rPr>
          <w:rFonts w:hint="eastAsia" w:hAnsi="宋体" w:cs="宋体"/>
          <w:bCs/>
          <w:color w:val="auto"/>
          <w:szCs w:val="21"/>
          <w:highlight w:val="none"/>
        </w:rPr>
        <w:t>，由更换后的评标委员会重新进行评审。</w:t>
      </w:r>
      <w:r>
        <w:rPr>
          <w:rFonts w:hint="eastAsia" w:hAnsi="宋体" w:cs="宋体"/>
          <w:color w:val="auto"/>
          <w:szCs w:val="21"/>
          <w:highlight w:val="none"/>
        </w:rPr>
        <w:t>无法及时补足评标委员会成员的，应当停止评标活动，封存所有投标文件和开标、评标资料</w:t>
      </w:r>
      <w:r>
        <w:rPr>
          <w:rFonts w:hint="eastAsia" w:hAnsi="宋体" w:cs="宋体"/>
          <w:bCs/>
          <w:color w:val="auto"/>
          <w:szCs w:val="21"/>
          <w:highlight w:val="none"/>
        </w:rPr>
        <w:t>，并告知供应商择期重新评审的时间和地点。</w:t>
      </w:r>
    </w:p>
    <w:p w14:paraId="57DD6630">
      <w:pPr>
        <w:pStyle w:val="20"/>
        <w:snapToGrid w:val="0"/>
        <w:spacing w:line="400" w:lineRule="exact"/>
        <w:ind w:firstLine="411" w:firstLineChars="196"/>
        <w:rPr>
          <w:rFonts w:hint="eastAsia" w:hAnsi="宋体" w:cs="宋体"/>
          <w:bCs/>
          <w:color w:val="auto"/>
          <w:szCs w:val="21"/>
          <w:highlight w:val="none"/>
        </w:rPr>
      </w:pPr>
      <w:r>
        <w:rPr>
          <w:rFonts w:hint="eastAsia" w:hAnsi="宋体" w:cs="宋体"/>
          <w:bCs/>
          <w:color w:val="auto"/>
          <w:szCs w:val="21"/>
          <w:highlight w:val="none"/>
        </w:rPr>
        <w:t>22.3评标委员会判断投标文件的响应性，仅基于投标文件本身而不靠外部证据。</w:t>
      </w:r>
    </w:p>
    <w:p w14:paraId="4D766690">
      <w:pPr>
        <w:pStyle w:val="20"/>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财政部令第87号《政府采购货物和服务招标投标管理办法》第三十一条规定：使用综合评分法的采购项目，提供相同品牌产品</w:t>
      </w:r>
      <w:r>
        <w:rPr>
          <w:rFonts w:hint="eastAsia" w:hAnsi="宋体" w:eastAsia="宋体" w:cs="宋体"/>
          <w:color w:val="auto"/>
          <w:sz w:val="21"/>
          <w:szCs w:val="21"/>
          <w:highlight w:val="none"/>
          <w:lang w:eastAsia="zh-CN"/>
        </w:rPr>
        <w:t>（指核心产品）</w:t>
      </w:r>
      <w:r>
        <w:rPr>
          <w:rFonts w:hint="eastAsia" w:ascii="宋体" w:hAnsi="宋体" w:eastAsia="宋体" w:cs="宋体"/>
          <w:color w:val="auto"/>
          <w:sz w:val="21"/>
          <w:szCs w:val="21"/>
          <w:highlight w:val="none"/>
        </w:rPr>
        <w:t>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F89E3B2">
      <w:pPr>
        <w:pStyle w:val="20"/>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非单一产品采购项目，采购人应当根据采购项目技术构成、产品价格比重等合理确定核心产品，并在招标文件中载明。多家投标人提供的核心产品品牌相同的，按前款规定处理。</w:t>
      </w:r>
    </w:p>
    <w:p w14:paraId="34949252">
      <w:pPr>
        <w:pStyle w:val="20"/>
        <w:keepNext w:val="0"/>
        <w:keepLines w:val="0"/>
        <w:pageBreakBefore w:val="0"/>
        <w:widowControl w:val="0"/>
        <w:kinsoku/>
        <w:wordWrap/>
        <w:overflowPunct/>
        <w:topLinePunct w:val="0"/>
        <w:autoSpaceDE/>
        <w:autoSpaceDN/>
        <w:bidi w:val="0"/>
        <w:adjustRightInd/>
        <w:snapToGrid/>
        <w:spacing w:line="400" w:lineRule="exact"/>
        <w:ind w:firstLine="413" w:firstLineChars="196"/>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22.5</w:t>
      </w:r>
      <w:r>
        <w:rPr>
          <w:rFonts w:hint="eastAsia" w:ascii="宋体" w:hAnsi="宋体" w:eastAsia="宋体" w:cs="宋体"/>
          <w:b/>
          <w:bCs/>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7696117">
      <w:pPr>
        <w:pStyle w:val="20"/>
        <w:keepLines w:val="0"/>
        <w:pageBreakBefore w:val="0"/>
        <w:kinsoku/>
        <w:wordWrap/>
        <w:overflowPunct/>
        <w:topLinePunct w:val="0"/>
        <w:bidi w:val="0"/>
        <w:spacing w:line="400" w:lineRule="exact"/>
        <w:ind w:firstLine="413" w:firstLineChars="196"/>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22.6</w:t>
      </w:r>
      <w:r>
        <w:rPr>
          <w:rFonts w:hint="eastAsia" w:ascii="宋体" w:hAnsi="宋体" w:eastAsia="宋体" w:cs="宋体"/>
          <w:b/>
          <w:bCs/>
          <w:color w:val="auto"/>
          <w:highlight w:val="none"/>
          <w:lang w:eastAsia="zh-CN"/>
        </w:rPr>
        <w:t>政府采购评审中出现下列情形之一的，评标委员会应当启动异常低价响应审查程序：（一）响应报价低于全部通过符合性审查供应商响应报价平均值50%的，即响应报价&lt;全部通过符合性审查供应商响应报价平均值×50%；（二）响应报价低于通过符合性审查且报价次低供应商响应报价50%的，即响应报价&lt;通过符合性审查且报价次低供应商响应报价×50%；（三）响应报价低于采购项目最高限价45%的，即响应报价&lt;采购项目最高限价×45%；（四）其他评标委员会认为供应商报价过低，有可能影响产品质量或者不能诚信履约的情形。</w:t>
      </w:r>
    </w:p>
    <w:p w14:paraId="44E2303A">
      <w:pPr>
        <w:pStyle w:val="20"/>
        <w:keepLines w:val="0"/>
        <w:pageBreakBefore w:val="0"/>
        <w:kinsoku/>
        <w:wordWrap/>
        <w:overflowPunct/>
        <w:topLinePunct w:val="0"/>
        <w:bidi w:val="0"/>
        <w:snapToGrid w:val="0"/>
        <w:spacing w:line="400" w:lineRule="exact"/>
        <w:ind w:firstLine="413" w:firstLineChars="196"/>
        <w:textAlignment w:val="auto"/>
        <w:rPr>
          <w:rFonts w:hint="eastAsia" w:hAnsi="宋体" w:cs="宋体"/>
          <w:b/>
          <w:bCs/>
          <w:color w:val="auto"/>
          <w:szCs w:val="21"/>
          <w:highlight w:val="none"/>
        </w:rPr>
      </w:pPr>
      <w:r>
        <w:rPr>
          <w:rFonts w:hint="eastAsia" w:ascii="宋体" w:hAnsi="宋体" w:eastAsia="宋体" w:cs="宋体"/>
          <w:b/>
          <w:bCs/>
          <w:color w:val="auto"/>
          <w:highlight w:val="none"/>
          <w:lang w:eastAsia="zh-CN"/>
        </w:rPr>
        <w:t>评标委员会启动异常低价响应审查后，应当要求相关供应商在评审现场合理的时间内提供书面说明及必要的证明材料，对响应价格作出解释。书面说明、证明材料主要是项目具体成本测算等与报价合理性相关的说明、材料。如果</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lang w:eastAsia="zh-CN"/>
        </w:rPr>
        <w:t>供应商不提供书面说明、证明材料，或者提供的书面说明、证明材料不能证</w:t>
      </w:r>
      <w:r>
        <w:rPr>
          <w:rFonts w:hint="eastAsia" w:ascii="宋体" w:hAnsi="宋体" w:eastAsia="宋体" w:cs="宋体"/>
          <w:b/>
          <w:bCs/>
          <w:color w:val="auto"/>
          <w:highlight w:val="none"/>
          <w:lang w:val="en-US" w:eastAsia="zh-CN"/>
        </w:rPr>
        <w:t>明其报价合理性的，应当将其作为无效响应处理。</w:t>
      </w:r>
    </w:p>
    <w:p w14:paraId="74233773">
      <w:pPr>
        <w:pStyle w:val="20"/>
        <w:snapToGrid w:val="0"/>
        <w:spacing w:line="400" w:lineRule="exact"/>
        <w:ind w:firstLine="411" w:firstLineChars="196"/>
        <w:rPr>
          <w:rFonts w:hint="eastAsia" w:hAnsi="宋体" w:cs="宋体"/>
          <w:color w:val="auto"/>
          <w:szCs w:val="21"/>
          <w:highlight w:val="none"/>
        </w:rPr>
      </w:pPr>
      <w:r>
        <w:rPr>
          <w:rFonts w:hint="eastAsia" w:hAnsi="宋体" w:cs="宋体"/>
          <w:bCs/>
          <w:color w:val="auto"/>
          <w:szCs w:val="21"/>
          <w:highlight w:val="none"/>
        </w:rPr>
        <w:t>22.</w:t>
      </w:r>
      <w:r>
        <w:rPr>
          <w:rFonts w:hint="eastAsia" w:hAnsi="宋体" w:cs="宋体"/>
          <w:bCs/>
          <w:color w:val="auto"/>
          <w:szCs w:val="21"/>
          <w:highlight w:val="none"/>
          <w:lang w:val="en-US" w:eastAsia="zh-CN"/>
        </w:rPr>
        <w:t>7</w:t>
      </w:r>
      <w:r>
        <w:rPr>
          <w:rFonts w:hint="eastAsia" w:hAnsi="宋体" w:cs="宋体"/>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7D2B625F">
      <w:pPr>
        <w:pStyle w:val="20"/>
        <w:snapToGrid w:val="0"/>
        <w:spacing w:line="400" w:lineRule="exact"/>
        <w:ind w:firstLine="420" w:firstLineChars="200"/>
        <w:rPr>
          <w:rFonts w:hint="eastAsia" w:hAnsi="宋体" w:cs="宋体"/>
          <w:bCs/>
          <w:color w:val="auto"/>
          <w:szCs w:val="21"/>
          <w:highlight w:val="none"/>
        </w:rPr>
      </w:pPr>
      <w:r>
        <w:rPr>
          <w:rFonts w:hint="eastAsia" w:hAnsi="宋体" w:cs="宋体"/>
          <w:bCs/>
          <w:color w:val="auto"/>
          <w:szCs w:val="21"/>
          <w:highlight w:val="none"/>
        </w:rPr>
        <w:t>22.</w:t>
      </w:r>
      <w:r>
        <w:rPr>
          <w:rFonts w:hint="eastAsia" w:hAnsi="宋体" w:cs="宋体"/>
          <w:bCs/>
          <w:color w:val="auto"/>
          <w:szCs w:val="21"/>
          <w:highlight w:val="none"/>
          <w:lang w:val="en-US" w:eastAsia="zh-CN"/>
        </w:rPr>
        <w:t>8</w:t>
      </w:r>
      <w:r>
        <w:rPr>
          <w:rFonts w:hint="eastAsia" w:hAnsi="宋体" w:cs="宋体"/>
          <w:bCs/>
          <w:color w:val="auto"/>
          <w:szCs w:val="21"/>
          <w:highlight w:val="none"/>
        </w:rPr>
        <w:t>评标委员会发现招标文件存在歧义、重大缺陷导致评标工作无法进行，或者招标文件内容违反国家有关强制性规定的，应当停止评标工作，与采购人或者采购代理机构沟通并作书面记录。</w:t>
      </w:r>
    </w:p>
    <w:p w14:paraId="3215D3FF">
      <w:pPr>
        <w:spacing w:line="400" w:lineRule="exact"/>
        <w:ind w:firstLine="413" w:firstLineChars="196"/>
        <w:jc w:val="left"/>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23.投标文件的澄清</w:t>
      </w:r>
    </w:p>
    <w:p w14:paraId="4B08664C">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szCs w:val="21"/>
          <w:highlight w:val="none"/>
        </w:rPr>
        <w:t>对于投标文件中含义不明确、同类问题表述不一致或者有明显文字和计算错误的内容，评标委员会应当以通过政采云平台线上发出询标函要求投标人作出必要的澄清、说明或者补正。</w:t>
      </w:r>
    </w:p>
    <w:p w14:paraId="46A27076">
      <w:pPr>
        <w:spacing w:line="40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23.2投标人的澄清、说明或者补正应当采用政采云平台线上发送，并加盖CA签章。投标人的澄清、说明或者补正不得超出投标文件的范围或者改变投标文件的实质性内容。</w:t>
      </w:r>
    </w:p>
    <w:p w14:paraId="618EA868">
      <w:pPr>
        <w:spacing w:line="400" w:lineRule="exact"/>
        <w:ind w:firstLine="413" w:firstLineChars="196"/>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24.错误修正</w:t>
      </w:r>
    </w:p>
    <w:p w14:paraId="47F4AA3A">
      <w:pPr>
        <w:spacing w:line="40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电子交易平台客户端里开标一览表录入的投标报价信息与扫描上传的报价文件不一致的，以扫描上传的报价文件为准。</w:t>
      </w:r>
    </w:p>
    <w:p w14:paraId="1A19946D">
      <w:pPr>
        <w:pStyle w:val="14"/>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投标文件报价出现前后不一致的，按照下列规定修正：</w:t>
      </w:r>
    </w:p>
    <w:p w14:paraId="17A2CBC4">
      <w:pPr>
        <w:pStyle w:val="14"/>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（一）投标文件中开标一览表（报价表）内容与投标文件中相应内容不一致的，以开标一览表（报价表）为准；</w:t>
      </w:r>
    </w:p>
    <w:p w14:paraId="4D01A5A1">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（二）大写金额和小写金额不一致的，以大写金额为准；</w:t>
      </w:r>
    </w:p>
    <w:p w14:paraId="1CB911FF">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（三）单价金额小数点或者百分比有明显错位的，以开标一览表的总价为准，并修改单价；</w:t>
      </w:r>
    </w:p>
    <w:p w14:paraId="51AB725F">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（四）总价金额与按单价汇总金额不一致的，以单价金额计算结果为准。</w:t>
      </w:r>
    </w:p>
    <w:p w14:paraId="7E48326F">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同时出现两种以上不一致的，按照前款规定的顺序修正。修正后的报价经投标人确认后产生约束力，投标人不确认的，其投标无效。</w:t>
      </w:r>
    </w:p>
    <w:p w14:paraId="4947DED2">
      <w:pPr>
        <w:spacing w:line="40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25.采购过程中的异常情况及处理措施</w:t>
      </w:r>
    </w:p>
    <w:p w14:paraId="2A5D987E">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采购过程中出现以下情形，导致电子交易平台无法正常运行，或者无法保证电子交易的公平、公正和安全时，采购人可中止电子交易活动：</w:t>
      </w:r>
    </w:p>
    <w:p w14:paraId="34FAC726">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1.电子交易平台发生故障而无法登录访问的；</w:t>
      </w:r>
    </w:p>
    <w:p w14:paraId="546AF619">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2D6D6792">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71B6B5EC">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4.病毒发作导致不能进行正常操作的；</w:t>
      </w:r>
    </w:p>
    <w:p w14:paraId="50BC2A9A">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7C0C618A">
      <w:pPr>
        <w:spacing w:line="400" w:lineRule="exact"/>
        <w:ind w:firstLine="420" w:firstLineChars="200"/>
        <w:jc w:val="left"/>
        <w:rPr>
          <w:rFonts w:hint="eastAsia"/>
          <w:color w:val="auto"/>
          <w:highlight w:val="none"/>
        </w:rPr>
      </w:pPr>
      <w:r>
        <w:rPr>
          <w:rFonts w:hint="eastAsia" w:ascii="宋体" w:hAnsi="宋体" w:cs="宋体"/>
          <w:color w:val="auto"/>
          <w:szCs w:val="21"/>
          <w:highlight w:val="none"/>
        </w:rPr>
        <w:t>出现前款规定情形，不影响采购公平、公正性的，采购人可以待上述情形消除后继续组织电子交易活动，也可以决定某些环节以纸质形式进行；影响或可能影响采购公平、公正性的，应当重新采购。</w:t>
      </w:r>
    </w:p>
    <w:p w14:paraId="25922916">
      <w:pPr>
        <w:spacing w:line="400" w:lineRule="exact"/>
        <w:ind w:firstLine="413" w:firstLineChars="196"/>
        <w:rPr>
          <w:rFonts w:asciiTheme="minorEastAsia" w:hAnsiTheme="minorEastAsia" w:eastAsiaTheme="minorEastAsia" w:cstheme="minorEastAsia"/>
          <w:color w:val="auto"/>
          <w:kern w:val="0"/>
          <w:highlight w:val="none"/>
          <w:shd w:val="clear" w:color="auto" w:fill="FFFFFF"/>
        </w:rPr>
      </w:pPr>
      <w:r>
        <w:rPr>
          <w:rFonts w:hint="eastAsia" w:asciiTheme="minorEastAsia" w:hAnsiTheme="minorEastAsia" w:eastAsiaTheme="minorEastAsia" w:cstheme="minorEastAsia"/>
          <w:b/>
          <w:bCs/>
          <w:color w:val="auto"/>
          <w:kern w:val="0"/>
          <w:highlight w:val="none"/>
          <w:shd w:val="clear" w:color="auto" w:fill="FFFFFF"/>
        </w:rPr>
        <w:t>2</w:t>
      </w:r>
      <w:r>
        <w:rPr>
          <w:rFonts w:hint="eastAsia" w:asciiTheme="minorEastAsia" w:hAnsiTheme="minorEastAsia" w:eastAsiaTheme="minorEastAsia" w:cstheme="minorEastAsia"/>
          <w:b/>
          <w:bCs/>
          <w:color w:val="auto"/>
          <w:kern w:val="0"/>
          <w:highlight w:val="none"/>
          <w:shd w:val="clear" w:color="auto" w:fill="FFFFFF"/>
          <w:lang w:val="en-US" w:eastAsia="zh-CN"/>
        </w:rPr>
        <w:t>6</w:t>
      </w:r>
      <w:r>
        <w:rPr>
          <w:rFonts w:hint="eastAsia" w:asciiTheme="minorEastAsia" w:hAnsiTheme="minorEastAsia" w:eastAsiaTheme="minorEastAsia" w:cstheme="minorEastAsia"/>
          <w:b/>
          <w:bCs/>
          <w:color w:val="auto"/>
          <w:kern w:val="0"/>
          <w:highlight w:val="none"/>
          <w:shd w:val="clear" w:color="auto" w:fill="FFFFFF"/>
        </w:rPr>
        <w:t>.</w:t>
      </w:r>
      <w:r>
        <w:rPr>
          <w:rFonts w:hint="eastAsia" w:ascii="宋体" w:hAnsi="宋体" w:cs="宋体"/>
          <w:b/>
          <w:bCs/>
          <w:color w:val="auto"/>
          <w:kern w:val="0"/>
          <w:szCs w:val="21"/>
          <w:highlight w:val="none"/>
        </w:rPr>
        <w:t>评审方法</w:t>
      </w:r>
    </w:p>
    <w:p w14:paraId="57B5E83A">
      <w:pPr>
        <w:spacing w:line="400" w:lineRule="exact"/>
        <w:ind w:firstLine="420" w:firstLineChars="200"/>
        <w:rPr>
          <w:rFonts w:hint="eastAsia" w:ascii="宋体" w:hAnsi="宋体" w:cs="宋体"/>
          <w:color w:val="auto"/>
          <w:szCs w:val="21"/>
          <w:highlight w:val="none"/>
        </w:rPr>
      </w:pPr>
      <w:r>
        <w:rPr>
          <w:rFonts w:hint="eastAsia" w:asciiTheme="minorEastAsia" w:hAnsiTheme="minorEastAsia" w:eastAsiaTheme="minorEastAsia" w:cstheme="minorEastAsia"/>
          <w:color w:val="auto"/>
          <w:kern w:val="0"/>
          <w:highlight w:val="none"/>
        </w:rPr>
        <w:t>2</w:t>
      </w:r>
      <w:r>
        <w:rPr>
          <w:rFonts w:hint="eastAsia" w:asciiTheme="minorEastAsia" w:hAnsiTheme="minorEastAsia" w:eastAsiaTheme="minorEastAsia" w:cstheme="minorEastAsia"/>
          <w:color w:val="auto"/>
          <w:kern w:val="0"/>
          <w:highlight w:val="none"/>
          <w:lang w:val="en-US" w:eastAsia="zh-CN"/>
        </w:rPr>
        <w:t>6</w:t>
      </w:r>
      <w:r>
        <w:rPr>
          <w:rFonts w:hint="eastAsia" w:asciiTheme="minorEastAsia" w:hAnsiTheme="minorEastAsia" w:eastAsiaTheme="minorEastAsia" w:cstheme="minorEastAsia"/>
          <w:color w:val="auto"/>
          <w:kern w:val="0"/>
          <w:highlight w:val="none"/>
        </w:rPr>
        <w:t>.1</w:t>
      </w:r>
      <w:r>
        <w:rPr>
          <w:rFonts w:hint="eastAsia" w:ascii="宋体" w:hAnsi="宋体" w:cs="宋体"/>
          <w:color w:val="auto"/>
          <w:kern w:val="0"/>
          <w:szCs w:val="21"/>
          <w:highlight w:val="none"/>
        </w:rPr>
        <w:t>本项目</w:t>
      </w:r>
      <w:r>
        <w:rPr>
          <w:rFonts w:hint="eastAsia" w:asciiTheme="minorEastAsia" w:hAnsiTheme="minorEastAsia" w:eastAsiaTheme="minorEastAsia" w:cstheme="minorEastAsia"/>
          <w:color w:val="auto"/>
          <w:highlight w:val="none"/>
        </w:rPr>
        <w:t>采用综合评分法，满分为100分，其中报价分值</w:t>
      </w:r>
      <w:r>
        <w:rPr>
          <w:rFonts w:hint="eastAsia" w:asciiTheme="minorEastAsia" w:hAnsiTheme="minorEastAsia" w:eastAsiaTheme="minorEastAsia" w:cstheme="minorEastAsia"/>
          <w:color w:val="auto"/>
          <w:highlight w:val="none"/>
          <w:lang w:val="en-US" w:eastAsia="zh-CN"/>
        </w:rPr>
        <w:t>20分</w:t>
      </w:r>
      <w:r>
        <w:rPr>
          <w:rFonts w:hint="eastAsia" w:asciiTheme="minorEastAsia" w:hAnsiTheme="minorEastAsia" w:eastAsiaTheme="minorEastAsia" w:cstheme="minorEastAsia"/>
          <w:color w:val="auto"/>
          <w:highlight w:val="none"/>
        </w:rPr>
        <w:t>，技术商务等分值</w:t>
      </w:r>
      <w:r>
        <w:rPr>
          <w:rFonts w:hint="eastAsia" w:asciiTheme="minorEastAsia" w:hAnsiTheme="minorEastAsia" w:eastAsiaTheme="minorEastAsia" w:cstheme="minorEastAsia"/>
          <w:color w:val="auto"/>
          <w:highlight w:val="none"/>
          <w:lang w:val="en-US" w:eastAsia="zh-CN"/>
        </w:rPr>
        <w:t>80</w:t>
      </w:r>
      <w:r>
        <w:rPr>
          <w:rFonts w:hint="eastAsia" w:asciiTheme="minorEastAsia" w:hAnsiTheme="minorEastAsia" w:eastAsiaTheme="minorEastAsia" w:cstheme="minorEastAsia"/>
          <w:color w:val="auto"/>
          <w:highlight w:val="none"/>
        </w:rPr>
        <w:t>分。</w:t>
      </w:r>
      <w:r>
        <w:rPr>
          <w:rFonts w:hint="eastAsia" w:ascii="宋体" w:hAnsi="宋体" w:cs="宋体"/>
          <w:color w:val="auto"/>
          <w:kern w:val="0"/>
          <w:szCs w:val="21"/>
          <w:highlight w:val="none"/>
        </w:rPr>
        <w:t>评分过程中采用四舍五入法，并保留两位小数。</w:t>
      </w:r>
      <w:r>
        <w:rPr>
          <w:rFonts w:hint="eastAsia" w:ascii="宋体" w:hAnsi="宋体" w:cs="宋体"/>
          <w:color w:val="auto"/>
          <w:szCs w:val="21"/>
          <w:highlight w:val="none"/>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采取随机抽取方式确定。</w:t>
      </w:r>
    </w:p>
    <w:p w14:paraId="4E23B075">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26.1.1 技术、资信、商务及其他分按照评标委员会成员的独立评分结果汇总后的算术平均分计算，计算公式为技术、资信商务及其他分=评标委员会所有成员评分合计数/评标委员会组成人员数。</w:t>
      </w:r>
    </w:p>
    <w:p w14:paraId="2CCF2A23">
      <w:pPr>
        <w:spacing w:line="400" w:lineRule="exact"/>
        <w:ind w:firstLine="420" w:firstLineChars="200"/>
        <w:rPr>
          <w:rFonts w:hint="eastAsia" w:ascii="宋体" w:hAnsi="宋体"/>
          <w:b/>
          <w:bCs/>
          <w:color w:val="auto"/>
          <w:kern w:val="0"/>
          <w:highlight w:val="none"/>
          <w:shd w:val="clear" w:color="auto" w:fill="FFFFFF"/>
        </w:rPr>
      </w:pPr>
      <w:r>
        <w:rPr>
          <w:rFonts w:hint="eastAsia" w:ascii="宋体" w:hAnsi="宋体" w:cs="宋体"/>
          <w:color w:val="auto"/>
          <w:kern w:val="0"/>
          <w:szCs w:val="21"/>
          <w:highlight w:val="none"/>
        </w:rPr>
        <w:t>26.1.2综合评分法中的价格分统一采用低价优先法计算。</w:t>
      </w:r>
    </w:p>
    <w:p w14:paraId="11A12E47">
      <w:pPr>
        <w:spacing w:line="400" w:lineRule="exact"/>
        <w:ind w:firstLine="422" w:firstLineChars="200"/>
        <w:rPr>
          <w:rFonts w:ascii="宋体" w:hAnsi="宋体"/>
          <w:b/>
          <w:bCs/>
          <w:color w:val="auto"/>
          <w:kern w:val="0"/>
          <w:highlight w:val="none"/>
          <w:shd w:val="clear" w:color="auto" w:fill="FFFFFF"/>
        </w:rPr>
      </w:pPr>
      <w:r>
        <w:rPr>
          <w:rFonts w:hint="eastAsia" w:ascii="宋体" w:hAnsi="宋体"/>
          <w:b/>
          <w:bCs/>
          <w:color w:val="auto"/>
          <w:kern w:val="0"/>
          <w:highlight w:val="none"/>
          <w:shd w:val="clear" w:color="auto" w:fill="FFFFFF"/>
        </w:rPr>
        <w:t>2</w:t>
      </w:r>
      <w:r>
        <w:rPr>
          <w:rFonts w:hint="eastAsia" w:ascii="宋体" w:hAnsi="宋体"/>
          <w:b/>
          <w:bCs/>
          <w:color w:val="auto"/>
          <w:kern w:val="0"/>
          <w:highlight w:val="none"/>
          <w:shd w:val="clear" w:color="auto" w:fill="FFFFFF"/>
          <w:lang w:val="en-US" w:eastAsia="zh-CN"/>
        </w:rPr>
        <w:t>6</w:t>
      </w:r>
      <w:r>
        <w:rPr>
          <w:rFonts w:hint="eastAsia" w:ascii="宋体" w:hAnsi="宋体"/>
          <w:b/>
          <w:bCs/>
          <w:color w:val="auto"/>
          <w:kern w:val="0"/>
          <w:highlight w:val="none"/>
          <w:shd w:val="clear" w:color="auto" w:fill="FFFFFF"/>
        </w:rPr>
        <w:t>.2评分标准表：</w:t>
      </w:r>
    </w:p>
    <w:tbl>
      <w:tblPr>
        <w:tblStyle w:val="38"/>
        <w:tblpPr w:leftFromText="180" w:rightFromText="180" w:vertAnchor="text" w:horzAnchor="page" w:tblpX="1001" w:tblpY="382"/>
        <w:tblOverlap w:val="never"/>
        <w:tblW w:w="10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9" w:type="dxa"/>
          <w:bottom w:w="0" w:type="dxa"/>
          <w:right w:w="79" w:type="dxa"/>
        </w:tblCellMar>
      </w:tblPr>
      <w:tblGrid>
        <w:gridCol w:w="457"/>
        <w:gridCol w:w="1132"/>
        <w:gridCol w:w="6892"/>
        <w:gridCol w:w="799"/>
        <w:gridCol w:w="778"/>
      </w:tblGrid>
      <w:tr w14:paraId="3CED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423" w:hRule="atLeast"/>
        </w:trPr>
        <w:tc>
          <w:tcPr>
            <w:tcW w:w="457" w:type="dxa"/>
            <w:noWrap/>
            <w:vAlign w:val="center"/>
          </w:tcPr>
          <w:p w14:paraId="0BBC3A57">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132" w:type="dxa"/>
            <w:noWrap/>
            <w:vAlign w:val="center"/>
          </w:tcPr>
          <w:p w14:paraId="674F42B8">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评分项目</w:t>
            </w:r>
          </w:p>
        </w:tc>
        <w:tc>
          <w:tcPr>
            <w:tcW w:w="6892" w:type="dxa"/>
            <w:noWrap/>
            <w:vAlign w:val="center"/>
          </w:tcPr>
          <w:p w14:paraId="06E4D997">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评分细则</w:t>
            </w:r>
          </w:p>
        </w:tc>
        <w:tc>
          <w:tcPr>
            <w:tcW w:w="799" w:type="dxa"/>
            <w:noWrap/>
            <w:vAlign w:val="center"/>
          </w:tcPr>
          <w:p w14:paraId="39D10B9D">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right="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分值类型</w:t>
            </w:r>
          </w:p>
        </w:tc>
        <w:tc>
          <w:tcPr>
            <w:tcW w:w="778" w:type="dxa"/>
            <w:noWrap/>
            <w:vAlign w:val="center"/>
          </w:tcPr>
          <w:p w14:paraId="3C48DD8D">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分值</w:t>
            </w:r>
          </w:p>
        </w:tc>
      </w:tr>
      <w:tr w14:paraId="23E5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51" w:hRule="atLeast"/>
        </w:trPr>
        <w:tc>
          <w:tcPr>
            <w:tcW w:w="457" w:type="dxa"/>
            <w:noWrap/>
            <w:vAlign w:val="center"/>
          </w:tcPr>
          <w:p w14:paraId="013E2A2E">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right="0"/>
              <w:jc w:val="center"/>
              <w:rPr>
                <w:rFonts w:hint="eastAsia" w:ascii="宋体" w:hAnsi="宋体" w:eastAsia="宋体" w:cs="宋体"/>
                <w:b/>
                <w:bCs/>
                <w:color w:val="auto"/>
                <w:highlight w:val="none"/>
              </w:rPr>
            </w:pPr>
            <w:r>
              <w:rPr>
                <w:rFonts w:hint="eastAsia" w:ascii="宋体" w:hAnsi="宋体" w:eastAsia="宋体" w:cs="宋体"/>
                <w:color w:val="auto"/>
                <w:highlight w:val="none"/>
              </w:rPr>
              <w:t>1</w:t>
            </w:r>
          </w:p>
        </w:tc>
        <w:tc>
          <w:tcPr>
            <w:tcW w:w="1132" w:type="dxa"/>
            <w:noWrap/>
            <w:vAlign w:val="center"/>
          </w:tcPr>
          <w:p w14:paraId="4C4ACC8F">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right="0"/>
              <w:jc w:val="center"/>
              <w:rPr>
                <w:rFonts w:hint="eastAsia" w:ascii="宋体" w:hAnsi="宋体" w:eastAsia="宋体" w:cs="宋体"/>
                <w:b/>
                <w:bCs/>
                <w:color w:val="auto"/>
                <w:highlight w:val="none"/>
              </w:rPr>
            </w:pPr>
            <w:r>
              <w:rPr>
                <w:rFonts w:hint="eastAsia" w:ascii="宋体" w:hAnsi="宋体" w:eastAsia="宋体" w:cs="宋体"/>
                <w:color w:val="auto"/>
                <w:highlight w:val="none"/>
              </w:rPr>
              <w:t>报价分</w:t>
            </w:r>
          </w:p>
        </w:tc>
        <w:tc>
          <w:tcPr>
            <w:tcW w:w="6892" w:type="dxa"/>
            <w:noWrap/>
            <w:vAlign w:val="center"/>
          </w:tcPr>
          <w:p w14:paraId="7858B12F">
            <w:pPr>
              <w:keepNext w:val="0"/>
              <w:keepLines w:val="0"/>
              <w:pageBreakBefore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kinsoku/>
              <w:wordWrap/>
              <w:overflowPunct/>
              <w:topLinePunct w:val="0"/>
              <w:autoSpaceDE w:val="0"/>
              <w:autoSpaceDN w:val="0"/>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满足招标文件要求且投标价格最低的投标报价为评标基准价，其价格分为满分，其他投标人的价格分统一按下列公式计算（按四舍五入取至小数点后两位）：</w:t>
            </w:r>
          </w:p>
          <w:p w14:paraId="286DDFDE">
            <w:pPr>
              <w:keepNext w:val="0"/>
              <w:keepLines w:val="0"/>
              <w:pageBreakBefore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kinsoku/>
              <w:wordWrap/>
              <w:overflowPunct/>
              <w:topLinePunct w:val="0"/>
              <w:autoSpaceDE w:val="0"/>
              <w:autoSpaceDN w:val="0"/>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p w14:paraId="09365A12">
            <w:pPr>
              <w:pStyle w:val="32"/>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highlight w:val="none"/>
                <w:lang w:val="en-US"/>
              </w:rPr>
            </w:pPr>
            <w:r>
              <w:rPr>
                <w:rFonts w:hint="eastAsia" w:ascii="宋体" w:hAnsi="宋体" w:eastAsia="宋体" w:cs="宋体"/>
                <w:color w:val="auto"/>
                <w:sz w:val="21"/>
                <w:szCs w:val="21"/>
                <w:highlight w:val="none"/>
              </w:rPr>
              <w:t>根据财库〔2020〕46号的第九条规定：专门面向中小企业采购的标项，不再执行价格评审优惠的扶持政策</w:t>
            </w:r>
            <w:r>
              <w:rPr>
                <w:rFonts w:hint="eastAsia" w:ascii="宋体" w:hAnsi="宋体" w:eastAsia="宋体" w:cs="宋体"/>
                <w:color w:val="auto"/>
                <w:sz w:val="21"/>
                <w:szCs w:val="21"/>
                <w:highlight w:val="none"/>
                <w:lang w:val="en-US" w:eastAsia="zh-CN"/>
              </w:rPr>
              <w:t>。</w:t>
            </w:r>
          </w:p>
        </w:tc>
        <w:tc>
          <w:tcPr>
            <w:tcW w:w="799" w:type="dxa"/>
            <w:noWrap/>
            <w:vAlign w:val="center"/>
          </w:tcPr>
          <w:p w14:paraId="10EB57E3">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right="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w:t>
            </w:r>
          </w:p>
        </w:tc>
        <w:tc>
          <w:tcPr>
            <w:tcW w:w="778" w:type="dxa"/>
            <w:noWrap/>
            <w:vAlign w:val="center"/>
          </w:tcPr>
          <w:p w14:paraId="43A38A2B">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w:t>
            </w:r>
            <w:r>
              <w:rPr>
                <w:rFonts w:hint="eastAsia" w:ascii="宋体" w:hAnsi="宋体" w:cs="宋体"/>
                <w:color w:val="auto"/>
                <w:highlight w:val="none"/>
                <w:lang w:val="en-US" w:eastAsia="zh-CN"/>
              </w:rPr>
              <w:t>20</w:t>
            </w:r>
            <w:r>
              <w:rPr>
                <w:rFonts w:hint="eastAsia" w:ascii="宋体" w:hAnsi="宋体" w:eastAsia="宋体" w:cs="宋体"/>
                <w:color w:val="auto"/>
                <w:highlight w:val="none"/>
                <w:lang w:val="en-US" w:eastAsia="zh-CN"/>
              </w:rPr>
              <w:t>分</w:t>
            </w:r>
          </w:p>
        </w:tc>
      </w:tr>
      <w:tr w14:paraId="1471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1" w:hRule="atLeast"/>
        </w:trPr>
        <w:tc>
          <w:tcPr>
            <w:tcW w:w="457" w:type="dxa"/>
            <w:shd w:val="clear" w:color="auto" w:fill="auto"/>
            <w:noWrap/>
            <w:vAlign w:val="center"/>
          </w:tcPr>
          <w:p w14:paraId="2B6CA8CC">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1132" w:type="dxa"/>
            <w:shd w:val="clear" w:color="auto" w:fill="auto"/>
            <w:noWrap/>
            <w:vAlign w:val="center"/>
          </w:tcPr>
          <w:p w14:paraId="3B8E6344">
            <w:pPr>
              <w:keepNext w:val="0"/>
              <w:keepLines w:val="0"/>
              <w:pageBreakBefore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eastAsia="zh-CN"/>
              </w:rPr>
              <w:t>企业业绩</w:t>
            </w:r>
          </w:p>
        </w:tc>
        <w:tc>
          <w:tcPr>
            <w:tcW w:w="6892" w:type="dxa"/>
            <w:shd w:val="clear" w:color="auto" w:fill="auto"/>
            <w:noWrap/>
            <w:vAlign w:val="center"/>
          </w:tcPr>
          <w:p w14:paraId="76C92E07">
            <w:pPr>
              <w:keepNext w:val="0"/>
              <w:keepLines w:val="0"/>
              <w:pageBreakBefore w:val="0"/>
              <w:widowControl w:val="0"/>
              <w:numPr>
                <w:ilvl w:val="0"/>
                <w:numId w:val="0"/>
              </w:numPr>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kinsoku/>
              <w:wordWrap/>
              <w:overflowPunct/>
              <w:topLinePunct w:val="0"/>
              <w:autoSpaceDE w:val="0"/>
              <w:autoSpaceDN w:val="0"/>
              <w:bidi w:val="0"/>
              <w:adjustRightInd/>
              <w:snapToGrid/>
              <w:spacing w:before="0" w:beforeAutospacing="0" w:after="0" w:afterAutospacing="0" w:line="380" w:lineRule="exact"/>
              <w:ind w:left="0" w:right="0" w:rightChars="0"/>
              <w:textAlignment w:val="auto"/>
              <w:rPr>
                <w:rFonts w:hint="eastAsia" w:ascii="宋体" w:hAnsi="宋体" w:eastAsia="宋体" w:cs="宋体"/>
                <w:b/>
                <w:bCs/>
                <w:color w:val="auto"/>
                <w:sz w:val="21"/>
                <w:szCs w:val="21"/>
                <w:highlight w:val="none"/>
                <w:lang w:val="en-US" w:eastAsia="zh-CN" w:bidi="en-US"/>
              </w:rPr>
            </w:pPr>
            <w:r>
              <w:rPr>
                <w:rFonts w:hint="eastAsia" w:ascii="宋体" w:hAnsi="宋体"/>
                <w:color w:val="auto"/>
                <w:highlight w:val="none"/>
              </w:rPr>
              <w:t>投标人自2023年1月1日以来（时间以合同最终签订时间为准），具有与本项目类似的赛事</w:t>
            </w:r>
            <w:r>
              <w:rPr>
                <w:rFonts w:hint="eastAsia" w:ascii="宋体" w:hAnsi="宋体"/>
                <w:color w:val="auto"/>
                <w:highlight w:val="none"/>
                <w:lang w:val="en-US" w:eastAsia="zh-CN"/>
              </w:rPr>
              <w:t>经验</w:t>
            </w:r>
            <w:r>
              <w:rPr>
                <w:rFonts w:hint="eastAsia" w:ascii="宋体" w:hAnsi="宋体"/>
                <w:color w:val="auto"/>
                <w:highlight w:val="none"/>
              </w:rPr>
              <w:t>业绩，每有一个得</w:t>
            </w:r>
            <w:r>
              <w:rPr>
                <w:rFonts w:hint="eastAsia" w:ascii="宋体" w:hAnsi="宋体"/>
                <w:color w:val="auto"/>
                <w:highlight w:val="none"/>
                <w:lang w:val="en-US" w:eastAsia="zh-CN"/>
              </w:rPr>
              <w:t>1</w:t>
            </w:r>
            <w:r>
              <w:rPr>
                <w:rFonts w:hint="eastAsia" w:ascii="宋体" w:hAnsi="宋体"/>
                <w:color w:val="auto"/>
                <w:highlight w:val="none"/>
              </w:rPr>
              <w:t>分，本项最高得</w:t>
            </w:r>
            <w:r>
              <w:rPr>
                <w:rFonts w:hint="eastAsia" w:ascii="宋体" w:hAnsi="宋体"/>
                <w:color w:val="auto"/>
                <w:highlight w:val="none"/>
                <w:lang w:val="en-US" w:eastAsia="zh-CN"/>
              </w:rPr>
              <w:t>2</w:t>
            </w:r>
            <w:r>
              <w:rPr>
                <w:rFonts w:hint="eastAsia" w:ascii="宋体" w:hAnsi="宋体"/>
                <w:color w:val="auto"/>
                <w:highlight w:val="none"/>
              </w:rPr>
              <w:t>分。</w:t>
            </w:r>
          </w:p>
          <w:p w14:paraId="497B5265">
            <w:pPr>
              <w:keepNext w:val="0"/>
              <w:keepLines w:val="0"/>
              <w:pageBreakBefore w:val="0"/>
              <w:widowControl w:val="0"/>
              <w:numPr>
                <w:ilvl w:val="0"/>
                <w:numId w:val="0"/>
              </w:numPr>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kinsoku/>
              <w:wordWrap/>
              <w:overflowPunct/>
              <w:topLinePunct w:val="0"/>
              <w:autoSpaceDE w:val="0"/>
              <w:autoSpaceDN w:val="0"/>
              <w:bidi w:val="0"/>
              <w:adjustRightInd/>
              <w:snapToGrid/>
              <w:spacing w:before="0" w:beforeAutospacing="0" w:after="0" w:afterAutospacing="0" w:line="380" w:lineRule="exact"/>
              <w:ind w:left="0" w:leftChars="0" w:right="0" w:righ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olor w:val="auto"/>
                <w:highlight w:val="none"/>
              </w:rPr>
              <w:t>证明材料：</w:t>
            </w:r>
            <w:r>
              <w:rPr>
                <w:rFonts w:hint="eastAsia" w:ascii="宋体" w:hAnsi="宋体" w:eastAsia="宋体" w:cs="宋体"/>
                <w:b/>
                <w:bCs/>
                <w:color w:val="auto"/>
                <w:kern w:val="2"/>
                <w:sz w:val="21"/>
                <w:szCs w:val="21"/>
                <w:highlight w:val="none"/>
                <w:lang w:val="en-US" w:eastAsia="zh-CN" w:bidi="ar-SA"/>
              </w:rPr>
              <w:t>须提</w:t>
            </w:r>
            <w:r>
              <w:rPr>
                <w:rFonts w:hint="eastAsia" w:ascii="宋体" w:hAnsi="宋体" w:eastAsia="宋体" w:cs="宋体"/>
                <w:b/>
                <w:bCs/>
                <w:color w:val="auto"/>
                <w:sz w:val="21"/>
                <w:szCs w:val="21"/>
                <w:highlight w:val="none"/>
                <w:lang w:val="en-US" w:eastAsia="zh-CN" w:bidi="en-US"/>
              </w:rPr>
              <w:t>供合同原件扫描件并加盖公章，否则不得分。</w:t>
            </w:r>
          </w:p>
        </w:tc>
        <w:tc>
          <w:tcPr>
            <w:tcW w:w="799" w:type="dxa"/>
            <w:shd w:val="clear" w:color="auto" w:fill="auto"/>
            <w:noWrap/>
            <w:vAlign w:val="center"/>
          </w:tcPr>
          <w:p w14:paraId="05077CF2">
            <w:pPr>
              <w:keepNext w:val="0"/>
              <w:keepLines w:val="0"/>
              <w:pageBreakBefore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客观分</w:t>
            </w:r>
          </w:p>
        </w:tc>
        <w:tc>
          <w:tcPr>
            <w:tcW w:w="778" w:type="dxa"/>
            <w:shd w:val="clear" w:color="auto" w:fill="auto"/>
            <w:noWrap/>
            <w:vAlign w:val="center"/>
          </w:tcPr>
          <w:p w14:paraId="4C6F4B11">
            <w:pPr>
              <w:keepNext w:val="0"/>
              <w:keepLines w:val="0"/>
              <w:pageBreakBefore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r>
      <w:tr w14:paraId="093A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42" w:hRule="atLeast"/>
        </w:trPr>
        <w:tc>
          <w:tcPr>
            <w:tcW w:w="457" w:type="dxa"/>
            <w:shd w:val="clear" w:color="auto" w:fill="auto"/>
            <w:noWrap/>
            <w:vAlign w:val="center"/>
          </w:tcPr>
          <w:p w14:paraId="286B8F8C">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p>
        </w:tc>
        <w:tc>
          <w:tcPr>
            <w:tcW w:w="1132" w:type="dxa"/>
            <w:shd w:val="clear" w:color="auto" w:fill="auto"/>
            <w:noWrap/>
            <w:vAlign w:val="center"/>
          </w:tcPr>
          <w:p w14:paraId="556BFFB6">
            <w:pPr>
              <w:keepNext w:val="0"/>
              <w:keepLines w:val="0"/>
              <w:suppressLineNumbers w:val="0"/>
              <w:spacing w:before="0" w:beforeAutospacing="0" w:after="0" w:afterAutospacing="0"/>
              <w:ind w:left="0" w:leftChars="0" w:right="0" w:rightChars="0"/>
              <w:jc w:val="center"/>
              <w:outlineLvl w:val="0"/>
              <w:rPr>
                <w:rFonts w:hint="eastAsia" w:ascii="宋体" w:hAnsi="宋体" w:eastAsia="宋体" w:cs="Calibri"/>
                <w:b/>
                <w:color w:val="auto"/>
                <w:kern w:val="2"/>
                <w:sz w:val="21"/>
                <w:szCs w:val="21"/>
                <w:highlight w:val="none"/>
                <w:lang w:val="en-US" w:eastAsia="zh-CN" w:bidi="ar-SA"/>
              </w:rPr>
            </w:pPr>
            <w:r>
              <w:rPr>
                <w:rFonts w:hint="eastAsia" w:ascii="宋体" w:hAnsi="宋体"/>
                <w:bCs/>
                <w:color w:val="auto"/>
                <w:highlight w:val="none"/>
              </w:rPr>
              <w:t>服务响应</w:t>
            </w:r>
          </w:p>
        </w:tc>
        <w:tc>
          <w:tcPr>
            <w:tcW w:w="6892" w:type="dxa"/>
            <w:shd w:val="clear" w:color="auto" w:fill="auto"/>
            <w:noWrap/>
            <w:vAlign w:val="center"/>
          </w:tcPr>
          <w:p w14:paraId="3616E3FA">
            <w:pPr>
              <w:pStyle w:val="36"/>
              <w:keepNext w:val="0"/>
              <w:keepLines w:val="0"/>
              <w:suppressLineNumbers w:val="0"/>
              <w:spacing w:before="0" w:beforeAutospacing="0" w:afterAutospacing="0"/>
              <w:ind w:left="0" w:leftChars="0" w:right="0" w:firstLine="0" w:firstLineChars="0"/>
              <w:rPr>
                <w:rFonts w:hint="default"/>
                <w:highlight w:val="none"/>
                <w:lang w:val="en-US" w:eastAsia="zh-CN"/>
              </w:rPr>
            </w:pPr>
            <w:r>
              <w:rPr>
                <w:rFonts w:hint="eastAsia" w:ascii="宋体" w:hAnsi="宋体" w:eastAsia="宋体" w:cs="宋体"/>
                <w:color w:val="auto"/>
                <w:sz w:val="21"/>
                <w:szCs w:val="21"/>
                <w:highlight w:val="none"/>
                <w:lang w:val="en-US" w:eastAsia="zh-CN"/>
              </w:rPr>
              <w:t>按采购需求中“第二项服务要求”内容，完全满足服务要求的得</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分，不满足服务要求的每条扣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分，直至扣完为止。</w:t>
            </w:r>
          </w:p>
        </w:tc>
        <w:tc>
          <w:tcPr>
            <w:tcW w:w="799" w:type="dxa"/>
            <w:shd w:val="clear" w:color="auto" w:fill="auto"/>
            <w:noWrap/>
            <w:vAlign w:val="center"/>
          </w:tcPr>
          <w:p w14:paraId="2AC97646">
            <w:pPr>
              <w:keepNext w:val="0"/>
              <w:keepLines w:val="0"/>
              <w:pageBreakBefore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客观分</w:t>
            </w:r>
          </w:p>
        </w:tc>
        <w:tc>
          <w:tcPr>
            <w:tcW w:w="778" w:type="dxa"/>
            <w:noWrap/>
            <w:vAlign w:val="center"/>
          </w:tcPr>
          <w:p w14:paraId="1FC75279">
            <w:pPr>
              <w:keepNext w:val="0"/>
              <w:keepLines w:val="0"/>
              <w:pageBreakBefore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kinsoku/>
              <w:wordWrap/>
              <w:overflowPunct/>
              <w:topLinePunct w:val="0"/>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r>
      <w:tr w14:paraId="6E19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899" w:hRule="atLeast"/>
        </w:trPr>
        <w:tc>
          <w:tcPr>
            <w:tcW w:w="457" w:type="dxa"/>
            <w:shd w:val="clear" w:color="auto" w:fill="auto"/>
            <w:noWrap/>
            <w:vAlign w:val="center"/>
          </w:tcPr>
          <w:p w14:paraId="4259806E">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p>
        </w:tc>
        <w:tc>
          <w:tcPr>
            <w:tcW w:w="1132" w:type="dxa"/>
            <w:shd w:val="clear" w:color="auto" w:fill="auto"/>
            <w:noWrap/>
            <w:vAlign w:val="center"/>
          </w:tcPr>
          <w:p w14:paraId="432ED1F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Calibri"/>
                <w:color w:val="FF0000"/>
                <w:spacing w:val="11"/>
                <w:kern w:val="2"/>
                <w:sz w:val="21"/>
                <w:szCs w:val="21"/>
                <w:highlight w:val="none"/>
                <w:lang w:val="en-US" w:eastAsia="zh-CN" w:bidi="ar-SA"/>
              </w:rPr>
            </w:pPr>
            <w:r>
              <w:rPr>
                <w:rFonts w:hint="eastAsia" w:ascii="宋体" w:hAnsi="宋体" w:eastAsia="宋体" w:cs="宋体"/>
                <w:snapToGrid/>
                <w:color w:val="auto"/>
                <w:kern w:val="0"/>
                <w:sz w:val="21"/>
                <w:szCs w:val="21"/>
                <w:highlight w:val="none"/>
                <w:u w:val="none"/>
                <w:shd w:val="clear" w:color="auto" w:fill="auto"/>
                <w:lang w:val="en-US" w:eastAsia="zh-CN" w:bidi="ar-SA"/>
              </w:rPr>
              <w:t>响应速度</w:t>
            </w:r>
          </w:p>
        </w:tc>
        <w:tc>
          <w:tcPr>
            <w:tcW w:w="6892" w:type="dxa"/>
            <w:shd w:val="clear" w:color="auto" w:fill="auto"/>
            <w:noWrap/>
            <w:vAlign w:val="center"/>
          </w:tcPr>
          <w:p w14:paraId="7CBA8317">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投标人在接到采购人通知后0.5小时（含）现场响应的，得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分；1小时（含）现场响应的，得1分；超过1小时现场响应的，不得分。</w:t>
            </w:r>
          </w:p>
          <w:p w14:paraId="43CBEBA3">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Calibri"/>
                <w:color w:val="FF0000"/>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注：提供承诺书，否则不得分。</w:t>
            </w:r>
          </w:p>
        </w:tc>
        <w:tc>
          <w:tcPr>
            <w:tcW w:w="799" w:type="dxa"/>
            <w:shd w:val="clear" w:color="auto" w:fill="auto"/>
            <w:noWrap/>
            <w:vAlign w:val="center"/>
          </w:tcPr>
          <w:p w14:paraId="76F0FD54">
            <w:pPr>
              <w:keepNext w:val="0"/>
              <w:keepLines w:val="0"/>
              <w:pageBreakBefore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auto"/>
                <w:sz w:val="21"/>
                <w:szCs w:val="21"/>
                <w:highlight w:val="none"/>
              </w:rPr>
              <w:t>客观分</w:t>
            </w:r>
          </w:p>
        </w:tc>
        <w:tc>
          <w:tcPr>
            <w:tcW w:w="778" w:type="dxa"/>
            <w:shd w:val="clear" w:color="auto" w:fill="auto"/>
            <w:noWrap/>
            <w:vAlign w:val="center"/>
          </w:tcPr>
          <w:p w14:paraId="73984515">
            <w:pPr>
              <w:keepNext w:val="0"/>
              <w:keepLines w:val="0"/>
              <w:pageBreakBefore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r>
      <w:tr w14:paraId="7C06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854" w:hRule="atLeast"/>
        </w:trPr>
        <w:tc>
          <w:tcPr>
            <w:tcW w:w="457" w:type="dxa"/>
            <w:vMerge w:val="restart"/>
            <w:shd w:val="clear" w:color="auto" w:fill="auto"/>
            <w:noWrap/>
            <w:vAlign w:val="center"/>
          </w:tcPr>
          <w:p w14:paraId="27C26392">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p>
        </w:tc>
        <w:tc>
          <w:tcPr>
            <w:tcW w:w="1132" w:type="dxa"/>
            <w:vMerge w:val="restart"/>
            <w:shd w:val="clear" w:color="auto" w:fill="auto"/>
            <w:noWrap/>
            <w:vAlign w:val="center"/>
          </w:tcPr>
          <w:p w14:paraId="7965AA50">
            <w:pPr>
              <w:keepNext w:val="0"/>
              <w:keepLines w:val="0"/>
              <w:suppressLineNumbers w:val="0"/>
              <w:spacing w:before="0" w:beforeAutospacing="0" w:after="0" w:afterAutospacing="0"/>
              <w:ind w:left="0" w:leftChars="0" w:right="0" w:rightChars="0"/>
              <w:jc w:val="center"/>
              <w:rPr>
                <w:rFonts w:hint="eastAsia" w:ascii="宋体" w:hAnsi="宋体" w:eastAsia="宋体" w:cs="Calibri"/>
                <w:color w:val="auto"/>
                <w:spacing w:val="11"/>
                <w:kern w:val="2"/>
                <w:sz w:val="21"/>
                <w:szCs w:val="21"/>
                <w:highlight w:val="none"/>
                <w:lang w:val="en-US" w:eastAsia="zh-CN" w:bidi="ar-SA"/>
              </w:rPr>
            </w:pPr>
            <w:r>
              <w:rPr>
                <w:rFonts w:hint="eastAsia" w:ascii="宋体" w:hAnsi="宋体"/>
                <w:color w:val="auto"/>
                <w:spacing w:val="11"/>
                <w:highlight w:val="none"/>
              </w:rPr>
              <w:t>运营团队配置</w:t>
            </w:r>
          </w:p>
        </w:tc>
        <w:tc>
          <w:tcPr>
            <w:tcW w:w="6892" w:type="dxa"/>
            <w:shd w:val="clear" w:color="auto" w:fill="auto"/>
            <w:noWrap/>
            <w:vAlign w:val="center"/>
          </w:tcPr>
          <w:p w14:paraId="168A4DCE">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拟投入本项目的赛事运营团队人员的实力配置：</w:t>
            </w:r>
          </w:p>
          <w:p w14:paraId="680CD8FF">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0"/>
                <w:szCs w:val="24"/>
                <w:highlight w:val="none"/>
              </w:rPr>
              <w:t>具有</w:t>
            </w:r>
            <w:r>
              <w:rPr>
                <w:rFonts w:hint="eastAsia" w:ascii="宋体" w:hAnsi="宋体" w:eastAsia="宋体" w:cs="宋体"/>
                <w:color w:val="auto"/>
                <w:sz w:val="21"/>
                <w:szCs w:val="21"/>
                <w:highlight w:val="none"/>
                <w:lang w:val="en-US" w:eastAsia="zh-CN"/>
              </w:rPr>
              <w:t>国家级</w:t>
            </w:r>
            <w:r>
              <w:rPr>
                <w:rFonts w:hint="eastAsia" w:ascii="宋体" w:hAnsi="宋体" w:eastAsia="宋体" w:cs="宋体"/>
                <w:color w:val="auto"/>
                <w:kern w:val="0"/>
                <w:szCs w:val="24"/>
                <w:highlight w:val="none"/>
              </w:rPr>
              <w:t>体育类相关资格证书</w:t>
            </w:r>
            <w:r>
              <w:rPr>
                <w:rFonts w:hint="eastAsia" w:ascii="宋体" w:hAnsi="宋体" w:eastAsia="宋体" w:cs="宋体"/>
                <w:color w:val="auto"/>
                <w:sz w:val="21"/>
                <w:szCs w:val="21"/>
                <w:highlight w:val="none"/>
                <w:lang w:val="en-US" w:eastAsia="zh-CN"/>
              </w:rPr>
              <w:t>每提供1人得2分，本项最高得4分；</w:t>
            </w:r>
          </w:p>
          <w:p w14:paraId="63AB02EA">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2、具有一级</w:t>
            </w:r>
            <w:r>
              <w:rPr>
                <w:rFonts w:hint="eastAsia" w:ascii="宋体" w:hAnsi="宋体" w:eastAsia="宋体" w:cs="宋体"/>
                <w:color w:val="auto"/>
                <w:kern w:val="0"/>
                <w:szCs w:val="24"/>
                <w:highlight w:val="none"/>
              </w:rPr>
              <w:t>体育类相关资格证书</w:t>
            </w:r>
            <w:r>
              <w:rPr>
                <w:rFonts w:hint="eastAsia" w:ascii="宋体" w:hAnsi="宋体" w:eastAsia="宋体" w:cs="宋体"/>
                <w:color w:val="auto"/>
                <w:sz w:val="21"/>
                <w:szCs w:val="21"/>
                <w:highlight w:val="none"/>
                <w:lang w:val="en-US" w:eastAsia="zh-CN"/>
              </w:rPr>
              <w:t>，每提供1人得2分，本项最高得4分。</w:t>
            </w:r>
          </w:p>
          <w:p w14:paraId="1B5CF8DF">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注：1.同一人员有多个证书不重复计分，以最高得分计一次。</w:t>
            </w:r>
          </w:p>
          <w:p w14:paraId="331DAB68">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Calibri"/>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需提供相关资格证书</w:t>
            </w:r>
            <w:r>
              <w:rPr>
                <w:rFonts w:hint="eastAsia" w:ascii="宋体" w:hAnsi="宋体" w:eastAsia="宋体" w:cs="宋体"/>
                <w:color w:val="auto"/>
                <w:sz w:val="21"/>
                <w:szCs w:val="21"/>
                <w:highlight w:val="none"/>
                <w:lang w:val="en-US" w:eastAsia="zh-CN"/>
              </w:rPr>
              <w:t>扫描件，否则不得分。</w:t>
            </w:r>
          </w:p>
        </w:tc>
        <w:tc>
          <w:tcPr>
            <w:tcW w:w="799" w:type="dxa"/>
            <w:shd w:val="clear" w:color="auto" w:fill="auto"/>
            <w:noWrap/>
            <w:vAlign w:val="center"/>
          </w:tcPr>
          <w:p w14:paraId="68E61F80">
            <w:pPr>
              <w:keepNext w:val="0"/>
              <w:keepLines w:val="0"/>
              <w:pageBreakBefore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auto"/>
                <w:sz w:val="21"/>
                <w:szCs w:val="21"/>
                <w:highlight w:val="none"/>
              </w:rPr>
              <w:t>客观分</w:t>
            </w:r>
          </w:p>
        </w:tc>
        <w:tc>
          <w:tcPr>
            <w:tcW w:w="778" w:type="dxa"/>
            <w:shd w:val="clear" w:color="auto" w:fill="auto"/>
            <w:noWrap/>
            <w:vAlign w:val="center"/>
          </w:tcPr>
          <w:p w14:paraId="2B96A76F">
            <w:pPr>
              <w:keepNext w:val="0"/>
              <w:keepLines w:val="0"/>
              <w:pageBreakBefore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r>
      <w:tr w14:paraId="3CCD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854" w:hRule="atLeast"/>
        </w:trPr>
        <w:tc>
          <w:tcPr>
            <w:tcW w:w="457" w:type="dxa"/>
            <w:vMerge w:val="continue"/>
            <w:shd w:val="clear" w:color="auto" w:fill="auto"/>
            <w:noWrap/>
            <w:vAlign w:val="center"/>
          </w:tcPr>
          <w:p w14:paraId="0065D399">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leftChars="0" w:right="0" w:rightChars="0"/>
              <w:jc w:val="center"/>
              <w:rPr>
                <w:rFonts w:hint="eastAsia" w:ascii="宋体" w:hAnsi="宋体" w:cs="宋体"/>
                <w:color w:val="auto"/>
                <w:sz w:val="21"/>
                <w:szCs w:val="21"/>
                <w:highlight w:val="none"/>
                <w:lang w:val="en-US" w:eastAsia="zh-CN"/>
              </w:rPr>
            </w:pPr>
          </w:p>
        </w:tc>
        <w:tc>
          <w:tcPr>
            <w:tcW w:w="1132" w:type="dxa"/>
            <w:vMerge w:val="continue"/>
            <w:shd w:val="clear" w:color="auto" w:fill="auto"/>
            <w:noWrap/>
            <w:vAlign w:val="center"/>
          </w:tcPr>
          <w:p w14:paraId="71061CC7">
            <w:pPr>
              <w:keepNext w:val="0"/>
              <w:keepLines w:val="0"/>
              <w:suppressLineNumbers w:val="0"/>
              <w:spacing w:before="0" w:beforeAutospacing="0" w:after="0" w:afterAutospacing="0"/>
              <w:ind w:left="0" w:leftChars="0" w:right="0" w:rightChars="0"/>
              <w:jc w:val="center"/>
              <w:rPr>
                <w:rFonts w:hint="eastAsia" w:ascii="宋体" w:hAnsi="宋体"/>
                <w:color w:val="auto"/>
                <w:spacing w:val="11"/>
                <w:highlight w:val="none"/>
              </w:rPr>
            </w:pPr>
          </w:p>
        </w:tc>
        <w:tc>
          <w:tcPr>
            <w:tcW w:w="6892" w:type="dxa"/>
            <w:shd w:val="clear" w:color="auto" w:fill="auto"/>
            <w:noWrap/>
            <w:vAlign w:val="center"/>
          </w:tcPr>
          <w:p w14:paraId="1D18D346">
            <w:pPr>
              <w:keepNext w:val="0"/>
              <w:keepLines w:val="0"/>
              <w:suppressLineNumbers w:val="0"/>
              <w:spacing w:before="0" w:beforeAutospacing="0" w:after="0" w:afterAutospacing="0"/>
              <w:ind w:left="0" w:leftChars="0" w:right="0" w:rightChars="0"/>
              <w:jc w:val="left"/>
              <w:rPr>
                <w:rFonts w:hint="eastAsia" w:ascii="宋体" w:hAnsi="宋体" w:eastAsia="宋体" w:cs="Calibri"/>
                <w:color w:val="auto"/>
                <w:kern w:val="2"/>
                <w:sz w:val="21"/>
                <w:szCs w:val="21"/>
                <w:highlight w:val="none"/>
                <w:lang w:val="en-US" w:eastAsia="zh-CN" w:bidi="ar-SA"/>
              </w:rPr>
            </w:pPr>
            <w:r>
              <w:rPr>
                <w:rFonts w:hint="eastAsia" w:ascii="宋体" w:hAnsi="宋体"/>
                <w:color w:val="auto"/>
                <w:highlight w:val="none"/>
              </w:rPr>
              <w:t>投标人配备的运营团队应当架构清晰，工作人员分工明确，人数充足。根据投标人配置的人员分工是否合理，是否有相应的工作能力、经验进行评分。</w:t>
            </w:r>
            <w:r>
              <w:rPr>
                <w:rFonts w:hint="eastAsia" w:ascii="宋体" w:hAnsi="宋体" w:cs="宋体"/>
                <w:b w:val="0"/>
                <w:bCs w:val="0"/>
                <w:sz w:val="21"/>
                <w:szCs w:val="21"/>
                <w:highlight w:val="none"/>
                <w:lang w:val="zh-CN" w:eastAsia="zh-CN"/>
              </w:rPr>
              <w:t>（</w:t>
            </w:r>
            <w:r>
              <w:rPr>
                <w:rFonts w:hint="eastAsia" w:ascii="宋体" w:hAnsi="宋体" w:cs="宋体"/>
                <w:b w:val="0"/>
                <w:bCs w:val="0"/>
                <w:sz w:val="21"/>
                <w:szCs w:val="21"/>
                <w:highlight w:val="none"/>
                <w:lang w:val="en-US" w:eastAsia="zh-CN"/>
              </w:rPr>
              <w:t>评分范围：5,4,3,2,1,0</w:t>
            </w:r>
            <w:r>
              <w:rPr>
                <w:rFonts w:hint="eastAsia" w:ascii="宋体" w:hAnsi="宋体" w:cs="宋体"/>
                <w:b w:val="0"/>
                <w:bCs w:val="0"/>
                <w:sz w:val="21"/>
                <w:szCs w:val="21"/>
                <w:highlight w:val="none"/>
                <w:lang w:val="zh-CN" w:eastAsia="zh-CN"/>
              </w:rPr>
              <w:t>）</w:t>
            </w:r>
          </w:p>
        </w:tc>
        <w:tc>
          <w:tcPr>
            <w:tcW w:w="799" w:type="dxa"/>
            <w:shd w:val="clear" w:color="auto" w:fill="auto"/>
            <w:noWrap/>
            <w:vAlign w:val="center"/>
          </w:tcPr>
          <w:p w14:paraId="2CD2D6ED">
            <w:pPr>
              <w:keepNext w:val="0"/>
              <w:keepLines w:val="0"/>
              <w:pageBreakBefore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778" w:type="dxa"/>
            <w:shd w:val="clear" w:color="auto" w:fill="auto"/>
            <w:noWrap/>
            <w:vAlign w:val="center"/>
          </w:tcPr>
          <w:p w14:paraId="402DC53F">
            <w:pPr>
              <w:keepNext w:val="0"/>
              <w:keepLines w:val="0"/>
              <w:pageBreakBefore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r>
      <w:tr w14:paraId="5550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765" w:hRule="atLeast"/>
        </w:trPr>
        <w:tc>
          <w:tcPr>
            <w:tcW w:w="457" w:type="dxa"/>
            <w:shd w:val="clear" w:color="auto" w:fill="auto"/>
            <w:noWrap/>
            <w:vAlign w:val="center"/>
          </w:tcPr>
          <w:p w14:paraId="60862093">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6</w:t>
            </w:r>
          </w:p>
        </w:tc>
        <w:tc>
          <w:tcPr>
            <w:tcW w:w="1132" w:type="dxa"/>
            <w:shd w:val="clear" w:color="auto" w:fill="auto"/>
            <w:noWrap/>
            <w:vAlign w:val="center"/>
          </w:tcPr>
          <w:p w14:paraId="259A8D49">
            <w:pPr>
              <w:keepNext w:val="0"/>
              <w:keepLines w:val="0"/>
              <w:suppressLineNumbers w:val="0"/>
              <w:spacing w:before="0" w:beforeAutospacing="0" w:after="0" w:afterAutospacing="0"/>
              <w:ind w:left="0" w:leftChars="0" w:right="0" w:rightChars="0"/>
              <w:jc w:val="center"/>
              <w:rPr>
                <w:rFonts w:hint="eastAsia" w:ascii="宋体" w:hAnsi="宋体" w:eastAsia="宋体" w:cs="Calibri"/>
                <w:color w:val="auto"/>
                <w:spacing w:val="11"/>
                <w:kern w:val="2"/>
                <w:sz w:val="21"/>
                <w:szCs w:val="21"/>
                <w:highlight w:val="none"/>
                <w:lang w:val="en-US" w:eastAsia="zh-CN" w:bidi="ar-SA"/>
              </w:rPr>
            </w:pPr>
            <w:r>
              <w:rPr>
                <w:rFonts w:hint="eastAsia" w:ascii="宋体" w:hAnsi="宋体"/>
                <w:color w:val="auto"/>
                <w:spacing w:val="11"/>
                <w:highlight w:val="none"/>
              </w:rPr>
              <w:t>运营实施方案</w:t>
            </w:r>
          </w:p>
        </w:tc>
        <w:tc>
          <w:tcPr>
            <w:tcW w:w="6892" w:type="dxa"/>
            <w:shd w:val="clear" w:color="auto" w:fill="auto"/>
            <w:noWrap/>
            <w:vAlign w:val="center"/>
          </w:tcPr>
          <w:p w14:paraId="7910CD20">
            <w:pPr>
              <w:keepNext w:val="0"/>
              <w:keepLines w:val="0"/>
              <w:suppressLineNumbers w:val="0"/>
              <w:spacing w:before="0" w:beforeAutospacing="0" w:after="0" w:afterAutospacing="0"/>
              <w:ind w:left="0" w:right="0"/>
              <w:jc w:val="left"/>
              <w:rPr>
                <w:rFonts w:hint="eastAsia" w:ascii="宋体" w:hAnsi="宋体"/>
                <w:color w:val="auto"/>
                <w:highlight w:val="none"/>
              </w:rPr>
            </w:pPr>
            <w:r>
              <w:rPr>
                <w:rFonts w:hint="eastAsia" w:ascii="宋体" w:hAnsi="宋体"/>
                <w:color w:val="auto"/>
                <w:highlight w:val="none"/>
              </w:rPr>
              <w:t>投标人策划设计赛事流程，提出具体的实施方案。根据实施方案是否完整、详细，是否符合采购需求，是否有可行性进行评分。</w:t>
            </w:r>
            <w:r>
              <w:rPr>
                <w:rFonts w:hint="eastAsia" w:ascii="宋体" w:hAnsi="宋体" w:eastAsia="宋体" w:cs="宋体"/>
                <w:color w:val="auto"/>
                <w:kern w:val="0"/>
                <w:sz w:val="21"/>
                <w:szCs w:val="21"/>
                <w:highlight w:val="none"/>
                <w:lang w:val="zh-CN" w:eastAsia="zh-CN"/>
              </w:rPr>
              <w:t>方案</w:t>
            </w:r>
            <w:r>
              <w:rPr>
                <w:rFonts w:hint="eastAsia" w:ascii="宋体" w:hAnsi="宋体" w:eastAsia="宋体" w:cs="宋体"/>
                <w:color w:val="auto"/>
                <w:kern w:val="0"/>
                <w:sz w:val="21"/>
                <w:szCs w:val="21"/>
                <w:highlight w:val="none"/>
                <w:lang w:val="en-US" w:eastAsia="zh-CN"/>
              </w:rPr>
              <w:t>内容全面，完全符合项目实际需求，切实可行的得</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分，方案内容不完善、表述不完整的每处扣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lang w:val="zh-CN" w:eastAsia="zh-CN"/>
              </w:rPr>
              <w:t>内容不符合或不提供的不得分。</w:t>
            </w:r>
          </w:p>
          <w:p w14:paraId="66FDF0E6">
            <w:pPr>
              <w:keepNext w:val="0"/>
              <w:keepLines w:val="0"/>
              <w:suppressLineNumbers w:val="0"/>
              <w:spacing w:before="0" w:beforeAutospacing="0" w:after="0" w:afterAutospacing="0"/>
              <w:ind w:left="0" w:leftChars="0" w:right="0" w:rightChars="0"/>
              <w:jc w:val="left"/>
              <w:rPr>
                <w:rFonts w:hint="eastAsia" w:ascii="宋体" w:hAnsi="宋体" w:eastAsia="宋体" w:cs="Calibri"/>
                <w:color w:val="auto"/>
                <w:kern w:val="2"/>
                <w:sz w:val="21"/>
                <w:szCs w:val="21"/>
                <w:highlight w:val="none"/>
                <w:lang w:val="en-US" w:eastAsia="zh-CN" w:bidi="ar-SA"/>
              </w:rPr>
            </w:pPr>
            <w:r>
              <w:rPr>
                <w:rFonts w:hint="eastAsia" w:ascii="宋体" w:hAnsi="宋体" w:cs="宋体"/>
                <w:b w:val="0"/>
                <w:bCs w:val="0"/>
                <w:sz w:val="21"/>
                <w:szCs w:val="21"/>
                <w:highlight w:val="none"/>
                <w:lang w:val="zh-CN" w:eastAsia="zh-CN"/>
              </w:rPr>
              <w:t>（</w:t>
            </w:r>
            <w:r>
              <w:rPr>
                <w:rFonts w:hint="eastAsia" w:ascii="宋体" w:hAnsi="宋体" w:cs="宋体"/>
                <w:b w:val="0"/>
                <w:bCs w:val="0"/>
                <w:sz w:val="21"/>
                <w:szCs w:val="21"/>
                <w:highlight w:val="none"/>
                <w:lang w:val="en-US" w:eastAsia="zh-CN"/>
              </w:rPr>
              <w:t>评分范围：5,4,3,2,1,0</w:t>
            </w:r>
            <w:r>
              <w:rPr>
                <w:rFonts w:hint="eastAsia" w:ascii="宋体" w:hAnsi="宋体" w:cs="宋体"/>
                <w:b w:val="0"/>
                <w:bCs w:val="0"/>
                <w:sz w:val="21"/>
                <w:szCs w:val="21"/>
                <w:highlight w:val="none"/>
                <w:lang w:val="zh-CN" w:eastAsia="zh-CN"/>
              </w:rPr>
              <w:t>）</w:t>
            </w:r>
          </w:p>
        </w:tc>
        <w:tc>
          <w:tcPr>
            <w:tcW w:w="799" w:type="dxa"/>
            <w:shd w:val="clear" w:color="auto" w:fill="auto"/>
            <w:noWrap/>
            <w:vAlign w:val="center"/>
          </w:tcPr>
          <w:p w14:paraId="43B0CA19">
            <w:pPr>
              <w:keepNext w:val="0"/>
              <w:keepLines w:val="0"/>
              <w:pageBreakBefore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kinsoku/>
              <w:wordWrap/>
              <w:overflowPunct/>
              <w:topLinePunct w:val="0"/>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778" w:type="dxa"/>
            <w:shd w:val="clear" w:color="auto" w:fill="auto"/>
            <w:noWrap/>
            <w:vAlign w:val="center"/>
          </w:tcPr>
          <w:p w14:paraId="6F2AB1F2">
            <w:pPr>
              <w:keepNext w:val="0"/>
              <w:keepLines w:val="0"/>
              <w:pageBreakBefore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r>
      <w:tr w14:paraId="6DDA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046" w:hRule="atLeast"/>
        </w:trPr>
        <w:tc>
          <w:tcPr>
            <w:tcW w:w="457" w:type="dxa"/>
            <w:shd w:val="clear" w:color="auto" w:fill="auto"/>
            <w:noWrap/>
            <w:vAlign w:val="center"/>
          </w:tcPr>
          <w:p w14:paraId="7444DC19">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7</w:t>
            </w:r>
          </w:p>
        </w:tc>
        <w:tc>
          <w:tcPr>
            <w:tcW w:w="1132" w:type="dxa"/>
            <w:shd w:val="clear" w:color="auto" w:fill="auto"/>
            <w:noWrap/>
            <w:vAlign w:val="center"/>
          </w:tcPr>
          <w:p w14:paraId="36DE3823">
            <w:pPr>
              <w:keepNext w:val="0"/>
              <w:keepLines w:val="0"/>
              <w:suppressLineNumbers w:val="0"/>
              <w:spacing w:before="0" w:beforeAutospacing="0" w:after="0" w:afterAutospacing="0"/>
              <w:ind w:left="0" w:leftChars="0" w:right="0" w:rightChars="0"/>
              <w:jc w:val="center"/>
              <w:rPr>
                <w:rFonts w:hint="eastAsia" w:ascii="宋体" w:hAnsi="宋体" w:eastAsia="宋体" w:cs="Calibri"/>
                <w:color w:val="auto"/>
                <w:kern w:val="2"/>
                <w:sz w:val="21"/>
                <w:szCs w:val="21"/>
                <w:highlight w:val="none"/>
                <w:lang w:val="en-US" w:eastAsia="zh-CN" w:bidi="ar-SA"/>
              </w:rPr>
            </w:pPr>
            <w:r>
              <w:rPr>
                <w:rFonts w:hint="eastAsia" w:ascii="宋体" w:hAnsi="宋体"/>
                <w:color w:val="auto"/>
                <w:highlight w:val="none"/>
              </w:rPr>
              <w:t>志愿者调度方案</w:t>
            </w:r>
          </w:p>
        </w:tc>
        <w:tc>
          <w:tcPr>
            <w:tcW w:w="6892" w:type="dxa"/>
            <w:shd w:val="clear" w:color="auto" w:fill="auto"/>
            <w:noWrap/>
            <w:vAlign w:val="center"/>
          </w:tcPr>
          <w:p w14:paraId="2CABD785">
            <w:pPr>
              <w:keepNext w:val="0"/>
              <w:keepLines w:val="0"/>
              <w:suppressLineNumbers w:val="0"/>
              <w:spacing w:before="0" w:beforeAutospacing="0" w:after="0" w:afterAutospacing="0"/>
              <w:ind w:left="0" w:right="0"/>
              <w:jc w:val="left"/>
              <w:rPr>
                <w:rFonts w:hint="eastAsia" w:ascii="宋体" w:hAnsi="宋体"/>
                <w:color w:val="auto"/>
                <w:highlight w:val="none"/>
              </w:rPr>
            </w:pPr>
            <w:r>
              <w:rPr>
                <w:rFonts w:hint="eastAsia" w:ascii="宋体" w:hAnsi="宋体"/>
                <w:color w:val="auto"/>
                <w:highlight w:val="none"/>
              </w:rPr>
              <w:t>投标人负责志愿者的培训、接送等，需协助志愿者现场管理和调度。根据对志愿者的调度方案是否完整、详细，是否有可行性进行评分。</w:t>
            </w:r>
            <w:r>
              <w:rPr>
                <w:rFonts w:hint="eastAsia" w:ascii="宋体" w:hAnsi="宋体" w:eastAsia="宋体" w:cs="宋体"/>
                <w:color w:val="auto"/>
                <w:kern w:val="0"/>
                <w:sz w:val="21"/>
                <w:szCs w:val="21"/>
                <w:highlight w:val="none"/>
                <w:lang w:val="zh-CN" w:eastAsia="zh-CN"/>
              </w:rPr>
              <w:t>方案</w:t>
            </w:r>
            <w:r>
              <w:rPr>
                <w:rFonts w:hint="eastAsia" w:ascii="宋体" w:hAnsi="宋体" w:eastAsia="宋体" w:cs="宋体"/>
                <w:color w:val="auto"/>
                <w:kern w:val="0"/>
                <w:sz w:val="21"/>
                <w:szCs w:val="21"/>
                <w:highlight w:val="none"/>
                <w:lang w:val="en-US" w:eastAsia="zh-CN"/>
              </w:rPr>
              <w:t>内容全面，完全符合项目实际需求，切实可行的得</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分，方案内容不完善、表述不完整的每处扣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lang w:val="zh-CN" w:eastAsia="zh-CN"/>
              </w:rPr>
              <w:t>内容不符合或不提供的不得分。</w:t>
            </w:r>
          </w:p>
          <w:p w14:paraId="51C72CDA">
            <w:pPr>
              <w:keepNext w:val="0"/>
              <w:keepLines w:val="0"/>
              <w:suppressLineNumbers w:val="0"/>
              <w:spacing w:before="0" w:beforeAutospacing="0" w:after="0" w:afterAutospacing="0"/>
              <w:ind w:left="0" w:leftChars="0" w:right="0" w:rightChars="0"/>
              <w:jc w:val="left"/>
              <w:rPr>
                <w:rFonts w:hint="eastAsia" w:ascii="宋体" w:hAnsi="宋体" w:eastAsia="宋体" w:cs="Calibri"/>
                <w:color w:val="auto"/>
                <w:kern w:val="2"/>
                <w:sz w:val="21"/>
                <w:szCs w:val="21"/>
                <w:highlight w:val="none"/>
                <w:lang w:val="en-US" w:eastAsia="zh-CN" w:bidi="ar-SA"/>
              </w:rPr>
            </w:pPr>
            <w:r>
              <w:rPr>
                <w:rFonts w:hint="eastAsia" w:ascii="宋体" w:hAnsi="宋体" w:cs="宋体"/>
                <w:b w:val="0"/>
                <w:bCs w:val="0"/>
                <w:sz w:val="21"/>
                <w:szCs w:val="21"/>
                <w:highlight w:val="none"/>
                <w:lang w:val="zh-CN" w:eastAsia="zh-CN"/>
              </w:rPr>
              <w:t>（</w:t>
            </w:r>
            <w:r>
              <w:rPr>
                <w:rFonts w:hint="eastAsia" w:ascii="宋体" w:hAnsi="宋体" w:cs="宋体"/>
                <w:b w:val="0"/>
                <w:bCs w:val="0"/>
                <w:sz w:val="21"/>
                <w:szCs w:val="21"/>
                <w:highlight w:val="none"/>
                <w:lang w:val="en-US" w:eastAsia="zh-CN"/>
              </w:rPr>
              <w:t>评分范围：5,4,3,2,1,0</w:t>
            </w:r>
            <w:r>
              <w:rPr>
                <w:rFonts w:hint="eastAsia" w:ascii="宋体" w:hAnsi="宋体" w:cs="宋体"/>
                <w:b w:val="0"/>
                <w:bCs w:val="0"/>
                <w:sz w:val="21"/>
                <w:szCs w:val="21"/>
                <w:highlight w:val="none"/>
                <w:lang w:val="zh-CN" w:eastAsia="zh-CN"/>
              </w:rPr>
              <w:t>）</w:t>
            </w:r>
          </w:p>
        </w:tc>
        <w:tc>
          <w:tcPr>
            <w:tcW w:w="799" w:type="dxa"/>
            <w:shd w:val="clear" w:color="auto" w:fill="auto"/>
            <w:noWrap/>
            <w:vAlign w:val="center"/>
          </w:tcPr>
          <w:p w14:paraId="390753BF">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主观分</w:t>
            </w:r>
          </w:p>
        </w:tc>
        <w:tc>
          <w:tcPr>
            <w:tcW w:w="778" w:type="dxa"/>
            <w:shd w:val="clear" w:color="auto" w:fill="auto"/>
            <w:noWrap/>
            <w:vAlign w:val="center"/>
          </w:tcPr>
          <w:p w14:paraId="471E925E">
            <w:pPr>
              <w:keepNext w:val="0"/>
              <w:keepLines w:val="0"/>
              <w:suppressLineNumbers w:val="0"/>
              <w:autoSpaceDE w:val="0"/>
              <w:autoSpaceDN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rPr>
              <w:t>0-</w:t>
            </w:r>
            <w:r>
              <w:rPr>
                <w:rFonts w:hint="eastAsia" w:ascii="宋体" w:hAnsi="宋体" w:cs="宋体"/>
                <w:kern w:val="2"/>
                <w:sz w:val="21"/>
                <w:szCs w:val="21"/>
                <w:highlight w:val="none"/>
                <w:lang w:val="en-US" w:eastAsia="zh-CN" w:bidi="ar-SA"/>
              </w:rPr>
              <w:t>5</w:t>
            </w:r>
            <w:r>
              <w:rPr>
                <w:rFonts w:hint="eastAsia" w:ascii="宋体" w:hAnsi="宋体" w:cs="宋体"/>
                <w:kern w:val="2"/>
                <w:sz w:val="21"/>
                <w:szCs w:val="21"/>
                <w:highlight w:val="none"/>
                <w:lang w:val="zh-CN" w:eastAsia="zh-CN" w:bidi="ar-SA"/>
              </w:rPr>
              <w:t>分</w:t>
            </w:r>
          </w:p>
        </w:tc>
      </w:tr>
      <w:tr w14:paraId="1A9F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8" w:hRule="atLeast"/>
        </w:trPr>
        <w:tc>
          <w:tcPr>
            <w:tcW w:w="457" w:type="dxa"/>
            <w:shd w:val="clear" w:color="auto" w:fill="auto"/>
            <w:noWrap/>
            <w:vAlign w:val="center"/>
          </w:tcPr>
          <w:p w14:paraId="527FD778">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8</w:t>
            </w:r>
          </w:p>
        </w:tc>
        <w:tc>
          <w:tcPr>
            <w:tcW w:w="1132" w:type="dxa"/>
            <w:shd w:val="clear" w:color="auto" w:fill="auto"/>
            <w:noWrap/>
            <w:vAlign w:val="center"/>
          </w:tcPr>
          <w:p w14:paraId="32373507">
            <w:pPr>
              <w:keepNext w:val="0"/>
              <w:keepLines w:val="0"/>
              <w:suppressLineNumbers w:val="0"/>
              <w:spacing w:before="0" w:beforeAutospacing="0" w:after="0" w:afterAutospacing="0"/>
              <w:ind w:left="0" w:leftChars="0" w:right="0" w:rightChars="0"/>
              <w:jc w:val="center"/>
              <w:rPr>
                <w:rFonts w:hint="eastAsia" w:ascii="宋体" w:hAnsi="宋体" w:eastAsia="宋体" w:cs="Calibri"/>
                <w:color w:val="auto"/>
                <w:kern w:val="2"/>
                <w:sz w:val="21"/>
                <w:szCs w:val="21"/>
                <w:highlight w:val="none"/>
                <w:lang w:val="en-US" w:eastAsia="zh-CN" w:bidi="ar-SA"/>
              </w:rPr>
            </w:pPr>
            <w:r>
              <w:rPr>
                <w:rFonts w:hint="eastAsia" w:ascii="宋体" w:hAnsi="宋体"/>
                <w:color w:val="auto"/>
                <w:highlight w:val="none"/>
              </w:rPr>
              <w:t>宣传方案</w:t>
            </w:r>
          </w:p>
        </w:tc>
        <w:tc>
          <w:tcPr>
            <w:tcW w:w="6892" w:type="dxa"/>
            <w:shd w:val="clear" w:color="auto" w:fill="auto"/>
            <w:noWrap/>
            <w:vAlign w:val="center"/>
          </w:tcPr>
          <w:p w14:paraId="4CAFCBA9">
            <w:pPr>
              <w:keepNext w:val="0"/>
              <w:keepLines w:val="0"/>
              <w:suppressLineNumbers w:val="0"/>
              <w:spacing w:before="0" w:beforeAutospacing="0" w:after="0" w:afterAutospacing="0"/>
              <w:ind w:left="0" w:right="0"/>
              <w:jc w:val="left"/>
              <w:rPr>
                <w:rFonts w:hint="eastAsia" w:ascii="宋体" w:hAnsi="宋体"/>
                <w:color w:val="auto"/>
                <w:highlight w:val="none"/>
              </w:rPr>
            </w:pPr>
            <w:r>
              <w:rPr>
                <w:rFonts w:hint="eastAsia" w:ascii="宋体" w:hAnsi="宋体"/>
                <w:color w:val="auto"/>
                <w:highlight w:val="none"/>
              </w:rPr>
              <w:t>投标人应协助采购人做好赛事宣传工作。根据投标人的协助宣传方案是否完整、详细，是否有可行性进行评分。</w:t>
            </w:r>
            <w:r>
              <w:rPr>
                <w:rFonts w:hint="eastAsia" w:ascii="宋体" w:hAnsi="宋体" w:eastAsia="宋体" w:cs="宋体"/>
                <w:color w:val="auto"/>
                <w:kern w:val="0"/>
                <w:sz w:val="21"/>
                <w:szCs w:val="21"/>
                <w:highlight w:val="none"/>
                <w:lang w:val="zh-CN" w:eastAsia="zh-CN"/>
              </w:rPr>
              <w:t>方案</w:t>
            </w:r>
            <w:r>
              <w:rPr>
                <w:rFonts w:hint="eastAsia" w:ascii="宋体" w:hAnsi="宋体" w:eastAsia="宋体" w:cs="宋体"/>
                <w:color w:val="auto"/>
                <w:kern w:val="0"/>
                <w:sz w:val="21"/>
                <w:szCs w:val="21"/>
                <w:highlight w:val="none"/>
                <w:lang w:val="en-US" w:eastAsia="zh-CN"/>
              </w:rPr>
              <w:t>内容全面，完全符合项目实际需求，切实可行的得</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分，方案内容不完善、表述不完整的每处扣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lang w:val="zh-CN" w:eastAsia="zh-CN"/>
              </w:rPr>
              <w:t>内容不符合或不提供的不得分。</w:t>
            </w:r>
          </w:p>
          <w:p w14:paraId="7059320B">
            <w:pPr>
              <w:keepNext w:val="0"/>
              <w:keepLines w:val="0"/>
              <w:suppressLineNumbers w:val="0"/>
              <w:spacing w:before="0" w:beforeAutospacing="0" w:after="0" w:afterAutospacing="0"/>
              <w:ind w:left="0" w:leftChars="0" w:right="0" w:rightChars="0"/>
              <w:jc w:val="left"/>
              <w:rPr>
                <w:rFonts w:hint="eastAsia" w:ascii="宋体" w:hAnsi="宋体" w:eastAsia="宋体" w:cs="Calibri"/>
                <w:color w:val="auto"/>
                <w:kern w:val="2"/>
                <w:sz w:val="21"/>
                <w:szCs w:val="21"/>
                <w:highlight w:val="none"/>
                <w:lang w:val="en-US" w:eastAsia="zh-CN" w:bidi="ar-SA"/>
              </w:rPr>
            </w:pPr>
            <w:r>
              <w:rPr>
                <w:rFonts w:hint="eastAsia" w:ascii="宋体" w:hAnsi="宋体" w:cs="宋体"/>
                <w:b w:val="0"/>
                <w:bCs w:val="0"/>
                <w:sz w:val="21"/>
                <w:szCs w:val="21"/>
                <w:highlight w:val="none"/>
                <w:lang w:val="zh-CN" w:eastAsia="zh-CN"/>
              </w:rPr>
              <w:t>（</w:t>
            </w:r>
            <w:r>
              <w:rPr>
                <w:rFonts w:hint="eastAsia" w:ascii="宋体" w:hAnsi="宋体" w:cs="宋体"/>
                <w:b w:val="0"/>
                <w:bCs w:val="0"/>
                <w:sz w:val="21"/>
                <w:szCs w:val="21"/>
                <w:highlight w:val="none"/>
                <w:lang w:val="en-US" w:eastAsia="zh-CN"/>
              </w:rPr>
              <w:t>评分范围：5,4,3,2,1,0</w:t>
            </w:r>
            <w:r>
              <w:rPr>
                <w:rFonts w:hint="eastAsia" w:ascii="宋体" w:hAnsi="宋体" w:cs="宋体"/>
                <w:b w:val="0"/>
                <w:bCs w:val="0"/>
                <w:sz w:val="21"/>
                <w:szCs w:val="21"/>
                <w:highlight w:val="none"/>
                <w:lang w:val="zh-CN" w:eastAsia="zh-CN"/>
              </w:rPr>
              <w:t>）</w:t>
            </w:r>
          </w:p>
        </w:tc>
        <w:tc>
          <w:tcPr>
            <w:tcW w:w="799" w:type="dxa"/>
            <w:shd w:val="clear" w:color="auto" w:fill="auto"/>
            <w:noWrap/>
            <w:vAlign w:val="center"/>
          </w:tcPr>
          <w:p w14:paraId="2C305F1C">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主观分</w:t>
            </w:r>
          </w:p>
        </w:tc>
        <w:tc>
          <w:tcPr>
            <w:tcW w:w="778" w:type="dxa"/>
            <w:shd w:val="clear" w:color="auto" w:fill="auto"/>
            <w:noWrap/>
            <w:vAlign w:val="center"/>
          </w:tcPr>
          <w:p w14:paraId="40D74E97">
            <w:pPr>
              <w:keepNext w:val="0"/>
              <w:keepLines w:val="0"/>
              <w:suppressLineNumbers w:val="0"/>
              <w:autoSpaceDE w:val="0"/>
              <w:autoSpaceDN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rPr>
              <w:t>0-</w:t>
            </w:r>
            <w:r>
              <w:rPr>
                <w:rFonts w:hint="eastAsia" w:ascii="宋体" w:hAnsi="宋体" w:cs="宋体"/>
                <w:kern w:val="2"/>
                <w:sz w:val="21"/>
                <w:szCs w:val="21"/>
                <w:highlight w:val="none"/>
                <w:lang w:val="en-US" w:eastAsia="zh-CN" w:bidi="ar-SA"/>
              </w:rPr>
              <w:t>5</w:t>
            </w:r>
            <w:r>
              <w:rPr>
                <w:rFonts w:hint="eastAsia" w:ascii="宋体" w:hAnsi="宋体" w:cs="宋体"/>
                <w:kern w:val="2"/>
                <w:sz w:val="21"/>
                <w:szCs w:val="21"/>
                <w:highlight w:val="none"/>
                <w:lang w:val="zh-CN" w:eastAsia="zh-CN" w:bidi="ar-SA"/>
              </w:rPr>
              <w:t>分</w:t>
            </w:r>
          </w:p>
        </w:tc>
      </w:tr>
      <w:tr w14:paraId="4AC6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51" w:hRule="atLeast"/>
        </w:trPr>
        <w:tc>
          <w:tcPr>
            <w:tcW w:w="457" w:type="dxa"/>
            <w:shd w:val="clear" w:color="auto" w:fill="auto"/>
            <w:noWrap/>
            <w:vAlign w:val="center"/>
          </w:tcPr>
          <w:p w14:paraId="16C07164">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9</w:t>
            </w:r>
          </w:p>
        </w:tc>
        <w:tc>
          <w:tcPr>
            <w:tcW w:w="1132" w:type="dxa"/>
            <w:shd w:val="clear" w:color="auto" w:fill="auto"/>
            <w:noWrap/>
            <w:vAlign w:val="center"/>
          </w:tcPr>
          <w:p w14:paraId="08D8BB03">
            <w:pPr>
              <w:keepNext w:val="0"/>
              <w:keepLines w:val="0"/>
              <w:suppressLineNumbers w:val="0"/>
              <w:spacing w:before="0" w:beforeAutospacing="0" w:after="0" w:afterAutospacing="0"/>
              <w:ind w:left="0" w:leftChars="0" w:right="0" w:rightChars="0"/>
              <w:jc w:val="center"/>
              <w:rPr>
                <w:rFonts w:hint="eastAsia" w:ascii="宋体" w:hAnsi="宋体" w:eastAsia="宋体" w:cs="Calibri"/>
                <w:color w:val="auto"/>
                <w:kern w:val="2"/>
                <w:sz w:val="21"/>
                <w:szCs w:val="21"/>
                <w:highlight w:val="none"/>
                <w:lang w:val="en-US" w:eastAsia="zh-CN" w:bidi="ar-SA"/>
              </w:rPr>
            </w:pPr>
            <w:r>
              <w:rPr>
                <w:rFonts w:hint="eastAsia" w:ascii="宋体" w:hAnsi="宋体"/>
                <w:color w:val="auto"/>
                <w:highlight w:val="none"/>
              </w:rPr>
              <w:t>场地布置方案</w:t>
            </w:r>
          </w:p>
        </w:tc>
        <w:tc>
          <w:tcPr>
            <w:tcW w:w="6892" w:type="dxa"/>
            <w:shd w:val="clear" w:color="auto" w:fill="auto"/>
            <w:noWrap/>
            <w:vAlign w:val="center"/>
          </w:tcPr>
          <w:p w14:paraId="71223458">
            <w:pPr>
              <w:keepNext w:val="0"/>
              <w:keepLines w:val="0"/>
              <w:suppressLineNumbers w:val="0"/>
              <w:spacing w:before="0" w:beforeAutospacing="0" w:after="0" w:afterAutospacing="0"/>
              <w:ind w:left="0" w:leftChars="0" w:right="0" w:rightChars="0"/>
              <w:jc w:val="left"/>
              <w:rPr>
                <w:rFonts w:hint="eastAsia" w:ascii="宋体" w:hAnsi="宋体" w:eastAsia="宋体" w:cs="Calibri"/>
                <w:color w:val="auto"/>
                <w:kern w:val="2"/>
                <w:sz w:val="21"/>
                <w:szCs w:val="21"/>
                <w:highlight w:val="none"/>
                <w:lang w:val="en-US" w:eastAsia="zh-CN" w:bidi="ar-SA"/>
              </w:rPr>
            </w:pPr>
            <w:r>
              <w:rPr>
                <w:rFonts w:hint="eastAsia" w:ascii="宋体" w:hAnsi="宋体"/>
                <w:color w:val="auto"/>
                <w:highlight w:val="none"/>
              </w:rPr>
              <w:t>投标人负责勘测赛场、赛场场地布置。根据投标人的场地布置方案是否完整、详细，是否有可行性进行评分。</w:t>
            </w:r>
            <w:r>
              <w:rPr>
                <w:rFonts w:hint="eastAsia" w:ascii="宋体" w:hAnsi="宋体" w:eastAsia="宋体" w:cs="宋体"/>
                <w:color w:val="auto"/>
                <w:kern w:val="0"/>
                <w:sz w:val="21"/>
                <w:szCs w:val="21"/>
                <w:highlight w:val="none"/>
                <w:lang w:val="zh-CN" w:eastAsia="zh-CN"/>
              </w:rPr>
              <w:t>方案</w:t>
            </w:r>
            <w:r>
              <w:rPr>
                <w:rFonts w:hint="eastAsia" w:ascii="宋体" w:hAnsi="宋体" w:eastAsia="宋体" w:cs="宋体"/>
                <w:color w:val="auto"/>
                <w:kern w:val="0"/>
                <w:sz w:val="21"/>
                <w:szCs w:val="21"/>
                <w:highlight w:val="none"/>
                <w:lang w:val="en-US" w:eastAsia="zh-CN"/>
              </w:rPr>
              <w:t>内容全面，完全符合项目实际需求，切实可行的得</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分，方案内容不完善、表述不完整的每处扣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lang w:val="zh-CN" w:eastAsia="zh-CN"/>
              </w:rPr>
              <w:t>内容不符合或不提供的不得分。</w:t>
            </w:r>
            <w:r>
              <w:rPr>
                <w:rFonts w:hint="eastAsia" w:ascii="宋体" w:hAnsi="宋体" w:cs="宋体"/>
                <w:b w:val="0"/>
                <w:bCs w:val="0"/>
                <w:sz w:val="21"/>
                <w:szCs w:val="21"/>
                <w:highlight w:val="none"/>
                <w:lang w:val="zh-CN" w:eastAsia="zh-CN"/>
              </w:rPr>
              <w:t>（</w:t>
            </w:r>
            <w:r>
              <w:rPr>
                <w:rFonts w:hint="eastAsia" w:ascii="宋体" w:hAnsi="宋体" w:cs="宋体"/>
                <w:b w:val="0"/>
                <w:bCs w:val="0"/>
                <w:sz w:val="21"/>
                <w:szCs w:val="21"/>
                <w:highlight w:val="none"/>
                <w:lang w:val="en-US" w:eastAsia="zh-CN"/>
              </w:rPr>
              <w:t>评分范围：5,4,3,2,1,0</w:t>
            </w:r>
            <w:r>
              <w:rPr>
                <w:rFonts w:hint="eastAsia" w:ascii="宋体" w:hAnsi="宋体" w:cs="宋体"/>
                <w:b w:val="0"/>
                <w:bCs w:val="0"/>
                <w:sz w:val="21"/>
                <w:szCs w:val="21"/>
                <w:highlight w:val="none"/>
                <w:lang w:val="zh-CN" w:eastAsia="zh-CN"/>
              </w:rPr>
              <w:t>）</w:t>
            </w:r>
          </w:p>
        </w:tc>
        <w:tc>
          <w:tcPr>
            <w:tcW w:w="799" w:type="dxa"/>
            <w:shd w:val="clear" w:color="auto" w:fill="auto"/>
            <w:noWrap/>
            <w:vAlign w:val="center"/>
          </w:tcPr>
          <w:p w14:paraId="3712456C">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主观分</w:t>
            </w:r>
          </w:p>
        </w:tc>
        <w:tc>
          <w:tcPr>
            <w:tcW w:w="778" w:type="dxa"/>
            <w:shd w:val="clear" w:color="auto" w:fill="auto"/>
            <w:noWrap/>
            <w:vAlign w:val="center"/>
          </w:tcPr>
          <w:p w14:paraId="20F474E1">
            <w:pPr>
              <w:keepNext w:val="0"/>
              <w:keepLines w:val="0"/>
              <w:suppressLineNumbers w:val="0"/>
              <w:autoSpaceDE w:val="0"/>
              <w:autoSpaceDN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rPr>
              <w:t>0-</w:t>
            </w:r>
            <w:r>
              <w:rPr>
                <w:rFonts w:hint="eastAsia" w:ascii="宋体" w:hAnsi="宋体" w:cs="宋体"/>
                <w:kern w:val="2"/>
                <w:sz w:val="21"/>
                <w:szCs w:val="21"/>
                <w:highlight w:val="none"/>
                <w:lang w:val="en-US" w:eastAsia="zh-CN" w:bidi="ar-SA"/>
              </w:rPr>
              <w:t>5</w:t>
            </w:r>
            <w:r>
              <w:rPr>
                <w:rFonts w:hint="eastAsia" w:ascii="宋体" w:hAnsi="宋体" w:cs="宋体"/>
                <w:kern w:val="2"/>
                <w:sz w:val="21"/>
                <w:szCs w:val="21"/>
                <w:highlight w:val="none"/>
                <w:lang w:val="zh-CN" w:eastAsia="zh-CN" w:bidi="ar-SA"/>
              </w:rPr>
              <w:t>分</w:t>
            </w:r>
          </w:p>
        </w:tc>
      </w:tr>
      <w:tr w14:paraId="07D9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51" w:hRule="atLeast"/>
        </w:trPr>
        <w:tc>
          <w:tcPr>
            <w:tcW w:w="457" w:type="dxa"/>
            <w:noWrap/>
            <w:vAlign w:val="center"/>
          </w:tcPr>
          <w:p w14:paraId="07791A57">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p>
        </w:tc>
        <w:tc>
          <w:tcPr>
            <w:tcW w:w="1132" w:type="dxa"/>
            <w:shd w:val="clear" w:color="auto" w:fill="auto"/>
            <w:noWrap/>
            <w:vAlign w:val="center"/>
          </w:tcPr>
          <w:p w14:paraId="3BBA363B">
            <w:pPr>
              <w:keepNext w:val="0"/>
              <w:keepLines w:val="0"/>
              <w:suppressLineNumbers w:val="0"/>
              <w:spacing w:before="0" w:beforeAutospacing="0" w:after="0" w:afterAutospacing="0"/>
              <w:ind w:left="0" w:leftChars="0" w:right="0" w:rightChars="0"/>
              <w:jc w:val="center"/>
              <w:rPr>
                <w:rFonts w:hint="eastAsia" w:ascii="宋体" w:hAnsi="宋体" w:eastAsia="宋体" w:cs="Calibri"/>
                <w:color w:val="auto"/>
                <w:kern w:val="2"/>
                <w:sz w:val="21"/>
                <w:szCs w:val="21"/>
                <w:highlight w:val="none"/>
                <w:lang w:val="en-US" w:eastAsia="zh-CN" w:bidi="ar-SA"/>
              </w:rPr>
            </w:pPr>
            <w:r>
              <w:rPr>
                <w:rFonts w:hint="eastAsia" w:ascii="宋体" w:hAnsi="宋体"/>
                <w:color w:val="auto"/>
                <w:highlight w:val="none"/>
                <w:lang w:val="en-US" w:eastAsia="zh-CN"/>
              </w:rPr>
              <w:t>无障碍保障方案</w:t>
            </w:r>
          </w:p>
        </w:tc>
        <w:tc>
          <w:tcPr>
            <w:tcW w:w="6892" w:type="dxa"/>
            <w:shd w:val="clear" w:color="auto" w:fill="auto"/>
            <w:noWrap/>
            <w:vAlign w:val="center"/>
          </w:tcPr>
          <w:p w14:paraId="6B094AA5">
            <w:pPr>
              <w:keepNext w:val="0"/>
              <w:keepLines w:val="0"/>
              <w:suppressLineNumbers w:val="0"/>
              <w:spacing w:before="0" w:beforeAutospacing="0" w:after="0" w:afterAutospacing="0"/>
              <w:ind w:left="0" w:right="0"/>
              <w:jc w:val="left"/>
              <w:rPr>
                <w:rFonts w:hint="eastAsia" w:ascii="宋体" w:hAnsi="宋体"/>
                <w:color w:val="auto"/>
                <w:highlight w:val="none"/>
              </w:rPr>
            </w:pPr>
            <w:r>
              <w:rPr>
                <w:rFonts w:hint="eastAsia" w:ascii="宋体" w:hAnsi="宋体"/>
                <w:color w:val="auto"/>
                <w:highlight w:val="none"/>
                <w:lang w:val="en-US" w:eastAsia="zh-CN"/>
              </w:rPr>
              <w:t>投标人无障碍配套服务保障方案。</w:t>
            </w:r>
            <w:r>
              <w:rPr>
                <w:rFonts w:hint="eastAsia" w:ascii="宋体" w:hAnsi="宋体"/>
                <w:color w:val="auto"/>
                <w:highlight w:val="none"/>
              </w:rPr>
              <w:t>根据投标人的</w:t>
            </w:r>
            <w:r>
              <w:rPr>
                <w:rFonts w:hint="eastAsia" w:ascii="宋体" w:hAnsi="宋体"/>
                <w:color w:val="auto"/>
                <w:highlight w:val="none"/>
                <w:lang w:val="en-US" w:eastAsia="zh-CN"/>
              </w:rPr>
              <w:t>无障碍配套服务保障方案</w:t>
            </w:r>
            <w:r>
              <w:rPr>
                <w:rFonts w:hint="eastAsia" w:ascii="宋体" w:hAnsi="宋体"/>
                <w:color w:val="auto"/>
                <w:highlight w:val="none"/>
              </w:rPr>
              <w:t>是否完整、详细，是否有可行性进行评分。</w:t>
            </w:r>
            <w:r>
              <w:rPr>
                <w:rFonts w:hint="eastAsia" w:ascii="宋体" w:hAnsi="宋体" w:eastAsia="宋体" w:cs="宋体"/>
                <w:color w:val="auto"/>
                <w:kern w:val="0"/>
                <w:sz w:val="21"/>
                <w:szCs w:val="21"/>
                <w:highlight w:val="none"/>
                <w:lang w:val="zh-CN" w:eastAsia="zh-CN"/>
              </w:rPr>
              <w:t>方案</w:t>
            </w:r>
            <w:r>
              <w:rPr>
                <w:rFonts w:hint="eastAsia" w:ascii="宋体" w:hAnsi="宋体" w:eastAsia="宋体" w:cs="宋体"/>
                <w:color w:val="auto"/>
                <w:kern w:val="0"/>
                <w:sz w:val="21"/>
                <w:szCs w:val="21"/>
                <w:highlight w:val="none"/>
                <w:lang w:val="en-US" w:eastAsia="zh-CN"/>
              </w:rPr>
              <w:t>内容全面，完全符合项目实际需求，切实可行的得</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分，方案内容不完善、表述不完整的每处扣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lang w:val="zh-CN" w:eastAsia="zh-CN"/>
              </w:rPr>
              <w:t>内容不符合或不提供的不得分。</w:t>
            </w:r>
          </w:p>
          <w:p w14:paraId="577877A5">
            <w:pPr>
              <w:keepNext w:val="0"/>
              <w:keepLines w:val="0"/>
              <w:suppressLineNumbers w:val="0"/>
              <w:spacing w:before="0" w:beforeAutospacing="0" w:after="0" w:afterAutospacing="0"/>
              <w:ind w:left="0" w:leftChars="0" w:right="0" w:rightChars="0"/>
              <w:jc w:val="left"/>
              <w:rPr>
                <w:rFonts w:hint="eastAsia" w:ascii="宋体" w:hAnsi="宋体" w:eastAsia="宋体" w:cs="Calibri"/>
                <w:color w:val="auto"/>
                <w:kern w:val="2"/>
                <w:sz w:val="21"/>
                <w:szCs w:val="21"/>
                <w:highlight w:val="none"/>
                <w:lang w:val="en-US" w:eastAsia="zh-CN" w:bidi="ar-SA"/>
              </w:rPr>
            </w:pPr>
            <w:r>
              <w:rPr>
                <w:rFonts w:hint="eastAsia" w:ascii="宋体" w:hAnsi="宋体" w:cs="宋体"/>
                <w:b w:val="0"/>
                <w:bCs w:val="0"/>
                <w:sz w:val="21"/>
                <w:szCs w:val="21"/>
                <w:highlight w:val="none"/>
                <w:lang w:val="zh-CN" w:eastAsia="zh-CN"/>
              </w:rPr>
              <w:t>（</w:t>
            </w:r>
            <w:r>
              <w:rPr>
                <w:rFonts w:hint="eastAsia" w:ascii="宋体" w:hAnsi="宋体" w:cs="宋体"/>
                <w:b w:val="0"/>
                <w:bCs w:val="0"/>
                <w:sz w:val="21"/>
                <w:szCs w:val="21"/>
                <w:highlight w:val="none"/>
                <w:lang w:val="en-US" w:eastAsia="zh-CN"/>
              </w:rPr>
              <w:t>评分范围：5,4,3,2,1,0</w:t>
            </w:r>
            <w:r>
              <w:rPr>
                <w:rFonts w:hint="eastAsia" w:ascii="宋体" w:hAnsi="宋体" w:cs="宋体"/>
                <w:b w:val="0"/>
                <w:bCs w:val="0"/>
                <w:sz w:val="21"/>
                <w:szCs w:val="21"/>
                <w:highlight w:val="none"/>
                <w:lang w:val="zh-CN" w:eastAsia="zh-CN"/>
              </w:rPr>
              <w:t>）</w:t>
            </w:r>
          </w:p>
        </w:tc>
        <w:tc>
          <w:tcPr>
            <w:tcW w:w="799" w:type="dxa"/>
            <w:shd w:val="clear" w:color="auto" w:fill="auto"/>
            <w:noWrap/>
            <w:vAlign w:val="center"/>
          </w:tcPr>
          <w:p w14:paraId="30A1687A">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主观分</w:t>
            </w:r>
          </w:p>
        </w:tc>
        <w:tc>
          <w:tcPr>
            <w:tcW w:w="778" w:type="dxa"/>
            <w:shd w:val="clear" w:color="auto" w:fill="auto"/>
            <w:noWrap/>
            <w:vAlign w:val="center"/>
          </w:tcPr>
          <w:p w14:paraId="4CD03841">
            <w:pPr>
              <w:keepNext w:val="0"/>
              <w:keepLines w:val="0"/>
              <w:suppressLineNumbers w:val="0"/>
              <w:autoSpaceDE w:val="0"/>
              <w:autoSpaceDN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rPr>
              <w:t>0-</w:t>
            </w:r>
            <w:r>
              <w:rPr>
                <w:rFonts w:hint="eastAsia" w:ascii="宋体" w:hAnsi="宋体" w:cs="宋体"/>
                <w:kern w:val="2"/>
                <w:sz w:val="21"/>
                <w:szCs w:val="21"/>
                <w:highlight w:val="none"/>
                <w:lang w:val="en-US" w:eastAsia="zh-CN" w:bidi="ar-SA"/>
              </w:rPr>
              <w:t>5</w:t>
            </w:r>
            <w:r>
              <w:rPr>
                <w:rFonts w:hint="eastAsia" w:ascii="宋体" w:hAnsi="宋体" w:cs="宋体"/>
                <w:kern w:val="2"/>
                <w:sz w:val="21"/>
                <w:szCs w:val="21"/>
                <w:highlight w:val="none"/>
                <w:lang w:val="zh-CN" w:eastAsia="zh-CN" w:bidi="ar-SA"/>
              </w:rPr>
              <w:t>分</w:t>
            </w:r>
          </w:p>
        </w:tc>
      </w:tr>
      <w:tr w14:paraId="44C1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51" w:hRule="atLeast"/>
        </w:trPr>
        <w:tc>
          <w:tcPr>
            <w:tcW w:w="457" w:type="dxa"/>
            <w:noWrap/>
            <w:vAlign w:val="center"/>
          </w:tcPr>
          <w:p w14:paraId="642B6A21">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132" w:type="dxa"/>
            <w:shd w:val="clear" w:color="auto" w:fill="auto"/>
            <w:noWrap/>
            <w:vAlign w:val="center"/>
          </w:tcPr>
          <w:p w14:paraId="3AF5CE11">
            <w:pPr>
              <w:keepNext w:val="0"/>
              <w:keepLines w:val="0"/>
              <w:suppressLineNumbers w:val="0"/>
              <w:spacing w:before="0" w:beforeAutospacing="0" w:after="0" w:afterAutospacing="0"/>
              <w:ind w:left="0" w:leftChars="0" w:right="0" w:rightChars="0"/>
              <w:jc w:val="center"/>
              <w:rPr>
                <w:rFonts w:hint="eastAsia" w:ascii="宋体" w:hAnsi="宋体" w:eastAsia="宋体" w:cs="Calibri"/>
                <w:color w:val="auto"/>
                <w:kern w:val="2"/>
                <w:sz w:val="21"/>
                <w:szCs w:val="21"/>
                <w:highlight w:val="none"/>
                <w:lang w:val="en-US" w:eastAsia="zh-CN" w:bidi="ar-SA"/>
              </w:rPr>
            </w:pPr>
            <w:r>
              <w:rPr>
                <w:rFonts w:hint="eastAsia" w:ascii="宋体" w:hAnsi="宋体"/>
                <w:color w:val="auto"/>
                <w:highlight w:val="none"/>
              </w:rPr>
              <w:t>安全保障方案</w:t>
            </w:r>
          </w:p>
        </w:tc>
        <w:tc>
          <w:tcPr>
            <w:tcW w:w="6892" w:type="dxa"/>
            <w:shd w:val="clear" w:color="auto" w:fill="auto"/>
            <w:noWrap/>
            <w:vAlign w:val="center"/>
          </w:tcPr>
          <w:p w14:paraId="29DC2145">
            <w:pPr>
              <w:keepNext w:val="0"/>
              <w:keepLines w:val="0"/>
              <w:suppressLineNumbers w:val="0"/>
              <w:spacing w:before="0" w:beforeAutospacing="0" w:after="0" w:afterAutospacing="0"/>
              <w:ind w:left="0" w:right="0"/>
              <w:jc w:val="left"/>
              <w:rPr>
                <w:rFonts w:hint="eastAsia" w:ascii="宋体" w:hAnsi="宋体"/>
                <w:color w:val="auto"/>
                <w:highlight w:val="none"/>
              </w:rPr>
            </w:pPr>
            <w:r>
              <w:rPr>
                <w:rFonts w:hint="eastAsia" w:ascii="宋体" w:hAnsi="宋体"/>
                <w:color w:val="auto"/>
                <w:highlight w:val="none"/>
              </w:rPr>
              <w:t>投标人应当在前期准备、现场执行过程中制定详细的安保方案，合理配置安保人员、制定安全培训方案。根据投标人的安全保障方案是否完整、详细，是否有可行性进行评分。</w:t>
            </w:r>
            <w:r>
              <w:rPr>
                <w:rFonts w:hint="eastAsia" w:ascii="宋体" w:hAnsi="宋体" w:eastAsia="宋体" w:cs="宋体"/>
                <w:color w:val="auto"/>
                <w:kern w:val="0"/>
                <w:sz w:val="21"/>
                <w:szCs w:val="21"/>
                <w:highlight w:val="none"/>
                <w:lang w:val="zh-CN" w:eastAsia="zh-CN"/>
              </w:rPr>
              <w:t>方案</w:t>
            </w:r>
            <w:r>
              <w:rPr>
                <w:rFonts w:hint="eastAsia" w:ascii="宋体" w:hAnsi="宋体" w:eastAsia="宋体" w:cs="宋体"/>
                <w:color w:val="auto"/>
                <w:kern w:val="0"/>
                <w:sz w:val="21"/>
                <w:szCs w:val="21"/>
                <w:highlight w:val="none"/>
                <w:lang w:val="en-US" w:eastAsia="zh-CN"/>
              </w:rPr>
              <w:t>内容全面，完全符合项目实际需求，切实可行的得</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分，方案内容不完善、表述不完整的每处扣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lang w:val="zh-CN" w:eastAsia="zh-CN"/>
              </w:rPr>
              <w:t>内容不符合或不提供的不得分。</w:t>
            </w:r>
          </w:p>
          <w:p w14:paraId="3AB3E72A">
            <w:pPr>
              <w:keepNext w:val="0"/>
              <w:keepLines w:val="0"/>
              <w:suppressLineNumbers w:val="0"/>
              <w:spacing w:before="0" w:beforeAutospacing="0" w:after="0" w:afterAutospacing="0"/>
              <w:ind w:left="0" w:leftChars="0" w:right="0" w:rightChars="0"/>
              <w:jc w:val="left"/>
              <w:rPr>
                <w:rFonts w:hint="eastAsia" w:ascii="宋体" w:hAnsi="宋体" w:eastAsia="宋体" w:cs="Calibri"/>
                <w:color w:val="auto"/>
                <w:kern w:val="2"/>
                <w:sz w:val="21"/>
                <w:szCs w:val="21"/>
                <w:highlight w:val="none"/>
                <w:lang w:val="en-US" w:eastAsia="zh-CN" w:bidi="ar-SA"/>
              </w:rPr>
            </w:pPr>
            <w:r>
              <w:rPr>
                <w:rFonts w:hint="eastAsia" w:ascii="宋体" w:hAnsi="宋体" w:cs="宋体"/>
                <w:b w:val="0"/>
                <w:bCs w:val="0"/>
                <w:sz w:val="21"/>
                <w:szCs w:val="21"/>
                <w:highlight w:val="none"/>
                <w:lang w:val="zh-CN" w:eastAsia="zh-CN"/>
              </w:rPr>
              <w:t>（</w:t>
            </w:r>
            <w:r>
              <w:rPr>
                <w:rFonts w:hint="eastAsia" w:ascii="宋体" w:hAnsi="宋体" w:cs="宋体"/>
                <w:b w:val="0"/>
                <w:bCs w:val="0"/>
                <w:sz w:val="21"/>
                <w:szCs w:val="21"/>
                <w:highlight w:val="none"/>
                <w:lang w:val="en-US" w:eastAsia="zh-CN"/>
              </w:rPr>
              <w:t>评分范围：5,4,3,2,1,0</w:t>
            </w:r>
            <w:r>
              <w:rPr>
                <w:rFonts w:hint="eastAsia" w:ascii="宋体" w:hAnsi="宋体" w:cs="宋体"/>
                <w:b w:val="0"/>
                <w:bCs w:val="0"/>
                <w:sz w:val="21"/>
                <w:szCs w:val="21"/>
                <w:highlight w:val="none"/>
                <w:lang w:val="zh-CN" w:eastAsia="zh-CN"/>
              </w:rPr>
              <w:t>）</w:t>
            </w:r>
          </w:p>
        </w:tc>
        <w:tc>
          <w:tcPr>
            <w:tcW w:w="799" w:type="dxa"/>
            <w:shd w:val="clear" w:color="auto" w:fill="auto"/>
            <w:noWrap/>
            <w:vAlign w:val="center"/>
          </w:tcPr>
          <w:p w14:paraId="1F3212A7">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主观分</w:t>
            </w:r>
          </w:p>
        </w:tc>
        <w:tc>
          <w:tcPr>
            <w:tcW w:w="778" w:type="dxa"/>
            <w:shd w:val="clear" w:color="auto" w:fill="auto"/>
            <w:noWrap/>
            <w:vAlign w:val="center"/>
          </w:tcPr>
          <w:p w14:paraId="423124F1">
            <w:pPr>
              <w:keepNext w:val="0"/>
              <w:keepLines w:val="0"/>
              <w:suppressLineNumbers w:val="0"/>
              <w:autoSpaceDE w:val="0"/>
              <w:autoSpaceDN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rPr>
              <w:t>0-</w:t>
            </w:r>
            <w:r>
              <w:rPr>
                <w:rFonts w:hint="eastAsia" w:ascii="宋体" w:hAnsi="宋体" w:cs="宋体"/>
                <w:kern w:val="2"/>
                <w:sz w:val="21"/>
                <w:szCs w:val="21"/>
                <w:highlight w:val="none"/>
                <w:lang w:val="en-US" w:eastAsia="zh-CN" w:bidi="ar-SA"/>
              </w:rPr>
              <w:t>5</w:t>
            </w:r>
            <w:r>
              <w:rPr>
                <w:rFonts w:hint="eastAsia" w:ascii="宋体" w:hAnsi="宋体" w:cs="宋体"/>
                <w:kern w:val="2"/>
                <w:sz w:val="21"/>
                <w:szCs w:val="21"/>
                <w:highlight w:val="none"/>
                <w:lang w:val="zh-CN" w:eastAsia="zh-CN" w:bidi="ar-SA"/>
              </w:rPr>
              <w:t>分</w:t>
            </w:r>
          </w:p>
        </w:tc>
      </w:tr>
      <w:tr w14:paraId="1994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51" w:hRule="atLeast"/>
        </w:trPr>
        <w:tc>
          <w:tcPr>
            <w:tcW w:w="457" w:type="dxa"/>
            <w:noWrap/>
            <w:vAlign w:val="center"/>
          </w:tcPr>
          <w:p w14:paraId="14C9554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color w:val="auto"/>
                <w:highlight w:val="none"/>
                <w:lang w:val="en-US" w:eastAsia="zh-CN"/>
              </w:rPr>
              <w:t>12</w:t>
            </w:r>
          </w:p>
        </w:tc>
        <w:tc>
          <w:tcPr>
            <w:tcW w:w="1132" w:type="dxa"/>
            <w:shd w:val="clear" w:color="auto" w:fill="auto"/>
            <w:noWrap/>
            <w:vAlign w:val="center"/>
          </w:tcPr>
          <w:p w14:paraId="7F9DA7E4">
            <w:pPr>
              <w:keepNext w:val="0"/>
              <w:keepLines w:val="0"/>
              <w:suppressLineNumbers w:val="0"/>
              <w:spacing w:before="0" w:beforeAutospacing="0" w:after="0" w:afterAutospacing="0"/>
              <w:ind w:left="0" w:leftChars="0" w:right="0" w:rightChars="0"/>
              <w:jc w:val="center"/>
              <w:rPr>
                <w:rFonts w:hint="eastAsia" w:ascii="宋体" w:hAnsi="宋体" w:eastAsia="宋体" w:cs="Calibri"/>
                <w:color w:val="auto"/>
                <w:kern w:val="2"/>
                <w:sz w:val="21"/>
                <w:szCs w:val="21"/>
                <w:highlight w:val="none"/>
                <w:lang w:val="en-US" w:eastAsia="zh-CN" w:bidi="ar-SA"/>
              </w:rPr>
            </w:pPr>
            <w:r>
              <w:rPr>
                <w:rFonts w:hint="eastAsia" w:ascii="宋体" w:hAnsi="宋体"/>
                <w:color w:val="auto"/>
                <w:highlight w:val="none"/>
              </w:rPr>
              <w:t>应急处置措施</w:t>
            </w:r>
          </w:p>
        </w:tc>
        <w:tc>
          <w:tcPr>
            <w:tcW w:w="6892" w:type="dxa"/>
            <w:shd w:val="clear" w:color="auto" w:fill="auto"/>
            <w:noWrap/>
            <w:vAlign w:val="center"/>
          </w:tcPr>
          <w:p w14:paraId="0A6E1117">
            <w:pPr>
              <w:keepNext w:val="0"/>
              <w:keepLines w:val="0"/>
              <w:suppressLineNumbers w:val="0"/>
              <w:spacing w:before="0" w:beforeAutospacing="0" w:after="0" w:afterAutospacing="0"/>
              <w:ind w:left="0" w:right="0"/>
              <w:jc w:val="left"/>
              <w:rPr>
                <w:rFonts w:hint="eastAsia" w:ascii="宋体" w:hAnsi="宋体"/>
                <w:color w:val="auto"/>
                <w:highlight w:val="none"/>
              </w:rPr>
            </w:pPr>
            <w:r>
              <w:rPr>
                <w:rFonts w:hint="eastAsia" w:ascii="宋体" w:hAnsi="宋体"/>
                <w:color w:val="auto"/>
                <w:highlight w:val="none"/>
              </w:rPr>
              <w:t>投标人应针对火灾、医疗事件等制定详细预案，确保快速反应。根据投标人的应急处置措施是否完整、详细，是否有可行性进行评分。措施</w:t>
            </w:r>
            <w:r>
              <w:rPr>
                <w:rFonts w:hint="eastAsia" w:ascii="宋体" w:hAnsi="宋体" w:eastAsia="宋体" w:cs="宋体"/>
                <w:color w:val="auto"/>
                <w:kern w:val="0"/>
                <w:sz w:val="21"/>
                <w:szCs w:val="21"/>
                <w:highlight w:val="none"/>
                <w:lang w:val="en-US" w:eastAsia="zh-CN"/>
              </w:rPr>
              <w:t>内容全面，完全符合项目实际需求，切实可行的得</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w:t>
            </w:r>
            <w:r>
              <w:rPr>
                <w:rFonts w:hint="eastAsia" w:ascii="宋体" w:hAnsi="宋体"/>
                <w:color w:val="auto"/>
                <w:highlight w:val="none"/>
              </w:rPr>
              <w:t>措施</w:t>
            </w:r>
            <w:r>
              <w:rPr>
                <w:rFonts w:hint="eastAsia" w:ascii="宋体" w:hAnsi="宋体" w:eastAsia="宋体" w:cs="宋体"/>
                <w:color w:val="auto"/>
                <w:kern w:val="0"/>
                <w:sz w:val="21"/>
                <w:szCs w:val="21"/>
                <w:highlight w:val="none"/>
                <w:lang w:val="en-US" w:eastAsia="zh-CN"/>
              </w:rPr>
              <w:t>内容不完善、表述不完整的每处扣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lang w:val="zh-CN" w:eastAsia="zh-CN"/>
              </w:rPr>
              <w:t>内容不符合或不提供的不得分。</w:t>
            </w:r>
          </w:p>
          <w:p w14:paraId="3FFBD6A2">
            <w:pPr>
              <w:keepNext w:val="0"/>
              <w:keepLines w:val="0"/>
              <w:suppressLineNumbers w:val="0"/>
              <w:spacing w:before="0" w:beforeAutospacing="0" w:after="0" w:afterAutospacing="0"/>
              <w:ind w:left="0" w:leftChars="0" w:right="0" w:rightChars="0"/>
              <w:jc w:val="left"/>
              <w:rPr>
                <w:rFonts w:hint="eastAsia" w:ascii="宋体" w:hAnsi="宋体" w:eastAsia="宋体" w:cs="Calibri"/>
                <w:color w:val="auto"/>
                <w:kern w:val="2"/>
                <w:sz w:val="21"/>
                <w:szCs w:val="21"/>
                <w:highlight w:val="none"/>
                <w:lang w:val="en-US" w:eastAsia="zh-CN" w:bidi="ar-SA"/>
              </w:rPr>
            </w:pPr>
            <w:r>
              <w:rPr>
                <w:rFonts w:hint="eastAsia" w:ascii="宋体" w:hAnsi="宋体" w:cs="宋体"/>
                <w:b w:val="0"/>
                <w:bCs w:val="0"/>
                <w:sz w:val="21"/>
                <w:szCs w:val="21"/>
                <w:highlight w:val="none"/>
                <w:lang w:val="zh-CN" w:eastAsia="zh-CN"/>
              </w:rPr>
              <w:t>（</w:t>
            </w:r>
            <w:r>
              <w:rPr>
                <w:rFonts w:hint="eastAsia" w:ascii="宋体" w:hAnsi="宋体" w:cs="宋体"/>
                <w:b w:val="0"/>
                <w:bCs w:val="0"/>
                <w:sz w:val="21"/>
                <w:szCs w:val="21"/>
                <w:highlight w:val="none"/>
                <w:lang w:val="en-US" w:eastAsia="zh-CN"/>
              </w:rPr>
              <w:t>评分范围：5,4,3,2,1,0</w:t>
            </w:r>
            <w:r>
              <w:rPr>
                <w:rFonts w:hint="eastAsia" w:ascii="宋体" w:hAnsi="宋体" w:cs="宋体"/>
                <w:b w:val="0"/>
                <w:bCs w:val="0"/>
                <w:sz w:val="21"/>
                <w:szCs w:val="21"/>
                <w:highlight w:val="none"/>
                <w:lang w:val="zh-CN" w:eastAsia="zh-CN"/>
              </w:rPr>
              <w:t>）</w:t>
            </w:r>
          </w:p>
        </w:tc>
        <w:tc>
          <w:tcPr>
            <w:tcW w:w="799" w:type="dxa"/>
            <w:shd w:val="clear" w:color="auto" w:fill="auto"/>
            <w:noWrap/>
            <w:vAlign w:val="center"/>
          </w:tcPr>
          <w:p w14:paraId="23BECE79">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主观分</w:t>
            </w:r>
          </w:p>
        </w:tc>
        <w:tc>
          <w:tcPr>
            <w:tcW w:w="778" w:type="dxa"/>
            <w:shd w:val="clear" w:color="auto" w:fill="auto"/>
            <w:noWrap/>
            <w:vAlign w:val="center"/>
          </w:tcPr>
          <w:p w14:paraId="6C1860BE">
            <w:pPr>
              <w:keepNext w:val="0"/>
              <w:keepLines w:val="0"/>
              <w:suppressLineNumbers w:val="0"/>
              <w:autoSpaceDE w:val="0"/>
              <w:autoSpaceDN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rPr>
              <w:t>0-</w:t>
            </w:r>
            <w:r>
              <w:rPr>
                <w:rFonts w:hint="eastAsia" w:ascii="宋体" w:hAnsi="宋体" w:cs="宋体"/>
                <w:kern w:val="2"/>
                <w:sz w:val="21"/>
                <w:szCs w:val="21"/>
                <w:highlight w:val="none"/>
                <w:lang w:val="en-US" w:eastAsia="zh-CN" w:bidi="ar-SA"/>
              </w:rPr>
              <w:t>5</w:t>
            </w:r>
            <w:r>
              <w:rPr>
                <w:rFonts w:hint="eastAsia" w:ascii="宋体" w:hAnsi="宋体" w:cs="宋体"/>
                <w:kern w:val="2"/>
                <w:sz w:val="21"/>
                <w:szCs w:val="21"/>
                <w:highlight w:val="none"/>
                <w:lang w:val="zh-CN" w:eastAsia="zh-CN" w:bidi="ar-SA"/>
              </w:rPr>
              <w:t>分</w:t>
            </w:r>
          </w:p>
        </w:tc>
      </w:tr>
      <w:tr w14:paraId="71AB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51" w:hRule="atLeast"/>
        </w:trPr>
        <w:tc>
          <w:tcPr>
            <w:tcW w:w="457" w:type="dxa"/>
            <w:noWrap/>
            <w:vAlign w:val="center"/>
          </w:tcPr>
          <w:p w14:paraId="4E166110">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leftChars="0" w:right="0" w:rightChars="0"/>
              <w:jc w:val="center"/>
              <w:rPr>
                <w:rFonts w:hint="default" w:ascii="宋体" w:hAnsi="宋体"/>
                <w:color w:val="auto"/>
                <w:highlight w:val="none"/>
                <w:lang w:val="en-US" w:eastAsia="zh-CN"/>
              </w:rPr>
            </w:pPr>
            <w:r>
              <w:rPr>
                <w:rFonts w:hint="eastAsia" w:ascii="宋体" w:hAnsi="宋体" w:cs="宋体"/>
                <w:color w:val="auto"/>
                <w:sz w:val="21"/>
                <w:szCs w:val="21"/>
                <w:highlight w:val="none"/>
                <w:lang w:val="en-US" w:eastAsia="zh-CN"/>
              </w:rPr>
              <w:t>13</w:t>
            </w:r>
          </w:p>
        </w:tc>
        <w:tc>
          <w:tcPr>
            <w:tcW w:w="1132" w:type="dxa"/>
            <w:shd w:val="clear" w:color="auto" w:fill="auto"/>
            <w:noWrap/>
            <w:vAlign w:val="center"/>
          </w:tcPr>
          <w:p w14:paraId="071692DA">
            <w:pPr>
              <w:keepNext w:val="0"/>
              <w:keepLines w:val="0"/>
              <w:suppressLineNumbers w:val="0"/>
              <w:spacing w:before="0" w:beforeAutospacing="0" w:after="0" w:afterAutospacing="0"/>
              <w:ind w:left="0" w:leftChars="0" w:right="0" w:rightChars="0"/>
              <w:jc w:val="center"/>
              <w:rPr>
                <w:rFonts w:hint="eastAsia" w:ascii="宋体" w:hAnsi="宋体"/>
                <w:color w:val="auto"/>
                <w:highlight w:val="none"/>
                <w:lang w:val="zh-CN" w:eastAsia="zh-CN"/>
              </w:rPr>
            </w:pPr>
            <w:r>
              <w:rPr>
                <w:rFonts w:hint="eastAsia" w:ascii="宋体" w:hAnsi="宋体"/>
                <w:color w:val="auto"/>
                <w:highlight w:val="none"/>
              </w:rPr>
              <w:t>器材保障方案</w:t>
            </w:r>
          </w:p>
        </w:tc>
        <w:tc>
          <w:tcPr>
            <w:tcW w:w="6892" w:type="dxa"/>
            <w:shd w:val="clear" w:color="auto" w:fill="auto"/>
            <w:noWrap/>
            <w:vAlign w:val="center"/>
          </w:tcPr>
          <w:p w14:paraId="500E9364">
            <w:pPr>
              <w:keepNext w:val="0"/>
              <w:keepLines w:val="0"/>
              <w:suppressLineNumbers w:val="0"/>
              <w:spacing w:before="0" w:beforeAutospacing="0" w:after="0" w:afterAutospacing="0"/>
              <w:ind w:left="0" w:right="0"/>
              <w:jc w:val="left"/>
              <w:rPr>
                <w:rFonts w:hint="eastAsia" w:ascii="宋体" w:hAnsi="宋体"/>
                <w:color w:val="auto"/>
                <w:highlight w:val="none"/>
              </w:rPr>
            </w:pPr>
            <w:r>
              <w:rPr>
                <w:rFonts w:hint="eastAsia" w:ascii="宋体" w:hAnsi="宋体"/>
                <w:color w:val="auto"/>
                <w:highlight w:val="none"/>
              </w:rPr>
              <w:t>投标人的器材保障方案</w:t>
            </w:r>
            <w:r>
              <w:rPr>
                <w:rFonts w:hint="eastAsia" w:ascii="宋体" w:hAnsi="宋体"/>
                <w:color w:val="auto"/>
                <w:highlight w:val="none"/>
                <w:lang w:eastAsia="zh-CN"/>
              </w:rPr>
              <w:t>。</w:t>
            </w:r>
            <w:r>
              <w:rPr>
                <w:rFonts w:hint="eastAsia" w:ascii="宋体" w:hAnsi="宋体"/>
                <w:color w:val="auto"/>
                <w:highlight w:val="none"/>
                <w:lang w:val="en-US" w:eastAsia="zh-CN"/>
              </w:rPr>
              <w:t>根据投标人的器材保障方案</w:t>
            </w:r>
            <w:r>
              <w:rPr>
                <w:rFonts w:hint="eastAsia" w:ascii="宋体" w:hAnsi="宋体"/>
                <w:color w:val="auto"/>
                <w:highlight w:val="none"/>
              </w:rPr>
              <w:t>是否完整、详细，是否有可行性进行评分。</w:t>
            </w:r>
            <w:r>
              <w:rPr>
                <w:rFonts w:hint="eastAsia" w:ascii="宋体" w:hAnsi="宋体" w:eastAsia="宋体" w:cs="宋体"/>
                <w:color w:val="auto"/>
                <w:kern w:val="0"/>
                <w:sz w:val="21"/>
                <w:szCs w:val="21"/>
                <w:highlight w:val="none"/>
                <w:lang w:val="zh-CN" w:eastAsia="zh-CN"/>
              </w:rPr>
              <w:t>方案</w:t>
            </w:r>
            <w:r>
              <w:rPr>
                <w:rFonts w:hint="eastAsia" w:ascii="宋体" w:hAnsi="宋体" w:eastAsia="宋体" w:cs="宋体"/>
                <w:color w:val="auto"/>
                <w:kern w:val="0"/>
                <w:sz w:val="21"/>
                <w:szCs w:val="21"/>
                <w:highlight w:val="none"/>
                <w:lang w:val="en-US" w:eastAsia="zh-CN"/>
              </w:rPr>
              <w:t>内容全面，完全符合项目实际需求，切实可行的得</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分，方案内容不完善、表述不完整的每处扣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lang w:val="zh-CN" w:eastAsia="zh-CN"/>
              </w:rPr>
              <w:t>内容不符合或不提供的不得分。</w:t>
            </w:r>
          </w:p>
          <w:p w14:paraId="70807C14">
            <w:pPr>
              <w:keepNext w:val="0"/>
              <w:keepLines w:val="0"/>
              <w:suppressLineNumbers w:val="0"/>
              <w:spacing w:before="0" w:beforeAutospacing="0" w:after="0" w:afterAutospacing="0"/>
              <w:ind w:left="0" w:leftChars="0" w:right="0" w:rightChars="0"/>
              <w:jc w:val="left"/>
              <w:rPr>
                <w:rFonts w:hint="eastAsia" w:ascii="宋体" w:hAnsi="宋体" w:eastAsia="宋体" w:cs="Calibri"/>
                <w:color w:val="auto"/>
                <w:kern w:val="2"/>
                <w:sz w:val="21"/>
                <w:szCs w:val="21"/>
                <w:highlight w:val="none"/>
                <w:lang w:val="en-US" w:eastAsia="zh-CN" w:bidi="ar-SA"/>
              </w:rPr>
            </w:pPr>
            <w:r>
              <w:rPr>
                <w:rFonts w:hint="eastAsia" w:ascii="宋体" w:hAnsi="宋体" w:cs="宋体"/>
                <w:b w:val="0"/>
                <w:bCs w:val="0"/>
                <w:sz w:val="21"/>
                <w:szCs w:val="21"/>
                <w:highlight w:val="none"/>
                <w:lang w:val="zh-CN" w:eastAsia="zh-CN"/>
              </w:rPr>
              <w:t>（</w:t>
            </w:r>
            <w:r>
              <w:rPr>
                <w:rFonts w:hint="eastAsia" w:ascii="宋体" w:hAnsi="宋体" w:cs="宋体"/>
                <w:b w:val="0"/>
                <w:bCs w:val="0"/>
                <w:sz w:val="21"/>
                <w:szCs w:val="21"/>
                <w:highlight w:val="none"/>
                <w:lang w:val="en-US" w:eastAsia="zh-CN"/>
              </w:rPr>
              <w:t>评分范围：5,4,3,2,1,0</w:t>
            </w:r>
            <w:r>
              <w:rPr>
                <w:rFonts w:hint="eastAsia" w:ascii="宋体" w:hAnsi="宋体" w:cs="宋体"/>
                <w:b w:val="0"/>
                <w:bCs w:val="0"/>
                <w:sz w:val="21"/>
                <w:szCs w:val="21"/>
                <w:highlight w:val="none"/>
                <w:lang w:val="zh-CN" w:eastAsia="zh-CN"/>
              </w:rPr>
              <w:t>）</w:t>
            </w:r>
          </w:p>
        </w:tc>
        <w:tc>
          <w:tcPr>
            <w:tcW w:w="799" w:type="dxa"/>
            <w:shd w:val="clear" w:color="auto" w:fill="auto"/>
            <w:noWrap/>
            <w:vAlign w:val="center"/>
          </w:tcPr>
          <w:p w14:paraId="3F90FB5A">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主观分</w:t>
            </w:r>
          </w:p>
        </w:tc>
        <w:tc>
          <w:tcPr>
            <w:tcW w:w="778" w:type="dxa"/>
            <w:shd w:val="clear" w:color="auto" w:fill="auto"/>
            <w:noWrap/>
            <w:vAlign w:val="center"/>
          </w:tcPr>
          <w:p w14:paraId="1F209A75">
            <w:pPr>
              <w:keepNext w:val="0"/>
              <w:keepLines w:val="0"/>
              <w:suppressLineNumbers w:val="0"/>
              <w:autoSpaceDE w:val="0"/>
              <w:autoSpaceDN w:val="0"/>
              <w:spacing w:before="0" w:beforeAutospacing="0" w:after="0" w:afterAutospacing="0"/>
              <w:ind w:left="0" w:leftChars="0" w:right="0" w:rightChars="0"/>
              <w:jc w:val="center"/>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rPr>
              <w:t>0-</w:t>
            </w:r>
            <w:r>
              <w:rPr>
                <w:rFonts w:hint="eastAsia" w:ascii="宋体" w:hAnsi="宋体" w:cs="宋体"/>
                <w:kern w:val="2"/>
                <w:sz w:val="21"/>
                <w:szCs w:val="21"/>
                <w:highlight w:val="none"/>
                <w:lang w:val="en-US" w:eastAsia="zh-CN" w:bidi="ar-SA"/>
              </w:rPr>
              <w:t>5</w:t>
            </w:r>
            <w:r>
              <w:rPr>
                <w:rFonts w:hint="eastAsia" w:ascii="宋体" w:hAnsi="宋体" w:cs="宋体"/>
                <w:kern w:val="2"/>
                <w:sz w:val="21"/>
                <w:szCs w:val="21"/>
                <w:highlight w:val="none"/>
                <w:lang w:val="zh-CN" w:eastAsia="zh-CN" w:bidi="ar-SA"/>
              </w:rPr>
              <w:t>分</w:t>
            </w:r>
            <w:bookmarkStart w:id="193" w:name="_GoBack"/>
            <w:bookmarkEnd w:id="193"/>
          </w:p>
        </w:tc>
      </w:tr>
      <w:tr w14:paraId="1D2F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51" w:hRule="atLeast"/>
        </w:trPr>
        <w:tc>
          <w:tcPr>
            <w:tcW w:w="457" w:type="dxa"/>
            <w:noWrap/>
            <w:vAlign w:val="center"/>
          </w:tcPr>
          <w:p w14:paraId="3D6FADC4">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1132" w:type="dxa"/>
            <w:shd w:val="clear" w:color="auto" w:fill="auto"/>
            <w:noWrap/>
            <w:vAlign w:val="center"/>
          </w:tcPr>
          <w:p w14:paraId="44B2E8A6">
            <w:pPr>
              <w:keepNext w:val="0"/>
              <w:keepLines w:val="0"/>
              <w:suppressLineNumbers w:val="0"/>
              <w:spacing w:before="0" w:beforeAutospacing="0" w:after="0" w:afterAutospacing="0"/>
              <w:ind w:left="0" w:leftChars="0" w:right="0" w:rightChars="0"/>
              <w:jc w:val="center"/>
              <w:rPr>
                <w:rFonts w:hint="eastAsia" w:ascii="宋体" w:hAnsi="宋体" w:eastAsia="宋体" w:cs="Calibri"/>
                <w:color w:val="auto"/>
                <w:kern w:val="2"/>
                <w:sz w:val="21"/>
                <w:szCs w:val="21"/>
                <w:highlight w:val="none"/>
                <w:lang w:val="zh-CN" w:eastAsia="zh-CN" w:bidi="ar-SA"/>
              </w:rPr>
            </w:pPr>
            <w:r>
              <w:rPr>
                <w:rFonts w:hint="eastAsia" w:ascii="宋体" w:hAnsi="宋体"/>
                <w:color w:val="auto"/>
                <w:highlight w:val="none"/>
              </w:rPr>
              <w:t>会议策划方案</w:t>
            </w:r>
          </w:p>
        </w:tc>
        <w:tc>
          <w:tcPr>
            <w:tcW w:w="6892" w:type="dxa"/>
            <w:shd w:val="clear" w:color="auto" w:fill="auto"/>
            <w:noWrap/>
            <w:vAlign w:val="center"/>
          </w:tcPr>
          <w:p w14:paraId="1CC922A5">
            <w:pPr>
              <w:keepNext w:val="0"/>
              <w:keepLines w:val="0"/>
              <w:suppressLineNumbers w:val="0"/>
              <w:spacing w:before="0" w:beforeAutospacing="0" w:after="0" w:afterAutospacing="0"/>
              <w:ind w:left="0" w:right="0"/>
              <w:jc w:val="left"/>
              <w:rPr>
                <w:rFonts w:hint="eastAsia" w:ascii="宋体" w:hAnsi="宋体"/>
                <w:color w:val="auto"/>
                <w:highlight w:val="none"/>
              </w:rPr>
            </w:pPr>
            <w:r>
              <w:rPr>
                <w:rFonts w:hint="eastAsia" w:ascii="宋体" w:hAnsi="宋体"/>
                <w:color w:val="auto"/>
                <w:highlight w:val="none"/>
              </w:rPr>
              <w:t>投标人负责领队教练员技术会议、裁判员会议、开赛等仪式的策划和实施，协助颁奖团队实施颁奖。根据投标人的会议策划方案是否完整、详细，是否有可行性进行评分。</w:t>
            </w:r>
            <w:r>
              <w:rPr>
                <w:rFonts w:hint="eastAsia" w:ascii="宋体" w:hAnsi="宋体" w:eastAsia="宋体" w:cs="宋体"/>
                <w:color w:val="auto"/>
                <w:kern w:val="0"/>
                <w:sz w:val="21"/>
                <w:szCs w:val="21"/>
                <w:highlight w:val="none"/>
                <w:lang w:val="zh-CN" w:eastAsia="zh-CN"/>
              </w:rPr>
              <w:t>方案</w:t>
            </w:r>
            <w:r>
              <w:rPr>
                <w:rFonts w:hint="eastAsia" w:ascii="宋体" w:hAnsi="宋体" w:eastAsia="宋体" w:cs="宋体"/>
                <w:color w:val="auto"/>
                <w:kern w:val="0"/>
                <w:sz w:val="21"/>
                <w:szCs w:val="21"/>
                <w:highlight w:val="none"/>
                <w:lang w:val="en-US" w:eastAsia="zh-CN"/>
              </w:rPr>
              <w:t>内容全面，完全符合项目实际需求，切实可行的得</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分，方案内容不完善、表述不完整的每处扣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lang w:val="zh-CN" w:eastAsia="zh-CN"/>
              </w:rPr>
              <w:t>内容不符合或不提供的不得分。</w:t>
            </w:r>
          </w:p>
          <w:p w14:paraId="408D414E">
            <w:pPr>
              <w:keepNext w:val="0"/>
              <w:keepLines w:val="0"/>
              <w:suppressLineNumbers w:val="0"/>
              <w:spacing w:before="0" w:beforeAutospacing="0" w:after="0" w:afterAutospacing="0"/>
              <w:ind w:left="0" w:leftChars="0" w:right="0" w:rightChars="0"/>
              <w:jc w:val="left"/>
              <w:rPr>
                <w:rFonts w:hint="eastAsia" w:ascii="宋体" w:hAnsi="宋体" w:eastAsia="宋体" w:cs="Calibri"/>
                <w:color w:val="auto"/>
                <w:kern w:val="2"/>
                <w:sz w:val="21"/>
                <w:szCs w:val="21"/>
                <w:highlight w:val="none"/>
                <w:lang w:val="en-US" w:eastAsia="zh-CN" w:bidi="ar-SA"/>
              </w:rPr>
            </w:pPr>
            <w:r>
              <w:rPr>
                <w:rFonts w:hint="eastAsia" w:ascii="宋体" w:hAnsi="宋体" w:cs="宋体"/>
                <w:b w:val="0"/>
                <w:bCs w:val="0"/>
                <w:sz w:val="21"/>
                <w:szCs w:val="21"/>
                <w:highlight w:val="none"/>
                <w:lang w:val="zh-CN" w:eastAsia="zh-CN"/>
              </w:rPr>
              <w:t>（</w:t>
            </w:r>
            <w:r>
              <w:rPr>
                <w:rFonts w:hint="eastAsia" w:ascii="宋体" w:hAnsi="宋体" w:cs="宋体"/>
                <w:b w:val="0"/>
                <w:bCs w:val="0"/>
                <w:sz w:val="21"/>
                <w:szCs w:val="21"/>
                <w:highlight w:val="none"/>
                <w:lang w:val="en-US" w:eastAsia="zh-CN"/>
              </w:rPr>
              <w:t>评分范围：5,4,3,2,1,0</w:t>
            </w:r>
            <w:r>
              <w:rPr>
                <w:rFonts w:hint="eastAsia" w:ascii="宋体" w:hAnsi="宋体" w:cs="宋体"/>
                <w:b w:val="0"/>
                <w:bCs w:val="0"/>
                <w:sz w:val="21"/>
                <w:szCs w:val="21"/>
                <w:highlight w:val="none"/>
                <w:lang w:val="zh-CN" w:eastAsia="zh-CN"/>
              </w:rPr>
              <w:t>）</w:t>
            </w:r>
          </w:p>
        </w:tc>
        <w:tc>
          <w:tcPr>
            <w:tcW w:w="799" w:type="dxa"/>
            <w:shd w:val="clear" w:color="auto" w:fill="auto"/>
            <w:noWrap/>
            <w:vAlign w:val="center"/>
          </w:tcPr>
          <w:p w14:paraId="03F509D5">
            <w:pPr>
              <w:keepNext w:val="0"/>
              <w:keepLines w:val="0"/>
              <w:suppressLineNumbers w:val="0"/>
              <w:autoSpaceDE w:val="0"/>
              <w:autoSpaceDN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主观分</w:t>
            </w:r>
          </w:p>
        </w:tc>
        <w:tc>
          <w:tcPr>
            <w:tcW w:w="778" w:type="dxa"/>
            <w:shd w:val="clear" w:color="auto" w:fill="auto"/>
            <w:noWrap/>
            <w:vAlign w:val="center"/>
          </w:tcPr>
          <w:p w14:paraId="5B7DD4CB">
            <w:pPr>
              <w:keepNext w:val="0"/>
              <w:keepLines w:val="0"/>
              <w:suppressLineNumbers w:val="0"/>
              <w:autoSpaceDE w:val="0"/>
              <w:autoSpaceDN w:val="0"/>
              <w:spacing w:before="0" w:beforeAutospacing="0" w:after="0" w:afterAutospacing="0"/>
              <w:ind w:left="0" w:leftChars="0" w:right="0" w:rightChars="0"/>
              <w:jc w:val="center"/>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rPr>
              <w:t>0-</w:t>
            </w:r>
            <w:r>
              <w:rPr>
                <w:rFonts w:hint="eastAsia" w:ascii="宋体" w:hAnsi="宋体" w:cs="宋体"/>
                <w:kern w:val="2"/>
                <w:sz w:val="21"/>
                <w:szCs w:val="21"/>
                <w:highlight w:val="none"/>
                <w:lang w:val="en-US" w:eastAsia="zh-CN" w:bidi="ar-SA"/>
              </w:rPr>
              <w:t>5</w:t>
            </w:r>
            <w:r>
              <w:rPr>
                <w:rFonts w:hint="eastAsia" w:ascii="宋体" w:hAnsi="宋体" w:cs="宋体"/>
                <w:kern w:val="2"/>
                <w:sz w:val="21"/>
                <w:szCs w:val="21"/>
                <w:highlight w:val="none"/>
                <w:lang w:val="zh-CN" w:eastAsia="zh-CN" w:bidi="ar-SA"/>
              </w:rPr>
              <w:t>分</w:t>
            </w:r>
          </w:p>
        </w:tc>
      </w:tr>
      <w:tr w14:paraId="6B74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51" w:hRule="atLeast"/>
        </w:trPr>
        <w:tc>
          <w:tcPr>
            <w:tcW w:w="457" w:type="dxa"/>
            <w:noWrap/>
            <w:vAlign w:val="center"/>
          </w:tcPr>
          <w:p w14:paraId="61FD1896">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leftChars="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1132" w:type="dxa"/>
            <w:shd w:val="clear" w:color="auto" w:fill="auto"/>
            <w:noWrap/>
            <w:vAlign w:val="center"/>
          </w:tcPr>
          <w:p w14:paraId="12453CA4">
            <w:pPr>
              <w:keepNext w:val="0"/>
              <w:keepLines w:val="0"/>
              <w:suppressLineNumbers w:val="0"/>
              <w:spacing w:before="0" w:beforeAutospacing="0" w:after="0" w:afterAutospacing="0"/>
              <w:ind w:left="0" w:leftChars="0" w:right="0" w:rightChars="0"/>
              <w:jc w:val="center"/>
              <w:rPr>
                <w:rFonts w:hint="eastAsia" w:ascii="宋体" w:hAnsi="宋体" w:eastAsia="宋体" w:cs="Calibri"/>
                <w:color w:val="auto"/>
                <w:kern w:val="2"/>
                <w:sz w:val="21"/>
                <w:szCs w:val="21"/>
                <w:highlight w:val="none"/>
                <w:lang w:val="en-US" w:eastAsia="zh-CN" w:bidi="ar-SA"/>
              </w:rPr>
            </w:pPr>
            <w:r>
              <w:rPr>
                <w:rFonts w:hint="eastAsia" w:ascii="宋体" w:hAnsi="宋体"/>
                <w:color w:val="auto"/>
                <w:highlight w:val="none"/>
              </w:rPr>
              <w:t>后勤服务方案</w:t>
            </w:r>
          </w:p>
        </w:tc>
        <w:tc>
          <w:tcPr>
            <w:tcW w:w="6892" w:type="dxa"/>
            <w:shd w:val="clear" w:color="auto" w:fill="auto"/>
            <w:noWrap/>
            <w:vAlign w:val="center"/>
          </w:tcPr>
          <w:p w14:paraId="35A37905">
            <w:pPr>
              <w:keepNext w:val="0"/>
              <w:keepLines w:val="0"/>
              <w:suppressLineNumbers w:val="0"/>
              <w:spacing w:before="0" w:beforeAutospacing="0" w:after="0" w:afterAutospacing="0"/>
              <w:ind w:left="0" w:right="0"/>
              <w:jc w:val="left"/>
              <w:rPr>
                <w:rFonts w:hint="eastAsia" w:ascii="宋体" w:hAnsi="宋体"/>
                <w:color w:val="auto"/>
                <w:highlight w:val="none"/>
              </w:rPr>
            </w:pPr>
            <w:r>
              <w:rPr>
                <w:rFonts w:hint="eastAsia" w:ascii="宋体" w:hAnsi="宋体"/>
                <w:color w:val="auto"/>
                <w:highlight w:val="none"/>
              </w:rPr>
              <w:t>投标人负责赛事的后勤服务，包括相关人员的住宿酒店、餐饮、通勤安排等。根据投标人的后勤服务方案是否完整、详细，是否有可行性进行评分。</w:t>
            </w:r>
          </w:p>
          <w:p w14:paraId="7DD84CF7">
            <w:pPr>
              <w:keepNext w:val="0"/>
              <w:keepLines w:val="0"/>
              <w:suppressLineNumbers w:val="0"/>
              <w:spacing w:before="0" w:beforeAutospacing="0" w:after="0" w:afterAutospacing="0"/>
              <w:ind w:left="0" w:right="0"/>
              <w:jc w:val="left"/>
              <w:rPr>
                <w:rFonts w:hint="eastAsia" w:ascii="宋体" w:hAnsi="宋体"/>
                <w:color w:val="auto"/>
                <w:highlight w:val="none"/>
              </w:rPr>
            </w:pPr>
            <w:r>
              <w:rPr>
                <w:rFonts w:hint="eastAsia" w:ascii="宋体" w:hAnsi="宋体" w:eastAsia="宋体" w:cs="宋体"/>
                <w:color w:val="auto"/>
                <w:kern w:val="0"/>
                <w:sz w:val="21"/>
                <w:szCs w:val="21"/>
                <w:highlight w:val="none"/>
                <w:lang w:val="zh-CN" w:eastAsia="zh-CN"/>
              </w:rPr>
              <w:t>方案</w:t>
            </w:r>
            <w:r>
              <w:rPr>
                <w:rFonts w:hint="eastAsia" w:ascii="宋体" w:hAnsi="宋体" w:eastAsia="宋体" w:cs="宋体"/>
                <w:color w:val="auto"/>
                <w:kern w:val="0"/>
                <w:sz w:val="21"/>
                <w:szCs w:val="21"/>
                <w:highlight w:val="none"/>
                <w:lang w:val="en-US" w:eastAsia="zh-CN"/>
              </w:rPr>
              <w:t>内容全面，完全符合项目实际需求，切实可行的得</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分，方案内容不完善、表述不完整的每处扣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lang w:val="zh-CN" w:eastAsia="zh-CN"/>
              </w:rPr>
              <w:t>内容不符合或不提供的不得分。</w:t>
            </w:r>
          </w:p>
          <w:p w14:paraId="4919BACD">
            <w:pPr>
              <w:keepNext w:val="0"/>
              <w:keepLines w:val="0"/>
              <w:suppressLineNumbers w:val="0"/>
              <w:spacing w:before="0" w:beforeAutospacing="0" w:after="0" w:afterAutospacing="0"/>
              <w:ind w:left="0" w:leftChars="0" w:right="0" w:rightChars="0"/>
              <w:jc w:val="left"/>
              <w:rPr>
                <w:rFonts w:hint="eastAsia" w:ascii="宋体" w:hAnsi="宋体" w:eastAsia="宋体" w:cs="Calibri"/>
                <w:color w:val="auto"/>
                <w:kern w:val="2"/>
                <w:sz w:val="21"/>
                <w:szCs w:val="21"/>
                <w:highlight w:val="none"/>
                <w:lang w:val="en-US" w:eastAsia="zh-CN" w:bidi="ar-SA"/>
              </w:rPr>
            </w:pPr>
            <w:r>
              <w:rPr>
                <w:rFonts w:hint="eastAsia" w:ascii="宋体" w:hAnsi="宋体" w:cs="宋体"/>
                <w:b w:val="0"/>
                <w:bCs w:val="0"/>
                <w:sz w:val="21"/>
                <w:szCs w:val="21"/>
                <w:highlight w:val="none"/>
                <w:lang w:val="zh-CN" w:eastAsia="zh-CN"/>
              </w:rPr>
              <w:t>（</w:t>
            </w:r>
            <w:r>
              <w:rPr>
                <w:rFonts w:hint="eastAsia" w:ascii="宋体" w:hAnsi="宋体" w:cs="宋体"/>
                <w:b w:val="0"/>
                <w:bCs w:val="0"/>
                <w:sz w:val="21"/>
                <w:szCs w:val="21"/>
                <w:highlight w:val="none"/>
                <w:lang w:val="en-US" w:eastAsia="zh-CN"/>
              </w:rPr>
              <w:t>评分范围：5,4,3,2,1,0</w:t>
            </w:r>
            <w:r>
              <w:rPr>
                <w:rFonts w:hint="eastAsia" w:ascii="宋体" w:hAnsi="宋体" w:cs="宋体"/>
                <w:b w:val="0"/>
                <w:bCs w:val="0"/>
                <w:sz w:val="21"/>
                <w:szCs w:val="21"/>
                <w:highlight w:val="none"/>
                <w:lang w:val="zh-CN" w:eastAsia="zh-CN"/>
              </w:rPr>
              <w:t>）</w:t>
            </w:r>
          </w:p>
        </w:tc>
        <w:tc>
          <w:tcPr>
            <w:tcW w:w="799" w:type="dxa"/>
            <w:shd w:val="clear" w:color="auto" w:fill="auto"/>
            <w:noWrap/>
            <w:vAlign w:val="center"/>
          </w:tcPr>
          <w:p w14:paraId="220413B1">
            <w:pPr>
              <w:keepNext w:val="0"/>
              <w:keepLines w:val="0"/>
              <w:suppressLineNumbers w:val="0"/>
              <w:autoSpaceDE w:val="0"/>
              <w:autoSpaceDN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主观分</w:t>
            </w:r>
          </w:p>
        </w:tc>
        <w:tc>
          <w:tcPr>
            <w:tcW w:w="778" w:type="dxa"/>
            <w:shd w:val="clear" w:color="auto" w:fill="auto"/>
            <w:noWrap/>
            <w:vAlign w:val="center"/>
          </w:tcPr>
          <w:p w14:paraId="1803E748">
            <w:pPr>
              <w:keepNext w:val="0"/>
              <w:keepLines w:val="0"/>
              <w:suppressLineNumbers w:val="0"/>
              <w:autoSpaceDE w:val="0"/>
              <w:autoSpaceDN w:val="0"/>
              <w:spacing w:before="0" w:beforeAutospacing="0" w:after="0" w:afterAutospacing="0"/>
              <w:ind w:left="0" w:leftChars="0" w:right="0" w:rightChars="0"/>
              <w:jc w:val="center"/>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rPr>
              <w:t>0-</w:t>
            </w:r>
            <w:r>
              <w:rPr>
                <w:rFonts w:hint="eastAsia" w:ascii="宋体" w:hAnsi="宋体" w:cs="宋体"/>
                <w:kern w:val="2"/>
                <w:sz w:val="21"/>
                <w:szCs w:val="21"/>
                <w:highlight w:val="none"/>
                <w:lang w:val="en-US" w:eastAsia="zh-CN" w:bidi="ar-SA"/>
              </w:rPr>
              <w:t>5</w:t>
            </w:r>
            <w:r>
              <w:rPr>
                <w:rFonts w:hint="eastAsia" w:ascii="宋体" w:hAnsi="宋体" w:cs="宋体"/>
                <w:kern w:val="2"/>
                <w:sz w:val="21"/>
                <w:szCs w:val="21"/>
                <w:highlight w:val="none"/>
                <w:lang w:val="zh-CN" w:eastAsia="zh-CN" w:bidi="ar-SA"/>
              </w:rPr>
              <w:t>分</w:t>
            </w:r>
          </w:p>
        </w:tc>
      </w:tr>
      <w:tr w14:paraId="231B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28" w:hRule="atLeast"/>
        </w:trPr>
        <w:tc>
          <w:tcPr>
            <w:tcW w:w="8481" w:type="dxa"/>
            <w:gridSpan w:val="3"/>
            <w:noWrap/>
            <w:vAlign w:val="center"/>
          </w:tcPr>
          <w:p w14:paraId="4C1C2DC6">
            <w:pPr>
              <w:pStyle w:val="72"/>
              <w:keepNext w:val="0"/>
              <w:keepLines w:val="0"/>
              <w:suppressLineNumbers w:val="0"/>
              <w:spacing w:before="0" w:beforeAutospacing="0" w:after="0" w:afterAutospacing="0" w:line="300" w:lineRule="exact"/>
              <w:ind w:left="0" w:leftChars="0" w:right="0" w:firstLine="0" w:firstLineChars="0"/>
              <w:jc w:val="center"/>
              <w:rPr>
                <w:rFonts w:hint="eastAsia" w:ascii="宋体" w:hAnsi="宋体" w:eastAsia="宋体" w:cs="宋体"/>
                <w:color w:val="auto"/>
                <w:kern w:val="2"/>
                <w:sz w:val="21"/>
                <w:szCs w:val="24"/>
                <w:highlight w:val="none"/>
                <w:lang w:val="zh-CN" w:eastAsia="zh-CN" w:bidi="ar-SA"/>
              </w:rPr>
            </w:pPr>
            <w:r>
              <w:rPr>
                <w:rFonts w:hint="eastAsia" w:ascii="宋体" w:hAnsi="宋体" w:eastAsia="宋体" w:cs="宋体"/>
                <w:color w:val="auto"/>
                <w:kern w:val="2"/>
                <w:sz w:val="21"/>
                <w:szCs w:val="24"/>
                <w:highlight w:val="none"/>
                <w:lang w:val="zh-CN" w:eastAsia="zh-CN" w:bidi="ar-SA"/>
              </w:rPr>
              <w:t>合计</w:t>
            </w:r>
          </w:p>
        </w:tc>
        <w:tc>
          <w:tcPr>
            <w:tcW w:w="1577" w:type="dxa"/>
            <w:gridSpan w:val="2"/>
            <w:noWrap/>
            <w:vAlign w:val="center"/>
          </w:tcPr>
          <w:p w14:paraId="0E0589F4">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100分</w:t>
            </w:r>
          </w:p>
        </w:tc>
      </w:tr>
    </w:tbl>
    <w:p w14:paraId="4DECE296">
      <w:pPr>
        <w:spacing w:line="400" w:lineRule="exact"/>
        <w:jc w:val="left"/>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kern w:val="0"/>
          <w:highlight w:val="none"/>
        </w:rPr>
        <w:t>注：</w:t>
      </w:r>
      <w:r>
        <w:rPr>
          <w:rFonts w:hint="eastAsia" w:asciiTheme="minorEastAsia" w:hAnsiTheme="minorEastAsia" w:eastAsiaTheme="minorEastAsia" w:cstheme="minorEastAsia"/>
          <w:b/>
          <w:color w:val="auto"/>
          <w:highlight w:val="none"/>
          <w:lang w:val="en-US" w:eastAsia="zh-CN"/>
        </w:rPr>
        <w:t>投标人</w:t>
      </w:r>
      <w:r>
        <w:rPr>
          <w:rFonts w:hint="eastAsia" w:asciiTheme="minorEastAsia" w:hAnsiTheme="minorEastAsia" w:eastAsiaTheme="minorEastAsia" w:cstheme="minorEastAsia"/>
          <w:b/>
          <w:color w:val="auto"/>
          <w:highlight w:val="none"/>
        </w:rPr>
        <w:t>所使用的资格、信誉、荣誉、业绩必须为本法人所拥有（且在有效期内）。</w:t>
      </w:r>
    </w:p>
    <w:p w14:paraId="4077059D">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27.串通投标的情形</w:t>
      </w:r>
    </w:p>
    <w:p w14:paraId="72609609">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不同投标人的投标文件由同一单位或者个人编制；</w:t>
      </w:r>
    </w:p>
    <w:p w14:paraId="58ACD93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rPr>
        <w:t>不同投标人委托同一单位或者个人办理投标事宜；</w:t>
      </w:r>
    </w:p>
    <w:p w14:paraId="64C28C30">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不同投标人的投标文件载明的项目管理成员或者联系人员为同一人；</w:t>
      </w:r>
    </w:p>
    <w:p w14:paraId="024AAF17">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kern w:val="0"/>
          <w:szCs w:val="21"/>
          <w:highlight w:val="none"/>
        </w:rPr>
        <w:t>不同投标人的投标文件异常一致或者投标报价呈规律性差异；</w:t>
      </w:r>
    </w:p>
    <w:p w14:paraId="031D975C">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28.投标无效的情形</w:t>
      </w:r>
    </w:p>
    <w:p w14:paraId="17176154">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投标文件属下列情况之一的，按照无效投标处理：</w:t>
      </w:r>
    </w:p>
    <w:p w14:paraId="5BE67DA1">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7D3174E1">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（2）不具备招标文件中规定的资格要求的；</w:t>
      </w:r>
    </w:p>
    <w:p w14:paraId="35F08DE6">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（3）技术商务文件或资格证明文件中含报价；</w:t>
      </w:r>
    </w:p>
    <w:p w14:paraId="74D4761C">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（4）招标文件中有▲处条款投标人未</w:t>
      </w:r>
      <w:r>
        <w:rPr>
          <w:rFonts w:hint="eastAsia" w:ascii="宋体" w:hAnsi="宋体" w:cs="宋体"/>
          <w:color w:val="auto"/>
          <w:kern w:val="0"/>
          <w:szCs w:val="21"/>
          <w:highlight w:val="none"/>
          <w:lang w:eastAsia="zh-CN"/>
        </w:rPr>
        <w:t>做</w:t>
      </w:r>
      <w:r>
        <w:rPr>
          <w:rFonts w:hint="eastAsia" w:ascii="宋体" w:hAnsi="宋体" w:cs="宋体"/>
          <w:color w:val="auto"/>
          <w:kern w:val="0"/>
          <w:szCs w:val="21"/>
          <w:highlight w:val="none"/>
        </w:rPr>
        <w:t>实质性响应的；</w:t>
      </w:r>
    </w:p>
    <w:p w14:paraId="7998F467">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szCs w:val="21"/>
          <w:highlight w:val="none"/>
        </w:rPr>
        <w:t>报价超过招标文件中规定的最高</w:t>
      </w:r>
      <w:r>
        <w:rPr>
          <w:rFonts w:hint="eastAsia" w:ascii="宋体" w:hAnsi="宋体" w:cs="宋体"/>
          <w:color w:val="auto"/>
          <w:szCs w:val="21"/>
          <w:highlight w:val="none"/>
          <w:lang w:eastAsia="zh-CN"/>
        </w:rPr>
        <w:t>投标限价</w:t>
      </w:r>
      <w:r>
        <w:rPr>
          <w:rFonts w:hint="eastAsia" w:ascii="宋体" w:hAnsi="宋体" w:cs="宋体"/>
          <w:color w:val="auto"/>
          <w:szCs w:val="21"/>
          <w:highlight w:val="none"/>
        </w:rPr>
        <w:t>的；</w:t>
      </w:r>
    </w:p>
    <w:p w14:paraId="53614785">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）投标文件含有采购人不能接受的附加条件的；</w:t>
      </w:r>
    </w:p>
    <w:p w14:paraId="43DB09E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）投标文件未按规定要求提供CA签章的；</w:t>
      </w:r>
    </w:p>
    <w:p w14:paraId="4A9C8272">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）仅提供备份投标文件的；</w:t>
      </w:r>
    </w:p>
    <w:p w14:paraId="040C4F90">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）电子投标文件解密失败，且未在规定时间内提交备份投标文件的；</w:t>
      </w:r>
    </w:p>
    <w:p w14:paraId="4C14307F">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）电子投标文件解密失败，虽然在规定时间内提交了备份投标文件，但是备份投标文件无法导入或者无法读取或者不符合本招标文件和电子交易平台要求的；</w:t>
      </w:r>
    </w:p>
    <w:p w14:paraId="768DA594">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）不同供应商的电子投标（响应）文件上传计算机的网卡MAC地址、CPU序列号和硬盘序列号等硬件信息相同的；</w:t>
      </w:r>
    </w:p>
    <w:p w14:paraId="37CF71C8">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2）上传的电子投标（响应）文件若出现使用本项目其他投标（响应）人的数字证书加密的，或者加盖本项目其他投标（响应）人的电子印章的；</w:t>
      </w:r>
    </w:p>
    <w:p w14:paraId="16717A4B">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3）不同供应商的投标（响应）文件的内容存在两处以上细节错误一致，且无法合理解释的；</w:t>
      </w:r>
    </w:p>
    <w:p w14:paraId="55C51EFE">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4）不同供应商联系人为同一人或不同联系人的联系电话一致，且无法合理解释的。</w:t>
      </w:r>
    </w:p>
    <w:p w14:paraId="55AA00B2">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w:t>
      </w:r>
      <w:r>
        <w:rPr>
          <w:rFonts w:hint="eastAsia" w:ascii="宋体" w:hAnsi="宋体" w:cs="宋体"/>
          <w:color w:val="auto"/>
          <w:szCs w:val="21"/>
          <w:highlight w:val="none"/>
        </w:rPr>
        <w:t>法律、法规和招标文件规定的其他无效情形</w:t>
      </w:r>
      <w:r>
        <w:rPr>
          <w:rFonts w:hint="eastAsia" w:ascii="宋体" w:hAnsi="宋体" w:cs="宋体"/>
          <w:color w:val="auto"/>
          <w:kern w:val="0"/>
          <w:szCs w:val="21"/>
          <w:highlight w:val="none"/>
        </w:rPr>
        <w:t>。</w:t>
      </w:r>
    </w:p>
    <w:p w14:paraId="5270442C">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hint="eastAsia" w:ascii="宋体" w:hAnsi="宋体" w:cs="宋体"/>
          <w:b/>
          <w:bCs/>
          <w:color w:val="auto"/>
          <w:kern w:val="0"/>
          <w:szCs w:val="21"/>
          <w:highlight w:val="none"/>
        </w:rPr>
      </w:pPr>
      <w:bookmarkStart w:id="54" w:name="_Toc333842550"/>
      <w:bookmarkStart w:id="55" w:name="_Toc433917266"/>
      <w:bookmarkStart w:id="56" w:name="_Toc504642670"/>
      <w:bookmarkStart w:id="57" w:name="_Toc358384694"/>
      <w:bookmarkStart w:id="58" w:name="_Toc393201713"/>
      <w:bookmarkStart w:id="59" w:name="_Toc326937536"/>
      <w:r>
        <w:rPr>
          <w:rFonts w:hint="eastAsia" w:ascii="宋体" w:hAnsi="宋体" w:cs="宋体"/>
          <w:b/>
          <w:bCs/>
          <w:color w:val="auto"/>
          <w:kern w:val="0"/>
          <w:szCs w:val="21"/>
          <w:highlight w:val="none"/>
        </w:rPr>
        <w:t>29.废标的情形</w:t>
      </w:r>
    </w:p>
    <w:p w14:paraId="3471E0E4">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在招标采购中，出现下列情形之一的，应予废标,废标后，采购人将废标理由通知所有投标人：</w:t>
      </w:r>
    </w:p>
    <w:p w14:paraId="36642A3F">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（1）符合专业条件的供应商或者对招标文件作实质响应的供应商不足三家的；</w:t>
      </w:r>
    </w:p>
    <w:p w14:paraId="5734D584">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04ECDE45">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b/>
          <w:color w:val="auto"/>
          <w:kern w:val="0"/>
          <w:szCs w:val="21"/>
          <w:highlight w:val="none"/>
        </w:rPr>
      </w:pPr>
      <w:r>
        <w:rPr>
          <w:rFonts w:hint="eastAsia" w:ascii="宋体" w:hAnsi="宋体" w:cs="宋体"/>
          <w:color w:val="auto"/>
          <w:kern w:val="0"/>
          <w:szCs w:val="21"/>
          <w:highlight w:val="none"/>
        </w:rPr>
        <w:t>（3）投标人的报价均超过了采购预算，采购人不能支付的；</w:t>
      </w:r>
    </w:p>
    <w:p w14:paraId="19210C95">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（4）因重大变故，采购任务取消的。</w:t>
      </w:r>
    </w:p>
    <w:p w14:paraId="16D16037">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30.确定中标人原则</w:t>
      </w:r>
    </w:p>
    <w:p w14:paraId="0B42D7EC">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实质上充分响应招标文件要求且总得分最高的被评标委员会推荐为第一中标候选人。得分相同的，按投标报价由低到高顺序排列，得分且投标报价相同的采取随机抽取方式确定。</w:t>
      </w:r>
    </w:p>
    <w:p w14:paraId="7B933897">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31.中标通知及中标公告</w:t>
      </w:r>
    </w:p>
    <w:p w14:paraId="1E9C7C7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31.1在中标供应商确定之日起2个工作日内发布中标公告及《中标通知书》，中标公告发布网址：浙江政府采购网(http://zfcg.czt.zj.gov.cn/)。</w:t>
      </w:r>
    </w:p>
    <w:p w14:paraId="001E5DEC">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31.2发布中标公告时同步公开评标委员会对每个投标人的《得分汇总表》情况；中标人提供的中小企业声明函将随中标结果同时公告。</w:t>
      </w:r>
    </w:p>
    <w:p w14:paraId="5D837997">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31.3中标公告发布同时，由</w:t>
      </w:r>
      <w:r>
        <w:rPr>
          <w:rFonts w:hint="eastAsia" w:ascii="宋体" w:hAnsi="宋体" w:cs="宋体"/>
          <w:color w:val="auto"/>
          <w:sz w:val="21"/>
          <w:szCs w:val="21"/>
          <w:highlight w:val="none"/>
          <w:lang w:eastAsia="zh-CN"/>
        </w:rPr>
        <w:t>浙江金穗工程项目管理有限公司</w:t>
      </w:r>
      <w:r>
        <w:rPr>
          <w:rFonts w:hint="eastAsia" w:ascii="宋体" w:hAnsi="宋体" w:cs="宋体"/>
          <w:color w:val="auto"/>
          <w:szCs w:val="21"/>
          <w:highlight w:val="none"/>
        </w:rPr>
        <w:t>和采购人签发《中标通知书》。</w:t>
      </w:r>
    </w:p>
    <w:p w14:paraId="653F5784">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31.4《中标通知书》将作为签订合同的重要依据，对采购代理机构、中标人和采购人具有法律效力。若采购代理机构无故改变中标结果、中标人放弃中标项目或采购人无正当理由拒签合同的都应承担法律责任。</w:t>
      </w:r>
    </w:p>
    <w:p w14:paraId="13F22FFE">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32.质疑与投诉</w:t>
      </w:r>
    </w:p>
    <w:p w14:paraId="1B4D2D26">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32.1投标人认为采购过程或成交结果使自己的合法权益受到损害的，可以在中标结果公告期限届满之日起7个工作日内，以书面形式向采购人提出质疑。</w:t>
      </w:r>
    </w:p>
    <w:p w14:paraId="454E98AB">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32.2质疑应当以书面形式提出，格式见《政府采购质疑和投诉办法》（财政部令第94号）附件范本，下载网址：浙江政府采购网(http://zfcg.czt.zj.gov.cn/)，位置：“首页-下载专区-质疑投诉模板”。供应商提出质疑应当提交质疑函和必要的证明材料。质疑函应当包括下列内容：</w:t>
      </w:r>
    </w:p>
    <w:p w14:paraId="4A7FAA04">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A.供应商的姓名或者名称、地址、邮编、联系人及联系电话；</w:t>
      </w:r>
    </w:p>
    <w:p w14:paraId="37BB1514">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B.质疑项目的名称、编号；</w:t>
      </w:r>
    </w:p>
    <w:p w14:paraId="447D672A">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C.具体、明确的质疑事项和与质疑事项相关的请求；</w:t>
      </w:r>
    </w:p>
    <w:p w14:paraId="756BCC6B">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D.事实依据；</w:t>
      </w:r>
    </w:p>
    <w:p w14:paraId="0E1C7654">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E.必要的法律依据；</w:t>
      </w:r>
    </w:p>
    <w:p w14:paraId="7693BD2A">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F.提出质疑的日期。</w:t>
      </w:r>
    </w:p>
    <w:p w14:paraId="7088116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质疑应明确阐述采购过程或成交结果中使自己合法权益受到损害的实质性内容，提供相关事实、依据和证据及其来源或线索，便于有关单位调查、答复和处理, 质疑函不符合《政府采购质疑和投诉办法》相关规定的，应在规定期限内补齐的，采购人自收到补齐材料之日起受理；逾期未补齐的，按自动撤回质疑处理。</w:t>
      </w:r>
    </w:p>
    <w:p w14:paraId="6AF67F2B">
      <w:pPr>
        <w:pStyle w:val="20"/>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hAnsi="宋体" w:cs="宋体"/>
          <w:bCs/>
          <w:color w:val="auto"/>
          <w:szCs w:val="21"/>
          <w:highlight w:val="none"/>
        </w:rPr>
      </w:pPr>
      <w:r>
        <w:rPr>
          <w:rFonts w:hint="eastAsia" w:hAnsi="宋体" w:cs="宋体"/>
          <w:bCs/>
          <w:color w:val="auto"/>
          <w:szCs w:val="21"/>
          <w:highlight w:val="none"/>
        </w:rPr>
        <w:t>32.3质疑材料递交方式：</w:t>
      </w:r>
    </w:p>
    <w:p w14:paraId="2CE6B607">
      <w:pPr>
        <w:pStyle w:val="20"/>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hAnsi="宋体" w:cs="宋体"/>
          <w:bCs/>
          <w:color w:val="auto"/>
          <w:szCs w:val="21"/>
          <w:highlight w:val="none"/>
        </w:rPr>
      </w:pPr>
      <w:r>
        <w:rPr>
          <w:rFonts w:hint="eastAsia" w:hAnsi="宋体" w:cs="宋体"/>
          <w:bCs/>
          <w:color w:val="auto"/>
          <w:szCs w:val="21"/>
          <w:highlight w:val="none"/>
        </w:rPr>
        <w:t>①通过政采云平台在线提出质疑（政采云系统菜单路径：应用中心-项目采购-询问质疑投诉-质疑列表-新增质疑）；</w:t>
      </w:r>
    </w:p>
    <w:p w14:paraId="3F3B97D0">
      <w:pPr>
        <w:pStyle w:val="20"/>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b/>
          <w:color w:val="auto"/>
          <w:highlight w:val="none"/>
        </w:rPr>
      </w:pPr>
      <w:r>
        <w:rPr>
          <w:rFonts w:cs="宋体"/>
          <w:b/>
          <w:color w:val="auto"/>
          <w:szCs w:val="21"/>
          <w:highlight w:val="none"/>
        </w:rPr>
        <w:t>②供应商在法定质疑期内一次性提出针对同一采购程序环节的质疑。</w:t>
      </w:r>
    </w:p>
    <w:p w14:paraId="21006F3C">
      <w:pPr>
        <w:pStyle w:val="20"/>
        <w:spacing w:line="400" w:lineRule="exact"/>
        <w:ind w:firstLine="420" w:firstLineChars="200"/>
        <w:rPr>
          <w:color w:val="auto"/>
          <w:highlight w:val="none"/>
        </w:rPr>
      </w:pPr>
      <w:r>
        <w:rPr>
          <w:color w:val="auto"/>
          <w:highlight w:val="none"/>
        </w:rPr>
        <w:t>③书面递交到</w:t>
      </w:r>
      <w:r>
        <w:rPr>
          <w:rFonts w:hint="eastAsia"/>
          <w:color w:val="auto"/>
          <w:highlight w:val="none"/>
          <w:lang w:eastAsia="zh-CN"/>
        </w:rPr>
        <w:t>浙江金穗工程项目管理有限公司</w:t>
      </w:r>
      <w:r>
        <w:rPr>
          <w:color w:val="auto"/>
          <w:highlight w:val="none"/>
        </w:rPr>
        <w:t>。</w:t>
      </w:r>
    </w:p>
    <w:p w14:paraId="39B8206E">
      <w:pPr>
        <w:widowControl/>
        <w:jc w:val="both"/>
        <w:outlineLvl w:val="2"/>
        <w:rPr>
          <w:rFonts w:hint="eastAsia" w:ascii="宋体" w:hAnsi="宋体" w:cs="宋体"/>
          <w:b/>
          <w:bCs/>
          <w:color w:val="auto"/>
          <w:kern w:val="0"/>
          <w:sz w:val="28"/>
          <w:szCs w:val="28"/>
          <w:highlight w:val="none"/>
        </w:rPr>
      </w:pPr>
    </w:p>
    <w:p w14:paraId="7ADD4255">
      <w:pPr>
        <w:widowControl/>
        <w:jc w:val="center"/>
        <w:outlineLvl w:val="2"/>
        <w:rPr>
          <w:rFonts w:hint="eastAsia" w:ascii="宋体" w:hAnsi="宋体" w:cs="宋体"/>
          <w:b/>
          <w:bCs/>
          <w:color w:val="auto"/>
          <w:kern w:val="0"/>
          <w:sz w:val="28"/>
          <w:szCs w:val="28"/>
          <w:highlight w:val="none"/>
        </w:rPr>
      </w:pPr>
    </w:p>
    <w:p w14:paraId="37360CC1">
      <w:pPr>
        <w:widowControl/>
        <w:jc w:val="center"/>
        <w:outlineLvl w:val="2"/>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六、合同授予</w:t>
      </w:r>
      <w:bookmarkEnd w:id="54"/>
      <w:bookmarkEnd w:id="55"/>
      <w:bookmarkEnd w:id="56"/>
      <w:bookmarkEnd w:id="57"/>
      <w:bookmarkEnd w:id="58"/>
      <w:bookmarkEnd w:id="59"/>
    </w:p>
    <w:p w14:paraId="5CBDA409">
      <w:pPr>
        <w:keepNext w:val="0"/>
        <w:keepLines w:val="0"/>
        <w:pageBreakBefore w:val="0"/>
        <w:widowControl w:val="0"/>
        <w:kinsoku/>
        <w:wordWrap/>
        <w:overflowPunct/>
        <w:topLinePunct w:val="0"/>
        <w:autoSpaceDE/>
        <w:autoSpaceDN/>
        <w:bidi w:val="0"/>
        <w:adjustRightInd/>
        <w:spacing w:line="440" w:lineRule="exact"/>
        <w:ind w:firstLine="413" w:firstLineChars="196"/>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33.签订合同</w:t>
      </w:r>
    </w:p>
    <w:p w14:paraId="67781D4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33.1中标人应在《中标通知书》</w:t>
      </w:r>
      <w:r>
        <w:rPr>
          <w:rFonts w:hint="eastAsia" w:ascii="宋体" w:hAnsi="宋体" w:cs="宋体"/>
          <w:color w:val="auto"/>
          <w:szCs w:val="21"/>
          <w:highlight w:val="none"/>
        </w:rPr>
        <w:t>发出之日起</w:t>
      </w:r>
      <w:r>
        <w:rPr>
          <w:rFonts w:hint="eastAsia" w:ascii="宋体" w:hAnsi="宋体" w:cs="宋体"/>
          <w:b/>
          <w:i/>
          <w:color w:val="auto"/>
          <w:kern w:val="0"/>
          <w:szCs w:val="21"/>
          <w:highlight w:val="none"/>
          <w:u w:val="single"/>
        </w:rPr>
        <w:t>30日</w:t>
      </w:r>
      <w:r>
        <w:rPr>
          <w:rFonts w:hint="eastAsia" w:ascii="宋体" w:hAnsi="宋体" w:cs="宋体"/>
          <w:color w:val="auto"/>
          <w:kern w:val="0"/>
          <w:szCs w:val="21"/>
          <w:highlight w:val="none"/>
        </w:rPr>
        <w:t>内与采购人签订合同。</w:t>
      </w:r>
    </w:p>
    <w:p w14:paraId="16A74EDB">
      <w:pPr>
        <w:widowControl/>
        <w:spacing w:line="400" w:lineRule="exact"/>
        <w:ind w:firstLine="420" w:firstLineChars="200"/>
        <w:jc w:val="left"/>
        <w:rPr>
          <w:rFonts w:asciiTheme="minorEastAsia" w:hAnsiTheme="minorEastAsia" w:eastAsiaTheme="minorEastAsia" w:cstheme="minorEastAsia"/>
          <w:color w:val="auto"/>
          <w:kern w:val="0"/>
          <w:highlight w:val="none"/>
        </w:rPr>
      </w:pPr>
      <w:r>
        <w:rPr>
          <w:rFonts w:hint="eastAsia" w:ascii="宋体" w:hAnsi="宋体" w:cs="宋体"/>
          <w:color w:val="auto"/>
          <w:kern w:val="0"/>
          <w:szCs w:val="21"/>
          <w:highlight w:val="none"/>
        </w:rPr>
        <w:t>33.2合同经双方法定代表人或授权委托人签字加盖单位公章，</w:t>
      </w:r>
      <w:r>
        <w:rPr>
          <w:rFonts w:hint="eastAsia" w:asciiTheme="minorEastAsia" w:hAnsiTheme="minorEastAsia" w:eastAsiaTheme="minorEastAsia" w:cstheme="minorEastAsia"/>
          <w:color w:val="auto"/>
          <w:kern w:val="0"/>
          <w:highlight w:val="none"/>
        </w:rPr>
        <w:t>并经</w:t>
      </w:r>
      <w:r>
        <w:rPr>
          <w:rFonts w:hint="eastAsia" w:asciiTheme="minorEastAsia" w:hAnsiTheme="minorEastAsia" w:eastAsiaTheme="minorEastAsia" w:cstheme="minorEastAsia"/>
          <w:color w:val="auto"/>
          <w:kern w:val="0"/>
          <w:highlight w:val="none"/>
          <w:lang w:eastAsia="zh-CN"/>
        </w:rPr>
        <w:t>浙江金穗工程项目管理有限公司</w:t>
      </w:r>
      <w:r>
        <w:rPr>
          <w:rFonts w:hint="eastAsia" w:asciiTheme="minorEastAsia" w:hAnsiTheme="minorEastAsia" w:eastAsiaTheme="minorEastAsia" w:cstheme="minorEastAsia"/>
          <w:color w:val="auto"/>
          <w:kern w:val="0"/>
          <w:highlight w:val="none"/>
        </w:rPr>
        <w:t>鉴证盖章后生效。</w:t>
      </w:r>
    </w:p>
    <w:p w14:paraId="3328D7DB">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33.3 招标文件、投标文件及其澄清文件等，均作为签订合同的依据。所签订的合同不得对招标文件和投标文件做实质性修改。</w:t>
      </w:r>
    </w:p>
    <w:p w14:paraId="241AAA78">
      <w:pPr>
        <w:widowControl/>
        <w:spacing w:line="500" w:lineRule="exact"/>
        <w:jc w:val="center"/>
        <w:rPr>
          <w:rFonts w:hint="eastAsia" w:ascii="仿宋" w:hAnsi="仿宋" w:eastAsia="仿宋" w:cs="宋体"/>
          <w:color w:val="auto"/>
          <w:kern w:val="0"/>
          <w:sz w:val="24"/>
          <w:highlight w:val="none"/>
          <w:shd w:val="clear" w:color="auto" w:fill="FFFFFF"/>
        </w:rPr>
      </w:pPr>
      <w:r>
        <w:rPr>
          <w:rFonts w:hint="eastAsia" w:ascii="仿宋" w:hAnsi="仿宋" w:eastAsia="仿宋" w:cs="宋体"/>
          <w:color w:val="auto"/>
          <w:kern w:val="0"/>
          <w:sz w:val="24"/>
          <w:highlight w:val="none"/>
          <w:shd w:val="clear" w:color="auto" w:fill="FFFFFF"/>
        </w:rPr>
        <w:br w:type="page"/>
      </w:r>
      <w:bookmarkEnd w:id="11"/>
      <w:bookmarkEnd w:id="12"/>
      <w:bookmarkEnd w:id="13"/>
      <w:bookmarkEnd w:id="14"/>
      <w:bookmarkEnd w:id="15"/>
      <w:bookmarkEnd w:id="16"/>
      <w:bookmarkEnd w:id="17"/>
      <w:bookmarkStart w:id="60" w:name="_Toc393201726"/>
      <w:bookmarkStart w:id="61" w:name="_Toc392080784"/>
      <w:bookmarkStart w:id="62" w:name="_Toc433917284"/>
      <w:bookmarkStart w:id="63" w:name="_Toc479236982"/>
    </w:p>
    <w:p w14:paraId="584B03A4">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color w:val="auto"/>
          <w:sz w:val="28"/>
          <w:szCs w:val="28"/>
          <w:highlight w:val="none"/>
          <w:lang w:val="en-US" w:eastAsia="zh-CN"/>
        </w:rPr>
      </w:pPr>
      <w:r>
        <w:rPr>
          <w:rFonts w:hint="eastAsia" w:ascii="黑体" w:hAnsi="黑体" w:eastAsia="黑体" w:cs="黑体"/>
          <w:color w:val="auto"/>
          <w:sz w:val="36"/>
          <w:szCs w:val="36"/>
          <w:highlight w:val="none"/>
        </w:rPr>
        <w:t>第</w:t>
      </w:r>
      <w:r>
        <w:rPr>
          <w:rFonts w:hint="eastAsia" w:ascii="黑体" w:hAnsi="黑体" w:eastAsia="黑体" w:cs="黑体"/>
          <w:color w:val="auto"/>
          <w:sz w:val="36"/>
          <w:szCs w:val="36"/>
          <w:highlight w:val="none"/>
          <w:lang w:val="en-US" w:eastAsia="zh-CN"/>
        </w:rPr>
        <w:t>三</w:t>
      </w:r>
      <w:r>
        <w:rPr>
          <w:rFonts w:hint="eastAsia" w:ascii="黑体" w:hAnsi="黑体" w:eastAsia="黑体" w:cs="黑体"/>
          <w:color w:val="auto"/>
          <w:sz w:val="36"/>
          <w:szCs w:val="36"/>
          <w:highlight w:val="none"/>
        </w:rPr>
        <w:t>章</w:t>
      </w:r>
      <w:r>
        <w:rPr>
          <w:rFonts w:hint="eastAsia" w:ascii="黑体" w:hAnsi="黑体" w:eastAsia="黑体" w:cs="黑体"/>
          <w:color w:val="auto"/>
          <w:sz w:val="36"/>
          <w:szCs w:val="36"/>
          <w:highlight w:val="none"/>
          <w:lang w:val="en-US" w:eastAsia="zh-CN"/>
        </w:rPr>
        <w:t xml:space="preserve">  </w:t>
      </w:r>
      <w:r>
        <w:rPr>
          <w:rFonts w:hint="eastAsia" w:ascii="黑体" w:hAnsi="黑体" w:eastAsia="黑体" w:cs="黑体"/>
          <w:color w:val="auto"/>
          <w:sz w:val="36"/>
          <w:szCs w:val="36"/>
          <w:highlight w:val="none"/>
        </w:rPr>
        <w:t>合同主要条款</w:t>
      </w:r>
    </w:p>
    <w:p w14:paraId="38D04B0D">
      <w:pPr>
        <w:keepNext w:val="0"/>
        <w:keepLines w:val="0"/>
        <w:pageBreakBefore w:val="0"/>
        <w:kinsoku/>
        <w:overflowPunct/>
        <w:topLinePunct w:val="0"/>
        <w:bidi w:val="0"/>
        <w:spacing w:line="440" w:lineRule="exact"/>
        <w:jc w:val="center"/>
        <w:textAlignment w:val="auto"/>
        <w:outlineLvl w:val="1"/>
        <w:rPr>
          <w:rFonts w:hint="eastAsia" w:ascii="宋体" w:hAnsi="宋体" w:cs="宋体"/>
          <w:b/>
          <w:bCs/>
          <w:color w:val="auto"/>
          <w:sz w:val="28"/>
          <w:szCs w:val="28"/>
          <w:highlight w:val="none"/>
        </w:rPr>
      </w:pPr>
      <w:bookmarkStart w:id="64" w:name="_Toc15976894"/>
      <w:r>
        <w:rPr>
          <w:rFonts w:hint="eastAsia" w:ascii="宋体" w:hAnsi="宋体" w:cs="宋体"/>
          <w:b/>
          <w:bCs/>
          <w:color w:val="auto"/>
          <w:sz w:val="28"/>
          <w:szCs w:val="28"/>
          <w:highlight w:val="none"/>
        </w:rPr>
        <w:t>一、合同条款前附表</w:t>
      </w:r>
      <w:bookmarkEnd w:id="64"/>
    </w:p>
    <w:p w14:paraId="12A86C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（本合同仅为样稿，最终稿由双方协商后确定）</w:t>
      </w:r>
    </w:p>
    <w:tbl>
      <w:tblPr>
        <w:tblStyle w:val="38"/>
        <w:tblW w:w="0" w:type="auto"/>
        <w:tblInd w:w="0" w:type="dxa"/>
        <w:tblLayout w:type="fixed"/>
        <w:tblCellMar>
          <w:top w:w="0" w:type="dxa"/>
          <w:left w:w="108" w:type="dxa"/>
          <w:bottom w:w="0" w:type="dxa"/>
          <w:right w:w="108" w:type="dxa"/>
        </w:tblCellMar>
      </w:tblPr>
      <w:tblGrid>
        <w:gridCol w:w="1557"/>
        <w:gridCol w:w="7895"/>
      </w:tblGrid>
      <w:tr w14:paraId="2083D143">
        <w:tblPrEx>
          <w:tblCellMar>
            <w:top w:w="0" w:type="dxa"/>
            <w:left w:w="108" w:type="dxa"/>
            <w:bottom w:w="0" w:type="dxa"/>
            <w:right w:w="108" w:type="dxa"/>
          </w:tblCellMar>
        </w:tblPrEx>
        <w:trPr>
          <w:trHeight w:val="429" w:hRule="atLeast"/>
        </w:trPr>
        <w:tc>
          <w:tcPr>
            <w:tcW w:w="1557" w:type="dxa"/>
            <w:tcBorders>
              <w:top w:val="single" w:color="auto" w:sz="4" w:space="0"/>
              <w:left w:val="single" w:color="auto" w:sz="4" w:space="0"/>
              <w:bottom w:val="single" w:color="auto" w:sz="4" w:space="0"/>
              <w:right w:val="single" w:color="auto" w:sz="4" w:space="0"/>
            </w:tcBorders>
            <w:vAlign w:val="center"/>
          </w:tcPr>
          <w:p w14:paraId="0A44F078">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highlight w:val="none"/>
              </w:rPr>
              <w:t>主要条款</w:t>
            </w:r>
          </w:p>
        </w:tc>
        <w:tc>
          <w:tcPr>
            <w:tcW w:w="7895" w:type="dxa"/>
            <w:tcBorders>
              <w:top w:val="single" w:color="auto" w:sz="4" w:space="0"/>
              <w:left w:val="nil"/>
              <w:bottom w:val="single" w:color="auto" w:sz="4" w:space="0"/>
              <w:right w:val="single" w:color="auto" w:sz="4" w:space="0"/>
            </w:tcBorders>
            <w:vAlign w:val="center"/>
          </w:tcPr>
          <w:p w14:paraId="74F3157C">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highlight w:val="none"/>
              </w:rPr>
              <w:t>内容</w:t>
            </w:r>
          </w:p>
        </w:tc>
      </w:tr>
      <w:tr w14:paraId="15E5FAA0">
        <w:tblPrEx>
          <w:tblCellMar>
            <w:top w:w="0" w:type="dxa"/>
            <w:left w:w="108" w:type="dxa"/>
            <w:bottom w:w="0" w:type="dxa"/>
            <w:right w:w="108" w:type="dxa"/>
          </w:tblCellMar>
        </w:tblPrEx>
        <w:trPr>
          <w:trHeight w:val="449" w:hRule="atLeast"/>
        </w:trPr>
        <w:tc>
          <w:tcPr>
            <w:tcW w:w="1557" w:type="dxa"/>
            <w:tcBorders>
              <w:top w:val="nil"/>
              <w:left w:val="single" w:color="auto" w:sz="4" w:space="0"/>
              <w:bottom w:val="single" w:color="auto" w:sz="4" w:space="0"/>
              <w:right w:val="single" w:color="auto" w:sz="4" w:space="0"/>
            </w:tcBorders>
            <w:vAlign w:val="center"/>
          </w:tcPr>
          <w:p w14:paraId="68D1BA75">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highlight w:val="none"/>
              </w:rPr>
              <w:t>质量等级</w:t>
            </w:r>
          </w:p>
        </w:tc>
        <w:tc>
          <w:tcPr>
            <w:tcW w:w="7895" w:type="dxa"/>
            <w:tcBorders>
              <w:top w:val="nil"/>
              <w:left w:val="nil"/>
              <w:bottom w:val="single" w:color="auto" w:sz="4" w:space="0"/>
              <w:right w:val="single" w:color="auto" w:sz="4" w:space="0"/>
            </w:tcBorders>
            <w:vAlign w:val="center"/>
          </w:tcPr>
          <w:p w14:paraId="1AE121D3">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合格并符合采购文件相应条款要求</w:t>
            </w:r>
          </w:p>
        </w:tc>
      </w:tr>
      <w:tr w14:paraId="0B500324">
        <w:tblPrEx>
          <w:tblCellMar>
            <w:top w:w="0" w:type="dxa"/>
            <w:left w:w="108" w:type="dxa"/>
            <w:bottom w:w="0" w:type="dxa"/>
            <w:right w:w="108" w:type="dxa"/>
          </w:tblCellMar>
        </w:tblPrEx>
        <w:trPr>
          <w:trHeight w:val="437" w:hRule="atLeast"/>
        </w:trPr>
        <w:tc>
          <w:tcPr>
            <w:tcW w:w="1557" w:type="dxa"/>
            <w:tcBorders>
              <w:top w:val="nil"/>
              <w:left w:val="single" w:color="auto" w:sz="4" w:space="0"/>
              <w:bottom w:val="single" w:color="auto" w:sz="4" w:space="0"/>
              <w:right w:val="single" w:color="auto" w:sz="4" w:space="0"/>
            </w:tcBorders>
            <w:vAlign w:val="center"/>
          </w:tcPr>
          <w:p w14:paraId="5D1E5AC6">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highlight w:val="none"/>
              </w:rPr>
              <w:t>合同履行期限</w:t>
            </w:r>
          </w:p>
        </w:tc>
        <w:tc>
          <w:tcPr>
            <w:tcW w:w="7895" w:type="dxa"/>
            <w:tcBorders>
              <w:top w:val="nil"/>
              <w:left w:val="nil"/>
              <w:bottom w:val="single" w:color="auto" w:sz="4" w:space="0"/>
              <w:right w:val="single" w:color="auto" w:sz="4" w:space="0"/>
            </w:tcBorders>
            <w:vAlign w:val="center"/>
          </w:tcPr>
          <w:p w14:paraId="1A6E608B">
            <w:pPr>
              <w:pStyle w:val="109"/>
              <w:keepNext w:val="0"/>
              <w:keepLines w:val="0"/>
              <w:suppressLineNumbers w:val="0"/>
              <w:spacing w:before="0" w:beforeAutospacing="0" w:after="0" w:afterAutospacing="0"/>
              <w:ind w:left="0" w:leftChars="0" w:right="0" w:firstLine="0" w:firstLineChars="0"/>
              <w:rPr>
                <w:rFonts w:hint="default" w:ascii="宋体" w:hAnsi="宋体" w:eastAsia="宋体" w:cs="宋体"/>
                <w:color w:val="auto"/>
                <w:kern w:val="0"/>
                <w:szCs w:val="21"/>
                <w:highlight w:val="none"/>
                <w:lang w:val="en-US" w:eastAsia="zh-CN"/>
              </w:rPr>
            </w:pPr>
            <w:r>
              <w:rPr>
                <w:rFonts w:hint="eastAsia" w:ascii="宋体" w:hAnsi="宋体" w:cs="宋体"/>
                <w:color w:val="000000"/>
                <w:spacing w:val="0"/>
                <w:sz w:val="21"/>
                <w:szCs w:val="21"/>
                <w:highlight w:val="none"/>
                <w:lang w:eastAsia="zh-CN"/>
              </w:rPr>
              <w:t>自合同签订起至所有赛事活动结束，所有人员返程结束。</w:t>
            </w:r>
            <w:r>
              <w:rPr>
                <w:rFonts w:hint="eastAsia" w:ascii="宋体" w:hAnsi="宋体" w:eastAsia="宋体" w:cs="宋体"/>
                <w:color w:val="000000"/>
                <w:spacing w:val="0"/>
                <w:sz w:val="21"/>
                <w:szCs w:val="21"/>
                <w:highlight w:val="none"/>
                <w:lang w:eastAsia="zh-CN"/>
              </w:rPr>
              <w:t>但根据合同约定提前解除或终止的除外。</w:t>
            </w:r>
          </w:p>
        </w:tc>
      </w:tr>
      <w:tr w14:paraId="124ED9BD">
        <w:tblPrEx>
          <w:tblCellMar>
            <w:top w:w="0" w:type="dxa"/>
            <w:left w:w="108" w:type="dxa"/>
            <w:bottom w:w="0" w:type="dxa"/>
            <w:right w:w="108" w:type="dxa"/>
          </w:tblCellMar>
        </w:tblPrEx>
        <w:trPr>
          <w:trHeight w:val="436" w:hRule="atLeast"/>
        </w:trPr>
        <w:tc>
          <w:tcPr>
            <w:tcW w:w="1557" w:type="dxa"/>
            <w:tcBorders>
              <w:top w:val="nil"/>
              <w:left w:val="single" w:color="auto" w:sz="4" w:space="0"/>
              <w:bottom w:val="single" w:color="auto" w:sz="4" w:space="0"/>
              <w:right w:val="single" w:color="auto" w:sz="4" w:space="0"/>
            </w:tcBorders>
            <w:vAlign w:val="center"/>
          </w:tcPr>
          <w:p w14:paraId="510749A2">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highlight w:val="none"/>
              </w:rPr>
              <w:t>项目地点</w:t>
            </w:r>
          </w:p>
        </w:tc>
        <w:tc>
          <w:tcPr>
            <w:tcW w:w="7895" w:type="dxa"/>
            <w:tcBorders>
              <w:top w:val="nil"/>
              <w:left w:val="nil"/>
              <w:bottom w:val="single" w:color="auto" w:sz="4" w:space="0"/>
              <w:right w:val="single" w:color="auto" w:sz="4" w:space="0"/>
            </w:tcBorders>
            <w:vAlign w:val="center"/>
          </w:tcPr>
          <w:p w14:paraId="38CDFBCD">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开化县</w:t>
            </w:r>
          </w:p>
        </w:tc>
      </w:tr>
      <w:tr w14:paraId="1D3F97C5">
        <w:tblPrEx>
          <w:tblCellMar>
            <w:top w:w="0" w:type="dxa"/>
            <w:left w:w="108" w:type="dxa"/>
            <w:bottom w:w="0" w:type="dxa"/>
            <w:right w:w="108" w:type="dxa"/>
          </w:tblCellMar>
        </w:tblPrEx>
        <w:trPr>
          <w:trHeight w:val="432" w:hRule="atLeast"/>
        </w:trPr>
        <w:tc>
          <w:tcPr>
            <w:tcW w:w="1557" w:type="dxa"/>
            <w:tcBorders>
              <w:top w:val="nil"/>
              <w:left w:val="single" w:color="auto" w:sz="4" w:space="0"/>
              <w:bottom w:val="single" w:color="auto" w:sz="4" w:space="0"/>
              <w:right w:val="single" w:color="auto" w:sz="4" w:space="0"/>
            </w:tcBorders>
            <w:vAlign w:val="center"/>
          </w:tcPr>
          <w:p w14:paraId="2255D42C">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highlight w:val="none"/>
              </w:rPr>
              <w:t>合同价格</w:t>
            </w:r>
          </w:p>
        </w:tc>
        <w:tc>
          <w:tcPr>
            <w:tcW w:w="7895" w:type="dxa"/>
            <w:tcBorders>
              <w:top w:val="nil"/>
              <w:left w:val="nil"/>
              <w:bottom w:val="single" w:color="auto" w:sz="4" w:space="0"/>
              <w:right w:val="single" w:color="auto" w:sz="4" w:space="0"/>
            </w:tcBorders>
            <w:shd w:val="clear" w:color="auto" w:fill="auto"/>
            <w:vAlign w:val="center"/>
          </w:tcPr>
          <w:p w14:paraId="254BEC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Calibri" w:hAnsi="Calibri" w:eastAsia="宋体" w:cs="Calibri"/>
                <w:spacing w:val="0"/>
                <w:kern w:val="2"/>
                <w:sz w:val="21"/>
                <w:szCs w:val="21"/>
                <w:highlight w:val="none"/>
                <w:lang w:val="en-US" w:eastAsia="zh-CN" w:bidi="ar-SA"/>
              </w:rPr>
            </w:pPr>
            <w:r>
              <w:rPr>
                <w:rFonts w:hint="eastAsia"/>
                <w:spacing w:val="0"/>
                <w:sz w:val="21"/>
                <w:szCs w:val="21"/>
                <w:highlight w:val="none"/>
              </w:rPr>
              <w:t>固定总价合同，以中标价为基准，政策性变化均不允许调整，材料价差变动不准调整。</w:t>
            </w:r>
          </w:p>
        </w:tc>
      </w:tr>
      <w:tr w14:paraId="25408FFC">
        <w:tblPrEx>
          <w:tblCellMar>
            <w:top w:w="0" w:type="dxa"/>
            <w:left w:w="108" w:type="dxa"/>
            <w:bottom w:w="0" w:type="dxa"/>
            <w:right w:w="108" w:type="dxa"/>
          </w:tblCellMar>
        </w:tblPrEx>
        <w:trPr>
          <w:trHeight w:val="609" w:hRule="atLeast"/>
        </w:trPr>
        <w:tc>
          <w:tcPr>
            <w:tcW w:w="1557" w:type="dxa"/>
            <w:tcBorders>
              <w:top w:val="nil"/>
              <w:left w:val="single" w:color="auto" w:sz="4" w:space="0"/>
              <w:bottom w:val="single" w:color="auto" w:sz="4" w:space="0"/>
              <w:right w:val="single" w:color="auto" w:sz="4" w:space="0"/>
            </w:tcBorders>
            <w:vAlign w:val="center"/>
          </w:tcPr>
          <w:p w14:paraId="2A6D60F4">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highlight w:val="none"/>
              </w:rPr>
              <w:t>付款方式</w:t>
            </w:r>
          </w:p>
        </w:tc>
        <w:tc>
          <w:tcPr>
            <w:tcW w:w="7895" w:type="dxa"/>
            <w:tcBorders>
              <w:top w:val="nil"/>
              <w:left w:val="nil"/>
              <w:bottom w:val="single" w:color="auto" w:sz="4" w:space="0"/>
              <w:right w:val="single" w:color="auto" w:sz="4" w:space="0"/>
            </w:tcBorders>
            <w:vAlign w:val="center"/>
          </w:tcPr>
          <w:p w14:paraId="4639FB13">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400" w:lineRule="exact"/>
              <w:ind w:left="0" w:right="0"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1.合同金额核减。</w:t>
            </w:r>
          </w:p>
          <w:p w14:paraId="797D8300">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400" w:lineRule="exact"/>
              <w:ind w:left="0" w:right="0"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①赛事开赛后，参赛代表队员(教练、领队、运动员、工作人员等)人数少于“（三）基本人员物料清单需求”预算人数90%，核减差额人数所需食宿费用，核减费用按照“2</w:t>
            </w:r>
            <w:r>
              <w:rPr>
                <w:rFonts w:hint="eastAsia" w:ascii="宋体" w:hAnsi="宋体" w:cs="宋体"/>
                <w:color w:val="000000"/>
                <w:spacing w:val="0"/>
                <w:kern w:val="2"/>
                <w:sz w:val="21"/>
                <w:szCs w:val="21"/>
                <w:highlight w:val="none"/>
                <w:lang w:val="en-US" w:eastAsia="zh-CN" w:bidi="ar-SA"/>
              </w:rPr>
              <w:t>2</w:t>
            </w:r>
            <w:r>
              <w:rPr>
                <w:rFonts w:hint="eastAsia" w:ascii="宋体" w:hAnsi="宋体" w:eastAsia="宋体" w:cs="宋体"/>
                <w:color w:val="000000"/>
                <w:spacing w:val="0"/>
                <w:kern w:val="2"/>
                <w:sz w:val="21"/>
                <w:szCs w:val="21"/>
                <w:highlight w:val="none"/>
                <w:lang w:val="en-US" w:eastAsia="zh-CN" w:bidi="ar-SA"/>
              </w:rPr>
              <w:t>0元/天×差额人数×中标金额/最高限价”计算。</w:t>
            </w:r>
          </w:p>
          <w:p w14:paraId="5148F941">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400" w:lineRule="exact"/>
              <w:ind w:left="0" w:right="0"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②赛事教练员、参赛代表队员(教练、领队、运动员等)参赛天数少于“（四）基本人员物料清单需求”各赛事内天数的（具体天数以补充通知中报道时间和比赛结束时间为准），核减差额天数产生的对应人员的食宿费、劳务费，核减费用按照“（差额天数食宿费+劳务费）×中标总金额/总价最高限价”计算。</w:t>
            </w:r>
          </w:p>
          <w:p w14:paraId="7EE84F7D">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400" w:lineRule="exact"/>
              <w:ind w:left="0" w:right="0"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③裁判员劳务补贴、交通补贴以实际支出为准，核减差额费用。</w:t>
            </w:r>
          </w:p>
          <w:p w14:paraId="4280CEE7">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400" w:lineRule="exact"/>
              <w:ind w:left="0" w:right="0" w:firstLine="420" w:firstLineChars="200"/>
              <w:textAlignment w:val="auto"/>
              <w:rPr>
                <w:rFonts w:hint="default"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④其他费用核增：核增额按增加数量×单价的预算金额×中标总金额/总价最高限价</w:t>
            </w:r>
            <w:r>
              <w:rPr>
                <w:rFonts w:hint="eastAsia" w:ascii="宋体" w:hAnsi="宋体" w:cs="宋体"/>
                <w:color w:val="000000"/>
                <w:spacing w:val="0"/>
                <w:kern w:val="2"/>
                <w:sz w:val="21"/>
                <w:szCs w:val="21"/>
                <w:highlight w:val="none"/>
                <w:lang w:val="en-US" w:eastAsia="zh-CN" w:bidi="ar-SA"/>
              </w:rPr>
              <w:t>。</w:t>
            </w:r>
          </w:p>
          <w:p w14:paraId="182BD478">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400" w:lineRule="exact"/>
              <w:ind w:left="0" w:right="0"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2.具体赛事运营过程中，如发生未列入预算中经费情况，经甲方同意后，可在“不可预计费用（赛事限额2万元）”中支出，剩余费用予以核减。</w:t>
            </w:r>
          </w:p>
          <w:p w14:paraId="0AE9F281">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400" w:lineRule="exact"/>
              <w:ind w:left="0" w:right="0"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3.合同签订且具备实施条件后7个工作日内，采购人预付合同金额的40%(即“预付款”)。赛事服务结束后，采购人按照核减条款和《省十二残运赛事运营服务工作需求及验收标准》（附件）验收情况确定最终决算金额，在供应商提交正式税务发票、赛事总结报告及赛事绩效情况简报等材料后15个工作日内支付单个赛事剩余合同金额。注:具体以开化县财政局款项下达到账和财务支付流程为前提。</w:t>
            </w:r>
          </w:p>
          <w:p w14:paraId="2160A334">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400" w:lineRule="exact"/>
              <w:ind w:left="0" w:right="0"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4.有下列情况之一的，采购人有权不支付剩余合同金额(不含预付款)；对采购人造成损失的，采购人有权要求供应商赔偿损失。</w:t>
            </w:r>
          </w:p>
          <w:p w14:paraId="23E6D897">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400" w:lineRule="exact"/>
              <w:ind w:left="0" w:right="0"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①违反采购文件规定，未经采购人批准擅自更改实施方案或改变实施内容；</w:t>
            </w:r>
          </w:p>
          <w:p w14:paraId="5101E0B6">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400" w:lineRule="exact"/>
              <w:ind w:left="0" w:right="0"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②在赛后评估、稽查和其他相关检查中发现项目服务质量等方面存在重大问题；</w:t>
            </w:r>
          </w:p>
          <w:p w14:paraId="4B171095">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400" w:lineRule="exact"/>
              <w:ind w:left="0" w:right="0"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③项目发生安全事故或严重事故，或者造成重大经济损失和社会不良影响；</w:t>
            </w:r>
          </w:p>
          <w:p w14:paraId="6D059559">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400" w:lineRule="exact"/>
              <w:ind w:left="0" w:right="0"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④项目实施进度非因不可抗力因素严重滞后。</w:t>
            </w:r>
          </w:p>
          <w:p w14:paraId="00D050BF">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400" w:lineRule="exact"/>
              <w:ind w:left="0" w:right="0"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⑤对拒不执行公安机关书面通知的安保整改要求。</w:t>
            </w:r>
          </w:p>
          <w:p w14:paraId="68AADF21">
            <w:pPr>
              <w:keepNext w:val="0"/>
              <w:keepLines w:val="0"/>
              <w:pageBreakBefore w:val="0"/>
              <w:widowControl w:val="0"/>
              <w:numPr>
                <w:ilvl w:val="0"/>
                <w:numId w:val="3"/>
              </w:numPr>
              <w:suppressLineNumbers w:val="0"/>
              <w:kinsoku/>
              <w:overflowPunct/>
              <w:topLinePunct w:val="0"/>
              <w:autoSpaceDE/>
              <w:autoSpaceDN/>
              <w:bidi w:val="0"/>
              <w:adjustRightInd w:val="0"/>
              <w:snapToGrid w:val="0"/>
              <w:spacing w:before="0" w:beforeAutospacing="0" w:after="0" w:afterAutospacing="0" w:line="400" w:lineRule="exact"/>
              <w:ind w:left="0" w:right="0"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实际人数以参加人数为准，最终按实际人数及相应标准进行结算。</w:t>
            </w:r>
          </w:p>
          <w:p w14:paraId="7C53B3B7">
            <w:pPr>
              <w:pStyle w:val="16"/>
              <w:keepNext w:val="0"/>
              <w:keepLines w:val="0"/>
              <w:numPr>
                <w:ilvl w:val="0"/>
                <w:numId w:val="0"/>
              </w:numPr>
              <w:suppressLineNumbers w:val="0"/>
              <w:spacing w:before="0" w:beforeAutospacing="0" w:after="0" w:afterAutospacing="0"/>
              <w:ind w:right="0" w:firstLine="422" w:firstLineChars="200"/>
              <w:rPr>
                <w:rFonts w:hint="default" w:ascii="宋体" w:hAnsi="宋体" w:eastAsia="宋体" w:cs="宋体"/>
                <w:color w:val="000000"/>
                <w:spacing w:val="0"/>
                <w:sz w:val="21"/>
                <w:szCs w:val="21"/>
                <w:highlight w:val="none"/>
                <w:lang w:val="en-US" w:eastAsia="zh-CN"/>
              </w:rPr>
            </w:pPr>
            <w:r>
              <w:rPr>
                <w:rFonts w:hint="eastAsia"/>
                <w:b/>
                <w:bCs/>
                <w:lang w:val="en-US" w:eastAsia="zh-CN"/>
              </w:rPr>
              <w:t>注：上述需求项目如遇市级赛事筹备办统一提供的，则费用金额相应核减。</w:t>
            </w:r>
          </w:p>
        </w:tc>
      </w:tr>
    </w:tbl>
    <w:p w14:paraId="65D8AB9B">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color w:val="auto"/>
          <w:sz w:val="28"/>
          <w:szCs w:val="28"/>
          <w:highlight w:val="none"/>
          <w:lang w:eastAsia="zh-CN"/>
        </w:rPr>
      </w:pPr>
    </w:p>
    <w:p w14:paraId="6680E911">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二、合同主要条款</w:t>
      </w:r>
    </w:p>
    <w:p w14:paraId="1E12AE7E">
      <w:pPr>
        <w:keepNext w:val="0"/>
        <w:keepLines w:val="0"/>
        <w:pageBreakBefore w:val="0"/>
        <w:kinsoku/>
        <w:overflowPunct/>
        <w:topLinePunct w:val="0"/>
        <w:bidi w:val="0"/>
        <w:spacing w:line="440" w:lineRule="exact"/>
        <w:jc w:val="center"/>
        <w:textAlignment w:val="auto"/>
        <w:outlineLvl w:val="1"/>
        <w:rPr>
          <w:rFonts w:hint="eastAsia" w:ascii="宋体" w:hAnsi="宋体" w:eastAsia="宋体" w:cs="宋体"/>
          <w:b/>
          <w:bCs/>
          <w:color w:val="auto"/>
          <w:spacing w:val="0"/>
          <w:sz w:val="28"/>
          <w:szCs w:val="28"/>
          <w:highlight w:val="none"/>
          <w:lang w:eastAsia="zh-CN"/>
        </w:rPr>
      </w:pPr>
      <w:r>
        <w:rPr>
          <w:rFonts w:hint="eastAsia" w:ascii="宋体" w:hAnsi="宋体" w:cs="宋体"/>
          <w:b/>
          <w:bCs/>
          <w:color w:val="auto"/>
          <w:spacing w:val="0"/>
          <w:sz w:val="28"/>
          <w:szCs w:val="28"/>
          <w:highlight w:val="none"/>
          <w:lang w:val="en-US" w:eastAsia="zh-CN"/>
        </w:rPr>
        <w:t>浙江省第十二届残疾人运动会盲人跳绳比赛整体赛事执行服务</w:t>
      </w:r>
      <w:r>
        <w:rPr>
          <w:rFonts w:hint="eastAsia" w:ascii="宋体" w:hAnsi="宋体" w:eastAsia="宋体" w:cs="宋体"/>
          <w:b/>
          <w:bCs/>
          <w:color w:val="auto"/>
          <w:spacing w:val="0"/>
          <w:sz w:val="28"/>
          <w:szCs w:val="28"/>
          <w:highlight w:val="none"/>
          <w:lang w:eastAsia="zh-CN"/>
        </w:rPr>
        <w:t>采购合同</w:t>
      </w:r>
    </w:p>
    <w:p w14:paraId="71B8FD42">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outlineLvl w:val="9"/>
        <w:rPr>
          <w:rFonts w:hint="eastAsia" w:ascii="宋体" w:hAnsi="宋体" w:cs="宋体"/>
          <w:b/>
          <w:bCs/>
          <w:color w:val="auto"/>
          <w:sz w:val="32"/>
          <w:szCs w:val="32"/>
          <w:highlight w:val="none"/>
          <w:lang w:eastAsia="zh-CN"/>
        </w:rPr>
      </w:pPr>
    </w:p>
    <w:p w14:paraId="79F5F126">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u w:val="single"/>
          <w:lang w:eastAsia="zh-CN"/>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    </w:t>
      </w:r>
      <w:r>
        <w:rPr>
          <w:rFonts w:hint="eastAsia" w:ascii="宋体" w:hAnsi="宋体" w:eastAsia="宋体" w:cs="宋体"/>
          <w:color w:val="auto"/>
          <w:sz w:val="21"/>
          <w:szCs w:val="21"/>
          <w:highlight w:val="none"/>
          <w:lang w:eastAsia="zh-CN"/>
        </w:rPr>
        <w:t xml:space="preserve">（采购单位） </w:t>
      </w:r>
    </w:p>
    <w:p w14:paraId="4D7A25F5">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u w:val="single"/>
          <w:lang w:eastAsia="zh-CN"/>
        </w:rPr>
        <w:t>            </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lang w:eastAsia="zh-CN"/>
        </w:rPr>
        <w:t>）</w:t>
      </w:r>
    </w:p>
    <w:p w14:paraId="3CF7AADC">
      <w:pPr>
        <w:spacing w:line="360" w:lineRule="auto"/>
        <w:rPr>
          <w:rFonts w:ascii="宋体" w:hAnsi="宋体" w:cs="宋体"/>
          <w:color w:val="auto"/>
          <w:highlight w:val="none"/>
        </w:rPr>
      </w:pPr>
      <w:r>
        <w:rPr>
          <w:rFonts w:hint="eastAsia" w:ascii="宋体" w:hAnsi="宋体" w:cs="宋体"/>
          <w:color w:val="auto"/>
          <w:highlight w:val="none"/>
        </w:rPr>
        <w:t>甲乙双方根据   年   月  日</w:t>
      </w:r>
      <w:r>
        <w:rPr>
          <w:rFonts w:hint="eastAsia" w:ascii="宋体" w:hAnsi="宋体" w:cs="宋体"/>
          <w:color w:val="auto"/>
          <w:highlight w:val="none"/>
          <w:lang w:eastAsia="zh-CN"/>
        </w:rPr>
        <w:t>浙江</w:t>
      </w:r>
      <w:r>
        <w:rPr>
          <w:rFonts w:hint="eastAsia" w:ascii="宋体" w:hAnsi="宋体" w:cs="宋体"/>
          <w:color w:val="auto"/>
          <w:highlight w:val="none"/>
          <w:lang w:val="en-US" w:eastAsia="zh-CN"/>
        </w:rPr>
        <w:t>金穗</w:t>
      </w:r>
      <w:r>
        <w:rPr>
          <w:rFonts w:hint="eastAsia" w:ascii="宋体" w:hAnsi="宋体" w:cs="宋体"/>
          <w:color w:val="auto"/>
          <w:highlight w:val="none"/>
          <w:lang w:eastAsia="zh-CN"/>
        </w:rPr>
        <w:t>工程项目管理有限公司</w:t>
      </w:r>
      <w:r>
        <w:rPr>
          <w:rFonts w:hint="eastAsia" w:ascii="宋体" w:hAnsi="宋体" w:cs="宋体"/>
          <w:color w:val="auto"/>
          <w:highlight w:val="none"/>
        </w:rPr>
        <w:t>所签发的《中标通知书》（项目编号：       ），以及</w:t>
      </w:r>
      <w:r>
        <w:rPr>
          <w:rFonts w:hint="eastAsia" w:ascii="宋体" w:hAnsi="宋体" w:cs="宋体"/>
          <w:color w:val="auto"/>
          <w:highlight w:val="none"/>
          <w:lang w:val="en-US" w:eastAsia="zh-CN"/>
        </w:rPr>
        <w:t>采购</w:t>
      </w:r>
      <w:r>
        <w:rPr>
          <w:rFonts w:hint="eastAsia" w:ascii="宋体" w:hAnsi="宋体" w:cs="宋体"/>
          <w:color w:val="auto"/>
          <w:highlight w:val="none"/>
        </w:rPr>
        <w:t>文件、</w:t>
      </w:r>
      <w:r>
        <w:rPr>
          <w:rFonts w:hint="eastAsia" w:ascii="宋体" w:hAnsi="宋体" w:cs="宋体"/>
          <w:color w:val="auto"/>
          <w:highlight w:val="none"/>
          <w:lang w:val="en-US" w:eastAsia="zh-CN"/>
        </w:rPr>
        <w:t>投标</w:t>
      </w:r>
      <w:r>
        <w:rPr>
          <w:rFonts w:hint="eastAsia" w:ascii="宋体" w:hAnsi="宋体" w:cs="宋体"/>
          <w:color w:val="auto"/>
          <w:highlight w:val="none"/>
        </w:rPr>
        <w:t>文件的规定，并经双方协商一致，达成本采购合同（中标通知书、采购文件、</w:t>
      </w:r>
      <w:r>
        <w:rPr>
          <w:rFonts w:hint="eastAsia" w:ascii="宋体" w:hAnsi="宋体" w:cs="宋体"/>
          <w:color w:val="auto"/>
          <w:highlight w:val="none"/>
          <w:lang w:val="en-US" w:eastAsia="zh-CN"/>
        </w:rPr>
        <w:t>投标</w:t>
      </w:r>
      <w:r>
        <w:rPr>
          <w:rFonts w:hint="eastAsia" w:ascii="宋体" w:hAnsi="宋体" w:cs="宋体"/>
          <w:color w:val="auto"/>
          <w:highlight w:val="none"/>
        </w:rPr>
        <w:t>文件以及甲、乙双方商定的补充协议构成本合同不可分割的部分）。</w:t>
      </w:r>
    </w:p>
    <w:tbl>
      <w:tblPr>
        <w:tblStyle w:val="38"/>
        <w:tblW w:w="0" w:type="auto"/>
        <w:jc w:val="center"/>
        <w:tblLayout w:type="fixed"/>
        <w:tblCellMar>
          <w:top w:w="0" w:type="dxa"/>
          <w:left w:w="108" w:type="dxa"/>
          <w:bottom w:w="0" w:type="dxa"/>
          <w:right w:w="108" w:type="dxa"/>
        </w:tblCellMar>
      </w:tblPr>
      <w:tblGrid>
        <w:gridCol w:w="758"/>
        <w:gridCol w:w="1861"/>
        <w:gridCol w:w="1846"/>
        <w:gridCol w:w="1483"/>
        <w:gridCol w:w="1515"/>
        <w:gridCol w:w="1260"/>
      </w:tblGrid>
      <w:tr w14:paraId="74D69184">
        <w:tblPrEx>
          <w:tblCellMar>
            <w:top w:w="0" w:type="dxa"/>
            <w:left w:w="108" w:type="dxa"/>
            <w:bottom w:w="0" w:type="dxa"/>
            <w:right w:w="108" w:type="dxa"/>
          </w:tblCellMar>
        </w:tblPrEx>
        <w:trPr>
          <w:trHeight w:val="553"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5A2DDF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spacing w:val="0"/>
                <w:highlight w:val="none"/>
              </w:rPr>
            </w:pPr>
            <w:r>
              <w:rPr>
                <w:rFonts w:hint="eastAsia" w:ascii="宋体" w:hAnsi="宋体" w:cs="宋体"/>
                <w:color w:val="000000"/>
                <w:spacing w:val="0"/>
                <w:highlight w:val="none"/>
              </w:rPr>
              <w:t>序号</w:t>
            </w:r>
          </w:p>
        </w:tc>
        <w:tc>
          <w:tcPr>
            <w:tcW w:w="1861" w:type="dxa"/>
            <w:tcBorders>
              <w:top w:val="single" w:color="000000" w:sz="4" w:space="0"/>
              <w:left w:val="nil"/>
              <w:bottom w:val="single" w:color="000000" w:sz="4" w:space="0"/>
              <w:right w:val="single" w:color="000000" w:sz="4" w:space="0"/>
            </w:tcBorders>
            <w:vAlign w:val="center"/>
          </w:tcPr>
          <w:p w14:paraId="38B08B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spacing w:val="0"/>
                <w:highlight w:val="none"/>
              </w:rPr>
            </w:pPr>
            <w:r>
              <w:rPr>
                <w:rFonts w:hint="eastAsia" w:ascii="宋体" w:hAnsi="宋体" w:cs="宋体"/>
                <w:color w:val="000000"/>
                <w:spacing w:val="0"/>
                <w:highlight w:val="none"/>
              </w:rPr>
              <w:t>采购内容</w:t>
            </w:r>
          </w:p>
        </w:tc>
        <w:tc>
          <w:tcPr>
            <w:tcW w:w="1846" w:type="dxa"/>
            <w:tcBorders>
              <w:top w:val="single" w:color="000000" w:sz="4" w:space="0"/>
              <w:left w:val="nil"/>
              <w:bottom w:val="single" w:color="000000" w:sz="4" w:space="0"/>
              <w:right w:val="single" w:color="000000" w:sz="4" w:space="0"/>
            </w:tcBorders>
            <w:vAlign w:val="center"/>
          </w:tcPr>
          <w:p w14:paraId="527F4D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spacing w:val="0"/>
                <w:highlight w:val="none"/>
              </w:rPr>
            </w:pPr>
            <w:r>
              <w:rPr>
                <w:rFonts w:hint="eastAsia" w:ascii="宋体" w:hAnsi="宋体" w:cs="宋体"/>
                <w:color w:val="000000"/>
                <w:spacing w:val="0"/>
                <w:highlight w:val="none"/>
              </w:rPr>
              <w:t>要求</w:t>
            </w:r>
          </w:p>
        </w:tc>
        <w:tc>
          <w:tcPr>
            <w:tcW w:w="1483" w:type="dxa"/>
            <w:tcBorders>
              <w:top w:val="single" w:color="000000" w:sz="4" w:space="0"/>
              <w:left w:val="nil"/>
              <w:bottom w:val="single" w:color="000000" w:sz="4" w:space="0"/>
              <w:right w:val="single" w:color="000000" w:sz="4" w:space="0"/>
            </w:tcBorders>
            <w:vAlign w:val="center"/>
          </w:tcPr>
          <w:p w14:paraId="7AB898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spacing w:val="0"/>
                <w:highlight w:val="none"/>
              </w:rPr>
            </w:pPr>
            <w:r>
              <w:rPr>
                <w:rFonts w:hint="eastAsia" w:ascii="宋体" w:hAnsi="宋体" w:cs="宋体"/>
                <w:color w:val="000000"/>
                <w:spacing w:val="0"/>
                <w:highlight w:val="none"/>
              </w:rPr>
              <w:t>数量</w:t>
            </w:r>
          </w:p>
        </w:tc>
        <w:tc>
          <w:tcPr>
            <w:tcW w:w="1515" w:type="dxa"/>
            <w:tcBorders>
              <w:top w:val="single" w:color="000000" w:sz="4" w:space="0"/>
              <w:left w:val="nil"/>
              <w:bottom w:val="single" w:color="000000" w:sz="4" w:space="0"/>
              <w:right w:val="single" w:color="000000" w:sz="4" w:space="0"/>
            </w:tcBorders>
            <w:vAlign w:val="center"/>
          </w:tcPr>
          <w:p w14:paraId="52954B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spacing w:val="0"/>
                <w:highlight w:val="none"/>
              </w:rPr>
            </w:pPr>
            <w:r>
              <w:rPr>
                <w:rFonts w:hint="eastAsia" w:ascii="宋体" w:hAnsi="宋体" w:cs="宋体"/>
                <w:color w:val="000000"/>
                <w:spacing w:val="0"/>
                <w:highlight w:val="none"/>
              </w:rPr>
              <w:t>单价</w:t>
            </w:r>
          </w:p>
        </w:tc>
        <w:tc>
          <w:tcPr>
            <w:tcW w:w="1260" w:type="dxa"/>
            <w:tcBorders>
              <w:top w:val="single" w:color="000000" w:sz="4" w:space="0"/>
              <w:left w:val="nil"/>
              <w:bottom w:val="single" w:color="000000" w:sz="4" w:space="0"/>
              <w:right w:val="single" w:color="000000" w:sz="4" w:space="0"/>
            </w:tcBorders>
            <w:vAlign w:val="center"/>
          </w:tcPr>
          <w:p w14:paraId="530FBD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spacing w:val="0"/>
                <w:highlight w:val="none"/>
              </w:rPr>
            </w:pPr>
            <w:r>
              <w:rPr>
                <w:rFonts w:hint="eastAsia" w:ascii="宋体" w:hAnsi="宋体" w:cs="宋体"/>
                <w:color w:val="000000"/>
                <w:spacing w:val="0"/>
                <w:highlight w:val="none"/>
              </w:rPr>
              <w:t>合计</w:t>
            </w:r>
          </w:p>
        </w:tc>
      </w:tr>
      <w:tr w14:paraId="4CFCC006">
        <w:tblPrEx>
          <w:tblCellMar>
            <w:top w:w="0" w:type="dxa"/>
            <w:left w:w="108" w:type="dxa"/>
            <w:bottom w:w="0" w:type="dxa"/>
            <w:right w:w="108" w:type="dxa"/>
          </w:tblCellMar>
        </w:tblPrEx>
        <w:trPr>
          <w:trHeight w:val="429" w:hRule="atLeast"/>
          <w:jc w:val="center"/>
        </w:trPr>
        <w:tc>
          <w:tcPr>
            <w:tcW w:w="758" w:type="dxa"/>
            <w:tcBorders>
              <w:top w:val="nil"/>
              <w:left w:val="single" w:color="000000" w:sz="4" w:space="0"/>
              <w:bottom w:val="single" w:color="auto" w:sz="4" w:space="0"/>
              <w:right w:val="single" w:color="000000" w:sz="4" w:space="0"/>
            </w:tcBorders>
            <w:vAlign w:val="center"/>
          </w:tcPr>
          <w:p w14:paraId="6E5E16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spacing w:val="0"/>
                <w:highlight w:val="none"/>
              </w:rPr>
            </w:pPr>
          </w:p>
        </w:tc>
        <w:tc>
          <w:tcPr>
            <w:tcW w:w="1861" w:type="dxa"/>
            <w:tcBorders>
              <w:top w:val="nil"/>
              <w:left w:val="nil"/>
              <w:bottom w:val="single" w:color="auto" w:sz="4" w:space="0"/>
              <w:right w:val="single" w:color="000000" w:sz="4" w:space="0"/>
            </w:tcBorders>
            <w:vAlign w:val="center"/>
          </w:tcPr>
          <w:p w14:paraId="5D15AA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spacing w:val="0"/>
                <w:highlight w:val="none"/>
              </w:rPr>
            </w:pPr>
          </w:p>
        </w:tc>
        <w:tc>
          <w:tcPr>
            <w:tcW w:w="1846" w:type="dxa"/>
            <w:tcBorders>
              <w:top w:val="nil"/>
              <w:left w:val="nil"/>
              <w:bottom w:val="single" w:color="auto" w:sz="4" w:space="0"/>
              <w:right w:val="single" w:color="000000" w:sz="4" w:space="0"/>
            </w:tcBorders>
            <w:vAlign w:val="center"/>
          </w:tcPr>
          <w:p w14:paraId="582DB5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spacing w:val="0"/>
                <w:highlight w:val="none"/>
              </w:rPr>
            </w:pPr>
          </w:p>
        </w:tc>
        <w:tc>
          <w:tcPr>
            <w:tcW w:w="1483" w:type="dxa"/>
            <w:tcBorders>
              <w:top w:val="nil"/>
              <w:left w:val="nil"/>
              <w:bottom w:val="single" w:color="auto" w:sz="4" w:space="0"/>
              <w:right w:val="single" w:color="000000" w:sz="4" w:space="0"/>
            </w:tcBorders>
            <w:vAlign w:val="center"/>
          </w:tcPr>
          <w:p w14:paraId="0B27BC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spacing w:val="0"/>
                <w:highlight w:val="none"/>
              </w:rPr>
            </w:pPr>
          </w:p>
        </w:tc>
        <w:tc>
          <w:tcPr>
            <w:tcW w:w="1515" w:type="dxa"/>
            <w:tcBorders>
              <w:top w:val="nil"/>
              <w:left w:val="nil"/>
              <w:bottom w:val="single" w:color="auto" w:sz="4" w:space="0"/>
              <w:right w:val="single" w:color="000000" w:sz="4" w:space="0"/>
            </w:tcBorders>
            <w:vAlign w:val="center"/>
          </w:tcPr>
          <w:p w14:paraId="5B3240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spacing w:val="0"/>
                <w:highlight w:val="none"/>
              </w:rPr>
            </w:pPr>
          </w:p>
        </w:tc>
        <w:tc>
          <w:tcPr>
            <w:tcW w:w="1260" w:type="dxa"/>
            <w:tcBorders>
              <w:top w:val="nil"/>
              <w:left w:val="nil"/>
              <w:bottom w:val="single" w:color="auto" w:sz="4" w:space="0"/>
              <w:right w:val="single" w:color="000000" w:sz="4" w:space="0"/>
            </w:tcBorders>
            <w:vAlign w:val="center"/>
          </w:tcPr>
          <w:p w14:paraId="4DB9C5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spacing w:val="0"/>
                <w:highlight w:val="none"/>
              </w:rPr>
            </w:pPr>
          </w:p>
        </w:tc>
      </w:tr>
      <w:tr w14:paraId="3946D08E">
        <w:tblPrEx>
          <w:tblCellMar>
            <w:top w:w="0" w:type="dxa"/>
            <w:left w:w="108" w:type="dxa"/>
            <w:bottom w:w="0" w:type="dxa"/>
            <w:right w:w="108" w:type="dxa"/>
          </w:tblCellMar>
        </w:tblPrEx>
        <w:trPr>
          <w:trHeight w:val="439" w:hRule="atLeast"/>
          <w:jc w:val="center"/>
        </w:trPr>
        <w:tc>
          <w:tcPr>
            <w:tcW w:w="758" w:type="dxa"/>
            <w:tcBorders>
              <w:top w:val="single" w:color="auto" w:sz="4" w:space="0"/>
              <w:left w:val="single" w:color="000000" w:sz="4" w:space="0"/>
              <w:bottom w:val="single" w:color="000000" w:sz="4" w:space="0"/>
              <w:right w:val="single" w:color="000000" w:sz="4" w:space="0"/>
            </w:tcBorders>
            <w:vAlign w:val="center"/>
          </w:tcPr>
          <w:p w14:paraId="0FBE8E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spacing w:val="0"/>
                <w:highlight w:val="none"/>
              </w:rPr>
            </w:pPr>
          </w:p>
        </w:tc>
        <w:tc>
          <w:tcPr>
            <w:tcW w:w="1861" w:type="dxa"/>
            <w:tcBorders>
              <w:top w:val="single" w:color="auto" w:sz="4" w:space="0"/>
              <w:left w:val="nil"/>
              <w:bottom w:val="single" w:color="000000" w:sz="4" w:space="0"/>
              <w:right w:val="single" w:color="000000" w:sz="4" w:space="0"/>
            </w:tcBorders>
            <w:vAlign w:val="center"/>
          </w:tcPr>
          <w:p w14:paraId="06C77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spacing w:val="0"/>
                <w:highlight w:val="none"/>
              </w:rPr>
            </w:pPr>
          </w:p>
        </w:tc>
        <w:tc>
          <w:tcPr>
            <w:tcW w:w="1846" w:type="dxa"/>
            <w:tcBorders>
              <w:top w:val="single" w:color="auto" w:sz="4" w:space="0"/>
              <w:left w:val="nil"/>
              <w:bottom w:val="single" w:color="000000" w:sz="4" w:space="0"/>
              <w:right w:val="single" w:color="000000" w:sz="4" w:space="0"/>
            </w:tcBorders>
            <w:vAlign w:val="center"/>
          </w:tcPr>
          <w:p w14:paraId="0DA48F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spacing w:val="0"/>
                <w:highlight w:val="none"/>
              </w:rPr>
            </w:pPr>
          </w:p>
        </w:tc>
        <w:tc>
          <w:tcPr>
            <w:tcW w:w="1483" w:type="dxa"/>
            <w:tcBorders>
              <w:top w:val="single" w:color="auto" w:sz="4" w:space="0"/>
              <w:left w:val="nil"/>
              <w:bottom w:val="single" w:color="000000" w:sz="4" w:space="0"/>
              <w:right w:val="single" w:color="000000" w:sz="4" w:space="0"/>
            </w:tcBorders>
            <w:vAlign w:val="center"/>
          </w:tcPr>
          <w:p w14:paraId="58D1B2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spacing w:val="0"/>
                <w:highlight w:val="none"/>
              </w:rPr>
            </w:pPr>
          </w:p>
        </w:tc>
        <w:tc>
          <w:tcPr>
            <w:tcW w:w="1515" w:type="dxa"/>
            <w:tcBorders>
              <w:top w:val="single" w:color="auto" w:sz="4" w:space="0"/>
              <w:left w:val="nil"/>
              <w:bottom w:val="single" w:color="000000" w:sz="4" w:space="0"/>
              <w:right w:val="single" w:color="000000" w:sz="4" w:space="0"/>
            </w:tcBorders>
            <w:vAlign w:val="center"/>
          </w:tcPr>
          <w:p w14:paraId="49FD62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spacing w:val="0"/>
                <w:highlight w:val="none"/>
              </w:rPr>
            </w:pPr>
          </w:p>
        </w:tc>
        <w:tc>
          <w:tcPr>
            <w:tcW w:w="1260" w:type="dxa"/>
            <w:tcBorders>
              <w:top w:val="single" w:color="auto" w:sz="4" w:space="0"/>
              <w:left w:val="nil"/>
              <w:bottom w:val="single" w:color="000000" w:sz="4" w:space="0"/>
              <w:right w:val="single" w:color="000000" w:sz="4" w:space="0"/>
            </w:tcBorders>
            <w:vAlign w:val="center"/>
          </w:tcPr>
          <w:p w14:paraId="2042D5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spacing w:val="0"/>
                <w:highlight w:val="none"/>
              </w:rPr>
            </w:pPr>
          </w:p>
        </w:tc>
      </w:tr>
    </w:tbl>
    <w:p w14:paraId="6ABDC3C7">
      <w:pPr>
        <w:keepNext w:val="0"/>
        <w:keepLines w:val="0"/>
        <w:pageBreakBefore w:val="0"/>
        <w:widowControl w:val="0"/>
        <w:kinsoku/>
        <w:overflowPunct/>
        <w:topLinePunct w:val="0"/>
        <w:autoSpaceDE/>
        <w:autoSpaceDN/>
        <w:bidi w:val="0"/>
        <w:adjustRightInd/>
        <w:snapToGrid w:val="0"/>
        <w:spacing w:line="400" w:lineRule="exact"/>
        <w:textAlignment w:val="auto"/>
        <w:rPr>
          <w:rFonts w:hint="eastAsia" w:ascii="宋体" w:hAnsi="宋体" w:cs="宋体"/>
          <w:b/>
          <w:spacing w:val="0"/>
          <w:sz w:val="21"/>
          <w:szCs w:val="21"/>
          <w:highlight w:val="none"/>
        </w:rPr>
      </w:pPr>
      <w:r>
        <w:rPr>
          <w:rFonts w:hint="eastAsia" w:ascii="宋体" w:hAnsi="宋体" w:cs="宋体"/>
          <w:b/>
          <w:spacing w:val="0"/>
          <w:sz w:val="21"/>
          <w:szCs w:val="21"/>
          <w:highlight w:val="none"/>
          <w:lang w:val="en-US" w:eastAsia="zh-CN"/>
        </w:rPr>
        <w:t>一、</w:t>
      </w:r>
      <w:r>
        <w:rPr>
          <w:rFonts w:hint="eastAsia" w:ascii="宋体" w:hAnsi="宋体" w:cs="宋体"/>
          <w:b/>
          <w:spacing w:val="0"/>
          <w:sz w:val="21"/>
          <w:szCs w:val="21"/>
          <w:highlight w:val="none"/>
        </w:rPr>
        <w:t>服务内容</w:t>
      </w:r>
    </w:p>
    <w:p w14:paraId="2D3F20E1">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spacing w:val="0"/>
          <w:sz w:val="21"/>
          <w:szCs w:val="21"/>
          <w:highlight w:val="none"/>
          <w:lang w:val="zh-TW" w:eastAsia="zh-TW"/>
        </w:rPr>
        <w:t>乙方向甲方提</w:t>
      </w:r>
      <w:r>
        <w:rPr>
          <w:rFonts w:hint="eastAsia" w:eastAsia="宋体"/>
          <w:spacing w:val="0"/>
          <w:sz w:val="21"/>
          <w:szCs w:val="21"/>
          <w:highlight w:val="none"/>
          <w:lang w:val="zh-TW" w:eastAsia="zh-TW"/>
        </w:rPr>
        <w:t>供</w:t>
      </w:r>
      <w:r>
        <w:rPr>
          <w:rFonts w:hint="eastAsia"/>
          <w:spacing w:val="0"/>
          <w:sz w:val="21"/>
          <w:szCs w:val="21"/>
          <w:highlight w:val="none"/>
          <w:lang w:val="en-US" w:eastAsia="zh-CN"/>
        </w:rPr>
        <w:t>浙江省第十二届残疾人运动会盲人跳绳比赛整体赛事执行服务</w:t>
      </w:r>
      <w:r>
        <w:rPr>
          <w:rFonts w:hint="eastAsia" w:eastAsia="宋体"/>
          <w:spacing w:val="0"/>
          <w:sz w:val="21"/>
          <w:szCs w:val="21"/>
          <w:highlight w:val="none"/>
          <w:lang w:val="zh-TW" w:eastAsia="zh-TW"/>
        </w:rPr>
        <w:t>，服从甲方工作安排</w:t>
      </w:r>
      <w:r>
        <w:rPr>
          <w:rFonts w:hint="eastAsia"/>
          <w:spacing w:val="0"/>
          <w:sz w:val="21"/>
          <w:szCs w:val="21"/>
          <w:highlight w:val="none"/>
          <w:lang w:val="zh-TW" w:eastAsia="zh-TW"/>
        </w:rPr>
        <w:t>，依据双方确认的服务要求，履行服务内容。</w:t>
      </w:r>
      <w:r>
        <w:rPr>
          <w:rFonts w:hint="eastAsia" w:ascii="宋体" w:hAnsi="宋体" w:eastAsia="宋体" w:cs="宋体"/>
          <w:color w:val="auto"/>
          <w:sz w:val="21"/>
          <w:szCs w:val="21"/>
          <w:highlight w:val="none"/>
        </w:rPr>
        <w:t>双方在执行合同中所发生的一切争议，应通过协商解决。如协商不成，可向合同签订地法院起诉。</w:t>
      </w:r>
    </w:p>
    <w:p w14:paraId="46675338">
      <w:pPr>
        <w:keepNext w:val="0"/>
        <w:keepLines w:val="0"/>
        <w:pageBreakBefore w:val="0"/>
        <w:widowControl w:val="0"/>
        <w:kinsoku/>
        <w:overflowPunct/>
        <w:topLinePunct w:val="0"/>
        <w:autoSpaceDE/>
        <w:autoSpaceDN/>
        <w:bidi w:val="0"/>
        <w:adjustRightInd w:val="0"/>
        <w:snapToGrid w:val="0"/>
        <w:spacing w:line="400" w:lineRule="exact"/>
        <w:textAlignment w:val="auto"/>
        <w:rPr>
          <w:rFonts w:hint="eastAsia" w:ascii="宋体" w:hAnsi="宋体" w:eastAsia="宋体" w:cs="宋体"/>
          <w:b/>
          <w:bCs/>
          <w:color w:val="000000"/>
          <w:spacing w:val="0"/>
          <w:kern w:val="2"/>
          <w:sz w:val="21"/>
          <w:szCs w:val="21"/>
          <w:highlight w:val="none"/>
          <w:lang w:val="en-US" w:eastAsia="zh-CN" w:bidi="ar-SA"/>
        </w:rPr>
      </w:pPr>
      <w:r>
        <w:rPr>
          <w:rFonts w:hint="eastAsia" w:ascii="宋体" w:hAnsi="宋体" w:eastAsia="宋体" w:cs="宋体"/>
          <w:b/>
          <w:bCs/>
          <w:color w:val="000000"/>
          <w:spacing w:val="0"/>
          <w:kern w:val="2"/>
          <w:sz w:val="21"/>
          <w:szCs w:val="21"/>
          <w:highlight w:val="none"/>
          <w:lang w:val="en-US" w:eastAsia="zh-CN" w:bidi="ar-SA"/>
        </w:rPr>
        <w:t>二、甲方责任</w:t>
      </w:r>
    </w:p>
    <w:p w14:paraId="0354CE19">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1、甲方向乙方提供相关资料及需求。</w:t>
      </w:r>
    </w:p>
    <w:p w14:paraId="6D14B7C8">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2、甲方按合同规定付款条款支付乙方费用。</w:t>
      </w:r>
    </w:p>
    <w:p w14:paraId="2D1CA71A">
      <w:pPr>
        <w:keepNext w:val="0"/>
        <w:keepLines w:val="0"/>
        <w:pageBreakBefore w:val="0"/>
        <w:widowControl w:val="0"/>
        <w:kinsoku/>
        <w:overflowPunct/>
        <w:topLinePunct w:val="0"/>
        <w:autoSpaceDE/>
        <w:autoSpaceDN/>
        <w:bidi w:val="0"/>
        <w:adjustRightInd w:val="0"/>
        <w:snapToGrid w:val="0"/>
        <w:spacing w:line="400" w:lineRule="exact"/>
        <w:textAlignment w:val="auto"/>
        <w:rPr>
          <w:rFonts w:hint="eastAsia" w:ascii="宋体" w:hAnsi="宋体" w:eastAsia="宋体" w:cs="宋体"/>
          <w:b/>
          <w:bCs/>
          <w:color w:val="000000"/>
          <w:spacing w:val="0"/>
          <w:kern w:val="2"/>
          <w:sz w:val="21"/>
          <w:szCs w:val="21"/>
          <w:highlight w:val="none"/>
          <w:lang w:val="en-US" w:eastAsia="zh-CN" w:bidi="ar-SA"/>
        </w:rPr>
      </w:pPr>
      <w:r>
        <w:rPr>
          <w:rFonts w:hint="eastAsia" w:ascii="宋体" w:hAnsi="宋体" w:eastAsia="宋体" w:cs="宋体"/>
          <w:b/>
          <w:bCs/>
          <w:color w:val="000000"/>
          <w:spacing w:val="0"/>
          <w:kern w:val="2"/>
          <w:sz w:val="21"/>
          <w:szCs w:val="21"/>
          <w:highlight w:val="none"/>
          <w:lang w:val="en-US" w:eastAsia="zh-CN" w:bidi="ar-SA"/>
        </w:rPr>
        <w:t>三、乙方责任</w:t>
      </w:r>
    </w:p>
    <w:p w14:paraId="7755BA67">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1、乙方应按采购文件规定的时间向甲方提供服务。</w:t>
      </w:r>
    </w:p>
    <w:p w14:paraId="54FB0F15">
      <w:pPr>
        <w:snapToGrid w:val="0"/>
        <w:spacing w:line="360" w:lineRule="auto"/>
        <w:ind w:firstLine="420" w:firstLineChars="200"/>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2、没有甲方事先书面同意，乙方不得将甲方提供的有关合同或任何合同条文、计划、图纸、样品或项目资料提供给与履行本合同无关的任何其他人。即使向履行本合同有关的人员提供，也应注意保密并限于履行合同的必需范围。</w:t>
      </w:r>
    </w:p>
    <w:p w14:paraId="7737F97B">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3、在项目服务过程中,因乙方原因造成的他人损害，一切法律责任由乙方承担。</w:t>
      </w:r>
    </w:p>
    <w:p w14:paraId="4394472D">
      <w:pPr>
        <w:keepNext w:val="0"/>
        <w:keepLines w:val="0"/>
        <w:pageBreakBefore w:val="0"/>
        <w:widowControl w:val="0"/>
        <w:kinsoku/>
        <w:overflowPunct/>
        <w:topLinePunct w:val="0"/>
        <w:autoSpaceDE/>
        <w:autoSpaceDN/>
        <w:bidi w:val="0"/>
        <w:adjustRightInd w:val="0"/>
        <w:snapToGrid w:val="0"/>
        <w:spacing w:line="400" w:lineRule="exact"/>
        <w:textAlignment w:val="auto"/>
        <w:rPr>
          <w:rFonts w:hint="eastAsia" w:ascii="宋体" w:hAnsi="宋体" w:eastAsia="宋体" w:cs="宋体"/>
          <w:b/>
          <w:bCs/>
          <w:color w:val="000000"/>
          <w:spacing w:val="0"/>
          <w:kern w:val="2"/>
          <w:sz w:val="21"/>
          <w:szCs w:val="21"/>
          <w:highlight w:val="none"/>
          <w:lang w:val="en-US" w:eastAsia="zh-CN" w:bidi="ar-SA"/>
        </w:rPr>
      </w:pPr>
      <w:r>
        <w:rPr>
          <w:rFonts w:hint="eastAsia" w:ascii="宋体" w:hAnsi="宋体" w:eastAsia="宋体" w:cs="宋体"/>
          <w:b/>
          <w:bCs/>
          <w:color w:val="000000"/>
          <w:spacing w:val="0"/>
          <w:kern w:val="2"/>
          <w:sz w:val="21"/>
          <w:szCs w:val="21"/>
          <w:highlight w:val="none"/>
          <w:lang w:val="en-US" w:eastAsia="zh-CN" w:bidi="ar-SA"/>
        </w:rPr>
        <w:t>四、知识产权</w:t>
      </w:r>
    </w:p>
    <w:p w14:paraId="64CFB603">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乙方应保证提供服务过程中不会侵犯任何第三方的知识产权。</w:t>
      </w:r>
    </w:p>
    <w:p w14:paraId="301CC47C">
      <w:pPr>
        <w:keepNext w:val="0"/>
        <w:keepLines w:val="0"/>
        <w:pageBreakBefore w:val="0"/>
        <w:widowControl w:val="0"/>
        <w:kinsoku/>
        <w:overflowPunct/>
        <w:topLinePunct w:val="0"/>
        <w:autoSpaceDE/>
        <w:autoSpaceDN/>
        <w:bidi w:val="0"/>
        <w:adjustRightInd w:val="0"/>
        <w:snapToGrid w:val="0"/>
        <w:spacing w:line="400" w:lineRule="exact"/>
        <w:textAlignment w:val="auto"/>
        <w:rPr>
          <w:rFonts w:hint="eastAsia" w:ascii="宋体" w:hAnsi="宋体" w:eastAsia="宋体" w:cs="宋体"/>
          <w:b/>
          <w:bCs/>
          <w:color w:val="000000"/>
          <w:spacing w:val="0"/>
          <w:kern w:val="2"/>
          <w:sz w:val="21"/>
          <w:szCs w:val="21"/>
          <w:highlight w:val="none"/>
          <w:lang w:val="en-US" w:eastAsia="zh-CN" w:bidi="ar-SA"/>
        </w:rPr>
      </w:pPr>
      <w:r>
        <w:rPr>
          <w:rFonts w:hint="eastAsia" w:ascii="宋体" w:hAnsi="宋体" w:eastAsia="宋体" w:cs="宋体"/>
          <w:b/>
          <w:bCs/>
          <w:color w:val="000000"/>
          <w:spacing w:val="0"/>
          <w:kern w:val="2"/>
          <w:sz w:val="21"/>
          <w:szCs w:val="21"/>
          <w:highlight w:val="none"/>
          <w:lang w:val="en-US" w:eastAsia="zh-CN" w:bidi="ar-SA"/>
        </w:rPr>
        <w:t>五、转包或分包</w:t>
      </w:r>
    </w:p>
    <w:p w14:paraId="330535A4">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1、本合同范围的服务，应由乙方直接供应，不得转让他人供应；</w:t>
      </w:r>
    </w:p>
    <w:p w14:paraId="5908CC37">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2、除非得到甲方的同意，乙方不得部分分包给他人供应。甲方有绝对权力阻止分包。</w:t>
      </w:r>
    </w:p>
    <w:p w14:paraId="52385B44">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3、如有转让和未经甲方同意的分包行为，甲方有权给予终止合同。</w:t>
      </w:r>
    </w:p>
    <w:p w14:paraId="1D2652F8">
      <w:pPr>
        <w:keepNext w:val="0"/>
        <w:keepLines w:val="0"/>
        <w:pageBreakBefore w:val="0"/>
        <w:widowControl w:val="0"/>
        <w:kinsoku/>
        <w:overflowPunct/>
        <w:topLinePunct w:val="0"/>
        <w:autoSpaceDE/>
        <w:autoSpaceDN/>
        <w:bidi w:val="0"/>
        <w:adjustRightInd w:val="0"/>
        <w:snapToGrid w:val="0"/>
        <w:spacing w:line="400" w:lineRule="exact"/>
        <w:textAlignment w:val="auto"/>
        <w:rPr>
          <w:rFonts w:hint="eastAsia" w:ascii="宋体" w:hAnsi="宋体" w:eastAsia="宋体" w:cs="Times New Roman"/>
          <w:b/>
          <w:bCs/>
          <w:spacing w:val="0"/>
          <w:kern w:val="2"/>
          <w:sz w:val="21"/>
          <w:szCs w:val="21"/>
          <w:highlight w:val="none"/>
          <w:lang w:val="en-US" w:eastAsia="zh-CN" w:bidi="ar-SA"/>
        </w:rPr>
      </w:pPr>
      <w:r>
        <w:rPr>
          <w:rFonts w:hint="eastAsia" w:ascii="宋体" w:hAnsi="宋体" w:eastAsia="宋体" w:cs="Times New Roman"/>
          <w:b/>
          <w:bCs/>
          <w:spacing w:val="0"/>
          <w:kern w:val="2"/>
          <w:sz w:val="21"/>
          <w:szCs w:val="21"/>
          <w:highlight w:val="none"/>
          <w:lang w:val="en-US" w:eastAsia="zh-CN" w:bidi="ar-SA"/>
        </w:rPr>
        <w:t>六、付款方式</w:t>
      </w:r>
      <w:r>
        <w:rPr>
          <w:rFonts w:hint="eastAsia" w:ascii="宋体" w:hAnsi="宋体" w:eastAsia="宋体" w:cs="Times New Roman"/>
          <w:b/>
          <w:bCs/>
          <w:spacing w:val="0"/>
          <w:kern w:val="2"/>
          <w:sz w:val="21"/>
          <w:szCs w:val="21"/>
          <w:highlight w:val="none"/>
          <w:lang w:val="en-US" w:eastAsia="zh-CN" w:bidi="ar-SA"/>
        </w:rPr>
        <w:tab/>
      </w:r>
    </w:p>
    <w:p w14:paraId="6919D6B5">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1.合同金额核减。</w:t>
      </w:r>
    </w:p>
    <w:p w14:paraId="30C7ECB7">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①赛事开赛后，参赛代表队员(教练、领队、运动员、工作人员等)人数少于“（</w:t>
      </w:r>
      <w:r>
        <w:rPr>
          <w:rFonts w:hint="eastAsia" w:ascii="宋体" w:hAnsi="宋体" w:cs="宋体"/>
          <w:color w:val="000000"/>
          <w:spacing w:val="0"/>
          <w:kern w:val="2"/>
          <w:sz w:val="21"/>
          <w:szCs w:val="21"/>
          <w:highlight w:val="none"/>
          <w:lang w:val="en-US" w:eastAsia="zh-CN" w:bidi="ar-SA"/>
        </w:rPr>
        <w:t>四</w:t>
      </w:r>
      <w:r>
        <w:rPr>
          <w:rFonts w:hint="eastAsia" w:ascii="宋体" w:hAnsi="宋体" w:eastAsia="宋体" w:cs="宋体"/>
          <w:color w:val="000000"/>
          <w:spacing w:val="0"/>
          <w:kern w:val="2"/>
          <w:sz w:val="21"/>
          <w:szCs w:val="21"/>
          <w:highlight w:val="none"/>
          <w:lang w:val="en-US" w:eastAsia="zh-CN" w:bidi="ar-SA"/>
        </w:rPr>
        <w:t>）基本人员物料清单需求”预算人数90%，核减差额人数所需食宿费用，核减费用按照“2</w:t>
      </w:r>
      <w:r>
        <w:rPr>
          <w:rFonts w:hint="eastAsia" w:ascii="宋体" w:hAnsi="宋体" w:cs="宋体"/>
          <w:color w:val="000000"/>
          <w:spacing w:val="0"/>
          <w:kern w:val="2"/>
          <w:sz w:val="21"/>
          <w:szCs w:val="21"/>
          <w:highlight w:val="none"/>
          <w:lang w:val="en-US" w:eastAsia="zh-CN" w:bidi="ar-SA"/>
        </w:rPr>
        <w:t>2</w:t>
      </w:r>
      <w:r>
        <w:rPr>
          <w:rFonts w:hint="eastAsia" w:ascii="宋体" w:hAnsi="宋体" w:eastAsia="宋体" w:cs="宋体"/>
          <w:color w:val="000000"/>
          <w:spacing w:val="0"/>
          <w:kern w:val="2"/>
          <w:sz w:val="21"/>
          <w:szCs w:val="21"/>
          <w:highlight w:val="none"/>
          <w:lang w:val="en-US" w:eastAsia="zh-CN" w:bidi="ar-SA"/>
        </w:rPr>
        <w:t>0元/天×差额人数×中标金额/最高限价”计算。</w:t>
      </w:r>
    </w:p>
    <w:p w14:paraId="7FCA5EEE">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②赛事教练员、参赛代表队员(教练、领队、运动员等)参赛天数少于“（四）基本人员物料清单需求”各赛事内天数的（具体天数以补充通知中报道时间和比赛结束时间为准），核减差额天数产生的对应人员的食宿费、劳务费，核减费用按照“（差额天数食宿费+劳务费）×中标总金额/总价最高限价”计算。</w:t>
      </w:r>
    </w:p>
    <w:p w14:paraId="26D9D049">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③裁判员劳务补贴、交通补贴以实际支出为准，核减差额费用。</w:t>
      </w:r>
    </w:p>
    <w:p w14:paraId="77C1D59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400" w:lineRule="exact"/>
        <w:ind w:left="0" w:right="0" w:firstLine="420" w:firstLineChars="200"/>
        <w:textAlignment w:val="auto"/>
        <w:rPr>
          <w:rFonts w:hint="eastAsia"/>
          <w:lang w:val="en-US" w:eastAsia="zh-CN"/>
        </w:rPr>
      </w:pPr>
      <w:r>
        <w:rPr>
          <w:rFonts w:hint="eastAsia" w:ascii="宋体" w:hAnsi="宋体" w:eastAsia="宋体" w:cs="宋体"/>
          <w:color w:val="000000"/>
          <w:spacing w:val="0"/>
          <w:kern w:val="2"/>
          <w:sz w:val="21"/>
          <w:szCs w:val="21"/>
          <w:highlight w:val="none"/>
          <w:lang w:val="en-US" w:eastAsia="zh-CN" w:bidi="ar-SA"/>
        </w:rPr>
        <w:t>④其他费用核增：核增额按增加数量×单价的预算金额×中标总金额/总价最高限价</w:t>
      </w:r>
      <w:r>
        <w:rPr>
          <w:rFonts w:hint="eastAsia" w:ascii="宋体" w:hAnsi="宋体" w:cs="宋体"/>
          <w:color w:val="000000"/>
          <w:spacing w:val="0"/>
          <w:kern w:val="2"/>
          <w:sz w:val="21"/>
          <w:szCs w:val="21"/>
          <w:highlight w:val="none"/>
          <w:lang w:val="en-US" w:eastAsia="zh-CN" w:bidi="ar-SA"/>
        </w:rPr>
        <w:t>。</w:t>
      </w:r>
    </w:p>
    <w:p w14:paraId="5EE547D9">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2.具体赛事运营过程中，如发生未列入预算中经费情况，经甲方同意后，可在“不可预计费用（赛事限额2万元）”中支出，剩余费用予以核减。</w:t>
      </w:r>
    </w:p>
    <w:p w14:paraId="13BEBA35">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3.合同签订且具备实施条件后7个工作日内，采购人预付合同金额的40%(即“预付款”)。赛事服务结束后，采购人按照核减条款和《省十二残运赛事运营服务工作需求及验收标准》（附件）验收情况确定最终决算金额，在供应商提交正式税务发票、赛事总结报告及赛事绩效情况简报等材料后15个工作日内支付单个赛事剩余合同金额。注:具体以开化县财政局款项下达到账和财务支付流程为前提。</w:t>
      </w:r>
    </w:p>
    <w:p w14:paraId="06407CBF">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4.有下列情况之一的，采购人有权不支付剩余合同金额(不含预付款)；对采购人造成损失的，采购人有权要求供应商赔偿损失。</w:t>
      </w:r>
    </w:p>
    <w:p w14:paraId="5703FBE4">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①违反采购文件规定，未经采购人批准擅自更改实施方案或改变实施内容；</w:t>
      </w:r>
    </w:p>
    <w:p w14:paraId="199DDB86">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②在赛后评估、稽查和其他相关检查中发现项目服务质量等方面存在重大问题；</w:t>
      </w:r>
    </w:p>
    <w:p w14:paraId="1215164E">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③项目发生安全事故或严重事故，或者造成重大经济损失和社会不良影响；</w:t>
      </w:r>
    </w:p>
    <w:p w14:paraId="1166A242">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④项目实施进度非因不可抗力因素严重滞后。</w:t>
      </w:r>
    </w:p>
    <w:p w14:paraId="3437E97A">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⑤对拒不执行公安机关书面通知的安保整改要求。</w:t>
      </w:r>
    </w:p>
    <w:p w14:paraId="54032597">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5.实际人数以参加人数为准，最终按实际人数及相应标准进行结算。</w:t>
      </w:r>
    </w:p>
    <w:p w14:paraId="412152D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Times New Roman"/>
          <w:b/>
          <w:bCs/>
          <w:spacing w:val="0"/>
          <w:kern w:val="2"/>
          <w:sz w:val="21"/>
          <w:szCs w:val="21"/>
          <w:highlight w:val="none"/>
          <w:lang w:val="en-US" w:eastAsia="zh-CN" w:bidi="ar-SA"/>
        </w:rPr>
      </w:pPr>
      <w:r>
        <w:rPr>
          <w:rFonts w:hint="eastAsia" w:ascii="宋体" w:hAnsi="宋体" w:eastAsia="宋体" w:cs="Times New Roman"/>
          <w:b/>
          <w:bCs/>
          <w:spacing w:val="0"/>
          <w:kern w:val="2"/>
          <w:sz w:val="21"/>
          <w:szCs w:val="21"/>
          <w:highlight w:val="none"/>
          <w:lang w:val="en-US" w:eastAsia="zh-CN" w:bidi="ar-SA"/>
        </w:rPr>
        <w:t>七、履约保证金</w:t>
      </w:r>
      <w:r>
        <w:rPr>
          <w:rFonts w:hint="eastAsia" w:ascii="宋体" w:hAnsi="宋体" w:eastAsia="宋体" w:cs="Times New Roman"/>
          <w:b/>
          <w:bCs/>
          <w:spacing w:val="0"/>
          <w:kern w:val="2"/>
          <w:sz w:val="21"/>
          <w:szCs w:val="21"/>
          <w:highlight w:val="none"/>
          <w:lang w:val="en-US" w:eastAsia="zh-CN" w:bidi="ar-SA"/>
        </w:rPr>
        <w:tab/>
      </w:r>
    </w:p>
    <w:p w14:paraId="0C28638F">
      <w:pPr>
        <w:keepNext w:val="0"/>
        <w:keepLines w:val="0"/>
        <w:widowControl w:val="0"/>
        <w:suppressLineNumbers w:val="0"/>
        <w:autoSpaceDE w:val="0"/>
        <w:autoSpaceDN/>
        <w:spacing w:before="0" w:beforeLines="0" w:beforeAutospacing="0" w:after="0" w:afterLines="0" w:afterAutospacing="0" w:line="312" w:lineRule="auto"/>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1.本合同签订后5个工作日内，乙方向甲方交纳人民币</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）作为履约保证金。由乙方在签订采购合同前向甲方以（转账、汇票、本票或者金融机构、担保机构出具的保函之一）形式交纳。</w:t>
      </w:r>
    </w:p>
    <w:p w14:paraId="5ADD44D4">
      <w:pPr>
        <w:keepNext w:val="0"/>
        <w:keepLines w:val="0"/>
        <w:pageBreakBefore w:val="0"/>
        <w:widowControl w:val="0"/>
        <w:kinsoku/>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bCs/>
          <w:color w:val="000000"/>
          <w:spacing w:val="0"/>
          <w:kern w:val="2"/>
          <w:sz w:val="21"/>
          <w:szCs w:val="21"/>
          <w:highlight w:val="none"/>
          <w:lang w:val="en-US" w:eastAsia="zh-CN" w:bidi="ar-SA"/>
        </w:rPr>
      </w:pPr>
      <w:r>
        <w:rPr>
          <w:rFonts w:hint="eastAsia" w:ascii="宋体" w:hAnsi="宋体" w:eastAsia="宋体" w:cs="宋体"/>
          <w:b/>
          <w:bCs/>
          <w:color w:val="000000"/>
          <w:spacing w:val="0"/>
          <w:kern w:val="2"/>
          <w:sz w:val="21"/>
          <w:szCs w:val="21"/>
          <w:highlight w:val="none"/>
          <w:lang w:val="en-US" w:eastAsia="zh-CN" w:bidi="ar-SA"/>
        </w:rPr>
        <w:t>八、税费</w:t>
      </w:r>
    </w:p>
    <w:p w14:paraId="052D4C41">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本合同执行中相关的一切税费均由乙方负担。</w:t>
      </w:r>
    </w:p>
    <w:p w14:paraId="026911FC">
      <w:pPr>
        <w:keepNext w:val="0"/>
        <w:keepLines w:val="0"/>
        <w:pageBreakBefore w:val="0"/>
        <w:widowControl w:val="0"/>
        <w:kinsoku/>
        <w:overflowPunct/>
        <w:topLinePunct w:val="0"/>
        <w:autoSpaceDE/>
        <w:autoSpaceDN/>
        <w:bidi w:val="0"/>
        <w:adjustRightInd w:val="0"/>
        <w:snapToGrid w:val="0"/>
        <w:spacing w:line="400" w:lineRule="exact"/>
        <w:textAlignment w:val="auto"/>
        <w:rPr>
          <w:rFonts w:hint="eastAsia" w:ascii="宋体" w:hAnsi="宋体" w:eastAsia="宋体" w:cs="宋体"/>
          <w:b/>
          <w:bCs/>
          <w:color w:val="000000"/>
          <w:spacing w:val="0"/>
          <w:kern w:val="2"/>
          <w:sz w:val="21"/>
          <w:szCs w:val="21"/>
          <w:highlight w:val="none"/>
          <w:lang w:val="en-US" w:eastAsia="zh-CN" w:bidi="ar-SA"/>
        </w:rPr>
      </w:pPr>
      <w:r>
        <w:rPr>
          <w:rFonts w:hint="eastAsia" w:ascii="宋体" w:hAnsi="宋体" w:eastAsia="宋体" w:cs="宋体"/>
          <w:b/>
          <w:bCs/>
          <w:color w:val="000000"/>
          <w:spacing w:val="0"/>
          <w:kern w:val="2"/>
          <w:sz w:val="21"/>
          <w:szCs w:val="21"/>
          <w:highlight w:val="none"/>
          <w:lang w:val="en-US" w:eastAsia="zh-CN" w:bidi="ar-SA"/>
        </w:rPr>
        <w:t>九、质量保证及后续服务</w:t>
      </w:r>
    </w:p>
    <w:p w14:paraId="3B175A2E">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1、乙方应按</w:t>
      </w:r>
      <w:r>
        <w:rPr>
          <w:rFonts w:hint="eastAsia" w:ascii="宋体" w:hAnsi="宋体" w:cs="宋体"/>
          <w:color w:val="000000"/>
          <w:spacing w:val="0"/>
          <w:kern w:val="2"/>
          <w:sz w:val="21"/>
          <w:szCs w:val="21"/>
          <w:highlight w:val="none"/>
          <w:lang w:val="en-US" w:eastAsia="zh-CN" w:bidi="ar-SA"/>
        </w:rPr>
        <w:t>响应</w:t>
      </w:r>
      <w:r>
        <w:rPr>
          <w:rFonts w:hint="eastAsia" w:ascii="宋体" w:hAnsi="宋体" w:eastAsia="宋体" w:cs="宋体"/>
          <w:color w:val="000000"/>
          <w:spacing w:val="0"/>
          <w:kern w:val="2"/>
          <w:sz w:val="21"/>
          <w:szCs w:val="21"/>
          <w:highlight w:val="none"/>
          <w:lang w:val="en-US" w:eastAsia="zh-CN" w:bidi="ar-SA"/>
        </w:rPr>
        <w:t>文件规定向甲方提供服务。</w:t>
      </w:r>
    </w:p>
    <w:p w14:paraId="7EB110AB">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2、乙方提供的服务成果在服务质量保证期内发生故障，乙方应负责免费提供后续服务。对达不到要求的，根据实际情况，经双方协商，可按以下办法处理：</w:t>
      </w:r>
    </w:p>
    <w:p w14:paraId="01CEAB34">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⑴重做：由乙方承担所发生的全部费用。</w:t>
      </w:r>
    </w:p>
    <w:p w14:paraId="077E76CC">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⑵贬值处理：由甲乙双方合议定价。</w:t>
      </w:r>
    </w:p>
    <w:p w14:paraId="4596D4E5">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⑶解除合同。</w:t>
      </w:r>
    </w:p>
    <w:p w14:paraId="1C6DDC70">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3、如在过程中发生问题，乙方在接到甲方通知后在</w:t>
      </w:r>
      <w:r>
        <w:rPr>
          <w:rFonts w:hint="eastAsia" w:ascii="宋体" w:hAnsi="宋体" w:eastAsia="宋体" w:cs="宋体"/>
          <w:color w:val="000000"/>
          <w:spacing w:val="0"/>
          <w:kern w:val="2"/>
          <w:sz w:val="21"/>
          <w:szCs w:val="21"/>
          <w:highlight w:val="none"/>
          <w:u w:val="single"/>
          <w:lang w:val="en-US" w:eastAsia="zh-CN" w:bidi="ar-SA"/>
        </w:rPr>
        <w:t xml:space="preserve"> 2 </w:t>
      </w:r>
      <w:r>
        <w:rPr>
          <w:rFonts w:hint="eastAsia" w:ascii="宋体" w:hAnsi="宋体" w:eastAsia="宋体" w:cs="宋体"/>
          <w:color w:val="000000"/>
          <w:spacing w:val="0"/>
          <w:kern w:val="2"/>
          <w:sz w:val="21"/>
          <w:szCs w:val="21"/>
          <w:highlight w:val="none"/>
          <w:lang w:val="en-US" w:eastAsia="zh-CN" w:bidi="ar-SA"/>
        </w:rPr>
        <w:t>小时内到达甲方现场。</w:t>
      </w:r>
    </w:p>
    <w:p w14:paraId="4C055148">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4、在服务质量保证期内，乙方应对出现的质量及安全问题负责处理解决并承担一切费用。</w:t>
      </w:r>
    </w:p>
    <w:p w14:paraId="7F1D9E2D">
      <w:pPr>
        <w:keepNext w:val="0"/>
        <w:keepLines w:val="0"/>
        <w:pageBreakBefore w:val="0"/>
        <w:widowControl w:val="0"/>
        <w:kinsoku/>
        <w:overflowPunct/>
        <w:topLinePunct w:val="0"/>
        <w:autoSpaceDE/>
        <w:autoSpaceDN/>
        <w:bidi w:val="0"/>
        <w:adjustRightInd w:val="0"/>
        <w:snapToGrid w:val="0"/>
        <w:spacing w:line="400" w:lineRule="exact"/>
        <w:textAlignment w:val="auto"/>
        <w:rPr>
          <w:rFonts w:hint="eastAsia" w:ascii="宋体" w:hAnsi="宋体" w:eastAsia="宋体" w:cs="宋体"/>
          <w:b/>
          <w:bCs/>
          <w:color w:val="000000"/>
          <w:spacing w:val="0"/>
          <w:kern w:val="2"/>
          <w:sz w:val="21"/>
          <w:szCs w:val="21"/>
          <w:highlight w:val="none"/>
          <w:lang w:val="en-US" w:eastAsia="zh-CN" w:bidi="ar-SA"/>
        </w:rPr>
      </w:pPr>
      <w:r>
        <w:rPr>
          <w:rFonts w:hint="eastAsia" w:ascii="宋体" w:hAnsi="宋体" w:eastAsia="宋体" w:cs="宋体"/>
          <w:b/>
          <w:bCs/>
          <w:color w:val="000000"/>
          <w:spacing w:val="0"/>
          <w:kern w:val="2"/>
          <w:sz w:val="21"/>
          <w:szCs w:val="21"/>
          <w:highlight w:val="none"/>
          <w:lang w:val="en-US" w:eastAsia="zh-CN" w:bidi="ar-SA"/>
        </w:rPr>
        <w:t>十、违约责任</w:t>
      </w:r>
    </w:p>
    <w:p w14:paraId="678113AF">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1、甲方无正当理由拒绝接受服务的，甲方向乙方偿付合同款项百分之五的违约金。</w:t>
      </w:r>
    </w:p>
    <w:p w14:paraId="1B83F8D3">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2、甲方无故逾期验收和办理款项支付手续的,甲方应按逾期付款总额每日万分之五向乙方支付违约金。</w:t>
      </w:r>
    </w:p>
    <w:p w14:paraId="593AAC15">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3、乙方逾期提供服务的，每日向甲方支付千分之六违约金。逾期超过约定日期10个工作日不能服务的，甲方可解除本合同。乙方因逾期服务或因其他违约行为导致甲方解除合同的，乙方应向甲方支付合同总值5%的违约金，如造成甲方损失超过违约金的，超出部分由乙方继续承担赔偿责任。</w:t>
      </w:r>
    </w:p>
    <w:p w14:paraId="77972E03">
      <w:pPr>
        <w:keepNext w:val="0"/>
        <w:keepLines w:val="0"/>
        <w:pageBreakBefore w:val="0"/>
        <w:widowControl w:val="0"/>
        <w:kinsoku/>
        <w:overflowPunct/>
        <w:topLinePunct w:val="0"/>
        <w:autoSpaceDE/>
        <w:autoSpaceDN/>
        <w:bidi w:val="0"/>
        <w:adjustRightInd w:val="0"/>
        <w:snapToGrid w:val="0"/>
        <w:spacing w:line="400" w:lineRule="exact"/>
        <w:textAlignment w:val="auto"/>
        <w:rPr>
          <w:rFonts w:hint="eastAsia" w:ascii="宋体" w:hAnsi="宋体" w:eastAsia="宋体" w:cs="宋体"/>
          <w:b/>
          <w:bCs/>
          <w:color w:val="000000"/>
          <w:spacing w:val="0"/>
          <w:kern w:val="2"/>
          <w:sz w:val="21"/>
          <w:szCs w:val="21"/>
          <w:highlight w:val="none"/>
          <w:lang w:val="en-US" w:eastAsia="zh-CN" w:bidi="ar-SA"/>
        </w:rPr>
      </w:pPr>
      <w:r>
        <w:rPr>
          <w:rFonts w:hint="eastAsia" w:ascii="宋体" w:hAnsi="宋体" w:eastAsia="宋体" w:cs="宋体"/>
          <w:b/>
          <w:bCs/>
          <w:color w:val="000000"/>
          <w:spacing w:val="0"/>
          <w:kern w:val="2"/>
          <w:sz w:val="21"/>
          <w:szCs w:val="21"/>
          <w:highlight w:val="none"/>
          <w:lang w:val="en-US" w:eastAsia="zh-CN" w:bidi="ar-SA"/>
        </w:rPr>
        <w:t>十一、不可抗力事件处理</w:t>
      </w:r>
    </w:p>
    <w:p w14:paraId="68BC0FC7">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1、在合同有效期内，任何一方因不可抗力事件导致不能履行合同，则合同履行期可延长，其延长期与不可抗力影响期相同。</w:t>
      </w:r>
    </w:p>
    <w:p w14:paraId="0DC79092">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2、不可抗力事件发生后，应立即通知对方，并寄送有关权威机构出具的证明。</w:t>
      </w:r>
    </w:p>
    <w:p w14:paraId="04D822DA">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color w:val="000000"/>
          <w:spacing w:val="0"/>
          <w:kern w:val="2"/>
          <w:sz w:val="21"/>
          <w:szCs w:val="21"/>
          <w:highlight w:val="none"/>
          <w:lang w:val="en-US" w:eastAsia="zh-CN" w:bidi="ar-SA"/>
        </w:rPr>
        <w:t>3、不可抗力事件延续120天以上，双方应通过友好协商，确定是否继续履行合同。</w:t>
      </w:r>
    </w:p>
    <w:p w14:paraId="63333D64">
      <w:pPr>
        <w:keepNext w:val="0"/>
        <w:keepLines w:val="0"/>
        <w:pageBreakBefore w:val="0"/>
        <w:widowControl w:val="0"/>
        <w:kinsoku/>
        <w:overflowPunct/>
        <w:topLinePunct w:val="0"/>
        <w:autoSpaceDE/>
        <w:autoSpaceDN/>
        <w:bidi w:val="0"/>
        <w:adjustRightInd w:val="0"/>
        <w:snapToGrid w:val="0"/>
        <w:spacing w:line="400" w:lineRule="exact"/>
        <w:textAlignment w:val="auto"/>
        <w:rPr>
          <w:rFonts w:hint="eastAsia" w:ascii="宋体" w:hAnsi="宋体" w:eastAsia="宋体" w:cs="宋体"/>
          <w:b/>
          <w:bCs/>
          <w:color w:val="000000"/>
          <w:spacing w:val="0"/>
          <w:kern w:val="2"/>
          <w:sz w:val="21"/>
          <w:szCs w:val="21"/>
          <w:highlight w:val="none"/>
          <w:lang w:val="en-US" w:eastAsia="zh-CN" w:bidi="ar-SA"/>
        </w:rPr>
      </w:pPr>
      <w:r>
        <w:rPr>
          <w:rFonts w:hint="eastAsia" w:ascii="宋体" w:hAnsi="宋体" w:eastAsia="宋体" w:cs="宋体"/>
          <w:b/>
          <w:bCs/>
          <w:color w:val="000000"/>
          <w:spacing w:val="0"/>
          <w:kern w:val="2"/>
          <w:sz w:val="21"/>
          <w:szCs w:val="21"/>
          <w:highlight w:val="none"/>
          <w:lang w:val="en-US" w:eastAsia="zh-CN" w:bidi="ar-SA"/>
        </w:rPr>
        <w:t>十二、诉讼</w:t>
      </w:r>
    </w:p>
    <w:p w14:paraId="7B631DC8">
      <w:pPr>
        <w:keepNext w:val="0"/>
        <w:keepLines w:val="0"/>
        <w:pageBreakBefore w:val="0"/>
        <w:widowControl w:val="0"/>
        <w:kinsoku/>
        <w:overflowPunct/>
        <w:topLinePunct w:val="0"/>
        <w:autoSpaceDE/>
        <w:autoSpaceDN/>
        <w:bidi w:val="0"/>
        <w:adjustRightInd w:val="0"/>
        <w:snapToGrid w:val="0"/>
        <w:spacing w:line="400" w:lineRule="exact"/>
        <w:ind w:firstLine="420" w:firstLineChars="200"/>
        <w:textAlignment w:val="auto"/>
        <w:rPr>
          <w:rFonts w:hint="eastAsia"/>
          <w:highlight w:val="none"/>
          <w:lang w:val="en-US" w:eastAsia="zh-CN"/>
        </w:rPr>
      </w:pPr>
      <w:r>
        <w:rPr>
          <w:rFonts w:hint="eastAsia" w:ascii="宋体" w:hAnsi="宋体" w:eastAsia="宋体" w:cs="宋体"/>
          <w:color w:val="000000"/>
          <w:spacing w:val="0"/>
          <w:kern w:val="2"/>
          <w:sz w:val="21"/>
          <w:szCs w:val="21"/>
          <w:highlight w:val="none"/>
          <w:lang w:val="en-US" w:eastAsia="zh-CN" w:bidi="ar-SA"/>
        </w:rPr>
        <w:t>双方在执行合同中所发生的一切争议，应通过协商解决。如协商不成，可向合同签订地法院起诉。</w:t>
      </w:r>
    </w:p>
    <w:p w14:paraId="552304CB">
      <w:pPr>
        <w:pStyle w:val="16"/>
        <w:rPr>
          <w:highlight w:val="none"/>
        </w:rPr>
      </w:pPr>
    </w:p>
    <w:p w14:paraId="6AB61CF9">
      <w:pPr>
        <w:snapToGrid w:val="0"/>
        <w:spacing w:line="360" w:lineRule="auto"/>
        <w:rPr>
          <w:rFonts w:hint="eastAsia" w:asciiTheme="minorEastAsia" w:hAnsiTheme="minorEastAsia" w:eastAsiaTheme="minorEastAsia" w:cstheme="minorEastAsia"/>
          <w:b/>
          <w:bCs/>
          <w:color w:val="auto"/>
          <w:kern w:val="0"/>
          <w:sz w:val="21"/>
          <w:szCs w:val="21"/>
          <w:highlight w:val="none"/>
          <w:shd w:val="clear" w:color="auto" w:fill="FFFFFF"/>
          <w:lang w:val="en-US" w:eastAsia="zh-CN" w:bidi="ar-SA"/>
        </w:rPr>
      </w:pPr>
      <w:r>
        <w:rPr>
          <w:rFonts w:hint="eastAsia" w:asciiTheme="minorEastAsia" w:hAnsiTheme="minorEastAsia" w:eastAsiaTheme="minorEastAsia" w:cstheme="minorEastAsia"/>
          <w:b/>
          <w:bCs/>
          <w:color w:val="auto"/>
          <w:kern w:val="0"/>
          <w:sz w:val="21"/>
          <w:szCs w:val="21"/>
          <w:highlight w:val="none"/>
          <w:shd w:val="clear" w:color="auto" w:fill="FFFFFF"/>
          <w:lang w:val="en-US" w:eastAsia="zh-CN" w:bidi="ar-SA"/>
        </w:rPr>
        <w:t>十三、合同的生效</w:t>
      </w:r>
    </w:p>
    <w:p w14:paraId="1DC0B53F">
      <w:pPr>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1、本合同经甲方、乙方法定代表人或其委托人签字并加盖双方公章，</w:t>
      </w:r>
      <w:r>
        <w:rPr>
          <w:rFonts w:hint="eastAsia" w:ascii="宋体" w:hAnsi="宋体" w:eastAsia="宋体" w:cs="宋体"/>
          <w:color w:val="auto"/>
          <w:sz w:val="21"/>
          <w:szCs w:val="21"/>
          <w:highlight w:val="none"/>
          <w:lang w:eastAsia="zh-CN"/>
        </w:rPr>
        <w:t>浙江</w:t>
      </w:r>
      <w:r>
        <w:rPr>
          <w:rFonts w:hint="eastAsia" w:ascii="宋体" w:hAnsi="宋体" w:eastAsia="宋体" w:cs="宋体"/>
          <w:color w:val="auto"/>
          <w:sz w:val="21"/>
          <w:szCs w:val="21"/>
          <w:highlight w:val="none"/>
          <w:lang w:val="en-US" w:eastAsia="zh-CN"/>
        </w:rPr>
        <w:t>金穗</w:t>
      </w:r>
      <w:r>
        <w:rPr>
          <w:rFonts w:hint="eastAsia" w:ascii="宋体" w:hAnsi="宋体" w:eastAsia="宋体" w:cs="宋体"/>
          <w:color w:val="auto"/>
          <w:sz w:val="21"/>
          <w:szCs w:val="21"/>
          <w:highlight w:val="none"/>
          <w:lang w:eastAsia="zh-CN"/>
        </w:rPr>
        <w:t>工程项目管理有限公司</w:t>
      </w:r>
      <w:r>
        <w:rPr>
          <w:rFonts w:hint="eastAsia" w:ascii="宋体" w:hAnsi="宋体" w:eastAsia="宋体" w:cs="宋体"/>
          <w:color w:val="auto"/>
          <w:sz w:val="21"/>
          <w:szCs w:val="21"/>
          <w:highlight w:val="none"/>
        </w:rPr>
        <w:t>加盖鉴证章后生效。</w:t>
      </w:r>
    </w:p>
    <w:p w14:paraId="35274B1B">
      <w:pPr>
        <w:snapToGri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2、本合同一式</w:t>
      </w:r>
      <w:r>
        <w:rPr>
          <w:rFonts w:hint="eastAsia" w:cs="宋体"/>
          <w:color w:val="auto"/>
          <w:sz w:val="21"/>
          <w:szCs w:val="21"/>
          <w:highlight w:val="none"/>
          <w:u w:val="single"/>
          <w:lang w:val="en-US" w:eastAsia="zh-CN"/>
        </w:rPr>
        <w:t>五</w:t>
      </w:r>
      <w:r>
        <w:rPr>
          <w:rFonts w:hint="eastAsia" w:ascii="宋体" w:hAnsi="宋体" w:eastAsia="宋体" w:cs="宋体"/>
          <w:color w:val="auto"/>
          <w:sz w:val="21"/>
          <w:szCs w:val="21"/>
          <w:highlight w:val="none"/>
        </w:rPr>
        <w:t>份，甲、乙双方各执</w:t>
      </w:r>
      <w:r>
        <w:rPr>
          <w:rFonts w:hint="eastAsia" w:ascii="宋体" w:hAnsi="宋体" w:cs="宋体"/>
          <w:color w:val="auto"/>
          <w:sz w:val="21"/>
          <w:szCs w:val="21"/>
          <w:highlight w:val="none"/>
          <w:u w:val="single"/>
          <w:lang w:val="en-US" w:eastAsia="zh-CN"/>
        </w:rPr>
        <w:t>贰</w:t>
      </w:r>
      <w:r>
        <w:rPr>
          <w:rFonts w:hint="eastAsia" w:ascii="宋体" w:hAnsi="宋体" w:eastAsia="宋体" w:cs="宋体"/>
          <w:color w:val="auto"/>
          <w:sz w:val="21"/>
          <w:szCs w:val="21"/>
          <w:highlight w:val="none"/>
        </w:rPr>
        <w:t>份，</w:t>
      </w:r>
      <w:r>
        <w:rPr>
          <w:rFonts w:hint="eastAsia" w:ascii="宋体" w:hAnsi="宋体" w:cs="宋体"/>
          <w:color w:val="auto"/>
          <w:sz w:val="20"/>
          <w:szCs w:val="20"/>
          <w:highlight w:val="none"/>
          <w:lang w:eastAsia="zh-CN"/>
        </w:rPr>
        <w:t>浙江</w:t>
      </w:r>
      <w:r>
        <w:rPr>
          <w:rFonts w:hint="eastAsia" w:ascii="宋体" w:hAnsi="宋体" w:cs="宋体"/>
          <w:color w:val="auto"/>
          <w:sz w:val="20"/>
          <w:szCs w:val="20"/>
          <w:highlight w:val="none"/>
          <w:lang w:val="en-US" w:eastAsia="zh-CN"/>
        </w:rPr>
        <w:t>金穗</w:t>
      </w:r>
      <w:r>
        <w:rPr>
          <w:rFonts w:hint="eastAsia" w:ascii="宋体" w:hAnsi="宋体" w:cs="宋体"/>
          <w:color w:val="auto"/>
          <w:sz w:val="20"/>
          <w:szCs w:val="20"/>
          <w:highlight w:val="none"/>
          <w:lang w:eastAsia="zh-CN"/>
        </w:rPr>
        <w:t>工程项目管理有限公司</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壹</w:t>
      </w:r>
      <w:r>
        <w:rPr>
          <w:rFonts w:hint="eastAsia" w:ascii="宋体" w:hAnsi="宋体" w:eastAsia="宋体" w:cs="宋体"/>
          <w:color w:val="auto"/>
          <w:sz w:val="21"/>
          <w:szCs w:val="21"/>
          <w:highlight w:val="none"/>
        </w:rPr>
        <w:t>份。</w:t>
      </w:r>
    </w:p>
    <w:p w14:paraId="27E76B29">
      <w:pPr>
        <w:snapToGrid w:val="0"/>
        <w:spacing w:line="360" w:lineRule="auto"/>
        <w:ind w:firstLine="440" w:firstLineChars="200"/>
        <w:rPr>
          <w:rFonts w:ascii="宋体" w:hAnsi="宋体" w:eastAsia="宋体" w:cs="宋体"/>
          <w:color w:val="auto"/>
          <w:sz w:val="22"/>
          <w:szCs w:val="22"/>
          <w:highlight w:val="none"/>
        </w:rPr>
      </w:pPr>
    </w:p>
    <w:p w14:paraId="751B6389">
      <w:pPr>
        <w:snapToGrid w:val="0"/>
        <w:spacing w:line="360" w:lineRule="auto"/>
        <w:ind w:firstLine="266" w:firstLineChars="121"/>
        <w:rPr>
          <w:rFonts w:ascii="宋体" w:hAnsi="宋体" w:eastAsia="宋体" w:cs="宋体"/>
          <w:color w:val="auto"/>
          <w:kern w:val="52"/>
          <w:sz w:val="22"/>
          <w:szCs w:val="22"/>
          <w:highlight w:val="none"/>
        </w:rPr>
      </w:pPr>
      <w:r>
        <w:rPr>
          <w:rFonts w:hint="eastAsia" w:ascii="宋体" w:hAnsi="宋体" w:eastAsia="宋体" w:cs="宋体"/>
          <w:color w:val="auto"/>
          <w:kern w:val="52"/>
          <w:sz w:val="22"/>
          <w:szCs w:val="22"/>
          <w:highlight w:val="none"/>
        </w:rPr>
        <w:t>甲方（盖章）：                             乙方（盖章）：</w:t>
      </w:r>
    </w:p>
    <w:p w14:paraId="6EF21ECD">
      <w:pPr>
        <w:snapToGrid w:val="0"/>
        <w:spacing w:line="360" w:lineRule="auto"/>
        <w:ind w:firstLine="266" w:firstLineChars="121"/>
        <w:rPr>
          <w:rFonts w:ascii="宋体" w:hAnsi="宋体" w:eastAsia="宋体" w:cs="宋体"/>
          <w:color w:val="auto"/>
          <w:kern w:val="52"/>
          <w:sz w:val="22"/>
          <w:szCs w:val="22"/>
          <w:highlight w:val="none"/>
        </w:rPr>
      </w:pPr>
      <w:r>
        <w:rPr>
          <w:rFonts w:hint="eastAsia" w:ascii="宋体" w:hAnsi="宋体" w:eastAsia="宋体" w:cs="宋体"/>
          <w:color w:val="auto"/>
          <w:kern w:val="52"/>
          <w:sz w:val="22"/>
          <w:szCs w:val="22"/>
          <w:highlight w:val="none"/>
        </w:rPr>
        <w:t>法定代表人：                               法定代表人：</w:t>
      </w:r>
    </w:p>
    <w:p w14:paraId="4E095E76">
      <w:pPr>
        <w:snapToGrid w:val="0"/>
        <w:spacing w:line="360" w:lineRule="auto"/>
        <w:ind w:firstLine="266" w:firstLineChars="121"/>
        <w:rPr>
          <w:rFonts w:ascii="宋体" w:hAnsi="宋体" w:eastAsia="宋体" w:cs="宋体"/>
          <w:color w:val="auto"/>
          <w:kern w:val="52"/>
          <w:sz w:val="22"/>
          <w:szCs w:val="22"/>
          <w:highlight w:val="none"/>
        </w:rPr>
      </w:pPr>
      <w:r>
        <w:rPr>
          <w:rFonts w:hint="eastAsia" w:ascii="宋体" w:hAnsi="宋体" w:eastAsia="宋体" w:cs="宋体"/>
          <w:color w:val="auto"/>
          <w:kern w:val="52"/>
          <w:sz w:val="22"/>
          <w:szCs w:val="22"/>
          <w:highlight w:val="none"/>
        </w:rPr>
        <w:t>委托代理人：                               委托代理人：</w:t>
      </w:r>
    </w:p>
    <w:p w14:paraId="0D927CFA">
      <w:pPr>
        <w:snapToGrid w:val="0"/>
        <w:spacing w:line="360" w:lineRule="auto"/>
        <w:ind w:firstLine="266" w:firstLineChars="121"/>
        <w:rPr>
          <w:rFonts w:ascii="宋体" w:hAnsi="宋体" w:eastAsia="宋体" w:cs="宋体"/>
          <w:color w:val="auto"/>
          <w:kern w:val="52"/>
          <w:sz w:val="22"/>
          <w:szCs w:val="22"/>
          <w:highlight w:val="none"/>
        </w:rPr>
      </w:pPr>
      <w:r>
        <w:rPr>
          <w:rFonts w:hint="eastAsia" w:ascii="宋体" w:hAnsi="宋体" w:eastAsia="宋体" w:cs="宋体"/>
          <w:color w:val="auto"/>
          <w:kern w:val="52"/>
          <w:sz w:val="22"/>
          <w:szCs w:val="22"/>
          <w:highlight w:val="none"/>
        </w:rPr>
        <w:t>银行账号：                                 银行账号：</w:t>
      </w:r>
    </w:p>
    <w:p w14:paraId="35BDBBCD">
      <w:pPr>
        <w:snapToGrid w:val="0"/>
        <w:spacing w:line="360" w:lineRule="auto"/>
        <w:ind w:firstLine="266" w:firstLineChars="121"/>
        <w:rPr>
          <w:rFonts w:ascii="宋体" w:hAnsi="宋体" w:eastAsia="宋体" w:cs="宋体"/>
          <w:color w:val="auto"/>
          <w:kern w:val="52"/>
          <w:sz w:val="22"/>
          <w:szCs w:val="22"/>
          <w:highlight w:val="none"/>
        </w:rPr>
      </w:pPr>
      <w:r>
        <w:rPr>
          <w:rFonts w:hint="eastAsia" w:ascii="宋体" w:hAnsi="宋体" w:eastAsia="宋体" w:cs="宋体"/>
          <w:color w:val="auto"/>
          <w:kern w:val="52"/>
          <w:sz w:val="22"/>
          <w:szCs w:val="22"/>
          <w:highlight w:val="none"/>
        </w:rPr>
        <w:t>开户行：                                   开户行：</w:t>
      </w:r>
    </w:p>
    <w:p w14:paraId="3B92ED93">
      <w:pPr>
        <w:snapToGrid w:val="0"/>
        <w:spacing w:line="360" w:lineRule="auto"/>
        <w:ind w:firstLine="266" w:firstLineChars="121"/>
        <w:rPr>
          <w:rFonts w:ascii="宋体" w:hAnsi="宋体" w:eastAsia="宋体" w:cs="宋体"/>
          <w:color w:val="auto"/>
          <w:kern w:val="52"/>
          <w:sz w:val="22"/>
          <w:szCs w:val="22"/>
          <w:highlight w:val="none"/>
        </w:rPr>
      </w:pPr>
      <w:r>
        <w:rPr>
          <w:rFonts w:hint="eastAsia" w:ascii="宋体" w:hAnsi="宋体" w:eastAsia="宋体" w:cs="宋体"/>
          <w:color w:val="auto"/>
          <w:kern w:val="52"/>
          <w:sz w:val="22"/>
          <w:szCs w:val="22"/>
          <w:highlight w:val="none"/>
        </w:rPr>
        <w:t>时间：   年   月   日                      时间：   年    月   日</w:t>
      </w:r>
    </w:p>
    <w:p w14:paraId="36F5770F">
      <w:pPr>
        <w:snapToGrid w:val="0"/>
        <w:spacing w:line="360" w:lineRule="auto"/>
        <w:ind w:firstLine="266" w:firstLineChars="121"/>
        <w:rPr>
          <w:rFonts w:ascii="宋体" w:hAnsi="宋体" w:eastAsia="宋体" w:cs="宋体"/>
          <w:color w:val="auto"/>
          <w:kern w:val="52"/>
          <w:sz w:val="22"/>
          <w:szCs w:val="22"/>
          <w:highlight w:val="none"/>
        </w:rPr>
      </w:pPr>
    </w:p>
    <w:p w14:paraId="020C3B66">
      <w:pPr>
        <w:snapToGrid w:val="0"/>
        <w:spacing w:line="360" w:lineRule="auto"/>
        <w:ind w:firstLine="266" w:firstLineChars="121"/>
        <w:rPr>
          <w:rFonts w:ascii="宋体" w:hAnsi="宋体" w:eastAsia="宋体" w:cs="宋体"/>
          <w:color w:val="auto"/>
          <w:kern w:val="52"/>
          <w:sz w:val="22"/>
          <w:szCs w:val="22"/>
          <w:highlight w:val="none"/>
        </w:rPr>
      </w:pPr>
      <w:r>
        <w:rPr>
          <w:rFonts w:hint="eastAsia" w:ascii="宋体" w:hAnsi="宋体" w:eastAsia="宋体" w:cs="宋体"/>
          <w:color w:val="auto"/>
          <w:kern w:val="52"/>
          <w:sz w:val="22"/>
          <w:szCs w:val="22"/>
          <w:highlight w:val="none"/>
        </w:rPr>
        <w:t>鉴证方</w:t>
      </w:r>
      <w:r>
        <w:rPr>
          <w:rFonts w:hint="eastAsia" w:eastAsia="宋体" w:cs="宋体"/>
          <w:color w:val="auto"/>
          <w:kern w:val="52"/>
          <w:sz w:val="22"/>
          <w:szCs w:val="22"/>
          <w:highlight w:val="none"/>
          <w:lang w:eastAsia="zh-CN"/>
        </w:rPr>
        <w:t>：</w:t>
      </w:r>
      <w:r>
        <w:rPr>
          <w:rFonts w:hint="eastAsia" w:ascii="宋体" w:hAnsi="宋体" w:eastAsia="宋体" w:cs="宋体"/>
          <w:color w:val="auto"/>
          <w:kern w:val="52"/>
          <w:sz w:val="22"/>
          <w:szCs w:val="22"/>
          <w:highlight w:val="none"/>
        </w:rPr>
        <w:t>（盖章）</w:t>
      </w:r>
      <w:r>
        <w:rPr>
          <w:rFonts w:hint="eastAsia" w:ascii="宋体" w:hAnsi="宋体" w:cs="宋体"/>
          <w:color w:val="auto"/>
          <w:highlight w:val="none"/>
          <w:lang w:eastAsia="zh-CN"/>
        </w:rPr>
        <w:t>浙江</w:t>
      </w:r>
      <w:r>
        <w:rPr>
          <w:rFonts w:hint="eastAsia" w:ascii="宋体" w:hAnsi="宋体" w:cs="宋体"/>
          <w:color w:val="auto"/>
          <w:highlight w:val="none"/>
          <w:lang w:val="en-US" w:eastAsia="zh-CN"/>
        </w:rPr>
        <w:t>金穗</w:t>
      </w:r>
      <w:r>
        <w:rPr>
          <w:rFonts w:hint="eastAsia" w:ascii="宋体" w:hAnsi="宋体" w:cs="宋体"/>
          <w:color w:val="auto"/>
          <w:highlight w:val="none"/>
          <w:lang w:eastAsia="zh-CN"/>
        </w:rPr>
        <w:t>工程项目管理有限公司</w:t>
      </w:r>
    </w:p>
    <w:p w14:paraId="0A2175F5">
      <w:pPr>
        <w:snapToGrid w:val="0"/>
        <w:spacing w:line="360" w:lineRule="auto"/>
        <w:ind w:firstLine="266" w:firstLineChars="121"/>
        <w:rPr>
          <w:rFonts w:ascii="宋体" w:hAnsi="宋体" w:eastAsia="宋体" w:cs="宋体"/>
          <w:color w:val="auto"/>
          <w:kern w:val="52"/>
          <w:sz w:val="22"/>
          <w:szCs w:val="22"/>
          <w:highlight w:val="none"/>
        </w:rPr>
      </w:pPr>
      <w:r>
        <w:rPr>
          <w:rFonts w:hint="eastAsia" w:ascii="宋体" w:hAnsi="宋体" w:eastAsia="宋体" w:cs="宋体"/>
          <w:color w:val="auto"/>
          <w:kern w:val="52"/>
          <w:sz w:val="22"/>
          <w:szCs w:val="22"/>
          <w:highlight w:val="none"/>
        </w:rPr>
        <w:t>经办人：</w:t>
      </w:r>
    </w:p>
    <w:p w14:paraId="1073E657">
      <w:pPr>
        <w:snapToGrid w:val="0"/>
        <w:spacing w:line="360" w:lineRule="auto"/>
        <w:ind w:firstLine="266" w:firstLineChars="121"/>
        <w:rPr>
          <w:rFonts w:hint="eastAsia" w:ascii="宋体" w:hAnsi="宋体" w:eastAsia="宋体" w:cs="宋体"/>
          <w:color w:val="auto"/>
          <w:kern w:val="52"/>
          <w:sz w:val="22"/>
          <w:szCs w:val="22"/>
          <w:highlight w:val="none"/>
        </w:rPr>
      </w:pPr>
      <w:r>
        <w:rPr>
          <w:rFonts w:hint="eastAsia" w:ascii="宋体" w:hAnsi="宋体" w:eastAsia="宋体" w:cs="宋体"/>
          <w:color w:val="auto"/>
          <w:kern w:val="52"/>
          <w:sz w:val="22"/>
          <w:szCs w:val="22"/>
          <w:highlight w:val="none"/>
        </w:rPr>
        <w:t>联系电话：</w:t>
      </w:r>
    </w:p>
    <w:p w14:paraId="483576B3">
      <w:pPr>
        <w:snapToGrid w:val="0"/>
        <w:spacing w:line="360" w:lineRule="auto"/>
        <w:ind w:firstLine="266" w:firstLineChars="121"/>
        <w:rPr>
          <w:rFonts w:hint="eastAsia" w:ascii="仿宋" w:hAnsi="仿宋" w:eastAsia="宋体" w:cs="仿宋"/>
          <w:color w:val="auto"/>
          <w:highlight w:val="none"/>
          <w:lang w:val="en-US" w:eastAsia="zh-CN"/>
        </w:rPr>
        <w:sectPr>
          <w:footerReference r:id="rId5" w:type="default"/>
          <w:pgSz w:w="11910" w:h="16840"/>
          <w:pgMar w:top="1304" w:right="1304" w:bottom="1304" w:left="130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52"/>
          <w:sz w:val="22"/>
          <w:szCs w:val="22"/>
          <w:highlight w:val="none"/>
        </w:rPr>
        <w:t xml:space="preserve">时间：   年   月   </w:t>
      </w:r>
      <w:r>
        <w:rPr>
          <w:rFonts w:hint="eastAsia" w:ascii="宋体" w:hAnsi="宋体" w:cs="宋体"/>
          <w:color w:val="auto"/>
          <w:kern w:val="52"/>
          <w:sz w:val="22"/>
          <w:szCs w:val="22"/>
          <w:highlight w:val="none"/>
          <w:lang w:val="en-US" w:eastAsia="zh-CN"/>
        </w:rPr>
        <w:t>日</w:t>
      </w:r>
    </w:p>
    <w:p w14:paraId="62FFCDC6">
      <w:pPr>
        <w:widowControl/>
        <w:spacing w:line="500" w:lineRule="exact"/>
        <w:jc w:val="both"/>
        <w:rPr>
          <w:rFonts w:hint="eastAsia" w:ascii="黑体" w:hAnsi="黑体" w:eastAsia="黑体" w:cs="黑体"/>
          <w:color w:val="auto"/>
          <w:sz w:val="36"/>
          <w:szCs w:val="36"/>
          <w:highlight w:val="none"/>
        </w:rPr>
      </w:pPr>
    </w:p>
    <w:p w14:paraId="73613C38">
      <w:pPr>
        <w:widowControl/>
        <w:spacing w:line="500" w:lineRule="exact"/>
        <w:jc w:val="center"/>
        <w:rPr>
          <w:rFonts w:hint="eastAsia" w:ascii="宋体" w:hAnsi="宋体" w:eastAsia="宋体" w:cs="宋体"/>
          <w:b/>
          <w:bCs/>
          <w:color w:val="auto"/>
          <w:kern w:val="0"/>
          <w:sz w:val="21"/>
          <w:szCs w:val="21"/>
          <w:highlight w:val="none"/>
        </w:rPr>
      </w:pPr>
      <w:r>
        <w:rPr>
          <w:rFonts w:hint="eastAsia" w:ascii="黑体" w:hAnsi="黑体" w:eastAsia="黑体" w:cs="黑体"/>
          <w:color w:val="auto"/>
          <w:sz w:val="36"/>
          <w:szCs w:val="36"/>
          <w:highlight w:val="none"/>
        </w:rPr>
        <w:t>第</w:t>
      </w:r>
      <w:r>
        <w:rPr>
          <w:rFonts w:hint="eastAsia" w:ascii="黑体" w:hAnsi="黑体" w:eastAsia="黑体" w:cs="黑体"/>
          <w:color w:val="auto"/>
          <w:sz w:val="36"/>
          <w:szCs w:val="36"/>
          <w:highlight w:val="none"/>
          <w:lang w:val="en-US" w:eastAsia="zh-CN"/>
        </w:rPr>
        <w:t>四</w:t>
      </w:r>
      <w:r>
        <w:rPr>
          <w:rFonts w:hint="eastAsia" w:ascii="黑体" w:hAnsi="黑体" w:eastAsia="黑体" w:cs="黑体"/>
          <w:color w:val="auto"/>
          <w:sz w:val="36"/>
          <w:szCs w:val="36"/>
          <w:highlight w:val="none"/>
        </w:rPr>
        <w:t>章  采购需求</w:t>
      </w:r>
    </w:p>
    <w:p w14:paraId="0CCDB787">
      <w:pPr>
        <w:keepNext w:val="0"/>
        <w:keepLines w:val="0"/>
        <w:pageBreakBefore w:val="0"/>
        <w:widowControl/>
        <w:kinsoku/>
        <w:overflowPunct/>
        <w:topLinePunct w:val="0"/>
        <w:autoSpaceDE/>
        <w:autoSpaceDN/>
        <w:bidi w:val="0"/>
        <w:adjustRightInd/>
        <w:snapToGrid/>
        <w:spacing w:line="360" w:lineRule="auto"/>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一、采购内容</w:t>
      </w:r>
    </w:p>
    <w:tbl>
      <w:tblPr>
        <w:tblStyle w:val="38"/>
        <w:tblW w:w="8571" w:type="dxa"/>
        <w:jc w:val="center"/>
        <w:tblLayout w:type="fixed"/>
        <w:tblCellMar>
          <w:top w:w="0" w:type="dxa"/>
          <w:left w:w="0" w:type="dxa"/>
          <w:bottom w:w="0" w:type="dxa"/>
          <w:right w:w="0" w:type="dxa"/>
        </w:tblCellMar>
      </w:tblPr>
      <w:tblGrid>
        <w:gridCol w:w="709"/>
        <w:gridCol w:w="4305"/>
        <w:gridCol w:w="1705"/>
        <w:gridCol w:w="1852"/>
      </w:tblGrid>
      <w:tr w14:paraId="0BDDD7E0">
        <w:tblPrEx>
          <w:tblCellMar>
            <w:top w:w="0" w:type="dxa"/>
            <w:left w:w="0" w:type="dxa"/>
            <w:bottom w:w="0" w:type="dxa"/>
            <w:right w:w="0"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36D19A0">
            <w:pPr>
              <w:keepNext w:val="0"/>
              <w:keepLines w:val="0"/>
              <w:pageBreakBefore w:val="0"/>
              <w:suppressLineNumbers w:val="0"/>
              <w:shd w:val="clear" w:color="auto" w:fill="auto"/>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序号</w:t>
            </w:r>
          </w:p>
        </w:tc>
        <w:tc>
          <w:tcPr>
            <w:tcW w:w="430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064625D">
            <w:pPr>
              <w:keepNext w:val="0"/>
              <w:keepLines w:val="0"/>
              <w:pageBreakBefore w:val="0"/>
              <w:suppressLineNumbers w:val="0"/>
              <w:shd w:val="clear" w:color="auto" w:fill="auto"/>
              <w:kinsoku/>
              <w:overflowPunct/>
              <w:topLinePunct w:val="0"/>
              <w:autoSpaceDE/>
              <w:autoSpaceDN/>
              <w:bidi w:val="0"/>
              <w:adjustRightInd/>
              <w:snapToGrid/>
              <w:spacing w:before="0" w:beforeAutospacing="0" w:after="0" w:afterAutospacing="0" w:line="360" w:lineRule="auto"/>
              <w:ind w:left="0" w:right="0" w:firstLine="1890" w:firstLineChars="900"/>
              <w:jc w:val="both"/>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名称</w:t>
            </w:r>
          </w:p>
        </w:tc>
        <w:tc>
          <w:tcPr>
            <w:tcW w:w="17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5706376">
            <w:pPr>
              <w:keepNext w:val="0"/>
              <w:keepLines w:val="0"/>
              <w:pageBreakBefore w:val="0"/>
              <w:suppressLineNumbers w:val="0"/>
              <w:shd w:val="clear" w:color="auto" w:fill="auto"/>
              <w:kinsoku/>
              <w:overflowPunct/>
              <w:topLinePunct w:val="0"/>
              <w:autoSpaceDE/>
              <w:autoSpaceDN/>
              <w:bidi w:val="0"/>
              <w:adjustRightInd/>
              <w:snapToGrid/>
              <w:spacing w:before="0" w:beforeAutospacing="0" w:after="0" w:afterAutospacing="0" w:line="360" w:lineRule="auto"/>
              <w:ind w:left="0" w:right="0" w:firstLine="420" w:firstLineChars="200"/>
              <w:jc w:val="both"/>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最高限价</w:t>
            </w:r>
          </w:p>
        </w:tc>
        <w:tc>
          <w:tcPr>
            <w:tcW w:w="1852" w:type="dxa"/>
            <w:tcBorders>
              <w:top w:val="single" w:color="auto" w:sz="4" w:space="0"/>
              <w:left w:val="nil"/>
              <w:bottom w:val="single" w:color="auto" w:sz="4" w:space="0"/>
              <w:right w:val="single" w:color="auto" w:sz="4" w:space="0"/>
            </w:tcBorders>
            <w:noWrap w:val="0"/>
            <w:vAlign w:val="center"/>
          </w:tcPr>
          <w:p w14:paraId="47EFA0BD">
            <w:pPr>
              <w:keepNext w:val="0"/>
              <w:keepLines w:val="0"/>
              <w:pageBreakBefore w:val="0"/>
              <w:suppressLineNumbers w:val="0"/>
              <w:shd w:val="clear" w:color="auto" w:fill="auto"/>
              <w:kinsoku/>
              <w:overflowPunct/>
              <w:topLinePunct w:val="0"/>
              <w:autoSpaceDE/>
              <w:autoSpaceDN/>
              <w:bidi w:val="0"/>
              <w:adjustRightInd/>
              <w:snapToGrid/>
              <w:spacing w:before="0" w:beforeAutospacing="0" w:after="0" w:afterAutospacing="0" w:line="360" w:lineRule="auto"/>
              <w:ind w:left="0" w:right="0" w:firstLine="420" w:firstLineChars="200"/>
              <w:jc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备注</w:t>
            </w:r>
          </w:p>
        </w:tc>
      </w:tr>
      <w:tr w14:paraId="05735768">
        <w:tblPrEx>
          <w:tblCellMar>
            <w:top w:w="0" w:type="dxa"/>
            <w:left w:w="0" w:type="dxa"/>
            <w:bottom w:w="0" w:type="dxa"/>
            <w:right w:w="0" w:type="dxa"/>
          </w:tblCellMar>
        </w:tblPrEx>
        <w:trPr>
          <w:cantSplit/>
          <w:trHeight w:val="1023" w:hRule="atLeast"/>
          <w:jc w:val="center"/>
        </w:trPr>
        <w:tc>
          <w:tcPr>
            <w:tcW w:w="70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488BF25">
            <w:pPr>
              <w:keepNext w:val="0"/>
              <w:keepLines w:val="0"/>
              <w:pageBreakBefore w:val="0"/>
              <w:suppressLineNumbers w:val="0"/>
              <w:shd w:val="clear" w:color="auto" w:fill="auto"/>
              <w:kinsoku/>
              <w:overflowPunct/>
              <w:topLinePunct w:val="0"/>
              <w:autoSpaceDE/>
              <w:autoSpaceDN/>
              <w:bidi w:val="0"/>
              <w:adjustRightInd/>
              <w:snapToGrid/>
              <w:spacing w:before="0" w:beforeAutospacing="0" w:after="0" w:afterAutospacing="0" w:line="360" w:lineRule="auto"/>
              <w:ind w:left="0" w:right="0" w:firstLine="420" w:firstLineChars="200"/>
              <w:jc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w:t>
            </w:r>
          </w:p>
        </w:tc>
        <w:tc>
          <w:tcPr>
            <w:tcW w:w="430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5F7F7C6">
            <w:pPr>
              <w:keepNext w:val="0"/>
              <w:keepLines w:val="0"/>
              <w:pageBreakBefore w:val="0"/>
              <w:suppressLineNumbers w:val="0"/>
              <w:shd w:val="clear" w:color="auto" w:fill="auto"/>
              <w:kinsoku/>
              <w:overflowPunct/>
              <w:topLinePunct w:val="0"/>
              <w:autoSpaceDE/>
              <w:autoSpaceDN/>
              <w:bidi w:val="0"/>
              <w:adjustRightInd/>
              <w:snapToGrid/>
              <w:spacing w:before="0" w:beforeAutospacing="0" w:after="0" w:afterAutospacing="0" w:line="360" w:lineRule="auto"/>
              <w:ind w:left="0" w:right="0" w:firstLine="420" w:firstLineChars="200"/>
              <w:jc w:val="center"/>
              <w:rPr>
                <w:rFonts w:hint="eastAsia" w:ascii="宋体" w:hAnsi="宋体" w:eastAsia="宋体" w:cs="宋体"/>
                <w:b w:val="0"/>
                <w:bCs w:val="0"/>
                <w:color w:val="auto"/>
                <w:sz w:val="21"/>
                <w:szCs w:val="21"/>
                <w:highlight w:val="none"/>
                <w:u w:val="none"/>
                <w:lang w:val="en-US" w:eastAsia="zh-CN"/>
              </w:rPr>
            </w:pPr>
            <w:r>
              <w:rPr>
                <w:rFonts w:hint="eastAsia" w:ascii="宋体" w:hAnsi="宋体" w:cs="宋体"/>
                <w:b w:val="0"/>
                <w:bCs w:val="0"/>
                <w:color w:val="auto"/>
                <w:sz w:val="21"/>
                <w:szCs w:val="21"/>
                <w:highlight w:val="none"/>
                <w:u w:val="none"/>
                <w:lang w:val="en-US" w:eastAsia="zh-CN"/>
              </w:rPr>
              <w:t>浙江省第十二届残疾人运动会盲人跳绳比赛整体赛事执行服务</w:t>
            </w:r>
          </w:p>
        </w:tc>
        <w:tc>
          <w:tcPr>
            <w:tcW w:w="170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BBEFD15">
            <w:pPr>
              <w:keepNext w:val="0"/>
              <w:keepLines w:val="0"/>
              <w:pageBreakBefore w:val="0"/>
              <w:suppressLineNumbers w:val="0"/>
              <w:shd w:val="clear" w:color="auto" w:fill="auto"/>
              <w:kinsoku/>
              <w:overflowPunct/>
              <w:topLinePunct w:val="0"/>
              <w:autoSpaceDE/>
              <w:autoSpaceDN/>
              <w:bidi w:val="0"/>
              <w:adjustRightInd/>
              <w:snapToGrid/>
              <w:spacing w:before="0" w:beforeAutospacing="0" w:after="0" w:afterAutospacing="0" w:line="360" w:lineRule="auto"/>
              <w:ind w:left="0" w:right="0" w:firstLine="420" w:firstLineChars="200"/>
              <w:jc w:val="center"/>
              <w:rPr>
                <w:rFonts w:hint="eastAsia" w:ascii="宋体" w:hAnsi="宋体" w:eastAsia="宋体" w:cs="宋体"/>
                <w:b w:val="0"/>
                <w:bCs w:val="0"/>
                <w:color w:val="auto"/>
                <w:sz w:val="21"/>
                <w:szCs w:val="21"/>
                <w:highlight w:val="none"/>
                <w:u w:val="none"/>
                <w:lang w:val="en-US" w:eastAsia="zh-CN"/>
              </w:rPr>
            </w:pPr>
            <w:r>
              <w:rPr>
                <w:rFonts w:hint="eastAsia" w:ascii="宋体" w:hAnsi="宋体" w:cs="宋体"/>
                <w:b w:val="0"/>
                <w:bCs w:val="0"/>
                <w:color w:val="auto"/>
                <w:sz w:val="21"/>
                <w:szCs w:val="21"/>
                <w:highlight w:val="none"/>
                <w:u w:val="none"/>
                <w:lang w:val="en-US" w:eastAsia="zh-CN"/>
              </w:rPr>
              <w:t>64.4487万元</w:t>
            </w:r>
          </w:p>
        </w:tc>
        <w:tc>
          <w:tcPr>
            <w:tcW w:w="1852" w:type="dxa"/>
            <w:tcBorders>
              <w:top w:val="nil"/>
              <w:left w:val="nil"/>
              <w:bottom w:val="single" w:color="auto" w:sz="4" w:space="0"/>
              <w:right w:val="single" w:color="auto" w:sz="4" w:space="0"/>
            </w:tcBorders>
            <w:noWrap w:val="0"/>
            <w:vAlign w:val="center"/>
          </w:tcPr>
          <w:p w14:paraId="39E37487">
            <w:pPr>
              <w:keepNext w:val="0"/>
              <w:keepLines w:val="0"/>
              <w:pageBreakBefore w:val="0"/>
              <w:suppressLineNumbers w:val="0"/>
              <w:shd w:val="clear" w:color="auto" w:fill="auto"/>
              <w:kinsoku/>
              <w:overflowPunct/>
              <w:topLinePunct w:val="0"/>
              <w:autoSpaceDE/>
              <w:autoSpaceDN/>
              <w:bidi w:val="0"/>
              <w:adjustRightInd/>
              <w:snapToGrid/>
              <w:spacing w:before="0" w:beforeAutospacing="0" w:after="0" w:afterAutospacing="0" w:line="360" w:lineRule="auto"/>
              <w:ind w:left="0" w:right="0" w:firstLine="420" w:firstLineChars="200"/>
              <w:jc w:val="center"/>
              <w:rPr>
                <w:rFonts w:hint="eastAsia" w:ascii="宋体" w:hAnsi="宋体" w:eastAsia="宋体" w:cs="宋体"/>
                <w:b w:val="0"/>
                <w:bCs w:val="0"/>
                <w:color w:val="auto"/>
                <w:sz w:val="21"/>
                <w:szCs w:val="21"/>
                <w:highlight w:val="none"/>
                <w:u w:val="none"/>
                <w:lang w:val="en-US" w:eastAsia="zh-CN"/>
              </w:rPr>
            </w:pPr>
          </w:p>
        </w:tc>
      </w:tr>
    </w:tbl>
    <w:p w14:paraId="728B09CF">
      <w:pPr>
        <w:keepNext w:val="0"/>
        <w:keepLines w:val="0"/>
        <w:pageBreakBefore w:val="0"/>
        <w:widowControl/>
        <w:kinsoku/>
        <w:overflowPunct/>
        <w:topLinePunct w:val="0"/>
        <w:autoSpaceDE/>
        <w:autoSpaceDN/>
        <w:bidi w:val="0"/>
        <w:adjustRightInd/>
        <w:snapToGrid/>
        <w:spacing w:line="360" w:lineRule="auto"/>
        <w:rPr>
          <w:rFonts w:hint="eastAsia" w:ascii="宋体" w:hAnsi="宋体" w:eastAsia="宋体" w:cs="宋体"/>
          <w:b/>
          <w:color w:val="000000"/>
          <w:sz w:val="21"/>
          <w:szCs w:val="21"/>
          <w:lang w:val="en-US" w:eastAsia="zh-CN"/>
        </w:rPr>
      </w:pPr>
    </w:p>
    <w:p w14:paraId="6985517C">
      <w:pPr>
        <w:keepNext w:val="0"/>
        <w:keepLines w:val="0"/>
        <w:pageBreakBefore w:val="0"/>
        <w:widowControl/>
        <w:kinsoku/>
        <w:overflowPunct/>
        <w:topLinePunct w:val="0"/>
        <w:autoSpaceDE/>
        <w:autoSpaceDN/>
        <w:bidi w:val="0"/>
        <w:adjustRightInd/>
        <w:snapToGrid/>
        <w:spacing w:line="360" w:lineRule="auto"/>
        <w:rPr>
          <w:rFonts w:hint="eastAsia" w:ascii="宋体" w:hAnsi="宋体" w:eastAsia="宋体" w:cs="宋体"/>
          <w:b/>
          <w:color w:val="auto"/>
          <w:sz w:val="21"/>
          <w:szCs w:val="21"/>
        </w:rPr>
      </w:pPr>
      <w:r>
        <w:rPr>
          <w:rFonts w:hint="eastAsia" w:ascii="宋体" w:hAnsi="宋体" w:eastAsia="宋体" w:cs="宋体"/>
          <w:b/>
          <w:color w:val="000000"/>
          <w:sz w:val="21"/>
          <w:szCs w:val="21"/>
          <w:lang w:val="en-US" w:eastAsia="zh-CN"/>
        </w:rPr>
        <w:t>二</w:t>
      </w:r>
      <w:r>
        <w:rPr>
          <w:rFonts w:hint="eastAsia" w:ascii="宋体" w:hAnsi="宋体" w:eastAsia="宋体" w:cs="宋体"/>
          <w:b/>
          <w:color w:val="auto"/>
          <w:sz w:val="21"/>
          <w:szCs w:val="21"/>
        </w:rPr>
        <w:t>、项目概况</w:t>
      </w:r>
    </w:p>
    <w:p w14:paraId="4D1CB7C6">
      <w:pPr>
        <w:keepNext w:val="0"/>
        <w:keepLines w:val="0"/>
        <w:pageBreakBefore w:val="0"/>
        <w:shd w:val="clear" w:color="auto" w:fill="auto"/>
        <w:kinsoku/>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1、赛事名称：</w:t>
      </w:r>
      <w:r>
        <w:rPr>
          <w:rFonts w:hint="eastAsia" w:ascii="宋体" w:hAnsi="宋体" w:cs="宋体"/>
          <w:b w:val="0"/>
          <w:bCs w:val="0"/>
          <w:color w:val="auto"/>
          <w:sz w:val="21"/>
          <w:szCs w:val="21"/>
          <w:highlight w:val="none"/>
          <w:u w:val="none"/>
          <w:lang w:val="en-US" w:eastAsia="zh-CN"/>
        </w:rPr>
        <w:t>浙江省第十二届残疾人运动会盲人跳绳比赛整体赛事执行服务</w:t>
      </w:r>
    </w:p>
    <w:p w14:paraId="2DE38451">
      <w:pPr>
        <w:keepNext w:val="0"/>
        <w:keepLines w:val="0"/>
        <w:pageBreakBefore w:val="0"/>
        <w:shd w:val="clear" w:color="auto" w:fill="auto"/>
        <w:kinsoku/>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2、举办时间：2026年6月10日-2026年6月13日</w:t>
      </w:r>
    </w:p>
    <w:p w14:paraId="04363080">
      <w:pPr>
        <w:keepNext w:val="0"/>
        <w:keepLines w:val="0"/>
        <w:pageBreakBefore w:val="0"/>
        <w:shd w:val="clear" w:color="auto" w:fill="auto"/>
        <w:kinsoku/>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3、举办地点：开化县</w:t>
      </w:r>
      <w:r>
        <w:rPr>
          <w:rFonts w:hint="eastAsia" w:ascii="宋体" w:hAnsi="宋体" w:cs="宋体"/>
          <w:b w:val="0"/>
          <w:bCs w:val="0"/>
          <w:color w:val="auto"/>
          <w:sz w:val="21"/>
          <w:szCs w:val="21"/>
          <w:highlight w:val="none"/>
          <w:u w:val="none"/>
          <w:lang w:val="en-US" w:eastAsia="zh-CN"/>
        </w:rPr>
        <w:t>综合</w:t>
      </w:r>
      <w:r>
        <w:rPr>
          <w:rFonts w:hint="eastAsia" w:ascii="宋体" w:hAnsi="宋体" w:eastAsia="宋体" w:cs="宋体"/>
          <w:b w:val="0"/>
          <w:bCs w:val="0"/>
          <w:color w:val="auto"/>
          <w:sz w:val="21"/>
          <w:szCs w:val="21"/>
          <w:highlight w:val="none"/>
          <w:u w:val="none"/>
          <w:lang w:val="en-US" w:eastAsia="zh-CN"/>
        </w:rPr>
        <w:t>体育中心</w:t>
      </w:r>
    </w:p>
    <w:p w14:paraId="7B5FAE2A">
      <w:pPr>
        <w:keepNext w:val="0"/>
        <w:keepLines w:val="0"/>
        <w:pageBreakBefore w:val="0"/>
        <w:shd w:val="clear" w:color="auto" w:fill="auto"/>
        <w:kinsoku/>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lang w:val="en-US" w:eastAsia="zh-CN"/>
        </w:rPr>
        <w:t>、赛事规模：本次比赛设14个小项，参赛的代表队约242人，技术官员裁判员35人，工作人员100人，嘉宾20人。</w:t>
      </w:r>
    </w:p>
    <w:p w14:paraId="369C8725">
      <w:pPr>
        <w:keepNext w:val="0"/>
        <w:keepLines w:val="0"/>
        <w:pageBreakBefore w:val="0"/>
        <w:shd w:val="clear" w:color="auto" w:fill="auto"/>
        <w:kinsoku/>
        <w:overflowPunct/>
        <w:topLinePunct w:val="0"/>
        <w:autoSpaceDE/>
        <w:autoSpaceDN/>
        <w:bidi w:val="0"/>
        <w:adjustRightInd/>
        <w:snapToGrid/>
        <w:spacing w:line="360" w:lineRule="auto"/>
        <w:ind w:firstLine="420" w:firstLineChars="200"/>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5、</w:t>
      </w:r>
      <w:r>
        <w:rPr>
          <w:rFonts w:hint="eastAsia" w:ascii="宋体" w:hAnsi="宋体" w:cs="宋体"/>
          <w:b w:val="0"/>
          <w:bCs w:val="0"/>
          <w:color w:val="auto"/>
          <w:sz w:val="21"/>
          <w:szCs w:val="21"/>
          <w:highlight w:val="none"/>
          <w:u w:val="none"/>
          <w:lang w:val="en-US" w:eastAsia="zh-CN"/>
        </w:rPr>
        <w:t>比赛项目：全盲个人计数赛（男、女）、低视力个人计数赛（男、女）、视力双人计数赛（男、女）、4×30视力残疾集体计数赛（混合）、全盲个人花样赛（男、女）个人绳规定套路A、低视力个人花样赛（男、女）个人绳规定套路A、双人花样赛（男、女）双人同步花样A、集体花样自编赛（混合）3-7人。</w:t>
      </w:r>
    </w:p>
    <w:p w14:paraId="5F42A52F">
      <w:pPr>
        <w:keepNext w:val="0"/>
        <w:keepLines w:val="0"/>
        <w:pageBreakBefore w:val="0"/>
        <w:numPr>
          <w:ilvl w:val="0"/>
          <w:numId w:val="4"/>
        </w:numPr>
        <w:kinsoku/>
        <w:overflowPunct/>
        <w:topLinePunct w:val="0"/>
        <w:autoSpaceDE/>
        <w:autoSpaceDN/>
        <w:bidi w:val="0"/>
        <w:adjustRightInd/>
        <w:snapToGrid/>
        <w:spacing w:line="360" w:lineRule="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供应商赛事承办的具体服务内容</w:t>
      </w:r>
    </w:p>
    <w:p w14:paraId="0A3EDAC6">
      <w:pPr>
        <w:pStyle w:val="16"/>
        <w:keepNext w:val="0"/>
        <w:keepLines w:val="0"/>
        <w:pageBreakBefore w:val="0"/>
        <w:numPr>
          <w:ilvl w:val="0"/>
          <w:numId w:val="0"/>
        </w:numPr>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成交供应商负责承担浙江省第十二届残疾人运动会盲人跳绳比赛及其实施过程中所产生的所有全部费用，包括但不限于赛事策划、竞赛组织和器材保障、场地布置、氛围营造、志愿者招募管理、后勤接待保障、场地安保、赛事保安劳务、医疗急救药品购置、税金、劳务和食宿、志愿者用餐、交通费和培训费等，以及合同包含的所有风险、责任等各项支出。</w:t>
      </w:r>
    </w:p>
    <w:p w14:paraId="616D99E1">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 成立本项目专业运营团队，团队人员数量不少于30人，项目总指挥、后勤服务、竞赛组织、场地保障、赛事宣传、志愿者组织、安保医疗各项工作均有专人负责并配备足额工作人员。赛事的竞赛工作由赛事技术代表、技术官员、裁判员负责。赛事技术代表、技术官员、裁判员的具体人员名单由采购人负责安排，供应商负责提供竞赛需求各类保障。</w:t>
      </w:r>
    </w:p>
    <w:p w14:paraId="4AFA3CD6">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2.负责策划设计赛事流程，提出具体的实施方案，经采购人审定同意后组织实施。</w:t>
      </w:r>
    </w:p>
    <w:p w14:paraId="6F651B2F">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3.负责志愿者的培训、</w:t>
      </w:r>
      <w:r>
        <w:rPr>
          <w:rFonts w:hint="eastAsia" w:ascii="宋体" w:hAnsi="宋体" w:eastAsia="宋体" w:cs="宋体"/>
          <w:color w:val="auto"/>
          <w:kern w:val="0"/>
          <w:sz w:val="21"/>
          <w:szCs w:val="21"/>
          <w:lang w:eastAsia="zh-CN"/>
        </w:rPr>
        <w:t>组织</w:t>
      </w:r>
      <w:r>
        <w:rPr>
          <w:rFonts w:hint="eastAsia" w:ascii="宋体" w:hAnsi="宋体" w:eastAsia="宋体" w:cs="宋体"/>
          <w:color w:val="auto"/>
          <w:kern w:val="0"/>
          <w:sz w:val="21"/>
          <w:szCs w:val="21"/>
        </w:rPr>
        <w:t>等。</w:t>
      </w:r>
    </w:p>
    <w:p w14:paraId="6889757C">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4.协助志愿者现场管理和调度。</w:t>
      </w:r>
    </w:p>
    <w:p w14:paraId="67126832">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5.协助采购人做好宣传工作。</w:t>
      </w:r>
    </w:p>
    <w:p w14:paraId="4EC233C2">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6.负责勘测赛场、赛场场地布置、器材准备。</w:t>
      </w:r>
    </w:p>
    <w:p w14:paraId="20DCC1E6">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7.负责制定赛事举办期间的安全保卫、医疗保障等方案，并组织实施。为确保现场安全、维护秩序、快速应对突发情况，根据公安机关安保要求布置安保设施设备。</w:t>
      </w:r>
    </w:p>
    <w:p w14:paraId="3BF81954">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①前期准备：打好安全基础</w:t>
      </w:r>
    </w:p>
    <w:p w14:paraId="57682C34">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人员配置：根据比赛规模，合理分配安保人员。</w:t>
      </w:r>
    </w:p>
    <w:p w14:paraId="75186836">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安全培训：对工作人员进行安全知识培训，提升整体安全意识和应急能力。</w:t>
      </w:r>
    </w:p>
    <w:p w14:paraId="1326BF22">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②现场执行：全方位保障安全</w:t>
      </w:r>
    </w:p>
    <w:p w14:paraId="0A74C3E0">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安全检查：在入口处使用金属探测器等设备，严格检查观众携带物品，防止危险品入场。</w:t>
      </w:r>
    </w:p>
    <w:p w14:paraId="55653207">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秩序维护：通过合理布岗和有效沟通，处理观众冲突、拥挤等问题，确保现场秩序。</w:t>
      </w:r>
    </w:p>
    <w:p w14:paraId="15DDCF71">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场地防护：安排专人守护比赛场地，防止观众冲台，并检查设备安全，确保赛事安全。</w:t>
      </w:r>
    </w:p>
    <w:p w14:paraId="6F901D4D">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③应急处理：快速响应突发情况</w:t>
      </w:r>
    </w:p>
    <w:p w14:paraId="6826F299">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制定应急预案：针对火灾、医疗事件等制定详细预案，确保快速反应。</w:t>
      </w:r>
    </w:p>
    <w:p w14:paraId="1A0BF256">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紧急疏散：在火灾等危险情况下，引导观众有序撤离，保障人员安全。</w:t>
      </w:r>
    </w:p>
    <w:p w14:paraId="07B9D59D">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④技术支持：提升安保效率</w:t>
      </w:r>
    </w:p>
    <w:p w14:paraId="073DB203">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提供安保设施：根据现场安保实际要求，全量提供拒马、铁马、防暴铁马等安保设施。</w:t>
      </w:r>
    </w:p>
    <w:p w14:paraId="68D839EF">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⑤协同配合：形成安保合力</w:t>
      </w:r>
    </w:p>
    <w:p w14:paraId="3B023BF3">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与主办方协作：共同制定安保方案，明确职责分工。</w:t>
      </w:r>
    </w:p>
    <w:p w14:paraId="1BCF239B">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与公安、消防、医疗等部门联动：形成快速响应机制，共同应对突发事件。</w:t>
      </w:r>
    </w:p>
    <w:p w14:paraId="6480B0D5">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⑥文明执勤：维护良好形象</w:t>
      </w:r>
    </w:p>
    <w:p w14:paraId="55C64545">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规范执法：保安人员需遵守职业规范，礼貌开展工作，避免冲突。</w:t>
      </w:r>
    </w:p>
    <w:p w14:paraId="33D2795D">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热情服务：在保障安全的同时，为观众提供必要的帮助和指引。</w:t>
      </w:r>
    </w:p>
    <w:p w14:paraId="6010B484">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rPr>
        <w:t>. 负责领队教练员技术会议、裁判员会议、开赛等仪式的策划和实施，协助颁奖团队实施颁奖。</w:t>
      </w:r>
    </w:p>
    <w:p w14:paraId="7FD0692D">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9</w:t>
      </w:r>
      <w:r>
        <w:rPr>
          <w:rFonts w:hint="eastAsia" w:ascii="宋体" w:hAnsi="宋体" w:eastAsia="宋体" w:cs="宋体"/>
          <w:color w:val="auto"/>
          <w:kern w:val="0"/>
          <w:sz w:val="21"/>
          <w:szCs w:val="21"/>
        </w:rPr>
        <w:t>. 承担赛事相关费用，包含但不仅限于：</w:t>
      </w:r>
    </w:p>
    <w:p w14:paraId="507000E2">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承担比赛活动场地使用费、场地景观布置费；</w:t>
      </w:r>
    </w:p>
    <w:p w14:paraId="771100A9">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①</w:t>
      </w:r>
      <w:r>
        <w:rPr>
          <w:rFonts w:hint="eastAsia" w:ascii="宋体" w:hAnsi="宋体" w:eastAsia="宋体" w:cs="宋体"/>
          <w:color w:val="auto"/>
          <w:kern w:val="0"/>
          <w:sz w:val="21"/>
          <w:szCs w:val="21"/>
          <w:lang w:val="en-US" w:eastAsia="zh-CN"/>
        </w:rPr>
        <w:t>体育中心大门口主背景黑布喷绘+桁架租赁搭建12米</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4米；</w:t>
      </w:r>
    </w:p>
    <w:p w14:paraId="5F9CD916">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②</w:t>
      </w:r>
      <w:r>
        <w:rPr>
          <w:rFonts w:hint="eastAsia" w:ascii="宋体" w:hAnsi="宋体" w:eastAsia="宋体" w:cs="宋体"/>
          <w:color w:val="auto"/>
          <w:kern w:val="0"/>
          <w:sz w:val="21"/>
          <w:szCs w:val="21"/>
          <w:lang w:val="en-US" w:eastAsia="zh-CN"/>
        </w:rPr>
        <w:t>酒店大堂签到背景黑布喷绘+桁架租赁搭建8米</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3米；</w:t>
      </w:r>
    </w:p>
    <w:p w14:paraId="0ABE4AF4">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③</w:t>
      </w:r>
      <w:r>
        <w:rPr>
          <w:rFonts w:hint="eastAsia" w:ascii="宋体" w:hAnsi="宋体" w:eastAsia="宋体" w:cs="宋体"/>
          <w:color w:val="auto"/>
          <w:kern w:val="0"/>
          <w:sz w:val="21"/>
          <w:szCs w:val="21"/>
          <w:lang w:val="en-US" w:eastAsia="zh-CN"/>
        </w:rPr>
        <w:t>水</w:t>
      </w:r>
      <w:r>
        <w:rPr>
          <w:rFonts w:hint="eastAsia" w:ascii="宋体" w:hAnsi="宋体" w:cs="宋体"/>
          <w:color w:val="auto"/>
          <w:kern w:val="0"/>
          <w:sz w:val="21"/>
          <w:szCs w:val="21"/>
          <w:lang w:val="en-US" w:eastAsia="zh-CN"/>
        </w:rPr>
        <w:t>柱</w:t>
      </w:r>
      <w:r>
        <w:rPr>
          <w:rFonts w:hint="eastAsia" w:ascii="宋体" w:hAnsi="宋体" w:eastAsia="宋体" w:cs="宋体"/>
          <w:color w:val="auto"/>
          <w:kern w:val="0"/>
          <w:sz w:val="21"/>
          <w:szCs w:val="21"/>
          <w:lang w:val="en-US" w:eastAsia="zh-CN"/>
        </w:rPr>
        <w:t>旗20套、彩旗100面、手举牌11个；</w:t>
      </w:r>
    </w:p>
    <w:p w14:paraId="253B54C8">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④</w:t>
      </w:r>
      <w:r>
        <w:rPr>
          <w:rFonts w:hint="eastAsia" w:ascii="宋体" w:hAnsi="宋体" w:eastAsia="宋体" w:cs="宋体"/>
          <w:color w:val="auto"/>
          <w:kern w:val="0"/>
          <w:sz w:val="21"/>
          <w:szCs w:val="21"/>
          <w:highlight w:val="none"/>
          <w:lang w:val="en-US" w:eastAsia="zh-CN"/>
        </w:rPr>
        <w:t>盲道布置、场地各路口指引标识标牌200个；</w:t>
      </w:r>
    </w:p>
    <w:p w14:paraId="1C8F5E55">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⑤</w:t>
      </w:r>
      <w:r>
        <w:rPr>
          <w:rFonts w:hint="eastAsia" w:ascii="宋体" w:hAnsi="宋体" w:eastAsia="宋体" w:cs="宋体"/>
          <w:color w:val="auto"/>
          <w:kern w:val="0"/>
          <w:sz w:val="21"/>
          <w:szCs w:val="21"/>
          <w:highlight w:val="none"/>
          <w:lang w:val="en-US" w:eastAsia="zh-CN"/>
        </w:rPr>
        <w:t>主场馆宣传标语</w:t>
      </w:r>
      <w:r>
        <w:rPr>
          <w:rFonts w:hint="eastAsia" w:ascii="宋体" w:hAnsi="宋体" w:cs="宋体"/>
          <w:color w:val="auto"/>
          <w:kern w:val="0"/>
          <w:sz w:val="21"/>
          <w:szCs w:val="21"/>
          <w:highlight w:val="none"/>
          <w:lang w:val="en-US" w:eastAsia="zh-CN"/>
        </w:rPr>
        <w:t>（标准）</w:t>
      </w:r>
      <w:r>
        <w:rPr>
          <w:rFonts w:hint="eastAsia" w:ascii="宋体" w:hAnsi="宋体" w:eastAsia="宋体" w:cs="宋体"/>
          <w:color w:val="auto"/>
          <w:kern w:val="0"/>
          <w:sz w:val="21"/>
          <w:szCs w:val="21"/>
          <w:highlight w:val="none"/>
          <w:lang w:val="en-US" w:eastAsia="zh-CN"/>
        </w:rPr>
        <w:t>：6条；</w:t>
      </w:r>
    </w:p>
    <w:p w14:paraId="1F2241C3">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⑥</w:t>
      </w:r>
      <w:r>
        <w:rPr>
          <w:rFonts w:hint="eastAsia" w:ascii="宋体" w:hAnsi="宋体" w:eastAsia="宋体" w:cs="宋体"/>
          <w:color w:val="auto"/>
          <w:kern w:val="0"/>
          <w:sz w:val="21"/>
          <w:szCs w:val="21"/>
          <w:highlight w:val="none"/>
          <w:lang w:val="en-US" w:eastAsia="zh-CN"/>
        </w:rPr>
        <w:t>竞赛场地</w:t>
      </w:r>
      <w:r>
        <w:rPr>
          <w:rFonts w:hint="eastAsia" w:ascii="宋体" w:hAnsi="宋体" w:eastAsia="宋体" w:cs="宋体"/>
          <w:color w:val="auto"/>
          <w:kern w:val="0"/>
          <w:sz w:val="21"/>
          <w:szCs w:val="21"/>
          <w:highlight w:val="none"/>
        </w:rPr>
        <w:t>主背景黑布喷绘+桁架租赁搭建12×4㎡</w:t>
      </w:r>
      <w:r>
        <w:rPr>
          <w:rFonts w:hint="eastAsia" w:ascii="宋体" w:hAnsi="宋体" w:eastAsia="宋体" w:cs="宋体"/>
          <w:color w:val="auto"/>
          <w:kern w:val="0"/>
          <w:sz w:val="21"/>
          <w:szCs w:val="21"/>
          <w:highlight w:val="none"/>
          <w:lang w:eastAsia="zh-CN"/>
        </w:rPr>
        <w:t>；</w:t>
      </w:r>
    </w:p>
    <w:p w14:paraId="2186AB9C">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⑦</w:t>
      </w:r>
      <w:r>
        <w:rPr>
          <w:rFonts w:hint="eastAsia" w:ascii="宋体" w:hAnsi="宋体" w:eastAsia="宋体" w:cs="宋体"/>
          <w:color w:val="auto"/>
          <w:kern w:val="0"/>
          <w:sz w:val="21"/>
          <w:szCs w:val="21"/>
          <w:highlight w:val="none"/>
          <w:lang w:val="en-US" w:eastAsia="zh-CN"/>
        </w:rPr>
        <w:t>竞赛场地主背景颁奖大舞台搭建6</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highlight w:val="none"/>
          <w:lang w:val="en-US" w:eastAsia="zh-CN"/>
        </w:rPr>
        <w:t>0.8立方米</w:t>
      </w:r>
      <w:r>
        <w:rPr>
          <w:rFonts w:hint="eastAsia" w:ascii="宋体" w:hAnsi="宋体" w:eastAsia="宋体" w:cs="宋体"/>
          <w:color w:val="auto"/>
          <w:kern w:val="0"/>
          <w:sz w:val="21"/>
          <w:szCs w:val="21"/>
          <w:highlight w:val="none"/>
          <w:lang w:val="en-US" w:eastAsia="zh-CN"/>
        </w:rPr>
        <w:t>；</w:t>
      </w:r>
    </w:p>
    <w:p w14:paraId="3C3CC82E">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⑧</w:t>
      </w:r>
      <w:r>
        <w:rPr>
          <w:rFonts w:hint="eastAsia" w:ascii="宋体" w:hAnsi="宋体" w:eastAsia="宋体" w:cs="宋体"/>
          <w:color w:val="auto"/>
          <w:kern w:val="0"/>
          <w:sz w:val="21"/>
          <w:szCs w:val="21"/>
          <w:highlight w:val="none"/>
          <w:lang w:val="en-US" w:eastAsia="zh-CN"/>
        </w:rPr>
        <w:t>运动员颁奖台</w:t>
      </w:r>
      <w:r>
        <w:rPr>
          <w:rFonts w:hint="eastAsia" w:ascii="宋体" w:hAnsi="宋体" w:cs="宋体"/>
          <w:color w:val="auto"/>
          <w:kern w:val="0"/>
          <w:sz w:val="21"/>
          <w:szCs w:val="21"/>
          <w:highlight w:val="none"/>
          <w:lang w:val="en-US" w:eastAsia="zh-CN"/>
        </w:rPr>
        <w:t>（标准）</w:t>
      </w:r>
      <w:r>
        <w:rPr>
          <w:rFonts w:hint="eastAsia" w:ascii="宋体" w:hAnsi="宋体" w:eastAsia="宋体" w:cs="宋体"/>
          <w:color w:val="auto"/>
          <w:kern w:val="0"/>
          <w:sz w:val="21"/>
          <w:szCs w:val="21"/>
          <w:highlight w:val="none"/>
          <w:lang w:val="en-US" w:eastAsia="zh-CN"/>
        </w:rPr>
        <w:t>3个；</w:t>
      </w:r>
    </w:p>
    <w:p w14:paraId="6FF93CB6">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⑨</w:t>
      </w:r>
      <w:r>
        <w:rPr>
          <w:rFonts w:hint="eastAsia" w:ascii="宋体" w:hAnsi="宋体" w:eastAsia="宋体" w:cs="宋体"/>
          <w:color w:val="auto"/>
          <w:kern w:val="0"/>
          <w:sz w:val="21"/>
          <w:szCs w:val="21"/>
          <w:highlight w:val="none"/>
          <w:lang w:val="en-US" w:eastAsia="zh-CN"/>
        </w:rPr>
        <w:t>通道地毯</w:t>
      </w:r>
      <w:r>
        <w:rPr>
          <w:rFonts w:hint="eastAsia" w:ascii="宋体" w:hAnsi="宋体" w:cs="宋体"/>
          <w:color w:val="auto"/>
          <w:kern w:val="0"/>
          <w:sz w:val="21"/>
          <w:szCs w:val="21"/>
          <w:highlight w:val="none"/>
          <w:lang w:val="en-US" w:eastAsia="zh-CN"/>
        </w:rPr>
        <w:t>300米</w:t>
      </w:r>
      <w:r>
        <w:rPr>
          <w:rFonts w:hint="eastAsia" w:ascii="宋体" w:hAnsi="宋体" w:eastAsia="宋体" w:cs="宋体"/>
          <w:color w:val="auto"/>
          <w:kern w:val="0"/>
          <w:sz w:val="21"/>
          <w:szCs w:val="21"/>
          <w:highlight w:val="none"/>
          <w:lang w:val="en-US" w:eastAsia="zh-CN"/>
        </w:rPr>
        <w:t>；</w:t>
      </w:r>
    </w:p>
    <w:p w14:paraId="5CFEC456">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⑩</w:t>
      </w:r>
      <w:r>
        <w:rPr>
          <w:rFonts w:hint="eastAsia" w:ascii="宋体" w:hAnsi="宋体" w:eastAsia="宋体" w:cs="宋体"/>
          <w:color w:val="auto"/>
          <w:kern w:val="0"/>
          <w:sz w:val="21"/>
          <w:szCs w:val="21"/>
          <w:highlight w:val="none"/>
          <w:lang w:val="en-US" w:eastAsia="zh-CN"/>
        </w:rPr>
        <w:t>比赛场地区域分割：2米</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1米</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48个。</w:t>
      </w:r>
    </w:p>
    <w:p w14:paraId="22CD26DE">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承担比赛器材的费用；</w:t>
      </w:r>
    </w:p>
    <w:p w14:paraId="26F127B4">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①</w:t>
      </w:r>
      <w:r>
        <w:rPr>
          <w:rFonts w:hint="eastAsia" w:ascii="宋体" w:hAnsi="宋体" w:eastAsia="宋体" w:cs="宋体"/>
          <w:color w:val="auto"/>
          <w:kern w:val="0"/>
          <w:sz w:val="21"/>
          <w:szCs w:val="21"/>
          <w:highlight w:val="none"/>
          <w:lang w:eastAsia="zh-CN"/>
        </w:rPr>
        <w:t>省级赛事标准的</w:t>
      </w:r>
      <w:r>
        <w:rPr>
          <w:rFonts w:hint="eastAsia" w:ascii="宋体" w:hAnsi="宋体" w:eastAsia="宋体" w:cs="宋体"/>
          <w:color w:val="auto"/>
          <w:kern w:val="0"/>
          <w:sz w:val="21"/>
          <w:szCs w:val="21"/>
          <w:highlight w:val="none"/>
        </w:rPr>
        <w:t>跳绳比赛电子计时计分系统（含比赛跳绳无线联机电子智能计数设备手柄）</w:t>
      </w:r>
      <w:r>
        <w:rPr>
          <w:rFonts w:hint="eastAsia" w:ascii="宋体" w:hAnsi="宋体" w:eastAsia="宋体" w:cs="宋体"/>
          <w:sz w:val="21"/>
          <w:szCs w:val="21"/>
          <w:highlight w:val="none"/>
          <w:lang w:eastAsia="zh-CN"/>
        </w:rPr>
        <w:t>；</w:t>
      </w:r>
    </w:p>
    <w:p w14:paraId="10FA6925">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②专业比赛用绳</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备用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根</w:t>
      </w:r>
      <w:r>
        <w:rPr>
          <w:rFonts w:hint="eastAsia" w:ascii="宋体" w:hAnsi="宋体" w:eastAsia="宋体" w:cs="宋体"/>
          <w:color w:val="auto"/>
          <w:kern w:val="0"/>
          <w:sz w:val="21"/>
          <w:szCs w:val="21"/>
          <w:highlight w:val="none"/>
          <w:lang w:eastAsia="zh-CN"/>
        </w:rPr>
        <w:t>；</w:t>
      </w:r>
    </w:p>
    <w:p w14:paraId="736FB72D">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③</w:t>
      </w:r>
      <w:r>
        <w:rPr>
          <w:rFonts w:hint="eastAsia" w:ascii="宋体" w:hAnsi="宋体" w:eastAsia="宋体" w:cs="宋体"/>
          <w:color w:val="auto"/>
          <w:kern w:val="0"/>
          <w:sz w:val="21"/>
          <w:szCs w:val="21"/>
          <w:highlight w:val="none"/>
          <w:lang w:val="en-US" w:eastAsia="zh-CN"/>
        </w:rPr>
        <w:t>眼罩200个；</w:t>
      </w:r>
    </w:p>
    <w:p w14:paraId="7A74CAC5">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④</w:t>
      </w:r>
      <w:r>
        <w:rPr>
          <w:rFonts w:hint="eastAsia" w:ascii="宋体" w:hAnsi="宋体" w:cs="宋体"/>
          <w:color w:val="auto"/>
          <w:kern w:val="0"/>
          <w:sz w:val="21"/>
          <w:szCs w:val="21"/>
          <w:highlight w:val="none"/>
          <w:lang w:val="en-US" w:eastAsia="zh-CN"/>
        </w:rPr>
        <w:t>赛事风险评估</w:t>
      </w:r>
      <w:r>
        <w:rPr>
          <w:rFonts w:hint="eastAsia" w:ascii="宋体" w:hAnsi="宋体" w:eastAsia="宋体" w:cs="宋体"/>
          <w:color w:val="auto"/>
          <w:kern w:val="0"/>
          <w:sz w:val="21"/>
          <w:szCs w:val="21"/>
          <w:highlight w:val="none"/>
          <w:lang w:eastAsia="zh-CN"/>
        </w:rPr>
        <w:t>、医用耗材。</w:t>
      </w:r>
    </w:p>
    <w:p w14:paraId="288CE3D8">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承担裁判员及技术官员</w:t>
      </w:r>
      <w:r>
        <w:rPr>
          <w:rFonts w:hint="eastAsia" w:ascii="宋体" w:hAnsi="宋体" w:eastAsia="宋体" w:cs="宋体"/>
          <w:color w:val="auto"/>
          <w:kern w:val="0"/>
          <w:sz w:val="21"/>
          <w:szCs w:val="21"/>
          <w:highlight w:val="none"/>
          <w:lang w:eastAsia="zh-CN"/>
        </w:rPr>
        <w:t>、志愿者</w:t>
      </w:r>
      <w:r>
        <w:rPr>
          <w:rFonts w:hint="eastAsia" w:ascii="宋体" w:hAnsi="宋体" w:eastAsia="宋体" w:cs="宋体"/>
          <w:color w:val="auto"/>
          <w:kern w:val="0"/>
          <w:sz w:val="21"/>
          <w:szCs w:val="21"/>
          <w:highlight w:val="none"/>
          <w:lang w:val="en-US" w:eastAsia="zh-CN"/>
        </w:rPr>
        <w:t>及</w:t>
      </w:r>
      <w:r>
        <w:rPr>
          <w:rFonts w:hint="eastAsia" w:ascii="宋体" w:hAnsi="宋体" w:eastAsia="宋体" w:cs="宋体"/>
          <w:color w:val="auto"/>
          <w:kern w:val="0"/>
          <w:sz w:val="21"/>
          <w:szCs w:val="21"/>
          <w:highlight w:val="none"/>
        </w:rPr>
        <w:t>其他工作人员等的劳务费和补贴以及发放工作，以及承担裁判员往返路费及发放</w:t>
      </w:r>
      <w:r>
        <w:rPr>
          <w:rFonts w:hint="eastAsia" w:ascii="宋体" w:hAnsi="宋体" w:eastAsia="宋体" w:cs="宋体"/>
          <w:color w:val="auto"/>
          <w:kern w:val="0"/>
          <w:sz w:val="21"/>
          <w:szCs w:val="21"/>
          <w:highlight w:val="none"/>
          <w:lang w:eastAsia="zh-CN"/>
        </w:rPr>
        <w:t>，实报实销</w:t>
      </w:r>
      <w:r>
        <w:rPr>
          <w:rFonts w:hint="eastAsia" w:ascii="宋体" w:hAnsi="宋体" w:eastAsia="宋体" w:cs="宋体"/>
          <w:color w:val="auto"/>
          <w:kern w:val="0"/>
          <w:sz w:val="21"/>
          <w:szCs w:val="21"/>
          <w:highlight w:val="none"/>
        </w:rPr>
        <w:t>。</w:t>
      </w:r>
    </w:p>
    <w:p w14:paraId="728680BA">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承担赛事物料准备(秩序册、成绩册、工作手册等资料编印)</w:t>
      </w:r>
      <w:r>
        <w:rPr>
          <w:rFonts w:hint="eastAsia" w:ascii="宋体" w:hAnsi="宋体" w:eastAsia="宋体" w:cs="宋体"/>
          <w:color w:val="auto"/>
          <w:kern w:val="0"/>
          <w:sz w:val="21"/>
          <w:szCs w:val="21"/>
          <w:highlight w:val="none"/>
          <w:lang w:val="en-US" w:eastAsia="zh-CN"/>
        </w:rPr>
        <w:t>及其他</w:t>
      </w:r>
      <w:r>
        <w:rPr>
          <w:rFonts w:hint="eastAsia" w:ascii="宋体" w:hAnsi="宋体" w:eastAsia="宋体" w:cs="宋体"/>
          <w:color w:val="auto"/>
          <w:kern w:val="0"/>
          <w:sz w:val="21"/>
          <w:szCs w:val="21"/>
          <w:highlight w:val="none"/>
        </w:rPr>
        <w:t>费用</w:t>
      </w:r>
      <w:r>
        <w:rPr>
          <w:rFonts w:hint="eastAsia" w:ascii="宋体" w:hAnsi="宋体" w:eastAsia="宋体" w:cs="宋体"/>
          <w:color w:val="auto"/>
          <w:kern w:val="0"/>
          <w:sz w:val="21"/>
          <w:szCs w:val="21"/>
          <w:highlight w:val="none"/>
          <w:lang w:eastAsia="zh-CN"/>
        </w:rPr>
        <w:t>：秩序册、成绩册、赛事指南各100本以上；志愿者培训、裁判长赛前检视等会务费用；</w:t>
      </w:r>
      <w:r>
        <w:rPr>
          <w:rFonts w:hint="eastAsia" w:ascii="宋体" w:hAnsi="宋体" w:eastAsia="宋体" w:cs="宋体"/>
          <w:color w:val="auto"/>
          <w:kern w:val="0"/>
          <w:sz w:val="21"/>
          <w:szCs w:val="21"/>
          <w:highlight w:val="none"/>
        </w:rPr>
        <w:t>笔记本电脑</w:t>
      </w:r>
      <w:r>
        <w:rPr>
          <w:rFonts w:hint="eastAsia" w:ascii="宋体" w:hAnsi="宋体" w:eastAsia="宋体" w:cs="宋体"/>
          <w:color w:val="auto"/>
          <w:kern w:val="0"/>
          <w:sz w:val="21"/>
          <w:szCs w:val="21"/>
          <w:highlight w:val="none"/>
          <w:lang w:val="en-US" w:eastAsia="zh-CN"/>
        </w:rPr>
        <w:t>3台</w:t>
      </w:r>
      <w:r>
        <w:rPr>
          <w:rFonts w:hint="eastAsia" w:ascii="宋体" w:hAnsi="宋体" w:eastAsia="宋体" w:cs="宋体"/>
          <w:color w:val="auto"/>
          <w:kern w:val="0"/>
          <w:sz w:val="21"/>
          <w:szCs w:val="21"/>
          <w:highlight w:val="none"/>
        </w:rPr>
        <w:t>、打印机</w:t>
      </w:r>
      <w:r>
        <w:rPr>
          <w:rFonts w:hint="eastAsia" w:ascii="宋体" w:hAnsi="宋体" w:eastAsia="宋体" w:cs="宋体"/>
          <w:color w:val="auto"/>
          <w:kern w:val="0"/>
          <w:sz w:val="21"/>
          <w:szCs w:val="21"/>
          <w:highlight w:val="none"/>
          <w:lang w:val="en-US" w:eastAsia="zh-CN"/>
        </w:rPr>
        <w:t>3台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文具1套、耗材费用（办公用品、竞赛耗材等）、比赛场地费用（能耗保洁，每天至少提供保洁6人）、</w:t>
      </w:r>
      <w:r>
        <w:rPr>
          <w:rFonts w:hint="eastAsia" w:ascii="宋体" w:hAnsi="宋体" w:eastAsia="宋体" w:cs="宋体"/>
          <w:color w:val="auto"/>
          <w:kern w:val="0"/>
          <w:sz w:val="21"/>
          <w:szCs w:val="21"/>
          <w:highlight w:val="none"/>
        </w:rPr>
        <w:t>场地桌椅搭建、搬运、安装、布置人工费</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比赛场地专业音响设备1套等。</w:t>
      </w:r>
    </w:p>
    <w:p w14:paraId="341ED3A8">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裁判员及技术官员、参赛代表队食宿费，志愿者、工作人员餐费等；</w:t>
      </w:r>
    </w:p>
    <w:p w14:paraId="6684FCD9">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其他</w:t>
      </w:r>
      <w:r>
        <w:rPr>
          <w:rFonts w:hint="eastAsia" w:ascii="宋体" w:hAnsi="宋体" w:eastAsia="宋体" w:cs="宋体"/>
          <w:color w:val="auto"/>
          <w:kern w:val="0"/>
          <w:sz w:val="21"/>
          <w:szCs w:val="21"/>
          <w:highlight w:val="none"/>
          <w:lang w:eastAsia="zh-CN"/>
        </w:rPr>
        <w:t>不可预计</w:t>
      </w:r>
      <w:r>
        <w:rPr>
          <w:rFonts w:hint="eastAsia" w:ascii="宋体" w:hAnsi="宋体" w:eastAsia="宋体" w:cs="宋体"/>
          <w:color w:val="auto"/>
          <w:kern w:val="0"/>
          <w:sz w:val="21"/>
          <w:szCs w:val="21"/>
          <w:highlight w:val="none"/>
        </w:rPr>
        <w:t>费用。</w:t>
      </w:r>
    </w:p>
    <w:p w14:paraId="464BB1F8">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为本项目赛事提供后勤服务，服务内容包括裁判员及技术官员、参赛代表队、工作人员的住宿酒店安排，赛事期间餐饮安排，赛场、会场与酒店之间通勤车辆、领队教练员技术会议费用以及供应商为完成本项目服务组织人员劳务费等。后勤服务要求如下：</w:t>
      </w:r>
    </w:p>
    <w:p w14:paraId="23C220A4">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做好赛事服务总体思路策划。要求后勤保障组织方案科学、合理、细致，细化方案的具体措施提高可操作性；具体工作推进计划明确、任务明确。总体思路策划及各方案经采购人确认后由供应商组织实施。赛事服务期前五天出具人员住宿、餐饮的详细方案，服务期间供应商须提前一天出具人员车辆的详细方案，报采购人审核，审核通过后方可实施。</w:t>
      </w:r>
    </w:p>
    <w:p w14:paraId="3DB6846A">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项目的服务定位、服务方案、服务保障措施：从服务好赛事人员角度出发，对项目的整体统筹规划，认识深刻，定位合理；服务方案中服务流程合理、管理措施完备，管理科学、服务制度完善；服务团队齐备、组织机构健全，保密措施严格，建立完善的赛事工作</w:t>
      </w:r>
      <w:r>
        <w:rPr>
          <w:rFonts w:hint="eastAsia" w:ascii="宋体" w:hAnsi="宋体" w:eastAsia="宋体" w:cs="宋体"/>
          <w:color w:val="auto"/>
          <w:kern w:val="0"/>
          <w:sz w:val="21"/>
          <w:szCs w:val="21"/>
          <w:highlight w:val="none"/>
          <w:lang w:eastAsia="zh-CN"/>
        </w:rPr>
        <w:t>台账</w:t>
      </w:r>
      <w:r>
        <w:rPr>
          <w:rFonts w:hint="eastAsia" w:ascii="宋体" w:hAnsi="宋体" w:eastAsia="宋体" w:cs="宋体"/>
          <w:color w:val="auto"/>
          <w:kern w:val="0"/>
          <w:sz w:val="21"/>
          <w:szCs w:val="21"/>
          <w:highlight w:val="none"/>
        </w:rPr>
        <w:t>、工作信息收集、反馈等保障措施。</w:t>
      </w:r>
    </w:p>
    <w:p w14:paraId="3EE2D5AE">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③赛事供应商服务团队总人数不得少于5人，其中每个酒店和每辆大巴车须配备不少于1人的服务专员全程陪同，且中途不得随意更换，服务专员的住宿由供应商自行承担。</w:t>
      </w:r>
    </w:p>
    <w:p w14:paraId="63036C6D">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④供应商须协助采购人完成赛事其他后勤接待和保障工作。</w:t>
      </w:r>
    </w:p>
    <w:p w14:paraId="6AC0E917">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⑤在赛事结束当日，供应商须与住宿酒店协调延迟各参赛代表队的退房时间，保证参赛代表队充分准备有序返程。</w:t>
      </w:r>
    </w:p>
    <w:p w14:paraId="2C6ED38A">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⑥</w:t>
      </w:r>
      <w:r>
        <w:rPr>
          <w:rFonts w:hint="eastAsia" w:ascii="宋体" w:hAnsi="宋体" w:eastAsia="宋体" w:cs="宋体"/>
          <w:color w:val="auto"/>
          <w:kern w:val="0"/>
          <w:sz w:val="21"/>
          <w:szCs w:val="21"/>
          <w:highlight w:val="none"/>
          <w:lang w:val="en-US" w:eastAsia="zh-CN"/>
        </w:rPr>
        <w:t>参赛代表队人员正赛期间需缴纳参赛费70元/人/天</w:t>
      </w:r>
      <w:r>
        <w:rPr>
          <w:rFonts w:hint="eastAsia" w:ascii="宋体" w:hAnsi="宋体" w:cs="宋体"/>
          <w:color w:val="auto"/>
          <w:kern w:val="0"/>
          <w:sz w:val="21"/>
          <w:szCs w:val="21"/>
          <w:highlight w:val="none"/>
          <w:lang w:val="en-US" w:eastAsia="zh-CN"/>
        </w:rPr>
        <w:t>（需</w:t>
      </w:r>
      <w:r>
        <w:rPr>
          <w:rFonts w:hint="eastAsia" w:ascii="宋体" w:hAnsi="宋体" w:eastAsia="宋体" w:cs="宋体"/>
          <w:color w:val="auto"/>
          <w:kern w:val="0"/>
          <w:sz w:val="21"/>
          <w:szCs w:val="21"/>
          <w:highlight w:val="none"/>
          <w:lang w:val="en-US" w:eastAsia="zh-CN"/>
        </w:rPr>
        <w:t>开具发票</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，按照实际天数缴纳，以上金额由供应商收取，并补贴于赛事服务费中，赛事结束后由供应商与酒店协调统一开具发票。</w:t>
      </w:r>
    </w:p>
    <w:p w14:paraId="437231B5">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⑦住宿必须选择符合</w:t>
      </w:r>
      <w:r>
        <w:rPr>
          <w:rFonts w:hint="eastAsia" w:ascii="宋体" w:hAnsi="宋体" w:cs="宋体"/>
          <w:color w:val="auto"/>
          <w:kern w:val="0"/>
          <w:sz w:val="21"/>
          <w:szCs w:val="21"/>
          <w:highlight w:val="none"/>
          <w:lang w:eastAsia="zh-CN"/>
        </w:rPr>
        <w:t>省残运赛事</w:t>
      </w:r>
      <w:r>
        <w:rPr>
          <w:rFonts w:hint="eastAsia" w:ascii="宋体" w:hAnsi="宋体" w:eastAsia="宋体" w:cs="宋体"/>
          <w:color w:val="auto"/>
          <w:kern w:val="0"/>
          <w:sz w:val="21"/>
          <w:szCs w:val="21"/>
          <w:highlight w:val="none"/>
        </w:rPr>
        <w:t>遴选条件的酒店（在遴选名单中的酒店）</w:t>
      </w:r>
      <w:r>
        <w:rPr>
          <w:rFonts w:hint="eastAsia" w:ascii="宋体" w:hAnsi="宋体" w:cs="宋体"/>
          <w:color w:val="auto"/>
          <w:kern w:val="0"/>
          <w:sz w:val="21"/>
          <w:szCs w:val="21"/>
          <w:highlight w:val="none"/>
          <w:lang w:val="en-US" w:eastAsia="zh-CN"/>
        </w:rPr>
        <w:t>并经采购方考察确认</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满足无障碍需求，提供</w:t>
      </w:r>
      <w:r>
        <w:rPr>
          <w:rFonts w:hint="eastAsia" w:ascii="宋体" w:hAnsi="宋体" w:eastAsia="宋体" w:cs="宋体"/>
          <w:color w:val="auto"/>
          <w:kern w:val="0"/>
          <w:sz w:val="21"/>
          <w:szCs w:val="21"/>
          <w:highlight w:val="none"/>
          <w:lang w:val="en-US" w:eastAsia="zh-CN"/>
        </w:rPr>
        <w:t>无障碍客房，酒店公共区域、电梯、通道等无障碍设施齐全且运行正常。</w:t>
      </w:r>
      <w:r>
        <w:rPr>
          <w:rFonts w:hint="eastAsia" w:ascii="宋体" w:hAnsi="宋体" w:eastAsia="宋体" w:cs="宋体"/>
          <w:color w:val="auto"/>
          <w:kern w:val="0"/>
          <w:sz w:val="21"/>
          <w:szCs w:val="21"/>
          <w:highlight w:val="none"/>
        </w:rPr>
        <w:t>住宿标准为170元/天/人；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注：裁判长、技术官员、赛事监督单间，男女落单单间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14:paraId="424D3C5E">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⑧酒店房间必须配备标准间或1.8m以上的大床房(裁判员及技术官员须安排双床房间，部分单间安排)，含双早。</w:t>
      </w:r>
    </w:p>
    <w:p w14:paraId="29813F29">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⑨客房安排须满足同一地级市代表队入住同一酒店且标间须平均分配各地级市代表队的原则要求，所有裁判员及技术官员须安排在同一家酒店(裁判员及技术官员与运动员不得安排在同一家酒店内)。</w:t>
      </w:r>
    </w:p>
    <w:p w14:paraId="41B7CA6D">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⑩参赛代表队、裁判员及技术官员餐饮必须安排在遴选名单酒店内，参赛代表队餐费标准</w:t>
      </w:r>
      <w:r>
        <w:rPr>
          <w:rFonts w:hint="eastAsia" w:ascii="宋体" w:hAnsi="宋体" w:eastAsia="宋体" w:cs="宋体"/>
          <w:color w:val="auto"/>
          <w:kern w:val="0"/>
          <w:sz w:val="21"/>
          <w:szCs w:val="21"/>
          <w:highlight w:val="none"/>
          <w:lang w:val="en-US" w:eastAsia="zh-CN"/>
        </w:rPr>
        <w:t>60</w:t>
      </w:r>
      <w:r>
        <w:rPr>
          <w:rFonts w:hint="eastAsia" w:ascii="宋体" w:hAnsi="宋体" w:eastAsia="宋体" w:cs="宋体"/>
          <w:color w:val="auto"/>
          <w:kern w:val="0"/>
          <w:sz w:val="21"/>
          <w:szCs w:val="21"/>
          <w:highlight w:val="none"/>
        </w:rPr>
        <w:t>元/人/</w:t>
      </w:r>
      <w:r>
        <w:rPr>
          <w:rFonts w:hint="eastAsia" w:ascii="宋体" w:hAnsi="宋体" w:eastAsia="宋体" w:cs="宋体"/>
          <w:color w:val="auto"/>
          <w:kern w:val="0"/>
          <w:sz w:val="21"/>
          <w:szCs w:val="21"/>
          <w:highlight w:val="none"/>
          <w:lang w:val="en-US" w:eastAsia="zh-CN"/>
        </w:rPr>
        <w:t>餐</w:t>
      </w:r>
      <w:r>
        <w:rPr>
          <w:rFonts w:hint="eastAsia" w:ascii="宋体" w:hAnsi="宋体" w:eastAsia="宋体" w:cs="宋体"/>
          <w:color w:val="auto"/>
          <w:kern w:val="0"/>
          <w:sz w:val="21"/>
          <w:szCs w:val="21"/>
          <w:highlight w:val="none"/>
        </w:rPr>
        <w:t>，裁判员及技术官员餐费标准</w:t>
      </w:r>
      <w:r>
        <w:rPr>
          <w:rFonts w:hint="eastAsia" w:ascii="宋体" w:hAnsi="宋体" w:eastAsia="宋体" w:cs="宋体"/>
          <w:color w:val="auto"/>
          <w:kern w:val="0"/>
          <w:sz w:val="21"/>
          <w:szCs w:val="21"/>
          <w:highlight w:val="none"/>
          <w:lang w:val="en-US" w:eastAsia="zh-CN"/>
        </w:rPr>
        <w:t>60</w:t>
      </w:r>
      <w:r>
        <w:rPr>
          <w:rFonts w:hint="eastAsia" w:ascii="宋体" w:hAnsi="宋体" w:eastAsia="宋体" w:cs="宋体"/>
          <w:color w:val="auto"/>
          <w:kern w:val="0"/>
          <w:sz w:val="21"/>
          <w:szCs w:val="21"/>
          <w:highlight w:val="none"/>
        </w:rPr>
        <w:t>元/人/</w:t>
      </w:r>
      <w:r>
        <w:rPr>
          <w:rFonts w:hint="eastAsia" w:ascii="宋体" w:hAnsi="宋体" w:eastAsia="宋体" w:cs="宋体"/>
          <w:color w:val="auto"/>
          <w:kern w:val="0"/>
          <w:sz w:val="21"/>
          <w:szCs w:val="21"/>
          <w:highlight w:val="none"/>
          <w:lang w:val="en-US" w:eastAsia="zh-CN"/>
        </w:rPr>
        <w:t>餐</w:t>
      </w:r>
      <w:r>
        <w:rPr>
          <w:rFonts w:hint="eastAsia" w:ascii="宋体" w:hAnsi="宋体" w:eastAsia="宋体" w:cs="宋体"/>
          <w:color w:val="auto"/>
          <w:kern w:val="0"/>
          <w:sz w:val="21"/>
          <w:szCs w:val="21"/>
          <w:highlight w:val="none"/>
        </w:rPr>
        <w:t>，留样食品须存放留样专用设备，留样时间至少48小时。为工作人员提供盒饭的供应商，必须取得集体用餐配送资质，未取得合法资质的不得供餐。</w:t>
      </w:r>
    </w:p>
    <w:p w14:paraId="47D3FF75">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⑪每一赛事期间须按照实际参赛人数配备充足的大巴车、中巴车、无障碍公交车作为摆渡车，车辆必须有符合国家规定的运营资质。</w:t>
      </w:r>
    </w:p>
    <w:p w14:paraId="40499D21">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⑫当天比赛的运动员及随行人员，供应商须保证提前一定时间（具体时间由采购人按照赛事要求确定）送到比赛场地。</w:t>
      </w:r>
    </w:p>
    <w:p w14:paraId="1D73921B">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.完成采购人交办的安保服务</w:t>
      </w:r>
      <w:r>
        <w:rPr>
          <w:rFonts w:hint="eastAsia" w:ascii="宋体" w:hAnsi="宋体" w:eastAsia="宋体" w:cs="宋体"/>
          <w:color w:val="auto"/>
          <w:kern w:val="0"/>
          <w:sz w:val="21"/>
          <w:szCs w:val="21"/>
          <w:highlight w:val="none"/>
          <w:lang w:eastAsia="zh-CN"/>
        </w:rPr>
        <w:t>及</w:t>
      </w:r>
      <w:r>
        <w:rPr>
          <w:rFonts w:hint="eastAsia" w:ascii="宋体" w:hAnsi="宋体" w:cs="宋体"/>
          <w:color w:val="auto"/>
          <w:kern w:val="0"/>
          <w:sz w:val="21"/>
          <w:szCs w:val="21"/>
          <w:highlight w:val="none"/>
          <w:lang w:val="en-US" w:eastAsia="zh-CN"/>
        </w:rPr>
        <w:t>赛事风险评估</w:t>
      </w:r>
      <w:r>
        <w:rPr>
          <w:rFonts w:hint="eastAsia" w:ascii="宋体" w:hAnsi="宋体" w:eastAsia="宋体" w:cs="宋体"/>
          <w:color w:val="auto"/>
          <w:kern w:val="0"/>
          <w:sz w:val="21"/>
          <w:szCs w:val="21"/>
          <w:highlight w:val="none"/>
          <w:lang w:eastAsia="zh-CN"/>
        </w:rPr>
        <w:t>内容</w:t>
      </w:r>
      <w:r>
        <w:rPr>
          <w:rFonts w:hint="eastAsia" w:ascii="宋体" w:hAnsi="宋体" w:eastAsia="宋体" w:cs="宋体"/>
          <w:color w:val="auto"/>
          <w:kern w:val="0"/>
          <w:sz w:val="21"/>
          <w:szCs w:val="21"/>
          <w:highlight w:val="none"/>
        </w:rPr>
        <w:t>。</w:t>
      </w:r>
    </w:p>
    <w:p w14:paraId="44015A6D">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.服务期：自合同签订起至所有赛事活动结束，所有人员返程结束。</w:t>
      </w:r>
      <w:r>
        <w:rPr>
          <w:rFonts w:hint="eastAsia" w:ascii="宋体" w:hAnsi="宋体" w:eastAsia="宋体" w:cs="宋体"/>
          <w:color w:val="000000"/>
          <w:spacing w:val="0"/>
          <w:sz w:val="21"/>
          <w:szCs w:val="21"/>
          <w:highlight w:val="none"/>
          <w:lang w:eastAsia="zh-CN"/>
        </w:rPr>
        <w:t>但根据合同约定提前解除或终止的除外。</w:t>
      </w:r>
    </w:p>
    <w:p w14:paraId="3D77DBA6">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.完成采购人交办的其他工作任务。</w:t>
      </w:r>
    </w:p>
    <w:p w14:paraId="3380E487">
      <w:pPr>
        <w:keepNext w:val="0"/>
        <w:keepLines w:val="0"/>
        <w:pageBreakBefore w:val="0"/>
        <w:kinsoku/>
        <w:overflowPunct/>
        <w:topLinePunct w:val="0"/>
        <w:autoSpaceDE/>
        <w:autoSpaceDN/>
        <w:bidi w:val="0"/>
        <w:adjustRightInd/>
        <w:snapToGrid/>
        <w:spacing w:line="360" w:lineRule="auto"/>
        <w:ind w:firstLine="422" w:firstLineChars="200"/>
        <w:jc w:val="left"/>
        <w:rPr>
          <w:rFonts w:hint="eastAsia" w:ascii="宋体" w:hAnsi="宋体" w:eastAsia="宋体" w:cs="宋体"/>
          <w:b/>
          <w:color w:val="auto"/>
          <w:sz w:val="21"/>
          <w:szCs w:val="21"/>
          <w:highlight w:val="none"/>
        </w:rPr>
      </w:pPr>
      <w:bookmarkStart w:id="65" w:name="OLE_LINK1"/>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基本人员物料清单需求</w:t>
      </w:r>
    </w:p>
    <w:tbl>
      <w:tblPr>
        <w:tblStyle w:val="38"/>
        <w:tblW w:w="9503" w:type="dxa"/>
        <w:tblInd w:w="93" w:type="dxa"/>
        <w:tblLayout w:type="fixed"/>
        <w:tblCellMar>
          <w:top w:w="0" w:type="dxa"/>
          <w:left w:w="108" w:type="dxa"/>
          <w:bottom w:w="0" w:type="dxa"/>
          <w:right w:w="108" w:type="dxa"/>
        </w:tblCellMar>
      </w:tblPr>
      <w:tblGrid>
        <w:gridCol w:w="875"/>
        <w:gridCol w:w="1650"/>
        <w:gridCol w:w="1735"/>
        <w:gridCol w:w="765"/>
        <w:gridCol w:w="830"/>
        <w:gridCol w:w="3648"/>
      </w:tblGrid>
      <w:tr w14:paraId="1D8DE95C">
        <w:tblPrEx>
          <w:tblCellMar>
            <w:top w:w="0" w:type="dxa"/>
            <w:left w:w="108" w:type="dxa"/>
            <w:bottom w:w="0" w:type="dxa"/>
            <w:right w:w="108" w:type="dxa"/>
          </w:tblCellMar>
        </w:tblPrEx>
        <w:trPr>
          <w:trHeight w:val="740" w:hRule="atLeast"/>
        </w:trPr>
        <w:tc>
          <w:tcPr>
            <w:tcW w:w="9503" w:type="dxa"/>
            <w:gridSpan w:val="6"/>
            <w:tcBorders>
              <w:top w:val="single" w:color="000000" w:sz="4" w:space="0"/>
              <w:left w:val="single" w:color="000000" w:sz="8" w:space="0"/>
              <w:bottom w:val="single" w:color="000000" w:sz="8" w:space="0"/>
              <w:right w:val="single" w:color="000000" w:sz="8" w:space="0"/>
            </w:tcBorders>
            <w:noWrap/>
            <w:vAlign w:val="center"/>
          </w:tcPr>
          <w:p w14:paraId="4D8966B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eastAsia="zh-CN" w:bidi="ar"/>
              </w:rPr>
              <w:t>浙江省第十二届残疾人运动会盲人跳绳比赛整体赛事执行服务</w:t>
            </w:r>
            <w:r>
              <w:rPr>
                <w:rFonts w:hint="eastAsia" w:ascii="宋体" w:hAnsi="宋体" w:eastAsia="宋体" w:cs="宋体"/>
                <w:color w:val="auto"/>
                <w:kern w:val="0"/>
                <w:sz w:val="21"/>
                <w:szCs w:val="21"/>
                <w:highlight w:val="none"/>
                <w:lang w:val="en-US" w:eastAsia="zh-CN" w:bidi="ar"/>
              </w:rPr>
              <w:t>整体赛事执行</w:t>
            </w:r>
          </w:p>
          <w:p w14:paraId="212631D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赛事时间（</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月</w:t>
            </w:r>
            <w:r>
              <w:rPr>
                <w:rFonts w:hint="eastAsia" w:ascii="宋体" w:hAnsi="宋体" w:eastAsia="宋体" w:cs="宋体"/>
                <w:color w:val="auto"/>
                <w:kern w:val="0"/>
                <w:sz w:val="21"/>
                <w:szCs w:val="21"/>
                <w:highlight w:val="none"/>
                <w:lang w:val="en-US" w:eastAsia="zh-CN" w:bidi="ar"/>
              </w:rPr>
              <w:t>10日-6月13日</w:t>
            </w:r>
            <w:r>
              <w:rPr>
                <w:rFonts w:hint="eastAsia" w:ascii="宋体" w:hAnsi="宋体" w:eastAsia="宋体" w:cs="宋体"/>
                <w:color w:val="auto"/>
                <w:kern w:val="0"/>
                <w:sz w:val="21"/>
                <w:szCs w:val="21"/>
                <w:highlight w:val="none"/>
                <w:lang w:bidi="ar"/>
              </w:rPr>
              <w:t>，赛程</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天）</w:t>
            </w:r>
          </w:p>
        </w:tc>
      </w:tr>
      <w:tr w14:paraId="429C56D0">
        <w:tblPrEx>
          <w:tblCellMar>
            <w:top w:w="0" w:type="dxa"/>
            <w:left w:w="108" w:type="dxa"/>
            <w:bottom w:w="0" w:type="dxa"/>
            <w:right w:w="108" w:type="dxa"/>
          </w:tblCellMar>
        </w:tblPrEx>
        <w:trPr>
          <w:trHeight w:val="394" w:hRule="atLeast"/>
        </w:trPr>
        <w:tc>
          <w:tcPr>
            <w:tcW w:w="875" w:type="dxa"/>
            <w:tcBorders>
              <w:top w:val="single" w:color="000000" w:sz="8" w:space="0"/>
              <w:left w:val="single" w:color="000000" w:sz="8" w:space="0"/>
              <w:bottom w:val="single" w:color="000000" w:sz="8" w:space="0"/>
              <w:right w:val="single" w:color="000000" w:sz="4" w:space="0"/>
            </w:tcBorders>
            <w:noWrap w:val="0"/>
            <w:vAlign w:val="center"/>
          </w:tcPr>
          <w:p w14:paraId="352EC92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分项</w:t>
            </w:r>
          </w:p>
        </w:tc>
        <w:tc>
          <w:tcPr>
            <w:tcW w:w="1650" w:type="dxa"/>
            <w:tcBorders>
              <w:top w:val="single" w:color="000000" w:sz="8" w:space="0"/>
              <w:left w:val="single" w:color="000000" w:sz="4" w:space="0"/>
              <w:bottom w:val="single" w:color="000000" w:sz="8" w:space="0"/>
              <w:right w:val="single" w:color="000000" w:sz="4" w:space="0"/>
            </w:tcBorders>
            <w:noWrap w:val="0"/>
            <w:vAlign w:val="center"/>
          </w:tcPr>
          <w:p w14:paraId="390EA8F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类别</w:t>
            </w:r>
          </w:p>
        </w:tc>
        <w:tc>
          <w:tcPr>
            <w:tcW w:w="1735" w:type="dxa"/>
            <w:tcBorders>
              <w:top w:val="single" w:color="000000" w:sz="8" w:space="0"/>
              <w:left w:val="single" w:color="000000" w:sz="4" w:space="0"/>
              <w:bottom w:val="single" w:color="000000" w:sz="8" w:space="0"/>
              <w:right w:val="single" w:color="000000" w:sz="4" w:space="0"/>
            </w:tcBorders>
            <w:noWrap w:val="0"/>
            <w:vAlign w:val="center"/>
          </w:tcPr>
          <w:p w14:paraId="28EFCF6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费用项目</w:t>
            </w:r>
          </w:p>
        </w:tc>
        <w:tc>
          <w:tcPr>
            <w:tcW w:w="765" w:type="dxa"/>
            <w:tcBorders>
              <w:top w:val="single" w:color="000000" w:sz="8" w:space="0"/>
              <w:left w:val="single" w:color="000000" w:sz="4" w:space="0"/>
              <w:bottom w:val="single" w:color="000000" w:sz="8" w:space="0"/>
              <w:right w:val="single" w:color="000000" w:sz="4" w:space="0"/>
            </w:tcBorders>
            <w:noWrap w:val="0"/>
            <w:vAlign w:val="center"/>
          </w:tcPr>
          <w:p w14:paraId="162DD78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人数</w:t>
            </w:r>
          </w:p>
        </w:tc>
        <w:tc>
          <w:tcPr>
            <w:tcW w:w="830" w:type="dxa"/>
            <w:tcBorders>
              <w:top w:val="single" w:color="000000" w:sz="8" w:space="0"/>
              <w:left w:val="single" w:color="000000" w:sz="4" w:space="0"/>
              <w:bottom w:val="single" w:color="000000" w:sz="8" w:space="0"/>
              <w:right w:val="single" w:color="000000" w:sz="4" w:space="0"/>
            </w:tcBorders>
            <w:noWrap w:val="0"/>
            <w:vAlign w:val="center"/>
          </w:tcPr>
          <w:p w14:paraId="6FB91B7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天数</w:t>
            </w:r>
          </w:p>
        </w:tc>
        <w:tc>
          <w:tcPr>
            <w:tcW w:w="3648" w:type="dxa"/>
            <w:tcBorders>
              <w:top w:val="single" w:color="000000" w:sz="8" w:space="0"/>
              <w:left w:val="single" w:color="000000" w:sz="4" w:space="0"/>
              <w:bottom w:val="single" w:color="000000" w:sz="8" w:space="0"/>
              <w:right w:val="single" w:color="000000" w:sz="8" w:space="0"/>
            </w:tcBorders>
            <w:noWrap w:val="0"/>
            <w:vAlign w:val="center"/>
          </w:tcPr>
          <w:p w14:paraId="712190A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说明</w:t>
            </w:r>
          </w:p>
        </w:tc>
      </w:tr>
      <w:tr w14:paraId="5F10B553">
        <w:tblPrEx>
          <w:tblCellMar>
            <w:top w:w="0" w:type="dxa"/>
            <w:left w:w="108" w:type="dxa"/>
            <w:bottom w:w="0" w:type="dxa"/>
            <w:right w:w="108" w:type="dxa"/>
          </w:tblCellMar>
        </w:tblPrEx>
        <w:trPr>
          <w:trHeight w:val="260" w:hRule="atLeast"/>
        </w:trPr>
        <w:tc>
          <w:tcPr>
            <w:tcW w:w="875" w:type="dxa"/>
            <w:vMerge w:val="restart"/>
            <w:tcBorders>
              <w:top w:val="single" w:color="000000" w:sz="8" w:space="0"/>
              <w:left w:val="single" w:color="000000" w:sz="8" w:space="0"/>
              <w:bottom w:val="single" w:color="000000" w:sz="8" w:space="0"/>
              <w:right w:val="single" w:color="000000" w:sz="4" w:space="0"/>
            </w:tcBorders>
            <w:noWrap w:val="0"/>
            <w:vAlign w:val="center"/>
          </w:tcPr>
          <w:p w14:paraId="34B9B43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住宿费</w:t>
            </w:r>
          </w:p>
        </w:tc>
        <w:tc>
          <w:tcPr>
            <w:tcW w:w="1650" w:type="dxa"/>
            <w:tcBorders>
              <w:top w:val="single" w:color="000000" w:sz="8" w:space="0"/>
              <w:left w:val="single" w:color="000000" w:sz="4" w:space="0"/>
              <w:bottom w:val="single" w:color="000000" w:sz="8" w:space="0"/>
              <w:right w:val="single" w:color="000000" w:sz="4" w:space="0"/>
            </w:tcBorders>
            <w:noWrap w:val="0"/>
            <w:vAlign w:val="center"/>
          </w:tcPr>
          <w:p w14:paraId="1D8F4AE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裁判员</w:t>
            </w:r>
          </w:p>
        </w:tc>
        <w:tc>
          <w:tcPr>
            <w:tcW w:w="1735" w:type="dxa"/>
            <w:tcBorders>
              <w:top w:val="single" w:color="000000" w:sz="8" w:space="0"/>
              <w:left w:val="single" w:color="000000" w:sz="4" w:space="0"/>
              <w:bottom w:val="single" w:color="000000" w:sz="8" w:space="0"/>
              <w:right w:val="single" w:color="000000" w:sz="4" w:space="0"/>
            </w:tcBorders>
            <w:noWrap w:val="0"/>
            <w:vAlign w:val="center"/>
          </w:tcPr>
          <w:p w14:paraId="5854570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酒店</w:t>
            </w:r>
          </w:p>
        </w:tc>
        <w:tc>
          <w:tcPr>
            <w:tcW w:w="765" w:type="dxa"/>
            <w:tcBorders>
              <w:top w:val="single" w:color="000000" w:sz="8" w:space="0"/>
              <w:left w:val="single" w:color="000000" w:sz="4" w:space="0"/>
              <w:bottom w:val="single" w:color="000000" w:sz="8" w:space="0"/>
              <w:right w:val="single" w:color="000000" w:sz="4" w:space="0"/>
            </w:tcBorders>
            <w:noWrap w:val="0"/>
            <w:vAlign w:val="center"/>
          </w:tcPr>
          <w:p w14:paraId="5F983FF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p>
        </w:tc>
        <w:tc>
          <w:tcPr>
            <w:tcW w:w="830" w:type="dxa"/>
            <w:tcBorders>
              <w:top w:val="single" w:color="000000" w:sz="8" w:space="0"/>
              <w:left w:val="single" w:color="000000" w:sz="4" w:space="0"/>
              <w:bottom w:val="single" w:color="000000" w:sz="8" w:space="0"/>
              <w:right w:val="single" w:color="000000" w:sz="4" w:space="0"/>
            </w:tcBorders>
            <w:noWrap w:val="0"/>
            <w:vAlign w:val="center"/>
          </w:tcPr>
          <w:p w14:paraId="6D46058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4</w:t>
            </w:r>
          </w:p>
        </w:tc>
        <w:tc>
          <w:tcPr>
            <w:tcW w:w="3648" w:type="dxa"/>
            <w:tcBorders>
              <w:top w:val="single" w:color="000000" w:sz="8" w:space="0"/>
              <w:left w:val="single" w:color="000000" w:sz="4" w:space="0"/>
              <w:bottom w:val="single" w:color="000000" w:sz="8" w:space="0"/>
              <w:right w:val="single" w:color="000000" w:sz="8" w:space="0"/>
            </w:tcBorders>
            <w:noWrap w:val="0"/>
            <w:vAlign w:val="center"/>
          </w:tcPr>
          <w:p w14:paraId="7D318CC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val="en-US" w:eastAsia="zh-CN"/>
              </w:rPr>
            </w:pPr>
          </w:p>
        </w:tc>
      </w:tr>
      <w:tr w14:paraId="561D64D0">
        <w:tblPrEx>
          <w:tblCellMar>
            <w:top w:w="0" w:type="dxa"/>
            <w:left w:w="108" w:type="dxa"/>
            <w:bottom w:w="0" w:type="dxa"/>
            <w:right w:w="108" w:type="dxa"/>
          </w:tblCellMar>
        </w:tblPrEx>
        <w:trPr>
          <w:trHeight w:val="462" w:hRule="atLeast"/>
        </w:trPr>
        <w:tc>
          <w:tcPr>
            <w:tcW w:w="875" w:type="dxa"/>
            <w:vMerge w:val="continue"/>
            <w:tcBorders>
              <w:top w:val="single" w:color="000000" w:sz="8" w:space="0"/>
              <w:left w:val="single" w:color="000000" w:sz="8" w:space="0"/>
              <w:bottom w:val="single" w:color="000000" w:sz="8" w:space="0"/>
              <w:right w:val="single" w:color="000000" w:sz="4" w:space="0"/>
            </w:tcBorders>
            <w:noWrap w:val="0"/>
            <w:vAlign w:val="center"/>
          </w:tcPr>
          <w:p w14:paraId="20B3F9B0">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0" w:type="dxa"/>
            <w:tcBorders>
              <w:top w:val="single" w:color="000000" w:sz="8" w:space="0"/>
              <w:left w:val="single" w:color="000000" w:sz="4" w:space="0"/>
              <w:bottom w:val="single" w:color="000000" w:sz="8" w:space="0"/>
              <w:right w:val="single" w:color="000000" w:sz="4" w:space="0"/>
            </w:tcBorders>
            <w:noWrap w:val="0"/>
            <w:vAlign w:val="center"/>
          </w:tcPr>
          <w:p w14:paraId="545AEBF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各市代表队</w:t>
            </w:r>
          </w:p>
        </w:tc>
        <w:tc>
          <w:tcPr>
            <w:tcW w:w="1735" w:type="dxa"/>
            <w:tcBorders>
              <w:top w:val="single" w:color="000000" w:sz="8" w:space="0"/>
              <w:left w:val="single" w:color="000000" w:sz="4" w:space="0"/>
              <w:bottom w:val="single" w:color="000000" w:sz="8" w:space="0"/>
              <w:right w:val="single" w:color="000000" w:sz="4" w:space="0"/>
            </w:tcBorders>
            <w:noWrap w:val="0"/>
            <w:vAlign w:val="center"/>
          </w:tcPr>
          <w:p w14:paraId="4F87057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酒店</w:t>
            </w:r>
          </w:p>
        </w:tc>
        <w:tc>
          <w:tcPr>
            <w:tcW w:w="765" w:type="dxa"/>
            <w:tcBorders>
              <w:top w:val="single" w:color="000000" w:sz="8" w:space="0"/>
              <w:left w:val="single" w:color="000000" w:sz="4" w:space="0"/>
              <w:bottom w:val="single" w:color="000000" w:sz="8" w:space="0"/>
              <w:right w:val="single" w:color="000000" w:sz="4" w:space="0"/>
            </w:tcBorders>
            <w:noWrap w:val="0"/>
            <w:vAlign w:val="center"/>
          </w:tcPr>
          <w:p w14:paraId="17A08AD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242</w:t>
            </w:r>
          </w:p>
        </w:tc>
        <w:tc>
          <w:tcPr>
            <w:tcW w:w="830" w:type="dxa"/>
            <w:tcBorders>
              <w:top w:val="single" w:color="000000" w:sz="8" w:space="0"/>
              <w:left w:val="single" w:color="000000" w:sz="4" w:space="0"/>
              <w:bottom w:val="single" w:color="000000" w:sz="8" w:space="0"/>
              <w:right w:val="single" w:color="000000" w:sz="4" w:space="0"/>
            </w:tcBorders>
            <w:noWrap w:val="0"/>
            <w:vAlign w:val="center"/>
          </w:tcPr>
          <w:p w14:paraId="3004ADC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3</w:t>
            </w:r>
          </w:p>
        </w:tc>
        <w:tc>
          <w:tcPr>
            <w:tcW w:w="3648" w:type="dxa"/>
            <w:tcBorders>
              <w:top w:val="single" w:color="000000" w:sz="8" w:space="0"/>
              <w:left w:val="single" w:color="000000" w:sz="4" w:space="0"/>
              <w:bottom w:val="single" w:color="000000" w:sz="8" w:space="0"/>
              <w:right w:val="single" w:color="000000" w:sz="8" w:space="0"/>
            </w:tcBorders>
            <w:noWrap w:val="0"/>
            <w:vAlign w:val="center"/>
          </w:tcPr>
          <w:p w14:paraId="4BA6414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p>
        </w:tc>
      </w:tr>
      <w:tr w14:paraId="1E94EA8E">
        <w:tblPrEx>
          <w:tblCellMar>
            <w:top w:w="0" w:type="dxa"/>
            <w:left w:w="108" w:type="dxa"/>
            <w:bottom w:w="0" w:type="dxa"/>
            <w:right w:w="108" w:type="dxa"/>
          </w:tblCellMar>
        </w:tblPrEx>
        <w:trPr>
          <w:trHeight w:val="260" w:hRule="atLeast"/>
        </w:trPr>
        <w:tc>
          <w:tcPr>
            <w:tcW w:w="875" w:type="dxa"/>
            <w:vMerge w:val="restart"/>
            <w:tcBorders>
              <w:top w:val="single" w:color="000000" w:sz="8" w:space="0"/>
              <w:left w:val="single" w:color="000000" w:sz="8" w:space="0"/>
              <w:bottom w:val="single" w:color="000000" w:sz="8" w:space="0"/>
              <w:right w:val="single" w:color="auto" w:sz="4" w:space="0"/>
            </w:tcBorders>
            <w:noWrap w:val="0"/>
            <w:vAlign w:val="center"/>
          </w:tcPr>
          <w:p w14:paraId="109FBFE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餐饮</w:t>
            </w:r>
          </w:p>
        </w:tc>
        <w:tc>
          <w:tcPr>
            <w:tcW w:w="1650" w:type="dxa"/>
            <w:tcBorders>
              <w:top w:val="single" w:color="000000" w:sz="8" w:space="0"/>
              <w:left w:val="single" w:color="auto" w:sz="4" w:space="0"/>
              <w:bottom w:val="single" w:color="000000" w:sz="8" w:space="0"/>
              <w:right w:val="single" w:color="auto" w:sz="4" w:space="0"/>
            </w:tcBorders>
            <w:noWrap w:val="0"/>
            <w:vAlign w:val="center"/>
          </w:tcPr>
          <w:p w14:paraId="7BBC02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1735" w:type="dxa"/>
            <w:tcBorders>
              <w:top w:val="single" w:color="000000" w:sz="8" w:space="0"/>
              <w:left w:val="single" w:color="auto" w:sz="4" w:space="0"/>
              <w:bottom w:val="single" w:color="000000" w:sz="8" w:space="0"/>
              <w:right w:val="single" w:color="000000" w:sz="4" w:space="0"/>
            </w:tcBorders>
            <w:noWrap w:val="0"/>
            <w:vAlign w:val="center"/>
          </w:tcPr>
          <w:p w14:paraId="5767781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费用项目</w:t>
            </w:r>
          </w:p>
        </w:tc>
        <w:tc>
          <w:tcPr>
            <w:tcW w:w="765" w:type="dxa"/>
            <w:tcBorders>
              <w:top w:val="single" w:color="000000" w:sz="8" w:space="0"/>
              <w:left w:val="single" w:color="000000" w:sz="4" w:space="0"/>
              <w:bottom w:val="single" w:color="000000" w:sz="8" w:space="0"/>
              <w:right w:val="single" w:color="000000" w:sz="4" w:space="0"/>
            </w:tcBorders>
            <w:noWrap w:val="0"/>
            <w:vAlign w:val="center"/>
          </w:tcPr>
          <w:p w14:paraId="20F674E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人数</w:t>
            </w:r>
          </w:p>
        </w:tc>
        <w:tc>
          <w:tcPr>
            <w:tcW w:w="830" w:type="dxa"/>
            <w:tcBorders>
              <w:top w:val="single" w:color="000000" w:sz="8" w:space="0"/>
              <w:left w:val="single" w:color="000000" w:sz="4" w:space="0"/>
              <w:bottom w:val="single" w:color="000000" w:sz="8" w:space="0"/>
              <w:right w:val="single" w:color="000000" w:sz="4" w:space="0"/>
            </w:tcBorders>
            <w:noWrap w:val="0"/>
            <w:vAlign w:val="center"/>
          </w:tcPr>
          <w:p w14:paraId="42B49A7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天数</w:t>
            </w:r>
          </w:p>
        </w:tc>
        <w:tc>
          <w:tcPr>
            <w:tcW w:w="3648" w:type="dxa"/>
            <w:tcBorders>
              <w:top w:val="single" w:color="000000" w:sz="8" w:space="0"/>
              <w:left w:val="single" w:color="000000" w:sz="4" w:space="0"/>
              <w:bottom w:val="single" w:color="000000" w:sz="8" w:space="0"/>
              <w:right w:val="single" w:color="000000" w:sz="8" w:space="0"/>
            </w:tcBorders>
            <w:noWrap w:val="0"/>
            <w:vAlign w:val="center"/>
          </w:tcPr>
          <w:p w14:paraId="39084ABC">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2BE0313">
        <w:tblPrEx>
          <w:tblCellMar>
            <w:top w:w="0" w:type="dxa"/>
            <w:left w:w="108" w:type="dxa"/>
            <w:bottom w:w="0" w:type="dxa"/>
            <w:right w:w="108" w:type="dxa"/>
          </w:tblCellMar>
        </w:tblPrEx>
        <w:trPr>
          <w:trHeight w:val="260" w:hRule="atLeast"/>
        </w:trPr>
        <w:tc>
          <w:tcPr>
            <w:tcW w:w="875" w:type="dxa"/>
            <w:vMerge w:val="continue"/>
            <w:tcBorders>
              <w:top w:val="single" w:color="000000" w:sz="8" w:space="0"/>
              <w:left w:val="single" w:color="000000" w:sz="8" w:space="0"/>
              <w:bottom w:val="single" w:color="000000" w:sz="8" w:space="0"/>
              <w:right w:val="single" w:color="auto" w:sz="4" w:space="0"/>
            </w:tcBorders>
            <w:noWrap w:val="0"/>
            <w:vAlign w:val="center"/>
          </w:tcPr>
          <w:p w14:paraId="6E1D9F6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p>
        </w:tc>
        <w:tc>
          <w:tcPr>
            <w:tcW w:w="1650" w:type="dxa"/>
            <w:tcBorders>
              <w:top w:val="single" w:color="000000" w:sz="8" w:space="0"/>
              <w:left w:val="single" w:color="auto" w:sz="4" w:space="0"/>
              <w:bottom w:val="single" w:color="000000" w:sz="8" w:space="0"/>
              <w:right w:val="single" w:color="auto" w:sz="4" w:space="0"/>
            </w:tcBorders>
            <w:noWrap w:val="0"/>
            <w:vAlign w:val="center"/>
          </w:tcPr>
          <w:p w14:paraId="00C00F4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裁判</w:t>
            </w:r>
          </w:p>
        </w:tc>
        <w:tc>
          <w:tcPr>
            <w:tcW w:w="1735" w:type="dxa"/>
            <w:tcBorders>
              <w:top w:val="single" w:color="000000" w:sz="8" w:space="0"/>
              <w:left w:val="single" w:color="auto" w:sz="4" w:space="0"/>
              <w:bottom w:val="single" w:color="000000" w:sz="8" w:space="0"/>
              <w:right w:val="single" w:color="000000" w:sz="4" w:space="0"/>
            </w:tcBorders>
            <w:noWrap w:val="0"/>
            <w:vAlign w:val="center"/>
          </w:tcPr>
          <w:p w14:paraId="6B576FF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酒店</w:t>
            </w:r>
          </w:p>
        </w:tc>
        <w:tc>
          <w:tcPr>
            <w:tcW w:w="765" w:type="dxa"/>
            <w:tcBorders>
              <w:top w:val="single" w:color="000000" w:sz="8" w:space="0"/>
              <w:left w:val="single" w:color="000000" w:sz="4" w:space="0"/>
              <w:bottom w:val="single" w:color="000000" w:sz="8" w:space="0"/>
              <w:right w:val="single" w:color="000000" w:sz="4" w:space="0"/>
            </w:tcBorders>
            <w:noWrap w:val="0"/>
            <w:vAlign w:val="center"/>
          </w:tcPr>
          <w:p w14:paraId="0ACA3F1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35</w:t>
            </w:r>
          </w:p>
        </w:tc>
        <w:tc>
          <w:tcPr>
            <w:tcW w:w="830" w:type="dxa"/>
            <w:tcBorders>
              <w:top w:val="single" w:color="000000" w:sz="8" w:space="0"/>
              <w:left w:val="single" w:color="000000" w:sz="4" w:space="0"/>
              <w:bottom w:val="single" w:color="000000" w:sz="8" w:space="0"/>
              <w:right w:val="single" w:color="000000" w:sz="4" w:space="0"/>
            </w:tcBorders>
            <w:noWrap w:val="0"/>
            <w:vAlign w:val="center"/>
          </w:tcPr>
          <w:p w14:paraId="4AF5689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3648" w:type="dxa"/>
            <w:tcBorders>
              <w:top w:val="single" w:color="000000" w:sz="8" w:space="0"/>
              <w:left w:val="single" w:color="000000" w:sz="4" w:space="0"/>
              <w:bottom w:val="single" w:color="000000" w:sz="8" w:space="0"/>
              <w:right w:val="single" w:color="000000" w:sz="8" w:space="0"/>
            </w:tcBorders>
            <w:noWrap w:val="0"/>
            <w:vAlign w:val="center"/>
          </w:tcPr>
          <w:p w14:paraId="1C6C16B1">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9餐，</w:t>
            </w:r>
            <w:r>
              <w:rPr>
                <w:rFonts w:hint="eastAsia" w:ascii="宋体" w:hAnsi="宋体" w:eastAsia="宋体" w:cs="宋体"/>
                <w:color w:val="auto"/>
                <w:kern w:val="0"/>
                <w:sz w:val="21"/>
                <w:szCs w:val="21"/>
                <w:highlight w:val="none"/>
                <w:lang w:val="en-US" w:eastAsia="zh-CN"/>
              </w:rPr>
              <w:t>60</w:t>
            </w:r>
            <w:r>
              <w:rPr>
                <w:rFonts w:hint="eastAsia" w:ascii="宋体" w:hAnsi="宋体" w:eastAsia="宋体" w:cs="宋体"/>
                <w:color w:val="auto"/>
                <w:kern w:val="0"/>
                <w:sz w:val="21"/>
                <w:szCs w:val="21"/>
                <w:highlight w:val="none"/>
              </w:rPr>
              <w:t>元/人/</w:t>
            </w:r>
            <w:r>
              <w:rPr>
                <w:rFonts w:hint="eastAsia" w:ascii="宋体" w:hAnsi="宋体" w:eastAsia="宋体" w:cs="宋体"/>
                <w:color w:val="auto"/>
                <w:kern w:val="0"/>
                <w:sz w:val="21"/>
                <w:szCs w:val="21"/>
                <w:highlight w:val="none"/>
                <w:lang w:val="en-US" w:eastAsia="zh-CN"/>
              </w:rPr>
              <w:t>餐</w:t>
            </w:r>
          </w:p>
        </w:tc>
      </w:tr>
      <w:tr w14:paraId="3D5E42A6">
        <w:tblPrEx>
          <w:tblCellMar>
            <w:top w:w="0" w:type="dxa"/>
            <w:left w:w="108" w:type="dxa"/>
            <w:bottom w:w="0" w:type="dxa"/>
            <w:right w:w="108" w:type="dxa"/>
          </w:tblCellMar>
        </w:tblPrEx>
        <w:trPr>
          <w:trHeight w:val="260" w:hRule="atLeast"/>
        </w:trPr>
        <w:tc>
          <w:tcPr>
            <w:tcW w:w="875" w:type="dxa"/>
            <w:vMerge w:val="continue"/>
            <w:tcBorders>
              <w:top w:val="single" w:color="000000" w:sz="8" w:space="0"/>
              <w:left w:val="single" w:color="000000" w:sz="8" w:space="0"/>
              <w:bottom w:val="single" w:color="000000" w:sz="8" w:space="0"/>
              <w:right w:val="single" w:color="000000" w:sz="4" w:space="0"/>
            </w:tcBorders>
            <w:noWrap w:val="0"/>
            <w:vAlign w:val="center"/>
          </w:tcPr>
          <w:p w14:paraId="2927D8FF">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0" w:type="dxa"/>
            <w:tcBorders>
              <w:top w:val="single" w:color="000000" w:sz="8" w:space="0"/>
              <w:left w:val="single" w:color="000000" w:sz="4" w:space="0"/>
              <w:bottom w:val="single" w:color="000000" w:sz="8" w:space="0"/>
              <w:right w:val="single" w:color="auto" w:sz="4" w:space="0"/>
            </w:tcBorders>
            <w:noWrap w:val="0"/>
            <w:vAlign w:val="center"/>
          </w:tcPr>
          <w:p w14:paraId="314AB39E">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各市代表队</w:t>
            </w:r>
          </w:p>
        </w:tc>
        <w:tc>
          <w:tcPr>
            <w:tcW w:w="1735" w:type="dxa"/>
            <w:tcBorders>
              <w:top w:val="single" w:color="000000" w:sz="8" w:space="0"/>
              <w:left w:val="single" w:color="auto" w:sz="4" w:space="0"/>
              <w:bottom w:val="single" w:color="000000" w:sz="8" w:space="0"/>
              <w:right w:val="single" w:color="000000" w:sz="4" w:space="0"/>
            </w:tcBorders>
            <w:noWrap w:val="0"/>
            <w:vAlign w:val="center"/>
          </w:tcPr>
          <w:p w14:paraId="20848EF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酒店</w:t>
            </w:r>
          </w:p>
        </w:tc>
        <w:tc>
          <w:tcPr>
            <w:tcW w:w="765" w:type="dxa"/>
            <w:tcBorders>
              <w:top w:val="single" w:color="000000" w:sz="8" w:space="0"/>
              <w:left w:val="single" w:color="000000" w:sz="4" w:space="0"/>
              <w:bottom w:val="single" w:color="000000" w:sz="8" w:space="0"/>
              <w:right w:val="single" w:color="000000" w:sz="4" w:space="0"/>
            </w:tcBorders>
            <w:noWrap w:val="0"/>
            <w:vAlign w:val="center"/>
          </w:tcPr>
          <w:p w14:paraId="6C1D5CB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242</w:t>
            </w:r>
          </w:p>
        </w:tc>
        <w:tc>
          <w:tcPr>
            <w:tcW w:w="830" w:type="dxa"/>
            <w:tcBorders>
              <w:top w:val="single" w:color="000000" w:sz="8" w:space="0"/>
              <w:left w:val="single" w:color="000000" w:sz="4" w:space="0"/>
              <w:bottom w:val="single" w:color="000000" w:sz="8" w:space="0"/>
              <w:right w:val="single" w:color="000000" w:sz="4" w:space="0"/>
            </w:tcBorders>
            <w:noWrap w:val="0"/>
            <w:vAlign w:val="center"/>
          </w:tcPr>
          <w:p w14:paraId="642C302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4</w:t>
            </w:r>
          </w:p>
        </w:tc>
        <w:tc>
          <w:tcPr>
            <w:tcW w:w="3648" w:type="dxa"/>
            <w:tcBorders>
              <w:top w:val="single" w:color="000000" w:sz="8" w:space="0"/>
              <w:left w:val="single" w:color="000000" w:sz="4" w:space="0"/>
              <w:bottom w:val="single" w:color="000000" w:sz="8" w:space="0"/>
              <w:right w:val="single" w:color="000000" w:sz="8" w:space="0"/>
            </w:tcBorders>
            <w:noWrap w:val="0"/>
            <w:vAlign w:val="center"/>
          </w:tcPr>
          <w:p w14:paraId="0E13CCD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7餐，</w:t>
            </w:r>
            <w:r>
              <w:rPr>
                <w:rFonts w:hint="eastAsia" w:ascii="宋体" w:hAnsi="宋体" w:eastAsia="宋体" w:cs="宋体"/>
                <w:color w:val="auto"/>
                <w:kern w:val="0"/>
                <w:sz w:val="21"/>
                <w:szCs w:val="21"/>
                <w:highlight w:val="none"/>
                <w:lang w:val="en-US" w:eastAsia="zh-CN"/>
              </w:rPr>
              <w:t>60</w:t>
            </w:r>
            <w:r>
              <w:rPr>
                <w:rFonts w:hint="eastAsia" w:ascii="宋体" w:hAnsi="宋体" w:eastAsia="宋体" w:cs="宋体"/>
                <w:color w:val="auto"/>
                <w:kern w:val="0"/>
                <w:sz w:val="21"/>
                <w:szCs w:val="21"/>
                <w:highlight w:val="none"/>
              </w:rPr>
              <w:t>元/人/</w:t>
            </w:r>
            <w:r>
              <w:rPr>
                <w:rFonts w:hint="eastAsia" w:ascii="宋体" w:hAnsi="宋体" w:eastAsia="宋体" w:cs="宋体"/>
                <w:color w:val="auto"/>
                <w:kern w:val="0"/>
                <w:sz w:val="21"/>
                <w:szCs w:val="21"/>
                <w:highlight w:val="none"/>
                <w:lang w:val="en-US" w:eastAsia="zh-CN"/>
              </w:rPr>
              <w:t>餐</w:t>
            </w:r>
          </w:p>
        </w:tc>
      </w:tr>
      <w:tr w14:paraId="1917B5D3">
        <w:tblPrEx>
          <w:tblCellMar>
            <w:top w:w="0" w:type="dxa"/>
            <w:left w:w="108" w:type="dxa"/>
            <w:bottom w:w="0" w:type="dxa"/>
            <w:right w:w="108" w:type="dxa"/>
          </w:tblCellMar>
        </w:tblPrEx>
        <w:trPr>
          <w:trHeight w:val="260" w:hRule="atLeast"/>
        </w:trPr>
        <w:tc>
          <w:tcPr>
            <w:tcW w:w="875" w:type="dxa"/>
            <w:vMerge w:val="continue"/>
            <w:tcBorders>
              <w:top w:val="single" w:color="000000" w:sz="8" w:space="0"/>
              <w:left w:val="single" w:color="000000" w:sz="8" w:space="0"/>
              <w:bottom w:val="single" w:color="000000" w:sz="8" w:space="0"/>
              <w:right w:val="single" w:color="000000" w:sz="4" w:space="0"/>
            </w:tcBorders>
            <w:noWrap w:val="0"/>
            <w:vAlign w:val="center"/>
          </w:tcPr>
          <w:p w14:paraId="764C6B5E">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0" w:type="dxa"/>
            <w:tcBorders>
              <w:top w:val="single" w:color="000000" w:sz="8" w:space="0"/>
              <w:left w:val="single" w:color="000000" w:sz="4" w:space="0"/>
              <w:bottom w:val="single" w:color="000000" w:sz="8" w:space="0"/>
              <w:right w:val="single" w:color="000000" w:sz="4" w:space="0"/>
            </w:tcBorders>
            <w:noWrap w:val="0"/>
            <w:vAlign w:val="center"/>
          </w:tcPr>
          <w:p w14:paraId="5027EBB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工作人员工作餐</w:t>
            </w:r>
          </w:p>
        </w:tc>
        <w:tc>
          <w:tcPr>
            <w:tcW w:w="1735" w:type="dxa"/>
            <w:tcBorders>
              <w:top w:val="single" w:color="000000" w:sz="8" w:space="0"/>
              <w:left w:val="single" w:color="000000" w:sz="4" w:space="0"/>
              <w:bottom w:val="single" w:color="000000" w:sz="8" w:space="0"/>
              <w:right w:val="single" w:color="000000" w:sz="4" w:space="0"/>
            </w:tcBorders>
            <w:noWrap w:val="0"/>
            <w:vAlign w:val="center"/>
          </w:tcPr>
          <w:p w14:paraId="480A7CD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快餐</w:t>
            </w:r>
          </w:p>
        </w:tc>
        <w:tc>
          <w:tcPr>
            <w:tcW w:w="765" w:type="dxa"/>
            <w:tcBorders>
              <w:top w:val="single" w:color="000000" w:sz="8" w:space="0"/>
              <w:left w:val="single" w:color="000000" w:sz="4" w:space="0"/>
              <w:bottom w:val="single" w:color="000000" w:sz="8" w:space="0"/>
              <w:right w:val="single" w:color="000000" w:sz="4" w:space="0"/>
            </w:tcBorders>
            <w:noWrap w:val="0"/>
            <w:vAlign w:val="center"/>
          </w:tcPr>
          <w:p w14:paraId="538BE52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w:t>
            </w:r>
          </w:p>
        </w:tc>
        <w:tc>
          <w:tcPr>
            <w:tcW w:w="830" w:type="dxa"/>
            <w:tcBorders>
              <w:top w:val="single" w:color="000000" w:sz="8" w:space="0"/>
              <w:left w:val="single" w:color="000000" w:sz="4" w:space="0"/>
              <w:bottom w:val="single" w:color="000000" w:sz="8" w:space="0"/>
              <w:right w:val="single" w:color="000000" w:sz="4" w:space="0"/>
            </w:tcBorders>
            <w:noWrap w:val="0"/>
            <w:vAlign w:val="center"/>
          </w:tcPr>
          <w:p w14:paraId="6C30F90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3648" w:type="dxa"/>
            <w:tcBorders>
              <w:top w:val="single" w:color="000000" w:sz="8" w:space="0"/>
              <w:left w:val="single" w:color="000000" w:sz="4" w:space="0"/>
              <w:bottom w:val="single" w:color="000000" w:sz="8" w:space="0"/>
              <w:right w:val="single" w:color="000000" w:sz="8" w:space="0"/>
            </w:tcBorders>
            <w:noWrap w:val="0"/>
            <w:vAlign w:val="center"/>
          </w:tcPr>
          <w:p w14:paraId="312A0D2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7餐，</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元/人/</w:t>
            </w:r>
            <w:r>
              <w:rPr>
                <w:rFonts w:hint="eastAsia" w:ascii="宋体" w:hAnsi="宋体" w:eastAsia="宋体" w:cs="宋体"/>
                <w:color w:val="auto"/>
                <w:kern w:val="0"/>
                <w:sz w:val="21"/>
                <w:szCs w:val="21"/>
                <w:highlight w:val="none"/>
                <w:lang w:val="en-US" w:eastAsia="zh-CN"/>
              </w:rPr>
              <w:t>餐</w:t>
            </w:r>
            <w:r>
              <w:rPr>
                <w:rFonts w:hint="eastAsia" w:ascii="宋体" w:hAnsi="宋体" w:cs="宋体"/>
                <w:color w:val="auto"/>
                <w:kern w:val="0"/>
                <w:sz w:val="21"/>
                <w:szCs w:val="21"/>
                <w:highlight w:val="none"/>
                <w:lang w:val="en-US" w:eastAsia="zh-CN"/>
              </w:rPr>
              <w:t>（志愿者、安保、医护、记者等工作人员）</w:t>
            </w:r>
          </w:p>
        </w:tc>
      </w:tr>
      <w:tr w14:paraId="3261B70D">
        <w:tblPrEx>
          <w:tblCellMar>
            <w:top w:w="0" w:type="dxa"/>
            <w:left w:w="108" w:type="dxa"/>
            <w:bottom w:w="0" w:type="dxa"/>
            <w:right w:w="108" w:type="dxa"/>
          </w:tblCellMar>
        </w:tblPrEx>
        <w:trPr>
          <w:trHeight w:val="90" w:hRule="atLeast"/>
        </w:trPr>
        <w:tc>
          <w:tcPr>
            <w:tcW w:w="875" w:type="dxa"/>
            <w:vMerge w:val="continue"/>
            <w:tcBorders>
              <w:top w:val="single" w:color="000000" w:sz="8" w:space="0"/>
              <w:left w:val="single" w:color="000000" w:sz="8" w:space="0"/>
              <w:bottom w:val="single" w:color="000000" w:sz="8" w:space="0"/>
              <w:right w:val="single" w:color="000000" w:sz="4" w:space="0"/>
            </w:tcBorders>
            <w:noWrap w:val="0"/>
            <w:vAlign w:val="center"/>
          </w:tcPr>
          <w:p w14:paraId="2C61C6CA">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0" w:type="dxa"/>
            <w:tcBorders>
              <w:top w:val="single" w:color="000000" w:sz="8" w:space="0"/>
              <w:left w:val="single" w:color="000000" w:sz="4" w:space="0"/>
              <w:bottom w:val="single" w:color="000000" w:sz="8" w:space="0"/>
              <w:right w:val="single" w:color="000000" w:sz="4" w:space="0"/>
            </w:tcBorders>
            <w:noWrap w:val="0"/>
            <w:vAlign w:val="center"/>
          </w:tcPr>
          <w:p w14:paraId="2ADDB43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残运组委会工作人员</w:t>
            </w:r>
          </w:p>
        </w:tc>
        <w:tc>
          <w:tcPr>
            <w:tcW w:w="1735" w:type="dxa"/>
            <w:tcBorders>
              <w:top w:val="single" w:color="000000" w:sz="8" w:space="0"/>
              <w:left w:val="single" w:color="000000" w:sz="4" w:space="0"/>
              <w:bottom w:val="single" w:color="000000" w:sz="8" w:space="0"/>
              <w:right w:val="single" w:color="000000" w:sz="4" w:space="0"/>
            </w:tcBorders>
            <w:noWrap w:val="0"/>
            <w:vAlign w:val="center"/>
          </w:tcPr>
          <w:p w14:paraId="456B977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餐费</w:t>
            </w:r>
          </w:p>
        </w:tc>
        <w:tc>
          <w:tcPr>
            <w:tcW w:w="765" w:type="dxa"/>
            <w:tcBorders>
              <w:top w:val="single" w:color="000000" w:sz="8" w:space="0"/>
              <w:left w:val="single" w:color="000000" w:sz="4" w:space="0"/>
              <w:bottom w:val="single" w:color="000000" w:sz="8" w:space="0"/>
              <w:right w:val="single" w:color="000000" w:sz="4" w:space="0"/>
            </w:tcBorders>
            <w:noWrap w:val="0"/>
            <w:vAlign w:val="center"/>
          </w:tcPr>
          <w:p w14:paraId="20179C1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20</w:t>
            </w:r>
          </w:p>
        </w:tc>
        <w:tc>
          <w:tcPr>
            <w:tcW w:w="830" w:type="dxa"/>
            <w:tcBorders>
              <w:top w:val="single" w:color="000000" w:sz="8" w:space="0"/>
              <w:left w:val="single" w:color="000000" w:sz="4" w:space="0"/>
              <w:bottom w:val="single" w:color="000000" w:sz="8" w:space="0"/>
              <w:right w:val="single" w:color="000000" w:sz="4" w:space="0"/>
            </w:tcBorders>
            <w:noWrap w:val="0"/>
            <w:vAlign w:val="center"/>
          </w:tcPr>
          <w:p w14:paraId="760D388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val="en" w:eastAsia="zh-CN"/>
              </w:rPr>
            </w:pPr>
            <w:r>
              <w:rPr>
                <w:rFonts w:hint="eastAsia" w:ascii="宋体" w:hAnsi="宋体" w:eastAsia="宋体" w:cs="宋体"/>
                <w:color w:val="auto"/>
                <w:kern w:val="0"/>
                <w:sz w:val="21"/>
                <w:szCs w:val="21"/>
                <w:highlight w:val="none"/>
                <w:lang w:val="en-US" w:eastAsia="zh-CN" w:bidi="ar"/>
              </w:rPr>
              <w:t>4</w:t>
            </w:r>
          </w:p>
        </w:tc>
        <w:tc>
          <w:tcPr>
            <w:tcW w:w="3648" w:type="dxa"/>
            <w:tcBorders>
              <w:top w:val="single" w:color="000000" w:sz="8" w:space="0"/>
              <w:left w:val="single" w:color="000000" w:sz="4" w:space="0"/>
              <w:bottom w:val="single" w:color="000000" w:sz="8" w:space="0"/>
              <w:right w:val="single" w:color="000000" w:sz="8" w:space="0"/>
            </w:tcBorders>
            <w:noWrap w:val="0"/>
            <w:vAlign w:val="center"/>
          </w:tcPr>
          <w:p w14:paraId="0BDD2D8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7餐</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rPr>
              <w:t>60</w:t>
            </w:r>
            <w:r>
              <w:rPr>
                <w:rFonts w:hint="eastAsia" w:ascii="宋体" w:hAnsi="宋体" w:eastAsia="宋体" w:cs="宋体"/>
                <w:color w:val="auto"/>
                <w:kern w:val="0"/>
                <w:sz w:val="21"/>
                <w:szCs w:val="21"/>
                <w:highlight w:val="none"/>
              </w:rPr>
              <w:t>元/人/</w:t>
            </w:r>
            <w:r>
              <w:rPr>
                <w:rFonts w:hint="eastAsia" w:ascii="宋体" w:hAnsi="宋体" w:eastAsia="宋体" w:cs="宋体"/>
                <w:color w:val="auto"/>
                <w:kern w:val="0"/>
                <w:sz w:val="21"/>
                <w:szCs w:val="21"/>
                <w:highlight w:val="none"/>
                <w:lang w:val="en-US" w:eastAsia="zh-CN"/>
              </w:rPr>
              <w:t>餐</w:t>
            </w:r>
          </w:p>
        </w:tc>
      </w:tr>
      <w:tr w14:paraId="22D3F7E5">
        <w:tblPrEx>
          <w:tblCellMar>
            <w:top w:w="0" w:type="dxa"/>
            <w:left w:w="108" w:type="dxa"/>
            <w:bottom w:w="0" w:type="dxa"/>
            <w:right w:w="108" w:type="dxa"/>
          </w:tblCellMar>
        </w:tblPrEx>
        <w:trPr>
          <w:trHeight w:val="821" w:hRule="atLeast"/>
        </w:trPr>
        <w:tc>
          <w:tcPr>
            <w:tcW w:w="875" w:type="dxa"/>
            <w:vMerge w:val="restart"/>
            <w:tcBorders>
              <w:top w:val="single" w:color="000000" w:sz="8" w:space="0"/>
              <w:left w:val="single" w:color="000000" w:sz="8" w:space="0"/>
              <w:bottom w:val="single" w:color="000000" w:sz="8" w:space="0"/>
              <w:right w:val="single" w:color="000000" w:sz="4" w:space="0"/>
            </w:tcBorders>
            <w:noWrap w:val="0"/>
            <w:vAlign w:val="center"/>
          </w:tcPr>
          <w:p w14:paraId="50DF399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劳务费</w:t>
            </w:r>
          </w:p>
        </w:tc>
        <w:tc>
          <w:tcPr>
            <w:tcW w:w="1650" w:type="dxa"/>
            <w:vMerge w:val="restart"/>
            <w:tcBorders>
              <w:top w:val="single" w:color="000000" w:sz="8" w:space="0"/>
              <w:left w:val="single" w:color="000000" w:sz="4" w:space="0"/>
              <w:bottom w:val="single" w:color="000000" w:sz="8" w:space="0"/>
              <w:right w:val="single" w:color="000000" w:sz="4" w:space="0"/>
            </w:tcBorders>
            <w:noWrap w:val="0"/>
            <w:vAlign w:val="center"/>
          </w:tcPr>
          <w:p w14:paraId="32EF347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裁判员</w:t>
            </w:r>
          </w:p>
        </w:tc>
        <w:tc>
          <w:tcPr>
            <w:tcW w:w="1735" w:type="dxa"/>
            <w:tcBorders>
              <w:top w:val="single" w:color="000000" w:sz="8" w:space="0"/>
              <w:left w:val="single" w:color="000000" w:sz="4" w:space="0"/>
              <w:bottom w:val="single" w:color="000000" w:sz="8" w:space="0"/>
              <w:right w:val="single" w:color="000000" w:sz="4" w:space="0"/>
            </w:tcBorders>
            <w:noWrap/>
            <w:vAlign w:val="center"/>
          </w:tcPr>
          <w:p w14:paraId="402EE61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劳务</w:t>
            </w:r>
            <w:r>
              <w:rPr>
                <w:rFonts w:hint="eastAsia" w:ascii="宋体" w:hAnsi="宋体" w:cs="宋体"/>
                <w:color w:val="auto"/>
                <w:kern w:val="0"/>
                <w:sz w:val="21"/>
                <w:szCs w:val="21"/>
                <w:highlight w:val="none"/>
                <w:lang w:val="en-US" w:eastAsia="zh-CN" w:bidi="ar"/>
              </w:rPr>
              <w:t>费</w:t>
            </w:r>
          </w:p>
        </w:tc>
        <w:tc>
          <w:tcPr>
            <w:tcW w:w="765" w:type="dxa"/>
            <w:tcBorders>
              <w:top w:val="single" w:color="000000" w:sz="8" w:space="0"/>
              <w:left w:val="single" w:color="000000" w:sz="4" w:space="0"/>
              <w:bottom w:val="single" w:color="000000" w:sz="8" w:space="0"/>
              <w:right w:val="single" w:color="000000" w:sz="4" w:space="0"/>
            </w:tcBorders>
            <w:noWrap w:val="0"/>
            <w:vAlign w:val="center"/>
          </w:tcPr>
          <w:p w14:paraId="0C0C647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35</w:t>
            </w:r>
          </w:p>
        </w:tc>
        <w:tc>
          <w:tcPr>
            <w:tcW w:w="830" w:type="dxa"/>
            <w:tcBorders>
              <w:top w:val="single" w:color="000000" w:sz="8" w:space="0"/>
              <w:left w:val="single" w:color="000000" w:sz="4" w:space="0"/>
              <w:bottom w:val="single" w:color="000000" w:sz="8" w:space="0"/>
              <w:right w:val="single" w:color="000000" w:sz="4" w:space="0"/>
            </w:tcBorders>
            <w:noWrap w:val="0"/>
            <w:vAlign w:val="center"/>
          </w:tcPr>
          <w:p w14:paraId="5DE7D1F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7</w:t>
            </w:r>
          </w:p>
        </w:tc>
        <w:tc>
          <w:tcPr>
            <w:tcW w:w="3648" w:type="dxa"/>
            <w:tcBorders>
              <w:top w:val="single" w:color="000000" w:sz="8" w:space="0"/>
              <w:left w:val="single" w:color="000000" w:sz="4" w:space="0"/>
              <w:bottom w:val="single" w:color="000000" w:sz="8" w:space="0"/>
              <w:right w:val="single" w:color="000000" w:sz="8" w:space="0"/>
            </w:tcBorders>
            <w:noWrap w:val="0"/>
            <w:vAlign w:val="center"/>
          </w:tcPr>
          <w:p w14:paraId="4F688BD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按省级赛事标准执行，</w:t>
            </w:r>
            <w:r>
              <w:rPr>
                <w:rFonts w:hint="eastAsia" w:ascii="宋体" w:hAnsi="宋体" w:eastAsia="宋体" w:cs="宋体"/>
                <w:color w:val="auto"/>
                <w:kern w:val="0"/>
                <w:sz w:val="21"/>
                <w:szCs w:val="21"/>
                <w:highlight w:val="none"/>
                <w:lang w:bidi="ar"/>
              </w:rPr>
              <w:t>加前2后1天</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个税个人承担</w:t>
            </w:r>
          </w:p>
        </w:tc>
      </w:tr>
      <w:tr w14:paraId="388AE18E">
        <w:tblPrEx>
          <w:tblCellMar>
            <w:top w:w="0" w:type="dxa"/>
            <w:left w:w="108" w:type="dxa"/>
            <w:bottom w:w="0" w:type="dxa"/>
            <w:right w:w="108" w:type="dxa"/>
          </w:tblCellMar>
        </w:tblPrEx>
        <w:trPr>
          <w:trHeight w:val="260" w:hRule="atLeast"/>
        </w:trPr>
        <w:tc>
          <w:tcPr>
            <w:tcW w:w="875" w:type="dxa"/>
            <w:vMerge w:val="continue"/>
            <w:tcBorders>
              <w:top w:val="single" w:color="000000" w:sz="8" w:space="0"/>
              <w:left w:val="single" w:color="000000" w:sz="8" w:space="0"/>
              <w:bottom w:val="single" w:color="000000" w:sz="8" w:space="0"/>
              <w:right w:val="single" w:color="000000" w:sz="4" w:space="0"/>
            </w:tcBorders>
            <w:noWrap w:val="0"/>
            <w:vAlign w:val="center"/>
          </w:tcPr>
          <w:p w14:paraId="767CC245">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0" w:type="dxa"/>
            <w:vMerge w:val="continue"/>
            <w:tcBorders>
              <w:top w:val="single" w:color="000000" w:sz="8" w:space="0"/>
              <w:left w:val="single" w:color="000000" w:sz="4" w:space="0"/>
              <w:bottom w:val="single" w:color="000000" w:sz="8" w:space="0"/>
              <w:right w:val="single" w:color="000000" w:sz="4" w:space="0"/>
            </w:tcBorders>
            <w:noWrap w:val="0"/>
            <w:vAlign w:val="center"/>
          </w:tcPr>
          <w:p w14:paraId="16C0DFDF">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735" w:type="dxa"/>
            <w:tcBorders>
              <w:top w:val="single" w:color="000000" w:sz="8" w:space="0"/>
              <w:left w:val="single" w:color="000000" w:sz="4" w:space="0"/>
              <w:bottom w:val="single" w:color="000000" w:sz="8" w:space="0"/>
              <w:right w:val="single" w:color="000000" w:sz="4" w:space="0"/>
            </w:tcBorders>
            <w:noWrap w:val="0"/>
            <w:vAlign w:val="center"/>
          </w:tcPr>
          <w:p w14:paraId="623C86F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交通</w:t>
            </w:r>
            <w:r>
              <w:rPr>
                <w:rFonts w:hint="eastAsia" w:ascii="宋体" w:hAnsi="宋体" w:cs="宋体"/>
                <w:color w:val="auto"/>
                <w:kern w:val="0"/>
                <w:sz w:val="21"/>
                <w:szCs w:val="21"/>
                <w:highlight w:val="none"/>
                <w:lang w:val="en-US" w:eastAsia="zh-CN" w:bidi="ar"/>
              </w:rPr>
              <w:t>补贴</w:t>
            </w:r>
          </w:p>
        </w:tc>
        <w:tc>
          <w:tcPr>
            <w:tcW w:w="765" w:type="dxa"/>
            <w:tcBorders>
              <w:top w:val="single" w:color="000000" w:sz="8" w:space="0"/>
              <w:left w:val="single" w:color="000000" w:sz="4" w:space="0"/>
              <w:bottom w:val="single" w:color="000000" w:sz="8" w:space="0"/>
              <w:right w:val="single" w:color="000000" w:sz="4" w:space="0"/>
            </w:tcBorders>
            <w:noWrap w:val="0"/>
            <w:vAlign w:val="center"/>
          </w:tcPr>
          <w:p w14:paraId="73B2F4D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p>
        </w:tc>
        <w:tc>
          <w:tcPr>
            <w:tcW w:w="830" w:type="dxa"/>
            <w:tcBorders>
              <w:top w:val="single" w:color="000000" w:sz="8" w:space="0"/>
              <w:left w:val="single" w:color="000000" w:sz="4" w:space="0"/>
              <w:bottom w:val="single" w:color="000000" w:sz="8" w:space="0"/>
              <w:right w:val="single" w:color="000000" w:sz="4" w:space="0"/>
            </w:tcBorders>
            <w:noWrap w:val="0"/>
            <w:vAlign w:val="center"/>
          </w:tcPr>
          <w:p w14:paraId="1B830FC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val="en" w:eastAsia="zh-CN"/>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eastAsia="zh-CN" w:bidi="ar"/>
              </w:rPr>
              <w:t>项</w:t>
            </w:r>
          </w:p>
        </w:tc>
        <w:tc>
          <w:tcPr>
            <w:tcW w:w="3648" w:type="dxa"/>
            <w:tcBorders>
              <w:top w:val="single" w:color="000000" w:sz="8" w:space="0"/>
              <w:left w:val="single" w:color="000000" w:sz="4" w:space="0"/>
              <w:bottom w:val="single" w:color="000000" w:sz="8" w:space="0"/>
              <w:right w:val="single" w:color="000000" w:sz="8" w:space="0"/>
            </w:tcBorders>
            <w:noWrap w:val="0"/>
            <w:vAlign w:val="center"/>
          </w:tcPr>
          <w:p w14:paraId="70E7B534">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实报实销</w:t>
            </w:r>
          </w:p>
        </w:tc>
      </w:tr>
      <w:tr w14:paraId="542C33F4">
        <w:tblPrEx>
          <w:tblCellMar>
            <w:top w:w="0" w:type="dxa"/>
            <w:left w:w="108" w:type="dxa"/>
            <w:bottom w:w="0" w:type="dxa"/>
            <w:right w:w="108" w:type="dxa"/>
          </w:tblCellMar>
        </w:tblPrEx>
        <w:trPr>
          <w:trHeight w:val="260" w:hRule="atLeast"/>
        </w:trPr>
        <w:tc>
          <w:tcPr>
            <w:tcW w:w="875" w:type="dxa"/>
            <w:vMerge w:val="continue"/>
            <w:tcBorders>
              <w:top w:val="single" w:color="000000" w:sz="8" w:space="0"/>
              <w:left w:val="single" w:color="000000" w:sz="8" w:space="0"/>
              <w:bottom w:val="single" w:color="000000" w:sz="8" w:space="0"/>
              <w:right w:val="single" w:color="000000" w:sz="4" w:space="0"/>
            </w:tcBorders>
            <w:noWrap w:val="0"/>
            <w:vAlign w:val="center"/>
          </w:tcPr>
          <w:p w14:paraId="7FDCDFEB">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0" w:type="dxa"/>
            <w:tcBorders>
              <w:top w:val="single" w:color="000000" w:sz="8" w:space="0"/>
              <w:left w:val="single" w:color="000000" w:sz="4" w:space="0"/>
              <w:bottom w:val="single" w:color="000000" w:sz="8" w:space="0"/>
              <w:right w:val="single" w:color="000000" w:sz="4" w:space="0"/>
            </w:tcBorders>
            <w:noWrap w:val="0"/>
            <w:vAlign w:val="center"/>
          </w:tcPr>
          <w:p w14:paraId="243EFB1C">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工作人员</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安保</w:t>
            </w:r>
            <w:r>
              <w:rPr>
                <w:rFonts w:hint="eastAsia" w:ascii="宋体" w:hAnsi="宋体" w:cs="宋体"/>
                <w:color w:val="auto"/>
                <w:sz w:val="21"/>
                <w:szCs w:val="21"/>
                <w:highlight w:val="none"/>
                <w:lang w:eastAsia="zh-CN"/>
              </w:rPr>
              <w:t>）</w:t>
            </w:r>
          </w:p>
        </w:tc>
        <w:tc>
          <w:tcPr>
            <w:tcW w:w="1735" w:type="dxa"/>
            <w:tcBorders>
              <w:top w:val="single" w:color="000000" w:sz="8" w:space="0"/>
              <w:left w:val="single" w:color="000000" w:sz="4" w:space="0"/>
              <w:bottom w:val="single" w:color="000000" w:sz="8" w:space="0"/>
              <w:right w:val="single" w:color="000000" w:sz="4" w:space="0"/>
            </w:tcBorders>
            <w:noWrap w:val="0"/>
            <w:vAlign w:val="center"/>
          </w:tcPr>
          <w:p w14:paraId="6EB784F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劳务费</w:t>
            </w:r>
          </w:p>
        </w:tc>
        <w:tc>
          <w:tcPr>
            <w:tcW w:w="765" w:type="dxa"/>
            <w:tcBorders>
              <w:top w:val="single" w:color="000000" w:sz="8" w:space="0"/>
              <w:left w:val="single" w:color="000000" w:sz="4" w:space="0"/>
              <w:bottom w:val="single" w:color="000000" w:sz="8" w:space="0"/>
              <w:right w:val="single" w:color="000000" w:sz="4" w:space="0"/>
            </w:tcBorders>
            <w:noWrap w:val="0"/>
            <w:vAlign w:val="center"/>
          </w:tcPr>
          <w:p w14:paraId="31C1363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w:t>
            </w:r>
          </w:p>
        </w:tc>
        <w:tc>
          <w:tcPr>
            <w:tcW w:w="830" w:type="dxa"/>
            <w:tcBorders>
              <w:top w:val="single" w:color="000000" w:sz="8" w:space="0"/>
              <w:left w:val="single" w:color="000000" w:sz="4" w:space="0"/>
              <w:bottom w:val="single" w:color="000000" w:sz="8" w:space="0"/>
              <w:right w:val="single" w:color="000000" w:sz="4" w:space="0"/>
            </w:tcBorders>
            <w:noWrap w:val="0"/>
            <w:vAlign w:val="center"/>
          </w:tcPr>
          <w:p w14:paraId="5FC5604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w:t>
            </w:r>
          </w:p>
        </w:tc>
        <w:tc>
          <w:tcPr>
            <w:tcW w:w="3648" w:type="dxa"/>
            <w:tcBorders>
              <w:top w:val="single" w:color="000000" w:sz="8" w:space="0"/>
              <w:left w:val="single" w:color="000000" w:sz="4" w:space="0"/>
              <w:bottom w:val="single" w:color="000000" w:sz="8" w:space="0"/>
              <w:right w:val="single" w:color="000000" w:sz="8" w:space="0"/>
            </w:tcBorders>
            <w:noWrap w:val="0"/>
            <w:vAlign w:val="center"/>
          </w:tcPr>
          <w:p w14:paraId="7AECB25D">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66AFB5BE">
        <w:tblPrEx>
          <w:tblCellMar>
            <w:top w:w="0" w:type="dxa"/>
            <w:left w:w="108" w:type="dxa"/>
            <w:bottom w:w="0" w:type="dxa"/>
            <w:right w:w="108" w:type="dxa"/>
          </w:tblCellMar>
        </w:tblPrEx>
        <w:trPr>
          <w:trHeight w:val="260" w:hRule="atLeast"/>
        </w:trPr>
        <w:tc>
          <w:tcPr>
            <w:tcW w:w="875" w:type="dxa"/>
            <w:vMerge w:val="continue"/>
            <w:tcBorders>
              <w:top w:val="single" w:color="000000" w:sz="8" w:space="0"/>
              <w:left w:val="single" w:color="000000" w:sz="8" w:space="0"/>
              <w:bottom w:val="single" w:color="000000" w:sz="8" w:space="0"/>
              <w:right w:val="single" w:color="000000" w:sz="4" w:space="0"/>
            </w:tcBorders>
            <w:noWrap w:val="0"/>
            <w:vAlign w:val="center"/>
          </w:tcPr>
          <w:p w14:paraId="58BC00F1">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0" w:type="dxa"/>
            <w:tcBorders>
              <w:top w:val="single" w:color="000000" w:sz="8" w:space="0"/>
              <w:left w:val="single" w:color="000000" w:sz="4" w:space="0"/>
              <w:bottom w:val="single" w:color="000000" w:sz="8" w:space="0"/>
              <w:right w:val="single" w:color="000000" w:sz="4" w:space="0"/>
            </w:tcBorders>
            <w:noWrap w:val="0"/>
            <w:vAlign w:val="center"/>
          </w:tcPr>
          <w:p w14:paraId="06323A6E">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志愿者</w:t>
            </w:r>
          </w:p>
        </w:tc>
        <w:tc>
          <w:tcPr>
            <w:tcW w:w="1735" w:type="dxa"/>
            <w:tcBorders>
              <w:top w:val="single" w:color="000000" w:sz="8" w:space="0"/>
              <w:left w:val="single" w:color="000000" w:sz="4" w:space="0"/>
              <w:bottom w:val="single" w:color="000000" w:sz="8" w:space="0"/>
              <w:right w:val="single" w:color="000000" w:sz="4" w:space="0"/>
            </w:tcBorders>
            <w:noWrap w:val="0"/>
            <w:vAlign w:val="center"/>
          </w:tcPr>
          <w:p w14:paraId="7E42C54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交通和通讯</w:t>
            </w:r>
            <w:r>
              <w:rPr>
                <w:rFonts w:hint="eastAsia" w:ascii="宋体" w:hAnsi="宋体" w:eastAsia="宋体" w:cs="宋体"/>
                <w:color w:val="auto"/>
                <w:sz w:val="21"/>
                <w:szCs w:val="21"/>
                <w:highlight w:val="none"/>
              </w:rPr>
              <w:t>补贴</w:t>
            </w:r>
          </w:p>
        </w:tc>
        <w:tc>
          <w:tcPr>
            <w:tcW w:w="765" w:type="dxa"/>
            <w:tcBorders>
              <w:top w:val="single" w:color="000000" w:sz="8" w:space="0"/>
              <w:left w:val="single" w:color="000000" w:sz="4" w:space="0"/>
              <w:bottom w:val="single" w:color="000000" w:sz="8" w:space="0"/>
              <w:right w:val="single" w:color="000000" w:sz="4" w:space="0"/>
            </w:tcBorders>
            <w:noWrap w:val="0"/>
            <w:vAlign w:val="center"/>
          </w:tcPr>
          <w:p w14:paraId="25F3941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w:t>
            </w:r>
          </w:p>
        </w:tc>
        <w:tc>
          <w:tcPr>
            <w:tcW w:w="830" w:type="dxa"/>
            <w:tcBorders>
              <w:top w:val="single" w:color="000000" w:sz="8" w:space="0"/>
              <w:left w:val="single" w:color="000000" w:sz="4" w:space="0"/>
              <w:bottom w:val="single" w:color="000000" w:sz="8" w:space="0"/>
              <w:right w:val="single" w:color="000000" w:sz="4" w:space="0"/>
            </w:tcBorders>
            <w:noWrap w:val="0"/>
            <w:vAlign w:val="center"/>
          </w:tcPr>
          <w:p w14:paraId="42D8017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4</w:t>
            </w:r>
          </w:p>
        </w:tc>
        <w:tc>
          <w:tcPr>
            <w:tcW w:w="3648" w:type="dxa"/>
            <w:tcBorders>
              <w:top w:val="single" w:color="000000" w:sz="8" w:space="0"/>
              <w:left w:val="single" w:color="000000" w:sz="4" w:space="0"/>
              <w:bottom w:val="single" w:color="000000" w:sz="8" w:space="0"/>
              <w:right w:val="single" w:color="000000" w:sz="8" w:space="0"/>
            </w:tcBorders>
            <w:noWrap w:val="0"/>
            <w:vAlign w:val="center"/>
          </w:tcPr>
          <w:p w14:paraId="551F7290">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不少于50元/人/天</w:t>
            </w:r>
          </w:p>
        </w:tc>
      </w:tr>
      <w:tr w14:paraId="133DEA7E">
        <w:tblPrEx>
          <w:tblCellMar>
            <w:top w:w="0" w:type="dxa"/>
            <w:left w:w="108" w:type="dxa"/>
            <w:bottom w:w="0" w:type="dxa"/>
            <w:right w:w="108" w:type="dxa"/>
          </w:tblCellMar>
        </w:tblPrEx>
        <w:trPr>
          <w:trHeight w:val="406" w:hRule="atLeast"/>
        </w:trPr>
        <w:tc>
          <w:tcPr>
            <w:tcW w:w="875" w:type="dxa"/>
            <w:vMerge w:val="restart"/>
            <w:tcBorders>
              <w:top w:val="single" w:color="000000" w:sz="8" w:space="0"/>
              <w:left w:val="single" w:color="000000" w:sz="8" w:space="0"/>
              <w:bottom w:val="single" w:color="000000" w:sz="8" w:space="0"/>
              <w:right w:val="single" w:color="000000" w:sz="4" w:space="0"/>
            </w:tcBorders>
            <w:noWrap w:val="0"/>
            <w:vAlign w:val="center"/>
          </w:tcPr>
          <w:p w14:paraId="65E2821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赛事保障及会务等</w:t>
            </w:r>
          </w:p>
        </w:tc>
        <w:tc>
          <w:tcPr>
            <w:tcW w:w="1650" w:type="dxa"/>
            <w:tcBorders>
              <w:top w:val="single" w:color="000000" w:sz="8" w:space="0"/>
              <w:left w:val="single" w:color="000000" w:sz="4" w:space="0"/>
              <w:right w:val="single" w:color="000000" w:sz="4" w:space="0"/>
            </w:tcBorders>
            <w:noWrap w:val="0"/>
            <w:vAlign w:val="center"/>
          </w:tcPr>
          <w:p w14:paraId="56BAD9E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赛事交通</w:t>
            </w:r>
          </w:p>
        </w:tc>
        <w:tc>
          <w:tcPr>
            <w:tcW w:w="1735" w:type="dxa"/>
            <w:tcBorders>
              <w:top w:val="single" w:color="000000" w:sz="8" w:space="0"/>
              <w:left w:val="single" w:color="000000" w:sz="4" w:space="0"/>
              <w:bottom w:val="single" w:color="000000" w:sz="8" w:space="0"/>
              <w:right w:val="single" w:color="000000" w:sz="4" w:space="0"/>
            </w:tcBorders>
            <w:noWrap w:val="0"/>
            <w:vAlign w:val="center"/>
          </w:tcPr>
          <w:p w14:paraId="4C366ED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市内接驳</w:t>
            </w:r>
          </w:p>
        </w:tc>
        <w:tc>
          <w:tcPr>
            <w:tcW w:w="765" w:type="dxa"/>
            <w:tcBorders>
              <w:top w:val="single" w:color="000000" w:sz="8" w:space="0"/>
              <w:left w:val="single" w:color="000000" w:sz="4" w:space="0"/>
              <w:right w:val="single" w:color="000000" w:sz="4" w:space="0"/>
            </w:tcBorders>
            <w:noWrap w:val="0"/>
            <w:vAlign w:val="center"/>
          </w:tcPr>
          <w:p w14:paraId="718FD1F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8辆</w:t>
            </w:r>
          </w:p>
        </w:tc>
        <w:tc>
          <w:tcPr>
            <w:tcW w:w="830" w:type="dxa"/>
            <w:tcBorders>
              <w:top w:val="single" w:color="000000" w:sz="8" w:space="0"/>
              <w:left w:val="single" w:color="000000" w:sz="4" w:space="0"/>
              <w:right w:val="single" w:color="000000" w:sz="4" w:space="0"/>
            </w:tcBorders>
            <w:noWrap w:val="0"/>
            <w:vAlign w:val="center"/>
          </w:tcPr>
          <w:p w14:paraId="35761E9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1项</w:t>
            </w:r>
          </w:p>
        </w:tc>
        <w:tc>
          <w:tcPr>
            <w:tcW w:w="3648" w:type="dxa"/>
            <w:tcBorders>
              <w:top w:val="single" w:color="000000" w:sz="8" w:space="0"/>
              <w:left w:val="single" w:color="000000" w:sz="4" w:space="0"/>
              <w:right w:val="single" w:color="000000" w:sz="8" w:space="0"/>
            </w:tcBorders>
            <w:noWrap w:val="0"/>
            <w:vAlign w:val="center"/>
          </w:tcPr>
          <w:p w14:paraId="1956922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6.10日安排2辆55座大巴接送运动员。</w:t>
            </w:r>
          </w:p>
          <w:p w14:paraId="2DC8E3E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6.11日4辆55座大巴+1辆30座大巴接送运动员。</w:t>
            </w:r>
          </w:p>
          <w:p w14:paraId="5135BE4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6.12日2辆54座大巴循环接送运动员。</w:t>
            </w:r>
          </w:p>
          <w:p w14:paraId="0849A10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6.13日4辆55座大巴+1辆30座大巴接送运动员。</w:t>
            </w:r>
          </w:p>
          <w:p w14:paraId="08A9455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6.9-13日每天安排2辆小车和1辆35座中巴用于裁判接送。</w:t>
            </w:r>
          </w:p>
        </w:tc>
      </w:tr>
      <w:tr w14:paraId="3C581FDE">
        <w:tblPrEx>
          <w:tblCellMar>
            <w:top w:w="0" w:type="dxa"/>
            <w:left w:w="108" w:type="dxa"/>
            <w:bottom w:w="0" w:type="dxa"/>
            <w:right w:w="108" w:type="dxa"/>
          </w:tblCellMar>
        </w:tblPrEx>
        <w:trPr>
          <w:trHeight w:val="998" w:hRule="atLeast"/>
        </w:trPr>
        <w:tc>
          <w:tcPr>
            <w:tcW w:w="875" w:type="dxa"/>
            <w:vMerge w:val="continue"/>
            <w:tcBorders>
              <w:top w:val="single" w:color="000000" w:sz="8" w:space="0"/>
              <w:left w:val="single" w:color="000000" w:sz="8" w:space="0"/>
              <w:bottom w:val="single" w:color="000000" w:sz="8" w:space="0"/>
              <w:right w:val="single" w:color="000000" w:sz="4" w:space="0"/>
            </w:tcBorders>
            <w:noWrap w:val="0"/>
            <w:vAlign w:val="center"/>
          </w:tcPr>
          <w:p w14:paraId="3020BDD4">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0" w:type="dxa"/>
            <w:tcBorders>
              <w:top w:val="single" w:color="000000" w:sz="8" w:space="0"/>
              <w:left w:val="single" w:color="000000" w:sz="4" w:space="0"/>
              <w:bottom w:val="single" w:color="000000" w:sz="8" w:space="0"/>
              <w:right w:val="single" w:color="000000" w:sz="4" w:space="0"/>
            </w:tcBorders>
            <w:noWrap w:val="0"/>
            <w:vAlign w:val="center"/>
          </w:tcPr>
          <w:p w14:paraId="72EE401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none"/>
                <w:lang w:bidi="ar"/>
              </w:rPr>
              <w:t>会务费用</w:t>
            </w:r>
          </w:p>
        </w:tc>
        <w:tc>
          <w:tcPr>
            <w:tcW w:w="1735" w:type="dxa"/>
            <w:tcBorders>
              <w:top w:val="single" w:color="000000" w:sz="8" w:space="0"/>
              <w:left w:val="single" w:color="000000" w:sz="4" w:space="0"/>
              <w:bottom w:val="single" w:color="000000" w:sz="8" w:space="0"/>
              <w:right w:val="single" w:color="000000" w:sz="4" w:space="0"/>
            </w:tcBorders>
            <w:noWrap w:val="0"/>
            <w:vAlign w:val="center"/>
          </w:tcPr>
          <w:p w14:paraId="2271EC6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酒店</w:t>
            </w:r>
          </w:p>
        </w:tc>
        <w:tc>
          <w:tcPr>
            <w:tcW w:w="765" w:type="dxa"/>
            <w:tcBorders>
              <w:top w:val="single" w:color="000000" w:sz="8" w:space="0"/>
              <w:left w:val="single" w:color="000000" w:sz="4" w:space="0"/>
              <w:bottom w:val="single" w:color="000000" w:sz="8" w:space="0"/>
              <w:right w:val="single" w:color="000000" w:sz="4" w:space="0"/>
            </w:tcBorders>
            <w:noWrap w:val="0"/>
            <w:vAlign w:val="center"/>
          </w:tcPr>
          <w:p w14:paraId="5A047AA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val="en-US" w:eastAsia="zh-CN" w:bidi="ar"/>
              </w:rPr>
              <w:t>场</w:t>
            </w:r>
          </w:p>
        </w:tc>
        <w:tc>
          <w:tcPr>
            <w:tcW w:w="830" w:type="dxa"/>
            <w:tcBorders>
              <w:top w:val="single" w:color="000000" w:sz="8" w:space="0"/>
              <w:left w:val="single" w:color="000000" w:sz="4" w:space="0"/>
              <w:bottom w:val="single" w:color="000000" w:sz="8" w:space="0"/>
              <w:right w:val="single" w:color="000000" w:sz="4" w:space="0"/>
            </w:tcBorders>
            <w:noWrap w:val="0"/>
            <w:vAlign w:val="center"/>
          </w:tcPr>
          <w:p w14:paraId="0213C34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项</w:t>
            </w:r>
          </w:p>
        </w:tc>
        <w:tc>
          <w:tcPr>
            <w:tcW w:w="3648" w:type="dxa"/>
            <w:tcBorders>
              <w:top w:val="single" w:color="000000" w:sz="8" w:space="0"/>
              <w:left w:val="single" w:color="000000" w:sz="4" w:space="0"/>
              <w:bottom w:val="single" w:color="000000" w:sz="8" w:space="0"/>
              <w:right w:val="single" w:color="000000" w:sz="8" w:space="0"/>
            </w:tcBorders>
            <w:noWrap w:val="0"/>
            <w:vAlign w:val="center"/>
          </w:tcPr>
          <w:p w14:paraId="23F4FC1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志愿者培训、裁判长赛前</w:t>
            </w:r>
            <w:r>
              <w:rPr>
                <w:rFonts w:hint="eastAsia" w:ascii="宋体" w:hAnsi="宋体" w:cs="宋体"/>
                <w:color w:val="auto"/>
                <w:kern w:val="0"/>
                <w:sz w:val="21"/>
                <w:szCs w:val="21"/>
                <w:highlight w:val="none"/>
                <w:lang w:val="en-US" w:eastAsia="zh-CN" w:bidi="ar"/>
              </w:rPr>
              <w:t>指导</w:t>
            </w:r>
            <w:r>
              <w:rPr>
                <w:rFonts w:hint="eastAsia" w:ascii="宋体" w:hAnsi="宋体" w:eastAsia="宋体" w:cs="宋体"/>
                <w:color w:val="auto"/>
                <w:kern w:val="0"/>
                <w:sz w:val="21"/>
                <w:szCs w:val="21"/>
                <w:highlight w:val="none"/>
                <w:lang w:bidi="ar"/>
              </w:rPr>
              <w:t>等会务（含电子屏）</w:t>
            </w:r>
          </w:p>
        </w:tc>
      </w:tr>
      <w:tr w14:paraId="1233F2F3">
        <w:tblPrEx>
          <w:tblCellMar>
            <w:top w:w="0" w:type="dxa"/>
            <w:left w:w="108" w:type="dxa"/>
            <w:bottom w:w="0" w:type="dxa"/>
            <w:right w:w="108" w:type="dxa"/>
          </w:tblCellMar>
        </w:tblPrEx>
        <w:trPr>
          <w:trHeight w:val="260" w:hRule="atLeast"/>
        </w:trPr>
        <w:tc>
          <w:tcPr>
            <w:tcW w:w="875" w:type="dxa"/>
            <w:tcBorders>
              <w:top w:val="single" w:color="000000" w:sz="8" w:space="0"/>
              <w:left w:val="single" w:color="000000" w:sz="8" w:space="0"/>
              <w:bottom w:val="single" w:color="000000" w:sz="8" w:space="0"/>
              <w:right w:val="single" w:color="000000" w:sz="4" w:space="0"/>
            </w:tcBorders>
            <w:noWrap w:val="0"/>
            <w:vAlign w:val="center"/>
          </w:tcPr>
          <w:p w14:paraId="3D08CA5E">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场地保障</w:t>
            </w:r>
          </w:p>
        </w:tc>
        <w:tc>
          <w:tcPr>
            <w:tcW w:w="1650" w:type="dxa"/>
            <w:tcBorders>
              <w:top w:val="single" w:color="000000" w:sz="8" w:space="0"/>
              <w:left w:val="single" w:color="000000" w:sz="4" w:space="0"/>
              <w:bottom w:val="single" w:color="000000" w:sz="8" w:space="0"/>
              <w:right w:val="single" w:color="000000" w:sz="4" w:space="0"/>
            </w:tcBorders>
            <w:noWrap w:val="0"/>
            <w:vAlign w:val="center"/>
          </w:tcPr>
          <w:p w14:paraId="799D568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u w:val="none"/>
                <w:lang w:eastAsia="zh-CN"/>
              </w:rPr>
              <w:t>赛事场地保障特殊需求</w:t>
            </w:r>
          </w:p>
        </w:tc>
        <w:tc>
          <w:tcPr>
            <w:tcW w:w="1735" w:type="dxa"/>
            <w:tcBorders>
              <w:top w:val="single" w:color="000000" w:sz="8" w:space="0"/>
              <w:left w:val="single" w:color="000000" w:sz="4" w:space="0"/>
              <w:bottom w:val="single" w:color="000000" w:sz="8" w:space="0"/>
              <w:right w:val="single" w:color="000000" w:sz="4" w:space="0"/>
            </w:tcBorders>
            <w:noWrap w:val="0"/>
            <w:vAlign w:val="center"/>
          </w:tcPr>
          <w:p w14:paraId="0B8D78C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场馆</w:t>
            </w:r>
          </w:p>
        </w:tc>
        <w:tc>
          <w:tcPr>
            <w:tcW w:w="765" w:type="dxa"/>
            <w:tcBorders>
              <w:top w:val="single" w:color="000000" w:sz="8" w:space="0"/>
              <w:left w:val="single" w:color="000000" w:sz="4" w:space="0"/>
              <w:bottom w:val="single" w:color="000000" w:sz="8" w:space="0"/>
              <w:right w:val="single" w:color="000000" w:sz="4" w:space="0"/>
            </w:tcBorders>
            <w:noWrap w:val="0"/>
            <w:vAlign w:val="center"/>
          </w:tcPr>
          <w:p w14:paraId="57B77AF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p>
        </w:tc>
        <w:tc>
          <w:tcPr>
            <w:tcW w:w="830" w:type="dxa"/>
            <w:tcBorders>
              <w:top w:val="single" w:color="000000" w:sz="8" w:space="0"/>
              <w:left w:val="single" w:color="000000" w:sz="4" w:space="0"/>
              <w:bottom w:val="single" w:color="000000" w:sz="8" w:space="0"/>
              <w:right w:val="single" w:color="000000" w:sz="4" w:space="0"/>
            </w:tcBorders>
            <w:noWrap w:val="0"/>
            <w:vAlign w:val="center"/>
          </w:tcPr>
          <w:p w14:paraId="5B08C27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项</w:t>
            </w:r>
          </w:p>
        </w:tc>
        <w:tc>
          <w:tcPr>
            <w:tcW w:w="3648" w:type="dxa"/>
            <w:tcBorders>
              <w:top w:val="single" w:color="000000" w:sz="8" w:space="0"/>
              <w:left w:val="single" w:color="000000" w:sz="4" w:space="0"/>
              <w:bottom w:val="single" w:color="000000" w:sz="8" w:space="0"/>
              <w:right w:val="single" w:color="000000" w:sz="8" w:space="0"/>
            </w:tcBorders>
            <w:noWrap w:val="0"/>
            <w:vAlign w:val="center"/>
          </w:tcPr>
          <w:p w14:paraId="3A57A75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每天提供保洁不少于</w:t>
            </w:r>
            <w:r>
              <w:rPr>
                <w:rFonts w:hint="eastAsia" w:ascii="宋体" w:hAnsi="宋体" w:eastAsia="宋体" w:cs="宋体"/>
                <w:color w:val="auto"/>
                <w:kern w:val="0"/>
                <w:sz w:val="21"/>
                <w:szCs w:val="21"/>
                <w:highlight w:val="none"/>
                <w:lang w:val="en-US" w:eastAsia="zh-CN" w:bidi="ar"/>
              </w:rPr>
              <w:t>6人</w:t>
            </w:r>
          </w:p>
        </w:tc>
      </w:tr>
      <w:tr w14:paraId="569624BA">
        <w:tblPrEx>
          <w:tblCellMar>
            <w:top w:w="0" w:type="dxa"/>
            <w:left w:w="108" w:type="dxa"/>
            <w:bottom w:w="0" w:type="dxa"/>
            <w:right w:w="108" w:type="dxa"/>
          </w:tblCellMar>
        </w:tblPrEx>
        <w:trPr>
          <w:trHeight w:val="260" w:hRule="atLeast"/>
        </w:trPr>
        <w:tc>
          <w:tcPr>
            <w:tcW w:w="875" w:type="dxa"/>
            <w:tcBorders>
              <w:top w:val="single" w:color="000000" w:sz="8" w:space="0"/>
              <w:left w:val="single" w:color="000000" w:sz="8" w:space="0"/>
              <w:bottom w:val="single" w:color="000000" w:sz="8" w:space="0"/>
              <w:right w:val="single" w:color="000000" w:sz="8" w:space="0"/>
            </w:tcBorders>
            <w:noWrap w:val="0"/>
            <w:vAlign w:val="center"/>
          </w:tcPr>
          <w:p w14:paraId="7BD49AE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赛事物资物品</w:t>
            </w:r>
          </w:p>
        </w:tc>
        <w:tc>
          <w:tcPr>
            <w:tcW w:w="1650" w:type="dxa"/>
            <w:tcBorders>
              <w:top w:val="single" w:color="000000" w:sz="8" w:space="0"/>
              <w:left w:val="nil"/>
              <w:bottom w:val="single" w:color="000000" w:sz="8" w:space="0"/>
              <w:right w:val="single" w:color="000000" w:sz="8" w:space="0"/>
            </w:tcBorders>
            <w:noWrap w:val="0"/>
            <w:vAlign w:val="center"/>
          </w:tcPr>
          <w:p w14:paraId="348C74F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赛事设施器材及办公用品</w:t>
            </w:r>
          </w:p>
        </w:tc>
        <w:tc>
          <w:tcPr>
            <w:tcW w:w="1735" w:type="dxa"/>
            <w:tcBorders>
              <w:top w:val="single" w:color="000000" w:sz="8" w:space="0"/>
              <w:left w:val="nil"/>
              <w:bottom w:val="single" w:color="000000" w:sz="8" w:space="0"/>
              <w:right w:val="single" w:color="000000" w:sz="8" w:space="0"/>
            </w:tcBorders>
            <w:noWrap w:val="0"/>
            <w:vAlign w:val="center"/>
          </w:tcPr>
          <w:p w14:paraId="1D933EC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采购或租赁</w:t>
            </w:r>
          </w:p>
        </w:tc>
        <w:tc>
          <w:tcPr>
            <w:tcW w:w="765" w:type="dxa"/>
            <w:tcBorders>
              <w:top w:val="single" w:color="000000" w:sz="8" w:space="0"/>
              <w:left w:val="nil"/>
              <w:bottom w:val="single" w:color="000000" w:sz="8" w:space="0"/>
              <w:right w:val="single" w:color="000000" w:sz="8" w:space="0"/>
            </w:tcBorders>
            <w:noWrap w:val="0"/>
            <w:vAlign w:val="center"/>
          </w:tcPr>
          <w:p w14:paraId="61C73165">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30" w:type="dxa"/>
            <w:tcBorders>
              <w:top w:val="single" w:color="000000" w:sz="8" w:space="0"/>
              <w:left w:val="nil"/>
              <w:bottom w:val="single" w:color="000000" w:sz="8" w:space="0"/>
              <w:right w:val="single" w:color="000000" w:sz="8" w:space="0"/>
            </w:tcBorders>
            <w:noWrap w:val="0"/>
            <w:vAlign w:val="center"/>
          </w:tcPr>
          <w:p w14:paraId="5F8478A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项</w:t>
            </w:r>
          </w:p>
        </w:tc>
        <w:tc>
          <w:tcPr>
            <w:tcW w:w="3648" w:type="dxa"/>
            <w:tcBorders>
              <w:top w:val="single" w:color="000000" w:sz="8" w:space="0"/>
              <w:left w:val="nil"/>
              <w:bottom w:val="single" w:color="000000" w:sz="8" w:space="0"/>
              <w:right w:val="single" w:color="000000" w:sz="8" w:space="0"/>
            </w:tcBorders>
            <w:noWrap w:val="0"/>
            <w:vAlign w:val="center"/>
          </w:tcPr>
          <w:p w14:paraId="7D2E344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根据采购方要求进行采购或租赁</w:t>
            </w:r>
          </w:p>
        </w:tc>
      </w:tr>
      <w:tr w14:paraId="2F97ED25">
        <w:tblPrEx>
          <w:tblCellMar>
            <w:top w:w="0" w:type="dxa"/>
            <w:left w:w="108" w:type="dxa"/>
            <w:bottom w:w="0" w:type="dxa"/>
            <w:right w:w="108" w:type="dxa"/>
          </w:tblCellMar>
        </w:tblPrEx>
        <w:trPr>
          <w:trHeight w:val="260" w:hRule="atLeast"/>
        </w:trPr>
        <w:tc>
          <w:tcPr>
            <w:tcW w:w="875" w:type="dxa"/>
            <w:vMerge w:val="restart"/>
            <w:tcBorders>
              <w:top w:val="single" w:color="000000" w:sz="8" w:space="0"/>
              <w:left w:val="single" w:color="000000" w:sz="8" w:space="0"/>
              <w:bottom w:val="single" w:color="000000" w:sz="8" w:space="0"/>
              <w:right w:val="single" w:color="000000" w:sz="8" w:space="0"/>
            </w:tcBorders>
            <w:noWrap w:val="0"/>
            <w:vAlign w:val="center"/>
          </w:tcPr>
          <w:p w14:paraId="53D66CD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赛事物料制作</w:t>
            </w:r>
          </w:p>
        </w:tc>
        <w:tc>
          <w:tcPr>
            <w:tcW w:w="1650" w:type="dxa"/>
            <w:tcBorders>
              <w:top w:val="single" w:color="000000" w:sz="8" w:space="0"/>
              <w:left w:val="nil"/>
              <w:bottom w:val="single" w:color="000000" w:sz="8" w:space="0"/>
              <w:right w:val="single" w:color="000000" w:sz="8" w:space="0"/>
            </w:tcBorders>
            <w:noWrap w:val="0"/>
            <w:vAlign w:val="center"/>
          </w:tcPr>
          <w:p w14:paraId="2D54BE9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广告物料</w:t>
            </w:r>
          </w:p>
        </w:tc>
        <w:tc>
          <w:tcPr>
            <w:tcW w:w="1735" w:type="dxa"/>
            <w:tcBorders>
              <w:top w:val="single" w:color="000000" w:sz="8" w:space="0"/>
              <w:left w:val="nil"/>
              <w:bottom w:val="single" w:color="000000" w:sz="8" w:space="0"/>
              <w:right w:val="single" w:color="000000" w:sz="8" w:space="0"/>
            </w:tcBorders>
            <w:noWrap w:val="0"/>
            <w:vAlign w:val="center"/>
          </w:tcPr>
          <w:p w14:paraId="300F4D5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根据采购方要求进行制作</w:t>
            </w:r>
          </w:p>
        </w:tc>
        <w:tc>
          <w:tcPr>
            <w:tcW w:w="765" w:type="dxa"/>
            <w:tcBorders>
              <w:top w:val="single" w:color="000000" w:sz="8" w:space="0"/>
              <w:left w:val="nil"/>
              <w:bottom w:val="single" w:color="000000" w:sz="8" w:space="0"/>
              <w:right w:val="single" w:color="000000" w:sz="8" w:space="0"/>
            </w:tcBorders>
            <w:noWrap w:val="0"/>
            <w:vAlign w:val="center"/>
          </w:tcPr>
          <w:p w14:paraId="5EF5F2AF">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30" w:type="dxa"/>
            <w:tcBorders>
              <w:top w:val="single" w:color="000000" w:sz="8" w:space="0"/>
              <w:left w:val="nil"/>
              <w:bottom w:val="single" w:color="000000" w:sz="8" w:space="0"/>
              <w:right w:val="single" w:color="000000" w:sz="8" w:space="0"/>
            </w:tcBorders>
            <w:noWrap w:val="0"/>
            <w:vAlign w:val="center"/>
          </w:tcPr>
          <w:p w14:paraId="1A0E912C">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lang w:val="en-US" w:eastAsia="zh-CN" w:bidi="ar"/>
              </w:rPr>
              <w:t>项</w:t>
            </w:r>
          </w:p>
        </w:tc>
        <w:tc>
          <w:tcPr>
            <w:tcW w:w="3648" w:type="dxa"/>
            <w:tcBorders>
              <w:top w:val="single" w:color="000000" w:sz="8" w:space="0"/>
              <w:left w:val="nil"/>
              <w:bottom w:val="single" w:color="000000" w:sz="8" w:space="0"/>
              <w:right w:val="single" w:color="000000" w:sz="8" w:space="0"/>
            </w:tcBorders>
            <w:noWrap w:val="0"/>
            <w:vAlign w:val="center"/>
          </w:tcPr>
          <w:p w14:paraId="3FB91533">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包括赛场景观布置等</w:t>
            </w:r>
          </w:p>
        </w:tc>
      </w:tr>
      <w:tr w14:paraId="4D97B14F">
        <w:tblPrEx>
          <w:tblCellMar>
            <w:top w:w="0" w:type="dxa"/>
            <w:left w:w="108" w:type="dxa"/>
            <w:bottom w:w="0" w:type="dxa"/>
            <w:right w:w="108" w:type="dxa"/>
          </w:tblCellMar>
        </w:tblPrEx>
        <w:trPr>
          <w:trHeight w:val="260" w:hRule="atLeast"/>
        </w:trPr>
        <w:tc>
          <w:tcPr>
            <w:tcW w:w="875" w:type="dxa"/>
            <w:vMerge w:val="continue"/>
            <w:tcBorders>
              <w:top w:val="single" w:color="000000" w:sz="8" w:space="0"/>
              <w:left w:val="single" w:color="000000" w:sz="8" w:space="0"/>
              <w:bottom w:val="single" w:color="000000" w:sz="8" w:space="0"/>
              <w:right w:val="single" w:color="000000" w:sz="8" w:space="0"/>
            </w:tcBorders>
            <w:noWrap w:val="0"/>
            <w:vAlign w:val="center"/>
          </w:tcPr>
          <w:p w14:paraId="3990BA7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p>
        </w:tc>
        <w:tc>
          <w:tcPr>
            <w:tcW w:w="1650" w:type="dxa"/>
            <w:tcBorders>
              <w:top w:val="single" w:color="000000" w:sz="8" w:space="0"/>
              <w:left w:val="nil"/>
              <w:bottom w:val="single" w:color="000000" w:sz="8" w:space="0"/>
              <w:right w:val="single" w:color="000000" w:sz="8" w:space="0"/>
            </w:tcBorders>
            <w:noWrap w:val="0"/>
            <w:vAlign w:val="center"/>
          </w:tcPr>
          <w:p w14:paraId="28B7D27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秩序册、成绩册、赛事指南等</w:t>
            </w:r>
          </w:p>
        </w:tc>
        <w:tc>
          <w:tcPr>
            <w:tcW w:w="1735" w:type="dxa"/>
            <w:tcBorders>
              <w:top w:val="single" w:color="000000" w:sz="8" w:space="0"/>
              <w:left w:val="nil"/>
              <w:bottom w:val="single" w:color="000000" w:sz="8" w:space="0"/>
              <w:right w:val="single" w:color="000000" w:sz="8" w:space="0"/>
            </w:tcBorders>
            <w:noWrap w:val="0"/>
            <w:vAlign w:val="center"/>
          </w:tcPr>
          <w:p w14:paraId="04F845D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p>
        </w:tc>
        <w:tc>
          <w:tcPr>
            <w:tcW w:w="765" w:type="dxa"/>
            <w:tcBorders>
              <w:top w:val="single" w:color="000000" w:sz="8" w:space="0"/>
              <w:left w:val="nil"/>
              <w:bottom w:val="single" w:color="000000" w:sz="8" w:space="0"/>
              <w:right w:val="single" w:color="000000" w:sz="8" w:space="0"/>
            </w:tcBorders>
            <w:noWrap w:val="0"/>
            <w:vAlign w:val="center"/>
          </w:tcPr>
          <w:p w14:paraId="334317DF">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30" w:type="dxa"/>
            <w:tcBorders>
              <w:top w:val="single" w:color="000000" w:sz="8" w:space="0"/>
              <w:left w:val="nil"/>
              <w:bottom w:val="single" w:color="000000" w:sz="8" w:space="0"/>
              <w:right w:val="single" w:color="000000" w:sz="8" w:space="0"/>
            </w:tcBorders>
            <w:noWrap w:val="0"/>
            <w:vAlign w:val="center"/>
          </w:tcPr>
          <w:p w14:paraId="02CEA6F5">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各100份</w:t>
            </w:r>
          </w:p>
        </w:tc>
        <w:tc>
          <w:tcPr>
            <w:tcW w:w="3648" w:type="dxa"/>
            <w:tcBorders>
              <w:top w:val="single" w:color="000000" w:sz="8" w:space="0"/>
              <w:left w:val="nil"/>
              <w:bottom w:val="single" w:color="000000" w:sz="8" w:space="0"/>
              <w:right w:val="single" w:color="000000" w:sz="8" w:space="0"/>
            </w:tcBorders>
            <w:noWrap w:val="0"/>
            <w:vAlign w:val="center"/>
          </w:tcPr>
          <w:p w14:paraId="0B2ED268">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秩序册、成绩册、赛事指南各100本以上</w:t>
            </w:r>
          </w:p>
        </w:tc>
      </w:tr>
    </w:tbl>
    <w:p w14:paraId="2C087522">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备注：（1）比赛时间以主办方最终确定时间为准。（2）以上赛事人员物料清单为最低要求，供应商根据现场实际需求进行增补，所涉及的人员物资来源由供应商自行确定雇佣、租赁或采购，但必须保证符合赛事的规范要求。</w:t>
      </w:r>
    </w:p>
    <w:p w14:paraId="7749212E">
      <w:pPr>
        <w:keepNext w:val="0"/>
        <w:keepLines w:val="0"/>
        <w:pageBreakBefore w:val="0"/>
        <w:tabs>
          <w:tab w:val="left" w:pos="1680"/>
        </w:tabs>
        <w:kinsoku/>
        <w:overflowPunct/>
        <w:topLinePunct w:val="0"/>
        <w:autoSpaceDE/>
        <w:autoSpaceDN/>
        <w:bidi w:val="0"/>
        <w:adjustRightInd/>
        <w:snapToGrid/>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安保工作具体要求</w:t>
      </w:r>
    </w:p>
    <w:p w14:paraId="7EC37091">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.安保服务标准</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lang w:bidi="ar"/>
        </w:rPr>
        <w:t>以公安机关的安保要求为准</w:t>
      </w:r>
    </w:p>
    <w:p w14:paraId="317C4FB0">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1）派遣的保安人员</w:t>
      </w:r>
      <w:r>
        <w:rPr>
          <w:rFonts w:hint="eastAsia" w:ascii="宋体" w:hAnsi="宋体" w:eastAsia="宋体" w:cs="宋体"/>
          <w:bCs/>
          <w:color w:val="auto"/>
          <w:sz w:val="21"/>
          <w:szCs w:val="21"/>
          <w:highlight w:val="none"/>
          <w:lang w:val="en-US" w:eastAsia="zh-CN"/>
        </w:rPr>
        <w:t>20人，</w:t>
      </w:r>
      <w:r>
        <w:rPr>
          <w:rFonts w:hint="eastAsia" w:ascii="宋体" w:hAnsi="宋体" w:eastAsia="宋体" w:cs="宋体"/>
          <w:bCs/>
          <w:color w:val="auto"/>
          <w:sz w:val="21"/>
          <w:szCs w:val="21"/>
          <w:highlight w:val="none"/>
        </w:rPr>
        <w:t>年龄在男55周岁(含)以下，女50周岁(含) 以下，身体健康，有临时安保服务经验，女性人数比例不得超过30%</w:t>
      </w:r>
      <w:r>
        <w:rPr>
          <w:rFonts w:hint="eastAsia" w:ascii="宋体" w:hAnsi="宋体" w:eastAsia="宋体" w:cs="宋体"/>
          <w:bCs/>
          <w:color w:val="auto"/>
          <w:sz w:val="21"/>
          <w:szCs w:val="21"/>
          <w:highlight w:val="none"/>
          <w:lang w:val="en-US" w:eastAsia="zh-CN"/>
        </w:rPr>
        <w:t>。</w:t>
      </w:r>
    </w:p>
    <w:p w14:paraId="5F45A1A1">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2）保安人数等以甲方实际需求为准，乙方应根据甲方的要求，派遣保安人员按时到达指定地点进行服务，并根据甲方需求随时进行秩序维护人员增减和岗位调配。</w:t>
      </w:r>
    </w:p>
    <w:p w14:paraId="1ACD7F95">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3）乙方应在签订合同后，向甲方提供所有拟参与安保活动人员的信息和无违法犯罪记录证明。</w:t>
      </w:r>
      <w:bookmarkEnd w:id="65"/>
    </w:p>
    <w:p w14:paraId="38FCF9E1">
      <w:pPr>
        <w:keepNext w:val="0"/>
        <w:keepLines w:val="0"/>
        <w:pageBreakBefore w:val="0"/>
        <w:kinsoku/>
        <w:overflowPunct/>
        <w:topLinePunct w:val="0"/>
        <w:autoSpaceDE/>
        <w:autoSpaceDN/>
        <w:bidi w:val="0"/>
        <w:adjustRightInd/>
        <w:snapToGrid/>
        <w:spacing w:line="360" w:lineRule="auto"/>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六</w:t>
      </w:r>
      <w:r>
        <w:rPr>
          <w:rFonts w:hint="eastAsia" w:ascii="宋体" w:hAnsi="宋体" w:eastAsia="宋体" w:cs="宋体"/>
          <w:b/>
          <w:color w:val="auto"/>
          <w:sz w:val="21"/>
          <w:szCs w:val="21"/>
        </w:rPr>
        <w:t>、商务要求</w:t>
      </w:r>
    </w:p>
    <w:p w14:paraId="50A7B05C">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（一）承办方的权益</w:t>
      </w:r>
    </w:p>
    <w:p w14:paraId="73DD5777">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赛事供应商不得开发其他商业权益。</w:t>
      </w:r>
    </w:p>
    <w:p w14:paraId="34AA2990">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（二）知识产权要求</w:t>
      </w:r>
    </w:p>
    <w:p w14:paraId="4158CA6B">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1.本次供应商提供的有关策划方案的署名权归供应商所有，著作权、版权、专利权和使用权归采购人所有。</w:t>
      </w:r>
    </w:p>
    <w:p w14:paraId="026DA992">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2.供应商须保证投标文件及资料均未侵犯他人的知识产权，否则必须承担全部责任。</w:t>
      </w:r>
    </w:p>
    <w:p w14:paraId="049ADF52">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（三）项目投标报价要求</w:t>
      </w:r>
    </w:p>
    <w:p w14:paraId="5D157180">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项目费用包括采购文件中已明确的赛事策划、组织、补给物资、材料制作、交通费、人员费用、管理费用、项目执行费用，项目绩效评价费用，以及包括完成这些工作所必需的其他费用、利润、税金、政策性文件规定及合同包含的所有风险及责任。</w:t>
      </w:r>
    </w:p>
    <w:p w14:paraId="552FFFB3">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（四）合同验收</w:t>
      </w:r>
    </w:p>
    <w:p w14:paraId="73B807DF">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赛事按照《省十二残运赛事运营服务采购需求及验收标准》（附件）予以验收。</w:t>
      </w:r>
    </w:p>
    <w:p w14:paraId="15775E54">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（五）付款</w:t>
      </w:r>
    </w:p>
    <w:p w14:paraId="2EC67A16">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1.合同金额核减。</w:t>
      </w:r>
    </w:p>
    <w:p w14:paraId="4ED658D4">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rPr>
        <w:t>①赛事开赛后，参赛代表队员(教练、领队、</w:t>
      </w:r>
      <w:r>
        <w:rPr>
          <w:rFonts w:hint="eastAsia" w:ascii="宋体" w:hAnsi="宋体" w:eastAsia="宋体" w:cs="宋体"/>
          <w:color w:val="auto"/>
          <w:sz w:val="21"/>
          <w:szCs w:val="21"/>
          <w:highlight w:val="none"/>
        </w:rPr>
        <w:t>运动员</w:t>
      </w:r>
      <w:r>
        <w:rPr>
          <w:rFonts w:hint="eastAsia" w:ascii="宋体" w:hAnsi="宋体" w:eastAsia="宋体" w:cs="宋体"/>
          <w:color w:val="auto"/>
          <w:sz w:val="21"/>
          <w:szCs w:val="21"/>
          <w:highlight w:val="none"/>
          <w:lang w:eastAsia="zh-CN"/>
        </w:rPr>
        <w:t>、工作人员</w:t>
      </w:r>
      <w:r>
        <w:rPr>
          <w:rFonts w:hint="eastAsia" w:ascii="宋体" w:hAnsi="宋体" w:eastAsia="宋体" w:cs="宋体"/>
          <w:color w:val="auto"/>
          <w:sz w:val="21"/>
          <w:szCs w:val="21"/>
          <w:highlight w:val="none"/>
        </w:rPr>
        <w:t>等)人数少于“</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四</w:t>
      </w:r>
      <w:r>
        <w:rPr>
          <w:rFonts w:hint="eastAsia" w:ascii="宋体" w:hAnsi="宋体" w:eastAsia="宋体" w:cs="宋体"/>
          <w:b/>
          <w:color w:val="auto"/>
          <w:sz w:val="21"/>
          <w:szCs w:val="21"/>
          <w:highlight w:val="none"/>
        </w:rPr>
        <w:t>）基本人员物料清单需求</w:t>
      </w:r>
      <w:r>
        <w:rPr>
          <w:rFonts w:hint="eastAsia" w:ascii="宋体" w:hAnsi="宋体" w:eastAsia="宋体" w:cs="宋体"/>
          <w:color w:val="auto"/>
          <w:sz w:val="21"/>
          <w:szCs w:val="21"/>
          <w:highlight w:val="none"/>
        </w:rPr>
        <w:t>”预算人数90%，核减差额人数所需食宿费用，核减费用按照“</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元/天×差额人数×中标金额/</w:t>
      </w:r>
      <w:r>
        <w:rPr>
          <w:rFonts w:hint="eastAsia" w:ascii="宋体" w:hAnsi="宋体" w:eastAsia="宋体" w:cs="宋体"/>
          <w:color w:val="auto"/>
          <w:sz w:val="21"/>
          <w:szCs w:val="21"/>
          <w:highlight w:val="none"/>
          <w:lang w:eastAsia="zh-CN"/>
        </w:rPr>
        <w:t>最高限价</w:t>
      </w:r>
      <w:r>
        <w:rPr>
          <w:rFonts w:hint="eastAsia" w:ascii="宋体" w:hAnsi="宋体" w:eastAsia="宋体" w:cs="宋体"/>
          <w:color w:val="auto"/>
          <w:sz w:val="21"/>
          <w:szCs w:val="21"/>
          <w:highlight w:val="none"/>
        </w:rPr>
        <w:t>”计算。</w:t>
      </w:r>
    </w:p>
    <w:p w14:paraId="6E5EC82C">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②赛事教练员、参赛代表队员(教练、领队、运动员等)参赛天数少于“</w:t>
      </w:r>
      <w:r>
        <w:rPr>
          <w:rFonts w:hint="eastAsia" w:ascii="宋体" w:hAnsi="宋体" w:eastAsia="宋体" w:cs="宋体"/>
          <w:b/>
          <w:color w:val="auto"/>
          <w:sz w:val="21"/>
          <w:szCs w:val="21"/>
        </w:rPr>
        <w:t>（</w:t>
      </w:r>
      <w:r>
        <w:rPr>
          <w:rFonts w:hint="eastAsia" w:ascii="宋体" w:hAnsi="宋体" w:eastAsia="宋体" w:cs="宋体"/>
          <w:b/>
          <w:color w:val="auto"/>
          <w:sz w:val="21"/>
          <w:szCs w:val="21"/>
          <w:lang w:val="en-US" w:eastAsia="zh-CN"/>
        </w:rPr>
        <w:t>四</w:t>
      </w:r>
      <w:r>
        <w:rPr>
          <w:rFonts w:hint="eastAsia" w:ascii="宋体" w:hAnsi="宋体" w:eastAsia="宋体" w:cs="宋体"/>
          <w:b/>
          <w:color w:val="auto"/>
          <w:sz w:val="21"/>
          <w:szCs w:val="21"/>
        </w:rPr>
        <w:t>）基本人员物料清单需求</w:t>
      </w:r>
      <w:r>
        <w:rPr>
          <w:rFonts w:hint="eastAsia" w:ascii="宋体" w:hAnsi="宋体" w:eastAsia="宋体" w:cs="宋体"/>
          <w:color w:val="auto"/>
          <w:sz w:val="21"/>
          <w:szCs w:val="21"/>
        </w:rPr>
        <w:t>”各</w:t>
      </w:r>
      <w:r>
        <w:rPr>
          <w:rFonts w:hint="eastAsia" w:ascii="宋体" w:hAnsi="宋体" w:eastAsia="宋体" w:cs="宋体"/>
          <w:color w:val="auto"/>
          <w:sz w:val="21"/>
          <w:szCs w:val="21"/>
          <w:lang w:eastAsia="zh-CN"/>
        </w:rPr>
        <w:t>赛事</w:t>
      </w:r>
      <w:r>
        <w:rPr>
          <w:rFonts w:hint="eastAsia" w:ascii="宋体" w:hAnsi="宋体" w:eastAsia="宋体" w:cs="宋体"/>
          <w:color w:val="auto"/>
          <w:sz w:val="21"/>
          <w:szCs w:val="21"/>
        </w:rPr>
        <w:t>内天数的（具体天数以补充通知中报道时间和比赛结束时间为准），核减差额天数产生的对应人员的食宿费、劳务费，核减费用按照“（差额天数食宿费+劳务费）×中标总金额/总价最高限价”计算。</w:t>
      </w:r>
    </w:p>
    <w:p w14:paraId="039BBE06">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③裁判员劳务补贴</w:t>
      </w:r>
      <w:r>
        <w:rPr>
          <w:rFonts w:hint="eastAsia" w:ascii="宋体" w:hAnsi="宋体" w:eastAsia="宋体" w:cs="宋体"/>
          <w:color w:val="auto"/>
          <w:sz w:val="21"/>
          <w:szCs w:val="21"/>
          <w:lang w:eastAsia="zh-CN"/>
        </w:rPr>
        <w:t>、交通补贴</w:t>
      </w:r>
      <w:r>
        <w:rPr>
          <w:rFonts w:hint="eastAsia" w:ascii="宋体" w:hAnsi="宋体" w:eastAsia="宋体" w:cs="宋体"/>
          <w:color w:val="auto"/>
          <w:sz w:val="21"/>
          <w:szCs w:val="21"/>
        </w:rPr>
        <w:t>以实际支出为准，核减差额费用。</w:t>
      </w:r>
    </w:p>
    <w:p w14:paraId="67DCCD48">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400" w:lineRule="exact"/>
        <w:ind w:left="0" w:right="0" w:firstLine="420" w:firstLineChars="200"/>
        <w:textAlignment w:val="auto"/>
        <w:rPr>
          <w:rFonts w:hint="eastAsia"/>
        </w:rPr>
      </w:pPr>
      <w:r>
        <w:rPr>
          <w:rFonts w:hint="eastAsia" w:ascii="宋体" w:hAnsi="宋体" w:eastAsia="宋体" w:cs="宋体"/>
          <w:color w:val="000000"/>
          <w:spacing w:val="0"/>
          <w:kern w:val="2"/>
          <w:sz w:val="21"/>
          <w:szCs w:val="21"/>
          <w:highlight w:val="none"/>
          <w:lang w:val="en-US" w:eastAsia="zh-CN" w:bidi="ar-SA"/>
        </w:rPr>
        <w:t>④其他费用核增：核增额按增加数量×单价的预算金额×中标总金额/总价最高限价</w:t>
      </w:r>
      <w:r>
        <w:rPr>
          <w:rFonts w:hint="eastAsia" w:ascii="宋体" w:hAnsi="宋体" w:cs="宋体"/>
          <w:color w:val="000000"/>
          <w:spacing w:val="0"/>
          <w:kern w:val="2"/>
          <w:sz w:val="21"/>
          <w:szCs w:val="21"/>
          <w:highlight w:val="none"/>
          <w:lang w:val="en-US" w:eastAsia="zh-CN" w:bidi="ar-SA"/>
        </w:rPr>
        <w:t>。</w:t>
      </w:r>
    </w:p>
    <w:p w14:paraId="45AF305E">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具体</w:t>
      </w:r>
      <w:r>
        <w:rPr>
          <w:rFonts w:hint="eastAsia" w:ascii="宋体" w:hAnsi="宋体" w:eastAsia="宋体" w:cs="宋体"/>
          <w:color w:val="auto"/>
          <w:sz w:val="21"/>
          <w:szCs w:val="21"/>
        </w:rPr>
        <w:t>赛事运营过程中，如发生未列入预算中经费情况，经</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同意后，可在“</w:t>
      </w:r>
      <w:r>
        <w:rPr>
          <w:rFonts w:hint="eastAsia" w:ascii="宋体" w:hAnsi="宋体" w:eastAsia="宋体" w:cs="宋体"/>
          <w:color w:val="auto"/>
          <w:sz w:val="21"/>
          <w:szCs w:val="21"/>
          <w:lang w:eastAsia="zh-CN"/>
        </w:rPr>
        <w:t>不可预计</w:t>
      </w:r>
      <w:r>
        <w:rPr>
          <w:rFonts w:hint="eastAsia" w:ascii="宋体" w:hAnsi="宋体" w:eastAsia="宋体" w:cs="宋体"/>
          <w:color w:val="auto"/>
          <w:sz w:val="21"/>
          <w:szCs w:val="21"/>
        </w:rPr>
        <w:t>费用</w:t>
      </w:r>
      <w:r>
        <w:rPr>
          <w:rFonts w:hint="eastAsia" w:ascii="宋体" w:hAnsi="宋体" w:eastAsia="宋体" w:cs="宋体"/>
          <w:color w:val="auto"/>
          <w:sz w:val="21"/>
          <w:szCs w:val="21"/>
          <w:lang w:eastAsia="zh-CN"/>
        </w:rPr>
        <w:t>（赛事限额</w:t>
      </w:r>
      <w:r>
        <w:rPr>
          <w:rFonts w:hint="eastAsia" w:ascii="宋体" w:hAnsi="宋体" w:eastAsia="宋体" w:cs="宋体"/>
          <w:color w:val="auto"/>
          <w:sz w:val="21"/>
          <w:szCs w:val="21"/>
          <w:lang w:val="en-US" w:eastAsia="zh-CN"/>
        </w:rPr>
        <w:t>2万元）</w:t>
      </w:r>
      <w:r>
        <w:rPr>
          <w:rFonts w:hint="eastAsia" w:ascii="宋体" w:hAnsi="宋体" w:eastAsia="宋体" w:cs="宋体"/>
          <w:color w:val="auto"/>
          <w:sz w:val="21"/>
          <w:szCs w:val="21"/>
        </w:rPr>
        <w:t>”中支出</w:t>
      </w:r>
      <w:r>
        <w:rPr>
          <w:rFonts w:hint="eastAsia" w:ascii="宋体" w:hAnsi="宋体" w:eastAsia="宋体" w:cs="宋体"/>
          <w:color w:val="auto"/>
          <w:sz w:val="21"/>
          <w:szCs w:val="21"/>
          <w:lang w:eastAsia="zh-CN"/>
        </w:rPr>
        <w:t>，剩余费用予以核减</w:t>
      </w:r>
      <w:r>
        <w:rPr>
          <w:rFonts w:hint="eastAsia" w:ascii="宋体" w:hAnsi="宋体" w:eastAsia="宋体" w:cs="宋体"/>
          <w:color w:val="auto"/>
          <w:sz w:val="21"/>
          <w:szCs w:val="21"/>
        </w:rPr>
        <w:t>。</w:t>
      </w:r>
    </w:p>
    <w:p w14:paraId="1A310F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3.合同签订且具备实施条件后7个工作日内，采购人预付合同金额的40%(即“预付款”)。赛事服务结束后，采购人按照核减条款和《省十二残运赛事运营服务工作需求及验收标准》（附件）验收情况确定最终</w:t>
      </w:r>
      <w:r>
        <w:rPr>
          <w:rFonts w:hint="eastAsia" w:ascii="宋体" w:hAnsi="宋体" w:eastAsia="宋体" w:cs="宋体"/>
          <w:color w:val="auto"/>
          <w:sz w:val="21"/>
          <w:szCs w:val="21"/>
          <w:lang w:val="en-US" w:eastAsia="zh-CN"/>
        </w:rPr>
        <w:t>决算</w:t>
      </w:r>
      <w:r>
        <w:rPr>
          <w:rFonts w:hint="eastAsia" w:ascii="宋体" w:hAnsi="宋体" w:eastAsia="宋体" w:cs="宋体"/>
          <w:color w:val="auto"/>
          <w:sz w:val="21"/>
          <w:szCs w:val="21"/>
        </w:rPr>
        <w:t>金额，在供应商提交正式税务发票、赛事总结报告及赛事绩效情况简报等材料后15个工作日内支付单个赛事剩余合同金额。</w:t>
      </w:r>
      <w:r>
        <w:rPr>
          <w:rFonts w:hint="eastAsia" w:ascii="宋体" w:hAnsi="宋体" w:eastAsia="宋体" w:cs="宋体"/>
          <w:b w:val="0"/>
          <w:bCs w:val="0"/>
          <w:color w:val="auto"/>
          <w:sz w:val="21"/>
          <w:szCs w:val="21"/>
          <w:highlight w:val="none"/>
          <w:lang w:val="en-US" w:eastAsia="zh-CN"/>
        </w:rPr>
        <w:t>注:具体以开化县财政局款项下达到账和财务支付流程为前提。</w:t>
      </w:r>
    </w:p>
    <w:p w14:paraId="11C1145A">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4.有下列情况之一的，采购人有权不支付剩余合同金额(不含预付款)；对采购人造成损失的，采购人有权要求供应商赔偿损失。</w:t>
      </w:r>
    </w:p>
    <w:p w14:paraId="2FE415BA">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①违反采购文件规定，未经采购人批准擅自更改实施方案或改变实施内容；</w:t>
      </w:r>
    </w:p>
    <w:p w14:paraId="29F97468">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②在赛后评估、稽查和其他相关检查中发现项目服务质量等方面存在重大问题；</w:t>
      </w:r>
    </w:p>
    <w:p w14:paraId="294450D5">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③项目发生安全事故或严重事故，或者造成重大经济损失和社会不良影响；</w:t>
      </w:r>
    </w:p>
    <w:p w14:paraId="7E4AB367">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④项目实施进度非因不可抗力因素严重滞后。</w:t>
      </w:r>
    </w:p>
    <w:p w14:paraId="32915A02">
      <w:pPr>
        <w:keepNext w:val="0"/>
        <w:keepLines w:val="0"/>
        <w:pageBreakBefore w:val="0"/>
        <w:kinsoku/>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⑤对拒不执行公安机关书面通知的安保整改要求。</w:t>
      </w:r>
    </w:p>
    <w:p w14:paraId="6EE06A14">
      <w:pPr>
        <w:keepNext w:val="0"/>
        <w:keepLines w:val="0"/>
        <w:pageBreakBefore w:val="0"/>
        <w:numPr>
          <w:ilvl w:val="0"/>
          <w:numId w:val="5"/>
        </w:numPr>
        <w:kinsoku/>
        <w:overflowPunct/>
        <w:topLinePunct w:val="0"/>
        <w:autoSpaceDE/>
        <w:autoSpaceDN/>
        <w:bidi w:val="0"/>
        <w:adjustRightInd/>
        <w:snapToGrid/>
        <w:spacing w:line="360" w:lineRule="auto"/>
        <w:ind w:firstLine="420" w:firstLineChars="20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实际人数以参加人数为准</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最终</w:t>
      </w:r>
      <w:r>
        <w:rPr>
          <w:rFonts w:hint="eastAsia" w:ascii="宋体" w:hAnsi="宋体" w:eastAsia="宋体" w:cs="宋体"/>
          <w:b w:val="0"/>
          <w:bCs w:val="0"/>
          <w:color w:val="auto"/>
          <w:sz w:val="21"/>
          <w:szCs w:val="21"/>
          <w:lang w:eastAsia="zh-CN"/>
        </w:rPr>
        <w:t>按实际人数及相应标准进行结算。</w:t>
      </w:r>
    </w:p>
    <w:p w14:paraId="228AD3D9">
      <w:pPr>
        <w:pStyle w:val="16"/>
        <w:numPr>
          <w:ilvl w:val="0"/>
          <w:numId w:val="0"/>
        </w:numPr>
        <w:rPr>
          <w:rFonts w:hint="eastAsia"/>
          <w:b/>
          <w:bCs/>
          <w:color w:val="FF0000"/>
          <w:lang w:val="en-US" w:eastAsia="zh-CN"/>
        </w:rPr>
      </w:pPr>
      <w:r>
        <w:rPr>
          <w:rFonts w:hint="eastAsia"/>
          <w:b/>
          <w:bCs/>
          <w:lang w:val="en-US" w:eastAsia="zh-CN"/>
        </w:rPr>
        <w:t>注：上述需求项目如遇市级赛事筹备办统一提供的，则费用金额相应核减。</w:t>
      </w:r>
    </w:p>
    <w:p w14:paraId="149D25D7">
      <w:pPr>
        <w:keepNext w:val="0"/>
        <w:keepLines w:val="0"/>
        <w:pageBreakBefore w:val="0"/>
        <w:kinsoku/>
        <w:overflowPunct/>
        <w:topLinePunct w:val="0"/>
        <w:autoSpaceDE/>
        <w:autoSpaceDN/>
        <w:bidi w:val="0"/>
        <w:adjustRightInd/>
        <w:snapToGrid/>
        <w:spacing w:line="360" w:lineRule="auto"/>
        <w:rPr>
          <w:rFonts w:hint="eastAsia" w:ascii="宋体" w:hAnsi="宋体" w:eastAsia="宋体" w:cs="宋体"/>
          <w:color w:val="auto"/>
          <w:sz w:val="21"/>
          <w:szCs w:val="21"/>
        </w:rPr>
      </w:pPr>
    </w:p>
    <w:p w14:paraId="2619E950">
      <w:pPr>
        <w:keepNext w:val="0"/>
        <w:keepLines w:val="0"/>
        <w:pageBreakBefore w:val="0"/>
        <w:kinsoku/>
        <w:overflowPunct/>
        <w:topLinePunct w:val="0"/>
        <w:autoSpaceDE/>
        <w:autoSpaceDN/>
        <w:bidi w:val="0"/>
        <w:adjustRightInd/>
        <w:snapToGrid/>
        <w:spacing w:line="360" w:lineRule="auto"/>
        <w:rPr>
          <w:rFonts w:hint="eastAsia" w:ascii="宋体" w:hAnsi="宋体" w:eastAsia="宋体" w:cs="宋体"/>
          <w:color w:val="auto"/>
          <w:sz w:val="21"/>
          <w:szCs w:val="21"/>
        </w:rPr>
      </w:pPr>
    </w:p>
    <w:p w14:paraId="251194FB">
      <w:pPr>
        <w:keepNext w:val="0"/>
        <w:keepLines w:val="0"/>
        <w:pageBreakBefore w:val="0"/>
        <w:kinsoku/>
        <w:overflowPunct/>
        <w:topLinePunct w:val="0"/>
        <w:autoSpaceDE/>
        <w:autoSpaceDN/>
        <w:bidi w:val="0"/>
        <w:adjustRightInd/>
        <w:snapToGrid/>
        <w:spacing w:line="360" w:lineRule="auto"/>
        <w:rPr>
          <w:rFonts w:hint="eastAsia" w:ascii="宋体" w:hAnsi="宋体" w:eastAsia="宋体" w:cs="宋体"/>
          <w:color w:val="auto"/>
          <w:sz w:val="21"/>
          <w:szCs w:val="21"/>
        </w:rPr>
      </w:pPr>
    </w:p>
    <w:p w14:paraId="7A68AEDB">
      <w:pPr>
        <w:keepNext w:val="0"/>
        <w:keepLines w:val="0"/>
        <w:pageBreakBefore w:val="0"/>
        <w:kinsoku/>
        <w:overflowPunct/>
        <w:topLinePunct w:val="0"/>
        <w:autoSpaceDE/>
        <w:autoSpaceDN/>
        <w:bidi w:val="0"/>
        <w:adjustRightInd/>
        <w:snapToGrid/>
        <w:spacing w:line="360" w:lineRule="auto"/>
        <w:rPr>
          <w:rFonts w:hint="eastAsia" w:ascii="宋体" w:hAnsi="宋体" w:eastAsia="宋体" w:cs="宋体"/>
          <w:color w:val="auto"/>
          <w:sz w:val="21"/>
          <w:szCs w:val="21"/>
        </w:rPr>
      </w:pPr>
    </w:p>
    <w:p w14:paraId="38CA74DE">
      <w:pPr>
        <w:keepNext w:val="0"/>
        <w:keepLines w:val="0"/>
        <w:pageBreakBefore w:val="0"/>
        <w:kinsoku/>
        <w:overflowPunct/>
        <w:topLinePunct w:val="0"/>
        <w:autoSpaceDE/>
        <w:autoSpaceDN/>
        <w:bidi w:val="0"/>
        <w:adjustRightInd/>
        <w:snapToGrid/>
        <w:spacing w:line="360" w:lineRule="auto"/>
        <w:rPr>
          <w:rFonts w:hint="eastAsia" w:ascii="宋体" w:hAnsi="宋体" w:eastAsia="宋体" w:cs="宋体"/>
          <w:color w:val="auto"/>
          <w:sz w:val="21"/>
          <w:szCs w:val="21"/>
        </w:rPr>
      </w:pPr>
    </w:p>
    <w:p w14:paraId="5D38800D">
      <w:pPr>
        <w:keepNext w:val="0"/>
        <w:keepLines w:val="0"/>
        <w:pageBreakBefore w:val="0"/>
        <w:kinsoku/>
        <w:overflowPunct/>
        <w:topLinePunct w:val="0"/>
        <w:autoSpaceDE/>
        <w:autoSpaceDN/>
        <w:bidi w:val="0"/>
        <w:adjustRightInd/>
        <w:snapToGri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附件：省十二残运赛事运营服务工作需求及验收标准</w:t>
      </w:r>
    </w:p>
    <w:p w14:paraId="33D83CF7">
      <w:pPr>
        <w:rPr>
          <w:rFonts w:hint="eastAsia" w:ascii="宋体" w:hAnsi="宋体" w:cs="仿宋_GB2312"/>
          <w:color w:val="auto"/>
        </w:rPr>
        <w:sectPr>
          <w:pgSz w:w="11906" w:h="16838"/>
          <w:pgMar w:top="1440" w:right="1803" w:bottom="1440" w:left="1803" w:header="851" w:footer="992" w:gutter="0"/>
          <w:cols w:space="720" w:num="1"/>
          <w:docGrid w:type="lines" w:linePitch="312" w:charSpace="0"/>
        </w:sectPr>
      </w:pPr>
    </w:p>
    <w:p w14:paraId="5E95673D">
      <w:pPr>
        <w:pStyle w:val="16"/>
        <w:ind w:left="0" w:leftChars="0" w:firstLine="0" w:firstLineChars="0"/>
        <w:jc w:val="left"/>
        <w:rPr>
          <w:rFonts w:hint="eastAsia" w:ascii="方正小标宋简体" w:hAnsi="方正小标宋简体" w:eastAsia="方正小标宋简体" w:cs="方正小标宋简体"/>
          <w:color w:val="auto"/>
          <w:kern w:val="0"/>
          <w:sz w:val="36"/>
          <w:szCs w:val="36"/>
          <w:lang w:val="en-US" w:eastAsia="zh-CN" w:bidi="ar"/>
        </w:rPr>
      </w:pPr>
      <w:r>
        <w:rPr>
          <w:rFonts w:hint="eastAsia" w:ascii="方正小标宋简体" w:hAnsi="方正小标宋简体" w:eastAsia="方正小标宋简体" w:cs="方正小标宋简体"/>
          <w:color w:val="auto"/>
          <w:kern w:val="0"/>
          <w:sz w:val="36"/>
          <w:szCs w:val="36"/>
          <w:lang w:val="en-US" w:eastAsia="zh-CN" w:bidi="ar"/>
        </w:rPr>
        <w:t>附件</w:t>
      </w:r>
    </w:p>
    <w:p w14:paraId="14A077E9">
      <w:pPr>
        <w:pStyle w:val="16"/>
        <w:ind w:left="0" w:leftChars="0" w:firstLine="0" w:firstLineChars="0"/>
        <w:jc w:val="center"/>
        <w:rPr>
          <w:rFonts w:hint="eastAsia"/>
        </w:rPr>
      </w:pPr>
      <w:r>
        <w:rPr>
          <w:rFonts w:hint="eastAsia" w:ascii="方正小标宋简体" w:hAnsi="方正小标宋简体" w:eastAsia="方正小标宋简体" w:cs="方正小标宋简体"/>
          <w:color w:val="auto"/>
          <w:kern w:val="0"/>
          <w:sz w:val="36"/>
          <w:szCs w:val="36"/>
          <w:lang w:bidi="ar"/>
        </w:rPr>
        <w:t>省十二残运赛事运营服务工作需求及验收标准</w:t>
      </w:r>
    </w:p>
    <w:tbl>
      <w:tblPr>
        <w:tblStyle w:val="38"/>
        <w:tblW w:w="14143" w:type="dxa"/>
        <w:tblInd w:w="93" w:type="dxa"/>
        <w:tblLayout w:type="autofit"/>
        <w:tblCellMar>
          <w:top w:w="0" w:type="dxa"/>
          <w:left w:w="108" w:type="dxa"/>
          <w:bottom w:w="0" w:type="dxa"/>
          <w:right w:w="108" w:type="dxa"/>
        </w:tblCellMar>
      </w:tblPr>
      <w:tblGrid>
        <w:gridCol w:w="644"/>
        <w:gridCol w:w="1727"/>
        <w:gridCol w:w="5198"/>
        <w:gridCol w:w="2322"/>
        <w:gridCol w:w="3348"/>
        <w:gridCol w:w="904"/>
      </w:tblGrid>
      <w:tr w14:paraId="09B9456D">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14:paraId="08C2CBB6">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auto"/>
                <w:sz w:val="28"/>
                <w:szCs w:val="28"/>
              </w:rPr>
            </w:pPr>
            <w:r>
              <w:rPr>
                <w:rFonts w:hint="eastAsia" w:ascii="黑体" w:hAnsi="宋体" w:eastAsia="黑体" w:cs="黑体"/>
                <w:color w:val="auto"/>
                <w:kern w:val="0"/>
                <w:sz w:val="28"/>
                <w:szCs w:val="28"/>
                <w:lang w:bidi="ar"/>
              </w:rPr>
              <w:t>序号</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3A8D7F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sz w:val="28"/>
                <w:szCs w:val="28"/>
              </w:rPr>
            </w:pPr>
            <w:r>
              <w:rPr>
                <w:rFonts w:hint="eastAsia" w:ascii="黑体" w:hAnsi="宋体" w:eastAsia="黑体" w:cs="黑体"/>
                <w:color w:val="auto"/>
                <w:kern w:val="0"/>
                <w:sz w:val="28"/>
                <w:szCs w:val="28"/>
                <w:lang w:bidi="ar"/>
              </w:rPr>
              <w:t>项目</w:t>
            </w:r>
          </w:p>
        </w:tc>
        <w:tc>
          <w:tcPr>
            <w:tcW w:w="5315" w:type="dxa"/>
            <w:tcBorders>
              <w:top w:val="single" w:color="auto" w:sz="4" w:space="0"/>
              <w:left w:val="single" w:color="auto" w:sz="4" w:space="0"/>
              <w:bottom w:val="single" w:color="auto" w:sz="4" w:space="0"/>
              <w:right w:val="single" w:color="auto" w:sz="4" w:space="0"/>
            </w:tcBorders>
            <w:noWrap w:val="0"/>
            <w:vAlign w:val="center"/>
          </w:tcPr>
          <w:p w14:paraId="1BC6C7C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sz w:val="28"/>
                <w:szCs w:val="28"/>
              </w:rPr>
            </w:pPr>
            <w:r>
              <w:rPr>
                <w:rFonts w:hint="eastAsia" w:ascii="黑体" w:hAnsi="宋体" w:eastAsia="黑体" w:cs="黑体"/>
                <w:color w:val="auto"/>
                <w:kern w:val="0"/>
                <w:sz w:val="28"/>
                <w:szCs w:val="28"/>
                <w:lang w:bidi="ar"/>
              </w:rPr>
              <w:t>工作需求</w:t>
            </w:r>
          </w:p>
        </w:tc>
        <w:tc>
          <w:tcPr>
            <w:tcW w:w="2367" w:type="dxa"/>
            <w:tcBorders>
              <w:top w:val="single" w:color="auto" w:sz="4" w:space="0"/>
              <w:left w:val="single" w:color="auto" w:sz="4" w:space="0"/>
              <w:bottom w:val="single" w:color="auto" w:sz="4" w:space="0"/>
              <w:right w:val="single" w:color="auto" w:sz="4" w:space="0"/>
            </w:tcBorders>
            <w:noWrap w:val="0"/>
            <w:vAlign w:val="center"/>
          </w:tcPr>
          <w:p w14:paraId="0EB4627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sz w:val="28"/>
                <w:szCs w:val="28"/>
              </w:rPr>
            </w:pPr>
            <w:r>
              <w:rPr>
                <w:rFonts w:hint="eastAsia" w:ascii="黑体" w:hAnsi="宋体" w:eastAsia="黑体" w:cs="黑体"/>
                <w:color w:val="auto"/>
                <w:kern w:val="0"/>
                <w:sz w:val="28"/>
                <w:szCs w:val="28"/>
                <w:lang w:bidi="ar"/>
              </w:rPr>
              <w:t>验收方式</w:t>
            </w:r>
          </w:p>
        </w:tc>
        <w:tc>
          <w:tcPr>
            <w:tcW w:w="3418" w:type="dxa"/>
            <w:tcBorders>
              <w:top w:val="single" w:color="auto" w:sz="4" w:space="0"/>
              <w:left w:val="single" w:color="auto" w:sz="4" w:space="0"/>
              <w:bottom w:val="single" w:color="auto" w:sz="4" w:space="0"/>
              <w:right w:val="single" w:color="auto" w:sz="4" w:space="0"/>
            </w:tcBorders>
            <w:noWrap w:val="0"/>
            <w:vAlign w:val="center"/>
          </w:tcPr>
          <w:p w14:paraId="56C1122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sz w:val="28"/>
                <w:szCs w:val="28"/>
              </w:rPr>
            </w:pPr>
            <w:r>
              <w:rPr>
                <w:rFonts w:hint="eastAsia" w:ascii="黑体" w:hAnsi="宋体" w:eastAsia="黑体" w:cs="黑体"/>
                <w:color w:val="auto"/>
                <w:kern w:val="0"/>
                <w:sz w:val="28"/>
                <w:szCs w:val="28"/>
                <w:lang w:bidi="ar"/>
              </w:rPr>
              <w:t>处置方法</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1DDD722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sz w:val="28"/>
                <w:szCs w:val="28"/>
              </w:rPr>
            </w:pPr>
            <w:r>
              <w:rPr>
                <w:rFonts w:hint="eastAsia" w:ascii="黑体" w:hAnsi="宋体" w:eastAsia="黑体" w:cs="黑体"/>
                <w:color w:val="auto"/>
                <w:kern w:val="0"/>
                <w:sz w:val="28"/>
                <w:szCs w:val="28"/>
                <w:lang w:eastAsia="zh-CN" w:bidi="ar"/>
              </w:rPr>
              <w:t>备注</w:t>
            </w:r>
          </w:p>
        </w:tc>
      </w:tr>
      <w:tr w14:paraId="2D147AE8">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B07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A37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团队组建及方案编制</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FB6E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成立工作机构，组建赛事运行团队，编制竞赛组织方案。</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1.团队人员中须包含具有相关项目赛事组织经验的管理人员，分工合理、职责明确。提供足够数量的工作人员，包括但不限于赛事组委会工作人员、赛事保障人员、赛事服务人员、赛事运行人员，具体数量根据赛事规模和实际需求为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制定各类赛事方案：赛事运营工作方案、竞赛组织方案、场地器材保障方案、应急预案。方案内容覆盖竞赛全流程、各环节，职责清晰到人。应急预案需针对天气、安全事故、赛程延误等常见风险，具备可操作性。</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3.根据甲方要求编制秩序册、成绩册、赛事指南等材料并印制成册。</w:t>
            </w:r>
          </w:p>
        </w:tc>
        <w:tc>
          <w:tcPr>
            <w:tcW w:w="2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2BDD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1.合同签订后一周内将项目团队名单及联络表交甲方，并及时告知甲方人员更新信息。</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2.赛前15天提交各类方案、预案，经甲方确定后执行。</w:t>
            </w:r>
          </w:p>
        </w:tc>
        <w:tc>
          <w:tcPr>
            <w:tcW w:w="3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9322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1.乙方未能按合同规定的</w:t>
            </w:r>
            <w:r>
              <w:rPr>
                <w:rFonts w:hint="eastAsia" w:ascii="宋体" w:hAnsi="宋体" w:cs="宋体"/>
                <w:color w:val="auto"/>
                <w:kern w:val="0"/>
                <w:sz w:val="22"/>
                <w:szCs w:val="22"/>
                <w:lang w:val="en-US" w:eastAsia="zh-CN" w:bidi="ar"/>
              </w:rPr>
              <w:t>交付</w:t>
            </w:r>
            <w:r>
              <w:rPr>
                <w:rFonts w:hint="eastAsia" w:ascii="宋体" w:hAnsi="宋体" w:cs="宋体"/>
                <w:color w:val="auto"/>
                <w:kern w:val="0"/>
                <w:sz w:val="22"/>
                <w:szCs w:val="22"/>
                <w:lang w:bidi="ar"/>
              </w:rPr>
              <w:t>时间提供服务，从逾期之日起每日按合同</w:t>
            </w:r>
            <w:r>
              <w:rPr>
                <w:rFonts w:hint="eastAsia" w:ascii="宋体" w:hAnsi="宋体" w:cs="宋体"/>
                <w:color w:val="auto"/>
                <w:kern w:val="0"/>
                <w:sz w:val="22"/>
                <w:szCs w:val="22"/>
                <w:lang w:val="en-US" w:eastAsia="zh-CN" w:bidi="ar"/>
              </w:rPr>
              <w:t>总价</w:t>
            </w:r>
            <w:r>
              <w:rPr>
                <w:rFonts w:hint="eastAsia" w:ascii="宋体" w:hAnsi="宋体" w:cs="宋体"/>
                <w:color w:val="auto"/>
                <w:kern w:val="0"/>
                <w:sz w:val="22"/>
                <w:szCs w:val="22"/>
                <w:lang w:bidi="ar"/>
              </w:rPr>
              <w:t>3‰的数额向甲方支付违约金；逾期3个工作日以上的，甲方有权终止合同，由此造成的甲方经济损失由乙方承担；</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2.乙方提供的服务不符合赛事要求的，甲方有权拒收，并且乙方须向甲方支付合同总价5%的违约金。</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5740309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eastAsia="zh-CN" w:bidi="ar"/>
              </w:rPr>
            </w:pPr>
          </w:p>
        </w:tc>
      </w:tr>
      <w:tr w14:paraId="4301B5C9">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1E12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E3968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场地与器材准备</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94FD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开展场地和器材保障。</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1.根据赛事活动要求，确保比赛场地的电力设施、场地设施、安保设施达到比赛规定的技术要求。</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2.场地规划须符合竞赛规程要求，流线科学合理。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3.落实赛事场地内搭建、宣传物品制作、引导牌制作等所有相关物料。</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确保配备赛事所需全部器材，所有竞赛器材（如计时记分系统、起终点设备、测量工具等）须性能稳定、精确，符合专业标准。比赛期间在现场配备足够的零配件，以保证甲方比赛期间的正常进行和提供器材的正常使用。</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val="en-US" w:eastAsia="zh-CN" w:bidi="ar"/>
              </w:rPr>
              <w:t>5</w:t>
            </w:r>
            <w:r>
              <w:rPr>
                <w:rFonts w:hint="eastAsia" w:ascii="宋体" w:hAnsi="宋体" w:cs="宋体"/>
                <w:color w:val="auto"/>
                <w:kern w:val="0"/>
                <w:sz w:val="22"/>
                <w:szCs w:val="22"/>
                <w:lang w:bidi="ar"/>
              </w:rPr>
              <w:t>.竞赛期间，配备足额竞赛器材技术人员，并准备适当备用方案。</w:t>
            </w:r>
          </w:p>
        </w:tc>
        <w:tc>
          <w:tcPr>
            <w:tcW w:w="2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49F4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1.赛前提供赛场流线图等资料，并经</w:t>
            </w:r>
            <w:r>
              <w:rPr>
                <w:rFonts w:hint="eastAsia" w:ascii="宋体" w:hAnsi="宋体" w:cs="宋体"/>
                <w:color w:val="auto"/>
                <w:kern w:val="0"/>
                <w:sz w:val="22"/>
                <w:szCs w:val="22"/>
                <w:lang w:val="en-US" w:eastAsia="zh-CN" w:bidi="ar"/>
              </w:rPr>
              <w:t>甲方</w:t>
            </w:r>
            <w:r>
              <w:rPr>
                <w:rFonts w:hint="eastAsia" w:ascii="宋体" w:hAnsi="宋体" w:cs="宋体"/>
                <w:color w:val="auto"/>
                <w:kern w:val="0"/>
                <w:sz w:val="22"/>
                <w:szCs w:val="22"/>
                <w:lang w:bidi="ar"/>
              </w:rPr>
              <w:t>审核后实施；</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2.场地布置和器材布置经赛事管理部门或甲方现场核验确认。</w:t>
            </w:r>
          </w:p>
        </w:tc>
        <w:tc>
          <w:tcPr>
            <w:tcW w:w="3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2C44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乙方因场馆和器材保障不到位，造成赛事不能按期举行或重大调整，或给甲方形象、声誉带来不利影响或损失的，乙方除负责及时采取有效补救措施外，还应按合同单项赛事合同金额的20%向甲方支付违约金，并赔偿由此给甲方造成的损失。</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0BAD53C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eastAsia="zh-CN" w:bidi="ar"/>
              </w:rPr>
            </w:pPr>
          </w:p>
        </w:tc>
      </w:tr>
      <w:tr w14:paraId="4B42F6A4">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FA3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3</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5D4BA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赛事保险</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473D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根据甲方要求购买保险。参保人员包括：参赛人员、裁判员、技术官员、工作人员、志愿者等，险种包括但不限于：公众责任险、竞赛人员意外伤害险。</w:t>
            </w:r>
          </w:p>
        </w:tc>
        <w:tc>
          <w:tcPr>
            <w:tcW w:w="2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97E4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赛前提交已购保险凭证。</w:t>
            </w:r>
          </w:p>
        </w:tc>
        <w:tc>
          <w:tcPr>
            <w:tcW w:w="3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BBDF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如未及时购买保险，除及时整改补购外，扣除需购买保险金额的3倍费用作为罚金；如因未及时购买保险造成损失的，所有损失由乙方承担。</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0A63C1E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eastAsia="zh-CN" w:bidi="ar"/>
              </w:rPr>
            </w:pPr>
          </w:p>
        </w:tc>
      </w:tr>
      <w:tr w14:paraId="16AC5AD7">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14:paraId="3B6F003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bidi="ar"/>
              </w:rPr>
            </w:pPr>
            <w:r>
              <w:rPr>
                <w:rFonts w:hint="eastAsia" w:ascii="宋体" w:hAnsi="宋体" w:cs="宋体"/>
                <w:color w:val="auto"/>
                <w:kern w:val="0"/>
                <w:sz w:val="22"/>
                <w:szCs w:val="22"/>
                <w:lang w:bidi="ar"/>
              </w:rPr>
              <w:t>4</w:t>
            </w:r>
          </w:p>
        </w:tc>
        <w:tc>
          <w:tcPr>
            <w:tcW w:w="1481" w:type="dxa"/>
            <w:vMerge w:val="restart"/>
            <w:tcBorders>
              <w:top w:val="single" w:color="auto" w:sz="4" w:space="0"/>
              <w:left w:val="single" w:color="auto" w:sz="4" w:space="0"/>
              <w:bottom w:val="single" w:color="auto" w:sz="4" w:space="0"/>
              <w:right w:val="single" w:color="auto" w:sz="4" w:space="0"/>
            </w:tcBorders>
            <w:noWrap w:val="0"/>
            <w:vAlign w:val="center"/>
          </w:tcPr>
          <w:p w14:paraId="0B44658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bidi="ar"/>
              </w:rPr>
            </w:pPr>
            <w:r>
              <w:rPr>
                <w:rFonts w:hint="eastAsia" w:ascii="宋体" w:hAnsi="宋体" w:cs="宋体"/>
                <w:color w:val="auto"/>
                <w:kern w:val="0"/>
                <w:sz w:val="22"/>
                <w:szCs w:val="22"/>
                <w:lang w:bidi="ar"/>
              </w:rPr>
              <w:t>赛时保障执行</w:t>
            </w:r>
          </w:p>
        </w:tc>
        <w:tc>
          <w:tcPr>
            <w:tcW w:w="5315" w:type="dxa"/>
            <w:tcBorders>
              <w:top w:val="single" w:color="auto" w:sz="4" w:space="0"/>
              <w:left w:val="single" w:color="auto" w:sz="4" w:space="0"/>
              <w:bottom w:val="single" w:color="auto" w:sz="4" w:space="0"/>
              <w:right w:val="single" w:color="auto" w:sz="4" w:space="0"/>
            </w:tcBorders>
            <w:noWrap w:val="0"/>
            <w:vAlign w:val="center"/>
          </w:tcPr>
          <w:p w14:paraId="1EAA85AF">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color w:val="auto"/>
                <w:kern w:val="0"/>
                <w:sz w:val="28"/>
                <w:szCs w:val="28"/>
                <w:lang w:bidi="ar"/>
              </w:rPr>
            </w:pPr>
            <w:r>
              <w:rPr>
                <w:rFonts w:hint="eastAsia" w:ascii="宋体" w:hAnsi="宋体" w:cs="宋体"/>
                <w:color w:val="auto"/>
                <w:kern w:val="0"/>
                <w:sz w:val="22"/>
                <w:szCs w:val="22"/>
                <w:lang w:bidi="ar"/>
              </w:rPr>
              <w:t>1.建立与裁判员团队、参赛队伍、志愿者、市筹备办等人员联络机制。</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2.做好裁判员团队赛事组织服务工作，确保各环节衔接顺畅，时间控制精确，无延误或混乱。</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3.安排专人协助成绩采集、成绩系统录入。</w:t>
            </w:r>
          </w:p>
        </w:tc>
        <w:tc>
          <w:tcPr>
            <w:tcW w:w="2367" w:type="dxa"/>
            <w:tcBorders>
              <w:top w:val="single" w:color="auto" w:sz="4" w:space="0"/>
              <w:left w:val="single" w:color="auto" w:sz="4" w:space="0"/>
              <w:bottom w:val="single" w:color="auto" w:sz="4" w:space="0"/>
              <w:right w:val="single" w:color="auto" w:sz="4" w:space="0"/>
            </w:tcBorders>
            <w:noWrap w:val="0"/>
            <w:vAlign w:val="center"/>
          </w:tcPr>
          <w:p w14:paraId="6B945FAE">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color w:val="auto"/>
                <w:kern w:val="0"/>
                <w:sz w:val="28"/>
                <w:szCs w:val="28"/>
                <w:lang w:bidi="ar"/>
              </w:rPr>
            </w:pPr>
            <w:r>
              <w:rPr>
                <w:rFonts w:hint="eastAsia" w:ascii="宋体" w:hAnsi="宋体" w:cs="宋体"/>
                <w:color w:val="auto"/>
                <w:kern w:val="0"/>
                <w:sz w:val="22"/>
                <w:szCs w:val="22"/>
                <w:lang w:bidi="ar"/>
              </w:rPr>
              <w:t>1.提交人员联络表，赛前2天内完成；</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2.收集成绩确认表并存档；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3.甲方现场核查。</w:t>
            </w:r>
          </w:p>
        </w:tc>
        <w:tc>
          <w:tcPr>
            <w:tcW w:w="3418" w:type="dxa"/>
            <w:tcBorders>
              <w:top w:val="single" w:color="auto" w:sz="4" w:space="0"/>
              <w:left w:val="single" w:color="auto" w:sz="4" w:space="0"/>
              <w:bottom w:val="single" w:color="auto" w:sz="4" w:space="0"/>
              <w:right w:val="single" w:color="auto" w:sz="4" w:space="0"/>
            </w:tcBorders>
            <w:noWrap w:val="0"/>
            <w:vAlign w:val="center"/>
          </w:tcPr>
          <w:p w14:paraId="4F093B01">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1.未按时提供材料的，除及时补交外，每发生一项按次扣2000元。</w:t>
            </w:r>
          </w:p>
          <w:p w14:paraId="2E72A80B">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color w:val="auto"/>
                <w:kern w:val="0"/>
                <w:sz w:val="28"/>
                <w:szCs w:val="28"/>
                <w:lang w:bidi="ar"/>
              </w:rPr>
            </w:pPr>
            <w:r>
              <w:rPr>
                <w:rFonts w:hint="eastAsia" w:ascii="宋体" w:hAnsi="宋体" w:cs="宋体"/>
                <w:color w:val="auto"/>
                <w:kern w:val="0"/>
                <w:sz w:val="22"/>
                <w:szCs w:val="22"/>
                <w:lang w:bidi="ar"/>
              </w:rPr>
              <w:t>2.未安排专人协助成绩采集、成绩系统录入，按赛事举办天数，每少一天扣除1000元。</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53D10EC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eastAsia="zh-CN" w:bidi="ar"/>
              </w:rPr>
            </w:pPr>
          </w:p>
        </w:tc>
      </w:tr>
      <w:tr w14:paraId="6C6C5951">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14:paraId="0282535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bidi="ar"/>
              </w:rPr>
            </w:pPr>
            <w:r>
              <w:rPr>
                <w:rFonts w:hint="eastAsia" w:ascii="宋体" w:hAnsi="宋体" w:cs="宋体"/>
                <w:color w:val="auto"/>
                <w:kern w:val="0"/>
                <w:sz w:val="22"/>
                <w:szCs w:val="22"/>
                <w:lang w:bidi="ar"/>
              </w:rPr>
              <w:t>5</w:t>
            </w:r>
          </w:p>
        </w:tc>
        <w:tc>
          <w:tcPr>
            <w:tcW w:w="1481" w:type="dxa"/>
            <w:vMerge w:val="continue"/>
            <w:tcBorders>
              <w:top w:val="single" w:color="auto" w:sz="4" w:space="0"/>
              <w:left w:val="single" w:color="auto" w:sz="4" w:space="0"/>
              <w:bottom w:val="single" w:color="auto" w:sz="4" w:space="0"/>
              <w:right w:val="single" w:color="auto" w:sz="4" w:space="0"/>
            </w:tcBorders>
            <w:noWrap w:val="0"/>
            <w:vAlign w:val="center"/>
          </w:tcPr>
          <w:p w14:paraId="1249A55B">
            <w:pPr>
              <w:keepNext w:val="0"/>
              <w:keepLines w:val="0"/>
              <w:widowControl/>
              <w:suppressLineNumbers w:val="0"/>
              <w:spacing w:before="0" w:beforeAutospacing="0" w:after="0" w:afterAutospacing="0"/>
              <w:ind w:left="0" w:right="0"/>
              <w:jc w:val="center"/>
              <w:rPr>
                <w:rFonts w:hint="eastAsia" w:ascii="黑体" w:hAnsi="宋体" w:eastAsia="黑体" w:cs="黑体"/>
                <w:color w:val="auto"/>
                <w:kern w:val="0"/>
                <w:sz w:val="28"/>
                <w:szCs w:val="28"/>
                <w:lang w:bidi="ar"/>
              </w:rPr>
            </w:pPr>
            <w:r>
              <w:rPr>
                <w:rFonts w:hint="eastAsia" w:ascii="宋体" w:hAnsi="宋体" w:cs="宋体"/>
                <w:color w:val="auto"/>
                <w:kern w:val="0"/>
                <w:sz w:val="22"/>
                <w:szCs w:val="22"/>
                <w:lang w:bidi="ar"/>
              </w:rPr>
              <w:t>资料整理与归档</w:t>
            </w:r>
          </w:p>
        </w:tc>
        <w:tc>
          <w:tcPr>
            <w:tcW w:w="5315" w:type="dxa"/>
            <w:tcBorders>
              <w:top w:val="single" w:color="auto" w:sz="4" w:space="0"/>
              <w:left w:val="single" w:color="auto" w:sz="4" w:space="0"/>
              <w:bottom w:val="single" w:color="auto" w:sz="4" w:space="0"/>
              <w:right w:val="single" w:color="auto" w:sz="4" w:space="0"/>
            </w:tcBorders>
            <w:noWrap w:val="0"/>
            <w:vAlign w:val="center"/>
          </w:tcPr>
          <w:p w14:paraId="69E292D3">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color w:val="auto"/>
                <w:kern w:val="0"/>
                <w:sz w:val="28"/>
                <w:szCs w:val="28"/>
                <w:lang w:bidi="ar"/>
              </w:rPr>
            </w:pPr>
            <w:r>
              <w:rPr>
                <w:rFonts w:hint="eastAsia" w:ascii="宋体" w:hAnsi="宋体" w:cs="宋体"/>
                <w:color w:val="auto"/>
                <w:kern w:val="0"/>
                <w:sz w:val="22"/>
                <w:szCs w:val="22"/>
                <w:lang w:bidi="ar"/>
              </w:rPr>
              <w:t>1.根据甲方要求提交各类验收材料；</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2.收集比赛各类资料并整理归档。</w:t>
            </w:r>
          </w:p>
        </w:tc>
        <w:tc>
          <w:tcPr>
            <w:tcW w:w="2367" w:type="dxa"/>
            <w:tcBorders>
              <w:top w:val="single" w:color="auto" w:sz="4" w:space="0"/>
              <w:left w:val="single" w:color="auto" w:sz="4" w:space="0"/>
              <w:bottom w:val="single" w:color="auto" w:sz="4" w:space="0"/>
              <w:right w:val="single" w:color="auto" w:sz="4" w:space="0"/>
            </w:tcBorders>
            <w:noWrap w:val="0"/>
            <w:vAlign w:val="center"/>
          </w:tcPr>
          <w:p w14:paraId="6F7A1694">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color w:val="auto"/>
                <w:kern w:val="0"/>
                <w:sz w:val="28"/>
                <w:szCs w:val="28"/>
                <w:lang w:bidi="ar"/>
              </w:rPr>
            </w:pPr>
            <w:r>
              <w:rPr>
                <w:rFonts w:hint="eastAsia" w:ascii="宋体" w:hAnsi="宋体" w:cs="宋体"/>
                <w:color w:val="auto"/>
                <w:kern w:val="0"/>
                <w:sz w:val="22"/>
                <w:szCs w:val="22"/>
                <w:lang w:bidi="ar"/>
              </w:rPr>
              <w:t>核验各类材料</w:t>
            </w:r>
          </w:p>
        </w:tc>
        <w:tc>
          <w:tcPr>
            <w:tcW w:w="3418" w:type="dxa"/>
            <w:tcBorders>
              <w:top w:val="single" w:color="auto" w:sz="4" w:space="0"/>
              <w:left w:val="single" w:color="auto" w:sz="4" w:space="0"/>
              <w:bottom w:val="single" w:color="auto" w:sz="4" w:space="0"/>
              <w:right w:val="single" w:color="auto" w:sz="4" w:space="0"/>
            </w:tcBorders>
            <w:noWrap w:val="0"/>
            <w:vAlign w:val="center"/>
          </w:tcPr>
          <w:p w14:paraId="34C42BD4">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color w:val="auto"/>
                <w:kern w:val="0"/>
                <w:sz w:val="28"/>
                <w:szCs w:val="28"/>
                <w:lang w:bidi="ar"/>
              </w:rPr>
            </w:pPr>
            <w:r>
              <w:rPr>
                <w:rFonts w:hint="eastAsia" w:ascii="宋体" w:hAnsi="宋体" w:cs="宋体"/>
                <w:color w:val="auto"/>
                <w:kern w:val="0"/>
                <w:sz w:val="22"/>
                <w:szCs w:val="22"/>
                <w:lang w:bidi="ar"/>
              </w:rPr>
              <w:t>赛事总结资料如有遗漏，甲方可延期支付赛事尾款，直至乙方材料补充齐全。</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15636D7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eastAsia="zh-CN" w:bidi="ar"/>
              </w:rPr>
            </w:pPr>
          </w:p>
        </w:tc>
      </w:tr>
      <w:tr w14:paraId="51B37C05">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5E54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6</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2532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住宿、饮食保障</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54F6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1.餐饮住宿酒店必须取得合法资质且在遴选酒店名单中，从事盒饭供应的餐饮服务商必须取得集体用餐配送资格，餐饮及用水保障要符合赛事反兴奋剂相关要求。</w:t>
            </w:r>
          </w:p>
          <w:p w14:paraId="399416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2.需要提前告知相关比赛的信息包括参赛人数、比赛时间、场次等信息。</w:t>
            </w:r>
          </w:p>
          <w:p w14:paraId="714187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3.提前告知参赛人员的餐饮、住宿情况。</w:t>
            </w:r>
          </w:p>
          <w:p w14:paraId="421698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4.提前确定工作人员用餐人数、用餐时间及入场的路线。</w:t>
            </w:r>
          </w:p>
          <w:p w14:paraId="2C46B4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5.客房安排须满足同一地级市代表队入住同一酒店且标间须平均分配各地级市代表队的原则要求，所有裁判员及技术官员须安排在同一家酒店，且裁判员及技术官员与运动员不得安排在同一家酒店内。</w:t>
            </w:r>
          </w:p>
          <w:p w14:paraId="06F3D006">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color w:val="auto"/>
                <w:kern w:val="0"/>
                <w:sz w:val="22"/>
                <w:szCs w:val="22"/>
                <w:lang w:val="en-US" w:eastAsia="zh-CN" w:bidi="ar"/>
              </w:rPr>
              <w:t>6.餐饮住宿酒店需达到无障碍标准，运动队住宿酒店需满足无障碍要求。</w:t>
            </w:r>
          </w:p>
        </w:tc>
        <w:tc>
          <w:tcPr>
            <w:tcW w:w="2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25938F">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运动队技术官员食宿：1.房间必须配有空调、电视、网线、卫生间以及24小时供应热水。</w:t>
            </w:r>
          </w:p>
          <w:p w14:paraId="300F3681">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2.运动队餐食必须保证干净、卫生、安全，每餐有食品留样。</w:t>
            </w:r>
          </w:p>
          <w:p w14:paraId="70C8BEAC">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3.运动队餐食必须营养均衡，每餐保证有水果和酸奶。</w:t>
            </w:r>
          </w:p>
          <w:p w14:paraId="57DCAE51">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4.运动队住宿宾馆与比赛场地车程不能超过20分钟。</w:t>
            </w:r>
          </w:p>
          <w:p w14:paraId="64E4D890">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5.涉及运动员和技术官员的服务质量投诉能及时处理。</w:t>
            </w:r>
          </w:p>
          <w:p w14:paraId="39E37A76">
            <w:pPr>
              <w:keepNext w:val="0"/>
              <w:keepLines w:val="0"/>
              <w:suppressLineNumbers w:val="0"/>
              <w:spacing w:before="0" w:beforeAutospacing="0" w:after="0" w:afterAutospacing="0"/>
              <w:ind w:left="0" w:right="0"/>
              <w:rPr>
                <w:rFonts w:hint="default"/>
              </w:rPr>
            </w:pPr>
            <w:r>
              <w:rPr>
                <w:rFonts w:hint="eastAsia" w:ascii="宋体" w:hAnsi="宋体" w:cs="宋体"/>
                <w:color w:val="auto"/>
                <w:kern w:val="0"/>
                <w:sz w:val="22"/>
                <w:szCs w:val="22"/>
                <w:lang w:bidi="ar"/>
              </w:rPr>
              <w:t>6.其它不符合餐饮住宿方面的要求。</w:t>
            </w:r>
          </w:p>
          <w:p w14:paraId="3FD6DF74">
            <w:pPr>
              <w:keepNext w:val="0"/>
              <w:keepLines w:val="0"/>
              <w:suppressLineNumbers w:val="0"/>
              <w:spacing w:before="0" w:beforeAutospacing="0" w:after="0" w:afterAutospacing="0"/>
              <w:ind w:left="0" w:right="0"/>
              <w:rPr>
                <w:rFonts w:hint="default"/>
              </w:rPr>
            </w:pPr>
          </w:p>
          <w:p w14:paraId="6269F090">
            <w:pPr>
              <w:keepNext w:val="0"/>
              <w:keepLines w:val="0"/>
              <w:suppressLineNumbers w:val="0"/>
              <w:spacing w:before="0" w:beforeAutospacing="0" w:after="0" w:afterAutospacing="0"/>
              <w:ind w:left="0" w:right="0"/>
              <w:rPr>
                <w:rFonts w:hint="default"/>
              </w:rPr>
            </w:pPr>
          </w:p>
          <w:p w14:paraId="08E69931">
            <w:pPr>
              <w:keepNext w:val="0"/>
              <w:keepLines w:val="0"/>
              <w:suppressLineNumbers w:val="0"/>
              <w:spacing w:before="0" w:beforeAutospacing="0" w:after="0" w:afterAutospacing="0"/>
              <w:ind w:left="0" w:right="0"/>
              <w:rPr>
                <w:rFonts w:hint="default"/>
              </w:rPr>
            </w:pPr>
          </w:p>
          <w:p w14:paraId="1D757E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p>
        </w:tc>
        <w:tc>
          <w:tcPr>
            <w:tcW w:w="3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195E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如有违反上述规定和要求的，每项扣除200元，上不封顶。擅自选择不符合餐饮住宿的条件的酒店和的提供餐饮住宿的，不能结算相关费用。擅自选择不具备供餐资质的盒饭供应商供应盒饭的，不得结算相关费用。</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321B4366">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eastAsia="zh-CN" w:bidi="ar"/>
              </w:rPr>
            </w:pPr>
          </w:p>
        </w:tc>
      </w:tr>
      <w:tr w14:paraId="02980A91">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14:paraId="7F44F1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7</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EF9226D">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bidi="ar"/>
              </w:rPr>
              <w:t>医疗急救</w:t>
            </w:r>
          </w:p>
        </w:tc>
        <w:tc>
          <w:tcPr>
            <w:tcW w:w="5315" w:type="dxa"/>
            <w:tcBorders>
              <w:top w:val="single" w:color="auto" w:sz="4" w:space="0"/>
              <w:left w:val="single" w:color="auto" w:sz="4" w:space="0"/>
              <w:bottom w:val="single" w:color="auto" w:sz="4" w:space="0"/>
              <w:right w:val="single" w:color="auto" w:sz="4" w:space="0"/>
            </w:tcBorders>
            <w:noWrap w:val="0"/>
            <w:vAlign w:val="center"/>
          </w:tcPr>
          <w:p w14:paraId="2A32429F">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1.救护车停放位置及转运路线符合急救需求；</w:t>
            </w:r>
          </w:p>
          <w:p w14:paraId="186303B7">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2.选派的医护人员需要具备应急救治的能力；</w:t>
            </w:r>
          </w:p>
          <w:p w14:paraId="2FB7B57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bidi="ar"/>
              </w:rPr>
            </w:pPr>
            <w:r>
              <w:rPr>
                <w:rFonts w:hint="eastAsia" w:ascii="宋体" w:hAnsi="宋体" w:cs="宋体"/>
                <w:color w:val="auto"/>
                <w:kern w:val="0"/>
                <w:sz w:val="22"/>
                <w:szCs w:val="22"/>
                <w:lang w:bidi="ar"/>
              </w:rPr>
              <w:t>3.根据不同赛事，准备相应的应急救治药品。</w:t>
            </w:r>
          </w:p>
        </w:tc>
        <w:tc>
          <w:tcPr>
            <w:tcW w:w="2367" w:type="dxa"/>
            <w:tcBorders>
              <w:top w:val="single" w:color="auto" w:sz="4" w:space="0"/>
              <w:left w:val="single" w:color="auto" w:sz="4" w:space="0"/>
              <w:bottom w:val="single" w:color="auto" w:sz="4" w:space="0"/>
              <w:right w:val="single" w:color="auto" w:sz="4" w:space="0"/>
            </w:tcBorders>
            <w:noWrap w:val="0"/>
            <w:vAlign w:val="center"/>
          </w:tcPr>
          <w:p w14:paraId="73309951">
            <w:pPr>
              <w:keepNext w:val="0"/>
              <w:keepLines w:val="0"/>
              <w:suppressLineNumbers w:val="0"/>
              <w:spacing w:before="0" w:beforeAutospacing="0" w:after="0" w:afterAutospacing="0"/>
              <w:ind w:left="0" w:right="0"/>
              <w:rPr>
                <w:rFonts w:hint="default"/>
              </w:rPr>
            </w:pPr>
            <w:r>
              <w:rPr>
                <w:rFonts w:hint="eastAsia" w:ascii="宋体" w:hAnsi="宋体" w:cs="宋体"/>
                <w:color w:val="auto"/>
                <w:kern w:val="0"/>
                <w:sz w:val="22"/>
                <w:szCs w:val="22"/>
                <w:lang w:bidi="ar"/>
              </w:rPr>
              <w:t>现场核验</w:t>
            </w:r>
          </w:p>
          <w:p w14:paraId="0F412F86">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bidi="ar"/>
              </w:rPr>
            </w:pPr>
          </w:p>
        </w:tc>
        <w:tc>
          <w:tcPr>
            <w:tcW w:w="3418" w:type="dxa"/>
            <w:tcBorders>
              <w:top w:val="single" w:color="auto" w:sz="4" w:space="0"/>
              <w:left w:val="single" w:color="auto" w:sz="4" w:space="0"/>
              <w:bottom w:val="single" w:color="auto" w:sz="4" w:space="0"/>
              <w:right w:val="single" w:color="auto" w:sz="4" w:space="0"/>
            </w:tcBorders>
            <w:noWrap w:val="0"/>
            <w:vAlign w:val="center"/>
          </w:tcPr>
          <w:p w14:paraId="1AD3AA5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bidi="ar"/>
              </w:rPr>
            </w:pPr>
            <w:r>
              <w:rPr>
                <w:rFonts w:hint="eastAsia" w:ascii="宋体" w:hAnsi="宋体" w:cs="宋体"/>
                <w:color w:val="auto"/>
                <w:kern w:val="0"/>
                <w:sz w:val="22"/>
                <w:szCs w:val="22"/>
                <w:lang w:bidi="ar"/>
              </w:rPr>
              <w:t>如因乙方原因，影响赛场医疗救治工作，根据产生的不良后果，发生一次至少扣除1000元，上不封顶，直至扣除该合同所有费用。</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0DED4E8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eastAsia="zh-CN" w:bidi="ar"/>
              </w:rPr>
            </w:pPr>
          </w:p>
        </w:tc>
      </w:tr>
      <w:tr w14:paraId="701A7DCD">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08857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8</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56FA3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城市内交通</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A10B8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1.赛前确定车辆种类、数量；</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2.赛前确定时间调配方案、提供车辆停靠的点位和赛事期间的时间。</w:t>
            </w:r>
          </w:p>
          <w:p w14:paraId="026862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lang w:bidi="ar"/>
              </w:rPr>
            </w:pPr>
            <w:r>
              <w:rPr>
                <w:rFonts w:hint="eastAsia" w:ascii="宋体" w:hAnsi="宋体" w:cs="宋体"/>
                <w:color w:val="auto"/>
                <w:kern w:val="0"/>
                <w:sz w:val="22"/>
                <w:szCs w:val="22"/>
                <w:lang w:bidi="ar"/>
              </w:rPr>
              <w:t>3.车辆需具备合法运营资质，保险齐全，车况良好且符合安全技术标准；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4.驾驶员须持有效从业资格证，无重大交通违法记录，并接受安全与服务培训。</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5.乙方应确保车辆准时抵达、车内环境整洁、行车安全</w:t>
            </w:r>
            <w:r>
              <w:rPr>
                <w:rFonts w:hint="eastAsia" w:ascii="宋体" w:hAnsi="宋体" w:eastAsia="宋体" w:cs="宋体"/>
                <w:color w:val="auto"/>
                <w:kern w:val="0"/>
                <w:sz w:val="22"/>
                <w:szCs w:val="22"/>
                <w:lang w:bidi="ar"/>
              </w:rPr>
              <w:t>规范，并配合甲方调度安排。</w:t>
            </w:r>
          </w:p>
          <w:p w14:paraId="1EB37A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szCs w:val="22"/>
                <w:lang w:val="en-US" w:eastAsia="zh-CN" w:bidi="ar"/>
              </w:rPr>
              <w:t>6.车辆保障需满足无障碍要求。</w:t>
            </w:r>
            <w:r>
              <w:rPr>
                <w:rFonts w:hint="eastAsia" w:ascii="MS Mincho" w:hAnsi="MS Mincho" w:eastAsia="MS Mincho" w:cs="MS Mincho"/>
                <w:color w:val="auto"/>
                <w:kern w:val="0"/>
                <w:sz w:val="22"/>
                <w:szCs w:val="22"/>
                <w:lang w:bidi="ar"/>
              </w:rPr>
              <w:t>‌</w:t>
            </w:r>
          </w:p>
        </w:tc>
        <w:tc>
          <w:tcPr>
            <w:tcW w:w="2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B8C3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赛事期间客运车辆资质需符合《道路旅客运输及客运站管理规定》和《道路运输车辆技术管理规定》的要求，具体包括车辆类型等级、技术条件、运营资质等。</w:t>
            </w:r>
          </w:p>
        </w:tc>
        <w:tc>
          <w:tcPr>
            <w:tcW w:w="3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5E91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因乙方原因</w:t>
            </w:r>
            <w:r>
              <w:rPr>
                <w:rFonts w:hint="eastAsia" w:ascii="宋体" w:hAnsi="宋体" w:cs="宋体"/>
                <w:color w:val="auto"/>
                <w:kern w:val="0"/>
                <w:sz w:val="22"/>
                <w:szCs w:val="22"/>
                <w:lang w:val="en-US" w:eastAsia="zh-CN" w:bidi="ar"/>
              </w:rPr>
              <w:t>造</w:t>
            </w:r>
            <w:r>
              <w:rPr>
                <w:rFonts w:hint="eastAsia" w:ascii="宋体" w:hAnsi="宋体" w:cs="宋体"/>
                <w:color w:val="auto"/>
                <w:kern w:val="0"/>
                <w:sz w:val="22"/>
                <w:szCs w:val="22"/>
                <w:lang w:bidi="ar"/>
              </w:rPr>
              <w:t>成运动员迟到，驾驶员</w:t>
            </w:r>
            <w:r>
              <w:rPr>
                <w:rFonts w:hint="eastAsia" w:ascii="宋体" w:hAnsi="宋体" w:cs="宋体"/>
                <w:color w:val="auto"/>
                <w:kern w:val="0"/>
                <w:sz w:val="22"/>
                <w:szCs w:val="22"/>
                <w:lang w:val="en-US" w:eastAsia="zh-CN" w:bidi="ar"/>
              </w:rPr>
              <w:t>造</w:t>
            </w:r>
            <w:r>
              <w:rPr>
                <w:rFonts w:hint="eastAsia" w:ascii="宋体" w:hAnsi="宋体" w:cs="宋体"/>
                <w:color w:val="auto"/>
                <w:kern w:val="0"/>
                <w:sz w:val="22"/>
                <w:szCs w:val="22"/>
                <w:lang w:bidi="ar"/>
              </w:rPr>
              <w:t>成的运动员投诉的发生一次至少扣除2000元。</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6BAB02E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eastAsia="zh-CN" w:bidi="ar"/>
              </w:rPr>
            </w:pPr>
          </w:p>
        </w:tc>
      </w:tr>
      <w:tr w14:paraId="5102E8D5">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BFE7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9</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C329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志愿者服务</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EEA0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bidi="ar"/>
              </w:rPr>
              <w:t>1.</w:t>
            </w:r>
            <w:r>
              <w:rPr>
                <w:rFonts w:hint="eastAsia" w:ascii="宋体" w:hAnsi="宋体" w:eastAsia="宋体" w:cs="宋体"/>
                <w:color w:val="auto"/>
                <w:kern w:val="0"/>
                <w:sz w:val="22"/>
                <w:szCs w:val="22"/>
                <w:lang w:bidi="ar"/>
              </w:rPr>
              <w:t>对志愿者开展通用培训、专项培训和岗前培训；</w:t>
            </w:r>
            <w:r>
              <w:rPr>
                <w:rFonts w:hint="eastAsia" w:ascii="宋体" w:hAnsi="宋体" w:eastAsia="宋体" w:cs="宋体"/>
                <w:color w:val="auto"/>
                <w:kern w:val="0"/>
                <w:sz w:val="22"/>
                <w:szCs w:val="22"/>
                <w:lang w:bidi="ar"/>
              </w:rPr>
              <w:br w:type="textWrapping"/>
            </w:r>
            <w:r>
              <w:rPr>
                <w:rFonts w:hint="eastAsia" w:ascii="宋体" w:hAnsi="宋体" w:eastAsia="宋体" w:cs="宋体"/>
                <w:color w:val="auto"/>
                <w:kern w:val="0"/>
                <w:sz w:val="22"/>
                <w:szCs w:val="22"/>
                <w:lang w:bidi="ar"/>
              </w:rPr>
              <w:t>2. 提供志愿者休息室；</w:t>
            </w:r>
            <w:r>
              <w:rPr>
                <w:rFonts w:hint="eastAsia" w:ascii="宋体" w:hAnsi="宋体" w:eastAsia="宋体" w:cs="宋体"/>
                <w:color w:val="auto"/>
                <w:kern w:val="0"/>
                <w:sz w:val="22"/>
                <w:szCs w:val="22"/>
                <w:lang w:bidi="ar"/>
              </w:rPr>
              <w:br w:type="textWrapping"/>
            </w:r>
            <w:r>
              <w:rPr>
                <w:rFonts w:hint="eastAsia" w:ascii="宋体" w:hAnsi="宋体" w:eastAsia="宋体" w:cs="宋体"/>
                <w:color w:val="auto"/>
                <w:kern w:val="0"/>
                <w:sz w:val="22"/>
                <w:szCs w:val="22"/>
                <w:lang w:bidi="ar"/>
              </w:rPr>
              <w:t>3. 根据赛事进程协助志愿者替换或调度补位；</w:t>
            </w:r>
          </w:p>
          <w:p w14:paraId="2CD9BDD1">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color w:val="auto"/>
                <w:kern w:val="0"/>
                <w:sz w:val="22"/>
                <w:szCs w:val="22"/>
                <w:lang w:val="en-US" w:eastAsia="zh-CN" w:bidi="ar"/>
              </w:rPr>
              <w:t>4.志愿者配备需满足残运赛事要求，特定岗位、特奥项目志愿者在同一赛期需保证固定，不得更换人员。</w:t>
            </w:r>
          </w:p>
        </w:tc>
        <w:tc>
          <w:tcPr>
            <w:tcW w:w="2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F1BAD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1.提供培训台账以及现场核验。</w:t>
            </w:r>
          </w:p>
          <w:p w14:paraId="73DD4D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2.现场核验。</w:t>
            </w:r>
          </w:p>
        </w:tc>
        <w:tc>
          <w:tcPr>
            <w:tcW w:w="3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939F6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1.如因乙方志愿者培训不到位，影响比赛的，每次扣除该项赛事合同金额3‰，上不封顶。</w:t>
            </w:r>
          </w:p>
          <w:p w14:paraId="6A966120">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2.如乙方未按要求提供志愿者休息室的，限期整改，未按要求限期完成整改的，扣除该项赛事合同金额5%。</w:t>
            </w:r>
          </w:p>
          <w:p w14:paraId="69BC7942">
            <w:pPr>
              <w:keepNext w:val="0"/>
              <w:keepLines w:val="0"/>
              <w:suppressLineNumbers w:val="0"/>
              <w:spacing w:before="0" w:beforeAutospacing="0" w:after="0" w:afterAutospacing="0"/>
              <w:ind w:left="0" w:right="0"/>
              <w:rPr>
                <w:rFonts w:hint="default"/>
              </w:rPr>
            </w:pPr>
            <w:r>
              <w:rPr>
                <w:rFonts w:hint="eastAsia" w:ascii="宋体" w:hAnsi="宋体" w:cs="宋体"/>
                <w:color w:val="auto"/>
                <w:kern w:val="0"/>
                <w:sz w:val="22"/>
                <w:szCs w:val="22"/>
                <w:lang w:bidi="ar"/>
              </w:rPr>
              <w:t>3.如因乙方原因未协助做好志愿者岗位替换或补位导致影响比赛的，每次扣除该项赛事合同金额3‰，上不封顶。</w:t>
            </w:r>
          </w:p>
          <w:p w14:paraId="365630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740B460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eastAsia="zh-CN" w:bidi="ar"/>
              </w:rPr>
            </w:pPr>
          </w:p>
        </w:tc>
      </w:tr>
      <w:tr w14:paraId="0B9CCB88">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4BE4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10</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BB9D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开展安保工作</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744C8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1.开展安全评估。</w:t>
            </w:r>
          </w:p>
          <w:p w14:paraId="45C6432B">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2.按照确定的安保方案布置安保设施设备和保安人员。</w:t>
            </w:r>
          </w:p>
        </w:tc>
        <w:tc>
          <w:tcPr>
            <w:tcW w:w="2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AD0652">
            <w:pPr>
              <w:keepNext w:val="0"/>
              <w:keepLines w:val="0"/>
              <w:suppressLineNumbers w:val="0"/>
              <w:spacing w:before="0" w:beforeAutospacing="0" w:after="0" w:afterAutospacing="0"/>
              <w:ind w:left="0" w:right="0"/>
              <w:rPr>
                <w:rFonts w:hint="default"/>
              </w:rPr>
            </w:pPr>
            <w:r>
              <w:rPr>
                <w:rFonts w:hint="eastAsia" w:ascii="宋体" w:hAnsi="宋体" w:cs="宋体"/>
                <w:color w:val="auto"/>
                <w:kern w:val="0"/>
                <w:sz w:val="22"/>
                <w:szCs w:val="22"/>
                <w:lang w:bidi="ar"/>
              </w:rPr>
              <w:t>现场核验</w:t>
            </w:r>
          </w:p>
          <w:p w14:paraId="16E30D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p>
        </w:tc>
        <w:tc>
          <w:tcPr>
            <w:tcW w:w="3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612A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val="en-US" w:eastAsia="zh-CN" w:bidi="ar"/>
              </w:rPr>
              <w:t>未按照要求开展安全评估、布设设施设备和安排安保人员的。公安机关发出《整改通知书》后，按照该赛事安保预算总金额10%扣除。对《整改通知书》规定期限截止仍未整改到位的，按照合同内该赛事金额（核减后）10%扣除。对拒不执行整改要求的，取消合同，并承担由此产生的所有费用。</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108BC89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eastAsia="zh-CN" w:bidi="ar"/>
              </w:rPr>
            </w:pPr>
          </w:p>
        </w:tc>
      </w:tr>
      <w:tr w14:paraId="583BE89E">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5E2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11</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F46C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协助宣传推广</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FDB10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 xml:space="preserve">1.根据赛前、中、后期及赛事亮点和赛事进度协助提供宣传素材。 </w:t>
            </w:r>
          </w:p>
          <w:p w14:paraId="243366AC">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 xml:space="preserve">2.充分利用本单位自有及长期合作平台微信、抖音、小红书等自媒体平台进行赛事品牌宣传。 </w:t>
            </w:r>
          </w:p>
          <w:p w14:paraId="22CE36E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3.负责设置媒体运行中心场地及网络、电源、饮用水等必要物资保障。</w:t>
            </w:r>
          </w:p>
          <w:p w14:paraId="3F35C0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4.安排专人为媒体记者做好提供成绩公报、现场通行等采访服务。</w:t>
            </w:r>
          </w:p>
        </w:tc>
        <w:tc>
          <w:tcPr>
            <w:tcW w:w="2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2A9012">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1.提交联络人信息；</w:t>
            </w:r>
          </w:p>
          <w:p w14:paraId="375D34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2.收集相关报道内容；</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3.甲方核查确认。</w:t>
            </w:r>
          </w:p>
        </w:tc>
        <w:tc>
          <w:tcPr>
            <w:tcW w:w="3418" w:type="dxa"/>
            <w:tcBorders>
              <w:top w:val="single" w:color="auto" w:sz="4" w:space="0"/>
              <w:left w:val="single" w:color="auto" w:sz="4" w:space="0"/>
              <w:bottom w:val="single" w:color="auto" w:sz="4" w:space="0"/>
              <w:right w:val="single" w:color="auto" w:sz="4" w:space="0"/>
            </w:tcBorders>
            <w:noWrap w:val="0"/>
            <w:vAlign w:val="center"/>
          </w:tcPr>
          <w:p w14:paraId="7C75DA4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bidi="ar"/>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63AC9FA6">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eastAsia="zh-CN" w:bidi="ar"/>
              </w:rPr>
            </w:pPr>
          </w:p>
        </w:tc>
      </w:tr>
      <w:tr w14:paraId="7169685E">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59A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12</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F1FB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信息网络保障</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5E06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1.完善通讯网络信息系统，覆盖比赛场地和酒店驻地，为竞赛组织、信息发布、新闻宣传、指挥调度等工作提供优质服务；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2.满足赛事系统现场使用所需的基础条件。</w:t>
            </w:r>
          </w:p>
        </w:tc>
        <w:tc>
          <w:tcPr>
            <w:tcW w:w="2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DE77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lang w:val="en-US" w:eastAsia="zh-CN" w:bidi="ar"/>
              </w:rPr>
            </w:pPr>
          </w:p>
        </w:tc>
        <w:tc>
          <w:tcPr>
            <w:tcW w:w="3418" w:type="dxa"/>
            <w:tcBorders>
              <w:top w:val="single" w:color="auto" w:sz="4" w:space="0"/>
              <w:left w:val="single" w:color="auto" w:sz="4" w:space="0"/>
              <w:bottom w:val="single" w:color="auto" w:sz="4" w:space="0"/>
              <w:right w:val="single" w:color="auto" w:sz="4" w:space="0"/>
            </w:tcBorders>
            <w:noWrap w:val="0"/>
            <w:vAlign w:val="center"/>
          </w:tcPr>
          <w:p w14:paraId="4D208F2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bidi="ar"/>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0B37DEC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eastAsia="zh-CN" w:bidi="ar"/>
              </w:rPr>
            </w:pPr>
          </w:p>
        </w:tc>
      </w:tr>
      <w:tr w14:paraId="2854E275">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8C75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val="en-US" w:eastAsia="zh-CN" w:bidi="ar"/>
              </w:rPr>
              <w:t>13</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8E44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颁奖服务</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F2D0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协助做好以下工作：</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1.颁奖台制作：提供颁奖台尺寸参数，指导实施方按视觉形象设计导则制作与搭建安全稳固的颁奖台。</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颁奖对接：设置专人联系对接颁奖事宜，提前对接颁奖团队联络员，协助规划嘉宾、运动员、工作人员颁奖动线，并协助引导颁奖嘉宾至候场区，负责带领获奖运动员至颁奖候场区，协助竞赛部门对接竞赛成绩。</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3.奖牌等物资管理：领取并保管颁奖物资，颁奖前2小时内交付颁奖团队。</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4.配合礼仪团队：礼仪团队和颁奖礼仪服务由组委员提供，需协助其熟悉流程与定位，确保环节衔接流畅。</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5.现场播报与音乐协调：负责音乐播放协调工作，协助开展现场播报，提前与播报、音控核对信息与流程，确保仪式环节与音乐精准同步。</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6.应急预案：针对物资缺失、运动员迟到等突发情况，制定快速、简单的应急处理方案。</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7.收尾与复盘：每场颁奖结束后快速恢复场地，清点物资。</w:t>
            </w:r>
          </w:p>
        </w:tc>
        <w:tc>
          <w:tcPr>
            <w:tcW w:w="2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E389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现场核验</w:t>
            </w:r>
          </w:p>
        </w:tc>
        <w:tc>
          <w:tcPr>
            <w:tcW w:w="3418" w:type="dxa"/>
            <w:tcBorders>
              <w:top w:val="single" w:color="auto" w:sz="4" w:space="0"/>
              <w:left w:val="single" w:color="auto" w:sz="4" w:space="0"/>
              <w:bottom w:val="single" w:color="auto" w:sz="4" w:space="0"/>
              <w:right w:val="single" w:color="auto" w:sz="4" w:space="0"/>
            </w:tcBorders>
            <w:noWrap w:val="0"/>
            <w:vAlign w:val="center"/>
          </w:tcPr>
          <w:p w14:paraId="5E180BF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bidi="ar"/>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1B8A37A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eastAsia="zh-CN" w:bidi="ar"/>
              </w:rPr>
            </w:pPr>
          </w:p>
        </w:tc>
      </w:tr>
      <w:tr w14:paraId="48A90387">
        <w:tblPrEx>
          <w:tblCellMar>
            <w:top w:w="0" w:type="dxa"/>
            <w:left w:w="108" w:type="dxa"/>
            <w:bottom w:w="0" w:type="dxa"/>
            <w:right w:w="108" w:type="dxa"/>
          </w:tblCellMar>
        </w:tblPrEx>
        <w:tc>
          <w:tcPr>
            <w:tcW w:w="64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826F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14</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D634BC">
            <w:pPr>
              <w:keepNext w:val="0"/>
              <w:keepLines w:val="0"/>
              <w:widowControl/>
              <w:numPr>
                <w:ilvl w:val="0"/>
                <w:numId w:val="0"/>
              </w:numPr>
              <w:suppressLineNumbers w:val="0"/>
              <w:spacing w:before="0" w:beforeAutospacing="0" w:after="0" w:afterAutospacing="0"/>
              <w:ind w:left="0" w:leftChars="0" w:right="0" w:firstLine="0" w:firstLineChars="0"/>
              <w:jc w:val="left"/>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参赛人员专项保障</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01D5F7">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1.组建专项服务团队，团队成员需具备残疾人服务相关知识与技能，熟悉各类残疾人群体的赛事需求，配备辅助引导员等专业人员，分工明确、响应及时。2. 赛前对接各参赛队伍，统计参赛人员的具体类型、等级及个性化需求（如肢体残疾的辅助器具适配、视力残疾的引导陪同、听力残疾的手语服务等），制定个性化保障方案。3.赛事场地设施符合残疾人体育赛事专业标准，标识清晰。4.为参赛人员提供专属辅助服务，包括比赛期间的器材辅助、场地引导、生活协助等，确保其参赛流程顺畅；按赛事要求配备适配的残疾人专用赛事辅助器材，提供辅助器具维修服务。5.提交并落实赛事无障碍工作方案</w:t>
            </w:r>
          </w:p>
        </w:tc>
        <w:tc>
          <w:tcPr>
            <w:tcW w:w="2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8062C6">
            <w:pPr>
              <w:keepNext w:val="0"/>
              <w:keepLines w:val="0"/>
              <w:suppressLineNumbers w:val="0"/>
              <w:spacing w:before="0" w:beforeAutospacing="0" w:after="0" w:afterAutospacing="0"/>
              <w:ind w:left="0" w:right="0"/>
              <w:rPr>
                <w:rFonts w:hint="default"/>
              </w:rPr>
            </w:pPr>
            <w:r>
              <w:rPr>
                <w:rFonts w:hint="eastAsia" w:ascii="宋体" w:hAnsi="宋体" w:eastAsia="宋体" w:cs="宋体"/>
                <w:color w:val="auto"/>
                <w:kern w:val="0"/>
                <w:sz w:val="22"/>
                <w:szCs w:val="22"/>
                <w:lang w:val="en-US" w:eastAsia="zh-CN" w:bidi="ar"/>
              </w:rPr>
              <w:t>1.赛前15天提交专项服务团队名单、个性化保障方案，现场核验专用辅助器材配备、服务方案、无障碍工作方案，经甲方审核确认后执行；2.</w:t>
            </w:r>
            <w:r>
              <w:rPr>
                <w:rFonts w:hint="eastAsia" w:ascii="宋体" w:hAnsi="宋体" w:eastAsia="宋体" w:cs="宋体"/>
                <w:color w:val="auto"/>
                <w:kern w:val="0"/>
                <w:sz w:val="22"/>
                <w:szCs w:val="22"/>
                <w:lang w:bidi="ar"/>
              </w:rPr>
              <w:t>现场核验</w:t>
            </w:r>
            <w:r>
              <w:rPr>
                <w:rFonts w:hint="eastAsia" w:ascii="宋体" w:hAnsi="宋体" w:eastAsia="宋体" w:cs="宋体"/>
                <w:color w:val="auto"/>
                <w:kern w:val="0"/>
                <w:sz w:val="22"/>
                <w:szCs w:val="22"/>
                <w:lang w:val="en-US" w:eastAsia="zh-CN" w:bidi="ar"/>
              </w:rPr>
              <w:t>。</w:t>
            </w:r>
          </w:p>
          <w:p w14:paraId="5BBB261D">
            <w:pPr>
              <w:keepNext w:val="0"/>
              <w:keepLines w:val="0"/>
              <w:widowControl/>
              <w:numPr>
                <w:ilvl w:val="0"/>
                <w:numId w:val="0"/>
              </w:numPr>
              <w:suppressLineNumbers w:val="0"/>
              <w:spacing w:before="0" w:beforeAutospacing="0" w:after="0" w:afterAutospacing="0"/>
              <w:ind w:left="0" w:leftChars="0" w:right="0" w:firstLine="0" w:firstLineChars="0"/>
              <w:jc w:val="left"/>
              <w:textAlignment w:val="auto"/>
              <w:rPr>
                <w:rFonts w:hint="eastAsia" w:ascii="宋体" w:hAnsi="宋体" w:eastAsia="宋体" w:cs="宋体"/>
                <w:color w:val="auto"/>
                <w:kern w:val="0"/>
                <w:sz w:val="22"/>
                <w:szCs w:val="22"/>
                <w:lang w:val="en-US" w:eastAsia="zh-CN" w:bidi="ar"/>
              </w:rPr>
            </w:pPr>
          </w:p>
        </w:tc>
        <w:tc>
          <w:tcPr>
            <w:tcW w:w="3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57F4A1">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bidi="ar"/>
              </w:rPr>
              <w:t>1.未按规定时间提交相关方案，从逾期之日起每日按合同金额3‰支付违约金，逾期3个工作日以上，甲方有权终止相关服务约定，乙方承担相应损失；</w:t>
            </w:r>
            <w:r>
              <w:rPr>
                <w:rFonts w:hint="eastAsia" w:ascii="宋体" w:hAnsi="宋体" w:eastAsia="宋体" w:cs="宋体"/>
                <w:color w:val="auto"/>
                <w:kern w:val="0"/>
                <w:sz w:val="22"/>
                <w:szCs w:val="22"/>
                <w:lang w:bidi="ar"/>
              </w:rPr>
              <w:t>乙方提供的</w:t>
            </w:r>
            <w:r>
              <w:rPr>
                <w:rFonts w:hint="eastAsia" w:ascii="宋体" w:hAnsi="宋体" w:eastAsia="宋体" w:cs="宋体"/>
                <w:color w:val="auto"/>
                <w:kern w:val="0"/>
                <w:sz w:val="22"/>
                <w:szCs w:val="22"/>
                <w:lang w:eastAsia="zh-CN" w:bidi="ar"/>
              </w:rPr>
              <w:t>方案、</w:t>
            </w:r>
            <w:r>
              <w:rPr>
                <w:rFonts w:hint="eastAsia" w:ascii="宋体" w:hAnsi="宋体" w:eastAsia="宋体" w:cs="宋体"/>
                <w:color w:val="auto"/>
                <w:kern w:val="0"/>
                <w:sz w:val="22"/>
                <w:szCs w:val="22"/>
                <w:lang w:bidi="ar"/>
              </w:rPr>
              <w:t>服务不符合赛事要求的，甲方有权拒收，并且乙方须向甲方支付合同总价5%的违约金。</w:t>
            </w:r>
          </w:p>
          <w:p w14:paraId="63A1C4C5">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2"/>
                <w:szCs w:val="22"/>
                <w:lang w:val="en-US" w:eastAsia="zh-CN" w:bidi="ar"/>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344BFD7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eastAsia="zh-CN" w:bidi="ar"/>
              </w:rPr>
            </w:pPr>
          </w:p>
        </w:tc>
      </w:tr>
      <w:tr w14:paraId="2F617E4B">
        <w:tblPrEx>
          <w:tblCellMar>
            <w:top w:w="0" w:type="dxa"/>
            <w:left w:w="108" w:type="dxa"/>
            <w:bottom w:w="0" w:type="dxa"/>
            <w:right w:w="108" w:type="dxa"/>
          </w:tblCellMar>
        </w:tblPrEx>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14:paraId="2E5DAAD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bidi="ar"/>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8D4C4C8">
            <w:pPr>
              <w:keepNext w:val="0"/>
              <w:keepLines w:val="0"/>
              <w:widowControl/>
              <w:suppressLineNumbers w:val="0"/>
              <w:spacing w:before="0" w:beforeAutospacing="0" w:after="0" w:afterAutospacing="0"/>
              <w:ind w:left="0" w:right="0"/>
              <w:jc w:val="left"/>
              <w:textAlignment w:val="auto"/>
              <w:rPr>
                <w:rFonts w:hint="eastAsia" w:ascii="黑体" w:hAnsi="宋体" w:eastAsia="黑体" w:cs="黑体"/>
                <w:color w:val="auto"/>
                <w:kern w:val="0"/>
                <w:sz w:val="28"/>
                <w:szCs w:val="28"/>
                <w:lang w:bidi="ar"/>
              </w:rPr>
            </w:pPr>
            <w:r>
              <w:rPr>
                <w:rFonts w:hint="eastAsia" w:ascii="宋体" w:hAnsi="宋体" w:eastAsia="宋体" w:cs="宋体"/>
                <w:color w:val="auto"/>
                <w:kern w:val="0"/>
                <w:sz w:val="22"/>
                <w:szCs w:val="22"/>
                <w:lang w:val="en-US" w:eastAsia="zh-CN" w:bidi="ar"/>
              </w:rPr>
              <w:t>参赛人员权益保障</w:t>
            </w:r>
          </w:p>
        </w:tc>
        <w:tc>
          <w:tcPr>
            <w:tcW w:w="5315" w:type="dxa"/>
            <w:tcBorders>
              <w:top w:val="single" w:color="auto" w:sz="4" w:space="0"/>
              <w:left w:val="single" w:color="auto" w:sz="4" w:space="0"/>
              <w:bottom w:val="single" w:color="auto" w:sz="4" w:space="0"/>
              <w:right w:val="single" w:color="auto" w:sz="4" w:space="0"/>
            </w:tcBorders>
            <w:noWrap w:val="0"/>
            <w:vAlign w:val="center"/>
          </w:tcPr>
          <w:p w14:paraId="259F7FBB">
            <w:pPr>
              <w:keepNext w:val="0"/>
              <w:keepLines w:val="0"/>
              <w:suppressLineNumbers w:val="0"/>
              <w:spacing w:before="0" w:beforeAutospacing="0" w:after="0" w:afterAutospacing="0"/>
              <w:ind w:left="0" w:right="0"/>
              <w:rPr>
                <w:rFonts w:hint="default"/>
              </w:rPr>
            </w:pPr>
            <w:r>
              <w:rPr>
                <w:rFonts w:hint="eastAsia" w:ascii="宋体" w:hAnsi="宋体" w:eastAsia="宋体" w:cs="宋体"/>
                <w:color w:val="auto"/>
                <w:kern w:val="0"/>
                <w:sz w:val="22"/>
                <w:szCs w:val="22"/>
                <w:lang w:val="en-US" w:eastAsia="zh-CN" w:bidi="ar"/>
              </w:rPr>
              <w:t>1.全程关注参赛人员的赛事权益，确保其在比赛判罚、场地使用、服务保障等方面享有平等权利，及时协调处理参赛人员提出的权益相关诉求。2.建立参赛人员诉求反馈通道，设置专人负责接收、记录、处理诉求，响应时间不超过1小时，处理结果及时反馈至诉求人及甲方。3.配合赛事仲裁委员会，处理参赛人员的仲裁申请，提供相关信息和资料，协助开展仲裁调查工作。4.赛后收集参赛人员的权益保障反馈意见，总结优化工作流程。</w:t>
            </w:r>
          </w:p>
          <w:p w14:paraId="3D453282">
            <w:pPr>
              <w:keepNext w:val="0"/>
              <w:keepLines w:val="0"/>
              <w:widowControl/>
              <w:suppressLineNumbers w:val="0"/>
              <w:spacing w:before="0" w:beforeAutospacing="0" w:after="0" w:afterAutospacing="0"/>
              <w:ind w:left="0" w:right="0"/>
              <w:jc w:val="left"/>
              <w:textAlignment w:val="auto"/>
              <w:rPr>
                <w:rFonts w:hint="eastAsia" w:ascii="黑体" w:hAnsi="宋体" w:eastAsia="黑体" w:cs="黑体"/>
                <w:color w:val="auto"/>
                <w:kern w:val="0"/>
                <w:sz w:val="28"/>
                <w:szCs w:val="28"/>
                <w:lang w:bidi="ar"/>
              </w:rPr>
            </w:pPr>
          </w:p>
        </w:tc>
        <w:tc>
          <w:tcPr>
            <w:tcW w:w="2367" w:type="dxa"/>
            <w:tcBorders>
              <w:top w:val="single" w:color="auto" w:sz="4" w:space="0"/>
              <w:left w:val="single" w:color="auto" w:sz="4" w:space="0"/>
              <w:bottom w:val="single" w:color="auto" w:sz="4" w:space="0"/>
              <w:right w:val="single" w:color="auto" w:sz="4" w:space="0"/>
            </w:tcBorders>
            <w:noWrap w:val="0"/>
            <w:vAlign w:val="center"/>
          </w:tcPr>
          <w:p w14:paraId="352D4642">
            <w:pPr>
              <w:keepNext w:val="0"/>
              <w:keepLines w:val="0"/>
              <w:suppressLineNumbers w:val="0"/>
              <w:spacing w:before="0" w:beforeAutospacing="0" w:after="0" w:afterAutospacing="0"/>
              <w:ind w:left="0" w:right="0"/>
              <w:rPr>
                <w:rFonts w:hint="default"/>
              </w:rPr>
            </w:pPr>
            <w:r>
              <w:rPr>
                <w:rFonts w:hint="eastAsia" w:ascii="宋体" w:hAnsi="宋体" w:eastAsia="宋体" w:cs="宋体"/>
                <w:color w:val="auto"/>
                <w:kern w:val="0"/>
                <w:sz w:val="22"/>
                <w:szCs w:val="22"/>
                <w:lang w:val="en-US" w:eastAsia="zh-CN" w:bidi="ar"/>
              </w:rPr>
              <w:t>1.赛前提交诉求反馈通道联络方式及处理流程，经甲方确认；2.赛时甲方核查诉求处理台账，核实响应及处理情况；3.赛后提交权益保障工作总结及反馈意见汇总，甲方核验。</w:t>
            </w:r>
          </w:p>
          <w:p w14:paraId="1D8CA98C">
            <w:pPr>
              <w:keepNext w:val="0"/>
              <w:keepLines w:val="0"/>
              <w:widowControl/>
              <w:suppressLineNumbers w:val="0"/>
              <w:spacing w:before="0" w:beforeAutospacing="0" w:after="0" w:afterAutospacing="0"/>
              <w:ind w:left="0" w:right="0"/>
              <w:jc w:val="left"/>
              <w:textAlignment w:val="auto"/>
              <w:rPr>
                <w:rFonts w:hint="eastAsia" w:ascii="黑体" w:hAnsi="宋体" w:eastAsia="黑体" w:cs="黑体"/>
                <w:color w:val="auto"/>
                <w:kern w:val="0"/>
                <w:sz w:val="28"/>
                <w:szCs w:val="28"/>
                <w:lang w:bidi="ar"/>
              </w:rPr>
            </w:pPr>
          </w:p>
        </w:tc>
        <w:tc>
          <w:tcPr>
            <w:tcW w:w="3418" w:type="dxa"/>
            <w:tcBorders>
              <w:top w:val="single" w:color="auto" w:sz="4" w:space="0"/>
              <w:left w:val="single" w:color="auto" w:sz="4" w:space="0"/>
              <w:bottom w:val="single" w:color="auto" w:sz="4" w:space="0"/>
              <w:right w:val="single" w:color="auto" w:sz="4" w:space="0"/>
            </w:tcBorders>
            <w:noWrap w:val="0"/>
            <w:vAlign w:val="center"/>
          </w:tcPr>
          <w:p w14:paraId="20817ED9">
            <w:pPr>
              <w:keepNext w:val="0"/>
              <w:keepLines w:val="0"/>
              <w:suppressLineNumbers w:val="0"/>
              <w:spacing w:before="0" w:beforeAutospacing="0" w:after="0" w:afterAutospacing="0"/>
              <w:ind w:left="0" w:right="0"/>
              <w:rPr>
                <w:rFonts w:hint="default"/>
              </w:rPr>
            </w:pPr>
            <w:r>
              <w:rPr>
                <w:rFonts w:hint="eastAsia" w:ascii="宋体" w:hAnsi="宋体" w:eastAsia="宋体" w:cs="宋体"/>
                <w:color w:val="auto"/>
                <w:kern w:val="0"/>
                <w:sz w:val="22"/>
                <w:szCs w:val="22"/>
                <w:lang w:val="en-US" w:eastAsia="zh-CN" w:bidi="ar"/>
              </w:rPr>
              <w:t>1. 未建立诉求反馈通道或响应、处理不及时的，每次扣除1000元，上不封顶；2.未及时协调处理残疾参赛人员权益诉求，造成不良影响的，扣除该项服务合同金额的8%，并承担相应损失；3. 配合仲裁工作不力，导致仲裁工作延误的，每次扣除 1500 元。</w:t>
            </w:r>
          </w:p>
          <w:p w14:paraId="4667B031">
            <w:pPr>
              <w:keepNext w:val="0"/>
              <w:keepLines w:val="0"/>
              <w:widowControl/>
              <w:suppressLineNumbers w:val="0"/>
              <w:spacing w:before="0" w:beforeAutospacing="0" w:after="0" w:afterAutospacing="0"/>
              <w:ind w:left="0" w:right="0"/>
              <w:jc w:val="left"/>
              <w:rPr>
                <w:rFonts w:hint="eastAsia" w:ascii="黑体" w:hAnsi="宋体" w:eastAsia="黑体" w:cs="黑体"/>
                <w:color w:val="auto"/>
                <w:kern w:val="0"/>
                <w:sz w:val="28"/>
                <w:szCs w:val="28"/>
                <w:lang w:bidi="ar"/>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42D00FE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8"/>
                <w:szCs w:val="28"/>
                <w:lang w:eastAsia="zh-CN" w:bidi="ar"/>
              </w:rPr>
            </w:pPr>
          </w:p>
        </w:tc>
      </w:tr>
    </w:tbl>
    <w:p w14:paraId="6F50B89D">
      <w:pPr>
        <w:pStyle w:val="16"/>
        <w:rPr>
          <w:rFonts w:hint="eastAsia"/>
        </w:rPr>
      </w:pPr>
    </w:p>
    <w:p w14:paraId="1B2B2142">
      <w:pPr>
        <w:rPr>
          <w:rFonts w:hint="eastAsia"/>
        </w:rPr>
      </w:pPr>
    </w:p>
    <w:p w14:paraId="296D9F2D">
      <w:pPr>
        <w:pStyle w:val="16"/>
        <w:rPr>
          <w:rFonts w:hint="eastAsia"/>
        </w:rPr>
      </w:pPr>
    </w:p>
    <w:p w14:paraId="64196567">
      <w:pPr>
        <w:rPr>
          <w:rFonts w:hint="eastAsia"/>
        </w:rPr>
      </w:pPr>
    </w:p>
    <w:p w14:paraId="3B6F4C43">
      <w:pPr>
        <w:pStyle w:val="16"/>
        <w:rPr>
          <w:rFonts w:hint="eastAsia"/>
        </w:rPr>
      </w:pPr>
    </w:p>
    <w:p w14:paraId="4B10EC2E">
      <w:pPr>
        <w:rPr>
          <w:rFonts w:hint="eastAsia"/>
        </w:rPr>
      </w:pPr>
    </w:p>
    <w:p w14:paraId="4E02C2E5">
      <w:pPr>
        <w:pStyle w:val="16"/>
        <w:rPr>
          <w:rFonts w:hint="eastAsia"/>
        </w:rPr>
      </w:pPr>
    </w:p>
    <w:p w14:paraId="07632A00">
      <w:pPr>
        <w:rPr>
          <w:rFonts w:hint="eastAsia"/>
        </w:rPr>
      </w:pPr>
    </w:p>
    <w:p w14:paraId="32DA177A">
      <w:pPr>
        <w:pStyle w:val="16"/>
        <w:rPr>
          <w:rFonts w:hint="eastAsia"/>
        </w:rPr>
      </w:pPr>
    </w:p>
    <w:p w14:paraId="65EBD8B2">
      <w:pPr>
        <w:rPr>
          <w:rFonts w:hint="eastAsia"/>
        </w:rPr>
      </w:pPr>
    </w:p>
    <w:p w14:paraId="334C32B8">
      <w:pPr>
        <w:pStyle w:val="16"/>
        <w:rPr>
          <w:rFonts w:hint="eastAsia"/>
        </w:rPr>
      </w:pPr>
    </w:p>
    <w:p w14:paraId="6ADD7B3B">
      <w:pPr>
        <w:rPr>
          <w:rFonts w:hint="eastAsia"/>
        </w:rPr>
      </w:pPr>
    </w:p>
    <w:p w14:paraId="68270293">
      <w:pPr>
        <w:pStyle w:val="16"/>
        <w:rPr>
          <w:rFonts w:hint="eastAsia"/>
        </w:rPr>
      </w:pPr>
    </w:p>
    <w:p w14:paraId="30AE7BCC">
      <w:pPr>
        <w:rPr>
          <w:rFonts w:hint="eastAsia"/>
        </w:rPr>
      </w:pPr>
    </w:p>
    <w:p w14:paraId="3AB14441">
      <w:pPr>
        <w:pStyle w:val="16"/>
        <w:rPr>
          <w:rFonts w:hint="eastAsia"/>
        </w:rPr>
      </w:pPr>
    </w:p>
    <w:p w14:paraId="1E66BE69">
      <w:pPr>
        <w:rPr>
          <w:rFonts w:hint="eastAsia"/>
        </w:rPr>
      </w:pPr>
    </w:p>
    <w:p w14:paraId="403B4B12">
      <w:pPr>
        <w:pStyle w:val="16"/>
        <w:rPr>
          <w:rFonts w:hint="eastAsia"/>
        </w:rPr>
      </w:pPr>
    </w:p>
    <w:p w14:paraId="2815A24F">
      <w:pPr>
        <w:rPr>
          <w:rFonts w:hint="eastAsia"/>
        </w:rPr>
      </w:pPr>
    </w:p>
    <w:p w14:paraId="022C2A0F">
      <w:pPr>
        <w:pStyle w:val="16"/>
        <w:rPr>
          <w:rFonts w:hint="eastAsia"/>
        </w:rPr>
      </w:pPr>
    </w:p>
    <w:p w14:paraId="6A518EB6">
      <w:pPr>
        <w:pStyle w:val="16"/>
        <w:rPr>
          <w:rFonts w:hint="eastAsia"/>
        </w:rPr>
      </w:pPr>
    </w:p>
    <w:p w14:paraId="1CCC10B0">
      <w:pPr>
        <w:rPr>
          <w:rFonts w:hint="eastAsia"/>
        </w:rPr>
        <w:sectPr>
          <w:pgSz w:w="16838" w:h="11906" w:orient="landscape"/>
          <w:pgMar w:top="1803" w:right="1440" w:bottom="1803" w:left="1440" w:header="851" w:footer="992" w:gutter="0"/>
          <w:cols w:space="720" w:num="1"/>
          <w:docGrid w:type="lines" w:linePitch="312" w:charSpace="0"/>
        </w:sectPr>
      </w:pPr>
    </w:p>
    <w:p w14:paraId="0EC50778">
      <w:pPr>
        <w:pStyle w:val="20"/>
        <w:snapToGrid w:val="0"/>
        <w:spacing w:line="360" w:lineRule="auto"/>
        <w:jc w:val="center"/>
        <w:rPr>
          <w:rFonts w:cs="Times New Roman"/>
          <w:color w:val="auto"/>
          <w:highlight w:val="none"/>
          <w:lang w:val="zh-CN"/>
        </w:rPr>
      </w:pPr>
      <w:r>
        <w:rPr>
          <w:rFonts w:hint="eastAsia" w:ascii="黑体" w:hAnsi="黑体" w:eastAsia="黑体" w:cs="黑体"/>
          <w:color w:val="auto"/>
          <w:sz w:val="36"/>
          <w:szCs w:val="36"/>
          <w:highlight w:val="none"/>
        </w:rPr>
        <w:t xml:space="preserve">第五章  </w:t>
      </w:r>
      <w:r>
        <w:rPr>
          <w:rFonts w:hint="eastAsia" w:ascii="黑体" w:hAnsi="黑体" w:eastAsia="黑体" w:cs="黑体"/>
          <w:color w:val="auto"/>
          <w:sz w:val="36"/>
          <w:szCs w:val="36"/>
          <w:highlight w:val="none"/>
          <w:lang w:val="en-US" w:eastAsia="zh-CN"/>
        </w:rPr>
        <w:t>投标</w:t>
      </w:r>
      <w:r>
        <w:rPr>
          <w:rFonts w:hint="eastAsia" w:ascii="黑体" w:hAnsi="黑体" w:eastAsia="黑体" w:cs="黑体"/>
          <w:color w:val="auto"/>
          <w:sz w:val="36"/>
          <w:szCs w:val="36"/>
          <w:highlight w:val="none"/>
        </w:rPr>
        <w:t>文件格式</w:t>
      </w:r>
    </w:p>
    <w:p w14:paraId="7CF9A28D">
      <w:pPr>
        <w:pStyle w:val="16"/>
        <w:jc w:val="center"/>
        <w:rPr>
          <w:rFonts w:hint="eastAsia"/>
        </w:rPr>
      </w:pPr>
    </w:p>
    <w:p w14:paraId="1EA10E24">
      <w:pPr>
        <w:spacing w:beforeLines="100" w:line="440" w:lineRule="atLeast"/>
        <w:jc w:val="center"/>
        <w:outlineLvl w:val="1"/>
        <w:rPr>
          <w:rFonts w:hint="eastAsia" w:ascii="黑体" w:hAnsi="宋体" w:eastAsia="黑体"/>
          <w:color w:val="auto"/>
          <w:sz w:val="44"/>
          <w:szCs w:val="44"/>
          <w:highlight w:val="none"/>
        </w:rPr>
      </w:pPr>
    </w:p>
    <w:p w14:paraId="7492D7F1">
      <w:pPr>
        <w:spacing w:beforeLines="100" w:line="440" w:lineRule="atLeast"/>
        <w:jc w:val="center"/>
        <w:outlineLvl w:val="1"/>
        <w:rPr>
          <w:rFonts w:hint="eastAsia" w:ascii="黑体" w:hAnsi="宋体" w:eastAsia="黑体"/>
          <w:color w:val="auto"/>
          <w:sz w:val="44"/>
          <w:szCs w:val="44"/>
          <w:highlight w:val="none"/>
        </w:rPr>
      </w:pPr>
    </w:p>
    <w:p w14:paraId="3DD4BBE7">
      <w:pPr>
        <w:spacing w:beforeLines="100" w:line="440" w:lineRule="atLeast"/>
        <w:jc w:val="center"/>
        <w:outlineLvl w:val="1"/>
        <w:rPr>
          <w:rFonts w:hint="eastAsia" w:ascii="黑体" w:hAnsi="宋体" w:eastAsia="黑体"/>
          <w:color w:val="auto"/>
          <w:sz w:val="44"/>
          <w:szCs w:val="44"/>
          <w:highlight w:val="none"/>
        </w:rPr>
      </w:pPr>
    </w:p>
    <w:p w14:paraId="3DBD7E14">
      <w:pPr>
        <w:spacing w:beforeLines="100" w:line="440" w:lineRule="atLeast"/>
        <w:jc w:val="center"/>
        <w:outlineLvl w:val="1"/>
        <w:rPr>
          <w:rFonts w:hint="eastAsia" w:ascii="黑体" w:hAnsi="宋体" w:eastAsia="黑体"/>
          <w:color w:val="auto"/>
          <w:sz w:val="44"/>
          <w:szCs w:val="44"/>
          <w:highlight w:val="none"/>
        </w:rPr>
      </w:pPr>
    </w:p>
    <w:p w14:paraId="303774A4">
      <w:pPr>
        <w:spacing w:beforeLines="100" w:line="440" w:lineRule="atLeast"/>
        <w:jc w:val="center"/>
        <w:outlineLvl w:val="1"/>
        <w:rPr>
          <w:rFonts w:hint="eastAsia" w:ascii="黑体" w:hAnsi="宋体" w:eastAsia="黑体"/>
          <w:color w:val="auto"/>
          <w:sz w:val="44"/>
          <w:szCs w:val="44"/>
          <w:highlight w:val="none"/>
        </w:rPr>
      </w:pPr>
    </w:p>
    <w:p w14:paraId="6A361987">
      <w:pPr>
        <w:spacing w:beforeLines="100" w:line="440" w:lineRule="atLeast"/>
        <w:jc w:val="center"/>
        <w:outlineLvl w:val="1"/>
        <w:rPr>
          <w:rFonts w:hint="eastAsia" w:ascii="黑体" w:hAnsi="宋体" w:eastAsia="黑体"/>
          <w:color w:val="auto"/>
          <w:sz w:val="44"/>
          <w:szCs w:val="44"/>
          <w:highlight w:val="none"/>
        </w:rPr>
      </w:pPr>
    </w:p>
    <w:p w14:paraId="2DFAC755">
      <w:pPr>
        <w:spacing w:beforeLines="100" w:line="440" w:lineRule="atLeast"/>
        <w:jc w:val="center"/>
        <w:outlineLvl w:val="1"/>
        <w:rPr>
          <w:rFonts w:hint="eastAsia" w:ascii="黑体" w:hAnsi="宋体" w:eastAsia="黑体"/>
          <w:color w:val="auto"/>
          <w:sz w:val="44"/>
          <w:szCs w:val="44"/>
          <w:highlight w:val="none"/>
        </w:rPr>
      </w:pPr>
    </w:p>
    <w:p w14:paraId="4CBA96A7">
      <w:pPr>
        <w:spacing w:beforeLines="100" w:line="440" w:lineRule="atLeast"/>
        <w:jc w:val="center"/>
        <w:outlineLvl w:val="1"/>
        <w:rPr>
          <w:rFonts w:hint="eastAsia" w:ascii="黑体" w:hAnsi="宋体" w:eastAsia="黑体"/>
          <w:color w:val="auto"/>
          <w:sz w:val="44"/>
          <w:szCs w:val="44"/>
          <w:highlight w:val="none"/>
        </w:rPr>
      </w:pPr>
    </w:p>
    <w:p w14:paraId="5D70F1C5">
      <w:pPr>
        <w:spacing w:beforeLines="100" w:line="440" w:lineRule="atLeast"/>
        <w:jc w:val="center"/>
        <w:outlineLvl w:val="1"/>
        <w:rPr>
          <w:rFonts w:hint="eastAsia" w:ascii="黑体" w:hAnsi="宋体" w:eastAsia="黑体"/>
          <w:color w:val="auto"/>
          <w:sz w:val="44"/>
          <w:szCs w:val="44"/>
          <w:highlight w:val="none"/>
        </w:rPr>
      </w:pPr>
    </w:p>
    <w:p w14:paraId="37EF4157">
      <w:pPr>
        <w:spacing w:beforeLines="100" w:line="440" w:lineRule="atLeast"/>
        <w:jc w:val="center"/>
        <w:outlineLvl w:val="1"/>
        <w:rPr>
          <w:rFonts w:hint="eastAsia" w:ascii="黑体" w:hAnsi="宋体" w:eastAsia="黑体"/>
          <w:color w:val="auto"/>
          <w:sz w:val="44"/>
          <w:szCs w:val="44"/>
          <w:highlight w:val="none"/>
        </w:rPr>
      </w:pPr>
    </w:p>
    <w:p w14:paraId="73963A32">
      <w:pPr>
        <w:spacing w:beforeLines="100" w:line="440" w:lineRule="atLeast"/>
        <w:jc w:val="center"/>
        <w:outlineLvl w:val="1"/>
        <w:rPr>
          <w:rFonts w:hint="eastAsia" w:ascii="黑体" w:hAnsi="宋体" w:eastAsia="黑体"/>
          <w:color w:val="auto"/>
          <w:sz w:val="44"/>
          <w:szCs w:val="44"/>
          <w:highlight w:val="none"/>
        </w:rPr>
      </w:pPr>
    </w:p>
    <w:p w14:paraId="3AB5956A">
      <w:pPr>
        <w:spacing w:beforeLines="100" w:line="440" w:lineRule="atLeast"/>
        <w:jc w:val="center"/>
        <w:outlineLvl w:val="1"/>
        <w:rPr>
          <w:rFonts w:hint="eastAsia" w:ascii="黑体" w:hAnsi="宋体" w:eastAsia="黑体"/>
          <w:color w:val="auto"/>
          <w:sz w:val="44"/>
          <w:szCs w:val="44"/>
          <w:highlight w:val="none"/>
        </w:rPr>
      </w:pPr>
    </w:p>
    <w:p w14:paraId="5D2329D4">
      <w:pPr>
        <w:spacing w:beforeLines="100" w:line="440" w:lineRule="atLeast"/>
        <w:jc w:val="center"/>
        <w:outlineLvl w:val="1"/>
        <w:rPr>
          <w:rFonts w:hint="eastAsia" w:ascii="黑体" w:hAnsi="宋体" w:eastAsia="黑体"/>
          <w:color w:val="auto"/>
          <w:sz w:val="44"/>
          <w:szCs w:val="44"/>
          <w:highlight w:val="none"/>
        </w:rPr>
      </w:pPr>
    </w:p>
    <w:p w14:paraId="09999965">
      <w:pPr>
        <w:spacing w:beforeLines="100" w:line="440" w:lineRule="atLeast"/>
        <w:jc w:val="center"/>
        <w:outlineLvl w:val="1"/>
        <w:rPr>
          <w:rFonts w:hint="eastAsia" w:ascii="黑体" w:hAnsi="宋体" w:eastAsia="黑体"/>
          <w:color w:val="auto"/>
          <w:sz w:val="44"/>
          <w:szCs w:val="44"/>
          <w:highlight w:val="none"/>
        </w:rPr>
      </w:pPr>
    </w:p>
    <w:p w14:paraId="61F12003">
      <w:pPr>
        <w:spacing w:beforeLines="100" w:line="440" w:lineRule="atLeast"/>
        <w:jc w:val="center"/>
        <w:outlineLvl w:val="1"/>
        <w:rPr>
          <w:rFonts w:hint="eastAsia" w:ascii="黑体" w:hAnsi="宋体" w:eastAsia="黑体"/>
          <w:color w:val="auto"/>
          <w:sz w:val="44"/>
          <w:szCs w:val="44"/>
          <w:highlight w:val="none"/>
        </w:rPr>
      </w:pPr>
    </w:p>
    <w:p w14:paraId="64E07264">
      <w:pPr>
        <w:spacing w:beforeLines="100" w:line="440" w:lineRule="atLeast"/>
        <w:jc w:val="center"/>
        <w:outlineLvl w:val="1"/>
        <w:rPr>
          <w:rFonts w:hint="eastAsia" w:ascii="黑体" w:hAnsi="宋体" w:eastAsia="黑体"/>
          <w:color w:val="auto"/>
          <w:sz w:val="44"/>
          <w:szCs w:val="44"/>
          <w:highlight w:val="none"/>
        </w:rPr>
      </w:pPr>
    </w:p>
    <w:p w14:paraId="029BB969">
      <w:pPr>
        <w:spacing w:beforeLines="100" w:line="440" w:lineRule="atLeast"/>
        <w:jc w:val="center"/>
        <w:outlineLvl w:val="1"/>
        <w:rPr>
          <w:rFonts w:hint="eastAsia" w:ascii="黑体" w:hAnsi="宋体" w:eastAsia="黑体"/>
          <w:color w:val="auto"/>
          <w:sz w:val="44"/>
          <w:szCs w:val="44"/>
          <w:highlight w:val="none"/>
        </w:rPr>
      </w:pPr>
      <w:r>
        <w:rPr>
          <w:rFonts w:hint="eastAsia" w:ascii="黑体" w:hAnsi="宋体" w:eastAsia="黑体"/>
          <w:color w:val="auto"/>
          <w:sz w:val="44"/>
          <w:szCs w:val="44"/>
          <w:highlight w:val="none"/>
        </w:rPr>
        <w:t>资格证明文件</w:t>
      </w:r>
    </w:p>
    <w:p w14:paraId="046E80B0">
      <w:pPr>
        <w:spacing w:line="440" w:lineRule="atLeast"/>
        <w:ind w:firstLine="560" w:firstLineChars="200"/>
        <w:jc w:val="left"/>
        <w:rPr>
          <w:rFonts w:ascii="黑体" w:hAnsi="宋体" w:eastAsia="黑体"/>
          <w:color w:val="auto"/>
          <w:sz w:val="28"/>
          <w:szCs w:val="28"/>
          <w:highlight w:val="none"/>
        </w:rPr>
      </w:pPr>
      <w:r>
        <w:rPr>
          <w:rFonts w:hint="eastAsia" w:ascii="黑体" w:hAnsi="宋体" w:eastAsia="黑体"/>
          <w:color w:val="auto"/>
          <w:sz w:val="28"/>
          <w:szCs w:val="28"/>
          <w:highlight w:val="none"/>
        </w:rPr>
        <w:t>   </w:t>
      </w:r>
    </w:p>
    <w:p w14:paraId="037FBB09">
      <w:pPr>
        <w:rPr>
          <w:rFonts w:ascii="黑体" w:hAnsi="宋体" w:eastAsia="黑体"/>
          <w:color w:val="auto"/>
          <w:sz w:val="28"/>
          <w:szCs w:val="28"/>
          <w:highlight w:val="none"/>
        </w:rPr>
      </w:pPr>
      <w:bookmarkStart w:id="66" w:name="_Toc340582347"/>
    </w:p>
    <w:p w14:paraId="6A55FF6D">
      <w:pPr>
        <w:rPr>
          <w:rFonts w:ascii="黑体" w:hAnsi="宋体" w:eastAsia="黑体"/>
          <w:color w:val="auto"/>
          <w:sz w:val="28"/>
          <w:szCs w:val="28"/>
          <w:highlight w:val="none"/>
        </w:rPr>
      </w:pPr>
    </w:p>
    <w:p w14:paraId="27D29A15">
      <w:pPr>
        <w:spacing w:line="440" w:lineRule="atLeast"/>
        <w:rPr>
          <w:rFonts w:hint="default" w:ascii="黑体" w:hAnsi="宋体" w:eastAsia="黑体"/>
          <w:color w:val="auto"/>
          <w:sz w:val="28"/>
          <w:szCs w:val="28"/>
          <w:highlight w:val="none"/>
          <w:lang w:val="en-US" w:eastAsia="zh-CN"/>
        </w:rPr>
      </w:pPr>
      <w:r>
        <w:rPr>
          <w:rFonts w:hint="eastAsia" w:ascii="黑体" w:hAnsi="宋体" w:eastAsia="黑体"/>
          <w:color w:val="auto"/>
          <w:sz w:val="28"/>
          <w:szCs w:val="28"/>
          <w:highlight w:val="none"/>
        </w:rPr>
        <w:t>项目名称</w:t>
      </w:r>
      <w:bookmarkEnd w:id="66"/>
      <w:r>
        <w:rPr>
          <w:rFonts w:hint="eastAsia" w:ascii="黑体" w:hAnsi="宋体" w:eastAsia="黑体"/>
          <w:color w:val="auto"/>
          <w:sz w:val="28"/>
          <w:szCs w:val="28"/>
          <w:highlight w:val="none"/>
        </w:rPr>
        <w:t>：</w:t>
      </w:r>
      <w:bookmarkStart w:id="67" w:name="_Toc340582348"/>
      <w:r>
        <w:rPr>
          <w:rFonts w:hint="eastAsia" w:ascii="黑体" w:hAnsi="宋体" w:eastAsia="黑体"/>
          <w:color w:val="auto"/>
          <w:sz w:val="28"/>
          <w:szCs w:val="28"/>
          <w:highlight w:val="none"/>
          <w:u w:val="single"/>
          <w:lang w:eastAsia="zh-CN"/>
        </w:rPr>
        <w:t>浙江省第十二届残疾人运动会盲人跳绳比赛整体赛事执行服务</w:t>
      </w:r>
      <w:r>
        <w:rPr>
          <w:rFonts w:hint="eastAsia" w:ascii="黑体" w:hAnsi="宋体" w:eastAsia="黑体"/>
          <w:color w:val="auto"/>
          <w:sz w:val="24"/>
          <w:szCs w:val="24"/>
          <w:highlight w:val="none"/>
          <w:u w:val="single"/>
          <w:lang w:val="en-US" w:eastAsia="zh-CN"/>
        </w:rPr>
        <w:t xml:space="preserve">                         </w:t>
      </w:r>
    </w:p>
    <w:p w14:paraId="4049CACB">
      <w:pPr>
        <w:pStyle w:val="36"/>
        <w:rPr>
          <w:color w:val="auto"/>
          <w:highlight w:val="none"/>
        </w:rPr>
      </w:pPr>
    </w:p>
    <w:p w14:paraId="640C3EEC">
      <w:pPr>
        <w:pStyle w:val="2"/>
        <w:ind w:firstLine="420" w:firstLineChars="200"/>
        <w:rPr>
          <w:color w:val="auto"/>
          <w:highlight w:val="none"/>
        </w:rPr>
      </w:pPr>
    </w:p>
    <w:p w14:paraId="20966BB6">
      <w:pPr>
        <w:spacing w:line="440" w:lineRule="atLeast"/>
        <w:rPr>
          <w:rFonts w:hint="default" w:ascii="黑体" w:hAnsi="宋体" w:eastAsia="黑体"/>
          <w:color w:val="auto"/>
          <w:sz w:val="28"/>
          <w:szCs w:val="28"/>
          <w:highlight w:val="none"/>
          <w:u w:val="single"/>
          <w:lang w:val="en-US" w:eastAsia="zh-CN"/>
        </w:rPr>
      </w:pPr>
      <w:r>
        <w:rPr>
          <w:rFonts w:hint="eastAsia" w:ascii="黑体" w:hAnsi="宋体" w:eastAsia="黑体"/>
          <w:color w:val="auto"/>
          <w:sz w:val="28"/>
          <w:szCs w:val="28"/>
          <w:highlight w:val="none"/>
        </w:rPr>
        <w:t>项目编号：</w:t>
      </w:r>
      <w:r>
        <w:rPr>
          <w:rFonts w:hint="eastAsia" w:ascii="黑体" w:hAnsi="宋体" w:eastAsia="黑体"/>
          <w:color w:val="auto"/>
          <w:sz w:val="28"/>
          <w:szCs w:val="28"/>
          <w:highlight w:val="none"/>
          <w:u w:val="single"/>
        </w:rPr>
        <w:tab/>
      </w:r>
      <w:bookmarkEnd w:id="67"/>
      <w:r>
        <w:rPr>
          <w:rFonts w:hint="eastAsia" w:ascii="黑体" w:hAnsi="宋体" w:eastAsia="黑体"/>
          <w:color w:val="auto"/>
          <w:sz w:val="28"/>
          <w:szCs w:val="28"/>
          <w:highlight w:val="none"/>
          <w:u w:val="single"/>
          <w:lang w:val="en-US" w:eastAsia="zh-CN"/>
        </w:rPr>
        <w:t xml:space="preserve">               </w:t>
      </w:r>
      <w:r>
        <w:rPr>
          <w:rFonts w:hint="eastAsia" w:ascii="黑体" w:hAnsi="宋体" w:eastAsia="黑体"/>
          <w:color w:val="auto"/>
          <w:sz w:val="28"/>
          <w:szCs w:val="28"/>
          <w:highlight w:val="none"/>
          <w:u w:val="single"/>
          <w:lang w:eastAsia="zh-CN"/>
        </w:rPr>
        <w:t>ZJJSKH-2026-MRTS</w:t>
      </w:r>
      <w:r>
        <w:rPr>
          <w:rFonts w:hint="eastAsia" w:ascii="黑体" w:hAnsi="宋体" w:eastAsia="黑体"/>
          <w:color w:val="auto"/>
          <w:sz w:val="28"/>
          <w:szCs w:val="28"/>
          <w:highlight w:val="none"/>
          <w:u w:val="single"/>
          <w:lang w:val="en-US" w:eastAsia="zh-CN"/>
        </w:rPr>
        <w:t xml:space="preserve">                         </w:t>
      </w:r>
    </w:p>
    <w:p w14:paraId="2F350EA8">
      <w:pPr>
        <w:spacing w:line="440" w:lineRule="atLeast"/>
        <w:ind w:firstLine="560" w:firstLineChars="200"/>
        <w:jc w:val="left"/>
        <w:rPr>
          <w:rFonts w:ascii="黑体" w:hAnsi="宋体" w:eastAsia="黑体"/>
          <w:color w:val="auto"/>
          <w:sz w:val="28"/>
          <w:szCs w:val="28"/>
          <w:highlight w:val="none"/>
        </w:rPr>
      </w:pPr>
    </w:p>
    <w:p w14:paraId="224F3650">
      <w:pPr>
        <w:pStyle w:val="36"/>
        <w:rPr>
          <w:color w:val="auto"/>
          <w:highlight w:val="none"/>
        </w:rPr>
      </w:pPr>
    </w:p>
    <w:p w14:paraId="10665D40">
      <w:pPr>
        <w:spacing w:line="440" w:lineRule="atLeast"/>
        <w:jc w:val="left"/>
        <w:rPr>
          <w:rFonts w:ascii="黑体" w:hAnsi="宋体" w:eastAsia="黑体"/>
          <w:color w:val="auto"/>
          <w:sz w:val="28"/>
          <w:szCs w:val="28"/>
          <w:highlight w:val="none"/>
        </w:rPr>
      </w:pPr>
      <w:r>
        <w:rPr>
          <w:rFonts w:hint="eastAsia" w:ascii="黑体" w:hAnsi="宋体" w:eastAsia="黑体"/>
          <w:color w:val="auto"/>
          <w:sz w:val="28"/>
          <w:szCs w:val="28"/>
          <w:highlight w:val="none"/>
          <w:lang w:val="en-US" w:eastAsia="zh-CN"/>
        </w:rPr>
        <w:t>投标人</w:t>
      </w:r>
      <w:r>
        <w:rPr>
          <w:rFonts w:hint="eastAsia" w:ascii="黑体" w:hAnsi="宋体" w:eastAsia="黑体"/>
          <w:color w:val="auto"/>
          <w:sz w:val="28"/>
          <w:szCs w:val="28"/>
          <w:highlight w:val="none"/>
        </w:rPr>
        <w:t>名称：</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u w:val="single"/>
          <w:lang w:val="en-US" w:eastAsia="zh-CN"/>
        </w:rPr>
        <w:t xml:space="preserve">       </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u w:val="single"/>
          <w:lang w:val="en-US" w:eastAsia="zh-CN"/>
        </w:rPr>
        <w:t xml:space="preserve">       </w:t>
      </w:r>
      <w:r>
        <w:rPr>
          <w:rFonts w:hint="eastAsia" w:ascii="黑体" w:hAnsi="宋体" w:eastAsia="黑体"/>
          <w:color w:val="auto"/>
          <w:sz w:val="28"/>
          <w:szCs w:val="28"/>
          <w:highlight w:val="none"/>
          <w:u w:val="single"/>
        </w:rPr>
        <w:t>（电子签章）</w:t>
      </w:r>
    </w:p>
    <w:p w14:paraId="15160F9C">
      <w:pPr>
        <w:spacing w:line="440" w:lineRule="atLeast"/>
        <w:ind w:firstLine="700" w:firstLineChars="250"/>
        <w:jc w:val="left"/>
        <w:rPr>
          <w:rFonts w:ascii="黑体" w:hAnsi="宋体" w:eastAsia="黑体"/>
          <w:color w:val="auto"/>
          <w:sz w:val="28"/>
          <w:szCs w:val="28"/>
          <w:highlight w:val="none"/>
        </w:rPr>
      </w:pPr>
    </w:p>
    <w:p w14:paraId="6B49DCEE">
      <w:pPr>
        <w:spacing w:line="440" w:lineRule="atLeast"/>
        <w:ind w:firstLine="560" w:firstLineChars="200"/>
        <w:jc w:val="left"/>
        <w:rPr>
          <w:rFonts w:ascii="黑体" w:hAnsi="宋体" w:eastAsia="黑体"/>
          <w:color w:val="auto"/>
          <w:sz w:val="28"/>
          <w:szCs w:val="28"/>
          <w:highlight w:val="none"/>
          <w:u w:val="single"/>
        </w:rPr>
      </w:pPr>
    </w:p>
    <w:p w14:paraId="362125B5">
      <w:pPr>
        <w:spacing w:line="440" w:lineRule="atLeast"/>
        <w:ind w:firstLine="560" w:firstLineChars="200"/>
        <w:jc w:val="left"/>
        <w:rPr>
          <w:rFonts w:ascii="黑体" w:hAnsi="宋体" w:eastAsia="黑体"/>
          <w:color w:val="auto"/>
          <w:sz w:val="28"/>
          <w:szCs w:val="28"/>
          <w:highlight w:val="none"/>
        </w:rPr>
      </w:pPr>
    </w:p>
    <w:p w14:paraId="00B02C08">
      <w:pPr>
        <w:spacing w:line="440" w:lineRule="atLeast"/>
        <w:jc w:val="center"/>
        <w:rPr>
          <w:rFonts w:ascii="黑体" w:hAnsi="宋体" w:eastAsia="黑体"/>
          <w:color w:val="auto"/>
          <w:sz w:val="28"/>
          <w:szCs w:val="28"/>
          <w:highlight w:val="none"/>
        </w:rPr>
      </w:pPr>
    </w:p>
    <w:p w14:paraId="3D7BBDA4">
      <w:pPr>
        <w:spacing w:line="440" w:lineRule="atLeast"/>
        <w:ind w:firstLine="1960" w:firstLineChars="700"/>
        <w:rPr>
          <w:rFonts w:ascii="宋体" w:cs="Times New Roman"/>
          <w:color w:val="auto"/>
          <w:sz w:val="28"/>
          <w:szCs w:val="28"/>
          <w:highlight w:val="none"/>
        </w:rPr>
      </w:pPr>
      <w:bookmarkStart w:id="68" w:name="_Toc340582352"/>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rPr>
        <w:t>年</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rPr>
        <w:t>月</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rPr>
        <w:t>日</w:t>
      </w:r>
      <w:bookmarkEnd w:id="68"/>
    </w:p>
    <w:p w14:paraId="5DC17B41">
      <w:pPr>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23C40F14">
      <w:pPr>
        <w:spacing w:beforeLines="100" w:afterLines="100" w:line="440" w:lineRule="atLeast"/>
        <w:jc w:val="center"/>
        <w:rPr>
          <w:color w:val="auto"/>
          <w:highlight w:val="none"/>
        </w:rPr>
      </w:pPr>
      <w:r>
        <w:rPr>
          <w:rFonts w:hint="eastAsia" w:ascii="宋体" w:hAnsi="宋体" w:cs="宋体"/>
          <w:b/>
          <w:bCs/>
          <w:color w:val="auto"/>
          <w:sz w:val="30"/>
          <w:szCs w:val="30"/>
          <w:highlight w:val="none"/>
        </w:rPr>
        <w:t>资格证明文件目录</w:t>
      </w:r>
    </w:p>
    <w:p w14:paraId="2CCB0048">
      <w:pPr>
        <w:pStyle w:val="104"/>
        <w:adjustRightInd/>
        <w:spacing w:line="500" w:lineRule="exact"/>
        <w:ind w:firstLine="420" w:firstLineChars="200"/>
        <w:jc w:val="both"/>
        <w:rPr>
          <w:rFonts w:hint="eastAsia" w:hAnsi="宋体" w:cs="宋体"/>
          <w:color w:val="auto"/>
          <w:kern w:val="2"/>
          <w:szCs w:val="21"/>
          <w:highlight w:val="none"/>
        </w:rPr>
      </w:pPr>
      <w:r>
        <w:rPr>
          <w:rFonts w:hint="eastAsia" w:hAnsi="宋体" w:cs="宋体"/>
          <w:color w:val="auto"/>
          <w:kern w:val="2"/>
          <w:szCs w:val="21"/>
          <w:highlight w:val="none"/>
        </w:rPr>
        <w:t>一、</w:t>
      </w:r>
      <w:r>
        <w:rPr>
          <w:rFonts w:hint="eastAsia" w:hAnsi="宋体" w:cs="宋体"/>
          <w:color w:val="auto"/>
          <w:szCs w:val="21"/>
          <w:highlight w:val="none"/>
        </w:rPr>
        <w:t>符合参加政府采购活动应当具备的一般条件的承诺函（格式附后）</w:t>
      </w:r>
    </w:p>
    <w:p w14:paraId="15809F1E">
      <w:pPr>
        <w:spacing w:line="44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szCs w:val="21"/>
          <w:highlight w:val="none"/>
        </w:rPr>
        <w:t>二</w:t>
      </w:r>
      <w:r>
        <w:rPr>
          <w:rFonts w:hint="eastAsia" w:ascii="宋体" w:hAnsi="宋体" w:eastAsia="宋体" w:cs="宋体"/>
          <w:color w:val="auto"/>
          <w:kern w:val="0"/>
          <w:sz w:val="21"/>
          <w:szCs w:val="21"/>
          <w:highlight w:val="none"/>
          <w:lang w:val="en-US" w:eastAsia="zh-CN" w:bidi="ar-SA"/>
        </w:rPr>
        <w:t>、中小企业声明函（格式附后）</w:t>
      </w:r>
    </w:p>
    <w:p w14:paraId="0BBE63C8">
      <w:pPr>
        <w:spacing w:line="44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三、残疾人福利性单位声明函（若有，格式附后）</w:t>
      </w:r>
    </w:p>
    <w:p w14:paraId="0E991A1A">
      <w:pPr>
        <w:spacing w:line="44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四、省级以上监狱管理局、戒毒管理局（含新疆生产建设兵团）出具的属于监狱企业的证明文件（若有）</w:t>
      </w:r>
    </w:p>
    <w:p w14:paraId="68F8F3A2">
      <w:pPr>
        <w:spacing w:line="44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五、法人或者其他组织的营业执照等证明文件扫描件</w:t>
      </w:r>
    </w:p>
    <w:p w14:paraId="036D4969">
      <w:pPr>
        <w:spacing w:line="44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六、法定代表人身份证明及身份证（正、反面）原件扫描件（格式附后）</w:t>
      </w:r>
    </w:p>
    <w:p w14:paraId="3A3E0094">
      <w:pPr>
        <w:spacing w:line="44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七、法定代表人授权委托书（如为授权委托人参加投标，格式附后）</w:t>
      </w:r>
    </w:p>
    <w:p w14:paraId="769F7367">
      <w:pPr>
        <w:spacing w:line="44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八、投标人需要说明的其他文件和说明（格式自拟）</w:t>
      </w:r>
    </w:p>
    <w:p w14:paraId="50E0F1E9">
      <w:pPr>
        <w:spacing w:line="440" w:lineRule="atLeast"/>
        <w:ind w:firstLine="420" w:firstLineChars="200"/>
        <w:jc w:val="left"/>
        <w:rPr>
          <w:rFonts w:hint="eastAsia" w:ascii="宋体" w:hAnsi="宋体" w:cs="宋体"/>
          <w:color w:val="auto"/>
          <w:highlight w:val="none"/>
        </w:rPr>
      </w:pPr>
    </w:p>
    <w:p w14:paraId="179B035E">
      <w:pPr>
        <w:spacing w:line="440" w:lineRule="atLeast"/>
        <w:ind w:firstLine="560" w:firstLineChars="200"/>
        <w:jc w:val="left"/>
        <w:rPr>
          <w:rFonts w:ascii="黑体" w:hAnsi="宋体" w:eastAsia="黑体"/>
          <w:color w:val="auto"/>
          <w:sz w:val="28"/>
          <w:szCs w:val="28"/>
          <w:highlight w:val="none"/>
        </w:rPr>
      </w:pPr>
    </w:p>
    <w:p w14:paraId="6C3AA105">
      <w:pPr>
        <w:spacing w:line="440" w:lineRule="atLeast"/>
        <w:ind w:firstLine="560" w:firstLineChars="200"/>
        <w:jc w:val="left"/>
        <w:rPr>
          <w:rFonts w:ascii="黑体" w:hAnsi="宋体" w:eastAsia="黑体"/>
          <w:color w:val="auto"/>
          <w:sz w:val="28"/>
          <w:szCs w:val="28"/>
          <w:highlight w:val="none"/>
        </w:rPr>
      </w:pPr>
    </w:p>
    <w:p w14:paraId="3F7B777B">
      <w:pPr>
        <w:snapToGrid w:val="0"/>
        <w:spacing w:line="440" w:lineRule="exact"/>
        <w:rPr>
          <w:rFonts w:ascii="仿宋" w:hAnsi="仿宋" w:eastAsia="仿宋"/>
          <w:b/>
          <w:i/>
          <w:color w:val="auto"/>
          <w:sz w:val="24"/>
          <w:highlight w:val="none"/>
        </w:rPr>
      </w:pPr>
    </w:p>
    <w:p w14:paraId="64C6170E">
      <w:pPr>
        <w:spacing w:line="440" w:lineRule="atLeast"/>
        <w:jc w:val="center"/>
        <w:rPr>
          <w:rFonts w:ascii="宋体" w:hAnsi="宋体"/>
          <w:color w:val="auto"/>
          <w:sz w:val="22"/>
          <w:szCs w:val="20"/>
          <w:highlight w:val="none"/>
        </w:rPr>
      </w:pPr>
      <w:bookmarkStart w:id="69" w:name="_Toc495666239"/>
      <w:bookmarkStart w:id="70" w:name="_Toc463851846"/>
      <w:bookmarkStart w:id="71" w:name="_Toc469475471"/>
      <w:bookmarkStart w:id="72" w:name="_Toc476230646"/>
      <w:bookmarkStart w:id="73" w:name="_Toc437509329"/>
      <w:bookmarkStart w:id="74" w:name="_Toc470269887"/>
      <w:bookmarkStart w:id="75" w:name="_Toc437331307"/>
      <w:bookmarkStart w:id="76" w:name="_Toc471819799"/>
      <w:bookmarkStart w:id="77" w:name="_Toc467572536"/>
      <w:bookmarkStart w:id="78" w:name="_Toc433882649"/>
      <w:bookmarkStart w:id="79" w:name="_Toc468954254"/>
      <w:bookmarkStart w:id="80" w:name="_Toc437504032"/>
      <w:bookmarkStart w:id="81" w:name="_Toc476230922"/>
      <w:bookmarkStart w:id="82" w:name="_Toc437331618"/>
      <w:bookmarkStart w:id="83" w:name="_Toc424199678"/>
      <w:bookmarkStart w:id="84" w:name="_Toc476229715"/>
      <w:bookmarkStart w:id="85" w:name="_Toc504642688"/>
      <w:bookmarkStart w:id="86" w:name="_Toc435706547"/>
      <w:bookmarkStart w:id="87" w:name="_Toc470270003"/>
      <w:bookmarkStart w:id="88" w:name="_Toc476230510"/>
      <w:bookmarkStart w:id="89" w:name="_Toc471819739"/>
      <w:r>
        <w:rPr>
          <w:rFonts w:ascii="宋体" w:hAnsi="宋体"/>
          <w:color w:val="auto"/>
          <w:sz w:val="22"/>
          <w:szCs w:val="20"/>
          <w:highlight w:val="none"/>
        </w:rPr>
        <w:br w:type="page"/>
      </w:r>
    </w:p>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14:paraId="01EFB040">
      <w:pPr>
        <w:bidi w:val="0"/>
        <w:jc w:val="center"/>
        <w:rPr>
          <w:rFonts w:hint="eastAsia" w:ascii="宋体" w:hAnsi="宋体" w:cs="宋体"/>
          <w:b/>
          <w:color w:val="auto"/>
          <w:szCs w:val="30"/>
          <w:highlight w:val="none"/>
        </w:rPr>
      </w:pPr>
      <w:bookmarkStart w:id="90" w:name="_Toc20212"/>
      <w:bookmarkStart w:id="91" w:name="_Toc2925"/>
      <w:bookmarkStart w:id="92" w:name="_Toc18664"/>
      <w:bookmarkStart w:id="93" w:name="_Toc31199"/>
      <w:bookmarkStart w:id="94" w:name="_Toc30707"/>
      <w:bookmarkStart w:id="95" w:name="_Toc2220"/>
      <w:bookmarkStart w:id="96" w:name="_Toc11136"/>
      <w:bookmarkStart w:id="97" w:name="_Toc18613"/>
      <w:bookmarkStart w:id="98" w:name="_Toc470270008"/>
      <w:bookmarkStart w:id="99" w:name="_Toc469475476"/>
      <w:bookmarkStart w:id="100" w:name="_Toc435706552"/>
      <w:bookmarkStart w:id="101" w:name="_Toc437509334"/>
      <w:bookmarkStart w:id="102" w:name="_Toc470269892"/>
      <w:bookmarkStart w:id="103" w:name="_Toc471819741"/>
      <w:bookmarkStart w:id="104" w:name="_Toc437504037"/>
      <w:bookmarkStart w:id="105" w:name="_Toc424199683"/>
      <w:bookmarkStart w:id="106" w:name="_Toc468954259"/>
      <w:bookmarkStart w:id="107" w:name="_Toc467572541"/>
      <w:bookmarkStart w:id="108" w:name="_Toc433882654"/>
      <w:bookmarkStart w:id="109" w:name="_Toc471819801"/>
      <w:bookmarkStart w:id="110" w:name="_Toc437331312"/>
      <w:bookmarkStart w:id="111" w:name="_Toc437331623"/>
      <w:bookmarkStart w:id="112" w:name="_Toc463851851"/>
      <w:r>
        <w:rPr>
          <w:rFonts w:hint="eastAsia" w:ascii="宋体" w:hAnsi="宋体" w:eastAsia="宋体" w:cs="宋体"/>
          <w:b/>
          <w:color w:val="auto"/>
          <w:kern w:val="0"/>
          <w:sz w:val="30"/>
          <w:szCs w:val="30"/>
          <w:highlight w:val="none"/>
        </w:rPr>
        <w:t>一、</w:t>
      </w:r>
      <w:bookmarkEnd w:id="90"/>
      <w:bookmarkEnd w:id="91"/>
      <w:bookmarkEnd w:id="92"/>
      <w:bookmarkEnd w:id="93"/>
      <w:bookmarkEnd w:id="94"/>
      <w:r>
        <w:rPr>
          <w:rFonts w:hint="eastAsia" w:ascii="宋体" w:hAnsi="宋体" w:eastAsia="宋体" w:cs="宋体"/>
          <w:b/>
          <w:color w:val="auto"/>
          <w:kern w:val="0"/>
          <w:sz w:val="30"/>
          <w:szCs w:val="30"/>
          <w:highlight w:val="none"/>
        </w:rPr>
        <w:t>符合参加政府采购活动应当具备的一般条件的承诺函</w:t>
      </w:r>
    </w:p>
    <w:p w14:paraId="51137CB1">
      <w:pPr>
        <w:snapToGrid w:val="0"/>
        <w:spacing w:line="360" w:lineRule="auto"/>
        <w:ind w:firstLine="440" w:firstLineChars="200"/>
        <w:rPr>
          <w:rFonts w:hint="eastAsia" w:ascii="宋体" w:hAnsi="宋体" w:cs="宋体"/>
          <w:color w:val="auto"/>
          <w:sz w:val="22"/>
          <w:szCs w:val="21"/>
          <w:highlight w:val="none"/>
          <w:u w:val="single"/>
        </w:rPr>
      </w:pPr>
    </w:p>
    <w:p w14:paraId="035843CF">
      <w:pPr>
        <w:snapToGrid w:val="0"/>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u w:val="single"/>
        </w:rPr>
        <w:t xml:space="preserve">                              </w:t>
      </w:r>
      <w:r>
        <w:rPr>
          <w:rFonts w:hint="eastAsia" w:ascii="宋体" w:hAnsi="宋体" w:cs="宋体"/>
          <w:color w:val="auto"/>
          <w:sz w:val="22"/>
          <w:szCs w:val="21"/>
          <w:highlight w:val="none"/>
        </w:rPr>
        <w:t>（采购人）、（采购代理机构）：</w:t>
      </w:r>
    </w:p>
    <w:p w14:paraId="502373F2">
      <w:pPr>
        <w:snapToGrid w:val="0"/>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我方参与</w:t>
      </w:r>
      <w:r>
        <w:rPr>
          <w:rFonts w:hint="eastAsia" w:ascii="宋体" w:hAnsi="宋体" w:cs="宋体"/>
          <w:color w:val="auto"/>
          <w:sz w:val="22"/>
          <w:szCs w:val="21"/>
          <w:highlight w:val="none"/>
          <w:u w:val="single"/>
        </w:rPr>
        <w:t xml:space="preserve">                    </w:t>
      </w:r>
      <w:r>
        <w:rPr>
          <w:rFonts w:hint="eastAsia" w:ascii="宋体" w:hAnsi="宋体" w:cs="宋体"/>
          <w:color w:val="auto"/>
          <w:sz w:val="22"/>
          <w:szCs w:val="21"/>
          <w:highlight w:val="none"/>
        </w:rPr>
        <w:t>（项目名称）【招标编号：</w:t>
      </w:r>
      <w:r>
        <w:rPr>
          <w:rFonts w:hint="eastAsia" w:ascii="宋体" w:hAnsi="宋体" w:cs="宋体"/>
          <w:color w:val="auto"/>
          <w:sz w:val="22"/>
          <w:szCs w:val="21"/>
          <w:highlight w:val="none"/>
          <w:u w:val="single"/>
        </w:rPr>
        <w:t xml:space="preserve">           </w:t>
      </w:r>
      <w:r>
        <w:rPr>
          <w:rFonts w:hint="eastAsia" w:ascii="宋体" w:hAnsi="宋体" w:cs="宋体"/>
          <w:color w:val="auto"/>
          <w:sz w:val="22"/>
          <w:szCs w:val="21"/>
          <w:highlight w:val="none"/>
        </w:rPr>
        <w:t>（采购编号）】政府采购活动，郑重承诺：</w:t>
      </w:r>
    </w:p>
    <w:p w14:paraId="033E8272">
      <w:pPr>
        <w:snapToGrid w:val="0"/>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（一）具备《中华人民共和国政府采购法》第二十二条第一款规定的条件：</w:t>
      </w:r>
    </w:p>
    <w:p w14:paraId="555522D1">
      <w:pPr>
        <w:snapToGrid w:val="0"/>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1.具有独立承担民事责任的能力；</w:t>
      </w:r>
    </w:p>
    <w:p w14:paraId="03E55AC6">
      <w:pPr>
        <w:snapToGrid w:val="0"/>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 xml:space="preserve">2.具有良好的商业信誉和健全的财务会计制度； </w:t>
      </w:r>
    </w:p>
    <w:p w14:paraId="0ECEE7DA">
      <w:pPr>
        <w:snapToGrid w:val="0"/>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3.具有履行合同所必需的设备和专业技术能力；</w:t>
      </w:r>
    </w:p>
    <w:p w14:paraId="3EF8D216">
      <w:pPr>
        <w:snapToGrid w:val="0"/>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4.有依法缴纳税收和社会保障资金的良好记录；</w:t>
      </w:r>
    </w:p>
    <w:p w14:paraId="0AE1DB99">
      <w:pPr>
        <w:snapToGrid w:val="0"/>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5.参加政府采购活动前三年内，在经营活动中没有重大违法记录；</w:t>
      </w:r>
    </w:p>
    <w:p w14:paraId="3D983250">
      <w:pPr>
        <w:snapToGrid w:val="0"/>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6.具有法律、行政法规规定的其他条件。</w:t>
      </w:r>
    </w:p>
    <w:p w14:paraId="5A33C7BE">
      <w:pPr>
        <w:snapToGrid w:val="0"/>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（二）未被信用中国（www.creditchina.gov.cn)、中国政府采购网（www.ccgp.gov.cn）列入失信被执行人、重大税收违法案件当事人名单、政府采购严重违法失信行为记录名单。</w:t>
      </w:r>
    </w:p>
    <w:p w14:paraId="090E1E58">
      <w:pPr>
        <w:snapToGrid w:val="0"/>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（三）不存在以下情况：</w:t>
      </w:r>
    </w:p>
    <w:p w14:paraId="7EE99FF4">
      <w:pPr>
        <w:snapToGrid w:val="0"/>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1、单位负责人为同一人或者存在直接控股、管理关系的不同供应商参加同一合同项下的政府采购活动的；</w:t>
      </w:r>
    </w:p>
    <w:p w14:paraId="0247430F">
      <w:pPr>
        <w:snapToGrid w:val="0"/>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2、为采购项目提供整体设计、规范编制或者项目管理、监理、检测等服务后再参加该采购项目的其他采购活动的。</w:t>
      </w:r>
    </w:p>
    <w:p w14:paraId="4AE41D98">
      <w:pPr>
        <w:snapToGrid w:val="0"/>
        <w:spacing w:line="360" w:lineRule="auto"/>
        <w:ind w:firstLine="5060" w:firstLineChars="2300"/>
        <w:rPr>
          <w:rFonts w:hint="eastAsia" w:ascii="宋体" w:hAnsi="宋体" w:cs="宋体"/>
          <w:color w:val="auto"/>
          <w:sz w:val="22"/>
          <w:szCs w:val="21"/>
          <w:highlight w:val="none"/>
          <w:lang w:val="zh-CN"/>
        </w:rPr>
      </w:pPr>
    </w:p>
    <w:p w14:paraId="584EE2AE">
      <w:pPr>
        <w:snapToGrid w:val="0"/>
        <w:spacing w:line="360" w:lineRule="auto"/>
        <w:ind w:firstLine="5060" w:firstLineChars="2300"/>
        <w:rPr>
          <w:rFonts w:hint="eastAsia" w:ascii="宋体" w:hAnsi="宋体" w:cs="宋体"/>
          <w:color w:val="auto"/>
          <w:sz w:val="22"/>
          <w:szCs w:val="21"/>
          <w:highlight w:val="none"/>
          <w:lang w:val="zh-CN"/>
        </w:rPr>
      </w:pPr>
    </w:p>
    <w:p w14:paraId="055892A5">
      <w:pPr>
        <w:snapToGrid w:val="0"/>
        <w:spacing w:line="360" w:lineRule="auto"/>
        <w:ind w:firstLine="5060" w:firstLineChars="2300"/>
        <w:rPr>
          <w:rFonts w:hint="eastAsia" w:ascii="宋体" w:hAnsi="宋体" w:cs="宋体"/>
          <w:color w:val="auto"/>
          <w:sz w:val="22"/>
          <w:szCs w:val="21"/>
          <w:highlight w:val="none"/>
        </w:rPr>
      </w:pPr>
      <w:r>
        <w:rPr>
          <w:rFonts w:hint="eastAsia" w:ascii="宋体" w:hAnsi="宋体" w:cs="宋体"/>
          <w:color w:val="auto"/>
          <w:sz w:val="22"/>
          <w:szCs w:val="21"/>
          <w:highlight w:val="none"/>
          <w:lang w:val="zh-CN"/>
        </w:rPr>
        <w:t>投标人名称(电子签章)：</w:t>
      </w:r>
    </w:p>
    <w:p w14:paraId="03E9BA3A">
      <w:pPr>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lang w:val="zh-CN"/>
        </w:rPr>
        <w:t xml:space="preserve">                        </w:t>
      </w:r>
      <w:r>
        <w:rPr>
          <w:rFonts w:hint="eastAsia" w:ascii="宋体" w:hAnsi="宋体" w:cs="宋体"/>
          <w:color w:val="auto"/>
          <w:sz w:val="22"/>
          <w:szCs w:val="21"/>
          <w:highlight w:val="none"/>
        </w:rPr>
        <w:t xml:space="preserve">                      </w:t>
      </w:r>
      <w:r>
        <w:rPr>
          <w:rFonts w:hint="eastAsia" w:ascii="宋体" w:hAnsi="宋体" w:cs="宋体"/>
          <w:color w:val="auto"/>
          <w:sz w:val="22"/>
          <w:szCs w:val="21"/>
          <w:highlight w:val="none"/>
          <w:lang w:val="zh-CN"/>
        </w:rPr>
        <w:t>日期</w:t>
      </w:r>
      <w:r>
        <w:rPr>
          <w:rFonts w:hint="eastAsia" w:ascii="宋体" w:hAnsi="宋体" w:cs="宋体"/>
          <w:color w:val="auto"/>
          <w:sz w:val="22"/>
          <w:szCs w:val="21"/>
          <w:highlight w:val="none"/>
        </w:rPr>
        <w:t xml:space="preserve">：  年  </w:t>
      </w:r>
      <w:r>
        <w:rPr>
          <w:rFonts w:hint="eastAsia" w:ascii="宋体" w:hAnsi="宋体" w:cs="宋体"/>
          <w:color w:val="auto"/>
          <w:sz w:val="22"/>
          <w:szCs w:val="21"/>
          <w:highlight w:val="none"/>
          <w:lang w:val="zh-CN"/>
        </w:rPr>
        <w:t>月</w:t>
      </w:r>
      <w:r>
        <w:rPr>
          <w:rFonts w:hint="eastAsia" w:ascii="宋体" w:hAnsi="宋体" w:cs="宋体"/>
          <w:color w:val="auto"/>
          <w:sz w:val="22"/>
          <w:szCs w:val="21"/>
          <w:highlight w:val="none"/>
        </w:rPr>
        <w:t xml:space="preserve">   </w:t>
      </w:r>
      <w:r>
        <w:rPr>
          <w:rFonts w:hint="eastAsia" w:ascii="宋体" w:hAnsi="宋体" w:cs="宋体"/>
          <w:color w:val="auto"/>
          <w:sz w:val="22"/>
          <w:szCs w:val="21"/>
          <w:highlight w:val="none"/>
          <w:lang w:val="zh-CN"/>
        </w:rPr>
        <w:t>日</w:t>
      </w:r>
    </w:p>
    <w:p w14:paraId="0349EDE6">
      <w:pPr>
        <w:jc w:val="center"/>
        <w:rPr>
          <w:rFonts w:ascii="仿宋" w:hAnsi="仿宋" w:eastAsia="仿宋" w:cs="宋体"/>
          <w:color w:val="auto"/>
          <w:kern w:val="0"/>
          <w:sz w:val="24"/>
          <w:highlight w:val="none"/>
        </w:rPr>
      </w:pPr>
    </w:p>
    <w:p w14:paraId="2B0D9BC3">
      <w:pPr>
        <w:rPr>
          <w:rFonts w:ascii="仿宋" w:hAnsi="仿宋" w:eastAsia="仿宋" w:cs="宋体"/>
          <w:color w:val="auto"/>
          <w:kern w:val="0"/>
          <w:sz w:val="24"/>
          <w:highlight w:val="none"/>
        </w:rPr>
      </w:pPr>
    </w:p>
    <w:p w14:paraId="10423D3D">
      <w:pPr>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rPr>
        <w:br w:type="page"/>
      </w:r>
    </w:p>
    <w:bookmarkEnd w:id="95"/>
    <w:bookmarkEnd w:id="96"/>
    <w:bookmarkEnd w:id="97"/>
    <w:p w14:paraId="40C834B9">
      <w:pPr>
        <w:keepNext w:val="0"/>
        <w:keepLines w:val="0"/>
        <w:widowControl w:val="0"/>
        <w:suppressLineNumbers w:val="0"/>
        <w:spacing w:before="0" w:beforeAutospacing="0" w:after="0" w:afterAutospacing="0" w:line="540" w:lineRule="exact"/>
        <w:ind w:left="0" w:right="0"/>
        <w:jc w:val="center"/>
        <w:outlineLvl w:val="2"/>
        <w:rPr>
          <w:rFonts w:hint="eastAsia" w:ascii="宋体" w:hAnsi="宋体" w:eastAsia="宋体" w:cs="宋体"/>
          <w:b/>
          <w:bCs w:val="0"/>
          <w:color w:val="auto"/>
          <w:kern w:val="2"/>
          <w:sz w:val="30"/>
          <w:szCs w:val="30"/>
          <w:highlight w:val="none"/>
        </w:rPr>
      </w:pPr>
      <w:bookmarkStart w:id="113" w:name="_Toc30925"/>
      <w:bookmarkStart w:id="114" w:name="_Toc29756"/>
      <w:bookmarkStart w:id="115" w:name="_Toc17450"/>
      <w:r>
        <w:rPr>
          <w:rFonts w:hint="eastAsia" w:ascii="宋体" w:hAnsi="宋体" w:cs="宋体"/>
          <w:b/>
          <w:bCs w:val="0"/>
          <w:color w:val="auto"/>
          <w:kern w:val="2"/>
          <w:sz w:val="30"/>
          <w:szCs w:val="30"/>
          <w:highlight w:val="none"/>
          <w:lang w:val="en-US" w:eastAsia="zh-CN" w:bidi="ar"/>
        </w:rPr>
        <w:t>二、</w:t>
      </w:r>
      <w:r>
        <w:rPr>
          <w:rFonts w:hint="eastAsia" w:ascii="宋体" w:hAnsi="宋体" w:eastAsia="宋体" w:cs="宋体"/>
          <w:b/>
          <w:bCs w:val="0"/>
          <w:color w:val="auto"/>
          <w:kern w:val="2"/>
          <w:sz w:val="30"/>
          <w:szCs w:val="30"/>
          <w:highlight w:val="none"/>
          <w:lang w:val="en-US" w:eastAsia="zh-CN" w:bidi="ar"/>
        </w:rPr>
        <w:t>中小企业声明函</w:t>
      </w:r>
    </w:p>
    <w:p w14:paraId="7CCBA486">
      <w:pPr>
        <w:keepNext w:val="0"/>
        <w:keepLines w:val="0"/>
        <w:widowControl/>
        <w:suppressLineNumbers w:val="0"/>
        <w:spacing w:before="0" w:beforeLines="0" w:beforeAutospacing="0" w:after="0" w:afterLines="0" w:afterAutospacing="0" w:line="440" w:lineRule="exact"/>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xml:space="preserve"> </w:t>
      </w:r>
    </w:p>
    <w:p w14:paraId="1392C7DD">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lang w:val="en-US" w:eastAsia="zh-CN" w:bidi="ar"/>
        </w:rPr>
        <w:t>本公司(联合体）郑重声明，根据《政府采购促进中小 企业发展管理办法》（财库﹝2020﹞46 号）的规定，本公司(联合体）参加</w:t>
      </w:r>
      <w:r>
        <w:rPr>
          <w:rFonts w:hint="eastAsia" w:ascii="宋体" w:hAnsi="宋体" w:eastAsia="宋体" w:cs="宋体"/>
          <w:color w:val="auto"/>
          <w:spacing w:val="0"/>
          <w:kern w:val="2"/>
          <w:sz w:val="21"/>
          <w:szCs w:val="21"/>
          <w:highlight w:val="none"/>
          <w:u w:val="single"/>
          <w:lang w:val="en-US" w:eastAsia="zh-CN" w:bidi="ar"/>
        </w:rPr>
        <w:t xml:space="preserve">（采购人名称）     </w:t>
      </w:r>
      <w:r>
        <w:rPr>
          <w:rFonts w:hint="eastAsia" w:ascii="宋体" w:hAnsi="宋体" w:eastAsia="宋体" w:cs="宋体"/>
          <w:color w:val="auto"/>
          <w:spacing w:val="0"/>
          <w:kern w:val="2"/>
          <w:sz w:val="21"/>
          <w:szCs w:val="21"/>
          <w:highlight w:val="none"/>
          <w:lang w:val="en-US" w:eastAsia="zh-CN" w:bidi="ar"/>
        </w:rPr>
        <w:t>的</w:t>
      </w:r>
      <w:r>
        <w:rPr>
          <w:rFonts w:hint="eastAsia" w:ascii="宋体" w:hAnsi="宋体" w:eastAsia="宋体" w:cs="宋体"/>
          <w:color w:val="auto"/>
          <w:spacing w:val="0"/>
          <w:kern w:val="2"/>
          <w:sz w:val="21"/>
          <w:szCs w:val="21"/>
          <w:highlight w:val="none"/>
          <w:u w:val="single"/>
          <w:lang w:val="en-US" w:eastAsia="zh-CN" w:bidi="ar"/>
        </w:rPr>
        <w:t xml:space="preserve">（项目名称）     </w:t>
      </w:r>
      <w:r>
        <w:rPr>
          <w:rFonts w:hint="eastAsia" w:ascii="宋体" w:hAnsi="宋体" w:eastAsia="宋体" w:cs="宋体"/>
          <w:color w:val="auto"/>
          <w:spacing w:val="0"/>
          <w:kern w:val="2"/>
          <w:sz w:val="21"/>
          <w:szCs w:val="21"/>
          <w:highlight w:val="none"/>
          <w:lang w:val="en-US" w:eastAsia="zh-CN" w:bidi="ar"/>
        </w:rPr>
        <w:t>采购活动，服务全部由符合政策要求的中小企业承接。相关企业（含联合体中的中小企业、签订分包意向协议的中小企业）的具体情况如下：</w:t>
      </w:r>
    </w:p>
    <w:p w14:paraId="6D897CD5">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u w:val="single"/>
          <w:lang w:val="en-US" w:eastAsia="zh-CN" w:bidi="ar"/>
        </w:rPr>
        <w:t xml:space="preserve">（标的名称）       </w:t>
      </w:r>
      <w:r>
        <w:rPr>
          <w:rFonts w:hint="eastAsia" w:ascii="宋体" w:hAnsi="宋体" w:eastAsia="宋体" w:cs="宋体"/>
          <w:color w:val="auto"/>
          <w:spacing w:val="0"/>
          <w:kern w:val="2"/>
          <w:sz w:val="21"/>
          <w:szCs w:val="21"/>
          <w:highlight w:val="none"/>
          <w:lang w:val="en-US" w:eastAsia="zh-CN" w:bidi="ar"/>
        </w:rPr>
        <w:t>，属于</w:t>
      </w:r>
      <w:r>
        <w:rPr>
          <w:rFonts w:hint="eastAsia" w:ascii="宋体" w:hAnsi="宋体" w:eastAsia="宋体" w:cs="宋体"/>
          <w:color w:val="auto"/>
          <w:spacing w:val="0"/>
          <w:kern w:val="2"/>
          <w:sz w:val="21"/>
          <w:szCs w:val="21"/>
          <w:highlight w:val="none"/>
          <w:u w:val="single"/>
          <w:lang w:val="en-US" w:eastAsia="zh-CN" w:bidi="ar"/>
        </w:rPr>
        <w:t xml:space="preserve">         （采购文件中明确的所属行业）</w:t>
      </w:r>
      <w:r>
        <w:rPr>
          <w:rFonts w:hint="eastAsia" w:ascii="宋体" w:hAnsi="宋体" w:eastAsia="宋体" w:cs="宋体"/>
          <w:color w:val="auto"/>
          <w:spacing w:val="0"/>
          <w:kern w:val="2"/>
          <w:sz w:val="21"/>
          <w:szCs w:val="21"/>
          <w:highlight w:val="none"/>
          <w:lang w:val="en-US" w:eastAsia="zh-CN" w:bidi="ar"/>
        </w:rPr>
        <w:t>行业；承接企业为</w:t>
      </w:r>
      <w:r>
        <w:rPr>
          <w:rFonts w:hint="eastAsia" w:ascii="宋体" w:hAnsi="宋体" w:eastAsia="宋体" w:cs="宋体"/>
          <w:color w:val="auto"/>
          <w:spacing w:val="0"/>
          <w:kern w:val="2"/>
          <w:sz w:val="21"/>
          <w:szCs w:val="21"/>
          <w:highlight w:val="none"/>
          <w:u w:val="single"/>
          <w:lang w:val="en-US" w:eastAsia="zh-CN" w:bidi="ar"/>
        </w:rPr>
        <w:t xml:space="preserve">    （企业名称）</w:t>
      </w:r>
      <w:r>
        <w:rPr>
          <w:rFonts w:hint="eastAsia" w:ascii="宋体" w:hAnsi="宋体" w:eastAsia="宋体" w:cs="宋体"/>
          <w:color w:val="auto"/>
          <w:spacing w:val="0"/>
          <w:kern w:val="2"/>
          <w:sz w:val="21"/>
          <w:szCs w:val="21"/>
          <w:highlight w:val="none"/>
          <w:lang w:val="en-US" w:eastAsia="zh-CN" w:bidi="ar"/>
        </w:rPr>
        <w:t>，从业人员</w:t>
      </w:r>
      <w:r>
        <w:rPr>
          <w:rFonts w:hint="eastAsia" w:ascii="宋体" w:hAnsi="宋体" w:eastAsia="宋体" w:cs="宋体"/>
          <w:color w:val="auto"/>
          <w:spacing w:val="0"/>
          <w:kern w:val="2"/>
          <w:sz w:val="21"/>
          <w:szCs w:val="21"/>
          <w:highlight w:val="none"/>
          <w:u w:val="single"/>
          <w:lang w:val="en-US" w:eastAsia="zh-CN" w:bidi="ar"/>
        </w:rPr>
        <w:t xml:space="preserve">    </w:t>
      </w:r>
      <w:r>
        <w:rPr>
          <w:rFonts w:hint="eastAsia" w:ascii="宋体" w:hAnsi="宋体" w:eastAsia="宋体" w:cs="宋体"/>
          <w:color w:val="auto"/>
          <w:spacing w:val="0"/>
          <w:kern w:val="2"/>
          <w:sz w:val="21"/>
          <w:szCs w:val="21"/>
          <w:highlight w:val="none"/>
          <w:lang w:val="en-US" w:eastAsia="zh-CN" w:bidi="ar"/>
        </w:rPr>
        <w:t>人，营业收入为</w:t>
      </w:r>
      <w:r>
        <w:rPr>
          <w:rFonts w:hint="eastAsia" w:ascii="宋体" w:hAnsi="宋体" w:eastAsia="宋体" w:cs="宋体"/>
          <w:color w:val="auto"/>
          <w:spacing w:val="0"/>
          <w:kern w:val="2"/>
          <w:sz w:val="21"/>
          <w:szCs w:val="21"/>
          <w:highlight w:val="none"/>
          <w:u w:val="single"/>
          <w:lang w:val="en-US" w:eastAsia="zh-CN" w:bidi="ar"/>
        </w:rPr>
        <w:t xml:space="preserve"> </w:t>
      </w:r>
      <w:r>
        <w:rPr>
          <w:rFonts w:hint="eastAsia" w:ascii="宋体" w:hAnsi="宋体" w:eastAsia="宋体" w:cs="宋体"/>
          <w:color w:val="auto"/>
          <w:spacing w:val="0"/>
          <w:kern w:val="2"/>
          <w:sz w:val="21"/>
          <w:szCs w:val="21"/>
          <w:highlight w:val="none"/>
          <w:u w:val="single"/>
          <w:lang w:val="en-US" w:eastAsia="zh-CN" w:bidi="ar"/>
        </w:rPr>
        <w:tab/>
      </w:r>
      <w:r>
        <w:rPr>
          <w:rFonts w:hint="eastAsia" w:ascii="宋体" w:hAnsi="宋体" w:eastAsia="宋体" w:cs="宋体"/>
          <w:color w:val="auto"/>
          <w:spacing w:val="0"/>
          <w:kern w:val="2"/>
          <w:sz w:val="21"/>
          <w:szCs w:val="21"/>
          <w:highlight w:val="none"/>
          <w:lang w:val="en-US" w:eastAsia="zh-CN" w:bidi="ar"/>
        </w:rPr>
        <w:t>万元，资产总额为</w:t>
      </w:r>
      <w:r>
        <w:rPr>
          <w:rFonts w:hint="eastAsia" w:ascii="宋体" w:hAnsi="宋体" w:eastAsia="宋体" w:cs="宋体"/>
          <w:color w:val="auto"/>
          <w:spacing w:val="0"/>
          <w:kern w:val="2"/>
          <w:sz w:val="21"/>
          <w:szCs w:val="21"/>
          <w:highlight w:val="none"/>
          <w:u w:val="single"/>
          <w:lang w:val="en-US" w:eastAsia="zh-CN" w:bidi="ar"/>
        </w:rPr>
        <w:t xml:space="preserve"> </w:t>
      </w:r>
      <w:r>
        <w:rPr>
          <w:rFonts w:hint="eastAsia" w:ascii="宋体" w:hAnsi="宋体" w:eastAsia="宋体" w:cs="宋体"/>
          <w:color w:val="auto"/>
          <w:spacing w:val="0"/>
          <w:kern w:val="2"/>
          <w:sz w:val="21"/>
          <w:szCs w:val="21"/>
          <w:highlight w:val="none"/>
          <w:u w:val="single"/>
          <w:lang w:val="en-US" w:eastAsia="zh-CN" w:bidi="ar"/>
        </w:rPr>
        <w:tab/>
      </w:r>
      <w:r>
        <w:rPr>
          <w:rFonts w:hint="eastAsia" w:ascii="宋体" w:hAnsi="宋体" w:eastAsia="宋体" w:cs="宋体"/>
          <w:color w:val="auto"/>
          <w:spacing w:val="0"/>
          <w:kern w:val="2"/>
          <w:sz w:val="21"/>
          <w:szCs w:val="21"/>
          <w:highlight w:val="none"/>
          <w:u w:val="single"/>
          <w:lang w:val="en-US" w:eastAsia="zh-CN" w:bidi="ar"/>
        </w:rPr>
        <w:t xml:space="preserve"> </w:t>
      </w:r>
      <w:r>
        <w:rPr>
          <w:rFonts w:hint="eastAsia" w:ascii="宋体" w:hAnsi="宋体" w:eastAsia="宋体" w:cs="宋体"/>
          <w:color w:val="auto"/>
          <w:spacing w:val="0"/>
          <w:kern w:val="2"/>
          <w:sz w:val="21"/>
          <w:szCs w:val="21"/>
          <w:highlight w:val="none"/>
          <w:lang w:val="en-US" w:eastAsia="zh-CN" w:bidi="ar"/>
        </w:rPr>
        <w:t>万元，属于</w:t>
      </w:r>
      <w:r>
        <w:rPr>
          <w:rFonts w:hint="eastAsia" w:ascii="宋体" w:hAnsi="宋体" w:eastAsia="宋体" w:cs="宋体"/>
          <w:color w:val="auto"/>
          <w:spacing w:val="0"/>
          <w:kern w:val="2"/>
          <w:sz w:val="21"/>
          <w:szCs w:val="21"/>
          <w:highlight w:val="none"/>
          <w:u w:val="single"/>
          <w:lang w:val="en-US" w:eastAsia="zh-CN" w:bidi="ar"/>
        </w:rPr>
        <w:t xml:space="preserve">          </w:t>
      </w:r>
      <w:r>
        <w:rPr>
          <w:rFonts w:hint="eastAsia" w:ascii="宋体" w:hAnsi="宋体" w:eastAsia="宋体" w:cs="宋体"/>
          <w:color w:val="auto"/>
          <w:spacing w:val="0"/>
          <w:kern w:val="2"/>
          <w:sz w:val="21"/>
          <w:szCs w:val="21"/>
          <w:highlight w:val="none"/>
          <w:lang w:val="en-US" w:eastAsia="zh-CN" w:bidi="ar"/>
        </w:rPr>
        <w:t>（□中型企业、□小型企业、□微型企业）；</w:t>
      </w:r>
    </w:p>
    <w:p w14:paraId="3E23BBE7">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lang w:val="en-US" w:eastAsia="zh-CN" w:bidi="ar"/>
        </w:rPr>
        <w:t>以上企业，不属于大企业的分支机构，不存在控股股东为大企业的情形，也不存在与大企业的负责人为同一人的情形。</w:t>
      </w:r>
    </w:p>
    <w:p w14:paraId="775D0C43">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lang w:val="en-US" w:eastAsia="zh-CN" w:bidi="ar"/>
        </w:rPr>
        <w:t>本企业对上述声明内容的真实性负责。如有虚假，将依法承担相应责任。</w:t>
      </w:r>
    </w:p>
    <w:p w14:paraId="23FD3D8C">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lang w:val="en-US" w:eastAsia="zh-CN" w:bidi="ar"/>
        </w:rPr>
        <w:t xml:space="preserve"> </w:t>
      </w:r>
    </w:p>
    <w:p w14:paraId="2E329A0D">
      <w:pPr>
        <w:keepNext w:val="0"/>
        <w:keepLines w:val="0"/>
        <w:widowControl w:val="0"/>
        <w:suppressLineNumbers w:val="0"/>
        <w:spacing w:before="0" w:beforeAutospacing="0" w:after="0" w:afterAutospacing="0" w:line="500" w:lineRule="exact"/>
        <w:ind w:left="0" w:right="0" w:firstLine="3360" w:firstLineChars="1600"/>
        <w:jc w:val="both"/>
        <w:rPr>
          <w:rFonts w:hint="eastAsia" w:ascii="宋体" w:hAnsi="宋体" w:eastAsia="宋体" w:cs="宋体"/>
          <w:color w:val="auto"/>
          <w:spacing w:val="0"/>
          <w:kern w:val="2"/>
          <w:sz w:val="21"/>
          <w:szCs w:val="21"/>
          <w:highlight w:val="none"/>
        </w:rPr>
      </w:pPr>
      <w:r>
        <w:rPr>
          <w:rFonts w:hint="eastAsia" w:ascii="宋体" w:hAnsi="宋体" w:eastAsia="宋体" w:cs="宋体"/>
          <w:color w:val="auto"/>
          <w:sz w:val="21"/>
          <w:szCs w:val="21"/>
          <w:highlight w:val="none"/>
          <w:lang w:val="en-US" w:eastAsia="zh-CN"/>
        </w:rPr>
        <w:t>投标人全称</w:t>
      </w:r>
      <w:r>
        <w:rPr>
          <w:rFonts w:hint="eastAsia" w:ascii="宋体" w:hAnsi="宋体" w:eastAsia="宋体" w:cs="宋体"/>
          <w:color w:val="auto"/>
          <w:spacing w:val="0"/>
          <w:kern w:val="2"/>
          <w:sz w:val="21"/>
          <w:szCs w:val="21"/>
          <w:highlight w:val="none"/>
          <w:lang w:val="en-US" w:eastAsia="zh-CN" w:bidi="ar"/>
        </w:rPr>
        <w:t>（电子签章）：</w:t>
      </w:r>
      <w:r>
        <w:rPr>
          <w:rFonts w:hint="eastAsia" w:ascii="宋体" w:hAnsi="宋体" w:eastAsia="宋体" w:cs="宋体"/>
          <w:color w:val="auto"/>
          <w:spacing w:val="0"/>
          <w:kern w:val="2"/>
          <w:sz w:val="21"/>
          <w:szCs w:val="21"/>
          <w:highlight w:val="none"/>
          <w:u w:val="single"/>
          <w:lang w:val="en-US" w:eastAsia="zh-CN" w:bidi="ar"/>
        </w:rPr>
        <w:t xml:space="preserve">                    </w:t>
      </w:r>
      <w:r>
        <w:rPr>
          <w:rFonts w:hint="eastAsia" w:ascii="宋体" w:hAnsi="宋体" w:eastAsia="宋体" w:cs="宋体"/>
          <w:color w:val="auto"/>
          <w:spacing w:val="0"/>
          <w:kern w:val="2"/>
          <w:sz w:val="21"/>
          <w:szCs w:val="21"/>
          <w:highlight w:val="none"/>
          <w:lang w:val="en-US" w:eastAsia="zh-CN" w:bidi="ar"/>
        </w:rPr>
        <w:t xml:space="preserve"> </w:t>
      </w:r>
    </w:p>
    <w:p w14:paraId="569C9A18">
      <w:pPr>
        <w:keepNext w:val="0"/>
        <w:keepLines w:val="0"/>
        <w:widowControl w:val="0"/>
        <w:suppressLineNumbers w:val="0"/>
        <w:spacing w:before="0" w:beforeAutospacing="0" w:after="0" w:afterAutospacing="0" w:line="500" w:lineRule="exact"/>
        <w:ind w:left="0" w:right="0" w:firstLine="3360" w:firstLineChars="1600"/>
        <w:jc w:val="left"/>
        <w:rPr>
          <w:rFonts w:hint="eastAsia" w:ascii="宋体" w:hAnsi="宋体" w:eastAsia="宋体" w:cs="宋体"/>
          <w:b/>
          <w:bCs w:val="0"/>
          <w:color w:val="auto"/>
          <w:spacing w:val="0"/>
          <w:kern w:val="2"/>
          <w:sz w:val="21"/>
          <w:szCs w:val="21"/>
          <w:highlight w:val="none"/>
        </w:rPr>
      </w:pPr>
      <w:r>
        <w:rPr>
          <w:rFonts w:hint="eastAsia" w:ascii="宋体" w:hAnsi="宋体" w:eastAsia="宋体" w:cs="宋体"/>
          <w:color w:val="auto"/>
          <w:spacing w:val="0"/>
          <w:kern w:val="2"/>
          <w:sz w:val="21"/>
          <w:szCs w:val="21"/>
          <w:highlight w:val="none"/>
          <w:lang w:val="en-US" w:eastAsia="zh-CN" w:bidi="ar"/>
        </w:rPr>
        <w:t>日 期：</w:t>
      </w:r>
      <w:r>
        <w:rPr>
          <w:rFonts w:hint="eastAsia" w:ascii="宋体" w:hAnsi="宋体" w:eastAsia="宋体" w:cs="宋体"/>
          <w:color w:val="auto"/>
          <w:spacing w:val="0"/>
          <w:kern w:val="2"/>
          <w:sz w:val="21"/>
          <w:szCs w:val="21"/>
          <w:highlight w:val="none"/>
          <w:u w:val="single"/>
          <w:lang w:val="en-US" w:eastAsia="zh-CN" w:bidi="ar"/>
        </w:rPr>
        <w:t xml:space="preserve">                </w:t>
      </w:r>
      <w:r>
        <w:rPr>
          <w:rFonts w:hint="eastAsia" w:ascii="宋体" w:hAnsi="宋体" w:cs="宋体"/>
          <w:color w:val="auto"/>
          <w:spacing w:val="0"/>
          <w:kern w:val="2"/>
          <w:sz w:val="21"/>
          <w:szCs w:val="21"/>
          <w:highlight w:val="none"/>
          <w:u w:val="single"/>
          <w:lang w:val="en-US" w:eastAsia="zh-CN" w:bidi="ar"/>
        </w:rPr>
        <w:t xml:space="preserve">            </w:t>
      </w:r>
      <w:r>
        <w:rPr>
          <w:rFonts w:hint="eastAsia" w:ascii="宋体" w:hAnsi="宋体" w:eastAsia="宋体" w:cs="宋体"/>
          <w:color w:val="auto"/>
          <w:spacing w:val="0"/>
          <w:kern w:val="2"/>
          <w:sz w:val="21"/>
          <w:szCs w:val="21"/>
          <w:highlight w:val="none"/>
          <w:u w:val="single"/>
          <w:lang w:val="en-US" w:eastAsia="zh-CN" w:bidi="ar"/>
        </w:rPr>
        <w:t xml:space="preserve">         </w:t>
      </w:r>
    </w:p>
    <w:p w14:paraId="5E620482">
      <w:pPr>
        <w:pStyle w:val="32"/>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lang w:val="en-US" w:eastAsia="zh-CN" w:bidi="ar"/>
        </w:rPr>
        <w:t xml:space="preserve">              </w:t>
      </w:r>
    </w:p>
    <w:p w14:paraId="641B07F3">
      <w:pPr>
        <w:pStyle w:val="32"/>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lang w:val="en-US" w:eastAsia="zh-CN" w:bidi="ar"/>
        </w:rPr>
        <w:t xml:space="preserve"> </w:t>
      </w:r>
    </w:p>
    <w:p w14:paraId="4347F57A">
      <w:pPr>
        <w:keepNext w:val="0"/>
        <w:keepLines w:val="0"/>
        <w:widowControl w:val="0"/>
        <w:suppressLineNumbers w:val="0"/>
        <w:spacing w:before="0" w:beforeAutospacing="0" w:after="0" w:afterAutospacing="0" w:line="360" w:lineRule="auto"/>
        <w:ind w:left="0" w:right="420" w:firstLine="422" w:firstLineChars="200"/>
        <w:jc w:val="both"/>
        <w:rPr>
          <w:rFonts w:hint="eastAsia" w:ascii="宋体" w:hAnsi="宋体" w:eastAsia="宋体" w:cs="宋体"/>
          <w:b/>
          <w:bCs w:val="0"/>
          <w:color w:val="auto"/>
          <w:spacing w:val="0"/>
          <w:kern w:val="0"/>
          <w:sz w:val="21"/>
          <w:szCs w:val="21"/>
          <w:highlight w:val="none"/>
        </w:rPr>
      </w:pPr>
      <w:r>
        <w:rPr>
          <w:rFonts w:hint="eastAsia" w:ascii="宋体" w:hAnsi="宋体" w:eastAsia="宋体" w:cs="宋体"/>
          <w:b/>
          <w:bCs w:val="0"/>
          <w:color w:val="auto"/>
          <w:spacing w:val="0"/>
          <w:kern w:val="0"/>
          <w:sz w:val="21"/>
          <w:szCs w:val="21"/>
          <w:highlight w:val="none"/>
          <w:lang w:val="en-US" w:eastAsia="zh-CN" w:bidi="ar"/>
        </w:rPr>
        <w:t>注：填写要求：①“标的名称”、“采购文件中明确的所属行业”依据</w:t>
      </w:r>
      <w:r>
        <w:rPr>
          <w:rFonts w:hint="eastAsia" w:ascii="宋体" w:hAnsi="宋体" w:cs="宋体"/>
          <w:b/>
          <w:bCs w:val="0"/>
          <w:color w:val="auto"/>
          <w:spacing w:val="0"/>
          <w:kern w:val="0"/>
          <w:sz w:val="21"/>
          <w:szCs w:val="21"/>
          <w:highlight w:val="none"/>
          <w:lang w:val="en-US" w:eastAsia="zh-CN" w:bidi="ar"/>
        </w:rPr>
        <w:t>招标</w:t>
      </w:r>
      <w:r>
        <w:rPr>
          <w:rFonts w:hint="eastAsia" w:ascii="宋体" w:hAnsi="宋体" w:eastAsia="宋体" w:cs="宋体"/>
          <w:b/>
          <w:bCs w:val="0"/>
          <w:color w:val="auto"/>
          <w:spacing w:val="0"/>
          <w:kern w:val="0"/>
          <w:sz w:val="21"/>
          <w:szCs w:val="21"/>
          <w:highlight w:val="none"/>
          <w:lang w:val="en-US" w:eastAsia="zh-CN" w:bidi="ar"/>
        </w:rPr>
        <w:t>文件第二部分</w:t>
      </w:r>
      <w:r>
        <w:rPr>
          <w:rFonts w:hint="eastAsia" w:ascii="宋体" w:hAnsi="宋体" w:cs="宋体"/>
          <w:b/>
          <w:bCs w:val="0"/>
          <w:color w:val="auto"/>
          <w:spacing w:val="0"/>
          <w:kern w:val="0"/>
          <w:sz w:val="21"/>
          <w:szCs w:val="21"/>
          <w:highlight w:val="none"/>
          <w:lang w:val="en-US" w:eastAsia="zh-CN" w:bidi="ar"/>
        </w:rPr>
        <w:t>投标</w:t>
      </w:r>
      <w:r>
        <w:rPr>
          <w:rFonts w:hint="eastAsia" w:ascii="宋体" w:hAnsi="宋体" w:eastAsia="宋体" w:cs="宋体"/>
          <w:b/>
          <w:bCs w:val="0"/>
          <w:color w:val="auto"/>
          <w:spacing w:val="0"/>
          <w:kern w:val="0"/>
          <w:sz w:val="21"/>
          <w:szCs w:val="21"/>
          <w:highlight w:val="none"/>
          <w:lang w:val="en-US" w:eastAsia="zh-CN" w:bidi="ar"/>
        </w:rPr>
        <w:t>人须知前附表中“采购标的对应的中小企业划分标准所属行业”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w:t>
      </w:r>
      <w:r>
        <w:rPr>
          <w:rFonts w:hint="eastAsia" w:ascii="宋体" w:hAnsi="宋体" w:cs="宋体"/>
          <w:b/>
          <w:bCs w:val="0"/>
          <w:color w:val="auto"/>
          <w:spacing w:val="0"/>
          <w:kern w:val="0"/>
          <w:sz w:val="21"/>
          <w:szCs w:val="21"/>
          <w:highlight w:val="none"/>
          <w:lang w:val="en-US" w:eastAsia="zh-CN" w:bidi="ar"/>
        </w:rPr>
        <w:t>投标</w:t>
      </w:r>
      <w:r>
        <w:rPr>
          <w:rFonts w:hint="eastAsia" w:ascii="宋体" w:hAnsi="宋体" w:eastAsia="宋体" w:cs="宋体"/>
          <w:b/>
          <w:bCs w:val="0"/>
          <w:color w:val="auto"/>
          <w:spacing w:val="0"/>
          <w:kern w:val="0"/>
          <w:sz w:val="21"/>
          <w:szCs w:val="21"/>
          <w:highlight w:val="none"/>
          <w:lang w:val="en-US" w:eastAsia="zh-CN" w:bidi="ar"/>
        </w:rPr>
        <w:t>人提供的《中小企业声明函》与实际情况不符的或者未按以上要求填写的，不享受中小企业扶持政策。声明内容不实的，属于提供虚假材料谋取中标、成交的，依法承担法律责任</w:t>
      </w:r>
      <w:r>
        <w:rPr>
          <w:rFonts w:hint="eastAsia" w:ascii="宋体" w:hAnsi="宋体" w:eastAsia="宋体" w:cs="宋体"/>
          <w:color w:val="auto"/>
          <w:spacing w:val="0"/>
          <w:kern w:val="2"/>
          <w:sz w:val="24"/>
          <w:szCs w:val="24"/>
          <w:highlight w:val="none"/>
          <w:lang w:val="en-US" w:eastAsia="zh-CN" w:bidi="ar"/>
        </w:rPr>
        <w:t>。</w:t>
      </w:r>
    </w:p>
    <w:p w14:paraId="785CDE93">
      <w:pPr>
        <w:keepNext w:val="0"/>
        <w:keepLines w:val="0"/>
        <w:widowControl/>
        <w:suppressLineNumbers w:val="0"/>
        <w:spacing w:before="0" w:beforeLines="0" w:beforeAutospacing="0" w:after="0" w:afterLines="0" w:afterAutospacing="0" w:line="40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2DAD8240">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bCs w:val="0"/>
          <w:color w:val="auto"/>
          <w:kern w:val="2"/>
          <w:sz w:val="30"/>
          <w:szCs w:val="30"/>
          <w:highlight w:val="none"/>
        </w:rPr>
      </w:pPr>
      <w:r>
        <w:rPr>
          <w:rFonts w:hint="eastAsia" w:ascii="宋体" w:hAnsi="宋体" w:eastAsia="宋体" w:cs="宋体"/>
          <w:b/>
          <w:bCs w:val="0"/>
          <w:color w:val="auto"/>
          <w:kern w:val="2"/>
          <w:sz w:val="30"/>
          <w:szCs w:val="30"/>
          <w:highlight w:val="none"/>
          <w:lang w:val="en-US" w:eastAsia="zh-CN" w:bidi="ar"/>
        </w:rPr>
        <w:br w:type="page"/>
      </w:r>
    </w:p>
    <w:p w14:paraId="7BDC6595">
      <w:pPr>
        <w:keepNext w:val="0"/>
        <w:keepLines w:val="0"/>
        <w:widowControl w:val="0"/>
        <w:suppressLineNumbers w:val="0"/>
        <w:spacing w:before="0" w:beforeAutospacing="0" w:after="0" w:afterAutospacing="0" w:line="540" w:lineRule="exact"/>
        <w:ind w:left="0" w:right="0"/>
        <w:jc w:val="center"/>
        <w:outlineLvl w:val="2"/>
        <w:rPr>
          <w:rFonts w:hint="eastAsia" w:ascii="宋体" w:hAnsi="宋体" w:eastAsia="宋体" w:cs="宋体"/>
          <w:b/>
          <w:bCs w:val="0"/>
          <w:color w:val="auto"/>
          <w:kern w:val="2"/>
          <w:sz w:val="30"/>
          <w:szCs w:val="30"/>
          <w:highlight w:val="none"/>
        </w:rPr>
      </w:pPr>
      <w:r>
        <w:rPr>
          <w:rFonts w:hint="eastAsia" w:ascii="宋体" w:hAnsi="宋体" w:cs="宋体"/>
          <w:b/>
          <w:bCs w:val="0"/>
          <w:color w:val="auto"/>
          <w:kern w:val="2"/>
          <w:sz w:val="30"/>
          <w:szCs w:val="30"/>
          <w:highlight w:val="none"/>
          <w:lang w:val="en-US" w:eastAsia="zh-CN" w:bidi="ar"/>
        </w:rPr>
        <w:t>三</w:t>
      </w:r>
      <w:r>
        <w:rPr>
          <w:rFonts w:hint="eastAsia" w:ascii="宋体" w:hAnsi="宋体" w:eastAsia="宋体" w:cs="宋体"/>
          <w:b/>
          <w:bCs w:val="0"/>
          <w:color w:val="auto"/>
          <w:kern w:val="2"/>
          <w:sz w:val="30"/>
          <w:szCs w:val="30"/>
          <w:highlight w:val="none"/>
          <w:lang w:val="en-US" w:eastAsia="zh-CN" w:bidi="ar"/>
        </w:rPr>
        <w:t>、残疾人福利性单位声明函（若有）</w:t>
      </w:r>
    </w:p>
    <w:p w14:paraId="476519FF">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4AC36F24">
      <w:pPr>
        <w:keepNext w:val="0"/>
        <w:keepLines w:val="0"/>
        <w:widowControl w:val="0"/>
        <w:suppressLineNumbers w:val="0"/>
        <w:snapToGrid w:val="0"/>
        <w:spacing w:before="0" w:beforeLines="0" w:beforeAutospacing="0" w:after="0" w:afterLines="0" w:afterAutospacing="0" w:line="540" w:lineRule="exact"/>
        <w:ind w:left="0" w:right="0" w:firstLine="630" w:firstLineChars="3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本单位郑重声明，根据《财政部 民政部 中国残疾人联合会关于促进残疾人就业政府采购政策的通知》（财库〔2017〕 141号）的规定，本单位为符合条件的残疾人福利性单位，且本单位参加单位</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的项目采购活动提供本单位制造的货物（由本单位承担工程/提供服务），或者提供其他残疾人福利性单位制造的货物（不包括使用非残疾人福利性单位注册商标的货物）。</w:t>
      </w:r>
    </w:p>
    <w:p w14:paraId="44890369">
      <w:pPr>
        <w:keepNext w:val="0"/>
        <w:keepLines w:val="0"/>
        <w:widowControl w:val="0"/>
        <w:suppressLineNumbers w:val="0"/>
        <w:snapToGrid w:val="0"/>
        <w:spacing w:before="0" w:beforeLines="0" w:beforeAutospacing="0" w:after="0" w:afterLines="0" w:afterAutospacing="0" w:line="5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本单位对上述声明的真实性负责。如有虚假，将依法承担相应责任。</w:t>
      </w:r>
    </w:p>
    <w:p w14:paraId="48B4C420">
      <w:pPr>
        <w:keepNext w:val="0"/>
        <w:keepLines w:val="0"/>
        <w:widowControl w:val="0"/>
        <w:suppressLineNumbers w:val="0"/>
        <w:snapToGrid w:val="0"/>
        <w:spacing w:before="0" w:beforeLines="0" w:beforeAutospacing="0" w:after="0" w:afterLines="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E151508">
      <w:pPr>
        <w:keepNext w:val="0"/>
        <w:keepLines w:val="0"/>
        <w:widowControl w:val="0"/>
        <w:suppressLineNumbers w:val="0"/>
        <w:snapToGrid w:val="0"/>
        <w:spacing w:before="0" w:beforeLines="0" w:beforeAutospacing="0" w:after="0" w:afterLines="0" w:afterAutospacing="0" w:line="5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60A0A8C1">
      <w:pPr>
        <w:keepNext w:val="0"/>
        <w:keepLines w:val="0"/>
        <w:widowControl w:val="0"/>
        <w:suppressLineNumbers w:val="0"/>
        <w:snapToGrid w:val="0"/>
        <w:spacing w:before="0" w:beforeLines="0" w:beforeAutospacing="0" w:after="0" w:afterLines="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1DBE4FA5">
      <w:pPr>
        <w:spacing w:line="500" w:lineRule="exact"/>
        <w:ind w:firstLine="3780" w:firstLineChars="1800"/>
        <w:rPr>
          <w:rFonts w:ascii="宋体" w:hAnsi="宋体" w:cs="宋体"/>
          <w:color w:val="auto"/>
          <w:szCs w:val="21"/>
          <w:highlight w:val="none"/>
        </w:rPr>
      </w:pPr>
      <w:r>
        <w:rPr>
          <w:rFonts w:ascii="宋体" w:hAnsi="宋体" w:cs="宋体"/>
          <w:color w:val="auto"/>
          <w:szCs w:val="21"/>
          <w:highlight w:val="none"/>
        </w:rPr>
        <w:t>投标人全称（电子签章）：</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p>
    <w:p w14:paraId="6E4D8A8B">
      <w:pPr>
        <w:snapToGrid w:val="0"/>
        <w:spacing w:line="500" w:lineRule="exact"/>
        <w:ind w:firstLine="3780" w:firstLineChars="1800"/>
        <w:textAlignment w:val="baseline"/>
        <w:rPr>
          <w:rFonts w:ascii="宋体" w:hAnsi="宋体" w:cs="宋体"/>
          <w:b/>
          <w:color w:val="auto"/>
          <w:sz w:val="28"/>
          <w:szCs w:val="28"/>
          <w:highlight w:val="none"/>
        </w:rPr>
      </w:pPr>
      <w:r>
        <w:rPr>
          <w:rFonts w:ascii="宋体" w:hAnsi="宋体" w:cs="宋体"/>
          <w:color w:val="auto"/>
          <w:szCs w:val="21"/>
          <w:highlight w:val="none"/>
        </w:rPr>
        <w:t>日 期：</w:t>
      </w:r>
      <w:r>
        <w:rPr>
          <w:rFonts w:ascii="宋体" w:hAnsi="宋体" w:cs="宋体"/>
          <w:color w:val="auto"/>
          <w:szCs w:val="21"/>
          <w:highlight w:val="none"/>
          <w:u w:val="single"/>
        </w:rPr>
        <w:t xml:space="preserve">                           </w:t>
      </w:r>
      <w:r>
        <w:rPr>
          <w:rFonts w:ascii="宋体" w:hAnsi="宋体" w:cs="宋体"/>
          <w:color w:val="auto"/>
          <w:sz w:val="28"/>
          <w:szCs w:val="28"/>
          <w:highlight w:val="none"/>
          <w:u w:val="single"/>
        </w:rPr>
        <w:t xml:space="preserve">        </w:t>
      </w:r>
    </w:p>
    <w:p w14:paraId="7D2E5909">
      <w:pPr>
        <w:bidi w:val="0"/>
        <w:rPr>
          <w:color w:val="auto"/>
          <w:highlight w:val="none"/>
        </w:rPr>
      </w:pPr>
    </w:p>
    <w:p w14:paraId="512BB687">
      <w:pPr>
        <w:keepNext w:val="0"/>
        <w:keepLines w:val="0"/>
        <w:widowControl/>
        <w:suppressLineNumbers w:val="0"/>
        <w:spacing w:before="0" w:beforeLines="0" w:beforeAutospacing="0" w:after="0" w:afterLines="0" w:afterAutospacing="0" w:line="540" w:lineRule="exact"/>
        <w:ind w:left="0" w:right="0"/>
        <w:jc w:val="center"/>
        <w:outlineLvl w:val="2"/>
        <w:rPr>
          <w:rFonts w:hint="eastAsia" w:ascii="宋体" w:hAnsi="宋体" w:eastAsia="宋体" w:cs="宋体"/>
          <w:b/>
          <w:bCs w:val="0"/>
          <w:color w:val="auto"/>
          <w:kern w:val="0"/>
          <w:sz w:val="30"/>
          <w:szCs w:val="30"/>
          <w:highlight w:val="none"/>
        </w:rPr>
      </w:pPr>
      <w:r>
        <w:rPr>
          <w:rFonts w:hint="eastAsia" w:ascii="宋体" w:hAnsi="宋体" w:eastAsia="宋体" w:cs="宋体"/>
          <w:b/>
          <w:bCs w:val="0"/>
          <w:color w:val="auto"/>
          <w:kern w:val="0"/>
          <w:sz w:val="30"/>
          <w:szCs w:val="30"/>
          <w:highlight w:val="none"/>
          <w:lang w:val="en-US" w:eastAsia="zh-CN" w:bidi="ar"/>
        </w:rPr>
        <w:t xml:space="preserve"> </w:t>
      </w:r>
    </w:p>
    <w:p w14:paraId="375B7817">
      <w:pPr>
        <w:keepNext w:val="0"/>
        <w:keepLines w:val="0"/>
        <w:widowControl/>
        <w:suppressLineNumbers w:val="0"/>
        <w:tabs>
          <w:tab w:val="left" w:pos="443"/>
        </w:tabs>
        <w:spacing w:before="0" w:beforeLines="0" w:beforeAutospacing="0" w:after="0" w:afterLines="0" w:afterAutospacing="0" w:line="540" w:lineRule="exact"/>
        <w:ind w:left="0" w:right="0"/>
        <w:jc w:val="left"/>
        <w:outlineLvl w:val="2"/>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ab/>
      </w:r>
      <w:r>
        <w:rPr>
          <w:rFonts w:hint="eastAsia" w:ascii="宋体" w:hAnsi="宋体" w:eastAsia="宋体" w:cs="宋体"/>
          <w:b/>
          <w:bCs w:val="0"/>
          <w:color w:val="auto"/>
          <w:kern w:val="0"/>
          <w:sz w:val="21"/>
          <w:szCs w:val="21"/>
          <w:highlight w:val="none"/>
          <w:lang w:val="en-US" w:eastAsia="zh-CN" w:bidi="ar"/>
        </w:rPr>
        <w:t>注：不属于残疾人福利性单位的，此函可不提供。</w:t>
      </w:r>
    </w:p>
    <w:p w14:paraId="0DE34387">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bCs w:val="0"/>
          <w:color w:val="auto"/>
          <w:kern w:val="2"/>
          <w:sz w:val="30"/>
          <w:szCs w:val="30"/>
          <w:highlight w:val="none"/>
        </w:rPr>
      </w:pPr>
      <w:r>
        <w:rPr>
          <w:rFonts w:hint="eastAsia" w:ascii="宋体" w:hAnsi="宋体" w:eastAsia="宋体" w:cs="宋体"/>
          <w:b/>
          <w:bCs w:val="0"/>
          <w:color w:val="auto"/>
          <w:kern w:val="2"/>
          <w:sz w:val="30"/>
          <w:szCs w:val="30"/>
          <w:highlight w:val="none"/>
          <w:lang w:val="en-US" w:eastAsia="zh-CN" w:bidi="ar"/>
        </w:rPr>
        <w:br w:type="page"/>
      </w:r>
    </w:p>
    <w:p w14:paraId="25FD1FF0">
      <w:pPr>
        <w:keepNext w:val="0"/>
        <w:keepLines w:val="0"/>
        <w:widowControl w:val="0"/>
        <w:suppressLineNumbers w:val="0"/>
        <w:spacing w:before="0" w:beforeAutospacing="0" w:after="0" w:afterAutospacing="0" w:line="540" w:lineRule="exact"/>
        <w:ind w:left="0" w:right="0"/>
        <w:jc w:val="center"/>
        <w:outlineLvl w:val="2"/>
        <w:rPr>
          <w:rFonts w:hint="eastAsia" w:ascii="宋体" w:hAnsi="宋体" w:eastAsia="宋体" w:cs="宋体"/>
          <w:b/>
          <w:bCs w:val="0"/>
          <w:color w:val="auto"/>
          <w:kern w:val="2"/>
          <w:sz w:val="30"/>
          <w:szCs w:val="30"/>
          <w:highlight w:val="none"/>
        </w:rPr>
      </w:pPr>
      <w:r>
        <w:rPr>
          <w:rFonts w:hint="eastAsia" w:ascii="宋体" w:hAnsi="宋体" w:cs="宋体"/>
          <w:b/>
          <w:bCs w:val="0"/>
          <w:color w:val="auto"/>
          <w:kern w:val="2"/>
          <w:sz w:val="30"/>
          <w:szCs w:val="30"/>
          <w:highlight w:val="none"/>
          <w:lang w:val="en-US" w:eastAsia="zh-CN" w:bidi="ar"/>
        </w:rPr>
        <w:t>四</w:t>
      </w:r>
      <w:r>
        <w:rPr>
          <w:rFonts w:hint="eastAsia" w:ascii="宋体" w:hAnsi="宋体" w:eastAsia="宋体" w:cs="宋体"/>
          <w:b/>
          <w:bCs w:val="0"/>
          <w:color w:val="auto"/>
          <w:kern w:val="2"/>
          <w:sz w:val="30"/>
          <w:szCs w:val="30"/>
          <w:highlight w:val="none"/>
          <w:lang w:val="en-US" w:eastAsia="zh-CN" w:bidi="ar"/>
        </w:rPr>
        <w:t>、省级以上监狱管理局、戒毒管理局（含新疆生产建设兵团）出具的属于监狱企业的证明文件（若有）</w:t>
      </w:r>
    </w:p>
    <w:p w14:paraId="71723E9C">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852B2B0">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401A468">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4B02328">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FCFAB9F">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87E09B5">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8C01F23">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A69F522">
      <w:pPr>
        <w:keepNext w:val="0"/>
        <w:keepLines w:val="0"/>
        <w:widowControl w:val="0"/>
        <w:suppressLineNumbers w:val="0"/>
        <w:tabs>
          <w:tab w:val="left" w:pos="863"/>
        </w:tabs>
        <w:spacing w:before="0" w:beforeLines="0" w:beforeAutospacing="0" w:after="0" w:afterLines="0" w:afterAutospacing="0"/>
        <w:ind w:left="0" w:right="0"/>
        <w:jc w:val="left"/>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0"/>
          <w:sz w:val="21"/>
          <w:szCs w:val="21"/>
          <w:highlight w:val="none"/>
          <w:lang w:val="en-US" w:eastAsia="zh-CN" w:bidi="ar"/>
        </w:rPr>
        <w:t>注：不属于监狱企业的，可不提供。</w:t>
      </w:r>
    </w:p>
    <w:p w14:paraId="11C72C80">
      <w:pPr>
        <w:tabs>
          <w:tab w:val="left" w:pos="863"/>
        </w:tabs>
        <w:spacing w:beforeLines="0" w:beforeAutospacing="0" w:afterLines="0" w:afterAutospacing="0"/>
        <w:jc w:val="left"/>
        <w:rPr>
          <w:rFonts w:hint="eastAsia" w:ascii="宋体" w:hAnsi="宋体" w:eastAsia="宋体" w:cs="宋体"/>
          <w:color w:val="auto"/>
          <w:kern w:val="2"/>
          <w:sz w:val="21"/>
          <w:szCs w:val="21"/>
          <w:highlight w:val="none"/>
        </w:rPr>
        <w:sectPr>
          <w:footerReference r:id="rId6" w:type="default"/>
          <w:pgSz w:w="11906" w:h="16838"/>
          <w:pgMar w:top="1304" w:right="1304" w:bottom="1191" w:left="1304" w:header="794" w:footer="850" w:gutter="0"/>
          <w:pgBorders>
            <w:top w:val="none" w:sz="0" w:space="0"/>
            <w:left w:val="none" w:sz="0" w:space="0"/>
            <w:bottom w:val="none" w:sz="0" w:space="0"/>
            <w:right w:val="none" w:sz="0" w:space="0"/>
          </w:pgBorders>
          <w:pgNumType w:fmt="decimal"/>
          <w:cols w:space="0" w:num="1"/>
          <w:docGrid w:type="lines" w:linePitch="320" w:charSpace="0"/>
        </w:sectPr>
      </w:pPr>
    </w:p>
    <w:p w14:paraId="4C81D318">
      <w:pPr>
        <w:spacing w:line="540" w:lineRule="exact"/>
        <w:jc w:val="center"/>
        <w:outlineLvl w:val="2"/>
        <w:rPr>
          <w:rFonts w:hint="eastAsia" w:ascii="宋体" w:hAnsi="宋体" w:eastAsia="宋体" w:cs="宋体"/>
          <w:b/>
          <w:color w:val="auto"/>
          <w:kern w:val="0"/>
          <w:sz w:val="30"/>
          <w:szCs w:val="30"/>
          <w:highlight w:val="none"/>
          <w:lang w:eastAsia="zh-CN"/>
        </w:rPr>
      </w:pPr>
      <w:r>
        <w:rPr>
          <w:rFonts w:hint="eastAsia" w:ascii="宋体" w:hAnsi="宋体" w:cs="宋体"/>
          <w:b/>
          <w:color w:val="auto"/>
          <w:kern w:val="0"/>
          <w:sz w:val="30"/>
          <w:szCs w:val="30"/>
          <w:highlight w:val="none"/>
          <w:lang w:eastAsia="zh-CN"/>
        </w:rPr>
        <w:t>五</w:t>
      </w:r>
      <w:r>
        <w:rPr>
          <w:rFonts w:ascii="宋体" w:hAnsi="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法人或者其他组织的营业执照等证明文件扫描件</w:t>
      </w:r>
    </w:p>
    <w:p w14:paraId="20116488">
      <w:pPr>
        <w:widowControl/>
        <w:spacing w:line="380" w:lineRule="exact"/>
        <w:jc w:val="center"/>
        <w:outlineLvl w:val="2"/>
        <w:rPr>
          <w:rFonts w:hint="eastAsia" w:ascii="宋体" w:hAnsi="宋体" w:cs="宋体"/>
          <w:b/>
          <w:color w:val="auto"/>
          <w:sz w:val="30"/>
          <w:szCs w:val="30"/>
          <w:highlight w:val="none"/>
          <w:lang w:eastAsia="zh-CN"/>
        </w:rPr>
      </w:pPr>
    </w:p>
    <w:bookmarkEnd w:id="113"/>
    <w:bookmarkEnd w:id="114"/>
    <w:bookmarkEnd w:id="115"/>
    <w:p w14:paraId="7516DB83">
      <w:pPr>
        <w:widowControl/>
        <w:spacing w:line="380" w:lineRule="exact"/>
        <w:jc w:val="center"/>
        <w:outlineLvl w:val="2"/>
        <w:rPr>
          <w:rFonts w:hint="eastAsia" w:ascii="宋体" w:hAnsi="宋体" w:cs="宋体"/>
          <w:b/>
          <w:color w:val="auto"/>
          <w:sz w:val="30"/>
          <w:szCs w:val="30"/>
          <w:highlight w:val="none"/>
          <w:lang w:val="en-US" w:eastAsia="zh-CN"/>
        </w:rPr>
      </w:pPr>
    </w:p>
    <w:p w14:paraId="7104D1DB">
      <w:pPr>
        <w:widowControl/>
        <w:spacing w:line="380" w:lineRule="exact"/>
        <w:jc w:val="center"/>
        <w:outlineLvl w:val="2"/>
        <w:rPr>
          <w:rFonts w:hint="eastAsia" w:ascii="宋体" w:hAnsi="宋体" w:cs="宋体"/>
          <w:b/>
          <w:color w:val="auto"/>
          <w:sz w:val="30"/>
          <w:szCs w:val="30"/>
          <w:highlight w:val="none"/>
          <w:lang w:val="en-US" w:eastAsia="zh-CN"/>
        </w:rPr>
      </w:pPr>
    </w:p>
    <w:p w14:paraId="1FCB7842">
      <w:pPr>
        <w:widowControl/>
        <w:spacing w:line="380" w:lineRule="exact"/>
        <w:jc w:val="center"/>
        <w:outlineLvl w:val="2"/>
        <w:rPr>
          <w:rFonts w:hint="eastAsia" w:ascii="宋体" w:hAnsi="宋体" w:cs="宋体"/>
          <w:b/>
          <w:color w:val="auto"/>
          <w:sz w:val="30"/>
          <w:szCs w:val="30"/>
          <w:highlight w:val="none"/>
          <w:lang w:val="en-US" w:eastAsia="zh-CN"/>
        </w:rPr>
      </w:pPr>
    </w:p>
    <w:p w14:paraId="58DEE180">
      <w:pPr>
        <w:widowControl/>
        <w:spacing w:line="380" w:lineRule="exact"/>
        <w:jc w:val="center"/>
        <w:outlineLvl w:val="2"/>
        <w:rPr>
          <w:rFonts w:hint="eastAsia" w:ascii="宋体" w:hAnsi="宋体" w:cs="宋体"/>
          <w:b/>
          <w:color w:val="auto"/>
          <w:sz w:val="30"/>
          <w:szCs w:val="30"/>
          <w:highlight w:val="none"/>
          <w:lang w:val="en-US" w:eastAsia="zh-CN"/>
        </w:rPr>
      </w:pPr>
    </w:p>
    <w:p w14:paraId="38406959">
      <w:pPr>
        <w:widowControl/>
        <w:spacing w:line="380" w:lineRule="exact"/>
        <w:jc w:val="center"/>
        <w:outlineLvl w:val="2"/>
        <w:rPr>
          <w:rFonts w:hint="eastAsia" w:ascii="宋体" w:hAnsi="宋体" w:cs="宋体"/>
          <w:b/>
          <w:color w:val="auto"/>
          <w:sz w:val="30"/>
          <w:szCs w:val="30"/>
          <w:highlight w:val="none"/>
          <w:lang w:val="en-US" w:eastAsia="zh-CN"/>
        </w:rPr>
      </w:pPr>
    </w:p>
    <w:p w14:paraId="50C15AA8">
      <w:pPr>
        <w:widowControl/>
        <w:spacing w:line="380" w:lineRule="exact"/>
        <w:jc w:val="center"/>
        <w:outlineLvl w:val="2"/>
        <w:rPr>
          <w:rFonts w:hint="eastAsia" w:ascii="宋体" w:hAnsi="宋体" w:cs="宋体"/>
          <w:b/>
          <w:color w:val="auto"/>
          <w:sz w:val="30"/>
          <w:szCs w:val="30"/>
          <w:highlight w:val="none"/>
          <w:lang w:val="en-US" w:eastAsia="zh-CN"/>
        </w:rPr>
      </w:pPr>
    </w:p>
    <w:p w14:paraId="2BD7BCD3">
      <w:pPr>
        <w:widowControl/>
        <w:spacing w:line="380" w:lineRule="exact"/>
        <w:jc w:val="center"/>
        <w:outlineLvl w:val="2"/>
        <w:rPr>
          <w:rFonts w:hint="eastAsia" w:ascii="宋体" w:hAnsi="宋体" w:cs="宋体"/>
          <w:b/>
          <w:color w:val="auto"/>
          <w:sz w:val="30"/>
          <w:szCs w:val="30"/>
          <w:highlight w:val="none"/>
          <w:lang w:val="en-US" w:eastAsia="zh-CN"/>
        </w:rPr>
      </w:pPr>
    </w:p>
    <w:p w14:paraId="1EFB468C">
      <w:pPr>
        <w:widowControl/>
        <w:spacing w:line="380" w:lineRule="exact"/>
        <w:jc w:val="center"/>
        <w:outlineLvl w:val="2"/>
        <w:rPr>
          <w:rFonts w:hint="eastAsia" w:ascii="宋体" w:hAnsi="宋体" w:cs="宋体"/>
          <w:b/>
          <w:color w:val="auto"/>
          <w:sz w:val="30"/>
          <w:szCs w:val="30"/>
          <w:highlight w:val="none"/>
          <w:lang w:val="en-US" w:eastAsia="zh-CN"/>
        </w:rPr>
      </w:pPr>
    </w:p>
    <w:p w14:paraId="01E971D5">
      <w:pPr>
        <w:widowControl/>
        <w:spacing w:line="380" w:lineRule="exact"/>
        <w:jc w:val="center"/>
        <w:outlineLvl w:val="2"/>
        <w:rPr>
          <w:rFonts w:hint="eastAsia" w:ascii="宋体" w:hAnsi="宋体" w:cs="宋体"/>
          <w:b/>
          <w:color w:val="auto"/>
          <w:sz w:val="30"/>
          <w:szCs w:val="30"/>
          <w:highlight w:val="none"/>
          <w:lang w:val="en-US" w:eastAsia="zh-CN"/>
        </w:rPr>
      </w:pPr>
    </w:p>
    <w:p w14:paraId="1855196F">
      <w:pPr>
        <w:widowControl/>
        <w:spacing w:line="380" w:lineRule="exact"/>
        <w:jc w:val="center"/>
        <w:outlineLvl w:val="2"/>
        <w:rPr>
          <w:rFonts w:hint="eastAsia" w:ascii="宋体" w:hAnsi="宋体" w:cs="宋体"/>
          <w:b/>
          <w:color w:val="auto"/>
          <w:sz w:val="30"/>
          <w:szCs w:val="30"/>
          <w:highlight w:val="none"/>
          <w:lang w:val="en-US" w:eastAsia="zh-CN"/>
        </w:rPr>
      </w:pPr>
    </w:p>
    <w:p w14:paraId="49B2FE91">
      <w:pPr>
        <w:widowControl/>
        <w:spacing w:line="380" w:lineRule="exact"/>
        <w:jc w:val="center"/>
        <w:outlineLvl w:val="2"/>
        <w:rPr>
          <w:rFonts w:hint="eastAsia" w:ascii="宋体" w:hAnsi="宋体" w:cs="宋体"/>
          <w:b/>
          <w:color w:val="auto"/>
          <w:sz w:val="30"/>
          <w:szCs w:val="30"/>
          <w:highlight w:val="none"/>
          <w:lang w:val="en-US" w:eastAsia="zh-CN"/>
        </w:rPr>
      </w:pPr>
    </w:p>
    <w:p w14:paraId="7148766B">
      <w:pPr>
        <w:widowControl/>
        <w:spacing w:line="380" w:lineRule="exact"/>
        <w:jc w:val="center"/>
        <w:outlineLvl w:val="2"/>
        <w:rPr>
          <w:rFonts w:hint="eastAsia" w:ascii="宋体" w:hAnsi="宋体" w:cs="宋体"/>
          <w:b/>
          <w:color w:val="auto"/>
          <w:sz w:val="30"/>
          <w:szCs w:val="30"/>
          <w:highlight w:val="none"/>
          <w:lang w:val="en-US" w:eastAsia="zh-CN"/>
        </w:rPr>
      </w:pPr>
    </w:p>
    <w:p w14:paraId="058DF06F">
      <w:pPr>
        <w:widowControl/>
        <w:spacing w:line="380" w:lineRule="exact"/>
        <w:jc w:val="center"/>
        <w:outlineLvl w:val="2"/>
        <w:rPr>
          <w:rFonts w:hint="eastAsia" w:ascii="宋体" w:hAnsi="宋体" w:cs="宋体"/>
          <w:b/>
          <w:color w:val="auto"/>
          <w:sz w:val="30"/>
          <w:szCs w:val="30"/>
          <w:highlight w:val="none"/>
          <w:lang w:val="en-US" w:eastAsia="zh-CN"/>
        </w:rPr>
      </w:pPr>
    </w:p>
    <w:p w14:paraId="2D504755">
      <w:pPr>
        <w:widowControl/>
        <w:spacing w:line="380" w:lineRule="exact"/>
        <w:jc w:val="center"/>
        <w:outlineLvl w:val="2"/>
        <w:rPr>
          <w:rFonts w:hint="eastAsia" w:ascii="宋体" w:hAnsi="宋体" w:cs="宋体"/>
          <w:b/>
          <w:color w:val="auto"/>
          <w:sz w:val="30"/>
          <w:szCs w:val="30"/>
          <w:highlight w:val="none"/>
          <w:lang w:val="en-US" w:eastAsia="zh-CN"/>
        </w:rPr>
      </w:pPr>
    </w:p>
    <w:p w14:paraId="4A4230D6">
      <w:pPr>
        <w:widowControl/>
        <w:spacing w:line="380" w:lineRule="exact"/>
        <w:jc w:val="center"/>
        <w:outlineLvl w:val="2"/>
        <w:rPr>
          <w:rFonts w:hint="eastAsia" w:ascii="宋体" w:hAnsi="宋体" w:cs="宋体"/>
          <w:b/>
          <w:color w:val="auto"/>
          <w:sz w:val="30"/>
          <w:szCs w:val="30"/>
          <w:highlight w:val="none"/>
          <w:lang w:val="en-US" w:eastAsia="zh-CN"/>
        </w:rPr>
      </w:pPr>
    </w:p>
    <w:p w14:paraId="454C36A8">
      <w:pPr>
        <w:widowControl/>
        <w:spacing w:line="380" w:lineRule="exact"/>
        <w:jc w:val="center"/>
        <w:outlineLvl w:val="2"/>
        <w:rPr>
          <w:rFonts w:hint="eastAsia" w:ascii="宋体" w:hAnsi="宋体" w:cs="宋体"/>
          <w:b/>
          <w:color w:val="auto"/>
          <w:sz w:val="30"/>
          <w:szCs w:val="30"/>
          <w:highlight w:val="none"/>
          <w:lang w:val="en-US" w:eastAsia="zh-CN"/>
        </w:rPr>
      </w:pPr>
    </w:p>
    <w:p w14:paraId="11004934">
      <w:pPr>
        <w:widowControl/>
        <w:spacing w:line="380" w:lineRule="exact"/>
        <w:jc w:val="center"/>
        <w:outlineLvl w:val="2"/>
        <w:rPr>
          <w:rFonts w:hint="eastAsia" w:ascii="宋体" w:hAnsi="宋体" w:cs="宋体"/>
          <w:b/>
          <w:color w:val="auto"/>
          <w:sz w:val="30"/>
          <w:szCs w:val="30"/>
          <w:highlight w:val="none"/>
          <w:lang w:val="en-US" w:eastAsia="zh-CN"/>
        </w:rPr>
      </w:pPr>
    </w:p>
    <w:p w14:paraId="62980A82">
      <w:pPr>
        <w:widowControl/>
        <w:spacing w:line="380" w:lineRule="exact"/>
        <w:jc w:val="center"/>
        <w:outlineLvl w:val="2"/>
        <w:rPr>
          <w:rFonts w:hint="eastAsia" w:ascii="宋体" w:hAnsi="宋体" w:cs="宋体"/>
          <w:b/>
          <w:color w:val="auto"/>
          <w:sz w:val="30"/>
          <w:szCs w:val="30"/>
          <w:highlight w:val="none"/>
          <w:lang w:val="en-US" w:eastAsia="zh-CN"/>
        </w:rPr>
      </w:pPr>
    </w:p>
    <w:p w14:paraId="39559E26">
      <w:pPr>
        <w:widowControl/>
        <w:spacing w:line="380" w:lineRule="exact"/>
        <w:jc w:val="center"/>
        <w:outlineLvl w:val="2"/>
        <w:rPr>
          <w:rFonts w:hint="eastAsia" w:ascii="宋体" w:hAnsi="宋体" w:cs="宋体"/>
          <w:b/>
          <w:color w:val="auto"/>
          <w:sz w:val="30"/>
          <w:szCs w:val="30"/>
          <w:highlight w:val="none"/>
          <w:lang w:val="en-US" w:eastAsia="zh-CN"/>
        </w:rPr>
      </w:pPr>
    </w:p>
    <w:p w14:paraId="23EC6644">
      <w:pPr>
        <w:widowControl/>
        <w:spacing w:line="380" w:lineRule="exact"/>
        <w:jc w:val="center"/>
        <w:outlineLvl w:val="2"/>
        <w:rPr>
          <w:rFonts w:hint="eastAsia" w:ascii="宋体" w:hAnsi="宋体" w:cs="宋体"/>
          <w:b/>
          <w:color w:val="auto"/>
          <w:sz w:val="30"/>
          <w:szCs w:val="30"/>
          <w:highlight w:val="none"/>
          <w:lang w:val="en-US" w:eastAsia="zh-CN"/>
        </w:rPr>
      </w:pPr>
    </w:p>
    <w:p w14:paraId="47511041">
      <w:pPr>
        <w:widowControl/>
        <w:spacing w:line="380" w:lineRule="exact"/>
        <w:jc w:val="center"/>
        <w:outlineLvl w:val="2"/>
        <w:rPr>
          <w:rFonts w:hint="eastAsia" w:ascii="宋体" w:hAnsi="宋体" w:cs="宋体"/>
          <w:b/>
          <w:color w:val="auto"/>
          <w:sz w:val="30"/>
          <w:szCs w:val="30"/>
          <w:highlight w:val="none"/>
          <w:lang w:val="en-US" w:eastAsia="zh-CN"/>
        </w:rPr>
      </w:pPr>
    </w:p>
    <w:p w14:paraId="38C086F0">
      <w:pPr>
        <w:widowControl/>
        <w:spacing w:line="380" w:lineRule="exact"/>
        <w:jc w:val="center"/>
        <w:outlineLvl w:val="2"/>
        <w:rPr>
          <w:rFonts w:hint="eastAsia" w:ascii="宋体" w:hAnsi="宋体" w:cs="宋体"/>
          <w:b/>
          <w:color w:val="auto"/>
          <w:sz w:val="30"/>
          <w:szCs w:val="30"/>
          <w:highlight w:val="none"/>
          <w:lang w:val="en-US" w:eastAsia="zh-CN"/>
        </w:rPr>
      </w:pPr>
    </w:p>
    <w:p w14:paraId="2B96806C">
      <w:pPr>
        <w:widowControl/>
        <w:spacing w:line="380" w:lineRule="exact"/>
        <w:jc w:val="center"/>
        <w:outlineLvl w:val="2"/>
        <w:rPr>
          <w:rFonts w:hint="eastAsia" w:ascii="宋体" w:hAnsi="宋体" w:cs="宋体"/>
          <w:b/>
          <w:color w:val="auto"/>
          <w:sz w:val="30"/>
          <w:szCs w:val="30"/>
          <w:highlight w:val="none"/>
          <w:lang w:val="en-US" w:eastAsia="zh-CN"/>
        </w:rPr>
      </w:pPr>
    </w:p>
    <w:p w14:paraId="729DA219">
      <w:pPr>
        <w:widowControl/>
        <w:spacing w:line="380" w:lineRule="exact"/>
        <w:jc w:val="center"/>
        <w:outlineLvl w:val="2"/>
        <w:rPr>
          <w:rFonts w:hint="eastAsia" w:ascii="宋体" w:hAnsi="宋体" w:cs="宋体"/>
          <w:b/>
          <w:color w:val="auto"/>
          <w:sz w:val="30"/>
          <w:szCs w:val="30"/>
          <w:highlight w:val="none"/>
          <w:lang w:val="en-US" w:eastAsia="zh-CN"/>
        </w:rPr>
      </w:pPr>
    </w:p>
    <w:p w14:paraId="41032F7D">
      <w:pPr>
        <w:widowControl/>
        <w:spacing w:line="380" w:lineRule="exact"/>
        <w:jc w:val="center"/>
        <w:outlineLvl w:val="2"/>
        <w:rPr>
          <w:rFonts w:hint="eastAsia" w:ascii="宋体" w:hAnsi="宋体" w:cs="宋体"/>
          <w:b/>
          <w:color w:val="auto"/>
          <w:sz w:val="30"/>
          <w:szCs w:val="30"/>
          <w:highlight w:val="none"/>
          <w:lang w:val="en-US" w:eastAsia="zh-CN"/>
        </w:rPr>
      </w:pPr>
    </w:p>
    <w:p w14:paraId="18E6B509">
      <w:pPr>
        <w:widowControl/>
        <w:spacing w:line="380" w:lineRule="exact"/>
        <w:jc w:val="center"/>
        <w:outlineLvl w:val="2"/>
        <w:rPr>
          <w:rFonts w:hint="eastAsia" w:ascii="宋体" w:hAnsi="宋体" w:cs="宋体"/>
          <w:b/>
          <w:color w:val="auto"/>
          <w:sz w:val="30"/>
          <w:szCs w:val="30"/>
          <w:highlight w:val="none"/>
          <w:lang w:val="en-US" w:eastAsia="zh-CN"/>
        </w:rPr>
      </w:pPr>
    </w:p>
    <w:p w14:paraId="1D4E778F">
      <w:pPr>
        <w:widowControl/>
        <w:spacing w:line="380" w:lineRule="exact"/>
        <w:jc w:val="center"/>
        <w:outlineLvl w:val="2"/>
        <w:rPr>
          <w:rFonts w:hint="eastAsia" w:ascii="宋体" w:hAnsi="宋体" w:cs="宋体"/>
          <w:b/>
          <w:color w:val="auto"/>
          <w:sz w:val="30"/>
          <w:szCs w:val="30"/>
          <w:highlight w:val="none"/>
          <w:lang w:val="en-US" w:eastAsia="zh-CN"/>
        </w:rPr>
      </w:pPr>
    </w:p>
    <w:p w14:paraId="2D9496C0">
      <w:pPr>
        <w:widowControl/>
        <w:spacing w:line="380" w:lineRule="exact"/>
        <w:jc w:val="center"/>
        <w:outlineLvl w:val="2"/>
        <w:rPr>
          <w:rFonts w:hint="eastAsia" w:ascii="宋体" w:hAnsi="宋体" w:cs="宋体"/>
          <w:b/>
          <w:color w:val="auto"/>
          <w:sz w:val="30"/>
          <w:szCs w:val="30"/>
          <w:highlight w:val="none"/>
          <w:lang w:val="en-US" w:eastAsia="zh-CN"/>
        </w:rPr>
      </w:pPr>
    </w:p>
    <w:p w14:paraId="21C6F485">
      <w:pPr>
        <w:widowControl/>
        <w:spacing w:line="380" w:lineRule="exact"/>
        <w:jc w:val="center"/>
        <w:outlineLvl w:val="2"/>
        <w:rPr>
          <w:rFonts w:hint="eastAsia" w:ascii="宋体" w:hAnsi="宋体" w:cs="宋体"/>
          <w:b/>
          <w:color w:val="auto"/>
          <w:sz w:val="30"/>
          <w:szCs w:val="30"/>
          <w:highlight w:val="none"/>
          <w:lang w:val="en-US" w:eastAsia="zh-CN"/>
        </w:rPr>
      </w:pPr>
    </w:p>
    <w:p w14:paraId="737CAEB5">
      <w:pPr>
        <w:widowControl/>
        <w:spacing w:line="380" w:lineRule="exact"/>
        <w:jc w:val="center"/>
        <w:outlineLvl w:val="2"/>
        <w:rPr>
          <w:rFonts w:hint="eastAsia" w:ascii="宋体" w:hAnsi="宋体" w:cs="宋体"/>
          <w:b/>
          <w:color w:val="auto"/>
          <w:sz w:val="30"/>
          <w:szCs w:val="30"/>
          <w:highlight w:val="none"/>
          <w:lang w:val="en-US" w:eastAsia="zh-CN"/>
        </w:rPr>
      </w:pPr>
    </w:p>
    <w:p w14:paraId="625884DE">
      <w:pPr>
        <w:widowControl/>
        <w:spacing w:line="380" w:lineRule="exact"/>
        <w:jc w:val="center"/>
        <w:outlineLvl w:val="2"/>
        <w:rPr>
          <w:rFonts w:hint="eastAsia" w:ascii="宋体" w:hAnsi="宋体" w:cs="宋体"/>
          <w:b/>
          <w:color w:val="auto"/>
          <w:sz w:val="30"/>
          <w:szCs w:val="30"/>
          <w:highlight w:val="none"/>
          <w:lang w:val="en-US" w:eastAsia="zh-CN"/>
        </w:rPr>
      </w:pPr>
    </w:p>
    <w:p w14:paraId="51274589">
      <w:pPr>
        <w:widowControl/>
        <w:spacing w:line="380" w:lineRule="exact"/>
        <w:jc w:val="center"/>
        <w:outlineLvl w:val="2"/>
        <w:rPr>
          <w:rFonts w:hint="eastAsia" w:ascii="宋体" w:hAnsi="宋体" w:cs="宋体"/>
          <w:b/>
          <w:color w:val="auto"/>
          <w:sz w:val="30"/>
          <w:szCs w:val="30"/>
          <w:highlight w:val="none"/>
          <w:lang w:val="en-US" w:eastAsia="zh-CN"/>
        </w:rPr>
      </w:pPr>
    </w:p>
    <w:p w14:paraId="4E81A41C">
      <w:pPr>
        <w:widowControl/>
        <w:spacing w:line="380" w:lineRule="exact"/>
        <w:jc w:val="center"/>
        <w:outlineLvl w:val="2"/>
        <w:rPr>
          <w:rFonts w:hint="eastAsia" w:ascii="宋体" w:hAnsi="宋体" w:cs="宋体"/>
          <w:b/>
          <w:color w:val="auto"/>
          <w:sz w:val="30"/>
          <w:szCs w:val="30"/>
          <w:highlight w:val="none"/>
          <w:lang w:val="en-US" w:eastAsia="zh-CN"/>
        </w:rPr>
      </w:pPr>
    </w:p>
    <w:p w14:paraId="110E5D2B">
      <w:pPr>
        <w:widowControl/>
        <w:spacing w:line="380" w:lineRule="exact"/>
        <w:jc w:val="center"/>
        <w:outlineLvl w:val="2"/>
        <w:rPr>
          <w:rFonts w:hint="eastAsia" w:ascii="宋体" w:hAnsi="宋体" w:cs="宋体"/>
          <w:b/>
          <w:color w:val="auto"/>
          <w:sz w:val="30"/>
          <w:szCs w:val="30"/>
          <w:highlight w:val="none"/>
          <w:lang w:val="en-US" w:eastAsia="zh-CN"/>
        </w:rPr>
      </w:pPr>
    </w:p>
    <w:p w14:paraId="0B5D690D">
      <w:pPr>
        <w:widowControl/>
        <w:spacing w:line="380" w:lineRule="exact"/>
        <w:jc w:val="center"/>
        <w:outlineLvl w:val="2"/>
        <w:rPr>
          <w:rFonts w:hint="eastAsia" w:ascii="宋体" w:hAnsi="宋体" w:cs="宋体"/>
          <w:b/>
          <w:color w:val="auto"/>
          <w:sz w:val="30"/>
          <w:szCs w:val="30"/>
          <w:highlight w:val="none"/>
          <w:lang w:val="en-US" w:eastAsia="zh-CN"/>
        </w:rPr>
      </w:pPr>
    </w:p>
    <w:p w14:paraId="2260CDC5">
      <w:pPr>
        <w:widowControl/>
        <w:spacing w:line="380" w:lineRule="exact"/>
        <w:jc w:val="center"/>
        <w:outlineLvl w:val="2"/>
        <w:rPr>
          <w:rFonts w:hint="eastAsia" w:ascii="宋体" w:hAnsi="宋体" w:cs="宋体"/>
          <w:b/>
          <w:color w:val="auto"/>
          <w:sz w:val="30"/>
          <w:szCs w:val="30"/>
          <w:highlight w:val="none"/>
          <w:lang w:val="en-US" w:eastAsia="zh-CN"/>
        </w:rPr>
      </w:pPr>
    </w:p>
    <w:p w14:paraId="02125F4B">
      <w:pPr>
        <w:widowControl/>
        <w:spacing w:line="380" w:lineRule="exact"/>
        <w:jc w:val="center"/>
        <w:outlineLvl w:val="2"/>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val="en-US" w:eastAsia="zh-CN"/>
        </w:rPr>
        <w:t>六</w:t>
      </w:r>
      <w:r>
        <w:rPr>
          <w:rFonts w:hint="eastAsia" w:ascii="宋体" w:hAnsi="宋体" w:eastAsia="宋体" w:cs="宋体"/>
          <w:b/>
          <w:color w:val="auto"/>
          <w:sz w:val="30"/>
          <w:szCs w:val="30"/>
          <w:highlight w:val="none"/>
          <w:lang w:eastAsia="zh-CN"/>
        </w:rPr>
        <w:t>、法定代表人身份证明及身份证（正、反面）原件扫描件</w:t>
      </w:r>
    </w:p>
    <w:p w14:paraId="24582567">
      <w:pPr>
        <w:spacing w:beforeLines="0" w:afterLines="0" w:line="540" w:lineRule="exact"/>
        <w:ind w:firstLine="480" w:firstLineChars="200"/>
        <w:rPr>
          <w:rFonts w:hint="eastAsia" w:ascii="宋体" w:hAnsi="宋体" w:cs="宋体"/>
          <w:color w:val="auto"/>
          <w:sz w:val="24"/>
          <w:szCs w:val="24"/>
          <w:highlight w:val="none"/>
        </w:rPr>
      </w:pPr>
    </w:p>
    <w:p w14:paraId="3087FE4A">
      <w:pPr>
        <w:spacing w:line="600" w:lineRule="exact"/>
        <w:ind w:firstLine="945" w:firstLineChars="450"/>
        <w:rPr>
          <w:rFonts w:hint="eastAsia" w:ascii="宋体" w:hAnsi="宋体" w:cs="宋体"/>
          <w:color w:val="auto"/>
          <w:sz w:val="21"/>
          <w:szCs w:val="21"/>
          <w:highlight w:val="none"/>
        </w:rPr>
      </w:pPr>
      <w:r>
        <w:rPr>
          <w:rFonts w:hint="eastAsia" w:ascii="宋体" w:hAnsi="宋体" w:cs="宋体"/>
          <w:color w:val="auto"/>
          <w:sz w:val="21"/>
          <w:szCs w:val="21"/>
          <w:highlight w:val="none"/>
        </w:rPr>
        <w:t>单位名称：</w:t>
      </w:r>
      <w:r>
        <w:rPr>
          <w:rFonts w:hint="eastAsia" w:ascii="宋体" w:hAnsi="宋体" w:cs="宋体"/>
          <w:color w:val="auto"/>
          <w:sz w:val="21"/>
          <w:szCs w:val="21"/>
          <w:highlight w:val="none"/>
          <w:u w:val="single"/>
        </w:rPr>
        <w:t xml:space="preserve">                                               </w:t>
      </w:r>
    </w:p>
    <w:p w14:paraId="29084275">
      <w:pPr>
        <w:spacing w:line="600" w:lineRule="exact"/>
        <w:ind w:firstLine="945" w:firstLineChars="45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单位性质：</w:t>
      </w:r>
      <w:r>
        <w:rPr>
          <w:rFonts w:hint="eastAsia" w:ascii="宋体" w:hAnsi="宋体" w:cs="宋体"/>
          <w:color w:val="auto"/>
          <w:sz w:val="21"/>
          <w:szCs w:val="21"/>
          <w:highlight w:val="none"/>
          <w:u w:val="single"/>
        </w:rPr>
        <w:t xml:space="preserve">                                               </w:t>
      </w:r>
    </w:p>
    <w:p w14:paraId="6E6F62F1">
      <w:pPr>
        <w:spacing w:line="600" w:lineRule="exact"/>
        <w:ind w:firstLine="945" w:firstLineChars="45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地    址：</w:t>
      </w:r>
      <w:r>
        <w:rPr>
          <w:rFonts w:hint="eastAsia" w:ascii="宋体" w:hAnsi="宋体" w:cs="宋体"/>
          <w:color w:val="auto"/>
          <w:sz w:val="21"/>
          <w:szCs w:val="21"/>
          <w:highlight w:val="none"/>
          <w:u w:val="single"/>
        </w:rPr>
        <w:t xml:space="preserve">                                               </w:t>
      </w:r>
    </w:p>
    <w:p w14:paraId="166A6566">
      <w:pPr>
        <w:spacing w:line="600" w:lineRule="exact"/>
        <w:ind w:firstLine="945" w:firstLineChars="45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single"/>
        </w:rPr>
        <w:t xml:space="preserve">：                                               </w:t>
      </w:r>
    </w:p>
    <w:p w14:paraId="72116741">
      <w:pPr>
        <w:spacing w:line="600" w:lineRule="exact"/>
        <w:ind w:firstLine="945" w:firstLineChars="450"/>
        <w:rPr>
          <w:rFonts w:hint="eastAsia" w:ascii="宋体" w:hAnsi="宋体" w:cs="宋体"/>
          <w:color w:val="auto"/>
          <w:sz w:val="21"/>
          <w:szCs w:val="21"/>
          <w:highlight w:val="none"/>
        </w:rPr>
      </w:pPr>
      <w:r>
        <w:rPr>
          <w:rFonts w:hint="eastAsia" w:ascii="宋体" w:hAnsi="宋体" w:cs="宋体"/>
          <w:color w:val="auto"/>
          <w:sz w:val="21"/>
          <w:szCs w:val="21"/>
          <w:highlight w:val="none"/>
        </w:rPr>
        <w:t>成立时间：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36CED261">
      <w:pPr>
        <w:spacing w:line="600" w:lineRule="exact"/>
        <w:ind w:firstLine="945" w:firstLineChars="45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经营期限：</w:t>
      </w:r>
      <w:r>
        <w:rPr>
          <w:rFonts w:hint="eastAsia" w:ascii="宋体" w:hAnsi="宋体" w:cs="宋体"/>
          <w:color w:val="auto"/>
          <w:sz w:val="21"/>
          <w:szCs w:val="21"/>
          <w:highlight w:val="none"/>
          <w:u w:val="single"/>
        </w:rPr>
        <w:t xml:space="preserve">                                               </w:t>
      </w:r>
    </w:p>
    <w:p w14:paraId="437FAF5D">
      <w:pPr>
        <w:spacing w:line="600" w:lineRule="exact"/>
        <w:ind w:firstLine="945" w:firstLineChars="45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姓    名：</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性    别：</w:t>
      </w:r>
      <w:r>
        <w:rPr>
          <w:rFonts w:hint="eastAsia" w:ascii="宋体" w:hAnsi="宋体" w:cs="宋体"/>
          <w:color w:val="auto"/>
          <w:sz w:val="21"/>
          <w:szCs w:val="21"/>
          <w:highlight w:val="none"/>
          <w:u w:val="single"/>
        </w:rPr>
        <w:t xml:space="preserve">            </w:t>
      </w:r>
    </w:p>
    <w:p w14:paraId="40D73C91">
      <w:pPr>
        <w:spacing w:line="600" w:lineRule="exact"/>
        <w:ind w:firstLine="945" w:firstLineChars="45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年    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职    务：</w:t>
      </w:r>
      <w:r>
        <w:rPr>
          <w:rFonts w:hint="eastAsia" w:ascii="宋体" w:hAnsi="宋体" w:cs="宋体"/>
          <w:color w:val="auto"/>
          <w:sz w:val="21"/>
          <w:szCs w:val="21"/>
          <w:highlight w:val="none"/>
          <w:u w:val="single"/>
        </w:rPr>
        <w:t xml:space="preserve">            </w:t>
      </w:r>
    </w:p>
    <w:p w14:paraId="2E2EABB4">
      <w:pPr>
        <w:spacing w:line="600" w:lineRule="exact"/>
        <w:ind w:firstLine="945" w:firstLineChars="450"/>
        <w:rPr>
          <w:rFonts w:hint="eastAsia" w:ascii="宋体" w:hAnsi="宋体" w:cs="宋体"/>
          <w:color w:val="auto"/>
          <w:sz w:val="21"/>
          <w:szCs w:val="21"/>
          <w:highlight w:val="none"/>
        </w:rPr>
      </w:pPr>
      <w:r>
        <w:rPr>
          <w:rFonts w:hint="eastAsia" w:ascii="宋体" w:hAnsi="宋体" w:cs="宋体"/>
          <w:color w:val="auto"/>
          <w:sz w:val="21"/>
          <w:szCs w:val="21"/>
          <w:highlight w:val="none"/>
        </w:rPr>
        <w:t>系</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投标</w:t>
      </w:r>
      <w:r>
        <w:rPr>
          <w:rFonts w:hint="eastAsia" w:ascii="宋体" w:hAnsi="宋体" w:cs="宋体"/>
          <w:color w:val="auto"/>
          <w:sz w:val="21"/>
          <w:szCs w:val="21"/>
          <w:highlight w:val="none"/>
        </w:rPr>
        <w:t>人全称）的法定代表人。</w:t>
      </w:r>
    </w:p>
    <w:p w14:paraId="26AAB365">
      <w:pPr>
        <w:spacing w:line="600" w:lineRule="exact"/>
        <w:ind w:firstLine="945" w:firstLineChars="450"/>
        <w:rPr>
          <w:rFonts w:hint="eastAsia" w:ascii="宋体" w:hAnsi="宋体" w:cs="宋体"/>
          <w:color w:val="auto"/>
          <w:sz w:val="21"/>
          <w:szCs w:val="21"/>
          <w:highlight w:val="none"/>
        </w:rPr>
      </w:pPr>
      <w:r>
        <w:rPr>
          <w:rFonts w:hint="eastAsia" w:ascii="宋体" w:hAnsi="宋体" w:cs="宋体"/>
          <w:color w:val="auto"/>
          <w:sz w:val="21"/>
          <w:szCs w:val="21"/>
          <w:highlight w:val="none"/>
        </w:rPr>
        <w:t>特此证明。</w:t>
      </w:r>
    </w:p>
    <w:p w14:paraId="37823544">
      <w:pPr>
        <w:spacing w:beforeLines="0" w:afterLines="0" w:line="540" w:lineRule="exact"/>
        <w:outlineLvl w:val="2"/>
        <w:rPr>
          <w:rFonts w:hint="eastAsia" w:ascii="宋体" w:hAnsi="宋体" w:cs="宋体"/>
          <w:b/>
          <w:color w:val="auto"/>
          <w:kern w:val="0"/>
          <w:sz w:val="30"/>
          <w:szCs w:val="30"/>
          <w:highlight w:val="none"/>
        </w:rPr>
      </w:pPr>
      <w:r>
        <w:rPr>
          <w:rFonts w:hint="eastAsia" w:ascii="宋体" w:hAnsi="宋体" w:cs="宋体"/>
          <w:b/>
          <w:color w:val="auto"/>
          <w:sz w:val="21"/>
          <w:szCs w:val="21"/>
          <w:highlight w:val="none"/>
        </w:rPr>
        <w:t>注：附身份证复印件（正、反两面）</w:t>
      </w:r>
    </w:p>
    <w:p w14:paraId="65242655">
      <w:pPr>
        <w:widowControl/>
        <w:spacing w:line="540" w:lineRule="exact"/>
        <w:jc w:val="center"/>
        <w:outlineLvl w:val="2"/>
        <w:rPr>
          <w:rFonts w:ascii="宋体" w:hAnsi="宋体" w:cs="宋体"/>
          <w:b/>
          <w:bCs/>
          <w:color w:val="auto"/>
          <w:kern w:val="0"/>
          <w:sz w:val="30"/>
          <w:szCs w:val="30"/>
          <w:highlight w:val="none"/>
        </w:rPr>
      </w:pPr>
    </w:p>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14:paraId="4C4E5654">
      <w:pPr>
        <w:spacing w:line="440" w:lineRule="atLeast"/>
        <w:jc w:val="center"/>
        <w:rPr>
          <w:rFonts w:ascii="仿宋" w:hAnsi="仿宋" w:eastAsia="仿宋"/>
          <w:b/>
          <w:color w:val="auto"/>
          <w:sz w:val="24"/>
          <w:highlight w:val="none"/>
        </w:rPr>
      </w:pPr>
    </w:p>
    <w:p w14:paraId="12A0B18A">
      <w:pPr>
        <w:widowControl/>
        <w:spacing w:line="540" w:lineRule="exact"/>
        <w:ind w:firstLine="480" w:firstLineChars="200"/>
        <w:jc w:val="left"/>
        <w:rPr>
          <w:rFonts w:ascii="仿宋" w:hAnsi="仿宋" w:eastAsia="仿宋" w:cs="宋体"/>
          <w:color w:val="auto"/>
          <w:kern w:val="0"/>
          <w:sz w:val="24"/>
          <w:highlight w:val="none"/>
        </w:rPr>
      </w:pPr>
    </w:p>
    <w:p w14:paraId="019233B4">
      <w:pPr>
        <w:spacing w:line="440" w:lineRule="atLeast"/>
        <w:rPr>
          <w:rFonts w:asciiTheme="minorEastAsia" w:hAnsiTheme="minorEastAsia" w:eastAsiaTheme="minorEastAsia" w:cstheme="minorEastAsia"/>
          <w:color w:val="auto"/>
          <w:highlight w:val="none"/>
        </w:rPr>
      </w:pPr>
    </w:p>
    <w:p w14:paraId="273010C5">
      <w:pPr>
        <w:widowControl/>
        <w:spacing w:beforeLines="0" w:afterLines="0" w:line="540" w:lineRule="exact"/>
        <w:jc w:val="center"/>
        <w:outlineLvl w:val="2"/>
        <w:rPr>
          <w:rFonts w:hint="eastAsia" w:ascii="宋体" w:hAnsi="宋体" w:cs="宋体"/>
          <w:b/>
          <w:color w:val="auto"/>
          <w:kern w:val="0"/>
          <w:sz w:val="30"/>
          <w:szCs w:val="30"/>
          <w:highlight w:val="none"/>
        </w:rPr>
      </w:pPr>
      <w:bookmarkStart w:id="116" w:name="_Toc433882655"/>
      <w:bookmarkStart w:id="117" w:name="_Toc469475477"/>
      <w:bookmarkStart w:id="118" w:name="_Toc476230514"/>
      <w:bookmarkStart w:id="119" w:name="_Toc471819802"/>
      <w:bookmarkStart w:id="120" w:name="_Toc437331624"/>
      <w:bookmarkStart w:id="121" w:name="_Toc504642692"/>
      <w:bookmarkStart w:id="122" w:name="_Toc437331313"/>
      <w:bookmarkStart w:id="123" w:name="_Toc435706553"/>
      <w:bookmarkStart w:id="124" w:name="_Toc476229719"/>
      <w:bookmarkStart w:id="125" w:name="_Toc476230926"/>
      <w:bookmarkStart w:id="126" w:name="_Toc467572542"/>
      <w:bookmarkStart w:id="127" w:name="_Toc470269893"/>
      <w:bookmarkStart w:id="128" w:name="_Toc495666243"/>
      <w:bookmarkStart w:id="129" w:name="_Toc437504038"/>
      <w:bookmarkStart w:id="130" w:name="_Toc471819742"/>
      <w:bookmarkStart w:id="131" w:name="_Toc468954260"/>
      <w:bookmarkStart w:id="132" w:name="_Toc470270009"/>
      <w:bookmarkStart w:id="133" w:name="_Toc476230650"/>
      <w:bookmarkStart w:id="134" w:name="_Toc463851852"/>
      <w:bookmarkStart w:id="135" w:name="_Toc424199684"/>
      <w:bookmarkStart w:id="136" w:name="_Toc437509335"/>
      <w:r>
        <w:rPr>
          <w:rFonts w:ascii="仿宋" w:hAnsi="仿宋" w:eastAsia="仿宋" w:cs="宋体"/>
          <w:color w:val="auto"/>
          <w:kern w:val="0"/>
          <w:sz w:val="24"/>
          <w:highlight w:val="none"/>
        </w:rPr>
        <w:br w:type="page"/>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Start w:id="137" w:name="_Toc504642693"/>
      <w:bookmarkStart w:id="138" w:name="_Toc476230515"/>
      <w:bookmarkStart w:id="139" w:name="_Toc476229720"/>
      <w:bookmarkStart w:id="140" w:name="_Toc476230927"/>
      <w:bookmarkStart w:id="141" w:name="_Toc495666244"/>
      <w:bookmarkStart w:id="142" w:name="_Toc476230651"/>
      <w:r>
        <w:rPr>
          <w:rFonts w:hint="eastAsia" w:ascii="宋体" w:hAnsi="宋体" w:cs="宋体"/>
          <w:b/>
          <w:color w:val="auto"/>
          <w:sz w:val="30"/>
          <w:szCs w:val="30"/>
          <w:highlight w:val="none"/>
          <w:lang w:val="en-US" w:eastAsia="zh-CN"/>
        </w:rPr>
        <w:t>七</w:t>
      </w:r>
      <w:r>
        <w:rPr>
          <w:rFonts w:hint="eastAsia" w:ascii="宋体" w:hAnsi="宋体" w:eastAsia="宋体" w:cs="宋体"/>
          <w:b/>
          <w:color w:val="auto"/>
          <w:sz w:val="30"/>
          <w:szCs w:val="30"/>
          <w:highlight w:val="none"/>
        </w:rPr>
        <w:t>、法定代表人授权委托书</w:t>
      </w:r>
    </w:p>
    <w:p w14:paraId="427C5D1F">
      <w:pPr>
        <w:pStyle w:val="93"/>
        <w:spacing w:beforeLines="0" w:afterLines="0"/>
        <w:ind w:firstLine="440"/>
        <w:rPr>
          <w:rFonts w:hint="eastAsia" w:cs="宋体"/>
          <w:color w:val="auto"/>
          <w:sz w:val="22"/>
          <w:szCs w:val="20"/>
          <w:highlight w:val="none"/>
        </w:rPr>
      </w:pPr>
    </w:p>
    <w:p w14:paraId="056CAB00">
      <w:pPr>
        <w:snapToGrid w:val="0"/>
        <w:spacing w:beforeLines="0" w:afterLines="0" w:line="5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本授权书声明：我</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（法定代表人姓名、职务）是</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（单位名称）的法人代表，现授权委托本单位在职职工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（姓名，被授权人必须为本单位正式在职员工）为全权代表，以我方的名义参加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（项目名称）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（项目编号）的投标活动，并代表我方全权办理针对上述项目的投标、开标、评标、签约等具体事务和签署相关文件。我方对全权代表的签名事项负全部责任。</w:t>
      </w:r>
    </w:p>
    <w:p w14:paraId="3A808213">
      <w:pPr>
        <w:snapToGrid w:val="0"/>
        <w:spacing w:beforeLines="0" w:afterLines="0" w:line="5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全权代表无转委托权，特此委托。</w:t>
      </w:r>
    </w:p>
    <w:p w14:paraId="2FB83E67">
      <w:pPr>
        <w:spacing w:beforeLines="0" w:afterLines="0" w:line="5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本授权书于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日签字生效，特此声明。</w:t>
      </w:r>
    </w:p>
    <w:p w14:paraId="0AF7D7BA">
      <w:pPr>
        <w:spacing w:beforeLines="0" w:afterLines="0" w:line="5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法定代表人（签字或盖章）：</w:t>
      </w:r>
      <w:r>
        <w:rPr>
          <w:rFonts w:hint="eastAsia" w:ascii="宋体" w:hAnsi="宋体" w:cs="宋体"/>
          <w:color w:val="auto"/>
          <w:sz w:val="21"/>
          <w:szCs w:val="21"/>
          <w:highlight w:val="none"/>
          <w:u w:val="single"/>
        </w:rPr>
        <w:t xml:space="preserve">                            </w:t>
      </w:r>
    </w:p>
    <w:p w14:paraId="5B4DB0E5">
      <w:pPr>
        <w:spacing w:beforeLines="0" w:afterLines="0" w:line="500" w:lineRule="exact"/>
        <w:ind w:firstLine="420" w:firstLineChars="20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授权委托人（签字或盖章）：</w:t>
      </w:r>
      <w:r>
        <w:rPr>
          <w:rFonts w:hint="eastAsia" w:ascii="宋体" w:hAnsi="宋体" w:cs="宋体"/>
          <w:color w:val="auto"/>
          <w:sz w:val="21"/>
          <w:szCs w:val="21"/>
          <w:highlight w:val="none"/>
          <w:u w:val="single"/>
        </w:rPr>
        <w:t xml:space="preserve">                            </w:t>
      </w:r>
    </w:p>
    <w:p w14:paraId="562D18CA">
      <w:pPr>
        <w:spacing w:beforeLines="0" w:afterLines="0" w:line="5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single"/>
        </w:rPr>
        <w:t xml:space="preserve">：                                      </w:t>
      </w:r>
    </w:p>
    <w:p w14:paraId="39E2C81A">
      <w:pPr>
        <w:spacing w:beforeLines="0" w:afterLines="0" w:line="500" w:lineRule="exact"/>
        <w:ind w:firstLine="420" w:firstLineChars="200"/>
        <w:jc w:val="left"/>
        <w:rPr>
          <w:rFonts w:hint="eastAsia" w:ascii="宋体" w:hAnsi="宋体" w:cs="宋体"/>
          <w:color w:val="auto"/>
          <w:sz w:val="21"/>
          <w:szCs w:val="21"/>
          <w:highlight w:val="none"/>
        </w:rPr>
      </w:pPr>
      <w:r>
        <w:rPr>
          <w:rFonts w:ascii="宋体" w:hAnsi="宋体" w:cs="宋体"/>
          <w:color w:val="auto"/>
          <w:szCs w:val="21"/>
          <w:highlight w:val="none"/>
        </w:rPr>
        <w:t>投标人全称</w:t>
      </w:r>
      <w:r>
        <w:rPr>
          <w:rFonts w:hint="eastAsia" w:ascii="宋体" w:hAnsi="宋体" w:cs="宋体"/>
          <w:color w:val="auto"/>
          <w:sz w:val="21"/>
          <w:szCs w:val="21"/>
          <w:highlight w:val="none"/>
        </w:rPr>
        <w:t>（电子签章）</w:t>
      </w:r>
      <w:r>
        <w:rPr>
          <w:rFonts w:hint="eastAsia" w:ascii="宋体" w:hAnsi="宋体" w:cs="宋体"/>
          <w:color w:val="auto"/>
          <w:sz w:val="21"/>
          <w:szCs w:val="21"/>
          <w:highlight w:val="none"/>
          <w:u w:val="single"/>
        </w:rPr>
        <w:t xml:space="preserve">                          </w:t>
      </w:r>
    </w:p>
    <w:p w14:paraId="0550B5A4">
      <w:pPr>
        <w:spacing w:beforeLines="0" w:afterLines="0" w:line="5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日 期：</w:t>
      </w:r>
      <w:r>
        <w:rPr>
          <w:rFonts w:hint="eastAsia" w:ascii="宋体" w:hAnsi="宋体" w:cs="宋体"/>
          <w:color w:val="auto"/>
          <w:sz w:val="21"/>
          <w:szCs w:val="21"/>
          <w:highlight w:val="none"/>
          <w:u w:val="single"/>
        </w:rPr>
        <w:t xml:space="preserve">                                         </w:t>
      </w:r>
    </w:p>
    <w:p w14:paraId="3F3CA218">
      <w:pPr>
        <w:spacing w:beforeLines="0" w:afterLines="0" w:line="540" w:lineRule="exact"/>
        <w:jc w:val="center"/>
        <w:outlineLvl w:val="2"/>
        <w:rPr>
          <w:rFonts w:hint="eastAsia" w:ascii="宋体" w:hAnsi="宋体" w:cs="宋体"/>
          <w:color w:val="auto"/>
          <w:sz w:val="21"/>
          <w:szCs w:val="21"/>
          <w:highlight w:val="none"/>
        </w:rPr>
      </w:pPr>
    </w:p>
    <w:p w14:paraId="5C2512B9">
      <w:pPr>
        <w:spacing w:beforeLines="0" w:afterLines="0" w:line="540" w:lineRule="exact"/>
        <w:outlineLvl w:val="2"/>
        <w:rPr>
          <w:rFonts w:hint="eastAsia" w:ascii="宋体" w:hAnsi="宋体" w:cs="宋体"/>
          <w:b/>
          <w:color w:val="auto"/>
          <w:kern w:val="0"/>
          <w:sz w:val="30"/>
          <w:szCs w:val="30"/>
          <w:highlight w:val="none"/>
        </w:rPr>
      </w:pPr>
      <w:r>
        <w:rPr>
          <w:rFonts w:hint="eastAsia" w:ascii="宋体" w:hAnsi="宋体" w:cs="宋体"/>
          <w:b/>
          <w:color w:val="auto"/>
          <w:sz w:val="21"/>
          <w:szCs w:val="21"/>
          <w:highlight w:val="none"/>
        </w:rPr>
        <w:t>注：附身份证复印件（正、反两面）</w:t>
      </w:r>
    </w:p>
    <w:p w14:paraId="3124F38B">
      <w:pPr>
        <w:snapToGrid w:val="0"/>
        <w:spacing w:line="500" w:lineRule="exact"/>
        <w:ind w:firstLine="420" w:firstLineChars="200"/>
        <w:rPr>
          <w:rFonts w:ascii="宋体" w:hAnsi="宋体" w:cs="宋体"/>
          <w:color w:val="auto"/>
          <w:highlight w:val="none"/>
        </w:rPr>
      </w:pPr>
    </w:p>
    <w:p w14:paraId="30889151">
      <w:pPr>
        <w:widowControl/>
        <w:spacing w:line="540" w:lineRule="exact"/>
        <w:jc w:val="center"/>
        <w:outlineLvl w:val="2"/>
        <w:rPr>
          <w:rFonts w:ascii="宋体" w:hAnsi="宋体" w:cs="宋体"/>
          <w:b/>
          <w:bCs/>
          <w:color w:val="auto"/>
          <w:kern w:val="0"/>
          <w:sz w:val="30"/>
          <w:szCs w:val="30"/>
          <w:highlight w:val="none"/>
        </w:rPr>
      </w:pPr>
      <w:r>
        <w:rPr>
          <w:rFonts w:ascii="仿宋" w:hAnsi="仿宋" w:eastAsia="仿宋"/>
          <w:color w:val="auto"/>
          <w:highlight w:val="none"/>
        </w:rPr>
        <w:br w:type="page"/>
      </w:r>
      <w:bookmarkEnd w:id="137"/>
      <w:bookmarkEnd w:id="138"/>
      <w:bookmarkEnd w:id="139"/>
      <w:bookmarkEnd w:id="140"/>
      <w:bookmarkEnd w:id="141"/>
      <w:bookmarkEnd w:id="142"/>
    </w:p>
    <w:p w14:paraId="52D32EBB">
      <w:pPr>
        <w:widowControl/>
        <w:spacing w:line="380" w:lineRule="exact"/>
        <w:jc w:val="center"/>
        <w:outlineLvl w:val="2"/>
        <w:rPr>
          <w:rFonts w:ascii="宋体" w:hAnsi="宋体" w:cs="宋体"/>
          <w:b/>
          <w:bCs/>
          <w:color w:val="auto"/>
          <w:kern w:val="0"/>
          <w:sz w:val="30"/>
          <w:szCs w:val="30"/>
          <w:highlight w:val="none"/>
        </w:rPr>
      </w:pPr>
      <w:bookmarkStart w:id="143" w:name="_Toc476229724"/>
      <w:bookmarkStart w:id="144" w:name="_Toc476230519"/>
      <w:bookmarkStart w:id="145" w:name="_Toc476230655"/>
      <w:bookmarkStart w:id="146" w:name="_Toc476230931"/>
      <w:bookmarkStart w:id="147" w:name="_Toc495666249"/>
      <w:bookmarkStart w:id="148" w:name="_Toc504642697"/>
      <w:r>
        <w:rPr>
          <w:rFonts w:hint="eastAsia" w:ascii="宋体" w:hAnsi="宋体" w:cs="宋体"/>
          <w:b/>
          <w:color w:val="auto"/>
          <w:sz w:val="30"/>
          <w:szCs w:val="30"/>
          <w:highlight w:val="none"/>
          <w:lang w:val="en-US" w:eastAsia="zh-CN"/>
        </w:rPr>
        <w:t>八</w:t>
      </w:r>
      <w:r>
        <w:rPr>
          <w:rFonts w:hint="eastAsia" w:ascii="宋体" w:hAnsi="宋体" w:eastAsia="宋体" w:cs="宋体"/>
          <w:b/>
          <w:color w:val="auto"/>
          <w:sz w:val="30"/>
          <w:szCs w:val="30"/>
          <w:highlight w:val="none"/>
        </w:rPr>
        <w:t>、</w:t>
      </w:r>
      <w:r>
        <w:rPr>
          <w:rFonts w:hint="eastAsia" w:ascii="宋体" w:hAnsi="宋体" w:cs="宋体"/>
          <w:b/>
          <w:color w:val="auto"/>
          <w:sz w:val="30"/>
          <w:szCs w:val="30"/>
          <w:highlight w:val="none"/>
          <w:lang w:val="en-US" w:eastAsia="zh-CN"/>
        </w:rPr>
        <w:t>投标人</w:t>
      </w:r>
      <w:r>
        <w:rPr>
          <w:rFonts w:hint="eastAsia" w:ascii="宋体" w:hAnsi="宋体" w:eastAsia="宋体" w:cs="宋体"/>
          <w:b/>
          <w:color w:val="auto"/>
          <w:sz w:val="30"/>
          <w:szCs w:val="30"/>
          <w:highlight w:val="none"/>
        </w:rPr>
        <w:t>需要说明的其他文件和说明</w:t>
      </w:r>
      <w:bookmarkEnd w:id="143"/>
      <w:bookmarkEnd w:id="144"/>
      <w:bookmarkEnd w:id="145"/>
      <w:bookmarkEnd w:id="146"/>
      <w:bookmarkEnd w:id="147"/>
      <w:bookmarkEnd w:id="148"/>
    </w:p>
    <w:p w14:paraId="0693E761">
      <w:pPr>
        <w:jc w:val="right"/>
        <w:rPr>
          <w:rFonts w:ascii="宋体" w:hAnsi="宋体"/>
          <w:b/>
          <w:color w:val="auto"/>
          <w:sz w:val="44"/>
          <w:szCs w:val="44"/>
          <w:highlight w:val="none"/>
        </w:rPr>
      </w:pPr>
      <w:r>
        <w:rPr>
          <w:rFonts w:ascii="宋体" w:cs="Times New Roman"/>
          <w:b/>
          <w:bCs/>
          <w:color w:val="auto"/>
          <w:sz w:val="30"/>
          <w:szCs w:val="30"/>
          <w:highlight w:val="none"/>
        </w:rPr>
        <w:br w:type="page"/>
      </w:r>
      <w:bookmarkStart w:id="149" w:name="_Toc336671816"/>
      <w:bookmarkStart w:id="150" w:name="_Toc336678150"/>
      <w:bookmarkStart w:id="151" w:name="_Toc336331391"/>
    </w:p>
    <w:p w14:paraId="1485BC0F">
      <w:pPr>
        <w:pStyle w:val="93"/>
        <w:ind w:firstLine="440"/>
        <w:rPr>
          <w:color w:val="auto"/>
          <w:highlight w:val="none"/>
        </w:rPr>
      </w:pPr>
      <w:bookmarkStart w:id="152" w:name="_Toc469475483"/>
      <w:bookmarkStart w:id="153" w:name="_Toc504642698"/>
      <w:bookmarkStart w:id="154" w:name="_Toc476230520"/>
      <w:bookmarkStart w:id="155" w:name="_Toc476229725"/>
      <w:bookmarkStart w:id="156" w:name="_Toc467572549"/>
      <w:bookmarkStart w:id="157" w:name="_Toc470269898"/>
      <w:bookmarkStart w:id="158" w:name="_Toc471819803"/>
      <w:bookmarkStart w:id="159" w:name="_Toc463851859"/>
      <w:bookmarkStart w:id="160" w:name="_Toc476230656"/>
      <w:bookmarkStart w:id="161" w:name="_Toc476230932"/>
      <w:bookmarkStart w:id="162" w:name="_Toc495666250"/>
      <w:bookmarkStart w:id="163" w:name="_Toc468954267"/>
      <w:bookmarkStart w:id="164" w:name="_Toc471819743"/>
      <w:bookmarkStart w:id="165" w:name="_Toc470270014"/>
      <w:bookmarkStart w:id="166" w:name="_Toc435706557"/>
      <w:bookmarkStart w:id="167" w:name="_Toc424199688"/>
      <w:bookmarkStart w:id="168" w:name="_Toc437331628"/>
      <w:bookmarkStart w:id="169" w:name="_Toc433882659"/>
    </w:p>
    <w:p w14:paraId="57F9DC50">
      <w:pPr>
        <w:pStyle w:val="93"/>
        <w:ind w:firstLine="440"/>
        <w:rPr>
          <w:color w:val="auto"/>
          <w:highlight w:val="none"/>
        </w:rPr>
      </w:pPr>
    </w:p>
    <w:p w14:paraId="65438355">
      <w:pPr>
        <w:pStyle w:val="93"/>
        <w:ind w:firstLine="440"/>
        <w:rPr>
          <w:color w:val="auto"/>
          <w:highlight w:val="none"/>
        </w:rPr>
      </w:pPr>
    </w:p>
    <w:p w14:paraId="795C10ED">
      <w:pPr>
        <w:pStyle w:val="93"/>
        <w:ind w:firstLine="440"/>
        <w:rPr>
          <w:color w:val="auto"/>
          <w:highlight w:val="none"/>
        </w:rPr>
      </w:pPr>
    </w:p>
    <w:p w14:paraId="1CADA70F">
      <w:pPr>
        <w:jc w:val="center"/>
        <w:outlineLvl w:val="1"/>
        <w:rPr>
          <w:rFonts w:ascii="黑体" w:hAnsi="黑体" w:eastAsia="黑体" w:cs="黑体"/>
          <w:bCs/>
          <w:color w:val="auto"/>
          <w:sz w:val="44"/>
          <w:szCs w:val="44"/>
          <w:highlight w:val="none"/>
        </w:rPr>
      </w:pPr>
      <w:r>
        <w:rPr>
          <w:rFonts w:hint="eastAsia" w:ascii="黑体" w:hAnsi="黑体" w:eastAsia="黑体" w:cs="黑体"/>
          <w:bCs/>
          <w:color w:val="auto"/>
          <w:sz w:val="44"/>
          <w:szCs w:val="44"/>
          <w:highlight w:val="none"/>
        </w:rPr>
        <w:t>技术商务文件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410207D5">
      <w:pPr>
        <w:spacing w:line="440" w:lineRule="atLeast"/>
        <w:jc w:val="center"/>
        <w:rPr>
          <w:rFonts w:ascii="宋体" w:hAnsi="宋体"/>
          <w:b/>
          <w:color w:val="auto"/>
          <w:sz w:val="32"/>
          <w:szCs w:val="32"/>
          <w:highlight w:val="none"/>
        </w:rPr>
      </w:pPr>
    </w:p>
    <w:p w14:paraId="2506D5BC">
      <w:pPr>
        <w:ind w:left="2241" w:leftChars="334" w:hanging="1540" w:hangingChars="550"/>
        <w:rPr>
          <w:rFonts w:ascii="黑体" w:hAnsi="黑体" w:eastAsia="黑体" w:cs="黑体"/>
          <w:bCs/>
          <w:color w:val="auto"/>
          <w:sz w:val="28"/>
          <w:szCs w:val="28"/>
          <w:highlight w:val="none"/>
        </w:rPr>
      </w:pPr>
    </w:p>
    <w:p w14:paraId="4CF43D4D">
      <w:pPr>
        <w:spacing w:line="440" w:lineRule="atLeast"/>
        <w:rPr>
          <w:rFonts w:hint="default" w:ascii="黑体" w:hAnsi="宋体" w:eastAsia="黑体"/>
          <w:color w:val="auto"/>
          <w:sz w:val="28"/>
          <w:szCs w:val="28"/>
          <w:highlight w:val="none"/>
          <w:lang w:val="en-US" w:eastAsia="zh-CN"/>
        </w:rPr>
      </w:pPr>
      <w:r>
        <w:rPr>
          <w:rFonts w:hint="eastAsia" w:ascii="黑体" w:hAnsi="宋体" w:eastAsia="黑体"/>
          <w:color w:val="auto"/>
          <w:sz w:val="28"/>
          <w:szCs w:val="28"/>
          <w:highlight w:val="none"/>
        </w:rPr>
        <w:t>项目名称：</w:t>
      </w:r>
      <w:r>
        <w:rPr>
          <w:rFonts w:hint="eastAsia" w:ascii="黑体" w:hAnsi="宋体" w:eastAsia="黑体"/>
          <w:color w:val="auto"/>
          <w:sz w:val="28"/>
          <w:szCs w:val="28"/>
          <w:highlight w:val="none"/>
          <w:u w:val="single"/>
          <w:lang w:eastAsia="zh-CN"/>
        </w:rPr>
        <w:t>浙江省第十二届残疾人运动会盲人跳绳比赛整体赛事执行服务</w:t>
      </w:r>
      <w:r>
        <w:rPr>
          <w:rFonts w:hint="eastAsia" w:ascii="黑体" w:hAnsi="宋体" w:eastAsia="黑体"/>
          <w:color w:val="auto"/>
          <w:sz w:val="28"/>
          <w:szCs w:val="28"/>
          <w:highlight w:val="none"/>
          <w:u w:val="single"/>
          <w:lang w:val="en-US" w:eastAsia="zh-CN"/>
        </w:rPr>
        <w:t xml:space="preserve"> </w:t>
      </w:r>
      <w:r>
        <w:rPr>
          <w:rFonts w:hint="eastAsia" w:ascii="黑体" w:hAnsi="宋体" w:eastAsia="黑体"/>
          <w:color w:val="auto"/>
          <w:sz w:val="24"/>
          <w:szCs w:val="24"/>
          <w:highlight w:val="none"/>
          <w:u w:val="single"/>
          <w:lang w:val="en-US" w:eastAsia="zh-CN"/>
        </w:rPr>
        <w:t xml:space="preserve">                       </w:t>
      </w:r>
    </w:p>
    <w:p w14:paraId="19D41780">
      <w:pPr>
        <w:pStyle w:val="36"/>
        <w:rPr>
          <w:color w:val="auto"/>
          <w:highlight w:val="none"/>
        </w:rPr>
      </w:pPr>
    </w:p>
    <w:p w14:paraId="3F0663E5">
      <w:pPr>
        <w:pStyle w:val="2"/>
        <w:ind w:firstLine="420" w:firstLineChars="200"/>
        <w:rPr>
          <w:color w:val="auto"/>
          <w:highlight w:val="none"/>
        </w:rPr>
      </w:pPr>
    </w:p>
    <w:p w14:paraId="28757416">
      <w:pPr>
        <w:spacing w:line="440" w:lineRule="atLeast"/>
        <w:rPr>
          <w:rFonts w:hint="default" w:ascii="黑体" w:hAnsi="宋体" w:eastAsia="黑体"/>
          <w:color w:val="auto"/>
          <w:sz w:val="28"/>
          <w:szCs w:val="28"/>
          <w:highlight w:val="none"/>
          <w:u w:val="single"/>
          <w:lang w:val="en-US" w:eastAsia="zh-CN"/>
        </w:rPr>
      </w:pPr>
      <w:r>
        <w:rPr>
          <w:rFonts w:hint="eastAsia" w:ascii="黑体" w:hAnsi="宋体" w:eastAsia="黑体"/>
          <w:color w:val="auto"/>
          <w:sz w:val="28"/>
          <w:szCs w:val="28"/>
          <w:highlight w:val="none"/>
        </w:rPr>
        <w:t>项目编号：</w:t>
      </w:r>
      <w:r>
        <w:rPr>
          <w:rFonts w:hint="eastAsia" w:ascii="黑体" w:hAnsi="宋体" w:eastAsia="黑体"/>
          <w:color w:val="auto"/>
          <w:sz w:val="28"/>
          <w:szCs w:val="28"/>
          <w:highlight w:val="none"/>
          <w:u w:val="single"/>
        </w:rPr>
        <w:tab/>
      </w:r>
      <w:r>
        <w:rPr>
          <w:rFonts w:hint="eastAsia" w:ascii="黑体" w:hAnsi="宋体" w:eastAsia="黑体"/>
          <w:color w:val="auto"/>
          <w:sz w:val="28"/>
          <w:szCs w:val="28"/>
          <w:highlight w:val="none"/>
          <w:u w:val="single"/>
          <w:lang w:val="en-US" w:eastAsia="zh-CN"/>
        </w:rPr>
        <w:t xml:space="preserve">               </w:t>
      </w:r>
      <w:r>
        <w:rPr>
          <w:rFonts w:hint="eastAsia" w:ascii="黑体" w:hAnsi="宋体" w:eastAsia="黑体"/>
          <w:color w:val="auto"/>
          <w:sz w:val="28"/>
          <w:szCs w:val="28"/>
          <w:highlight w:val="none"/>
          <w:u w:val="single"/>
          <w:lang w:eastAsia="zh-CN"/>
        </w:rPr>
        <w:t>ZJJSKH-2026-MRTS</w:t>
      </w:r>
      <w:r>
        <w:rPr>
          <w:rFonts w:hint="eastAsia" w:ascii="黑体" w:hAnsi="宋体" w:eastAsia="黑体"/>
          <w:color w:val="auto"/>
          <w:sz w:val="28"/>
          <w:szCs w:val="28"/>
          <w:highlight w:val="none"/>
          <w:u w:val="single"/>
          <w:lang w:val="en-US" w:eastAsia="zh-CN"/>
        </w:rPr>
        <w:t xml:space="preserve">                         </w:t>
      </w:r>
    </w:p>
    <w:p w14:paraId="5CF12DB1">
      <w:pPr>
        <w:spacing w:line="440" w:lineRule="atLeast"/>
        <w:ind w:firstLine="560" w:firstLineChars="200"/>
        <w:jc w:val="left"/>
        <w:rPr>
          <w:rFonts w:ascii="黑体" w:hAnsi="宋体" w:eastAsia="黑体"/>
          <w:color w:val="auto"/>
          <w:sz w:val="28"/>
          <w:szCs w:val="28"/>
          <w:highlight w:val="none"/>
        </w:rPr>
      </w:pPr>
    </w:p>
    <w:p w14:paraId="27339B3E">
      <w:pPr>
        <w:pStyle w:val="36"/>
        <w:rPr>
          <w:color w:val="auto"/>
          <w:highlight w:val="none"/>
        </w:rPr>
      </w:pPr>
    </w:p>
    <w:p w14:paraId="387B422C">
      <w:pPr>
        <w:spacing w:line="440" w:lineRule="atLeast"/>
        <w:jc w:val="left"/>
        <w:rPr>
          <w:rFonts w:ascii="黑体" w:hAnsi="宋体" w:eastAsia="黑体"/>
          <w:color w:val="auto"/>
          <w:sz w:val="28"/>
          <w:szCs w:val="28"/>
          <w:highlight w:val="none"/>
        </w:rPr>
      </w:pPr>
      <w:r>
        <w:rPr>
          <w:rFonts w:hint="eastAsia" w:ascii="黑体" w:hAnsi="宋体" w:eastAsia="黑体"/>
          <w:color w:val="auto"/>
          <w:sz w:val="28"/>
          <w:szCs w:val="28"/>
          <w:highlight w:val="none"/>
          <w:lang w:val="en-US" w:eastAsia="zh-CN"/>
        </w:rPr>
        <w:t>投标人</w:t>
      </w:r>
      <w:r>
        <w:rPr>
          <w:rFonts w:hint="eastAsia" w:ascii="黑体" w:hAnsi="宋体" w:eastAsia="黑体"/>
          <w:color w:val="auto"/>
          <w:sz w:val="28"/>
          <w:szCs w:val="28"/>
          <w:highlight w:val="none"/>
        </w:rPr>
        <w:t>名称：</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u w:val="single"/>
          <w:lang w:val="en-US" w:eastAsia="zh-CN"/>
        </w:rPr>
        <w:t xml:space="preserve">       </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u w:val="single"/>
          <w:lang w:val="en-US" w:eastAsia="zh-CN"/>
        </w:rPr>
        <w:t xml:space="preserve">        </w:t>
      </w:r>
      <w:r>
        <w:rPr>
          <w:rFonts w:hint="eastAsia" w:ascii="黑体" w:hAnsi="宋体" w:eastAsia="黑体"/>
          <w:color w:val="auto"/>
          <w:sz w:val="28"/>
          <w:szCs w:val="28"/>
          <w:highlight w:val="none"/>
          <w:u w:val="single"/>
        </w:rPr>
        <w:t>（电子签章）</w:t>
      </w:r>
    </w:p>
    <w:p w14:paraId="2445DE6F">
      <w:pPr>
        <w:spacing w:line="440" w:lineRule="atLeast"/>
        <w:ind w:firstLine="560" w:firstLineChars="200"/>
        <w:jc w:val="left"/>
        <w:rPr>
          <w:rFonts w:ascii="黑体" w:hAnsi="宋体" w:eastAsia="黑体"/>
          <w:color w:val="auto"/>
          <w:sz w:val="28"/>
          <w:szCs w:val="28"/>
          <w:highlight w:val="none"/>
        </w:rPr>
      </w:pPr>
    </w:p>
    <w:p w14:paraId="0EF14C4A">
      <w:pPr>
        <w:ind w:firstLine="700" w:firstLineChars="250"/>
        <w:jc w:val="left"/>
        <w:rPr>
          <w:rFonts w:ascii="黑体" w:hAnsi="黑体" w:eastAsia="黑体" w:cs="黑体"/>
          <w:bCs/>
          <w:color w:val="auto"/>
          <w:sz w:val="28"/>
          <w:szCs w:val="28"/>
          <w:highlight w:val="none"/>
        </w:rPr>
      </w:pPr>
    </w:p>
    <w:p w14:paraId="71D340CA">
      <w:pPr>
        <w:spacing w:line="440" w:lineRule="atLeast"/>
        <w:jc w:val="left"/>
        <w:rPr>
          <w:rFonts w:ascii="宋体" w:hAnsi="宋体"/>
          <w:b/>
          <w:color w:val="auto"/>
          <w:sz w:val="28"/>
          <w:szCs w:val="28"/>
          <w:highlight w:val="none"/>
        </w:rPr>
      </w:pPr>
    </w:p>
    <w:p w14:paraId="7FFAF47B">
      <w:pPr>
        <w:spacing w:line="440" w:lineRule="atLeast"/>
        <w:ind w:firstLine="562" w:firstLineChars="200"/>
        <w:jc w:val="left"/>
        <w:rPr>
          <w:rFonts w:ascii="宋体" w:hAnsi="宋体"/>
          <w:b/>
          <w:color w:val="auto"/>
          <w:sz w:val="28"/>
          <w:szCs w:val="28"/>
          <w:highlight w:val="none"/>
        </w:rPr>
      </w:pPr>
    </w:p>
    <w:p w14:paraId="4BF52C02">
      <w:pPr>
        <w:spacing w:line="440" w:lineRule="atLeast"/>
        <w:jc w:val="center"/>
        <w:rPr>
          <w:rFonts w:ascii="宋体" w:hAnsi="宋体"/>
          <w:b/>
          <w:color w:val="auto"/>
          <w:sz w:val="28"/>
          <w:szCs w:val="28"/>
          <w:highlight w:val="none"/>
        </w:rPr>
      </w:pPr>
    </w:p>
    <w:p w14:paraId="1A132293">
      <w:pPr>
        <w:spacing w:line="440" w:lineRule="atLeast"/>
        <w:ind w:firstLine="2530" w:firstLineChars="900"/>
        <w:rPr>
          <w:rFonts w:hint="default" w:ascii="宋体" w:hAnsi="宋体" w:cs="宋体"/>
          <w:b/>
          <w:color w:val="auto"/>
          <w:sz w:val="30"/>
          <w:szCs w:val="30"/>
          <w:highlight w:val="none"/>
        </w:rPr>
      </w:pPr>
      <w:r>
        <w:rPr>
          <w:rFonts w:hint="default" w:ascii="宋体" w:hAnsi="宋体" w:cs="宋体"/>
          <w:b/>
          <w:color w:val="auto"/>
          <w:sz w:val="28"/>
          <w:szCs w:val="28"/>
          <w:highlight w:val="none"/>
          <w:u w:val="single"/>
        </w:rPr>
        <w:t xml:space="preserve">         </w:t>
      </w:r>
      <w:r>
        <w:rPr>
          <w:rFonts w:hint="default" w:ascii="宋体" w:hAnsi="宋体" w:cs="宋体"/>
          <w:b/>
          <w:color w:val="auto"/>
          <w:sz w:val="28"/>
          <w:szCs w:val="28"/>
          <w:highlight w:val="none"/>
        </w:rPr>
        <w:t>年</w:t>
      </w:r>
      <w:r>
        <w:rPr>
          <w:rFonts w:hint="default" w:ascii="宋体" w:hAnsi="宋体" w:cs="宋体"/>
          <w:b/>
          <w:color w:val="auto"/>
          <w:sz w:val="28"/>
          <w:szCs w:val="28"/>
          <w:highlight w:val="none"/>
          <w:u w:val="single"/>
        </w:rPr>
        <w:t xml:space="preserve">         </w:t>
      </w:r>
      <w:r>
        <w:rPr>
          <w:rFonts w:hint="default" w:ascii="宋体" w:hAnsi="宋体" w:cs="宋体"/>
          <w:b/>
          <w:color w:val="auto"/>
          <w:sz w:val="28"/>
          <w:szCs w:val="28"/>
          <w:highlight w:val="none"/>
        </w:rPr>
        <w:t>月</w:t>
      </w:r>
      <w:r>
        <w:rPr>
          <w:rFonts w:hint="default" w:ascii="宋体" w:hAnsi="宋体" w:cs="宋体"/>
          <w:b/>
          <w:color w:val="auto"/>
          <w:sz w:val="28"/>
          <w:szCs w:val="28"/>
          <w:highlight w:val="none"/>
          <w:u w:val="single"/>
        </w:rPr>
        <w:t xml:space="preserve">         </w:t>
      </w:r>
      <w:r>
        <w:rPr>
          <w:rFonts w:hint="default" w:ascii="宋体" w:hAnsi="宋体" w:cs="宋体"/>
          <w:b/>
          <w:color w:val="auto"/>
          <w:sz w:val="28"/>
          <w:szCs w:val="28"/>
          <w:highlight w:val="none"/>
        </w:rPr>
        <w:t>日</w:t>
      </w:r>
    </w:p>
    <w:p w14:paraId="49A5624A">
      <w:pPr>
        <w:spacing w:line="440" w:lineRule="atLeast"/>
        <w:jc w:val="center"/>
        <w:rPr>
          <w:rFonts w:ascii="宋体" w:cs="Times New Roman"/>
          <w:b/>
          <w:bCs/>
          <w:color w:val="auto"/>
          <w:sz w:val="30"/>
          <w:szCs w:val="30"/>
          <w:highlight w:val="none"/>
        </w:rPr>
      </w:pPr>
    </w:p>
    <w:p w14:paraId="01AF85B4">
      <w:pPr>
        <w:spacing w:line="440" w:lineRule="atLeast"/>
        <w:jc w:val="center"/>
        <w:rPr>
          <w:rFonts w:ascii="宋体" w:cs="Times New Roman"/>
          <w:b/>
          <w:bCs/>
          <w:color w:val="auto"/>
          <w:sz w:val="30"/>
          <w:szCs w:val="30"/>
          <w:highlight w:val="none"/>
        </w:rPr>
      </w:pPr>
    </w:p>
    <w:p w14:paraId="7768F03C">
      <w:pPr>
        <w:spacing w:line="440" w:lineRule="atLeast"/>
        <w:jc w:val="center"/>
        <w:rPr>
          <w:rFonts w:ascii="宋体" w:cs="Times New Roman"/>
          <w:b/>
          <w:bCs/>
          <w:color w:val="auto"/>
          <w:sz w:val="30"/>
          <w:szCs w:val="30"/>
          <w:highlight w:val="none"/>
        </w:rPr>
      </w:pPr>
    </w:p>
    <w:p w14:paraId="4434C3F1">
      <w:pPr>
        <w:rPr>
          <w:rFonts w:ascii="宋体" w:hAnsi="宋体" w:cs="宋体"/>
          <w:b/>
          <w:bCs/>
          <w:color w:val="auto"/>
          <w:sz w:val="30"/>
          <w:szCs w:val="30"/>
          <w:highlight w:val="none"/>
        </w:rPr>
      </w:pPr>
      <w:r>
        <w:rPr>
          <w:rFonts w:ascii="宋体" w:hAnsi="宋体" w:cs="宋体"/>
          <w:b/>
          <w:bCs/>
          <w:color w:val="auto"/>
          <w:sz w:val="30"/>
          <w:szCs w:val="30"/>
          <w:highlight w:val="none"/>
        </w:rPr>
        <w:br w:type="page"/>
      </w:r>
    </w:p>
    <w:p w14:paraId="13A2FC0E">
      <w:pPr>
        <w:spacing w:line="440" w:lineRule="atLeast"/>
        <w:jc w:val="center"/>
        <w:rPr>
          <w:rFonts w:ascii="宋体" w:cs="Times New Roman"/>
          <w:smallCaps/>
          <w:color w:val="auto"/>
          <w:kern w:val="0"/>
          <w:sz w:val="24"/>
          <w:szCs w:val="24"/>
          <w:highlight w:val="none"/>
        </w:rPr>
      </w:pPr>
      <w:r>
        <w:rPr>
          <w:rFonts w:hint="eastAsia" w:ascii="宋体" w:hAnsi="宋体" w:cs="宋体"/>
          <w:b/>
          <w:bCs/>
          <w:color w:val="auto"/>
          <w:sz w:val="30"/>
          <w:szCs w:val="30"/>
          <w:highlight w:val="none"/>
        </w:rPr>
        <w:t>技术商务文件目录</w:t>
      </w:r>
    </w:p>
    <w:p w14:paraId="2CF58912">
      <w:pPr>
        <w:rPr>
          <w:rStyle w:val="48"/>
          <w:rFonts w:asciiTheme="minorEastAsia" w:hAnsiTheme="minorEastAsia" w:eastAsiaTheme="minorEastAsia" w:cstheme="minorEastAsia"/>
          <w:color w:val="auto"/>
          <w:kern w:val="0"/>
          <w:szCs w:val="22"/>
          <w:highlight w:val="none"/>
          <w:u w:val="none"/>
        </w:rPr>
      </w:pPr>
      <w:bookmarkStart w:id="170" w:name="_Toc392080805"/>
    </w:p>
    <w:p w14:paraId="0F9E3FD7">
      <w:pPr>
        <w:keepNext w:val="0"/>
        <w:keepLines w:val="0"/>
        <w:pageBreakBefore w:val="0"/>
        <w:widowControl w:val="0"/>
        <w:numPr>
          <w:ilvl w:val="0"/>
          <w:numId w:val="0"/>
        </w:numPr>
        <w:tabs>
          <w:tab w:val="left" w:pos="527"/>
        </w:tabs>
        <w:kinsoku/>
        <w:wordWrap/>
        <w:overflowPunct/>
        <w:topLinePunct w:val="0"/>
        <w:autoSpaceDE/>
        <w:autoSpaceDN/>
        <w:bidi w:val="0"/>
        <w:adjustRightInd/>
        <w:snapToGrid/>
        <w:spacing w:line="360" w:lineRule="auto"/>
        <w:ind w:left="420" w:left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一、政府采购项目供应商技术商务评分索引表；</w:t>
      </w:r>
    </w:p>
    <w:p w14:paraId="631AAF29">
      <w:pPr>
        <w:keepNext w:val="0"/>
        <w:keepLines w:val="0"/>
        <w:pageBreakBefore w:val="0"/>
        <w:widowControl w:val="0"/>
        <w:numPr>
          <w:ilvl w:val="0"/>
          <w:numId w:val="0"/>
        </w:numPr>
        <w:tabs>
          <w:tab w:val="left" w:pos="527"/>
        </w:tabs>
        <w:kinsoku/>
        <w:wordWrap/>
        <w:overflowPunct/>
        <w:topLinePunct w:val="0"/>
        <w:autoSpaceDE/>
        <w:autoSpaceDN/>
        <w:bidi w:val="0"/>
        <w:adjustRightInd/>
        <w:snapToGrid/>
        <w:spacing w:line="360" w:lineRule="auto"/>
        <w:ind w:left="420" w:left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lang w:eastAsia="zh-CN"/>
        </w:rPr>
        <w:t>企业业绩</w:t>
      </w:r>
    </w:p>
    <w:p w14:paraId="33B5E946">
      <w:pPr>
        <w:keepNext w:val="0"/>
        <w:keepLines w:val="0"/>
        <w:pageBreakBefore w:val="0"/>
        <w:widowControl w:val="0"/>
        <w:numPr>
          <w:ilvl w:val="0"/>
          <w:numId w:val="0"/>
        </w:numPr>
        <w:tabs>
          <w:tab w:val="left" w:pos="527"/>
        </w:tabs>
        <w:kinsoku/>
        <w:wordWrap/>
        <w:overflowPunct/>
        <w:topLinePunct w:val="0"/>
        <w:autoSpaceDE/>
        <w:autoSpaceDN/>
        <w:bidi w:val="0"/>
        <w:adjustRightInd/>
        <w:snapToGrid/>
        <w:spacing w:line="360" w:lineRule="auto"/>
        <w:ind w:left="420" w:leftChars="0"/>
        <w:jc w:val="left"/>
        <w:textAlignment w:val="auto"/>
        <w:rPr>
          <w:rFonts w:hint="default"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三、</w:t>
      </w:r>
      <w:r>
        <w:rPr>
          <w:rFonts w:hint="eastAsia" w:ascii="宋体" w:hAnsi="宋体" w:cs="宋体"/>
          <w:snapToGrid/>
          <w:color w:val="auto"/>
          <w:kern w:val="0"/>
          <w:sz w:val="21"/>
          <w:szCs w:val="21"/>
          <w:highlight w:val="none"/>
          <w:u w:val="none"/>
          <w:shd w:val="clear" w:color="auto" w:fill="auto"/>
          <w:lang w:val="en-US" w:eastAsia="zh-CN" w:bidi="ar-SA"/>
        </w:rPr>
        <w:t>服务响应</w:t>
      </w:r>
    </w:p>
    <w:p w14:paraId="6A32CAE2">
      <w:pPr>
        <w:keepNext w:val="0"/>
        <w:keepLines w:val="0"/>
        <w:pageBreakBefore w:val="0"/>
        <w:widowControl w:val="0"/>
        <w:numPr>
          <w:ilvl w:val="0"/>
          <w:numId w:val="0"/>
        </w:numPr>
        <w:tabs>
          <w:tab w:val="left" w:pos="527"/>
        </w:tabs>
        <w:kinsoku/>
        <w:wordWrap/>
        <w:overflowPunct/>
        <w:topLinePunct w:val="0"/>
        <w:autoSpaceDE/>
        <w:autoSpaceDN/>
        <w:bidi w:val="0"/>
        <w:adjustRightInd/>
        <w:snapToGrid/>
        <w:spacing w:line="360" w:lineRule="auto"/>
        <w:ind w:left="420" w:leftChars="0"/>
        <w:jc w:val="lef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snapToGrid/>
          <w:color w:val="auto"/>
          <w:kern w:val="0"/>
          <w:sz w:val="21"/>
          <w:szCs w:val="21"/>
          <w:highlight w:val="none"/>
          <w:u w:val="none"/>
          <w:shd w:val="clear" w:color="auto" w:fill="auto"/>
          <w:lang w:val="en-US" w:eastAsia="zh-CN" w:bidi="ar-SA"/>
        </w:rPr>
        <w:t>四、响应速度</w:t>
      </w:r>
    </w:p>
    <w:p w14:paraId="695ED25E">
      <w:pPr>
        <w:keepNext w:val="0"/>
        <w:keepLines w:val="0"/>
        <w:pageBreakBefore w:val="0"/>
        <w:widowControl w:val="0"/>
        <w:numPr>
          <w:ilvl w:val="0"/>
          <w:numId w:val="0"/>
        </w:numPr>
        <w:tabs>
          <w:tab w:val="left" w:pos="527"/>
        </w:tabs>
        <w:kinsoku/>
        <w:wordWrap/>
        <w:overflowPunct/>
        <w:topLinePunct w:val="0"/>
        <w:autoSpaceDE/>
        <w:autoSpaceDN/>
        <w:bidi w:val="0"/>
        <w:adjustRightInd/>
        <w:snapToGrid/>
        <w:spacing w:line="360" w:lineRule="auto"/>
        <w:ind w:left="420" w:leftChars="0"/>
        <w:jc w:val="lef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snapToGrid/>
          <w:color w:val="auto"/>
          <w:kern w:val="0"/>
          <w:sz w:val="21"/>
          <w:szCs w:val="21"/>
          <w:highlight w:val="none"/>
          <w:u w:val="none"/>
          <w:shd w:val="clear" w:color="auto" w:fill="auto"/>
          <w:lang w:val="en-US" w:eastAsia="zh-CN" w:bidi="ar-SA"/>
        </w:rPr>
        <w:t>五、运营团队配置</w:t>
      </w:r>
    </w:p>
    <w:p w14:paraId="4BEDB868">
      <w:pPr>
        <w:keepNext w:val="0"/>
        <w:keepLines w:val="0"/>
        <w:pageBreakBefore w:val="0"/>
        <w:widowControl w:val="0"/>
        <w:numPr>
          <w:ilvl w:val="0"/>
          <w:numId w:val="0"/>
        </w:numPr>
        <w:tabs>
          <w:tab w:val="left" w:pos="527"/>
        </w:tabs>
        <w:kinsoku/>
        <w:wordWrap/>
        <w:overflowPunct/>
        <w:topLinePunct w:val="0"/>
        <w:autoSpaceDE/>
        <w:autoSpaceDN/>
        <w:bidi w:val="0"/>
        <w:adjustRightInd/>
        <w:snapToGrid/>
        <w:spacing w:line="360" w:lineRule="auto"/>
        <w:ind w:left="420" w:leftChars="0"/>
        <w:jc w:val="left"/>
        <w:textAlignment w:val="auto"/>
        <w:rPr>
          <w:rFonts w:hint="eastAsia" w:ascii="宋体" w:hAnsi="宋体" w:eastAsia="宋体" w:cs="宋体"/>
          <w:color w:val="auto"/>
          <w:kern w:val="0"/>
          <w:szCs w:val="21"/>
          <w:highlight w:val="none"/>
          <w:lang w:eastAsia="zh-CN"/>
        </w:rPr>
      </w:pPr>
      <w:r>
        <w:rPr>
          <w:rFonts w:hint="eastAsia" w:ascii="宋体" w:hAnsi="宋体" w:cs="宋体"/>
          <w:snapToGrid/>
          <w:color w:val="auto"/>
          <w:kern w:val="0"/>
          <w:sz w:val="21"/>
          <w:szCs w:val="21"/>
          <w:highlight w:val="none"/>
          <w:u w:val="none"/>
          <w:shd w:val="clear" w:color="auto" w:fill="auto"/>
          <w:lang w:val="en-US" w:eastAsia="zh-CN" w:bidi="ar-SA"/>
        </w:rPr>
        <w:t>六</w:t>
      </w:r>
      <w:r>
        <w:rPr>
          <w:rFonts w:hint="eastAsia" w:ascii="宋体" w:hAnsi="宋体" w:eastAsia="宋体" w:cs="宋体"/>
          <w:snapToGrid/>
          <w:color w:val="auto"/>
          <w:kern w:val="0"/>
          <w:sz w:val="21"/>
          <w:szCs w:val="21"/>
          <w:highlight w:val="none"/>
          <w:u w:val="none"/>
          <w:shd w:val="clear" w:color="auto" w:fill="auto"/>
          <w:lang w:val="en-US" w:eastAsia="zh-CN" w:bidi="ar-SA"/>
        </w:rPr>
        <w:t>、</w:t>
      </w:r>
      <w:r>
        <w:rPr>
          <w:rFonts w:hint="eastAsia" w:ascii="宋体" w:hAnsi="宋体" w:cs="宋体"/>
          <w:kern w:val="2"/>
          <w:sz w:val="21"/>
          <w:szCs w:val="21"/>
          <w:highlight w:val="none"/>
          <w:lang w:val="en-US" w:eastAsia="zh-CN" w:bidi="ar-SA"/>
        </w:rPr>
        <w:t>运营实施方案</w:t>
      </w:r>
    </w:p>
    <w:p w14:paraId="1AF8F268">
      <w:pPr>
        <w:keepNext w:val="0"/>
        <w:keepLines w:val="0"/>
        <w:pageBreakBefore w:val="0"/>
        <w:widowControl w:val="0"/>
        <w:numPr>
          <w:ilvl w:val="0"/>
          <w:numId w:val="0"/>
        </w:numPr>
        <w:tabs>
          <w:tab w:val="left" w:pos="527"/>
        </w:tabs>
        <w:kinsoku/>
        <w:wordWrap/>
        <w:overflowPunct/>
        <w:topLinePunct w:val="0"/>
        <w:autoSpaceDE/>
        <w:autoSpaceDN/>
        <w:bidi w:val="0"/>
        <w:adjustRightInd/>
        <w:snapToGrid/>
        <w:spacing w:line="360" w:lineRule="auto"/>
        <w:ind w:left="420" w:leftChars="0"/>
        <w:jc w:val="left"/>
        <w:textAlignment w:val="auto"/>
        <w:rPr>
          <w:rFonts w:hint="eastAsia" w:ascii="宋体" w:hAnsi="宋体" w:eastAsia="宋体" w:cs="宋体"/>
          <w:color w:val="auto"/>
          <w:kern w:val="0"/>
          <w:szCs w:val="21"/>
          <w:highlight w:val="none"/>
          <w:lang w:eastAsia="zh-CN"/>
        </w:rPr>
      </w:pPr>
      <w:r>
        <w:rPr>
          <w:rFonts w:hint="eastAsia" w:ascii="宋体" w:hAnsi="宋体" w:cs="宋体"/>
          <w:snapToGrid/>
          <w:color w:val="auto"/>
          <w:kern w:val="0"/>
          <w:sz w:val="21"/>
          <w:szCs w:val="21"/>
          <w:highlight w:val="none"/>
          <w:lang w:val="en-US" w:eastAsia="zh-CN" w:bidi="ar-SA"/>
        </w:rPr>
        <w:t>七</w:t>
      </w:r>
      <w:r>
        <w:rPr>
          <w:rFonts w:hint="eastAsia" w:ascii="宋体" w:hAnsi="宋体" w:eastAsia="宋体" w:cs="宋体"/>
          <w:snapToGrid/>
          <w:color w:val="auto"/>
          <w:kern w:val="0"/>
          <w:sz w:val="21"/>
          <w:szCs w:val="21"/>
          <w:highlight w:val="none"/>
          <w:lang w:val="en-US" w:eastAsia="zh-CN" w:bidi="ar-SA"/>
        </w:rPr>
        <w:t>、</w:t>
      </w:r>
      <w:r>
        <w:rPr>
          <w:rFonts w:hint="eastAsia" w:ascii="宋体" w:hAnsi="宋体" w:cs="宋体"/>
          <w:kern w:val="2"/>
          <w:sz w:val="21"/>
          <w:szCs w:val="21"/>
          <w:highlight w:val="none"/>
          <w:lang w:val="en-US" w:eastAsia="zh-CN" w:bidi="ar-SA"/>
        </w:rPr>
        <w:t>志愿者调度方案</w:t>
      </w:r>
    </w:p>
    <w:p w14:paraId="242F56DA">
      <w:pPr>
        <w:keepNext w:val="0"/>
        <w:keepLines w:val="0"/>
        <w:pageBreakBefore w:val="0"/>
        <w:widowControl w:val="0"/>
        <w:numPr>
          <w:ilvl w:val="0"/>
          <w:numId w:val="0"/>
        </w:numPr>
        <w:tabs>
          <w:tab w:val="left" w:pos="527"/>
        </w:tabs>
        <w:kinsoku/>
        <w:wordWrap/>
        <w:overflowPunct/>
        <w:topLinePunct w:val="0"/>
        <w:autoSpaceDE/>
        <w:autoSpaceDN/>
        <w:bidi w:val="0"/>
        <w:adjustRightInd/>
        <w:snapToGrid/>
        <w:spacing w:line="360" w:lineRule="auto"/>
        <w:ind w:left="420" w:leftChars="0"/>
        <w:jc w:val="left"/>
        <w:textAlignment w:val="auto"/>
        <w:rPr>
          <w:rFonts w:hint="eastAsia" w:ascii="宋体" w:hAnsi="宋体" w:eastAsia="宋体" w:cs="宋体"/>
          <w:color w:val="auto"/>
          <w:kern w:val="0"/>
          <w:szCs w:val="21"/>
          <w:highlight w:val="none"/>
          <w:lang w:eastAsia="zh-CN"/>
        </w:rPr>
      </w:pPr>
      <w:r>
        <w:rPr>
          <w:rFonts w:hint="eastAsia" w:ascii="宋体" w:hAnsi="宋体" w:cs="宋体"/>
          <w:kern w:val="2"/>
          <w:sz w:val="21"/>
          <w:szCs w:val="21"/>
          <w:highlight w:val="none"/>
          <w:lang w:val="en-US" w:eastAsia="zh-CN" w:bidi="ar-SA"/>
        </w:rPr>
        <w:t>八、宣传方案</w:t>
      </w:r>
    </w:p>
    <w:p w14:paraId="67FB444B">
      <w:pPr>
        <w:keepNext w:val="0"/>
        <w:keepLines w:val="0"/>
        <w:pageBreakBefore w:val="0"/>
        <w:widowControl w:val="0"/>
        <w:numPr>
          <w:ilvl w:val="0"/>
          <w:numId w:val="0"/>
        </w:numPr>
        <w:tabs>
          <w:tab w:val="left" w:pos="527"/>
        </w:tabs>
        <w:kinsoku/>
        <w:wordWrap/>
        <w:overflowPunct/>
        <w:topLinePunct w:val="0"/>
        <w:autoSpaceDE/>
        <w:autoSpaceDN/>
        <w:bidi w:val="0"/>
        <w:adjustRightInd/>
        <w:snapToGrid/>
        <w:spacing w:line="360" w:lineRule="auto"/>
        <w:ind w:left="420" w:leftChars="0"/>
        <w:jc w:val="left"/>
        <w:textAlignment w:val="auto"/>
        <w:rPr>
          <w:rFonts w:hint="eastAsia" w:ascii="宋体" w:hAnsi="宋体" w:eastAsia="宋体" w:cs="宋体"/>
          <w:kern w:val="2"/>
          <w:sz w:val="21"/>
          <w:szCs w:val="21"/>
          <w:highlight w:val="none"/>
          <w:lang w:val="zh-CN" w:eastAsia="zh-CN" w:bidi="ar-SA"/>
        </w:rPr>
      </w:pPr>
      <w:r>
        <w:rPr>
          <w:rFonts w:hint="eastAsia" w:ascii="宋体" w:hAnsi="宋体" w:cs="宋体"/>
          <w:kern w:val="2"/>
          <w:sz w:val="21"/>
          <w:szCs w:val="21"/>
          <w:highlight w:val="none"/>
          <w:lang w:val="en-US" w:eastAsia="zh-CN" w:bidi="ar-SA"/>
        </w:rPr>
        <w:t>九、场地布置方案</w:t>
      </w:r>
    </w:p>
    <w:p w14:paraId="158C9702">
      <w:pPr>
        <w:keepNext w:val="0"/>
        <w:keepLines w:val="0"/>
        <w:pageBreakBefore w:val="0"/>
        <w:widowControl w:val="0"/>
        <w:numPr>
          <w:ilvl w:val="0"/>
          <w:numId w:val="0"/>
        </w:numPr>
        <w:tabs>
          <w:tab w:val="left" w:pos="527"/>
        </w:tabs>
        <w:kinsoku/>
        <w:wordWrap/>
        <w:overflowPunct/>
        <w:topLinePunct w:val="0"/>
        <w:autoSpaceDE/>
        <w:autoSpaceDN/>
        <w:bidi w:val="0"/>
        <w:adjustRightInd/>
        <w:snapToGrid/>
        <w:spacing w:line="360" w:lineRule="auto"/>
        <w:ind w:left="420" w:leftChars="0"/>
        <w:jc w:val="left"/>
        <w:textAlignment w:val="auto"/>
        <w:rPr>
          <w:rFonts w:hint="default"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十、</w:t>
      </w:r>
      <w:r>
        <w:rPr>
          <w:rFonts w:hint="eastAsia" w:ascii="宋体" w:hAnsi="宋体" w:eastAsia="宋体" w:cs="宋体"/>
          <w:color w:val="auto"/>
          <w:kern w:val="0"/>
          <w:sz w:val="21"/>
          <w:szCs w:val="21"/>
          <w:highlight w:val="none"/>
          <w:lang w:val="en-US" w:eastAsia="zh-CN"/>
        </w:rPr>
        <w:t>无障碍保障方案</w:t>
      </w:r>
    </w:p>
    <w:p w14:paraId="4C2024B3">
      <w:pPr>
        <w:keepNext w:val="0"/>
        <w:keepLines w:val="0"/>
        <w:pageBreakBefore w:val="0"/>
        <w:widowControl w:val="0"/>
        <w:numPr>
          <w:ilvl w:val="0"/>
          <w:numId w:val="0"/>
        </w:numPr>
        <w:tabs>
          <w:tab w:val="left" w:pos="527"/>
        </w:tabs>
        <w:kinsoku/>
        <w:wordWrap/>
        <w:overflowPunct/>
        <w:topLinePunct w:val="0"/>
        <w:autoSpaceDE/>
        <w:autoSpaceDN/>
        <w:bidi w:val="0"/>
        <w:adjustRightInd/>
        <w:snapToGrid/>
        <w:spacing w:line="360" w:lineRule="auto"/>
        <w:ind w:left="420" w:leftChars="0"/>
        <w:jc w:val="lef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rPr>
        <w:t>十一</w:t>
      </w:r>
      <w:r>
        <w:rPr>
          <w:rFonts w:hint="eastAsia" w:ascii="宋体" w:hAnsi="宋体" w:cs="宋体"/>
          <w:kern w:val="2"/>
          <w:sz w:val="21"/>
          <w:szCs w:val="21"/>
          <w:highlight w:val="none"/>
          <w:lang w:val="en-US" w:eastAsia="zh-CN" w:bidi="ar-SA"/>
        </w:rPr>
        <w:t>、</w:t>
      </w:r>
      <w:r>
        <w:rPr>
          <w:rFonts w:hint="eastAsia" w:ascii="宋体" w:hAnsi="宋体" w:eastAsia="宋体" w:cs="宋体"/>
          <w:kern w:val="0"/>
          <w:sz w:val="21"/>
          <w:szCs w:val="21"/>
          <w:highlight w:val="none"/>
          <w:lang w:val="en-US" w:eastAsia="zh-CN"/>
        </w:rPr>
        <w:t>安全保障方案</w:t>
      </w:r>
    </w:p>
    <w:p w14:paraId="172E9278">
      <w:pPr>
        <w:keepNext w:val="0"/>
        <w:keepLines w:val="0"/>
        <w:pageBreakBefore w:val="0"/>
        <w:widowControl w:val="0"/>
        <w:numPr>
          <w:ilvl w:val="0"/>
          <w:numId w:val="0"/>
        </w:numPr>
        <w:tabs>
          <w:tab w:val="left" w:pos="527"/>
        </w:tabs>
        <w:kinsoku/>
        <w:wordWrap/>
        <w:overflowPunct/>
        <w:topLinePunct w:val="0"/>
        <w:autoSpaceDE/>
        <w:autoSpaceDN/>
        <w:bidi w:val="0"/>
        <w:adjustRightInd/>
        <w:snapToGrid/>
        <w:spacing w:line="360" w:lineRule="auto"/>
        <w:ind w:left="420" w:leftChars="0"/>
        <w:jc w:val="lef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kern w:val="0"/>
          <w:sz w:val="21"/>
          <w:szCs w:val="21"/>
          <w:highlight w:val="none"/>
          <w:lang w:val="en-US" w:eastAsia="zh-CN"/>
        </w:rPr>
        <w:t>十二</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Cs w:val="21"/>
          <w:highlight w:val="none"/>
          <w:lang w:val="en-US" w:eastAsia="zh-CN"/>
        </w:rPr>
        <w:t>应急处置措施</w:t>
      </w:r>
    </w:p>
    <w:p w14:paraId="1330778B">
      <w:pPr>
        <w:keepNext w:val="0"/>
        <w:keepLines w:val="0"/>
        <w:pageBreakBefore w:val="0"/>
        <w:widowControl w:val="0"/>
        <w:numPr>
          <w:ilvl w:val="0"/>
          <w:numId w:val="0"/>
        </w:numPr>
        <w:tabs>
          <w:tab w:val="left" w:pos="527"/>
        </w:tabs>
        <w:kinsoku/>
        <w:wordWrap/>
        <w:overflowPunct/>
        <w:topLinePunct w:val="0"/>
        <w:autoSpaceDE/>
        <w:autoSpaceDN/>
        <w:bidi w:val="0"/>
        <w:adjustRightInd/>
        <w:snapToGrid/>
        <w:spacing w:line="360" w:lineRule="auto"/>
        <w:ind w:left="420" w:leftChars="0"/>
        <w:jc w:val="left"/>
        <w:textAlignment w:val="auto"/>
        <w:rPr>
          <w:rFonts w:hint="default" w:eastAsia="宋体"/>
          <w:highlight w:val="none"/>
          <w:lang w:val="en-US" w:eastAsia="zh-CN"/>
        </w:rPr>
      </w:pPr>
      <w:r>
        <w:rPr>
          <w:rFonts w:hint="eastAsia" w:ascii="宋体" w:hAnsi="宋体" w:eastAsia="宋体" w:cs="宋体"/>
          <w:color w:val="auto"/>
          <w:kern w:val="0"/>
          <w:szCs w:val="21"/>
          <w:highlight w:val="none"/>
          <w:lang w:val="en-US" w:eastAsia="zh-CN"/>
        </w:rPr>
        <w:t>十三</w:t>
      </w:r>
      <w:r>
        <w:rPr>
          <w:rFonts w:hint="eastAsia" w:ascii="宋体" w:hAnsi="宋体" w:eastAsia="宋体" w:cs="宋体"/>
          <w:kern w:val="0"/>
          <w:sz w:val="21"/>
          <w:szCs w:val="21"/>
          <w:highlight w:val="none"/>
          <w:lang w:val="en-US" w:eastAsia="zh-CN"/>
        </w:rPr>
        <w:t>、</w:t>
      </w:r>
      <w:r>
        <w:rPr>
          <w:rFonts w:hint="eastAsia" w:ascii="宋体" w:hAnsi="宋体" w:cs="宋体"/>
          <w:color w:val="auto"/>
          <w:kern w:val="0"/>
          <w:szCs w:val="21"/>
          <w:highlight w:val="none"/>
          <w:lang w:val="en-US" w:eastAsia="zh-CN"/>
        </w:rPr>
        <w:t>器材保障方案</w:t>
      </w:r>
    </w:p>
    <w:p w14:paraId="1A8317FD">
      <w:pPr>
        <w:keepNext w:val="0"/>
        <w:keepLines w:val="0"/>
        <w:pageBreakBefore w:val="0"/>
        <w:widowControl w:val="0"/>
        <w:numPr>
          <w:ilvl w:val="0"/>
          <w:numId w:val="0"/>
        </w:numPr>
        <w:tabs>
          <w:tab w:val="left" w:pos="527"/>
        </w:tabs>
        <w:kinsoku/>
        <w:wordWrap/>
        <w:overflowPunct/>
        <w:topLinePunct w:val="0"/>
        <w:autoSpaceDE/>
        <w:autoSpaceDN/>
        <w:bidi w:val="0"/>
        <w:adjustRightInd/>
        <w:snapToGrid/>
        <w:spacing w:line="360" w:lineRule="auto"/>
        <w:ind w:left="420" w:left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十四、会议策划方案</w:t>
      </w:r>
    </w:p>
    <w:p w14:paraId="18E6DF29">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十五、后勤服务方案</w:t>
      </w:r>
    </w:p>
    <w:p w14:paraId="76E6AB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十六、投标人</w:t>
      </w:r>
      <w:r>
        <w:rPr>
          <w:rFonts w:hint="eastAsia" w:ascii="宋体" w:hAnsi="宋体" w:eastAsia="宋体" w:cs="宋体"/>
          <w:color w:val="auto"/>
          <w:kern w:val="0"/>
          <w:szCs w:val="21"/>
          <w:highlight w:val="none"/>
          <w:lang w:eastAsia="zh-CN"/>
        </w:rPr>
        <w:t>需要说明的其他文件和说明</w:t>
      </w:r>
    </w:p>
    <w:p w14:paraId="613C1B27">
      <w:pPr>
        <w:spacing w:line="440" w:lineRule="atLeast"/>
        <w:ind w:firstLine="420" w:firstLineChars="200"/>
        <w:jc w:val="left"/>
        <w:rPr>
          <w:rFonts w:hint="eastAsia" w:ascii="宋体" w:hAnsi="宋体" w:eastAsia="宋体" w:cs="宋体"/>
          <w:color w:val="auto"/>
          <w:highlight w:val="none"/>
          <w:lang w:eastAsia="zh-CN"/>
        </w:rPr>
      </w:pPr>
    </w:p>
    <w:p w14:paraId="51CF03E9">
      <w:pPr>
        <w:widowControl/>
        <w:spacing w:line="360" w:lineRule="auto"/>
        <w:ind w:firstLine="904" w:firstLineChars="300"/>
        <w:jc w:val="center"/>
        <w:rPr>
          <w:rFonts w:ascii="宋体" w:hAnsi="宋体" w:cs="宋体"/>
          <w:b/>
          <w:bCs/>
          <w:color w:val="auto"/>
          <w:kern w:val="0"/>
          <w:sz w:val="30"/>
          <w:szCs w:val="30"/>
          <w:highlight w:val="none"/>
        </w:rPr>
      </w:pPr>
    </w:p>
    <w:p w14:paraId="4578DDC4">
      <w:pPr>
        <w:pStyle w:val="36"/>
        <w:rPr>
          <w:color w:val="auto"/>
          <w:highlight w:val="none"/>
        </w:rPr>
      </w:pPr>
    </w:p>
    <w:p w14:paraId="2C2BA08F">
      <w:pP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br w:type="page"/>
      </w:r>
    </w:p>
    <w:p w14:paraId="34F2792B">
      <w:pPr>
        <w:widowControl/>
        <w:spacing w:line="360" w:lineRule="auto"/>
        <w:ind w:firstLine="904" w:firstLineChars="300"/>
        <w:jc w:val="center"/>
        <w:rPr>
          <w:color w:val="auto"/>
          <w:highlight w:val="none"/>
        </w:rPr>
      </w:pPr>
      <w:r>
        <w:rPr>
          <w:rFonts w:hint="eastAsia" w:ascii="宋体" w:hAnsi="宋体" w:cs="宋体"/>
          <w:b/>
          <w:bCs/>
          <w:color w:val="auto"/>
          <w:kern w:val="0"/>
          <w:sz w:val="30"/>
          <w:szCs w:val="30"/>
          <w:highlight w:val="none"/>
        </w:rPr>
        <w:t>一、政府采购项目供应商技术商务评分索引表</w:t>
      </w:r>
      <w:bookmarkStart w:id="171" w:name="_Toc16200"/>
    </w:p>
    <w:tbl>
      <w:tblPr>
        <w:tblStyle w:val="38"/>
        <w:tblW w:w="9224"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3594"/>
        <w:gridCol w:w="1999"/>
        <w:gridCol w:w="1212"/>
        <w:gridCol w:w="1183"/>
      </w:tblGrid>
      <w:tr w14:paraId="4C5D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30" w:type="dxa"/>
            <w:gridSpan w:val="2"/>
            <w:tcBorders>
              <w:top w:val="single" w:color="auto" w:sz="4" w:space="0"/>
              <w:left w:val="single" w:color="auto" w:sz="4" w:space="0"/>
              <w:bottom w:val="single" w:color="auto" w:sz="4" w:space="0"/>
              <w:right w:val="single" w:color="auto" w:sz="4" w:space="0"/>
            </w:tcBorders>
            <w:noWrap w:val="0"/>
            <w:vAlign w:val="center"/>
          </w:tcPr>
          <w:p w14:paraId="1F305FDA">
            <w:pPr>
              <w:keepNext w:val="0"/>
              <w:keepLines w:val="0"/>
              <w:widowControl w:val="0"/>
              <w:suppressLineNumbers w:val="0"/>
              <w:spacing w:before="0" w:beforeAutospacing="0" w:after="0" w:afterAutospacing="0" w:line="440" w:lineRule="exact"/>
              <w:ind w:left="0" w:right="0"/>
              <w:jc w:val="center"/>
              <w:outlineLvl w:val="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评审内容</w:t>
            </w:r>
          </w:p>
        </w:tc>
        <w:tc>
          <w:tcPr>
            <w:tcW w:w="1999" w:type="dxa"/>
            <w:tcBorders>
              <w:top w:val="single" w:color="auto" w:sz="4" w:space="0"/>
              <w:left w:val="nil"/>
              <w:bottom w:val="single" w:color="auto" w:sz="4" w:space="0"/>
              <w:right w:val="single" w:color="auto" w:sz="4" w:space="0"/>
            </w:tcBorders>
            <w:noWrap w:val="0"/>
            <w:vAlign w:val="center"/>
          </w:tcPr>
          <w:p w14:paraId="7852E1FE">
            <w:pPr>
              <w:keepNext w:val="0"/>
              <w:keepLines w:val="0"/>
              <w:widowControl w:val="0"/>
              <w:suppressLineNumbers w:val="0"/>
              <w:spacing w:before="0" w:beforeAutospacing="0" w:after="0" w:afterAutospacing="0" w:line="440" w:lineRule="exact"/>
              <w:ind w:left="0" w:right="0"/>
              <w:jc w:val="center"/>
              <w:outlineLvl w:val="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分值</w:t>
            </w:r>
          </w:p>
        </w:tc>
        <w:tc>
          <w:tcPr>
            <w:tcW w:w="1212" w:type="dxa"/>
            <w:tcBorders>
              <w:top w:val="single" w:color="auto" w:sz="4" w:space="0"/>
              <w:left w:val="nil"/>
              <w:bottom w:val="single" w:color="auto" w:sz="4" w:space="0"/>
              <w:right w:val="single" w:color="auto" w:sz="4" w:space="0"/>
            </w:tcBorders>
            <w:noWrap w:val="0"/>
            <w:vAlign w:val="center"/>
          </w:tcPr>
          <w:p w14:paraId="79CC3BE4">
            <w:pPr>
              <w:keepNext w:val="0"/>
              <w:keepLines w:val="0"/>
              <w:widowControl w:val="0"/>
              <w:suppressLineNumbers w:val="0"/>
              <w:spacing w:before="0" w:beforeAutospacing="0" w:after="0" w:afterAutospacing="0" w:line="440" w:lineRule="exact"/>
              <w:ind w:left="0" w:right="0"/>
              <w:jc w:val="center"/>
              <w:outlineLvl w:val="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自评分</w:t>
            </w:r>
          </w:p>
        </w:tc>
        <w:tc>
          <w:tcPr>
            <w:tcW w:w="1183" w:type="dxa"/>
            <w:tcBorders>
              <w:top w:val="single" w:color="auto" w:sz="4" w:space="0"/>
              <w:left w:val="nil"/>
              <w:bottom w:val="single" w:color="auto" w:sz="4" w:space="0"/>
              <w:right w:val="single" w:color="auto" w:sz="4" w:space="0"/>
            </w:tcBorders>
            <w:noWrap w:val="0"/>
            <w:vAlign w:val="center"/>
          </w:tcPr>
          <w:p w14:paraId="2B6394BC">
            <w:pPr>
              <w:keepNext w:val="0"/>
              <w:keepLines w:val="0"/>
              <w:widowControl w:val="0"/>
              <w:suppressLineNumbers w:val="0"/>
              <w:spacing w:before="0" w:beforeAutospacing="0" w:after="0" w:afterAutospacing="0" w:line="440" w:lineRule="exact"/>
              <w:ind w:left="0" w:right="0"/>
              <w:jc w:val="center"/>
              <w:outlineLvl w:val="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投标文件响应页码</w:t>
            </w:r>
          </w:p>
        </w:tc>
      </w:tr>
      <w:tr w14:paraId="6C0C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236" w:type="dxa"/>
            <w:vMerge w:val="restart"/>
            <w:tcBorders>
              <w:top w:val="nil"/>
              <w:left w:val="single" w:color="auto" w:sz="4" w:space="0"/>
              <w:bottom w:val="single" w:color="auto" w:sz="4" w:space="0"/>
              <w:right w:val="single" w:color="auto" w:sz="4" w:space="0"/>
            </w:tcBorders>
            <w:noWrap w:val="0"/>
            <w:vAlign w:val="center"/>
          </w:tcPr>
          <w:p w14:paraId="1A8FE1F7">
            <w:pPr>
              <w:keepNext w:val="0"/>
              <w:keepLines w:val="0"/>
              <w:widowControl w:val="0"/>
              <w:suppressLineNumbers w:val="0"/>
              <w:spacing w:before="0" w:beforeAutospacing="0" w:after="0" w:afterAutospacing="0" w:line="440" w:lineRule="exact"/>
              <w:ind w:left="0" w:right="0"/>
              <w:jc w:val="center"/>
              <w:outlineLvl w:val="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资信、技术商务8</w:t>
            </w:r>
            <w:r>
              <w:rPr>
                <w:rFonts w:hint="eastAsia" w:ascii="宋体" w:hAnsi="宋体" w:cs="宋体"/>
                <w:color w:val="auto"/>
                <w:kern w:val="2"/>
                <w:sz w:val="21"/>
                <w:szCs w:val="21"/>
                <w:highlight w:val="none"/>
                <w:lang w:val="en-US" w:eastAsia="zh-CN" w:bidi="ar"/>
              </w:rPr>
              <w:t>0</w:t>
            </w:r>
            <w:r>
              <w:rPr>
                <w:rFonts w:hint="eastAsia" w:ascii="宋体" w:hAnsi="宋体" w:eastAsia="宋体" w:cs="宋体"/>
                <w:color w:val="auto"/>
                <w:kern w:val="2"/>
                <w:sz w:val="21"/>
                <w:szCs w:val="21"/>
                <w:highlight w:val="none"/>
                <w:lang w:val="en-US" w:eastAsia="zh-CN" w:bidi="ar"/>
              </w:rPr>
              <w:t>分</w:t>
            </w:r>
          </w:p>
        </w:tc>
        <w:tc>
          <w:tcPr>
            <w:tcW w:w="3594" w:type="dxa"/>
            <w:tcBorders>
              <w:top w:val="single" w:color="auto" w:sz="4" w:space="0"/>
              <w:left w:val="nil"/>
              <w:bottom w:val="single" w:color="auto" w:sz="4" w:space="0"/>
              <w:right w:val="single" w:color="auto" w:sz="4" w:space="0"/>
            </w:tcBorders>
            <w:noWrap w:val="0"/>
            <w:vAlign w:val="center"/>
          </w:tcPr>
          <w:p w14:paraId="2FDE19D6">
            <w:pPr>
              <w:keepNext w:val="0"/>
              <w:keepLines w:val="0"/>
              <w:pageBreakBefore w:val="0"/>
              <w:widowControl w:val="0"/>
              <w:numPr>
                <w:ilvl w:val="0"/>
                <w:numId w:val="0"/>
              </w:numPr>
              <w:suppressLineNumbers w:val="0"/>
              <w:tabs>
                <w:tab w:val="left" w:pos="527"/>
              </w:tabs>
              <w:kinsoku/>
              <w:wordWrap/>
              <w:overflowPunct/>
              <w:topLinePunct w:val="0"/>
              <w:autoSpaceDE/>
              <w:autoSpaceDN/>
              <w:bidi w:val="0"/>
              <w:adjustRightInd/>
              <w:snapToGrid/>
              <w:spacing w:before="0" w:beforeAutospacing="0" w:after="0" w:afterAutospacing="0" w:line="360" w:lineRule="auto"/>
              <w:ind w:left="420" w:leftChars="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eastAsia="zh-CN"/>
              </w:rPr>
              <w:t>企业业绩</w:t>
            </w:r>
          </w:p>
        </w:tc>
        <w:tc>
          <w:tcPr>
            <w:tcW w:w="1999" w:type="dxa"/>
            <w:tcBorders>
              <w:top w:val="single" w:color="auto" w:sz="4" w:space="0"/>
              <w:left w:val="nil"/>
              <w:bottom w:val="single" w:color="auto" w:sz="4" w:space="0"/>
              <w:right w:val="single" w:color="auto" w:sz="4" w:space="0"/>
            </w:tcBorders>
            <w:noWrap w:val="0"/>
            <w:vAlign w:val="center"/>
          </w:tcPr>
          <w:p w14:paraId="5A6A80C8">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rPr>
            </w:pPr>
          </w:p>
        </w:tc>
        <w:tc>
          <w:tcPr>
            <w:tcW w:w="1212" w:type="dxa"/>
            <w:tcBorders>
              <w:top w:val="single" w:color="auto" w:sz="4" w:space="0"/>
              <w:left w:val="nil"/>
              <w:bottom w:val="single" w:color="auto" w:sz="4" w:space="0"/>
              <w:right w:val="single" w:color="auto" w:sz="4" w:space="0"/>
            </w:tcBorders>
            <w:noWrap w:val="0"/>
            <w:vAlign w:val="center"/>
          </w:tcPr>
          <w:p w14:paraId="10630760">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183" w:type="dxa"/>
            <w:tcBorders>
              <w:top w:val="single" w:color="auto" w:sz="4" w:space="0"/>
              <w:left w:val="nil"/>
              <w:bottom w:val="single" w:color="auto" w:sz="4" w:space="0"/>
              <w:right w:val="single" w:color="auto" w:sz="4" w:space="0"/>
            </w:tcBorders>
            <w:noWrap w:val="0"/>
            <w:vAlign w:val="center"/>
          </w:tcPr>
          <w:p w14:paraId="4B7D7701">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5570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236" w:type="dxa"/>
            <w:vMerge w:val="continue"/>
            <w:tcBorders>
              <w:top w:val="nil"/>
              <w:left w:val="single" w:color="auto" w:sz="4" w:space="0"/>
              <w:bottom w:val="single" w:color="auto" w:sz="4" w:space="0"/>
              <w:right w:val="single" w:color="auto" w:sz="4" w:space="0"/>
            </w:tcBorders>
            <w:noWrap w:val="0"/>
            <w:vAlign w:val="center"/>
          </w:tcPr>
          <w:p w14:paraId="2C0F0D0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p w14:paraId="3DB2AAB9">
            <w:pPr>
              <w:pStyle w:val="36"/>
              <w:keepNext w:val="0"/>
              <w:keepLines w:val="0"/>
              <w:suppressLineNumbers w:val="0"/>
              <w:spacing w:before="0" w:beforeAutospacing="0" w:afterAutospacing="0"/>
              <w:ind w:right="0"/>
              <w:rPr>
                <w:rFonts w:hint="default"/>
              </w:rPr>
            </w:pPr>
          </w:p>
        </w:tc>
        <w:tc>
          <w:tcPr>
            <w:tcW w:w="3594" w:type="dxa"/>
            <w:tcBorders>
              <w:top w:val="single" w:color="auto" w:sz="4" w:space="0"/>
              <w:left w:val="nil"/>
              <w:bottom w:val="single" w:color="auto" w:sz="4" w:space="0"/>
              <w:right w:val="single" w:color="auto" w:sz="4" w:space="0"/>
            </w:tcBorders>
            <w:shd w:val="clear" w:color="auto" w:fill="auto"/>
            <w:noWrap w:val="0"/>
            <w:vAlign w:val="center"/>
          </w:tcPr>
          <w:p w14:paraId="18649955">
            <w:pPr>
              <w:keepNext w:val="0"/>
              <w:keepLines w:val="0"/>
              <w:pageBreakBefore w:val="0"/>
              <w:widowControl w:val="0"/>
              <w:numPr>
                <w:ilvl w:val="0"/>
                <w:numId w:val="0"/>
              </w:numPr>
              <w:suppressLineNumbers w:val="0"/>
              <w:tabs>
                <w:tab w:val="left" w:pos="527"/>
              </w:tabs>
              <w:kinsoku/>
              <w:wordWrap/>
              <w:overflowPunct/>
              <w:topLinePunct w:val="0"/>
              <w:autoSpaceDE/>
              <w:autoSpaceDN/>
              <w:bidi w:val="0"/>
              <w:adjustRightInd/>
              <w:snapToGrid/>
              <w:spacing w:before="0" w:beforeAutospacing="0" w:after="0" w:afterAutospacing="0" w:line="360" w:lineRule="auto"/>
              <w:ind w:left="420" w:leftChars="0" w:right="0" w:rightChars="0" w:firstLine="0" w:firstLineChars="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rPr>
              <w:t>服务响应</w:t>
            </w:r>
          </w:p>
        </w:tc>
        <w:tc>
          <w:tcPr>
            <w:tcW w:w="1999" w:type="dxa"/>
            <w:tcBorders>
              <w:top w:val="single" w:color="auto" w:sz="4" w:space="0"/>
              <w:left w:val="nil"/>
              <w:bottom w:val="single" w:color="auto" w:sz="4" w:space="0"/>
              <w:right w:val="single" w:color="auto" w:sz="4" w:space="0"/>
            </w:tcBorders>
            <w:noWrap w:val="0"/>
            <w:vAlign w:val="center"/>
          </w:tcPr>
          <w:p w14:paraId="1481755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p>
        </w:tc>
        <w:tc>
          <w:tcPr>
            <w:tcW w:w="1212" w:type="dxa"/>
            <w:tcBorders>
              <w:top w:val="single" w:color="auto" w:sz="4" w:space="0"/>
              <w:left w:val="nil"/>
              <w:bottom w:val="single" w:color="auto" w:sz="4" w:space="0"/>
              <w:right w:val="single" w:color="auto" w:sz="4" w:space="0"/>
            </w:tcBorders>
            <w:noWrap w:val="0"/>
            <w:vAlign w:val="center"/>
          </w:tcPr>
          <w:p w14:paraId="373BE09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183" w:type="dxa"/>
            <w:tcBorders>
              <w:top w:val="single" w:color="auto" w:sz="4" w:space="0"/>
              <w:left w:val="nil"/>
              <w:bottom w:val="single" w:color="auto" w:sz="4" w:space="0"/>
              <w:right w:val="single" w:color="auto" w:sz="4" w:space="0"/>
            </w:tcBorders>
            <w:noWrap w:val="0"/>
            <w:vAlign w:val="center"/>
          </w:tcPr>
          <w:p w14:paraId="72AE8AA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37F8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236" w:type="dxa"/>
            <w:vMerge w:val="continue"/>
            <w:tcBorders>
              <w:top w:val="nil"/>
              <w:left w:val="single" w:color="auto" w:sz="4" w:space="0"/>
              <w:bottom w:val="single" w:color="auto" w:sz="4" w:space="0"/>
              <w:right w:val="single" w:color="auto" w:sz="4" w:space="0"/>
            </w:tcBorders>
            <w:noWrap w:val="0"/>
            <w:vAlign w:val="center"/>
          </w:tcPr>
          <w:p w14:paraId="78A42397">
            <w:pPr>
              <w:pStyle w:val="36"/>
              <w:keepNext w:val="0"/>
              <w:keepLines w:val="0"/>
              <w:suppressLineNumbers w:val="0"/>
              <w:spacing w:before="0" w:beforeAutospacing="0" w:afterAutospacing="0"/>
              <w:ind w:right="0"/>
              <w:rPr>
                <w:rFonts w:hint="default"/>
              </w:rPr>
            </w:pPr>
          </w:p>
        </w:tc>
        <w:tc>
          <w:tcPr>
            <w:tcW w:w="3594" w:type="dxa"/>
            <w:tcBorders>
              <w:top w:val="single" w:color="auto" w:sz="4" w:space="0"/>
              <w:left w:val="nil"/>
              <w:bottom w:val="single" w:color="auto" w:sz="4" w:space="0"/>
              <w:right w:val="single" w:color="auto" w:sz="4" w:space="0"/>
            </w:tcBorders>
            <w:shd w:val="clear" w:color="auto" w:fill="auto"/>
            <w:noWrap w:val="0"/>
            <w:vAlign w:val="center"/>
          </w:tcPr>
          <w:p w14:paraId="08A85308">
            <w:pPr>
              <w:keepNext w:val="0"/>
              <w:keepLines w:val="0"/>
              <w:pageBreakBefore w:val="0"/>
              <w:widowControl w:val="0"/>
              <w:numPr>
                <w:ilvl w:val="0"/>
                <w:numId w:val="0"/>
              </w:numPr>
              <w:suppressLineNumbers w:val="0"/>
              <w:tabs>
                <w:tab w:val="left" w:pos="527"/>
              </w:tabs>
              <w:kinsoku/>
              <w:wordWrap/>
              <w:overflowPunct/>
              <w:topLinePunct w:val="0"/>
              <w:autoSpaceDE/>
              <w:autoSpaceDN/>
              <w:bidi w:val="0"/>
              <w:adjustRightInd/>
              <w:snapToGrid/>
              <w:spacing w:before="0" w:beforeAutospacing="0" w:after="0" w:afterAutospacing="0" w:line="360" w:lineRule="auto"/>
              <w:ind w:left="420" w:leftChars="0" w:right="0" w:rightChars="0" w:firstLine="0" w:firstLineChars="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rPr>
              <w:t>响应速度</w:t>
            </w:r>
          </w:p>
        </w:tc>
        <w:tc>
          <w:tcPr>
            <w:tcW w:w="1999" w:type="dxa"/>
            <w:tcBorders>
              <w:top w:val="single" w:color="auto" w:sz="4" w:space="0"/>
              <w:left w:val="nil"/>
              <w:bottom w:val="single" w:color="auto" w:sz="4" w:space="0"/>
              <w:right w:val="single" w:color="auto" w:sz="4" w:space="0"/>
            </w:tcBorders>
            <w:noWrap w:val="0"/>
            <w:vAlign w:val="center"/>
          </w:tcPr>
          <w:p w14:paraId="2B9F15A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p>
        </w:tc>
        <w:tc>
          <w:tcPr>
            <w:tcW w:w="1212" w:type="dxa"/>
            <w:tcBorders>
              <w:top w:val="single" w:color="auto" w:sz="4" w:space="0"/>
              <w:left w:val="nil"/>
              <w:bottom w:val="single" w:color="auto" w:sz="4" w:space="0"/>
              <w:right w:val="single" w:color="auto" w:sz="4" w:space="0"/>
            </w:tcBorders>
            <w:noWrap w:val="0"/>
            <w:vAlign w:val="center"/>
          </w:tcPr>
          <w:p w14:paraId="72D8E06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183" w:type="dxa"/>
            <w:tcBorders>
              <w:top w:val="single" w:color="auto" w:sz="4" w:space="0"/>
              <w:left w:val="nil"/>
              <w:bottom w:val="single" w:color="auto" w:sz="4" w:space="0"/>
              <w:right w:val="single" w:color="auto" w:sz="4" w:space="0"/>
            </w:tcBorders>
            <w:noWrap w:val="0"/>
            <w:vAlign w:val="center"/>
          </w:tcPr>
          <w:p w14:paraId="69FE622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644D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236" w:type="dxa"/>
            <w:vMerge w:val="continue"/>
            <w:tcBorders>
              <w:top w:val="nil"/>
              <w:left w:val="single" w:color="auto" w:sz="4" w:space="0"/>
              <w:bottom w:val="single" w:color="auto" w:sz="4" w:space="0"/>
              <w:right w:val="single" w:color="auto" w:sz="4" w:space="0"/>
            </w:tcBorders>
            <w:noWrap w:val="0"/>
            <w:vAlign w:val="center"/>
          </w:tcPr>
          <w:p w14:paraId="7BDD953F">
            <w:pPr>
              <w:pStyle w:val="36"/>
              <w:keepNext w:val="0"/>
              <w:keepLines w:val="0"/>
              <w:suppressLineNumbers w:val="0"/>
              <w:spacing w:before="0" w:beforeAutospacing="0" w:afterAutospacing="0"/>
              <w:ind w:right="0"/>
              <w:rPr>
                <w:rFonts w:hint="default"/>
              </w:rPr>
            </w:pPr>
          </w:p>
        </w:tc>
        <w:tc>
          <w:tcPr>
            <w:tcW w:w="3594" w:type="dxa"/>
            <w:tcBorders>
              <w:top w:val="single" w:color="auto" w:sz="4" w:space="0"/>
              <w:left w:val="nil"/>
              <w:bottom w:val="single" w:color="auto" w:sz="4" w:space="0"/>
              <w:right w:val="single" w:color="auto" w:sz="4" w:space="0"/>
            </w:tcBorders>
            <w:shd w:val="clear" w:color="auto" w:fill="auto"/>
            <w:noWrap w:val="0"/>
            <w:vAlign w:val="center"/>
          </w:tcPr>
          <w:p w14:paraId="14A401D6">
            <w:pPr>
              <w:keepNext w:val="0"/>
              <w:keepLines w:val="0"/>
              <w:pageBreakBefore w:val="0"/>
              <w:widowControl w:val="0"/>
              <w:numPr>
                <w:ilvl w:val="0"/>
                <w:numId w:val="0"/>
              </w:numPr>
              <w:suppressLineNumbers w:val="0"/>
              <w:tabs>
                <w:tab w:val="left" w:pos="527"/>
              </w:tabs>
              <w:kinsoku/>
              <w:wordWrap/>
              <w:overflowPunct/>
              <w:topLinePunct w:val="0"/>
              <w:autoSpaceDE/>
              <w:autoSpaceDN/>
              <w:bidi w:val="0"/>
              <w:adjustRightInd/>
              <w:snapToGrid/>
              <w:spacing w:before="0" w:beforeAutospacing="0" w:after="0" w:afterAutospacing="0" w:line="360" w:lineRule="auto"/>
              <w:ind w:left="420" w:leftChars="0" w:right="0" w:rightChars="0" w:firstLine="0" w:firstLineChars="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0"/>
                <w:sz w:val="21"/>
                <w:szCs w:val="21"/>
                <w:highlight w:val="none"/>
                <w:u w:val="none"/>
                <w:shd w:val="clear" w:color="auto" w:fill="auto"/>
                <w:lang w:val="en-US" w:eastAsia="zh-CN" w:bidi="ar-SA"/>
              </w:rPr>
              <w:t>运营团队配置</w:t>
            </w:r>
          </w:p>
        </w:tc>
        <w:tc>
          <w:tcPr>
            <w:tcW w:w="1999" w:type="dxa"/>
            <w:tcBorders>
              <w:top w:val="single" w:color="auto" w:sz="4" w:space="0"/>
              <w:left w:val="nil"/>
              <w:bottom w:val="single" w:color="auto" w:sz="4" w:space="0"/>
              <w:right w:val="single" w:color="auto" w:sz="4" w:space="0"/>
            </w:tcBorders>
            <w:noWrap w:val="0"/>
            <w:vAlign w:val="center"/>
          </w:tcPr>
          <w:p w14:paraId="26C888B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p>
        </w:tc>
        <w:tc>
          <w:tcPr>
            <w:tcW w:w="1212" w:type="dxa"/>
            <w:tcBorders>
              <w:top w:val="single" w:color="auto" w:sz="4" w:space="0"/>
              <w:left w:val="nil"/>
              <w:bottom w:val="single" w:color="auto" w:sz="4" w:space="0"/>
              <w:right w:val="single" w:color="auto" w:sz="4" w:space="0"/>
            </w:tcBorders>
            <w:noWrap w:val="0"/>
            <w:vAlign w:val="center"/>
          </w:tcPr>
          <w:p w14:paraId="391C721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183" w:type="dxa"/>
            <w:tcBorders>
              <w:top w:val="single" w:color="auto" w:sz="4" w:space="0"/>
              <w:left w:val="nil"/>
              <w:bottom w:val="single" w:color="auto" w:sz="4" w:space="0"/>
              <w:right w:val="single" w:color="auto" w:sz="4" w:space="0"/>
            </w:tcBorders>
            <w:noWrap w:val="0"/>
            <w:vAlign w:val="center"/>
          </w:tcPr>
          <w:p w14:paraId="088A4B7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48C5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236" w:type="dxa"/>
            <w:vMerge w:val="continue"/>
            <w:tcBorders>
              <w:top w:val="nil"/>
              <w:left w:val="single" w:color="auto" w:sz="4" w:space="0"/>
              <w:bottom w:val="single" w:color="auto" w:sz="4" w:space="0"/>
              <w:right w:val="single" w:color="auto" w:sz="4" w:space="0"/>
            </w:tcBorders>
            <w:noWrap w:val="0"/>
            <w:vAlign w:val="center"/>
          </w:tcPr>
          <w:p w14:paraId="7AD2EF73">
            <w:pPr>
              <w:pStyle w:val="36"/>
              <w:keepNext w:val="0"/>
              <w:keepLines w:val="0"/>
              <w:suppressLineNumbers w:val="0"/>
              <w:spacing w:before="0" w:beforeAutospacing="0" w:afterAutospacing="0"/>
              <w:ind w:right="0"/>
              <w:rPr>
                <w:rFonts w:hint="default"/>
              </w:rPr>
            </w:pPr>
          </w:p>
        </w:tc>
        <w:tc>
          <w:tcPr>
            <w:tcW w:w="3594" w:type="dxa"/>
            <w:tcBorders>
              <w:top w:val="single" w:color="auto" w:sz="4" w:space="0"/>
              <w:left w:val="nil"/>
              <w:bottom w:val="single" w:color="auto" w:sz="4" w:space="0"/>
              <w:right w:val="single" w:color="auto" w:sz="4" w:space="0"/>
            </w:tcBorders>
            <w:shd w:val="clear" w:color="auto" w:fill="auto"/>
            <w:noWrap w:val="0"/>
            <w:vAlign w:val="center"/>
          </w:tcPr>
          <w:p w14:paraId="1EB5B2DC">
            <w:pPr>
              <w:keepNext w:val="0"/>
              <w:keepLines w:val="0"/>
              <w:pageBreakBefore w:val="0"/>
              <w:widowControl w:val="0"/>
              <w:numPr>
                <w:ilvl w:val="0"/>
                <w:numId w:val="0"/>
              </w:numPr>
              <w:suppressLineNumbers w:val="0"/>
              <w:tabs>
                <w:tab w:val="left" w:pos="527"/>
              </w:tabs>
              <w:kinsoku/>
              <w:wordWrap/>
              <w:overflowPunct/>
              <w:topLinePunct w:val="0"/>
              <w:autoSpaceDE/>
              <w:autoSpaceDN/>
              <w:bidi w:val="0"/>
              <w:adjustRightInd/>
              <w:snapToGrid/>
              <w:spacing w:before="0" w:beforeAutospacing="0" w:after="0" w:afterAutospacing="0" w:line="360" w:lineRule="auto"/>
              <w:ind w:left="420" w:leftChars="0" w:right="0" w:righ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kern w:val="2"/>
                <w:sz w:val="21"/>
                <w:szCs w:val="21"/>
                <w:highlight w:val="none"/>
                <w:lang w:val="en-US" w:eastAsia="zh-CN" w:bidi="ar-SA"/>
              </w:rPr>
              <w:t>运营实施方案</w:t>
            </w:r>
          </w:p>
        </w:tc>
        <w:tc>
          <w:tcPr>
            <w:tcW w:w="1999" w:type="dxa"/>
            <w:tcBorders>
              <w:top w:val="single" w:color="auto" w:sz="4" w:space="0"/>
              <w:left w:val="nil"/>
              <w:bottom w:val="single" w:color="auto" w:sz="4" w:space="0"/>
              <w:right w:val="single" w:color="auto" w:sz="4" w:space="0"/>
            </w:tcBorders>
            <w:noWrap w:val="0"/>
            <w:vAlign w:val="center"/>
          </w:tcPr>
          <w:p w14:paraId="421D83D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p>
        </w:tc>
        <w:tc>
          <w:tcPr>
            <w:tcW w:w="1212" w:type="dxa"/>
            <w:tcBorders>
              <w:top w:val="single" w:color="auto" w:sz="4" w:space="0"/>
              <w:left w:val="nil"/>
              <w:bottom w:val="single" w:color="auto" w:sz="4" w:space="0"/>
              <w:right w:val="single" w:color="auto" w:sz="4" w:space="0"/>
            </w:tcBorders>
            <w:noWrap w:val="0"/>
            <w:vAlign w:val="center"/>
          </w:tcPr>
          <w:p w14:paraId="770CDD2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183" w:type="dxa"/>
            <w:tcBorders>
              <w:top w:val="single" w:color="auto" w:sz="4" w:space="0"/>
              <w:left w:val="nil"/>
              <w:bottom w:val="single" w:color="auto" w:sz="4" w:space="0"/>
              <w:right w:val="single" w:color="auto" w:sz="4" w:space="0"/>
            </w:tcBorders>
            <w:noWrap w:val="0"/>
            <w:vAlign w:val="center"/>
          </w:tcPr>
          <w:p w14:paraId="5FEE5A8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319F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236" w:type="dxa"/>
            <w:vMerge w:val="continue"/>
            <w:tcBorders>
              <w:top w:val="nil"/>
              <w:left w:val="single" w:color="auto" w:sz="4" w:space="0"/>
              <w:bottom w:val="single" w:color="auto" w:sz="4" w:space="0"/>
              <w:right w:val="single" w:color="auto" w:sz="4" w:space="0"/>
            </w:tcBorders>
            <w:noWrap w:val="0"/>
            <w:vAlign w:val="center"/>
          </w:tcPr>
          <w:p w14:paraId="43EA2FF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594" w:type="dxa"/>
            <w:tcBorders>
              <w:top w:val="single" w:color="auto" w:sz="4" w:space="0"/>
              <w:left w:val="nil"/>
              <w:bottom w:val="single" w:color="auto" w:sz="4" w:space="0"/>
              <w:right w:val="single" w:color="auto" w:sz="4" w:space="0"/>
            </w:tcBorders>
            <w:shd w:val="clear" w:color="auto" w:fill="auto"/>
            <w:noWrap w:val="0"/>
            <w:vAlign w:val="center"/>
          </w:tcPr>
          <w:p w14:paraId="49F550D3">
            <w:pPr>
              <w:keepNext w:val="0"/>
              <w:keepLines w:val="0"/>
              <w:pageBreakBefore w:val="0"/>
              <w:widowControl w:val="0"/>
              <w:numPr>
                <w:ilvl w:val="0"/>
                <w:numId w:val="0"/>
              </w:numPr>
              <w:suppressLineNumbers w:val="0"/>
              <w:tabs>
                <w:tab w:val="left" w:pos="527"/>
              </w:tabs>
              <w:kinsoku/>
              <w:wordWrap/>
              <w:overflowPunct/>
              <w:topLinePunct w:val="0"/>
              <w:autoSpaceDE/>
              <w:autoSpaceDN/>
              <w:bidi w:val="0"/>
              <w:adjustRightInd/>
              <w:snapToGrid/>
              <w:spacing w:before="0" w:beforeAutospacing="0" w:after="0" w:afterAutospacing="0" w:line="360" w:lineRule="auto"/>
              <w:ind w:left="420" w:leftChars="0" w:right="0" w:righ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kern w:val="2"/>
                <w:sz w:val="21"/>
                <w:szCs w:val="21"/>
                <w:highlight w:val="none"/>
                <w:lang w:val="en-US" w:eastAsia="zh-CN" w:bidi="ar-SA"/>
              </w:rPr>
              <w:t>志愿者调度方案</w:t>
            </w:r>
          </w:p>
        </w:tc>
        <w:tc>
          <w:tcPr>
            <w:tcW w:w="1999" w:type="dxa"/>
            <w:tcBorders>
              <w:top w:val="single" w:color="auto" w:sz="4" w:space="0"/>
              <w:left w:val="nil"/>
              <w:bottom w:val="single" w:color="auto" w:sz="4" w:space="0"/>
              <w:right w:val="single" w:color="auto" w:sz="4" w:space="0"/>
            </w:tcBorders>
            <w:noWrap w:val="0"/>
            <w:vAlign w:val="center"/>
          </w:tcPr>
          <w:p w14:paraId="7DA01E8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p>
        </w:tc>
        <w:tc>
          <w:tcPr>
            <w:tcW w:w="1212" w:type="dxa"/>
            <w:tcBorders>
              <w:top w:val="single" w:color="auto" w:sz="4" w:space="0"/>
              <w:left w:val="nil"/>
              <w:bottom w:val="single" w:color="auto" w:sz="4" w:space="0"/>
              <w:right w:val="single" w:color="auto" w:sz="4" w:space="0"/>
            </w:tcBorders>
            <w:noWrap w:val="0"/>
            <w:vAlign w:val="center"/>
          </w:tcPr>
          <w:p w14:paraId="7AEF99C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183" w:type="dxa"/>
            <w:tcBorders>
              <w:top w:val="single" w:color="auto" w:sz="4" w:space="0"/>
              <w:left w:val="nil"/>
              <w:bottom w:val="single" w:color="auto" w:sz="4" w:space="0"/>
              <w:right w:val="single" w:color="auto" w:sz="4" w:space="0"/>
            </w:tcBorders>
            <w:noWrap w:val="0"/>
            <w:vAlign w:val="center"/>
          </w:tcPr>
          <w:p w14:paraId="2C67919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47A8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236" w:type="dxa"/>
            <w:vMerge w:val="continue"/>
            <w:tcBorders>
              <w:top w:val="nil"/>
              <w:left w:val="single" w:color="auto" w:sz="4" w:space="0"/>
              <w:bottom w:val="single" w:color="auto" w:sz="4" w:space="0"/>
              <w:right w:val="single" w:color="auto" w:sz="4" w:space="0"/>
            </w:tcBorders>
            <w:noWrap w:val="0"/>
            <w:vAlign w:val="center"/>
          </w:tcPr>
          <w:p w14:paraId="42B2DC0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594" w:type="dxa"/>
            <w:tcBorders>
              <w:top w:val="single" w:color="auto" w:sz="4" w:space="0"/>
              <w:left w:val="nil"/>
              <w:bottom w:val="single" w:color="auto" w:sz="4" w:space="0"/>
              <w:right w:val="single" w:color="auto" w:sz="4" w:space="0"/>
            </w:tcBorders>
            <w:shd w:val="clear" w:color="auto" w:fill="auto"/>
            <w:noWrap w:val="0"/>
            <w:vAlign w:val="center"/>
          </w:tcPr>
          <w:p w14:paraId="551DE03F">
            <w:pPr>
              <w:keepNext w:val="0"/>
              <w:keepLines w:val="0"/>
              <w:pageBreakBefore w:val="0"/>
              <w:widowControl w:val="0"/>
              <w:numPr>
                <w:ilvl w:val="0"/>
                <w:numId w:val="0"/>
              </w:numPr>
              <w:suppressLineNumbers w:val="0"/>
              <w:tabs>
                <w:tab w:val="left" w:pos="527"/>
              </w:tabs>
              <w:kinsoku/>
              <w:wordWrap/>
              <w:overflowPunct/>
              <w:topLinePunct w:val="0"/>
              <w:autoSpaceDE/>
              <w:autoSpaceDN/>
              <w:bidi w:val="0"/>
              <w:adjustRightInd/>
              <w:snapToGrid/>
              <w:spacing w:before="0" w:beforeAutospacing="0" w:after="0" w:afterAutospacing="0" w:line="360" w:lineRule="auto"/>
              <w:ind w:left="420" w:leftChars="0" w:right="0" w:righ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kern w:val="2"/>
                <w:sz w:val="21"/>
                <w:szCs w:val="21"/>
                <w:highlight w:val="none"/>
                <w:lang w:val="en-US" w:eastAsia="zh-CN" w:bidi="ar-SA"/>
              </w:rPr>
              <w:t>宣传方案</w:t>
            </w:r>
          </w:p>
        </w:tc>
        <w:tc>
          <w:tcPr>
            <w:tcW w:w="1999" w:type="dxa"/>
            <w:tcBorders>
              <w:top w:val="single" w:color="auto" w:sz="4" w:space="0"/>
              <w:left w:val="nil"/>
              <w:bottom w:val="single" w:color="auto" w:sz="4" w:space="0"/>
              <w:right w:val="single" w:color="auto" w:sz="4" w:space="0"/>
            </w:tcBorders>
            <w:noWrap w:val="0"/>
            <w:vAlign w:val="center"/>
          </w:tcPr>
          <w:p w14:paraId="766224F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p>
        </w:tc>
        <w:tc>
          <w:tcPr>
            <w:tcW w:w="1212" w:type="dxa"/>
            <w:tcBorders>
              <w:top w:val="single" w:color="auto" w:sz="4" w:space="0"/>
              <w:left w:val="nil"/>
              <w:bottom w:val="single" w:color="auto" w:sz="4" w:space="0"/>
              <w:right w:val="single" w:color="auto" w:sz="4" w:space="0"/>
            </w:tcBorders>
            <w:noWrap w:val="0"/>
            <w:vAlign w:val="center"/>
          </w:tcPr>
          <w:p w14:paraId="5375AC0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183" w:type="dxa"/>
            <w:tcBorders>
              <w:top w:val="single" w:color="auto" w:sz="4" w:space="0"/>
              <w:left w:val="nil"/>
              <w:bottom w:val="single" w:color="auto" w:sz="4" w:space="0"/>
              <w:right w:val="single" w:color="auto" w:sz="4" w:space="0"/>
            </w:tcBorders>
            <w:noWrap w:val="0"/>
            <w:vAlign w:val="center"/>
          </w:tcPr>
          <w:p w14:paraId="327DE93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6D6B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236" w:type="dxa"/>
            <w:vMerge w:val="continue"/>
            <w:tcBorders>
              <w:top w:val="nil"/>
              <w:left w:val="single" w:color="auto" w:sz="4" w:space="0"/>
              <w:bottom w:val="single" w:color="auto" w:sz="4" w:space="0"/>
              <w:right w:val="single" w:color="auto" w:sz="4" w:space="0"/>
            </w:tcBorders>
            <w:noWrap w:val="0"/>
            <w:vAlign w:val="center"/>
          </w:tcPr>
          <w:p w14:paraId="6A71B96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594" w:type="dxa"/>
            <w:tcBorders>
              <w:top w:val="single" w:color="auto" w:sz="4" w:space="0"/>
              <w:left w:val="nil"/>
              <w:bottom w:val="single" w:color="auto" w:sz="4" w:space="0"/>
              <w:right w:val="single" w:color="auto" w:sz="4" w:space="0"/>
            </w:tcBorders>
            <w:shd w:val="clear" w:color="auto" w:fill="auto"/>
            <w:noWrap w:val="0"/>
            <w:vAlign w:val="center"/>
          </w:tcPr>
          <w:p w14:paraId="4B61B8DD">
            <w:pPr>
              <w:keepNext w:val="0"/>
              <w:keepLines w:val="0"/>
              <w:pageBreakBefore w:val="0"/>
              <w:widowControl w:val="0"/>
              <w:numPr>
                <w:ilvl w:val="0"/>
                <w:numId w:val="0"/>
              </w:numPr>
              <w:suppressLineNumbers w:val="0"/>
              <w:tabs>
                <w:tab w:val="left" w:pos="527"/>
              </w:tabs>
              <w:kinsoku/>
              <w:wordWrap/>
              <w:overflowPunct/>
              <w:topLinePunct w:val="0"/>
              <w:autoSpaceDE/>
              <w:autoSpaceDN/>
              <w:bidi w:val="0"/>
              <w:adjustRightInd/>
              <w:snapToGrid/>
              <w:spacing w:before="0" w:beforeAutospacing="0" w:after="0" w:afterAutospacing="0" w:line="360" w:lineRule="auto"/>
              <w:ind w:left="420" w:leftChars="0" w:right="0" w:righ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kern w:val="2"/>
                <w:sz w:val="21"/>
                <w:szCs w:val="21"/>
                <w:highlight w:val="none"/>
                <w:lang w:val="en-US" w:eastAsia="zh-CN" w:bidi="ar-SA"/>
              </w:rPr>
              <w:t>场地布置方案</w:t>
            </w:r>
          </w:p>
        </w:tc>
        <w:tc>
          <w:tcPr>
            <w:tcW w:w="1999" w:type="dxa"/>
            <w:tcBorders>
              <w:top w:val="single" w:color="auto" w:sz="4" w:space="0"/>
              <w:left w:val="nil"/>
              <w:bottom w:val="single" w:color="auto" w:sz="4" w:space="0"/>
              <w:right w:val="single" w:color="auto" w:sz="4" w:space="0"/>
            </w:tcBorders>
            <w:noWrap w:val="0"/>
            <w:vAlign w:val="center"/>
          </w:tcPr>
          <w:p w14:paraId="57DAC7B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p>
        </w:tc>
        <w:tc>
          <w:tcPr>
            <w:tcW w:w="1212" w:type="dxa"/>
            <w:tcBorders>
              <w:top w:val="single" w:color="auto" w:sz="4" w:space="0"/>
              <w:left w:val="nil"/>
              <w:bottom w:val="single" w:color="auto" w:sz="4" w:space="0"/>
              <w:right w:val="single" w:color="auto" w:sz="4" w:space="0"/>
            </w:tcBorders>
            <w:noWrap w:val="0"/>
            <w:vAlign w:val="center"/>
          </w:tcPr>
          <w:p w14:paraId="2DB8D05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183" w:type="dxa"/>
            <w:tcBorders>
              <w:top w:val="single" w:color="auto" w:sz="4" w:space="0"/>
              <w:left w:val="nil"/>
              <w:bottom w:val="single" w:color="auto" w:sz="4" w:space="0"/>
              <w:right w:val="single" w:color="auto" w:sz="4" w:space="0"/>
            </w:tcBorders>
            <w:noWrap w:val="0"/>
            <w:vAlign w:val="center"/>
          </w:tcPr>
          <w:p w14:paraId="7EB2DDB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6B47E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236" w:type="dxa"/>
            <w:vMerge w:val="continue"/>
            <w:tcBorders>
              <w:top w:val="nil"/>
              <w:left w:val="single" w:color="auto" w:sz="4" w:space="0"/>
              <w:bottom w:val="single" w:color="auto" w:sz="4" w:space="0"/>
              <w:right w:val="single" w:color="auto" w:sz="4" w:space="0"/>
            </w:tcBorders>
            <w:noWrap w:val="0"/>
            <w:vAlign w:val="center"/>
          </w:tcPr>
          <w:p w14:paraId="7C5DEBD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594" w:type="dxa"/>
            <w:tcBorders>
              <w:top w:val="single" w:color="auto" w:sz="4" w:space="0"/>
              <w:left w:val="nil"/>
              <w:bottom w:val="single" w:color="auto" w:sz="4" w:space="0"/>
              <w:right w:val="single" w:color="auto" w:sz="4" w:space="0"/>
            </w:tcBorders>
            <w:shd w:val="clear" w:color="auto" w:fill="auto"/>
            <w:noWrap w:val="0"/>
            <w:vAlign w:val="center"/>
          </w:tcPr>
          <w:p w14:paraId="414BD880">
            <w:pPr>
              <w:keepNext w:val="0"/>
              <w:keepLines w:val="0"/>
              <w:pageBreakBefore w:val="0"/>
              <w:widowControl w:val="0"/>
              <w:numPr>
                <w:ilvl w:val="0"/>
                <w:numId w:val="0"/>
              </w:numPr>
              <w:suppressLineNumbers w:val="0"/>
              <w:tabs>
                <w:tab w:val="left" w:pos="527"/>
              </w:tabs>
              <w:kinsoku/>
              <w:wordWrap/>
              <w:overflowPunct/>
              <w:topLinePunct w:val="0"/>
              <w:autoSpaceDE/>
              <w:autoSpaceDN/>
              <w:bidi w:val="0"/>
              <w:adjustRightInd/>
              <w:snapToGrid/>
              <w:spacing w:before="0" w:beforeAutospacing="0" w:after="0" w:afterAutospacing="0" w:line="360" w:lineRule="auto"/>
              <w:ind w:left="420" w:leftChars="0" w:right="0" w:righ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无障碍保障方案</w:t>
            </w:r>
          </w:p>
        </w:tc>
        <w:tc>
          <w:tcPr>
            <w:tcW w:w="1999" w:type="dxa"/>
            <w:tcBorders>
              <w:top w:val="single" w:color="auto" w:sz="4" w:space="0"/>
              <w:left w:val="nil"/>
              <w:bottom w:val="single" w:color="auto" w:sz="4" w:space="0"/>
              <w:right w:val="single" w:color="auto" w:sz="4" w:space="0"/>
            </w:tcBorders>
            <w:noWrap w:val="0"/>
            <w:vAlign w:val="center"/>
          </w:tcPr>
          <w:p w14:paraId="0B90B83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p>
        </w:tc>
        <w:tc>
          <w:tcPr>
            <w:tcW w:w="1212" w:type="dxa"/>
            <w:tcBorders>
              <w:top w:val="single" w:color="auto" w:sz="4" w:space="0"/>
              <w:left w:val="nil"/>
              <w:bottom w:val="single" w:color="auto" w:sz="4" w:space="0"/>
              <w:right w:val="single" w:color="auto" w:sz="4" w:space="0"/>
            </w:tcBorders>
            <w:noWrap w:val="0"/>
            <w:vAlign w:val="center"/>
          </w:tcPr>
          <w:p w14:paraId="1B138CB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183" w:type="dxa"/>
            <w:tcBorders>
              <w:top w:val="single" w:color="auto" w:sz="4" w:space="0"/>
              <w:left w:val="nil"/>
              <w:bottom w:val="single" w:color="auto" w:sz="4" w:space="0"/>
              <w:right w:val="single" w:color="auto" w:sz="4" w:space="0"/>
            </w:tcBorders>
            <w:noWrap w:val="0"/>
            <w:vAlign w:val="center"/>
          </w:tcPr>
          <w:p w14:paraId="60309A5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2C66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236" w:type="dxa"/>
            <w:vMerge w:val="continue"/>
            <w:tcBorders>
              <w:top w:val="nil"/>
              <w:left w:val="single" w:color="auto" w:sz="4" w:space="0"/>
              <w:bottom w:val="single" w:color="auto" w:sz="4" w:space="0"/>
              <w:right w:val="single" w:color="auto" w:sz="4" w:space="0"/>
            </w:tcBorders>
            <w:noWrap w:val="0"/>
            <w:vAlign w:val="center"/>
          </w:tcPr>
          <w:p w14:paraId="605E29F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594" w:type="dxa"/>
            <w:tcBorders>
              <w:top w:val="single" w:color="auto" w:sz="4" w:space="0"/>
              <w:left w:val="nil"/>
              <w:bottom w:val="single" w:color="auto" w:sz="4" w:space="0"/>
              <w:right w:val="single" w:color="auto" w:sz="4" w:space="0"/>
            </w:tcBorders>
            <w:shd w:val="clear" w:color="auto" w:fill="auto"/>
            <w:noWrap w:val="0"/>
            <w:vAlign w:val="center"/>
          </w:tcPr>
          <w:p w14:paraId="136E4AF1">
            <w:pPr>
              <w:keepNext w:val="0"/>
              <w:keepLines w:val="0"/>
              <w:pageBreakBefore w:val="0"/>
              <w:widowControl w:val="0"/>
              <w:numPr>
                <w:ilvl w:val="0"/>
                <w:numId w:val="0"/>
              </w:numPr>
              <w:suppressLineNumbers w:val="0"/>
              <w:tabs>
                <w:tab w:val="left" w:pos="527"/>
              </w:tabs>
              <w:kinsoku/>
              <w:wordWrap/>
              <w:overflowPunct/>
              <w:topLinePunct w:val="0"/>
              <w:autoSpaceDE/>
              <w:autoSpaceDN/>
              <w:bidi w:val="0"/>
              <w:adjustRightInd/>
              <w:snapToGrid/>
              <w:spacing w:before="0" w:beforeAutospacing="0" w:after="0" w:afterAutospacing="0" w:line="360" w:lineRule="auto"/>
              <w:ind w:left="420" w:leftChars="0" w:right="0" w:righ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0"/>
                <w:sz w:val="21"/>
                <w:szCs w:val="21"/>
                <w:highlight w:val="none"/>
                <w:lang w:val="en-US" w:eastAsia="zh-CN"/>
              </w:rPr>
              <w:t>安全保障方案</w:t>
            </w:r>
          </w:p>
        </w:tc>
        <w:tc>
          <w:tcPr>
            <w:tcW w:w="1999" w:type="dxa"/>
            <w:tcBorders>
              <w:top w:val="single" w:color="auto" w:sz="4" w:space="0"/>
              <w:left w:val="nil"/>
              <w:bottom w:val="single" w:color="auto" w:sz="4" w:space="0"/>
              <w:right w:val="single" w:color="auto" w:sz="4" w:space="0"/>
            </w:tcBorders>
            <w:noWrap w:val="0"/>
            <w:vAlign w:val="center"/>
          </w:tcPr>
          <w:p w14:paraId="0AD1EA0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p>
        </w:tc>
        <w:tc>
          <w:tcPr>
            <w:tcW w:w="1212" w:type="dxa"/>
            <w:tcBorders>
              <w:top w:val="single" w:color="auto" w:sz="4" w:space="0"/>
              <w:left w:val="nil"/>
              <w:bottom w:val="single" w:color="auto" w:sz="4" w:space="0"/>
              <w:right w:val="single" w:color="auto" w:sz="4" w:space="0"/>
            </w:tcBorders>
            <w:noWrap w:val="0"/>
            <w:vAlign w:val="center"/>
          </w:tcPr>
          <w:p w14:paraId="5BEC34A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183" w:type="dxa"/>
            <w:tcBorders>
              <w:top w:val="single" w:color="auto" w:sz="4" w:space="0"/>
              <w:left w:val="nil"/>
              <w:bottom w:val="single" w:color="auto" w:sz="4" w:space="0"/>
              <w:right w:val="single" w:color="auto" w:sz="4" w:space="0"/>
            </w:tcBorders>
            <w:noWrap w:val="0"/>
            <w:vAlign w:val="center"/>
          </w:tcPr>
          <w:p w14:paraId="462FB16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3397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236" w:type="dxa"/>
            <w:vMerge w:val="continue"/>
            <w:tcBorders>
              <w:top w:val="nil"/>
              <w:left w:val="single" w:color="auto" w:sz="4" w:space="0"/>
              <w:bottom w:val="single" w:color="auto" w:sz="4" w:space="0"/>
              <w:right w:val="single" w:color="auto" w:sz="4" w:space="0"/>
            </w:tcBorders>
            <w:noWrap w:val="0"/>
            <w:vAlign w:val="center"/>
          </w:tcPr>
          <w:p w14:paraId="52CEB6F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594" w:type="dxa"/>
            <w:tcBorders>
              <w:top w:val="single" w:color="auto" w:sz="4" w:space="0"/>
              <w:left w:val="nil"/>
              <w:bottom w:val="single" w:color="auto" w:sz="4" w:space="0"/>
              <w:right w:val="single" w:color="auto" w:sz="4" w:space="0"/>
            </w:tcBorders>
            <w:shd w:val="clear" w:color="auto" w:fill="auto"/>
            <w:noWrap w:val="0"/>
            <w:vAlign w:val="center"/>
          </w:tcPr>
          <w:p w14:paraId="3AA0EBEB">
            <w:pPr>
              <w:keepNext w:val="0"/>
              <w:keepLines w:val="0"/>
              <w:pageBreakBefore w:val="0"/>
              <w:widowControl w:val="0"/>
              <w:numPr>
                <w:ilvl w:val="0"/>
                <w:numId w:val="0"/>
              </w:numPr>
              <w:suppressLineNumbers w:val="0"/>
              <w:tabs>
                <w:tab w:val="left" w:pos="527"/>
              </w:tabs>
              <w:kinsoku/>
              <w:wordWrap/>
              <w:overflowPunct/>
              <w:topLinePunct w:val="0"/>
              <w:autoSpaceDE/>
              <w:autoSpaceDN/>
              <w:bidi w:val="0"/>
              <w:adjustRightInd/>
              <w:snapToGrid/>
              <w:spacing w:before="0" w:beforeAutospacing="0" w:after="0" w:afterAutospacing="0" w:line="360" w:lineRule="auto"/>
              <w:ind w:left="420" w:leftChars="0" w:right="0" w:righ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应急处置措施</w:t>
            </w:r>
          </w:p>
        </w:tc>
        <w:tc>
          <w:tcPr>
            <w:tcW w:w="1999" w:type="dxa"/>
            <w:tcBorders>
              <w:top w:val="single" w:color="auto" w:sz="4" w:space="0"/>
              <w:left w:val="nil"/>
              <w:bottom w:val="single" w:color="auto" w:sz="4" w:space="0"/>
              <w:right w:val="single" w:color="auto" w:sz="4" w:space="0"/>
            </w:tcBorders>
            <w:noWrap w:val="0"/>
            <w:vAlign w:val="center"/>
          </w:tcPr>
          <w:p w14:paraId="21BD119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p>
        </w:tc>
        <w:tc>
          <w:tcPr>
            <w:tcW w:w="1212" w:type="dxa"/>
            <w:tcBorders>
              <w:top w:val="single" w:color="auto" w:sz="4" w:space="0"/>
              <w:left w:val="nil"/>
              <w:bottom w:val="single" w:color="auto" w:sz="4" w:space="0"/>
              <w:right w:val="single" w:color="auto" w:sz="4" w:space="0"/>
            </w:tcBorders>
            <w:noWrap w:val="0"/>
            <w:vAlign w:val="center"/>
          </w:tcPr>
          <w:p w14:paraId="0DC940D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183" w:type="dxa"/>
            <w:tcBorders>
              <w:top w:val="single" w:color="auto" w:sz="4" w:space="0"/>
              <w:left w:val="nil"/>
              <w:bottom w:val="single" w:color="auto" w:sz="4" w:space="0"/>
              <w:right w:val="single" w:color="auto" w:sz="4" w:space="0"/>
            </w:tcBorders>
            <w:noWrap w:val="0"/>
            <w:vAlign w:val="center"/>
          </w:tcPr>
          <w:p w14:paraId="7B49A7A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18B9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236" w:type="dxa"/>
            <w:vMerge w:val="continue"/>
            <w:tcBorders>
              <w:top w:val="nil"/>
              <w:left w:val="single" w:color="auto" w:sz="4" w:space="0"/>
              <w:bottom w:val="single" w:color="auto" w:sz="4" w:space="0"/>
              <w:right w:val="single" w:color="auto" w:sz="4" w:space="0"/>
            </w:tcBorders>
            <w:noWrap w:val="0"/>
            <w:vAlign w:val="center"/>
          </w:tcPr>
          <w:p w14:paraId="57F55E2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594" w:type="dxa"/>
            <w:tcBorders>
              <w:top w:val="single" w:color="auto" w:sz="4" w:space="0"/>
              <w:left w:val="nil"/>
              <w:bottom w:val="single" w:color="auto" w:sz="4" w:space="0"/>
              <w:right w:val="single" w:color="auto" w:sz="4" w:space="0"/>
            </w:tcBorders>
            <w:shd w:val="clear" w:color="auto" w:fill="auto"/>
            <w:noWrap w:val="0"/>
            <w:vAlign w:val="center"/>
          </w:tcPr>
          <w:p w14:paraId="31910D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val="en-US" w:eastAsia="zh-CN"/>
              </w:rPr>
              <w:t>器材保障方案</w:t>
            </w:r>
          </w:p>
        </w:tc>
        <w:tc>
          <w:tcPr>
            <w:tcW w:w="1999" w:type="dxa"/>
            <w:tcBorders>
              <w:top w:val="single" w:color="auto" w:sz="4" w:space="0"/>
              <w:left w:val="nil"/>
              <w:bottom w:val="single" w:color="auto" w:sz="4" w:space="0"/>
              <w:right w:val="single" w:color="auto" w:sz="4" w:space="0"/>
            </w:tcBorders>
            <w:noWrap w:val="0"/>
            <w:vAlign w:val="center"/>
          </w:tcPr>
          <w:p w14:paraId="6360ED1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p>
        </w:tc>
        <w:tc>
          <w:tcPr>
            <w:tcW w:w="1212" w:type="dxa"/>
            <w:tcBorders>
              <w:top w:val="single" w:color="auto" w:sz="4" w:space="0"/>
              <w:left w:val="nil"/>
              <w:bottom w:val="single" w:color="auto" w:sz="4" w:space="0"/>
              <w:right w:val="single" w:color="auto" w:sz="4" w:space="0"/>
            </w:tcBorders>
            <w:noWrap w:val="0"/>
            <w:vAlign w:val="center"/>
          </w:tcPr>
          <w:p w14:paraId="41FA15C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183" w:type="dxa"/>
            <w:tcBorders>
              <w:top w:val="single" w:color="auto" w:sz="4" w:space="0"/>
              <w:left w:val="nil"/>
              <w:bottom w:val="single" w:color="auto" w:sz="4" w:space="0"/>
              <w:right w:val="single" w:color="auto" w:sz="4" w:space="0"/>
            </w:tcBorders>
            <w:noWrap w:val="0"/>
            <w:vAlign w:val="center"/>
          </w:tcPr>
          <w:p w14:paraId="1EBDF52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3D66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236" w:type="dxa"/>
            <w:vMerge w:val="continue"/>
            <w:tcBorders>
              <w:top w:val="nil"/>
              <w:left w:val="single" w:color="auto" w:sz="4" w:space="0"/>
              <w:bottom w:val="single" w:color="auto" w:sz="4" w:space="0"/>
              <w:right w:val="single" w:color="auto" w:sz="4" w:space="0"/>
            </w:tcBorders>
            <w:noWrap w:val="0"/>
            <w:vAlign w:val="center"/>
          </w:tcPr>
          <w:p w14:paraId="4E13EAB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594" w:type="dxa"/>
            <w:tcBorders>
              <w:top w:val="single" w:color="auto" w:sz="4" w:space="0"/>
              <w:left w:val="nil"/>
              <w:bottom w:val="single" w:color="auto" w:sz="4" w:space="0"/>
              <w:right w:val="single" w:color="auto" w:sz="4" w:space="0"/>
            </w:tcBorders>
            <w:shd w:val="clear" w:color="auto" w:fill="auto"/>
            <w:noWrap w:val="0"/>
            <w:vAlign w:val="center"/>
          </w:tcPr>
          <w:p w14:paraId="709BF90B">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会议策划方案</w:t>
            </w:r>
          </w:p>
        </w:tc>
        <w:tc>
          <w:tcPr>
            <w:tcW w:w="1999" w:type="dxa"/>
            <w:tcBorders>
              <w:top w:val="single" w:color="auto" w:sz="4" w:space="0"/>
              <w:left w:val="nil"/>
              <w:bottom w:val="single" w:color="auto" w:sz="4" w:space="0"/>
              <w:right w:val="single" w:color="auto" w:sz="4" w:space="0"/>
            </w:tcBorders>
            <w:noWrap w:val="0"/>
            <w:vAlign w:val="center"/>
          </w:tcPr>
          <w:p w14:paraId="1975C2B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p>
        </w:tc>
        <w:tc>
          <w:tcPr>
            <w:tcW w:w="1212" w:type="dxa"/>
            <w:tcBorders>
              <w:top w:val="single" w:color="auto" w:sz="4" w:space="0"/>
              <w:left w:val="nil"/>
              <w:bottom w:val="single" w:color="auto" w:sz="4" w:space="0"/>
              <w:right w:val="single" w:color="auto" w:sz="4" w:space="0"/>
            </w:tcBorders>
            <w:noWrap w:val="0"/>
            <w:vAlign w:val="center"/>
          </w:tcPr>
          <w:p w14:paraId="0B1D9FD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183" w:type="dxa"/>
            <w:tcBorders>
              <w:top w:val="single" w:color="auto" w:sz="4" w:space="0"/>
              <w:left w:val="nil"/>
              <w:bottom w:val="single" w:color="auto" w:sz="4" w:space="0"/>
              <w:right w:val="single" w:color="auto" w:sz="4" w:space="0"/>
            </w:tcBorders>
            <w:noWrap w:val="0"/>
            <w:vAlign w:val="center"/>
          </w:tcPr>
          <w:p w14:paraId="3A5C246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407B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236" w:type="dxa"/>
            <w:vMerge w:val="continue"/>
            <w:tcBorders>
              <w:top w:val="nil"/>
              <w:left w:val="single" w:color="auto" w:sz="4" w:space="0"/>
              <w:bottom w:val="single" w:color="auto" w:sz="4" w:space="0"/>
              <w:right w:val="single" w:color="auto" w:sz="4" w:space="0"/>
            </w:tcBorders>
            <w:noWrap w:val="0"/>
            <w:vAlign w:val="center"/>
          </w:tcPr>
          <w:p w14:paraId="3912E02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594" w:type="dxa"/>
            <w:tcBorders>
              <w:top w:val="single" w:color="auto" w:sz="4" w:space="0"/>
              <w:left w:val="nil"/>
              <w:bottom w:val="single" w:color="auto" w:sz="4" w:space="0"/>
              <w:right w:val="single" w:color="auto" w:sz="4" w:space="0"/>
            </w:tcBorders>
            <w:shd w:val="clear" w:color="auto" w:fill="auto"/>
            <w:noWrap w:val="0"/>
            <w:vAlign w:val="center"/>
          </w:tcPr>
          <w:p w14:paraId="72456B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后勤服务方案</w:t>
            </w:r>
          </w:p>
        </w:tc>
        <w:tc>
          <w:tcPr>
            <w:tcW w:w="1999" w:type="dxa"/>
            <w:tcBorders>
              <w:top w:val="single" w:color="auto" w:sz="4" w:space="0"/>
              <w:left w:val="nil"/>
              <w:bottom w:val="single" w:color="auto" w:sz="4" w:space="0"/>
              <w:right w:val="single" w:color="auto" w:sz="4" w:space="0"/>
            </w:tcBorders>
            <w:noWrap w:val="0"/>
            <w:vAlign w:val="center"/>
          </w:tcPr>
          <w:p w14:paraId="65E649E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p>
        </w:tc>
        <w:tc>
          <w:tcPr>
            <w:tcW w:w="1212" w:type="dxa"/>
            <w:tcBorders>
              <w:top w:val="single" w:color="auto" w:sz="4" w:space="0"/>
              <w:left w:val="nil"/>
              <w:bottom w:val="single" w:color="auto" w:sz="4" w:space="0"/>
              <w:right w:val="single" w:color="auto" w:sz="4" w:space="0"/>
            </w:tcBorders>
            <w:noWrap w:val="0"/>
            <w:vAlign w:val="center"/>
          </w:tcPr>
          <w:p w14:paraId="37C8B9A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183" w:type="dxa"/>
            <w:tcBorders>
              <w:top w:val="single" w:color="auto" w:sz="4" w:space="0"/>
              <w:left w:val="nil"/>
              <w:bottom w:val="single" w:color="auto" w:sz="4" w:space="0"/>
              <w:right w:val="single" w:color="auto" w:sz="4" w:space="0"/>
            </w:tcBorders>
            <w:noWrap w:val="0"/>
            <w:vAlign w:val="center"/>
          </w:tcPr>
          <w:p w14:paraId="55CED48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46A3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236" w:type="dxa"/>
            <w:vMerge w:val="continue"/>
            <w:tcBorders>
              <w:top w:val="nil"/>
              <w:left w:val="single" w:color="auto" w:sz="4" w:space="0"/>
              <w:bottom w:val="single" w:color="auto" w:sz="4" w:space="0"/>
              <w:right w:val="single" w:color="auto" w:sz="4" w:space="0"/>
            </w:tcBorders>
            <w:noWrap w:val="0"/>
            <w:vAlign w:val="center"/>
          </w:tcPr>
          <w:p w14:paraId="7B39040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594" w:type="dxa"/>
            <w:tcBorders>
              <w:top w:val="single" w:color="auto" w:sz="4" w:space="0"/>
              <w:left w:val="nil"/>
              <w:bottom w:val="single" w:color="auto" w:sz="4" w:space="0"/>
              <w:right w:val="single" w:color="auto" w:sz="4" w:space="0"/>
            </w:tcBorders>
            <w:noWrap w:val="0"/>
            <w:vAlign w:val="center"/>
          </w:tcPr>
          <w:p w14:paraId="68FB0418">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合计</w:t>
            </w:r>
          </w:p>
        </w:tc>
        <w:tc>
          <w:tcPr>
            <w:tcW w:w="1999" w:type="dxa"/>
            <w:tcBorders>
              <w:top w:val="single" w:color="auto" w:sz="4" w:space="0"/>
              <w:left w:val="nil"/>
              <w:bottom w:val="single" w:color="auto" w:sz="4" w:space="0"/>
              <w:right w:val="single" w:color="auto" w:sz="4" w:space="0"/>
            </w:tcBorders>
            <w:noWrap w:val="0"/>
            <w:vAlign w:val="center"/>
          </w:tcPr>
          <w:p w14:paraId="6E026F8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212" w:type="dxa"/>
            <w:tcBorders>
              <w:top w:val="single" w:color="auto" w:sz="4" w:space="0"/>
              <w:left w:val="nil"/>
              <w:bottom w:val="single" w:color="auto" w:sz="4" w:space="0"/>
              <w:right w:val="single" w:color="auto" w:sz="4" w:space="0"/>
            </w:tcBorders>
            <w:noWrap w:val="0"/>
            <w:vAlign w:val="center"/>
          </w:tcPr>
          <w:p w14:paraId="77148EB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183" w:type="dxa"/>
            <w:tcBorders>
              <w:top w:val="single" w:color="auto" w:sz="4" w:space="0"/>
              <w:left w:val="nil"/>
              <w:bottom w:val="single" w:color="auto" w:sz="4" w:space="0"/>
              <w:right w:val="single" w:color="auto" w:sz="4" w:space="0"/>
            </w:tcBorders>
            <w:noWrap w:val="0"/>
            <w:vAlign w:val="center"/>
          </w:tcPr>
          <w:p w14:paraId="6FBA39D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r>
    </w:tbl>
    <w:p w14:paraId="07C0AAF9">
      <w:pPr>
        <w:widowControl/>
        <w:spacing w:line="400" w:lineRule="exact"/>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br w:type="page"/>
      </w:r>
    </w:p>
    <w:p w14:paraId="54C491AB">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二、</w:t>
      </w:r>
      <w:r>
        <w:rPr>
          <w:rFonts w:hint="eastAsia" w:ascii="宋体" w:hAnsi="宋体" w:eastAsia="宋体" w:cs="宋体"/>
          <w:b/>
          <w:bCs/>
          <w:color w:val="auto"/>
          <w:kern w:val="0"/>
          <w:sz w:val="28"/>
          <w:szCs w:val="28"/>
          <w:highlight w:val="none"/>
          <w:lang w:eastAsia="zh-CN"/>
        </w:rPr>
        <w:t>企业业绩</w:t>
      </w:r>
    </w:p>
    <w:p w14:paraId="2DFF0143">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3E4FD09D">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7D631B6F">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282867D3">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0EEF5B52">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45258EA4">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31291229">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01B8E5D5">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2DEA7A85">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391D22A3">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5BDB58FB">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280E9552">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01A0AB9B">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2ED40D7E">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4D35345A">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3526784E">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1DBE7059">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51C8159C">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7DA1D871">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213E6775">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72FA6508">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05A4DA12">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21B9B42B">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1A784F71">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7E565A01">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54D1B436">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50F98B19">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01816B66">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07F4F002">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0B441836">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69AD1AB1">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096B9C25">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5EE332C6">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584A965D">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lang w:val="en-US" w:eastAsia="zh-CN" w:bidi="ar-SA"/>
        </w:rPr>
      </w:pPr>
    </w:p>
    <w:p w14:paraId="1CC5B882">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snapToGrid/>
          <w:color w:val="auto"/>
          <w:kern w:val="0"/>
          <w:sz w:val="28"/>
          <w:szCs w:val="28"/>
          <w:highlight w:val="none"/>
          <w:lang w:val="en-US" w:eastAsia="zh-CN" w:bidi="ar-SA"/>
        </w:rPr>
        <w:t>三、服务响应</w:t>
      </w:r>
    </w:p>
    <w:p w14:paraId="47ADD956">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46B16E95">
      <w:pPr>
        <w:keepNext w:val="0"/>
        <w:keepLines w:val="0"/>
        <w:widowControl w:val="0"/>
        <w:suppressLineNumbers w:val="0"/>
        <w:snapToGrid w:val="0"/>
        <w:spacing w:before="0" w:beforeLines="0" w:beforeAutospacing="0" w:after="0" w:afterLines="0" w:afterAutospacing="0" w:line="436" w:lineRule="atLeas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项目名称：                               项目编号：</w:t>
      </w:r>
      <w:r>
        <w:rPr>
          <w:rFonts w:hint="eastAsia" w:ascii="宋体" w:hAnsi="宋体" w:eastAsia="宋体" w:cs="宋体"/>
          <w:color w:val="auto"/>
          <w:kern w:val="2"/>
          <w:sz w:val="21"/>
          <w:szCs w:val="21"/>
          <w:highlight w:val="none"/>
          <w:lang w:val="en-US" w:eastAsia="zh-CN" w:bidi="ar"/>
        </w:rPr>
        <w:t xml:space="preserve">  </w:t>
      </w:r>
    </w:p>
    <w:p w14:paraId="5B37DADC">
      <w:pPr>
        <w:keepNext w:val="0"/>
        <w:keepLines w:val="0"/>
        <w:widowControl w:val="0"/>
        <w:suppressLineNumbers w:val="0"/>
        <w:snapToGrid w:val="0"/>
        <w:spacing w:before="0" w:beforeLines="0" w:beforeAutospacing="0" w:after="0" w:afterLines="0" w:afterAutospacing="0" w:line="8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tbl>
      <w:tblPr>
        <w:tblStyle w:val="38"/>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3"/>
        <w:gridCol w:w="1458"/>
        <w:gridCol w:w="2310"/>
        <w:gridCol w:w="2639"/>
        <w:gridCol w:w="2250"/>
      </w:tblGrid>
      <w:tr w14:paraId="2C49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67B2F9EF">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458" w:type="dxa"/>
            <w:tcBorders>
              <w:top w:val="single" w:color="000000" w:sz="4" w:space="0"/>
              <w:left w:val="nil"/>
              <w:bottom w:val="single" w:color="000000" w:sz="4" w:space="0"/>
              <w:right w:val="single" w:color="000000" w:sz="4" w:space="0"/>
            </w:tcBorders>
            <w:noWrap w:val="0"/>
            <w:vAlign w:val="center"/>
          </w:tcPr>
          <w:p w14:paraId="1F54E73F">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名称</w:t>
            </w:r>
          </w:p>
        </w:tc>
        <w:tc>
          <w:tcPr>
            <w:tcW w:w="2310" w:type="dxa"/>
            <w:tcBorders>
              <w:top w:val="single" w:color="000000" w:sz="4" w:space="0"/>
              <w:left w:val="nil"/>
              <w:bottom w:val="single" w:color="000000" w:sz="4" w:space="0"/>
              <w:right w:val="single" w:color="000000" w:sz="4" w:space="0"/>
            </w:tcBorders>
            <w:noWrap w:val="0"/>
            <w:vAlign w:val="center"/>
          </w:tcPr>
          <w:p w14:paraId="239407F9">
            <w:pPr>
              <w:keepNext w:val="0"/>
              <w:keepLines w:val="0"/>
              <w:widowControl w:val="0"/>
              <w:suppressLineNumbers w:val="0"/>
              <w:snapToGrid w:val="0"/>
              <w:spacing w:before="0" w:beforeLines="0" w:beforeAutospacing="0" w:after="0" w:afterLines="0" w:afterAutospacing="0" w:line="277" w:lineRule="atLeas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采购文件要求</w:t>
            </w:r>
          </w:p>
        </w:tc>
        <w:tc>
          <w:tcPr>
            <w:tcW w:w="2639" w:type="dxa"/>
            <w:tcBorders>
              <w:top w:val="single" w:color="000000" w:sz="4" w:space="0"/>
              <w:left w:val="nil"/>
              <w:bottom w:val="single" w:color="000000" w:sz="4" w:space="0"/>
              <w:right w:val="single" w:color="000000" w:sz="4" w:space="0"/>
            </w:tcBorders>
            <w:noWrap w:val="0"/>
            <w:vAlign w:val="center"/>
          </w:tcPr>
          <w:p w14:paraId="0ECC4966">
            <w:pPr>
              <w:keepNext w:val="0"/>
              <w:keepLines w:val="0"/>
              <w:widowControl w:val="0"/>
              <w:suppressLineNumbers w:val="0"/>
              <w:snapToGrid w:val="0"/>
              <w:spacing w:before="0" w:beforeLines="0" w:beforeAutospacing="0" w:after="0" w:afterLines="0" w:afterAutospacing="0" w:line="277" w:lineRule="atLeas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投标文件响应内容</w:t>
            </w:r>
          </w:p>
        </w:tc>
        <w:tc>
          <w:tcPr>
            <w:tcW w:w="2250" w:type="dxa"/>
            <w:tcBorders>
              <w:top w:val="single" w:color="000000" w:sz="4" w:space="0"/>
              <w:left w:val="nil"/>
              <w:bottom w:val="single" w:color="000000" w:sz="4" w:space="0"/>
              <w:right w:val="single" w:color="000000" w:sz="4" w:space="0"/>
            </w:tcBorders>
            <w:noWrap w:val="0"/>
            <w:vAlign w:val="center"/>
          </w:tcPr>
          <w:p w14:paraId="74BEE98E">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偏离情况</w:t>
            </w:r>
          </w:p>
        </w:tc>
      </w:tr>
      <w:tr w14:paraId="76BF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693" w:type="dxa"/>
            <w:tcBorders>
              <w:top w:val="single" w:color="auto" w:sz="4" w:space="0"/>
              <w:left w:val="single" w:color="000000" w:sz="4" w:space="0"/>
              <w:bottom w:val="single" w:color="000000" w:sz="4" w:space="0"/>
              <w:right w:val="single" w:color="000000" w:sz="4" w:space="0"/>
            </w:tcBorders>
            <w:noWrap w:val="0"/>
            <w:vAlign w:val="center"/>
          </w:tcPr>
          <w:p w14:paraId="4549B4BE">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458" w:type="dxa"/>
            <w:tcBorders>
              <w:top w:val="single" w:color="auto" w:sz="4" w:space="0"/>
              <w:left w:val="nil"/>
              <w:bottom w:val="single" w:color="000000" w:sz="4" w:space="0"/>
              <w:right w:val="single" w:color="000000" w:sz="4" w:space="0"/>
            </w:tcBorders>
            <w:noWrap w:val="0"/>
            <w:vAlign w:val="center"/>
          </w:tcPr>
          <w:p w14:paraId="1FA4598A">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rPr>
            </w:pPr>
          </w:p>
        </w:tc>
        <w:tc>
          <w:tcPr>
            <w:tcW w:w="2310" w:type="dxa"/>
            <w:tcBorders>
              <w:top w:val="single" w:color="auto" w:sz="4" w:space="0"/>
              <w:left w:val="nil"/>
              <w:bottom w:val="single" w:color="000000" w:sz="4" w:space="0"/>
              <w:right w:val="single" w:color="000000" w:sz="4" w:space="0"/>
            </w:tcBorders>
            <w:noWrap w:val="0"/>
            <w:vAlign w:val="center"/>
          </w:tcPr>
          <w:p w14:paraId="4588C288">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rPr>
            </w:pPr>
          </w:p>
        </w:tc>
        <w:tc>
          <w:tcPr>
            <w:tcW w:w="2639" w:type="dxa"/>
            <w:tcBorders>
              <w:top w:val="single" w:color="auto" w:sz="4" w:space="0"/>
              <w:left w:val="nil"/>
              <w:bottom w:val="single" w:color="000000" w:sz="4" w:space="0"/>
              <w:right w:val="single" w:color="000000" w:sz="4" w:space="0"/>
            </w:tcBorders>
            <w:noWrap w:val="0"/>
            <w:vAlign w:val="center"/>
          </w:tcPr>
          <w:p w14:paraId="243512CE">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rPr>
            </w:pPr>
          </w:p>
        </w:tc>
        <w:tc>
          <w:tcPr>
            <w:tcW w:w="2250" w:type="dxa"/>
            <w:tcBorders>
              <w:top w:val="single" w:color="auto" w:sz="4" w:space="0"/>
              <w:left w:val="nil"/>
              <w:bottom w:val="single" w:color="000000" w:sz="4" w:space="0"/>
              <w:right w:val="single" w:color="000000" w:sz="4" w:space="0"/>
            </w:tcBorders>
            <w:noWrap w:val="0"/>
            <w:vAlign w:val="center"/>
          </w:tcPr>
          <w:p w14:paraId="046F1FC4">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rPr>
            </w:pPr>
          </w:p>
        </w:tc>
      </w:tr>
      <w:tr w14:paraId="2245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693" w:type="dxa"/>
            <w:tcBorders>
              <w:top w:val="single" w:color="auto" w:sz="4" w:space="0"/>
              <w:left w:val="single" w:color="000000" w:sz="4" w:space="0"/>
              <w:bottom w:val="single" w:color="auto" w:sz="4" w:space="0"/>
              <w:right w:val="single" w:color="000000" w:sz="4" w:space="0"/>
            </w:tcBorders>
            <w:noWrap w:val="0"/>
            <w:vAlign w:val="center"/>
          </w:tcPr>
          <w:p w14:paraId="730AE60E">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458" w:type="dxa"/>
            <w:tcBorders>
              <w:top w:val="single" w:color="auto" w:sz="4" w:space="0"/>
              <w:left w:val="nil"/>
              <w:bottom w:val="single" w:color="auto" w:sz="4" w:space="0"/>
              <w:right w:val="single" w:color="000000" w:sz="4" w:space="0"/>
            </w:tcBorders>
            <w:noWrap w:val="0"/>
            <w:vAlign w:val="center"/>
          </w:tcPr>
          <w:p w14:paraId="2703E6BF">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rPr>
            </w:pPr>
          </w:p>
        </w:tc>
        <w:tc>
          <w:tcPr>
            <w:tcW w:w="2310" w:type="dxa"/>
            <w:tcBorders>
              <w:top w:val="single" w:color="auto" w:sz="4" w:space="0"/>
              <w:left w:val="nil"/>
              <w:bottom w:val="single" w:color="auto" w:sz="4" w:space="0"/>
              <w:right w:val="single" w:color="000000" w:sz="4" w:space="0"/>
            </w:tcBorders>
            <w:noWrap w:val="0"/>
            <w:vAlign w:val="center"/>
          </w:tcPr>
          <w:p w14:paraId="4A31BCFD">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rPr>
            </w:pPr>
          </w:p>
        </w:tc>
        <w:tc>
          <w:tcPr>
            <w:tcW w:w="2639" w:type="dxa"/>
            <w:tcBorders>
              <w:top w:val="single" w:color="auto" w:sz="4" w:space="0"/>
              <w:left w:val="nil"/>
              <w:bottom w:val="single" w:color="auto" w:sz="4" w:space="0"/>
              <w:right w:val="single" w:color="000000" w:sz="4" w:space="0"/>
            </w:tcBorders>
            <w:noWrap w:val="0"/>
            <w:vAlign w:val="center"/>
          </w:tcPr>
          <w:p w14:paraId="1CA3D778">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rPr>
            </w:pPr>
          </w:p>
        </w:tc>
        <w:tc>
          <w:tcPr>
            <w:tcW w:w="2250" w:type="dxa"/>
            <w:tcBorders>
              <w:top w:val="single" w:color="auto" w:sz="4" w:space="0"/>
              <w:left w:val="nil"/>
              <w:bottom w:val="single" w:color="auto" w:sz="4" w:space="0"/>
              <w:right w:val="single" w:color="000000" w:sz="4" w:space="0"/>
            </w:tcBorders>
            <w:noWrap w:val="0"/>
            <w:vAlign w:val="center"/>
          </w:tcPr>
          <w:p w14:paraId="2E161A39">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rPr>
            </w:pPr>
          </w:p>
        </w:tc>
      </w:tr>
      <w:tr w14:paraId="4421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693" w:type="dxa"/>
            <w:tcBorders>
              <w:top w:val="single" w:color="auto" w:sz="4" w:space="0"/>
              <w:left w:val="single" w:color="000000" w:sz="4" w:space="0"/>
              <w:bottom w:val="single" w:color="000000" w:sz="4" w:space="0"/>
              <w:right w:val="single" w:color="000000" w:sz="4" w:space="0"/>
            </w:tcBorders>
            <w:noWrap w:val="0"/>
            <w:vAlign w:val="center"/>
          </w:tcPr>
          <w:p w14:paraId="648B38B3">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458" w:type="dxa"/>
            <w:tcBorders>
              <w:top w:val="single" w:color="auto" w:sz="4" w:space="0"/>
              <w:left w:val="nil"/>
              <w:bottom w:val="single" w:color="000000" w:sz="4" w:space="0"/>
              <w:right w:val="single" w:color="000000" w:sz="4" w:space="0"/>
            </w:tcBorders>
            <w:noWrap w:val="0"/>
            <w:vAlign w:val="center"/>
          </w:tcPr>
          <w:p w14:paraId="627C3925">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2310" w:type="dxa"/>
            <w:tcBorders>
              <w:top w:val="single" w:color="auto" w:sz="4" w:space="0"/>
              <w:left w:val="nil"/>
              <w:bottom w:val="single" w:color="000000" w:sz="4" w:space="0"/>
              <w:right w:val="single" w:color="000000" w:sz="4" w:space="0"/>
            </w:tcBorders>
            <w:noWrap w:val="0"/>
            <w:vAlign w:val="center"/>
          </w:tcPr>
          <w:p w14:paraId="465142D4">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rPr>
            </w:pPr>
          </w:p>
        </w:tc>
        <w:tc>
          <w:tcPr>
            <w:tcW w:w="2639" w:type="dxa"/>
            <w:tcBorders>
              <w:top w:val="single" w:color="auto" w:sz="4" w:space="0"/>
              <w:left w:val="nil"/>
              <w:bottom w:val="single" w:color="000000" w:sz="4" w:space="0"/>
              <w:right w:val="single" w:color="000000" w:sz="4" w:space="0"/>
            </w:tcBorders>
            <w:noWrap w:val="0"/>
            <w:vAlign w:val="center"/>
          </w:tcPr>
          <w:p w14:paraId="0A7CBE20">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rPr>
            </w:pPr>
          </w:p>
        </w:tc>
        <w:tc>
          <w:tcPr>
            <w:tcW w:w="2250" w:type="dxa"/>
            <w:tcBorders>
              <w:top w:val="single" w:color="auto" w:sz="4" w:space="0"/>
              <w:left w:val="nil"/>
              <w:bottom w:val="single" w:color="000000" w:sz="4" w:space="0"/>
              <w:right w:val="single" w:color="000000" w:sz="4" w:space="0"/>
            </w:tcBorders>
            <w:noWrap w:val="0"/>
            <w:vAlign w:val="center"/>
          </w:tcPr>
          <w:p w14:paraId="387EB973">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auto"/>
                <w:kern w:val="2"/>
                <w:sz w:val="21"/>
                <w:szCs w:val="21"/>
                <w:highlight w:val="none"/>
              </w:rPr>
            </w:pPr>
          </w:p>
        </w:tc>
      </w:tr>
    </w:tbl>
    <w:p w14:paraId="58A58360">
      <w:pPr>
        <w:keepNext w:val="0"/>
        <w:keepLines w:val="0"/>
        <w:widowControl w:val="0"/>
        <w:suppressLineNumbers w:val="0"/>
        <w:snapToGrid w:val="0"/>
        <w:spacing w:before="0" w:beforeLines="0" w:beforeAutospacing="0" w:after="0" w:afterLines="0" w:afterAutospacing="0" w:line="6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注：1、此表须与采购文件“第四章 采购需求中服务内容”相比较且一一对应真实逐条填列，并在“偏离情况”栏注明“正偏离”、“负偏离”或“无偏离”。</w:t>
      </w:r>
    </w:p>
    <w:p w14:paraId="40F1F941">
      <w:pPr>
        <w:keepNext w:val="0"/>
        <w:keepLines w:val="0"/>
        <w:widowControl w:val="0"/>
        <w:suppressLineNumbers w:val="0"/>
        <w:snapToGrid w:val="0"/>
        <w:spacing w:before="0" w:beforeLines="0" w:beforeAutospacing="0" w:after="0" w:afterLines="0" w:afterAutospacing="0" w:line="48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2、完全满足采购需求的响应方只需在“响应内容”中填写“完全满足采购文件的全部要求”。</w:t>
      </w:r>
    </w:p>
    <w:p w14:paraId="0051D675">
      <w:pPr>
        <w:keepNext w:val="0"/>
        <w:keepLines w:val="0"/>
        <w:widowControl w:val="0"/>
        <w:suppressLineNumbers w:val="0"/>
        <w:snapToGrid w:val="0"/>
        <w:spacing w:before="0" w:beforeLines="0" w:beforeAutospacing="0" w:after="0" w:afterLines="0" w:afterAutospacing="0" w:line="600" w:lineRule="exact"/>
        <w:ind w:left="0" w:right="0"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3、要求提供证明材料的若投标单位未提供，视为负偏离。</w:t>
      </w:r>
    </w:p>
    <w:p w14:paraId="58194BF3">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7F5A1B8C">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5C33A3E9">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1330E637">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48E4D3A4">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73F395E1">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5526826B">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4BFED239">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16C8AB64">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3B6C775C">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52EC7F10">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632762BF">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65B19A70">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67202B3D">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57062F4A">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5C1D83F4">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16FF84CA">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23CFB5F2">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52329651">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491B6BC8">
      <w:pPr>
        <w:numPr>
          <w:ilvl w:val="0"/>
          <w:numId w:val="0"/>
        </w:numPr>
        <w:tabs>
          <w:tab w:val="left" w:pos="527"/>
        </w:tabs>
        <w:spacing w:line="400" w:lineRule="exact"/>
        <w:ind w:left="420" w:leftChars="0"/>
        <w:jc w:val="center"/>
        <w:rPr>
          <w:rFonts w:hint="default" w:ascii="宋体" w:hAnsi="宋体" w:eastAsia="宋体" w:cs="宋体"/>
          <w:b/>
          <w:bCs/>
          <w:snapToGrid/>
          <w:color w:val="auto"/>
          <w:kern w:val="0"/>
          <w:sz w:val="28"/>
          <w:szCs w:val="28"/>
          <w:highlight w:val="none"/>
          <w:u w:val="none"/>
          <w:shd w:val="clear" w:color="auto" w:fill="auto"/>
          <w:lang w:val="en-US" w:eastAsia="zh-CN" w:bidi="ar-SA"/>
        </w:rPr>
      </w:pPr>
      <w:r>
        <w:rPr>
          <w:rFonts w:hint="eastAsia" w:ascii="宋体" w:hAnsi="宋体" w:cs="宋体"/>
          <w:b/>
          <w:bCs/>
          <w:snapToGrid/>
          <w:color w:val="auto"/>
          <w:kern w:val="0"/>
          <w:sz w:val="28"/>
          <w:szCs w:val="28"/>
          <w:highlight w:val="none"/>
          <w:u w:val="none"/>
          <w:shd w:val="clear" w:color="auto" w:fill="auto"/>
          <w:lang w:val="en-US" w:eastAsia="zh-CN" w:bidi="ar-SA"/>
        </w:rPr>
        <w:t>四、响应速度</w:t>
      </w:r>
    </w:p>
    <w:p w14:paraId="320CF4AE">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65AC565C">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03A9B731">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7762E7AA">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7139FA53">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369E97E2">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367873AC">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3EF1C4B8">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59CBE244">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1395C03F">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13DDD40B">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276B28AD">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1BFEC177">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41E58A36">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03F6EC82">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19EB3818">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057729D1">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5BF09E2B">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4C161107">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474DDA8E">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37FC40DF">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29BAF8F0">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2C448C35">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15ED7513">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50C9E162">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67684CB8">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139ADADC">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44B7060D">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5AD267D9">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7F1DEEB1">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2A8A25AD">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6024A7D9">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50DCCFCA">
      <w:pPr>
        <w:numPr>
          <w:ilvl w:val="0"/>
          <w:numId w:val="0"/>
        </w:numPr>
        <w:tabs>
          <w:tab w:val="left" w:pos="527"/>
        </w:tabs>
        <w:spacing w:line="400" w:lineRule="exact"/>
        <w:ind w:left="420" w:leftChars="0"/>
        <w:jc w:val="center"/>
        <w:rPr>
          <w:rFonts w:hint="eastAsia" w:ascii="宋体" w:hAnsi="宋体" w:eastAsia="宋体" w:cs="宋体"/>
          <w:b/>
          <w:bCs/>
          <w:snapToGrid/>
          <w:color w:val="auto"/>
          <w:kern w:val="0"/>
          <w:sz w:val="28"/>
          <w:szCs w:val="28"/>
          <w:highlight w:val="none"/>
          <w:u w:val="none"/>
          <w:shd w:val="clear" w:color="auto" w:fill="auto"/>
          <w:lang w:val="en-US" w:eastAsia="zh-CN" w:bidi="ar-SA"/>
        </w:rPr>
      </w:pPr>
    </w:p>
    <w:p w14:paraId="44D17AEA">
      <w:pPr>
        <w:numPr>
          <w:ilvl w:val="0"/>
          <w:numId w:val="0"/>
        </w:numPr>
        <w:tabs>
          <w:tab w:val="left" w:pos="527"/>
        </w:tabs>
        <w:spacing w:line="400" w:lineRule="exact"/>
        <w:ind w:left="420" w:leftChars="0"/>
        <w:jc w:val="center"/>
        <w:rPr>
          <w:rFonts w:hint="eastAsia" w:ascii="宋体" w:hAnsi="宋体" w:cs="宋体"/>
          <w:b/>
          <w:bCs/>
          <w:snapToGrid/>
          <w:color w:val="auto"/>
          <w:kern w:val="0"/>
          <w:sz w:val="28"/>
          <w:szCs w:val="28"/>
          <w:highlight w:val="none"/>
          <w:lang w:val="en-US" w:eastAsia="zh-CN" w:bidi="ar-SA"/>
        </w:rPr>
      </w:pPr>
    </w:p>
    <w:p w14:paraId="63B8F925">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eastAsia="zh-CN"/>
        </w:rPr>
      </w:pPr>
      <w:r>
        <w:rPr>
          <w:rFonts w:hint="eastAsia" w:ascii="宋体" w:hAnsi="宋体" w:cs="宋体"/>
          <w:b/>
          <w:bCs/>
          <w:snapToGrid/>
          <w:color w:val="auto"/>
          <w:kern w:val="0"/>
          <w:sz w:val="28"/>
          <w:szCs w:val="28"/>
          <w:highlight w:val="none"/>
          <w:lang w:val="en-US" w:eastAsia="zh-CN" w:bidi="ar-SA"/>
        </w:rPr>
        <w:t>五</w:t>
      </w:r>
      <w:r>
        <w:rPr>
          <w:rFonts w:hint="eastAsia" w:ascii="宋体" w:hAnsi="宋体" w:eastAsia="宋体" w:cs="宋体"/>
          <w:b/>
          <w:bCs/>
          <w:snapToGrid/>
          <w:color w:val="auto"/>
          <w:kern w:val="0"/>
          <w:sz w:val="28"/>
          <w:szCs w:val="28"/>
          <w:highlight w:val="none"/>
          <w:lang w:val="en-US" w:eastAsia="zh-CN" w:bidi="ar-SA"/>
        </w:rPr>
        <w:t>、</w:t>
      </w:r>
      <w:r>
        <w:rPr>
          <w:rFonts w:hint="eastAsia" w:ascii="宋体" w:hAnsi="宋体" w:eastAsia="宋体" w:cs="宋体"/>
          <w:b/>
          <w:bCs/>
          <w:snapToGrid/>
          <w:color w:val="auto"/>
          <w:kern w:val="0"/>
          <w:sz w:val="28"/>
          <w:szCs w:val="28"/>
          <w:highlight w:val="none"/>
          <w:u w:val="none"/>
          <w:shd w:val="clear" w:color="auto" w:fill="auto"/>
          <w:lang w:val="en-US" w:eastAsia="zh-CN" w:bidi="ar-SA"/>
        </w:rPr>
        <w:t>运营团队配置</w:t>
      </w:r>
    </w:p>
    <w:p w14:paraId="5F87E7A2">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20D73467">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452D819C">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164B6C2F">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7DDB1C0C">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13874AA3">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2EE25B27">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75904B9C">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7E28075E">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780835D2">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01D97A76">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3D228484">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30577926">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0F7EC5B4">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7A81F482">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3440DAFD">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1ED26BBA">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75AB2E05">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29AA3E3F">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264C8773">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4C8CC782">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65FB8818">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550C2782">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5B36BB8C">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26A607E4">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602A5810">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12E4704D">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4C05F174">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13B9412E">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232D4A09">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759E9566">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7FF8FD27">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134E3033">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05E3DD2E">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2E1EA9AC">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eastAsia="zh-CN"/>
        </w:rPr>
      </w:pPr>
      <w:r>
        <w:rPr>
          <w:rFonts w:hint="eastAsia" w:ascii="宋体" w:hAnsi="宋体" w:cs="宋体"/>
          <w:b/>
          <w:bCs/>
          <w:kern w:val="2"/>
          <w:sz w:val="28"/>
          <w:szCs w:val="28"/>
          <w:highlight w:val="none"/>
          <w:lang w:val="en-US" w:eastAsia="zh-CN" w:bidi="ar-SA"/>
        </w:rPr>
        <w:t>六</w:t>
      </w:r>
      <w:r>
        <w:rPr>
          <w:rFonts w:hint="eastAsia" w:ascii="宋体" w:hAnsi="宋体" w:eastAsia="宋体" w:cs="宋体"/>
          <w:b/>
          <w:bCs/>
          <w:kern w:val="2"/>
          <w:sz w:val="28"/>
          <w:szCs w:val="28"/>
          <w:highlight w:val="none"/>
          <w:lang w:val="en-US" w:eastAsia="zh-CN" w:bidi="ar-SA"/>
        </w:rPr>
        <w:t>、运营实施方案</w:t>
      </w:r>
    </w:p>
    <w:p w14:paraId="76BCAE86">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68C72965">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1BE7406F">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07A8E4D8">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62A682DD">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506A3887">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5369DE9C">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02C254FF">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1F24A10B">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69E0F91A">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73FBEAF2">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5268477D">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590820FA">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3D0560D3">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7D92171D">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7D3B7A9C">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17060A2A">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1449D854">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4019666B">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59617D13">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780B769F">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0B2EB670">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4360A07A">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10B67A1D">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3D336D9C">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358A8BC0">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5562E40B">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2D453F40">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37A27304">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3B79527A">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2AE13B7B">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4B4AA75B">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4481EAD0">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7054CD54">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03AFB13B">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zh-CN" w:eastAsia="zh-CN" w:bidi="ar-SA"/>
        </w:rPr>
      </w:pPr>
      <w:r>
        <w:rPr>
          <w:rFonts w:hint="eastAsia" w:ascii="宋体" w:hAnsi="宋体" w:cs="宋体"/>
          <w:b/>
          <w:bCs/>
          <w:kern w:val="2"/>
          <w:sz w:val="28"/>
          <w:szCs w:val="28"/>
          <w:highlight w:val="none"/>
          <w:lang w:val="en-US" w:eastAsia="zh-CN" w:bidi="ar-SA"/>
        </w:rPr>
        <w:t>七</w:t>
      </w:r>
      <w:r>
        <w:rPr>
          <w:rFonts w:hint="eastAsia" w:ascii="宋体" w:hAnsi="宋体" w:eastAsia="宋体" w:cs="宋体"/>
          <w:b/>
          <w:bCs/>
          <w:kern w:val="2"/>
          <w:sz w:val="28"/>
          <w:szCs w:val="28"/>
          <w:highlight w:val="none"/>
          <w:lang w:val="en-US" w:eastAsia="zh-CN" w:bidi="ar-SA"/>
        </w:rPr>
        <w:t>、志愿者调度方案</w:t>
      </w:r>
    </w:p>
    <w:p w14:paraId="4D6AF72D">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33F231DF">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71F04247">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35FB37FC">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20B12D5A">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17E834A2">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6EE7F196">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3912ED9B">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27262E51">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1B078102">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419290C1">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4CDA9C7C">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5AB112F3">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20B60567">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4E4821A2">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52C66FAD">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3CD2944C">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0E6A8710">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0C0EBB9E">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76B66E38">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2239D265">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05BF2ED7">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136182FE">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25E8510C">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0D27EF42">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731A03DA">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3D4686E1">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2B8855CF">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18AB615D">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1B3A9C5E">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21AFD088">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4BF0BBA0">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52B95A77">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0F19554D">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2A5456CB">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49021C99">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八</w:t>
      </w:r>
      <w:r>
        <w:rPr>
          <w:rFonts w:hint="eastAsia" w:ascii="宋体" w:hAnsi="宋体" w:eastAsia="宋体" w:cs="宋体"/>
          <w:b/>
          <w:bCs/>
          <w:kern w:val="2"/>
          <w:sz w:val="28"/>
          <w:szCs w:val="28"/>
          <w:highlight w:val="none"/>
          <w:lang w:val="en-US" w:eastAsia="zh-CN" w:bidi="ar-SA"/>
        </w:rPr>
        <w:t>、宣传方案</w:t>
      </w:r>
    </w:p>
    <w:p w14:paraId="42B5F2E8">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14C2229D">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081E21F6">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7B6128FB">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76C6955A">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1A19361D">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79F4DD57">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43BF249E">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20D91E15">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3D951B2D">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345AADEB">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36B7A439">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23F25B99">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2C47C8D6">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7280C0FA">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3351F086">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249B50D6">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433146AA">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25014C50">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62A2FAAA">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07DB81DB">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52A62E77">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1237A9B3">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1C552D42">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7E736F32">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63538CF2">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1F802F29">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2E85921D">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3E013582">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0CA525CD">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1E9CF560">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5BF9D384">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5B5A5AF1">
      <w:pPr>
        <w:numPr>
          <w:ilvl w:val="0"/>
          <w:numId w:val="0"/>
        </w:numPr>
        <w:tabs>
          <w:tab w:val="left" w:pos="527"/>
        </w:tabs>
        <w:spacing w:line="400" w:lineRule="exact"/>
        <w:ind w:left="420" w:leftChars="0"/>
        <w:jc w:val="center"/>
        <w:rPr>
          <w:rFonts w:hint="eastAsia" w:ascii="宋体" w:hAnsi="宋体" w:eastAsia="宋体" w:cs="宋体"/>
          <w:b/>
          <w:bCs/>
          <w:kern w:val="2"/>
          <w:sz w:val="28"/>
          <w:szCs w:val="28"/>
          <w:highlight w:val="none"/>
          <w:lang w:val="en-US" w:eastAsia="zh-CN" w:bidi="ar-SA"/>
        </w:rPr>
      </w:pPr>
    </w:p>
    <w:p w14:paraId="4B52142C">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r>
        <w:rPr>
          <w:rFonts w:hint="eastAsia" w:ascii="宋体" w:hAnsi="宋体" w:cs="宋体"/>
          <w:b/>
          <w:bCs/>
          <w:kern w:val="2"/>
          <w:sz w:val="28"/>
          <w:szCs w:val="28"/>
          <w:highlight w:val="none"/>
          <w:lang w:val="en-US" w:eastAsia="zh-CN" w:bidi="ar-SA"/>
        </w:rPr>
        <w:t>九</w:t>
      </w:r>
      <w:r>
        <w:rPr>
          <w:rFonts w:hint="eastAsia" w:ascii="宋体" w:hAnsi="宋体" w:eastAsia="宋体" w:cs="宋体"/>
          <w:b/>
          <w:bCs/>
          <w:kern w:val="2"/>
          <w:sz w:val="28"/>
          <w:szCs w:val="28"/>
          <w:highlight w:val="none"/>
          <w:lang w:val="en-US" w:eastAsia="zh-CN" w:bidi="ar-SA"/>
        </w:rPr>
        <w:t>、场地布置方案</w:t>
      </w:r>
    </w:p>
    <w:p w14:paraId="27C7AA68">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060D80E7">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3D6A1774">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35BA39A3">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398B082C">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06DC4DEE">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547D4D82">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486DBE6C">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3CD600EC">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54F246F0">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1B01E4A5">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37177D6F">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462EFA44">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36221EB3">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711CFCF3">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675A9D73">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53CC6937">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29EC811E">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272533FA">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394B092B">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347153F6">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27D77A03">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081644D2">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6D502766">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7ED45D77">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5D74BA01">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22C5D412">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71A8DD37">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24893599">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0894C9B9">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645BC298">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36144795">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4B523CA5">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2B565ACC">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38181CBA">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十、无障碍保障方案</w:t>
      </w:r>
    </w:p>
    <w:p w14:paraId="32E65DB2">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3FDFFA5A">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34A70216">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7136F258">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66F55E36">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2D05EC5C">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751BF47A">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05C3A907">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7DEF8CBE">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425881F4">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565F14A6">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7A577365">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44F14D0B">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7DAD258D">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50B65AFF">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7A08860D">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5556B0DF">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67CFC3CD">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104A2055">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6F2190C6">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7396093C">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0A712455">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43F87DD6">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13E25C47">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3203B5EA">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4F1372B0">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7133F51B">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0825B99D">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477FE5C3">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159759C9">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369B9575">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38C16CB7">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330B772E">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4E6494A3">
      <w:pPr>
        <w:numPr>
          <w:ilvl w:val="0"/>
          <w:numId w:val="0"/>
        </w:numPr>
        <w:tabs>
          <w:tab w:val="left" w:pos="527"/>
        </w:tabs>
        <w:spacing w:line="400" w:lineRule="exact"/>
        <w:ind w:left="420" w:leftChars="0"/>
        <w:jc w:val="center"/>
        <w:rPr>
          <w:rFonts w:hint="eastAsia" w:ascii="宋体" w:hAnsi="宋体" w:eastAsia="宋体" w:cs="宋体"/>
          <w:b/>
          <w:bCs/>
          <w:kern w:val="0"/>
          <w:sz w:val="28"/>
          <w:szCs w:val="28"/>
          <w:highlight w:val="none"/>
          <w:lang w:val="en-US" w:eastAsia="zh-CN"/>
        </w:rPr>
      </w:pPr>
    </w:p>
    <w:p w14:paraId="326AFE52">
      <w:pPr>
        <w:numPr>
          <w:ilvl w:val="0"/>
          <w:numId w:val="0"/>
        </w:numPr>
        <w:tabs>
          <w:tab w:val="left" w:pos="527"/>
        </w:tabs>
        <w:spacing w:line="400" w:lineRule="exact"/>
        <w:ind w:left="420" w:left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kern w:val="0"/>
          <w:sz w:val="28"/>
          <w:szCs w:val="28"/>
          <w:highlight w:val="none"/>
          <w:lang w:val="en-US" w:eastAsia="zh-CN"/>
        </w:rPr>
        <w:t>十</w:t>
      </w:r>
      <w:r>
        <w:rPr>
          <w:rFonts w:hint="eastAsia" w:ascii="宋体" w:hAnsi="宋体" w:cs="宋体"/>
          <w:b/>
          <w:bCs/>
          <w:kern w:val="0"/>
          <w:sz w:val="28"/>
          <w:szCs w:val="28"/>
          <w:highlight w:val="none"/>
          <w:lang w:val="en-US" w:eastAsia="zh-CN"/>
        </w:rPr>
        <w:t>一</w:t>
      </w:r>
      <w:r>
        <w:rPr>
          <w:rFonts w:hint="eastAsia" w:ascii="宋体" w:hAnsi="宋体" w:eastAsia="宋体" w:cs="宋体"/>
          <w:b/>
          <w:bCs/>
          <w:kern w:val="0"/>
          <w:sz w:val="28"/>
          <w:szCs w:val="28"/>
          <w:highlight w:val="none"/>
          <w:lang w:val="en-US" w:eastAsia="zh-CN"/>
        </w:rPr>
        <w:t>、安全保障方案</w:t>
      </w:r>
    </w:p>
    <w:p w14:paraId="775A481C">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3E0E8319">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143E868C">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0B4BFD2A">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5F4631E4">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75BF8171">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5462C510">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5B709B56">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41CEEE5B">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24D93472">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78A11CA4">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236FE5DC">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76DD9CA3">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50CCDEB8">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081502E3">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288F5CD6">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1BA9D2FA">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45C4B8C6">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57CAC0A5">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5D46B302">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106AF415">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5DEA2DB2">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6267902E">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42DC578C">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57605E02">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23BE4640">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50010A24">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2BCEB18D">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4F8A8473">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1CA01F95">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3EFE6205">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18032E37">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0B34FC94">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4454E846">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2DE7DAE7">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十</w:t>
      </w:r>
      <w:r>
        <w:rPr>
          <w:rFonts w:hint="eastAsia" w:ascii="宋体" w:hAnsi="宋体" w:cs="宋体"/>
          <w:b/>
          <w:bCs/>
          <w:color w:val="auto"/>
          <w:kern w:val="0"/>
          <w:sz w:val="28"/>
          <w:szCs w:val="28"/>
          <w:highlight w:val="none"/>
          <w:lang w:val="en-US" w:eastAsia="zh-CN"/>
        </w:rPr>
        <w:t>二</w:t>
      </w:r>
      <w:r>
        <w:rPr>
          <w:rFonts w:hint="eastAsia" w:ascii="宋体" w:hAnsi="宋体" w:eastAsia="宋体" w:cs="宋体"/>
          <w:b/>
          <w:bCs/>
          <w:color w:val="auto"/>
          <w:kern w:val="0"/>
          <w:sz w:val="28"/>
          <w:szCs w:val="28"/>
          <w:highlight w:val="none"/>
          <w:lang w:val="en-US" w:eastAsia="zh-CN"/>
        </w:rPr>
        <w:t>、应急处置措施</w:t>
      </w:r>
    </w:p>
    <w:p w14:paraId="1690008E">
      <w:pPr>
        <w:pStyle w:val="16"/>
        <w:jc w:val="center"/>
        <w:rPr>
          <w:rFonts w:hint="eastAsia" w:ascii="宋体" w:hAnsi="宋体" w:eastAsia="宋体" w:cs="宋体"/>
          <w:b/>
          <w:bCs/>
          <w:color w:val="auto"/>
          <w:kern w:val="0"/>
          <w:sz w:val="28"/>
          <w:szCs w:val="28"/>
          <w:highlight w:val="none"/>
          <w:lang w:val="en-US" w:eastAsia="zh-CN"/>
        </w:rPr>
      </w:pPr>
    </w:p>
    <w:p w14:paraId="6C4B9A02">
      <w:pPr>
        <w:pStyle w:val="16"/>
        <w:jc w:val="center"/>
        <w:rPr>
          <w:rFonts w:hint="eastAsia" w:ascii="宋体" w:hAnsi="宋体" w:eastAsia="宋体" w:cs="宋体"/>
          <w:b/>
          <w:bCs/>
          <w:color w:val="auto"/>
          <w:kern w:val="0"/>
          <w:sz w:val="28"/>
          <w:szCs w:val="28"/>
          <w:highlight w:val="none"/>
          <w:lang w:val="en-US" w:eastAsia="zh-CN"/>
        </w:rPr>
      </w:pPr>
    </w:p>
    <w:p w14:paraId="66133AA8">
      <w:pPr>
        <w:pStyle w:val="16"/>
        <w:jc w:val="center"/>
        <w:rPr>
          <w:rFonts w:hint="eastAsia" w:ascii="宋体" w:hAnsi="宋体" w:eastAsia="宋体" w:cs="宋体"/>
          <w:b/>
          <w:bCs/>
          <w:color w:val="auto"/>
          <w:kern w:val="0"/>
          <w:sz w:val="28"/>
          <w:szCs w:val="28"/>
          <w:highlight w:val="none"/>
          <w:lang w:val="en-US" w:eastAsia="zh-CN"/>
        </w:rPr>
      </w:pPr>
    </w:p>
    <w:p w14:paraId="280A6EAC">
      <w:pPr>
        <w:pStyle w:val="16"/>
        <w:jc w:val="center"/>
        <w:rPr>
          <w:rFonts w:hint="eastAsia" w:ascii="宋体" w:hAnsi="宋体" w:eastAsia="宋体" w:cs="宋体"/>
          <w:b/>
          <w:bCs/>
          <w:color w:val="auto"/>
          <w:kern w:val="0"/>
          <w:sz w:val="28"/>
          <w:szCs w:val="28"/>
          <w:highlight w:val="none"/>
          <w:lang w:val="en-US" w:eastAsia="zh-CN"/>
        </w:rPr>
      </w:pPr>
    </w:p>
    <w:p w14:paraId="17E17355">
      <w:pPr>
        <w:pStyle w:val="16"/>
        <w:jc w:val="center"/>
        <w:rPr>
          <w:rFonts w:hint="eastAsia" w:ascii="宋体" w:hAnsi="宋体" w:eastAsia="宋体" w:cs="宋体"/>
          <w:b/>
          <w:bCs/>
          <w:color w:val="auto"/>
          <w:kern w:val="0"/>
          <w:sz w:val="28"/>
          <w:szCs w:val="28"/>
          <w:highlight w:val="none"/>
          <w:lang w:val="en-US" w:eastAsia="zh-CN"/>
        </w:rPr>
      </w:pPr>
    </w:p>
    <w:p w14:paraId="6BA7F87B">
      <w:pPr>
        <w:pStyle w:val="16"/>
        <w:jc w:val="center"/>
        <w:rPr>
          <w:rFonts w:hint="eastAsia" w:ascii="宋体" w:hAnsi="宋体" w:eastAsia="宋体" w:cs="宋体"/>
          <w:b/>
          <w:bCs/>
          <w:color w:val="auto"/>
          <w:kern w:val="0"/>
          <w:sz w:val="28"/>
          <w:szCs w:val="28"/>
          <w:highlight w:val="none"/>
          <w:lang w:val="en-US" w:eastAsia="zh-CN"/>
        </w:rPr>
      </w:pPr>
    </w:p>
    <w:p w14:paraId="568001A6">
      <w:pPr>
        <w:pStyle w:val="16"/>
        <w:jc w:val="center"/>
        <w:rPr>
          <w:rFonts w:hint="eastAsia" w:ascii="宋体" w:hAnsi="宋体" w:eastAsia="宋体" w:cs="宋体"/>
          <w:b/>
          <w:bCs/>
          <w:color w:val="auto"/>
          <w:kern w:val="0"/>
          <w:sz w:val="28"/>
          <w:szCs w:val="28"/>
          <w:highlight w:val="none"/>
          <w:lang w:val="en-US" w:eastAsia="zh-CN"/>
        </w:rPr>
      </w:pPr>
    </w:p>
    <w:p w14:paraId="015FCBA1">
      <w:pPr>
        <w:pStyle w:val="16"/>
        <w:jc w:val="center"/>
        <w:rPr>
          <w:rFonts w:hint="eastAsia" w:ascii="宋体" w:hAnsi="宋体" w:eastAsia="宋体" w:cs="宋体"/>
          <w:b/>
          <w:bCs/>
          <w:color w:val="auto"/>
          <w:kern w:val="0"/>
          <w:sz w:val="28"/>
          <w:szCs w:val="28"/>
          <w:highlight w:val="none"/>
          <w:lang w:val="en-US" w:eastAsia="zh-CN"/>
        </w:rPr>
      </w:pPr>
    </w:p>
    <w:p w14:paraId="4C21927A">
      <w:pPr>
        <w:pStyle w:val="16"/>
        <w:jc w:val="center"/>
        <w:rPr>
          <w:rFonts w:hint="eastAsia" w:ascii="宋体" w:hAnsi="宋体" w:eastAsia="宋体" w:cs="宋体"/>
          <w:b/>
          <w:bCs/>
          <w:color w:val="auto"/>
          <w:kern w:val="0"/>
          <w:sz w:val="28"/>
          <w:szCs w:val="28"/>
          <w:highlight w:val="none"/>
          <w:lang w:val="en-US" w:eastAsia="zh-CN"/>
        </w:rPr>
      </w:pPr>
    </w:p>
    <w:p w14:paraId="100F7ED8">
      <w:pPr>
        <w:pStyle w:val="16"/>
        <w:jc w:val="center"/>
        <w:rPr>
          <w:rFonts w:hint="eastAsia" w:ascii="宋体" w:hAnsi="宋体" w:eastAsia="宋体" w:cs="宋体"/>
          <w:b/>
          <w:bCs/>
          <w:color w:val="auto"/>
          <w:kern w:val="0"/>
          <w:sz w:val="28"/>
          <w:szCs w:val="28"/>
          <w:highlight w:val="none"/>
          <w:lang w:val="en-US" w:eastAsia="zh-CN"/>
        </w:rPr>
      </w:pPr>
    </w:p>
    <w:p w14:paraId="304D868E">
      <w:pPr>
        <w:pStyle w:val="16"/>
        <w:jc w:val="center"/>
        <w:rPr>
          <w:rFonts w:hint="eastAsia" w:ascii="宋体" w:hAnsi="宋体" w:eastAsia="宋体" w:cs="宋体"/>
          <w:b/>
          <w:bCs/>
          <w:color w:val="auto"/>
          <w:kern w:val="0"/>
          <w:sz w:val="28"/>
          <w:szCs w:val="28"/>
          <w:highlight w:val="none"/>
          <w:lang w:val="en-US" w:eastAsia="zh-CN"/>
        </w:rPr>
      </w:pPr>
    </w:p>
    <w:p w14:paraId="0FD9698F">
      <w:pPr>
        <w:pStyle w:val="16"/>
        <w:jc w:val="center"/>
        <w:rPr>
          <w:rFonts w:hint="eastAsia" w:ascii="宋体" w:hAnsi="宋体" w:eastAsia="宋体" w:cs="宋体"/>
          <w:b/>
          <w:bCs/>
          <w:color w:val="auto"/>
          <w:kern w:val="0"/>
          <w:sz w:val="28"/>
          <w:szCs w:val="28"/>
          <w:highlight w:val="none"/>
          <w:lang w:val="en-US" w:eastAsia="zh-CN"/>
        </w:rPr>
      </w:pPr>
    </w:p>
    <w:p w14:paraId="03701ACB">
      <w:pPr>
        <w:pStyle w:val="16"/>
        <w:jc w:val="center"/>
        <w:rPr>
          <w:rFonts w:hint="eastAsia" w:ascii="宋体" w:hAnsi="宋体" w:eastAsia="宋体" w:cs="宋体"/>
          <w:b/>
          <w:bCs/>
          <w:color w:val="auto"/>
          <w:kern w:val="0"/>
          <w:sz w:val="28"/>
          <w:szCs w:val="28"/>
          <w:highlight w:val="none"/>
          <w:lang w:val="en-US" w:eastAsia="zh-CN"/>
        </w:rPr>
      </w:pPr>
    </w:p>
    <w:p w14:paraId="208EDA6A">
      <w:pPr>
        <w:pStyle w:val="16"/>
        <w:jc w:val="center"/>
        <w:rPr>
          <w:rFonts w:hint="eastAsia" w:ascii="宋体" w:hAnsi="宋体" w:eastAsia="宋体" w:cs="宋体"/>
          <w:b/>
          <w:bCs/>
          <w:color w:val="auto"/>
          <w:kern w:val="0"/>
          <w:sz w:val="28"/>
          <w:szCs w:val="28"/>
          <w:highlight w:val="none"/>
          <w:lang w:val="en-US" w:eastAsia="zh-CN"/>
        </w:rPr>
      </w:pPr>
    </w:p>
    <w:p w14:paraId="4C25E546">
      <w:pPr>
        <w:pStyle w:val="16"/>
        <w:jc w:val="center"/>
        <w:rPr>
          <w:rFonts w:hint="eastAsia" w:ascii="宋体" w:hAnsi="宋体" w:eastAsia="宋体" w:cs="宋体"/>
          <w:b/>
          <w:bCs/>
          <w:color w:val="auto"/>
          <w:kern w:val="0"/>
          <w:sz w:val="28"/>
          <w:szCs w:val="28"/>
          <w:highlight w:val="none"/>
          <w:lang w:val="en-US" w:eastAsia="zh-CN"/>
        </w:rPr>
      </w:pPr>
    </w:p>
    <w:p w14:paraId="2B93C7E7">
      <w:pPr>
        <w:pStyle w:val="16"/>
        <w:jc w:val="center"/>
        <w:rPr>
          <w:rFonts w:hint="eastAsia" w:ascii="宋体" w:hAnsi="宋体" w:eastAsia="宋体" w:cs="宋体"/>
          <w:b/>
          <w:bCs/>
          <w:color w:val="auto"/>
          <w:kern w:val="0"/>
          <w:sz w:val="28"/>
          <w:szCs w:val="28"/>
          <w:highlight w:val="none"/>
          <w:lang w:val="en-US" w:eastAsia="zh-CN"/>
        </w:rPr>
      </w:pPr>
    </w:p>
    <w:p w14:paraId="003E9ECB">
      <w:pPr>
        <w:pStyle w:val="16"/>
        <w:jc w:val="center"/>
        <w:rPr>
          <w:rFonts w:hint="eastAsia" w:ascii="宋体" w:hAnsi="宋体" w:eastAsia="宋体" w:cs="宋体"/>
          <w:b/>
          <w:bCs/>
          <w:color w:val="auto"/>
          <w:kern w:val="0"/>
          <w:sz w:val="28"/>
          <w:szCs w:val="28"/>
          <w:highlight w:val="none"/>
          <w:lang w:val="en-US" w:eastAsia="zh-CN"/>
        </w:rPr>
      </w:pPr>
    </w:p>
    <w:p w14:paraId="7C4947DE">
      <w:pPr>
        <w:pStyle w:val="16"/>
        <w:jc w:val="center"/>
        <w:rPr>
          <w:rFonts w:hint="eastAsia" w:ascii="宋体" w:hAnsi="宋体" w:eastAsia="宋体" w:cs="宋体"/>
          <w:b/>
          <w:bCs/>
          <w:color w:val="auto"/>
          <w:kern w:val="0"/>
          <w:sz w:val="28"/>
          <w:szCs w:val="28"/>
          <w:highlight w:val="none"/>
          <w:lang w:val="en-US" w:eastAsia="zh-CN"/>
        </w:rPr>
      </w:pPr>
    </w:p>
    <w:p w14:paraId="2EECF94D">
      <w:pPr>
        <w:pStyle w:val="16"/>
        <w:jc w:val="center"/>
        <w:rPr>
          <w:rFonts w:hint="eastAsia" w:ascii="宋体" w:hAnsi="宋体" w:eastAsia="宋体" w:cs="宋体"/>
          <w:b/>
          <w:bCs/>
          <w:color w:val="auto"/>
          <w:kern w:val="0"/>
          <w:sz w:val="28"/>
          <w:szCs w:val="28"/>
          <w:highlight w:val="none"/>
          <w:lang w:val="en-US" w:eastAsia="zh-CN"/>
        </w:rPr>
      </w:pPr>
    </w:p>
    <w:p w14:paraId="4BA9377D">
      <w:pPr>
        <w:pStyle w:val="16"/>
        <w:jc w:val="center"/>
        <w:rPr>
          <w:rFonts w:hint="eastAsia" w:ascii="宋体" w:hAnsi="宋体" w:eastAsia="宋体" w:cs="宋体"/>
          <w:b/>
          <w:bCs/>
          <w:color w:val="auto"/>
          <w:kern w:val="0"/>
          <w:sz w:val="28"/>
          <w:szCs w:val="28"/>
          <w:highlight w:val="none"/>
          <w:lang w:val="en-US" w:eastAsia="zh-CN"/>
        </w:rPr>
      </w:pPr>
    </w:p>
    <w:p w14:paraId="6A38AE49">
      <w:pPr>
        <w:pStyle w:val="16"/>
        <w:jc w:val="center"/>
        <w:rPr>
          <w:rFonts w:hint="eastAsia" w:ascii="宋体" w:hAnsi="宋体" w:eastAsia="宋体" w:cs="宋体"/>
          <w:b/>
          <w:bCs/>
          <w:color w:val="auto"/>
          <w:kern w:val="0"/>
          <w:sz w:val="28"/>
          <w:szCs w:val="28"/>
          <w:highlight w:val="none"/>
          <w:lang w:val="en-US" w:eastAsia="zh-CN"/>
        </w:rPr>
      </w:pPr>
    </w:p>
    <w:p w14:paraId="1F1E67AB">
      <w:pPr>
        <w:pStyle w:val="16"/>
        <w:jc w:val="center"/>
        <w:rPr>
          <w:rFonts w:hint="eastAsia" w:ascii="宋体" w:hAnsi="宋体" w:eastAsia="宋体" w:cs="宋体"/>
          <w:b/>
          <w:bCs/>
          <w:color w:val="auto"/>
          <w:kern w:val="0"/>
          <w:sz w:val="28"/>
          <w:szCs w:val="28"/>
          <w:highlight w:val="none"/>
          <w:lang w:val="en-US" w:eastAsia="zh-CN"/>
        </w:rPr>
      </w:pPr>
    </w:p>
    <w:p w14:paraId="2D458CA1">
      <w:pPr>
        <w:ind w:firstLine="562" w:firstLineChars="200"/>
        <w:jc w:val="center"/>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十</w:t>
      </w:r>
      <w:r>
        <w:rPr>
          <w:rFonts w:hint="eastAsia" w:ascii="宋体" w:hAnsi="宋体" w:cs="宋体"/>
          <w:b/>
          <w:bCs/>
          <w:color w:val="auto"/>
          <w:kern w:val="0"/>
          <w:sz w:val="28"/>
          <w:szCs w:val="28"/>
          <w:highlight w:val="none"/>
          <w:lang w:val="en-US" w:eastAsia="zh-CN"/>
        </w:rPr>
        <w:t>三</w:t>
      </w:r>
      <w:r>
        <w:rPr>
          <w:rFonts w:hint="eastAsia" w:ascii="宋体" w:hAnsi="宋体" w:eastAsia="宋体" w:cs="宋体"/>
          <w:b/>
          <w:bCs/>
          <w:color w:val="auto"/>
          <w:kern w:val="0"/>
          <w:sz w:val="28"/>
          <w:szCs w:val="28"/>
          <w:highlight w:val="none"/>
          <w:lang w:val="en-US" w:eastAsia="zh-CN"/>
        </w:rPr>
        <w:t>、</w:t>
      </w:r>
      <w:r>
        <w:rPr>
          <w:rFonts w:hint="eastAsia" w:ascii="宋体" w:hAnsi="宋体" w:cs="宋体"/>
          <w:b/>
          <w:bCs/>
          <w:color w:val="auto"/>
          <w:kern w:val="0"/>
          <w:sz w:val="28"/>
          <w:szCs w:val="28"/>
          <w:highlight w:val="none"/>
          <w:lang w:val="en-US" w:eastAsia="zh-CN"/>
        </w:rPr>
        <w:t>器材保障方案</w:t>
      </w:r>
    </w:p>
    <w:p w14:paraId="4DCE5F7D">
      <w:pPr>
        <w:pStyle w:val="16"/>
        <w:jc w:val="center"/>
        <w:rPr>
          <w:rFonts w:hint="eastAsia" w:ascii="宋体" w:hAnsi="宋体" w:eastAsia="宋体" w:cs="宋体"/>
          <w:b/>
          <w:bCs/>
          <w:color w:val="auto"/>
          <w:kern w:val="0"/>
          <w:sz w:val="28"/>
          <w:szCs w:val="28"/>
          <w:highlight w:val="none"/>
          <w:lang w:val="en-US" w:eastAsia="zh-CN"/>
        </w:rPr>
      </w:pPr>
    </w:p>
    <w:p w14:paraId="5A70183F">
      <w:pPr>
        <w:pStyle w:val="16"/>
        <w:jc w:val="center"/>
        <w:rPr>
          <w:rFonts w:hint="eastAsia" w:ascii="宋体" w:hAnsi="宋体" w:eastAsia="宋体" w:cs="宋体"/>
          <w:b/>
          <w:bCs/>
          <w:color w:val="auto"/>
          <w:kern w:val="0"/>
          <w:sz w:val="28"/>
          <w:szCs w:val="28"/>
          <w:highlight w:val="none"/>
          <w:lang w:val="en-US" w:eastAsia="zh-CN"/>
        </w:rPr>
      </w:pPr>
    </w:p>
    <w:p w14:paraId="6DCFE518">
      <w:pPr>
        <w:pStyle w:val="16"/>
        <w:jc w:val="center"/>
        <w:rPr>
          <w:rFonts w:hint="eastAsia" w:ascii="宋体" w:hAnsi="宋体" w:eastAsia="宋体" w:cs="宋体"/>
          <w:b/>
          <w:bCs/>
          <w:color w:val="auto"/>
          <w:kern w:val="0"/>
          <w:sz w:val="28"/>
          <w:szCs w:val="28"/>
          <w:highlight w:val="none"/>
          <w:lang w:val="en-US" w:eastAsia="zh-CN"/>
        </w:rPr>
      </w:pPr>
    </w:p>
    <w:p w14:paraId="4EEF01EF">
      <w:pPr>
        <w:pStyle w:val="16"/>
        <w:jc w:val="center"/>
        <w:rPr>
          <w:rFonts w:hint="eastAsia" w:ascii="宋体" w:hAnsi="宋体" w:eastAsia="宋体" w:cs="宋体"/>
          <w:b/>
          <w:bCs/>
          <w:color w:val="auto"/>
          <w:kern w:val="0"/>
          <w:sz w:val="28"/>
          <w:szCs w:val="28"/>
          <w:highlight w:val="none"/>
          <w:lang w:val="en-US" w:eastAsia="zh-CN"/>
        </w:rPr>
      </w:pPr>
    </w:p>
    <w:p w14:paraId="0DB628AB">
      <w:pPr>
        <w:pStyle w:val="16"/>
        <w:jc w:val="center"/>
        <w:rPr>
          <w:rFonts w:hint="eastAsia" w:ascii="宋体" w:hAnsi="宋体" w:eastAsia="宋体" w:cs="宋体"/>
          <w:b/>
          <w:bCs/>
          <w:color w:val="auto"/>
          <w:kern w:val="0"/>
          <w:sz w:val="28"/>
          <w:szCs w:val="28"/>
          <w:highlight w:val="none"/>
          <w:lang w:val="en-US" w:eastAsia="zh-CN"/>
        </w:rPr>
      </w:pPr>
    </w:p>
    <w:p w14:paraId="469751BD">
      <w:pPr>
        <w:pStyle w:val="16"/>
        <w:jc w:val="center"/>
        <w:rPr>
          <w:rFonts w:hint="eastAsia" w:ascii="宋体" w:hAnsi="宋体" w:eastAsia="宋体" w:cs="宋体"/>
          <w:b/>
          <w:bCs/>
          <w:color w:val="auto"/>
          <w:kern w:val="0"/>
          <w:sz w:val="28"/>
          <w:szCs w:val="28"/>
          <w:highlight w:val="none"/>
          <w:lang w:val="en-US" w:eastAsia="zh-CN"/>
        </w:rPr>
      </w:pPr>
    </w:p>
    <w:p w14:paraId="743000DE">
      <w:pPr>
        <w:pStyle w:val="16"/>
        <w:jc w:val="center"/>
        <w:rPr>
          <w:rFonts w:hint="eastAsia" w:ascii="宋体" w:hAnsi="宋体" w:eastAsia="宋体" w:cs="宋体"/>
          <w:b/>
          <w:bCs/>
          <w:color w:val="auto"/>
          <w:kern w:val="0"/>
          <w:sz w:val="28"/>
          <w:szCs w:val="28"/>
          <w:highlight w:val="none"/>
          <w:lang w:val="en-US" w:eastAsia="zh-CN"/>
        </w:rPr>
      </w:pPr>
    </w:p>
    <w:p w14:paraId="5B162B81">
      <w:pPr>
        <w:pStyle w:val="16"/>
        <w:jc w:val="center"/>
        <w:rPr>
          <w:rFonts w:hint="eastAsia" w:ascii="宋体" w:hAnsi="宋体" w:eastAsia="宋体" w:cs="宋体"/>
          <w:b/>
          <w:bCs/>
          <w:color w:val="auto"/>
          <w:kern w:val="0"/>
          <w:sz w:val="28"/>
          <w:szCs w:val="28"/>
          <w:highlight w:val="none"/>
          <w:lang w:val="en-US" w:eastAsia="zh-CN"/>
        </w:rPr>
      </w:pPr>
    </w:p>
    <w:p w14:paraId="67BC0EB8">
      <w:pPr>
        <w:pStyle w:val="16"/>
        <w:jc w:val="center"/>
        <w:rPr>
          <w:rFonts w:hint="eastAsia" w:ascii="宋体" w:hAnsi="宋体" w:eastAsia="宋体" w:cs="宋体"/>
          <w:b/>
          <w:bCs/>
          <w:color w:val="auto"/>
          <w:kern w:val="0"/>
          <w:sz w:val="28"/>
          <w:szCs w:val="28"/>
          <w:highlight w:val="none"/>
          <w:lang w:val="en-US" w:eastAsia="zh-CN"/>
        </w:rPr>
      </w:pPr>
    </w:p>
    <w:p w14:paraId="280BF098">
      <w:pPr>
        <w:pStyle w:val="16"/>
        <w:jc w:val="center"/>
        <w:rPr>
          <w:rFonts w:hint="eastAsia" w:ascii="宋体" w:hAnsi="宋体" w:eastAsia="宋体" w:cs="宋体"/>
          <w:b/>
          <w:bCs/>
          <w:color w:val="auto"/>
          <w:kern w:val="0"/>
          <w:sz w:val="28"/>
          <w:szCs w:val="28"/>
          <w:highlight w:val="none"/>
          <w:lang w:val="en-US" w:eastAsia="zh-CN"/>
        </w:rPr>
      </w:pPr>
    </w:p>
    <w:p w14:paraId="6B0C2B89">
      <w:pPr>
        <w:pStyle w:val="16"/>
        <w:jc w:val="center"/>
        <w:rPr>
          <w:rFonts w:hint="eastAsia" w:ascii="宋体" w:hAnsi="宋体" w:eastAsia="宋体" w:cs="宋体"/>
          <w:b/>
          <w:bCs/>
          <w:color w:val="auto"/>
          <w:kern w:val="0"/>
          <w:sz w:val="28"/>
          <w:szCs w:val="28"/>
          <w:highlight w:val="none"/>
          <w:lang w:val="en-US" w:eastAsia="zh-CN"/>
        </w:rPr>
      </w:pPr>
    </w:p>
    <w:p w14:paraId="2F26B161">
      <w:pPr>
        <w:pStyle w:val="16"/>
        <w:jc w:val="center"/>
        <w:rPr>
          <w:rFonts w:hint="eastAsia" w:ascii="宋体" w:hAnsi="宋体" w:eastAsia="宋体" w:cs="宋体"/>
          <w:b/>
          <w:bCs/>
          <w:color w:val="auto"/>
          <w:kern w:val="0"/>
          <w:sz w:val="28"/>
          <w:szCs w:val="28"/>
          <w:highlight w:val="none"/>
          <w:lang w:val="en-US" w:eastAsia="zh-CN"/>
        </w:rPr>
      </w:pPr>
    </w:p>
    <w:p w14:paraId="4D847A8A">
      <w:pPr>
        <w:pStyle w:val="16"/>
        <w:jc w:val="center"/>
        <w:rPr>
          <w:rFonts w:hint="eastAsia" w:ascii="宋体" w:hAnsi="宋体" w:eastAsia="宋体" w:cs="宋体"/>
          <w:b/>
          <w:bCs/>
          <w:color w:val="auto"/>
          <w:kern w:val="0"/>
          <w:sz w:val="28"/>
          <w:szCs w:val="28"/>
          <w:highlight w:val="none"/>
          <w:lang w:val="en-US" w:eastAsia="zh-CN"/>
        </w:rPr>
      </w:pPr>
    </w:p>
    <w:p w14:paraId="1B0D19C1">
      <w:pPr>
        <w:pStyle w:val="16"/>
        <w:jc w:val="center"/>
        <w:rPr>
          <w:rFonts w:hint="eastAsia" w:ascii="宋体" w:hAnsi="宋体" w:eastAsia="宋体" w:cs="宋体"/>
          <w:b/>
          <w:bCs/>
          <w:color w:val="auto"/>
          <w:kern w:val="0"/>
          <w:sz w:val="28"/>
          <w:szCs w:val="28"/>
          <w:highlight w:val="none"/>
          <w:lang w:val="en-US" w:eastAsia="zh-CN"/>
        </w:rPr>
      </w:pPr>
    </w:p>
    <w:p w14:paraId="471C677E">
      <w:pPr>
        <w:pStyle w:val="16"/>
        <w:jc w:val="center"/>
        <w:rPr>
          <w:rFonts w:hint="eastAsia" w:ascii="宋体" w:hAnsi="宋体" w:eastAsia="宋体" w:cs="宋体"/>
          <w:b/>
          <w:bCs/>
          <w:color w:val="auto"/>
          <w:kern w:val="0"/>
          <w:sz w:val="28"/>
          <w:szCs w:val="28"/>
          <w:highlight w:val="none"/>
          <w:lang w:val="en-US" w:eastAsia="zh-CN"/>
        </w:rPr>
      </w:pPr>
    </w:p>
    <w:p w14:paraId="3C190761">
      <w:pPr>
        <w:pStyle w:val="16"/>
        <w:jc w:val="center"/>
        <w:rPr>
          <w:rFonts w:hint="eastAsia" w:ascii="宋体" w:hAnsi="宋体" w:eastAsia="宋体" w:cs="宋体"/>
          <w:b/>
          <w:bCs/>
          <w:color w:val="auto"/>
          <w:kern w:val="0"/>
          <w:sz w:val="28"/>
          <w:szCs w:val="28"/>
          <w:highlight w:val="none"/>
          <w:lang w:val="en-US" w:eastAsia="zh-CN"/>
        </w:rPr>
      </w:pPr>
    </w:p>
    <w:p w14:paraId="5672C903">
      <w:pPr>
        <w:pStyle w:val="16"/>
        <w:jc w:val="center"/>
        <w:rPr>
          <w:rFonts w:hint="eastAsia" w:ascii="宋体" w:hAnsi="宋体" w:eastAsia="宋体" w:cs="宋体"/>
          <w:b/>
          <w:bCs/>
          <w:color w:val="auto"/>
          <w:kern w:val="0"/>
          <w:sz w:val="28"/>
          <w:szCs w:val="28"/>
          <w:highlight w:val="none"/>
          <w:lang w:val="en-US" w:eastAsia="zh-CN"/>
        </w:rPr>
      </w:pPr>
    </w:p>
    <w:p w14:paraId="122B067C">
      <w:pPr>
        <w:pStyle w:val="16"/>
        <w:jc w:val="center"/>
        <w:rPr>
          <w:rFonts w:hint="eastAsia" w:ascii="宋体" w:hAnsi="宋体" w:eastAsia="宋体" w:cs="宋体"/>
          <w:b/>
          <w:bCs/>
          <w:color w:val="auto"/>
          <w:kern w:val="0"/>
          <w:sz w:val="28"/>
          <w:szCs w:val="28"/>
          <w:highlight w:val="none"/>
          <w:lang w:val="en-US" w:eastAsia="zh-CN"/>
        </w:rPr>
      </w:pPr>
    </w:p>
    <w:p w14:paraId="3B4B3746">
      <w:pPr>
        <w:pStyle w:val="16"/>
        <w:jc w:val="center"/>
        <w:rPr>
          <w:rFonts w:hint="eastAsia" w:ascii="宋体" w:hAnsi="宋体" w:eastAsia="宋体" w:cs="宋体"/>
          <w:b/>
          <w:bCs/>
          <w:color w:val="auto"/>
          <w:kern w:val="0"/>
          <w:sz w:val="28"/>
          <w:szCs w:val="28"/>
          <w:highlight w:val="none"/>
          <w:lang w:val="en-US" w:eastAsia="zh-CN"/>
        </w:rPr>
      </w:pPr>
    </w:p>
    <w:p w14:paraId="3C7BE065">
      <w:pPr>
        <w:pStyle w:val="16"/>
        <w:jc w:val="center"/>
        <w:rPr>
          <w:rFonts w:hint="eastAsia" w:ascii="宋体" w:hAnsi="宋体" w:eastAsia="宋体" w:cs="宋体"/>
          <w:b/>
          <w:bCs/>
          <w:color w:val="auto"/>
          <w:kern w:val="0"/>
          <w:sz w:val="28"/>
          <w:szCs w:val="28"/>
          <w:highlight w:val="none"/>
          <w:lang w:val="en-US" w:eastAsia="zh-CN"/>
        </w:rPr>
      </w:pPr>
    </w:p>
    <w:p w14:paraId="07A5793B">
      <w:pPr>
        <w:pStyle w:val="16"/>
        <w:jc w:val="center"/>
        <w:rPr>
          <w:rFonts w:hint="eastAsia" w:ascii="宋体" w:hAnsi="宋体" w:eastAsia="宋体" w:cs="宋体"/>
          <w:b/>
          <w:bCs/>
          <w:color w:val="auto"/>
          <w:kern w:val="0"/>
          <w:sz w:val="28"/>
          <w:szCs w:val="28"/>
          <w:highlight w:val="none"/>
          <w:lang w:val="en-US" w:eastAsia="zh-CN"/>
        </w:rPr>
      </w:pPr>
    </w:p>
    <w:p w14:paraId="70814E80">
      <w:pPr>
        <w:pStyle w:val="16"/>
        <w:jc w:val="center"/>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十</w:t>
      </w:r>
      <w:r>
        <w:rPr>
          <w:rFonts w:hint="eastAsia" w:ascii="宋体" w:hAnsi="宋体" w:cs="宋体"/>
          <w:b/>
          <w:bCs/>
          <w:color w:val="auto"/>
          <w:kern w:val="0"/>
          <w:sz w:val="28"/>
          <w:szCs w:val="28"/>
          <w:highlight w:val="none"/>
          <w:lang w:val="en-US" w:eastAsia="zh-CN"/>
        </w:rPr>
        <w:t>四</w:t>
      </w:r>
      <w:r>
        <w:rPr>
          <w:rFonts w:hint="eastAsia" w:ascii="宋体" w:hAnsi="宋体" w:eastAsia="宋体" w:cs="宋体"/>
          <w:b/>
          <w:bCs/>
          <w:color w:val="auto"/>
          <w:kern w:val="0"/>
          <w:sz w:val="28"/>
          <w:szCs w:val="28"/>
          <w:highlight w:val="none"/>
          <w:lang w:val="en-US" w:eastAsia="zh-CN"/>
        </w:rPr>
        <w:t>、会议策划方案</w:t>
      </w:r>
    </w:p>
    <w:p w14:paraId="25ED735C">
      <w:pPr>
        <w:ind w:firstLine="562" w:firstLineChars="200"/>
        <w:jc w:val="center"/>
        <w:rPr>
          <w:rFonts w:hint="eastAsia" w:ascii="宋体" w:hAnsi="宋体" w:eastAsia="宋体" w:cs="宋体"/>
          <w:b/>
          <w:bCs/>
          <w:color w:val="auto"/>
          <w:kern w:val="0"/>
          <w:sz w:val="28"/>
          <w:szCs w:val="28"/>
          <w:highlight w:val="none"/>
          <w:lang w:val="en-US" w:eastAsia="zh-CN"/>
        </w:rPr>
      </w:pPr>
    </w:p>
    <w:p w14:paraId="65A7BFAB">
      <w:pPr>
        <w:ind w:firstLine="562" w:firstLineChars="200"/>
        <w:jc w:val="center"/>
        <w:rPr>
          <w:rFonts w:hint="eastAsia" w:ascii="宋体" w:hAnsi="宋体" w:eastAsia="宋体" w:cs="宋体"/>
          <w:b/>
          <w:bCs/>
          <w:color w:val="auto"/>
          <w:kern w:val="0"/>
          <w:sz w:val="28"/>
          <w:szCs w:val="28"/>
          <w:highlight w:val="none"/>
          <w:lang w:val="en-US" w:eastAsia="zh-CN"/>
        </w:rPr>
      </w:pPr>
    </w:p>
    <w:p w14:paraId="7602F183">
      <w:pPr>
        <w:ind w:firstLine="562" w:firstLineChars="200"/>
        <w:jc w:val="center"/>
        <w:rPr>
          <w:rFonts w:hint="eastAsia" w:ascii="宋体" w:hAnsi="宋体" w:eastAsia="宋体" w:cs="宋体"/>
          <w:b/>
          <w:bCs/>
          <w:color w:val="auto"/>
          <w:kern w:val="0"/>
          <w:sz w:val="28"/>
          <w:szCs w:val="28"/>
          <w:highlight w:val="none"/>
          <w:lang w:val="en-US" w:eastAsia="zh-CN"/>
        </w:rPr>
      </w:pPr>
    </w:p>
    <w:p w14:paraId="799AF652">
      <w:pPr>
        <w:ind w:firstLine="562" w:firstLineChars="200"/>
        <w:jc w:val="center"/>
        <w:rPr>
          <w:rFonts w:hint="eastAsia" w:ascii="宋体" w:hAnsi="宋体" w:eastAsia="宋体" w:cs="宋体"/>
          <w:b/>
          <w:bCs/>
          <w:color w:val="auto"/>
          <w:kern w:val="0"/>
          <w:sz w:val="28"/>
          <w:szCs w:val="28"/>
          <w:highlight w:val="none"/>
          <w:lang w:val="en-US" w:eastAsia="zh-CN"/>
        </w:rPr>
      </w:pPr>
    </w:p>
    <w:p w14:paraId="3F8ED845">
      <w:pPr>
        <w:ind w:firstLine="562" w:firstLineChars="200"/>
        <w:jc w:val="center"/>
        <w:rPr>
          <w:rFonts w:hint="eastAsia" w:ascii="宋体" w:hAnsi="宋体" w:eastAsia="宋体" w:cs="宋体"/>
          <w:b/>
          <w:bCs/>
          <w:color w:val="auto"/>
          <w:kern w:val="0"/>
          <w:sz w:val="28"/>
          <w:szCs w:val="28"/>
          <w:highlight w:val="none"/>
          <w:lang w:val="en-US" w:eastAsia="zh-CN"/>
        </w:rPr>
      </w:pPr>
    </w:p>
    <w:p w14:paraId="3A21A750">
      <w:pPr>
        <w:ind w:firstLine="562" w:firstLineChars="200"/>
        <w:jc w:val="center"/>
        <w:rPr>
          <w:rFonts w:hint="eastAsia" w:ascii="宋体" w:hAnsi="宋体" w:eastAsia="宋体" w:cs="宋体"/>
          <w:b/>
          <w:bCs/>
          <w:color w:val="auto"/>
          <w:kern w:val="0"/>
          <w:sz w:val="28"/>
          <w:szCs w:val="28"/>
          <w:highlight w:val="none"/>
          <w:lang w:val="en-US" w:eastAsia="zh-CN"/>
        </w:rPr>
      </w:pPr>
    </w:p>
    <w:p w14:paraId="2BAC548D">
      <w:pPr>
        <w:ind w:firstLine="562" w:firstLineChars="200"/>
        <w:jc w:val="center"/>
        <w:rPr>
          <w:rFonts w:hint="eastAsia" w:ascii="宋体" w:hAnsi="宋体" w:eastAsia="宋体" w:cs="宋体"/>
          <w:b/>
          <w:bCs/>
          <w:color w:val="auto"/>
          <w:kern w:val="0"/>
          <w:sz w:val="28"/>
          <w:szCs w:val="28"/>
          <w:highlight w:val="none"/>
          <w:lang w:val="en-US" w:eastAsia="zh-CN"/>
        </w:rPr>
      </w:pPr>
    </w:p>
    <w:p w14:paraId="7354CC29">
      <w:pPr>
        <w:ind w:firstLine="562" w:firstLineChars="200"/>
        <w:jc w:val="center"/>
        <w:rPr>
          <w:rFonts w:hint="eastAsia" w:ascii="宋体" w:hAnsi="宋体" w:eastAsia="宋体" w:cs="宋体"/>
          <w:b/>
          <w:bCs/>
          <w:color w:val="auto"/>
          <w:kern w:val="0"/>
          <w:sz w:val="28"/>
          <w:szCs w:val="28"/>
          <w:highlight w:val="none"/>
          <w:lang w:val="en-US" w:eastAsia="zh-CN"/>
        </w:rPr>
      </w:pPr>
    </w:p>
    <w:p w14:paraId="7BA79B0F">
      <w:pPr>
        <w:ind w:firstLine="562" w:firstLineChars="200"/>
        <w:jc w:val="center"/>
        <w:rPr>
          <w:rFonts w:hint="eastAsia" w:ascii="宋体" w:hAnsi="宋体" w:eastAsia="宋体" w:cs="宋体"/>
          <w:b/>
          <w:bCs/>
          <w:color w:val="auto"/>
          <w:kern w:val="0"/>
          <w:sz w:val="28"/>
          <w:szCs w:val="28"/>
          <w:highlight w:val="none"/>
          <w:lang w:val="en-US" w:eastAsia="zh-CN"/>
        </w:rPr>
      </w:pPr>
    </w:p>
    <w:p w14:paraId="74CF3FD7">
      <w:pPr>
        <w:ind w:firstLine="562" w:firstLineChars="200"/>
        <w:jc w:val="center"/>
        <w:rPr>
          <w:rFonts w:hint="eastAsia" w:ascii="宋体" w:hAnsi="宋体" w:eastAsia="宋体" w:cs="宋体"/>
          <w:b/>
          <w:bCs/>
          <w:color w:val="auto"/>
          <w:kern w:val="0"/>
          <w:sz w:val="28"/>
          <w:szCs w:val="28"/>
          <w:highlight w:val="none"/>
          <w:lang w:val="en-US" w:eastAsia="zh-CN"/>
        </w:rPr>
      </w:pPr>
    </w:p>
    <w:p w14:paraId="616097B6">
      <w:pPr>
        <w:ind w:firstLine="562" w:firstLineChars="200"/>
        <w:jc w:val="center"/>
        <w:rPr>
          <w:rFonts w:hint="eastAsia" w:ascii="宋体" w:hAnsi="宋体" w:eastAsia="宋体" w:cs="宋体"/>
          <w:b/>
          <w:bCs/>
          <w:color w:val="auto"/>
          <w:kern w:val="0"/>
          <w:sz w:val="28"/>
          <w:szCs w:val="28"/>
          <w:highlight w:val="none"/>
          <w:lang w:val="en-US" w:eastAsia="zh-CN"/>
        </w:rPr>
      </w:pPr>
    </w:p>
    <w:p w14:paraId="733403F3">
      <w:pPr>
        <w:ind w:firstLine="562" w:firstLineChars="200"/>
        <w:jc w:val="center"/>
        <w:rPr>
          <w:rFonts w:hint="eastAsia" w:ascii="宋体" w:hAnsi="宋体" w:eastAsia="宋体" w:cs="宋体"/>
          <w:b/>
          <w:bCs/>
          <w:color w:val="auto"/>
          <w:kern w:val="0"/>
          <w:sz w:val="28"/>
          <w:szCs w:val="28"/>
          <w:highlight w:val="none"/>
          <w:lang w:val="en-US" w:eastAsia="zh-CN"/>
        </w:rPr>
      </w:pPr>
    </w:p>
    <w:p w14:paraId="65E56333">
      <w:pPr>
        <w:ind w:firstLine="562" w:firstLineChars="200"/>
        <w:jc w:val="center"/>
        <w:rPr>
          <w:rFonts w:hint="eastAsia" w:ascii="宋体" w:hAnsi="宋体" w:eastAsia="宋体" w:cs="宋体"/>
          <w:b/>
          <w:bCs/>
          <w:color w:val="auto"/>
          <w:kern w:val="0"/>
          <w:sz w:val="28"/>
          <w:szCs w:val="28"/>
          <w:highlight w:val="none"/>
          <w:lang w:val="en-US" w:eastAsia="zh-CN"/>
        </w:rPr>
      </w:pPr>
    </w:p>
    <w:p w14:paraId="4E026D10">
      <w:pPr>
        <w:ind w:firstLine="562" w:firstLineChars="200"/>
        <w:jc w:val="center"/>
        <w:rPr>
          <w:rFonts w:hint="eastAsia" w:ascii="宋体" w:hAnsi="宋体" w:eastAsia="宋体" w:cs="宋体"/>
          <w:b/>
          <w:bCs/>
          <w:color w:val="auto"/>
          <w:kern w:val="0"/>
          <w:sz w:val="28"/>
          <w:szCs w:val="28"/>
          <w:highlight w:val="none"/>
          <w:lang w:val="en-US" w:eastAsia="zh-CN"/>
        </w:rPr>
      </w:pPr>
    </w:p>
    <w:p w14:paraId="37EE53F5">
      <w:pPr>
        <w:ind w:firstLine="562" w:firstLineChars="200"/>
        <w:jc w:val="center"/>
        <w:rPr>
          <w:rFonts w:hint="eastAsia" w:ascii="宋体" w:hAnsi="宋体" w:eastAsia="宋体" w:cs="宋体"/>
          <w:b/>
          <w:bCs/>
          <w:color w:val="auto"/>
          <w:kern w:val="0"/>
          <w:sz w:val="28"/>
          <w:szCs w:val="28"/>
          <w:highlight w:val="none"/>
          <w:lang w:val="en-US" w:eastAsia="zh-CN"/>
        </w:rPr>
      </w:pPr>
    </w:p>
    <w:p w14:paraId="462878B1">
      <w:pPr>
        <w:ind w:firstLine="562" w:firstLineChars="200"/>
        <w:jc w:val="center"/>
        <w:rPr>
          <w:rFonts w:hint="eastAsia" w:ascii="宋体" w:hAnsi="宋体" w:eastAsia="宋体" w:cs="宋体"/>
          <w:b/>
          <w:bCs/>
          <w:color w:val="auto"/>
          <w:kern w:val="0"/>
          <w:sz w:val="28"/>
          <w:szCs w:val="28"/>
          <w:highlight w:val="none"/>
          <w:lang w:val="en-US" w:eastAsia="zh-CN"/>
        </w:rPr>
      </w:pPr>
    </w:p>
    <w:p w14:paraId="3D9088F5">
      <w:pPr>
        <w:ind w:firstLine="562" w:firstLineChars="200"/>
        <w:jc w:val="center"/>
        <w:rPr>
          <w:rFonts w:hint="eastAsia" w:ascii="宋体" w:hAnsi="宋体" w:eastAsia="宋体" w:cs="宋体"/>
          <w:b/>
          <w:bCs/>
          <w:color w:val="auto"/>
          <w:kern w:val="0"/>
          <w:sz w:val="28"/>
          <w:szCs w:val="28"/>
          <w:highlight w:val="none"/>
          <w:lang w:val="en-US" w:eastAsia="zh-CN"/>
        </w:rPr>
      </w:pPr>
    </w:p>
    <w:p w14:paraId="339CFC91">
      <w:pPr>
        <w:ind w:firstLine="562" w:firstLineChars="200"/>
        <w:jc w:val="center"/>
        <w:rPr>
          <w:rFonts w:hint="eastAsia" w:ascii="宋体" w:hAnsi="宋体" w:eastAsia="宋体" w:cs="宋体"/>
          <w:b/>
          <w:bCs/>
          <w:color w:val="auto"/>
          <w:kern w:val="0"/>
          <w:sz w:val="28"/>
          <w:szCs w:val="28"/>
          <w:highlight w:val="none"/>
          <w:lang w:val="en-US" w:eastAsia="zh-CN"/>
        </w:rPr>
      </w:pPr>
    </w:p>
    <w:p w14:paraId="3F95BB5B">
      <w:pPr>
        <w:ind w:firstLine="562" w:firstLineChars="200"/>
        <w:jc w:val="center"/>
        <w:rPr>
          <w:rFonts w:hint="eastAsia" w:ascii="宋体" w:hAnsi="宋体" w:eastAsia="宋体" w:cs="宋体"/>
          <w:b/>
          <w:bCs/>
          <w:color w:val="auto"/>
          <w:kern w:val="0"/>
          <w:sz w:val="28"/>
          <w:szCs w:val="28"/>
          <w:highlight w:val="none"/>
          <w:lang w:val="en-US" w:eastAsia="zh-CN"/>
        </w:rPr>
      </w:pPr>
    </w:p>
    <w:p w14:paraId="45769EE5">
      <w:pPr>
        <w:ind w:firstLine="562" w:firstLineChars="200"/>
        <w:jc w:val="center"/>
        <w:rPr>
          <w:rFonts w:hint="eastAsia" w:ascii="宋体" w:hAnsi="宋体" w:eastAsia="宋体" w:cs="宋体"/>
          <w:b/>
          <w:bCs/>
          <w:color w:val="auto"/>
          <w:kern w:val="0"/>
          <w:sz w:val="28"/>
          <w:szCs w:val="28"/>
          <w:highlight w:val="none"/>
          <w:lang w:val="en-US" w:eastAsia="zh-CN"/>
        </w:rPr>
      </w:pPr>
    </w:p>
    <w:p w14:paraId="378EAC24">
      <w:pPr>
        <w:ind w:firstLine="562" w:firstLineChars="200"/>
        <w:jc w:val="center"/>
        <w:rPr>
          <w:rFonts w:hint="eastAsia" w:ascii="宋体" w:hAnsi="宋体" w:eastAsia="宋体" w:cs="宋体"/>
          <w:b/>
          <w:bCs/>
          <w:color w:val="auto"/>
          <w:kern w:val="0"/>
          <w:sz w:val="28"/>
          <w:szCs w:val="28"/>
          <w:highlight w:val="none"/>
          <w:lang w:val="en-US" w:eastAsia="zh-CN"/>
        </w:rPr>
      </w:pPr>
    </w:p>
    <w:p w14:paraId="7DFC56B5">
      <w:pPr>
        <w:ind w:firstLine="562" w:firstLineChars="200"/>
        <w:jc w:val="center"/>
        <w:rPr>
          <w:rFonts w:hint="eastAsia" w:ascii="宋体" w:hAnsi="宋体" w:eastAsia="宋体" w:cs="宋体"/>
          <w:b/>
          <w:bCs/>
          <w:sz w:val="28"/>
          <w:szCs w:val="28"/>
          <w:lang w:val="en-US" w:eastAsia="zh-CN"/>
        </w:rPr>
      </w:pPr>
      <w:r>
        <w:rPr>
          <w:rFonts w:hint="eastAsia" w:ascii="宋体" w:hAnsi="宋体" w:eastAsia="宋体" w:cs="宋体"/>
          <w:b/>
          <w:bCs/>
          <w:color w:val="auto"/>
          <w:kern w:val="0"/>
          <w:sz w:val="28"/>
          <w:szCs w:val="28"/>
          <w:highlight w:val="none"/>
          <w:lang w:val="en-US" w:eastAsia="zh-CN"/>
        </w:rPr>
        <w:t>十</w:t>
      </w:r>
      <w:r>
        <w:rPr>
          <w:rFonts w:hint="eastAsia" w:ascii="宋体" w:hAnsi="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lang w:val="en-US" w:eastAsia="zh-CN"/>
        </w:rPr>
        <w:t>、后勤服务方案</w:t>
      </w:r>
    </w:p>
    <w:p w14:paraId="084A0684">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66107B4E">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12C95639">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5DF791DB">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6AE27BA1">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3FDE9F6D">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0873625F">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4BDCCABC">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446BE6AE">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28FA5B1E">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58062DC7">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60E53953">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0EE2DA6E">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6EC033EA">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64950C81">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223BB143">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3B6D280D">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1B378955">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611052C7">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543BB2F9">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3501739B">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0EAA1C61">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65997F73">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48061AFE">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67D8E6EB">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2B0682EE">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6A9A4AF7">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203246B1">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04348D2D">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4FE123F5">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4B1F2BBF">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51530E63">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6EEDB1F2">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3DDDE4C8">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val="en-US" w:eastAsia="zh-CN"/>
        </w:rPr>
      </w:pPr>
    </w:p>
    <w:p w14:paraId="50301AD9">
      <w:pPr>
        <w:numPr>
          <w:ilvl w:val="0"/>
          <w:numId w:val="0"/>
        </w:numPr>
        <w:tabs>
          <w:tab w:val="left" w:pos="527"/>
        </w:tabs>
        <w:spacing w:line="400" w:lineRule="exact"/>
        <w:ind w:left="420" w:leftChars="0"/>
        <w:jc w:val="center"/>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val="en-US" w:eastAsia="zh-CN"/>
        </w:rPr>
        <w:t>十</w:t>
      </w:r>
      <w:r>
        <w:rPr>
          <w:rFonts w:hint="eastAsia" w:ascii="宋体" w:hAnsi="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lang w:val="en-US" w:eastAsia="zh-CN"/>
        </w:rPr>
        <w:t>、投标人</w:t>
      </w:r>
      <w:r>
        <w:rPr>
          <w:rFonts w:hint="eastAsia" w:ascii="宋体" w:hAnsi="宋体" w:eastAsia="宋体" w:cs="宋体"/>
          <w:b/>
          <w:bCs/>
          <w:color w:val="auto"/>
          <w:kern w:val="0"/>
          <w:sz w:val="28"/>
          <w:szCs w:val="28"/>
          <w:highlight w:val="none"/>
          <w:lang w:eastAsia="zh-CN"/>
        </w:rPr>
        <w:t>需要说明的其他文件和说明</w:t>
      </w:r>
    </w:p>
    <w:p w14:paraId="2FCA9BAD">
      <w:pPr>
        <w:spacing w:line="440" w:lineRule="atLeast"/>
        <w:ind w:firstLine="420" w:firstLineChars="200"/>
        <w:jc w:val="left"/>
        <w:rPr>
          <w:rFonts w:hint="eastAsia" w:ascii="宋体" w:hAnsi="宋体" w:eastAsia="宋体" w:cs="宋体"/>
          <w:color w:val="auto"/>
          <w:highlight w:val="none"/>
          <w:lang w:eastAsia="zh-CN"/>
        </w:rPr>
      </w:pPr>
    </w:p>
    <w:p w14:paraId="1DD4BC33">
      <w:pPr>
        <w:widowControl/>
        <w:spacing w:line="400" w:lineRule="exact"/>
        <w:jc w:val="center"/>
        <w:rPr>
          <w:rFonts w:ascii="宋体" w:hAnsi="宋体" w:cs="宋体"/>
          <w:b/>
          <w:bCs/>
          <w:color w:val="auto"/>
          <w:kern w:val="0"/>
          <w:sz w:val="30"/>
          <w:szCs w:val="30"/>
          <w:highlight w:val="none"/>
        </w:rPr>
      </w:pPr>
    </w:p>
    <w:p w14:paraId="0A075609">
      <w:pPr>
        <w:widowControl/>
        <w:spacing w:line="400" w:lineRule="exact"/>
        <w:jc w:val="center"/>
        <w:rPr>
          <w:rFonts w:ascii="宋体" w:hAnsi="宋体" w:cs="宋体"/>
          <w:b/>
          <w:bCs/>
          <w:color w:val="auto"/>
          <w:kern w:val="0"/>
          <w:sz w:val="30"/>
          <w:szCs w:val="30"/>
          <w:highlight w:val="none"/>
        </w:rPr>
      </w:pPr>
    </w:p>
    <w:p w14:paraId="1D438B90">
      <w:pPr>
        <w:widowControl/>
        <w:spacing w:line="400" w:lineRule="exact"/>
        <w:jc w:val="center"/>
        <w:rPr>
          <w:rFonts w:ascii="宋体" w:hAnsi="宋体" w:cs="宋体"/>
          <w:b/>
          <w:bCs/>
          <w:color w:val="auto"/>
          <w:kern w:val="0"/>
          <w:sz w:val="30"/>
          <w:szCs w:val="30"/>
          <w:highlight w:val="none"/>
        </w:rPr>
      </w:pPr>
    </w:p>
    <w:bookmarkEnd w:id="149"/>
    <w:bookmarkEnd w:id="150"/>
    <w:bookmarkEnd w:id="151"/>
    <w:bookmarkEnd w:id="170"/>
    <w:bookmarkEnd w:id="171"/>
    <w:p w14:paraId="66F0B67A">
      <w:pPr>
        <w:pStyle w:val="19"/>
        <w:tabs>
          <w:tab w:val="right" w:leader="dot" w:pos="9061"/>
        </w:tabs>
        <w:spacing w:line="360" w:lineRule="auto"/>
        <w:ind w:left="0" w:leftChars="0"/>
        <w:jc w:val="center"/>
        <w:rPr>
          <w:rFonts w:hint="eastAsia" w:ascii="黑体" w:hAnsi="黑体" w:eastAsia="黑体" w:cs="黑体"/>
          <w:color w:val="auto"/>
          <w:sz w:val="44"/>
          <w:szCs w:val="44"/>
          <w:highlight w:val="none"/>
        </w:rPr>
      </w:pPr>
      <w:bookmarkStart w:id="172" w:name="_Toc393201763"/>
      <w:bookmarkStart w:id="173" w:name="_Toc392080815"/>
      <w:bookmarkStart w:id="174" w:name="_Toc387831536"/>
      <w:bookmarkStart w:id="175" w:name="_Toc16936"/>
      <w:bookmarkStart w:id="176" w:name="_Toc336331393"/>
    </w:p>
    <w:p w14:paraId="10500601">
      <w:pPr>
        <w:pStyle w:val="19"/>
        <w:tabs>
          <w:tab w:val="right" w:leader="dot" w:pos="9061"/>
        </w:tabs>
        <w:spacing w:line="360" w:lineRule="auto"/>
        <w:ind w:left="0" w:leftChars="0"/>
        <w:jc w:val="center"/>
        <w:rPr>
          <w:rFonts w:hint="eastAsia" w:ascii="黑体" w:hAnsi="黑体" w:eastAsia="黑体" w:cs="黑体"/>
          <w:color w:val="auto"/>
          <w:sz w:val="44"/>
          <w:szCs w:val="44"/>
          <w:highlight w:val="none"/>
        </w:rPr>
      </w:pPr>
    </w:p>
    <w:p w14:paraId="5234C61F">
      <w:pPr>
        <w:pStyle w:val="19"/>
        <w:tabs>
          <w:tab w:val="right" w:leader="dot" w:pos="9061"/>
        </w:tabs>
        <w:spacing w:line="360" w:lineRule="auto"/>
        <w:ind w:left="0" w:leftChars="0"/>
        <w:jc w:val="center"/>
        <w:rPr>
          <w:rFonts w:hint="eastAsia" w:ascii="黑体" w:hAnsi="黑体" w:eastAsia="黑体" w:cs="黑体"/>
          <w:color w:val="auto"/>
          <w:sz w:val="44"/>
          <w:szCs w:val="44"/>
          <w:highlight w:val="none"/>
        </w:rPr>
      </w:pPr>
    </w:p>
    <w:p w14:paraId="7392075E">
      <w:pPr>
        <w:pStyle w:val="19"/>
        <w:tabs>
          <w:tab w:val="right" w:leader="dot" w:pos="9061"/>
        </w:tabs>
        <w:spacing w:line="360" w:lineRule="auto"/>
        <w:ind w:left="0" w:leftChars="0"/>
        <w:jc w:val="center"/>
        <w:rPr>
          <w:rFonts w:hint="eastAsia" w:ascii="黑体" w:hAnsi="黑体" w:eastAsia="黑体" w:cs="黑体"/>
          <w:color w:val="auto"/>
          <w:sz w:val="44"/>
          <w:szCs w:val="44"/>
          <w:highlight w:val="none"/>
        </w:rPr>
      </w:pPr>
    </w:p>
    <w:p w14:paraId="74B13456">
      <w:pPr>
        <w:pStyle w:val="19"/>
        <w:tabs>
          <w:tab w:val="right" w:leader="dot" w:pos="9061"/>
        </w:tabs>
        <w:spacing w:line="360" w:lineRule="auto"/>
        <w:ind w:left="0" w:leftChars="0"/>
        <w:jc w:val="center"/>
        <w:rPr>
          <w:rFonts w:hint="eastAsia" w:ascii="黑体" w:hAnsi="黑体" w:eastAsia="黑体" w:cs="黑体"/>
          <w:color w:val="auto"/>
          <w:sz w:val="44"/>
          <w:szCs w:val="44"/>
          <w:highlight w:val="none"/>
        </w:rPr>
      </w:pPr>
    </w:p>
    <w:p w14:paraId="589AA2EE">
      <w:pPr>
        <w:pStyle w:val="19"/>
        <w:tabs>
          <w:tab w:val="right" w:leader="dot" w:pos="9061"/>
        </w:tabs>
        <w:spacing w:line="360" w:lineRule="auto"/>
        <w:ind w:left="0" w:leftChars="0"/>
        <w:jc w:val="center"/>
        <w:rPr>
          <w:rFonts w:hint="eastAsia" w:ascii="黑体" w:hAnsi="黑体" w:eastAsia="黑体" w:cs="黑体"/>
          <w:color w:val="auto"/>
          <w:sz w:val="44"/>
          <w:szCs w:val="44"/>
          <w:highlight w:val="none"/>
        </w:rPr>
      </w:pPr>
    </w:p>
    <w:p w14:paraId="1F4712EA">
      <w:pPr>
        <w:pStyle w:val="19"/>
        <w:tabs>
          <w:tab w:val="right" w:leader="dot" w:pos="9061"/>
        </w:tabs>
        <w:spacing w:line="360" w:lineRule="auto"/>
        <w:ind w:left="0" w:leftChars="0"/>
        <w:jc w:val="center"/>
        <w:rPr>
          <w:rFonts w:hint="eastAsia" w:ascii="黑体" w:hAnsi="黑体" w:eastAsia="黑体" w:cs="黑体"/>
          <w:color w:val="auto"/>
          <w:sz w:val="44"/>
          <w:szCs w:val="44"/>
          <w:highlight w:val="none"/>
        </w:rPr>
      </w:pPr>
    </w:p>
    <w:p w14:paraId="50CEDC28">
      <w:pPr>
        <w:pStyle w:val="19"/>
        <w:tabs>
          <w:tab w:val="right" w:leader="dot" w:pos="9061"/>
        </w:tabs>
        <w:spacing w:line="360" w:lineRule="auto"/>
        <w:ind w:left="0" w:leftChars="0"/>
        <w:jc w:val="center"/>
        <w:rPr>
          <w:rFonts w:hint="eastAsia" w:ascii="黑体" w:hAnsi="黑体" w:eastAsia="黑体" w:cs="黑体"/>
          <w:color w:val="auto"/>
          <w:sz w:val="44"/>
          <w:szCs w:val="44"/>
          <w:highlight w:val="none"/>
        </w:rPr>
      </w:pPr>
    </w:p>
    <w:p w14:paraId="528A76DA">
      <w:pPr>
        <w:pStyle w:val="19"/>
        <w:tabs>
          <w:tab w:val="right" w:leader="dot" w:pos="9061"/>
        </w:tabs>
        <w:spacing w:line="360" w:lineRule="auto"/>
        <w:ind w:left="0" w:leftChars="0"/>
        <w:jc w:val="center"/>
        <w:rPr>
          <w:rFonts w:hint="eastAsia" w:ascii="黑体" w:hAnsi="黑体" w:eastAsia="黑体" w:cs="黑体"/>
          <w:color w:val="auto"/>
          <w:sz w:val="44"/>
          <w:szCs w:val="44"/>
          <w:highlight w:val="none"/>
        </w:rPr>
      </w:pPr>
    </w:p>
    <w:p w14:paraId="105C4763">
      <w:pPr>
        <w:pStyle w:val="19"/>
        <w:tabs>
          <w:tab w:val="right" w:leader="dot" w:pos="9061"/>
        </w:tabs>
        <w:spacing w:line="360" w:lineRule="auto"/>
        <w:ind w:left="0" w:leftChars="0"/>
        <w:jc w:val="center"/>
        <w:rPr>
          <w:rFonts w:hint="eastAsia" w:ascii="黑体" w:hAnsi="黑体" w:eastAsia="黑体" w:cs="黑体"/>
          <w:color w:val="auto"/>
          <w:sz w:val="44"/>
          <w:szCs w:val="44"/>
          <w:highlight w:val="none"/>
        </w:rPr>
      </w:pPr>
    </w:p>
    <w:p w14:paraId="06D44F7B">
      <w:pPr>
        <w:pStyle w:val="19"/>
        <w:tabs>
          <w:tab w:val="right" w:leader="dot" w:pos="9061"/>
        </w:tabs>
        <w:spacing w:line="360" w:lineRule="auto"/>
        <w:ind w:left="0" w:leftChars="0"/>
        <w:jc w:val="center"/>
        <w:rPr>
          <w:rFonts w:hint="eastAsia" w:ascii="黑体" w:hAnsi="黑体" w:eastAsia="黑体" w:cs="黑体"/>
          <w:color w:val="auto"/>
          <w:sz w:val="44"/>
          <w:szCs w:val="44"/>
          <w:highlight w:val="none"/>
        </w:rPr>
      </w:pPr>
    </w:p>
    <w:p w14:paraId="4DF42008">
      <w:pPr>
        <w:pStyle w:val="19"/>
        <w:tabs>
          <w:tab w:val="right" w:leader="dot" w:pos="9061"/>
        </w:tabs>
        <w:spacing w:line="360" w:lineRule="auto"/>
        <w:ind w:left="0" w:leftChars="0"/>
        <w:jc w:val="center"/>
        <w:rPr>
          <w:rFonts w:hint="eastAsia" w:ascii="黑体" w:hAnsi="黑体" w:eastAsia="黑体" w:cs="黑体"/>
          <w:color w:val="auto"/>
          <w:sz w:val="44"/>
          <w:szCs w:val="44"/>
          <w:highlight w:val="none"/>
        </w:rPr>
      </w:pPr>
    </w:p>
    <w:p w14:paraId="59640192">
      <w:pPr>
        <w:pStyle w:val="19"/>
        <w:tabs>
          <w:tab w:val="right" w:leader="dot" w:pos="9061"/>
        </w:tabs>
        <w:spacing w:line="360" w:lineRule="auto"/>
        <w:ind w:left="0" w:leftChars="0"/>
        <w:jc w:val="center"/>
        <w:rPr>
          <w:rFonts w:hint="eastAsia" w:ascii="黑体" w:hAnsi="黑体" w:eastAsia="黑体" w:cs="黑体"/>
          <w:color w:val="auto"/>
          <w:sz w:val="44"/>
          <w:szCs w:val="44"/>
          <w:highlight w:val="none"/>
        </w:rPr>
      </w:pPr>
    </w:p>
    <w:p w14:paraId="667EA6D2">
      <w:pPr>
        <w:pStyle w:val="19"/>
        <w:tabs>
          <w:tab w:val="right" w:leader="dot" w:pos="9061"/>
        </w:tabs>
        <w:spacing w:line="360" w:lineRule="auto"/>
        <w:ind w:left="0" w:leftChars="0"/>
        <w:jc w:val="center"/>
        <w:rPr>
          <w:rFonts w:hint="eastAsia" w:ascii="黑体" w:hAnsi="黑体" w:eastAsia="黑体" w:cs="黑体"/>
          <w:color w:val="auto"/>
          <w:sz w:val="44"/>
          <w:szCs w:val="44"/>
          <w:highlight w:val="none"/>
        </w:rPr>
      </w:pPr>
    </w:p>
    <w:p w14:paraId="4A7F2A92">
      <w:pPr>
        <w:pStyle w:val="19"/>
        <w:tabs>
          <w:tab w:val="right" w:leader="dot" w:pos="9061"/>
        </w:tabs>
        <w:spacing w:line="360" w:lineRule="auto"/>
        <w:ind w:left="0" w:leftChars="0"/>
        <w:jc w:val="center"/>
        <w:rPr>
          <w:rFonts w:hint="eastAsia" w:ascii="黑体" w:hAnsi="黑体" w:eastAsia="黑体" w:cs="黑体"/>
          <w:color w:val="auto"/>
          <w:sz w:val="44"/>
          <w:szCs w:val="44"/>
          <w:highlight w:val="none"/>
        </w:rPr>
      </w:pPr>
    </w:p>
    <w:p w14:paraId="4B394D6E">
      <w:pPr>
        <w:pStyle w:val="19"/>
        <w:tabs>
          <w:tab w:val="right" w:leader="dot" w:pos="9061"/>
        </w:tabs>
        <w:spacing w:line="360" w:lineRule="auto"/>
        <w:ind w:left="0" w:leftChars="0"/>
        <w:jc w:val="center"/>
        <w:rPr>
          <w:rFonts w:hint="eastAsia" w:ascii="黑体" w:hAnsi="黑体" w:eastAsia="黑体" w:cs="黑体"/>
          <w:color w:val="auto"/>
          <w:sz w:val="44"/>
          <w:szCs w:val="44"/>
          <w:highlight w:val="none"/>
        </w:rPr>
      </w:pPr>
    </w:p>
    <w:p w14:paraId="47D88D47">
      <w:pPr>
        <w:pStyle w:val="19"/>
        <w:tabs>
          <w:tab w:val="right" w:leader="dot" w:pos="9061"/>
        </w:tabs>
        <w:spacing w:line="360" w:lineRule="auto"/>
        <w:ind w:left="0" w:leftChars="0"/>
        <w:jc w:val="center"/>
        <w:rPr>
          <w:rFonts w:hint="eastAsia" w:ascii="黑体" w:hAnsi="黑体" w:eastAsia="黑体" w:cs="黑体"/>
          <w:color w:val="auto"/>
          <w:sz w:val="44"/>
          <w:szCs w:val="44"/>
          <w:highlight w:val="none"/>
        </w:rPr>
      </w:pPr>
    </w:p>
    <w:p w14:paraId="6D4BD828">
      <w:pPr>
        <w:pStyle w:val="19"/>
        <w:tabs>
          <w:tab w:val="right" w:leader="dot" w:pos="9061"/>
        </w:tabs>
        <w:spacing w:line="360" w:lineRule="auto"/>
        <w:ind w:left="0" w:leftChars="0"/>
        <w:jc w:val="center"/>
        <w:rPr>
          <w:rFonts w:hint="eastAsia" w:ascii="黑体" w:hAnsi="黑体" w:eastAsia="黑体" w:cs="黑体"/>
          <w:color w:val="auto"/>
          <w:sz w:val="44"/>
          <w:szCs w:val="44"/>
          <w:highlight w:val="none"/>
        </w:rPr>
      </w:pPr>
    </w:p>
    <w:p w14:paraId="42BC9147">
      <w:pPr>
        <w:pStyle w:val="19"/>
        <w:tabs>
          <w:tab w:val="right" w:leader="dot" w:pos="9061"/>
        </w:tabs>
        <w:spacing w:line="360" w:lineRule="auto"/>
        <w:ind w:left="0" w:leftChars="0"/>
        <w:jc w:val="center"/>
        <w:rPr>
          <w:rFonts w:hint="eastAsia" w:ascii="黑体" w:hAnsi="黑体" w:eastAsia="黑体" w:cs="黑体"/>
          <w:color w:val="auto"/>
          <w:sz w:val="44"/>
          <w:szCs w:val="44"/>
          <w:highlight w:val="none"/>
        </w:rPr>
      </w:pPr>
    </w:p>
    <w:p w14:paraId="71A959AB">
      <w:pPr>
        <w:pStyle w:val="19"/>
        <w:tabs>
          <w:tab w:val="right" w:leader="dot" w:pos="9061"/>
        </w:tabs>
        <w:spacing w:line="360" w:lineRule="auto"/>
        <w:ind w:left="0" w:leftChars="0"/>
        <w:jc w:val="center"/>
        <w:rPr>
          <w:rFonts w:hint="eastAsia" w:ascii="黑体" w:hAnsi="黑体" w:eastAsia="黑体" w:cs="黑体"/>
          <w:color w:val="auto"/>
          <w:sz w:val="44"/>
          <w:szCs w:val="44"/>
          <w:highlight w:val="none"/>
        </w:rPr>
      </w:pPr>
    </w:p>
    <w:p w14:paraId="0A32B04E">
      <w:pPr>
        <w:pStyle w:val="19"/>
        <w:tabs>
          <w:tab w:val="right" w:leader="dot" w:pos="9061"/>
        </w:tabs>
        <w:spacing w:line="360" w:lineRule="auto"/>
        <w:ind w:left="0" w:leftChars="0"/>
        <w:jc w:val="center"/>
        <w:rPr>
          <w:rFonts w:hint="eastAsia" w:ascii="黑体" w:hAnsi="黑体" w:eastAsia="黑体" w:cs="黑体"/>
          <w:color w:val="auto"/>
          <w:sz w:val="44"/>
          <w:szCs w:val="44"/>
          <w:highlight w:val="none"/>
        </w:rPr>
      </w:pPr>
    </w:p>
    <w:p w14:paraId="62D4D70F">
      <w:pPr>
        <w:pStyle w:val="19"/>
        <w:tabs>
          <w:tab w:val="right" w:leader="dot" w:pos="9061"/>
        </w:tabs>
        <w:spacing w:line="360" w:lineRule="auto"/>
        <w:ind w:left="0" w:leftChars="0"/>
        <w:jc w:val="center"/>
        <w:rPr>
          <w:rFonts w:hint="eastAsia" w:ascii="黑体" w:hAnsi="黑体" w:eastAsia="黑体" w:cs="黑体"/>
          <w:color w:val="auto"/>
          <w:sz w:val="44"/>
          <w:szCs w:val="44"/>
          <w:highlight w:val="none"/>
        </w:rPr>
      </w:pPr>
    </w:p>
    <w:p w14:paraId="31D7184F">
      <w:pPr>
        <w:pStyle w:val="19"/>
        <w:tabs>
          <w:tab w:val="right" w:leader="dot" w:pos="9061"/>
        </w:tabs>
        <w:spacing w:line="360" w:lineRule="auto"/>
        <w:ind w:left="0" w:leftChars="0"/>
        <w:jc w:val="center"/>
        <w:rPr>
          <w:rFonts w:hint="eastAsia" w:ascii="黑体" w:hAnsi="黑体" w:eastAsia="黑体" w:cs="黑体"/>
          <w:color w:val="auto"/>
          <w:sz w:val="44"/>
          <w:szCs w:val="44"/>
          <w:highlight w:val="none"/>
        </w:rPr>
      </w:pPr>
    </w:p>
    <w:p w14:paraId="10D165BC">
      <w:pPr>
        <w:pStyle w:val="19"/>
        <w:tabs>
          <w:tab w:val="right" w:leader="dot" w:pos="9061"/>
        </w:tabs>
        <w:spacing w:line="360" w:lineRule="auto"/>
        <w:ind w:left="0" w:leftChars="0"/>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报价文件</w:t>
      </w:r>
      <w:bookmarkEnd w:id="172"/>
      <w:bookmarkEnd w:id="173"/>
      <w:bookmarkEnd w:id="174"/>
      <w:bookmarkEnd w:id="175"/>
      <w:bookmarkEnd w:id="176"/>
    </w:p>
    <w:p w14:paraId="44A8554F">
      <w:pPr>
        <w:spacing w:line="440" w:lineRule="atLeast"/>
        <w:rPr>
          <w:rFonts w:ascii="黑体" w:hAnsi="黑体" w:eastAsia="黑体" w:cs="黑体"/>
          <w:color w:val="auto"/>
          <w:sz w:val="32"/>
          <w:szCs w:val="32"/>
          <w:highlight w:val="none"/>
        </w:rPr>
      </w:pPr>
    </w:p>
    <w:p w14:paraId="10EFAF84">
      <w:pPr>
        <w:spacing w:line="440" w:lineRule="atLeast"/>
        <w:jc w:val="center"/>
        <w:rPr>
          <w:rFonts w:ascii="黑体" w:hAnsi="黑体" w:eastAsia="黑体" w:cs="黑体"/>
          <w:color w:val="auto"/>
          <w:sz w:val="32"/>
          <w:szCs w:val="32"/>
          <w:highlight w:val="none"/>
        </w:rPr>
      </w:pPr>
    </w:p>
    <w:p w14:paraId="5A2E3729">
      <w:pPr>
        <w:spacing w:line="440" w:lineRule="atLeast"/>
        <w:rPr>
          <w:rFonts w:hint="default" w:ascii="黑体" w:hAnsi="宋体" w:eastAsia="黑体"/>
          <w:color w:val="auto"/>
          <w:sz w:val="28"/>
          <w:szCs w:val="28"/>
          <w:highlight w:val="none"/>
          <w:lang w:val="en-US" w:eastAsia="zh-CN"/>
        </w:rPr>
      </w:pPr>
      <w:r>
        <w:rPr>
          <w:rFonts w:hint="eastAsia" w:ascii="黑体" w:hAnsi="宋体" w:eastAsia="黑体"/>
          <w:color w:val="auto"/>
          <w:sz w:val="28"/>
          <w:szCs w:val="28"/>
          <w:highlight w:val="none"/>
        </w:rPr>
        <w:t>项目名称：</w:t>
      </w:r>
      <w:r>
        <w:rPr>
          <w:rFonts w:hint="eastAsia" w:ascii="黑体" w:hAnsi="宋体" w:eastAsia="黑体"/>
          <w:color w:val="auto"/>
          <w:sz w:val="28"/>
          <w:szCs w:val="28"/>
          <w:highlight w:val="none"/>
          <w:u w:val="single"/>
          <w:lang w:eastAsia="zh-CN"/>
        </w:rPr>
        <w:t>浙江省第十二届残疾人运动会盲人跳绳比赛整体赛事执行服务</w:t>
      </w:r>
      <w:r>
        <w:rPr>
          <w:rFonts w:hint="eastAsia" w:ascii="黑体" w:hAnsi="宋体" w:eastAsia="黑体"/>
          <w:color w:val="auto"/>
          <w:sz w:val="28"/>
          <w:szCs w:val="28"/>
          <w:highlight w:val="none"/>
          <w:u w:val="single"/>
          <w:lang w:val="en-US" w:eastAsia="zh-CN"/>
        </w:rPr>
        <w:t xml:space="preserve">  </w:t>
      </w:r>
      <w:r>
        <w:rPr>
          <w:rFonts w:hint="eastAsia" w:ascii="黑体" w:hAnsi="宋体" w:eastAsia="黑体"/>
          <w:color w:val="auto"/>
          <w:sz w:val="24"/>
          <w:szCs w:val="24"/>
          <w:highlight w:val="none"/>
          <w:u w:val="single"/>
          <w:lang w:val="en-US" w:eastAsia="zh-CN"/>
        </w:rPr>
        <w:t xml:space="preserve">                       </w:t>
      </w:r>
    </w:p>
    <w:p w14:paraId="267CAD5F">
      <w:pPr>
        <w:pStyle w:val="36"/>
        <w:rPr>
          <w:color w:val="auto"/>
          <w:highlight w:val="none"/>
        </w:rPr>
      </w:pPr>
    </w:p>
    <w:p w14:paraId="6E1E8597">
      <w:pPr>
        <w:pStyle w:val="2"/>
        <w:ind w:firstLine="420" w:firstLineChars="200"/>
        <w:rPr>
          <w:color w:val="auto"/>
          <w:highlight w:val="none"/>
        </w:rPr>
      </w:pPr>
    </w:p>
    <w:p w14:paraId="459FA0EB">
      <w:pPr>
        <w:spacing w:line="440" w:lineRule="atLeast"/>
        <w:rPr>
          <w:rFonts w:hint="default" w:ascii="黑体" w:hAnsi="宋体" w:eastAsia="黑体"/>
          <w:color w:val="auto"/>
          <w:sz w:val="28"/>
          <w:szCs w:val="28"/>
          <w:highlight w:val="none"/>
          <w:u w:val="single"/>
          <w:lang w:val="en-US" w:eastAsia="zh-CN"/>
        </w:rPr>
      </w:pPr>
      <w:r>
        <w:rPr>
          <w:rFonts w:hint="eastAsia" w:ascii="黑体" w:hAnsi="宋体" w:eastAsia="黑体"/>
          <w:color w:val="auto"/>
          <w:sz w:val="28"/>
          <w:szCs w:val="28"/>
          <w:highlight w:val="none"/>
        </w:rPr>
        <w:t>项目编号：</w:t>
      </w:r>
      <w:r>
        <w:rPr>
          <w:rFonts w:hint="eastAsia" w:ascii="黑体" w:hAnsi="宋体" w:eastAsia="黑体"/>
          <w:color w:val="auto"/>
          <w:sz w:val="28"/>
          <w:szCs w:val="28"/>
          <w:highlight w:val="none"/>
          <w:u w:val="single"/>
        </w:rPr>
        <w:tab/>
      </w:r>
      <w:r>
        <w:rPr>
          <w:rFonts w:hint="eastAsia" w:ascii="黑体" w:hAnsi="宋体" w:eastAsia="黑体"/>
          <w:color w:val="auto"/>
          <w:sz w:val="28"/>
          <w:szCs w:val="28"/>
          <w:highlight w:val="none"/>
          <w:u w:val="single"/>
          <w:lang w:val="en-US" w:eastAsia="zh-CN"/>
        </w:rPr>
        <w:t xml:space="preserve">               </w:t>
      </w:r>
      <w:r>
        <w:rPr>
          <w:rFonts w:hint="eastAsia" w:ascii="黑体" w:hAnsi="宋体" w:eastAsia="黑体"/>
          <w:color w:val="auto"/>
          <w:sz w:val="28"/>
          <w:szCs w:val="28"/>
          <w:highlight w:val="none"/>
          <w:u w:val="single"/>
          <w:lang w:eastAsia="zh-CN"/>
        </w:rPr>
        <w:t>ZJJSKH-2026-MRTS</w:t>
      </w:r>
      <w:r>
        <w:rPr>
          <w:rFonts w:hint="eastAsia" w:ascii="黑体" w:hAnsi="宋体" w:eastAsia="黑体"/>
          <w:color w:val="auto"/>
          <w:sz w:val="28"/>
          <w:szCs w:val="28"/>
          <w:highlight w:val="none"/>
          <w:u w:val="single"/>
          <w:lang w:val="en-US" w:eastAsia="zh-CN"/>
        </w:rPr>
        <w:t xml:space="preserve">                         </w:t>
      </w:r>
    </w:p>
    <w:p w14:paraId="40D33DAC">
      <w:pPr>
        <w:spacing w:line="440" w:lineRule="atLeast"/>
        <w:ind w:firstLine="560" w:firstLineChars="200"/>
        <w:jc w:val="left"/>
        <w:rPr>
          <w:rFonts w:ascii="黑体" w:hAnsi="宋体" w:eastAsia="黑体"/>
          <w:color w:val="auto"/>
          <w:sz w:val="28"/>
          <w:szCs w:val="28"/>
          <w:highlight w:val="none"/>
        </w:rPr>
      </w:pPr>
    </w:p>
    <w:p w14:paraId="19C48FC1">
      <w:pPr>
        <w:pStyle w:val="36"/>
        <w:rPr>
          <w:color w:val="auto"/>
          <w:highlight w:val="none"/>
        </w:rPr>
      </w:pPr>
    </w:p>
    <w:p w14:paraId="58E47A9C">
      <w:pPr>
        <w:spacing w:line="440" w:lineRule="atLeast"/>
        <w:jc w:val="left"/>
        <w:rPr>
          <w:rFonts w:ascii="黑体" w:hAnsi="宋体" w:eastAsia="黑体"/>
          <w:color w:val="auto"/>
          <w:sz w:val="28"/>
          <w:szCs w:val="28"/>
          <w:highlight w:val="none"/>
        </w:rPr>
      </w:pPr>
      <w:r>
        <w:rPr>
          <w:rFonts w:hint="eastAsia" w:ascii="黑体" w:hAnsi="宋体" w:eastAsia="黑体"/>
          <w:color w:val="auto"/>
          <w:sz w:val="28"/>
          <w:szCs w:val="28"/>
          <w:highlight w:val="none"/>
          <w:lang w:val="en-US" w:eastAsia="zh-CN"/>
        </w:rPr>
        <w:t>投标人</w:t>
      </w:r>
      <w:r>
        <w:rPr>
          <w:rFonts w:hint="eastAsia" w:ascii="黑体" w:hAnsi="宋体" w:eastAsia="黑体"/>
          <w:color w:val="auto"/>
          <w:sz w:val="28"/>
          <w:szCs w:val="28"/>
          <w:highlight w:val="none"/>
        </w:rPr>
        <w:t>名称：</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u w:val="single"/>
          <w:lang w:val="en-US" w:eastAsia="zh-CN"/>
        </w:rPr>
        <w:t xml:space="preserve">       </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u w:val="single"/>
          <w:lang w:val="en-US" w:eastAsia="zh-CN"/>
        </w:rPr>
        <w:t xml:space="preserve">      </w:t>
      </w:r>
      <w:r>
        <w:rPr>
          <w:rFonts w:hint="eastAsia" w:ascii="黑体" w:hAnsi="宋体" w:eastAsia="黑体"/>
          <w:color w:val="auto"/>
          <w:sz w:val="28"/>
          <w:szCs w:val="28"/>
          <w:highlight w:val="none"/>
          <w:u w:val="single"/>
        </w:rPr>
        <w:t>（电子签章）</w:t>
      </w:r>
    </w:p>
    <w:p w14:paraId="16333CB4">
      <w:pPr>
        <w:spacing w:line="440" w:lineRule="atLeast"/>
        <w:ind w:firstLine="562" w:firstLineChars="200"/>
        <w:jc w:val="left"/>
        <w:rPr>
          <w:rFonts w:ascii="黑体" w:hAnsi="黑体" w:eastAsia="黑体" w:cs="黑体"/>
          <w:b/>
          <w:bCs/>
          <w:color w:val="auto"/>
          <w:sz w:val="28"/>
          <w:szCs w:val="28"/>
          <w:highlight w:val="none"/>
        </w:rPr>
      </w:pPr>
    </w:p>
    <w:p w14:paraId="6B385C70">
      <w:pPr>
        <w:spacing w:line="440" w:lineRule="atLeast"/>
        <w:ind w:firstLine="562" w:firstLineChars="200"/>
        <w:jc w:val="left"/>
        <w:rPr>
          <w:rFonts w:ascii="黑体" w:hAnsi="黑体" w:eastAsia="黑体" w:cs="黑体"/>
          <w:b/>
          <w:bCs/>
          <w:color w:val="auto"/>
          <w:sz w:val="28"/>
          <w:szCs w:val="28"/>
          <w:highlight w:val="none"/>
        </w:rPr>
      </w:pPr>
    </w:p>
    <w:p w14:paraId="24A08054">
      <w:pPr>
        <w:spacing w:line="440" w:lineRule="atLeast"/>
        <w:jc w:val="center"/>
        <w:rPr>
          <w:rFonts w:ascii="黑体" w:hAnsi="黑体" w:eastAsia="黑体" w:cs="黑体"/>
          <w:b/>
          <w:bCs/>
          <w:color w:val="auto"/>
          <w:sz w:val="28"/>
          <w:szCs w:val="28"/>
          <w:highlight w:val="none"/>
        </w:rPr>
      </w:pPr>
    </w:p>
    <w:p w14:paraId="05332430">
      <w:pPr>
        <w:spacing w:line="440" w:lineRule="atLeast"/>
        <w:ind w:firstLine="2530" w:firstLineChars="900"/>
        <w:rPr>
          <w:rFonts w:hint="default" w:ascii="宋体" w:hAnsi="宋体" w:cs="宋体"/>
          <w:b/>
          <w:color w:val="auto"/>
          <w:sz w:val="30"/>
          <w:szCs w:val="30"/>
          <w:highlight w:val="none"/>
        </w:rPr>
      </w:pPr>
      <w:r>
        <w:rPr>
          <w:rFonts w:hint="default" w:ascii="宋体" w:hAnsi="宋体" w:cs="宋体"/>
          <w:b/>
          <w:color w:val="auto"/>
          <w:sz w:val="28"/>
          <w:szCs w:val="28"/>
          <w:highlight w:val="none"/>
          <w:u w:val="single"/>
        </w:rPr>
        <w:t xml:space="preserve">         </w:t>
      </w:r>
      <w:r>
        <w:rPr>
          <w:rFonts w:hint="default" w:ascii="宋体" w:hAnsi="宋体" w:cs="宋体"/>
          <w:b/>
          <w:color w:val="auto"/>
          <w:sz w:val="28"/>
          <w:szCs w:val="28"/>
          <w:highlight w:val="none"/>
        </w:rPr>
        <w:t>年</w:t>
      </w:r>
      <w:r>
        <w:rPr>
          <w:rFonts w:hint="default" w:ascii="宋体" w:hAnsi="宋体" w:cs="宋体"/>
          <w:b/>
          <w:color w:val="auto"/>
          <w:sz w:val="28"/>
          <w:szCs w:val="28"/>
          <w:highlight w:val="none"/>
          <w:u w:val="single"/>
        </w:rPr>
        <w:t xml:space="preserve">         </w:t>
      </w:r>
      <w:r>
        <w:rPr>
          <w:rFonts w:hint="default" w:ascii="宋体" w:hAnsi="宋体" w:cs="宋体"/>
          <w:b/>
          <w:color w:val="auto"/>
          <w:sz w:val="28"/>
          <w:szCs w:val="28"/>
          <w:highlight w:val="none"/>
        </w:rPr>
        <w:t>月</w:t>
      </w:r>
      <w:r>
        <w:rPr>
          <w:rFonts w:hint="default" w:ascii="宋体" w:hAnsi="宋体" w:cs="宋体"/>
          <w:b/>
          <w:color w:val="auto"/>
          <w:sz w:val="28"/>
          <w:szCs w:val="28"/>
          <w:highlight w:val="none"/>
          <w:u w:val="single"/>
        </w:rPr>
        <w:t xml:space="preserve">         </w:t>
      </w:r>
      <w:r>
        <w:rPr>
          <w:rFonts w:hint="default" w:ascii="宋体" w:hAnsi="宋体" w:cs="宋体"/>
          <w:b/>
          <w:color w:val="auto"/>
          <w:sz w:val="28"/>
          <w:szCs w:val="28"/>
          <w:highlight w:val="none"/>
        </w:rPr>
        <w:t>日</w:t>
      </w:r>
    </w:p>
    <w:p w14:paraId="73F662E1">
      <w:pPr>
        <w:jc w:val="center"/>
        <w:rPr>
          <w:rFonts w:ascii="宋体" w:cs="Times New Roman"/>
          <w:b/>
          <w:bCs/>
          <w:color w:val="auto"/>
          <w:sz w:val="30"/>
          <w:szCs w:val="30"/>
          <w:highlight w:val="none"/>
        </w:rPr>
      </w:pPr>
      <w:r>
        <w:rPr>
          <w:rFonts w:ascii="宋体" w:cs="Times New Roman"/>
          <w:b/>
          <w:bCs/>
          <w:color w:val="auto"/>
          <w:sz w:val="30"/>
          <w:szCs w:val="30"/>
          <w:highlight w:val="none"/>
        </w:rPr>
        <w:br w:type="page"/>
      </w:r>
      <w:r>
        <w:rPr>
          <w:rFonts w:hint="eastAsia" w:ascii="宋体" w:hAnsi="宋体" w:cs="宋体"/>
          <w:b/>
          <w:bCs/>
          <w:color w:val="auto"/>
          <w:sz w:val="30"/>
          <w:szCs w:val="30"/>
          <w:highlight w:val="none"/>
        </w:rPr>
        <w:t>报价文件目录</w:t>
      </w:r>
    </w:p>
    <w:p w14:paraId="068516F6">
      <w:pPr>
        <w:pStyle w:val="11"/>
        <w:tabs>
          <w:tab w:val="right" w:leader="dot" w:pos="9061"/>
        </w:tabs>
        <w:spacing w:line="360" w:lineRule="auto"/>
        <w:ind w:left="0" w:leftChars="0" w:firstLine="420" w:firstLineChars="200"/>
        <w:rPr>
          <w:rStyle w:val="48"/>
          <w:rFonts w:hint="eastAsia" w:ascii="宋体" w:hAnsi="宋体" w:eastAsia="宋体" w:cs="宋体"/>
          <w:color w:val="auto"/>
          <w:kern w:val="0"/>
          <w:szCs w:val="22"/>
          <w:highlight w:val="none"/>
          <w:u w:val="none"/>
          <w:lang w:val="zh-CN"/>
        </w:rPr>
      </w:pPr>
    </w:p>
    <w:p w14:paraId="2287D2B8">
      <w:pPr>
        <w:pStyle w:val="19"/>
        <w:keepNext w:val="0"/>
        <w:keepLines w:val="0"/>
        <w:pageBreakBefore w:val="0"/>
        <w:widowControl w:val="0"/>
        <w:tabs>
          <w:tab w:val="right" w:leader="dot" w:pos="8730"/>
        </w:tabs>
        <w:kinsoku/>
        <w:wordWrap/>
        <w:overflowPunct/>
        <w:topLinePunct w:val="0"/>
        <w:autoSpaceDE/>
        <w:autoSpaceDN/>
        <w:bidi w:val="0"/>
        <w:adjustRightInd/>
        <w:snapToGrid/>
        <w:spacing w:line="500" w:lineRule="atLeast"/>
        <w:ind w:left="0" w:leftChars="0" w:firstLine="420" w:firstLineChars="200"/>
        <w:textAlignment w:val="auto"/>
        <w:rPr>
          <w:rFonts w:hint="eastAsia" w:ascii="宋体" w:hAnsi="宋体" w:cs="宋体"/>
          <w:color w:val="auto"/>
          <w:kern w:val="0"/>
          <w:szCs w:val="21"/>
          <w:highlight w:val="none"/>
        </w:rPr>
      </w:pPr>
      <w:bookmarkStart w:id="177" w:name="_Toc387831538"/>
      <w:bookmarkStart w:id="178" w:name="_Toc437331648"/>
      <w:bookmarkStart w:id="179" w:name="_Toc433882683"/>
      <w:bookmarkStart w:id="180" w:name="_Toc424199705"/>
      <w:bookmarkStart w:id="181" w:name="_Toc393201765"/>
      <w:bookmarkStart w:id="182" w:name="_Toc437331337"/>
      <w:bookmarkStart w:id="183" w:name="_Toc437509367"/>
      <w:bookmarkStart w:id="184" w:name="_Toc392080817"/>
      <w:bookmarkStart w:id="185" w:name="_Toc435706615"/>
      <w:bookmarkStart w:id="186" w:name="_Toc437504070"/>
      <w:bookmarkStart w:id="187" w:name="_Toc340736225"/>
      <w:bookmarkStart w:id="188" w:name="_Toc335298322"/>
      <w:bookmarkStart w:id="189" w:name="_Toc335294212"/>
      <w:bookmarkStart w:id="190" w:name="_Toc335295012"/>
      <w:bookmarkStart w:id="191" w:name="_Toc336671806"/>
      <w:bookmarkStart w:id="192" w:name="_Toc335297854"/>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_Toc4655 </w:instrText>
      </w:r>
      <w:r>
        <w:rPr>
          <w:rFonts w:hint="eastAsia" w:ascii="宋体" w:hAnsi="宋体" w:cs="宋体"/>
          <w:color w:val="auto"/>
          <w:szCs w:val="21"/>
          <w:highlight w:val="none"/>
        </w:rPr>
        <w:fldChar w:fldCharType="separate"/>
      </w:r>
      <w:r>
        <w:rPr>
          <w:rFonts w:hint="eastAsia" w:ascii="宋体" w:hAnsi="宋体" w:cs="宋体"/>
          <w:color w:val="auto"/>
          <w:kern w:val="0"/>
          <w:szCs w:val="21"/>
          <w:highlight w:val="none"/>
        </w:rPr>
        <w:t>一、投标函</w:t>
      </w:r>
    </w:p>
    <w:p w14:paraId="40C92481">
      <w:pPr>
        <w:pStyle w:val="19"/>
        <w:keepNext w:val="0"/>
        <w:keepLines w:val="0"/>
        <w:pageBreakBefore w:val="0"/>
        <w:widowControl w:val="0"/>
        <w:tabs>
          <w:tab w:val="right" w:leader="dot" w:pos="8730"/>
        </w:tabs>
        <w:kinsoku/>
        <w:wordWrap/>
        <w:overflowPunct/>
        <w:topLinePunct w:val="0"/>
        <w:autoSpaceDE/>
        <w:autoSpaceDN/>
        <w:bidi w:val="0"/>
        <w:adjustRightInd/>
        <w:snapToGrid/>
        <w:spacing w:line="500" w:lineRule="atLeast"/>
        <w:ind w:left="0" w:leftChars="0"/>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_Toc11829 </w:instrText>
      </w:r>
      <w:r>
        <w:rPr>
          <w:rFonts w:hint="eastAsia" w:ascii="宋体" w:hAnsi="宋体" w:cs="宋体"/>
          <w:color w:val="auto"/>
          <w:szCs w:val="21"/>
          <w:highlight w:val="none"/>
        </w:rPr>
        <w:fldChar w:fldCharType="separate"/>
      </w:r>
      <w:r>
        <w:rPr>
          <w:rFonts w:hint="eastAsia" w:ascii="宋体" w:hAnsi="宋体" w:cs="宋体"/>
          <w:color w:val="auto"/>
          <w:kern w:val="0"/>
          <w:szCs w:val="21"/>
          <w:highlight w:val="none"/>
        </w:rPr>
        <w:t>二、开标一览表</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_Toc19383 </w:instrText>
      </w:r>
      <w:r>
        <w:rPr>
          <w:rFonts w:hint="eastAsia" w:ascii="宋体" w:hAnsi="宋体" w:cs="宋体"/>
          <w:color w:val="auto"/>
          <w:szCs w:val="21"/>
          <w:highlight w:val="none"/>
        </w:rPr>
        <w:fldChar w:fldCharType="separate"/>
      </w:r>
    </w:p>
    <w:p w14:paraId="3FFA0EF6">
      <w:pPr>
        <w:pStyle w:val="19"/>
        <w:keepNext w:val="0"/>
        <w:keepLines w:val="0"/>
        <w:pageBreakBefore w:val="0"/>
        <w:widowControl w:val="0"/>
        <w:tabs>
          <w:tab w:val="right" w:leader="dot" w:pos="8730"/>
        </w:tabs>
        <w:kinsoku/>
        <w:wordWrap/>
        <w:overflowPunct/>
        <w:topLinePunct w:val="0"/>
        <w:autoSpaceDE/>
        <w:autoSpaceDN/>
        <w:bidi w:val="0"/>
        <w:adjustRightInd/>
        <w:snapToGrid/>
        <w:spacing w:line="500" w:lineRule="atLeast"/>
        <w:ind w:left="0" w:leftChars="0"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 w:val="21"/>
          <w:szCs w:val="21"/>
          <w:highlight w:val="none"/>
          <w:lang w:eastAsia="zh-CN"/>
        </w:rPr>
        <w:t>三、投标报价明细表</w:t>
      </w:r>
    </w:p>
    <w:p w14:paraId="71B7511C">
      <w:pPr>
        <w:pStyle w:val="19"/>
        <w:keepNext w:val="0"/>
        <w:keepLines w:val="0"/>
        <w:pageBreakBefore w:val="0"/>
        <w:widowControl w:val="0"/>
        <w:tabs>
          <w:tab w:val="right" w:leader="dot" w:pos="8730"/>
        </w:tabs>
        <w:kinsoku/>
        <w:wordWrap/>
        <w:overflowPunct/>
        <w:topLinePunct w:val="0"/>
        <w:autoSpaceDE/>
        <w:autoSpaceDN/>
        <w:bidi w:val="0"/>
        <w:adjustRightInd/>
        <w:snapToGrid/>
        <w:spacing w:line="500" w:lineRule="atLeast"/>
        <w:ind w:left="0" w:leftChars="0"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lang w:eastAsia="zh-CN"/>
        </w:rPr>
        <w:t>四</w:t>
      </w:r>
      <w:r>
        <w:rPr>
          <w:rFonts w:hint="eastAsia" w:ascii="宋体" w:hAnsi="宋体" w:cs="宋体"/>
          <w:color w:val="auto"/>
          <w:szCs w:val="21"/>
          <w:highlight w:val="none"/>
        </w:rPr>
        <w:t>、</w:t>
      </w:r>
      <w:r>
        <w:rPr>
          <w:rFonts w:hint="eastAsia" w:ascii="宋体" w:hAnsi="宋体" w:cs="宋体"/>
          <w:color w:val="auto"/>
          <w:kern w:val="0"/>
          <w:szCs w:val="21"/>
          <w:highlight w:val="none"/>
        </w:rPr>
        <w:t>投标人需要说明的其他文件和说明</w:t>
      </w:r>
      <w:r>
        <w:rPr>
          <w:rFonts w:hint="eastAsia" w:ascii="宋体" w:hAnsi="宋体" w:cs="宋体"/>
          <w:color w:val="auto"/>
          <w:szCs w:val="21"/>
          <w:highlight w:val="none"/>
        </w:rPr>
        <w:fldChar w:fldCharType="end"/>
      </w:r>
    </w:p>
    <w:p w14:paraId="286870BC">
      <w:pPr>
        <w:widowControl/>
        <w:spacing w:line="540" w:lineRule="exact"/>
        <w:ind w:firstLine="420" w:firstLineChars="200"/>
        <w:jc w:val="left"/>
        <w:outlineLvl w:val="2"/>
        <w:rPr>
          <w:rStyle w:val="48"/>
          <w:rFonts w:ascii="宋体" w:hAnsi="宋体" w:cs="宋体"/>
          <w:color w:val="auto"/>
          <w:kern w:val="0"/>
          <w:szCs w:val="22"/>
          <w:highlight w:val="none"/>
          <w:u w:val="none"/>
        </w:rPr>
      </w:pPr>
    </w:p>
    <w:p w14:paraId="2F1361BE">
      <w:pPr>
        <w:snapToGrid w:val="0"/>
        <w:spacing w:line="400" w:lineRule="exact"/>
        <w:jc w:val="center"/>
        <w:outlineLvl w:val="1"/>
        <w:rPr>
          <w:rFonts w:hint="eastAsia" w:ascii="宋体" w:hAnsi="宋体" w:cs="宋体"/>
          <w:b/>
          <w:color w:val="auto"/>
          <w:kern w:val="0"/>
          <w:sz w:val="30"/>
          <w:szCs w:val="30"/>
          <w:highlight w:val="none"/>
        </w:rPr>
      </w:pPr>
      <w:r>
        <w:rPr>
          <w:rStyle w:val="48"/>
          <w:rFonts w:ascii="宋体" w:hAnsi="宋体" w:cs="宋体"/>
          <w:color w:val="auto"/>
          <w:kern w:val="0"/>
          <w:szCs w:val="22"/>
          <w:highlight w:val="none"/>
          <w:u w:val="none"/>
        </w:rPr>
        <w:br w:type="page"/>
      </w:r>
      <w:bookmarkEnd w:id="177"/>
      <w:bookmarkEnd w:id="178"/>
      <w:bookmarkEnd w:id="179"/>
      <w:bookmarkEnd w:id="180"/>
      <w:bookmarkEnd w:id="181"/>
      <w:bookmarkEnd w:id="182"/>
      <w:bookmarkEnd w:id="183"/>
      <w:bookmarkEnd w:id="184"/>
      <w:bookmarkEnd w:id="185"/>
      <w:bookmarkEnd w:id="186"/>
      <w:bookmarkEnd w:id="187"/>
      <w:r>
        <w:rPr>
          <w:rFonts w:hint="eastAsia" w:ascii="宋体" w:hAnsi="宋体" w:cs="宋体"/>
          <w:b/>
          <w:color w:val="auto"/>
          <w:kern w:val="0"/>
          <w:sz w:val="30"/>
          <w:szCs w:val="30"/>
          <w:highlight w:val="none"/>
        </w:rPr>
        <w:t>一、投  标  函</w:t>
      </w:r>
    </w:p>
    <w:p w14:paraId="681024B5">
      <w:pPr>
        <w:spacing w:line="440" w:lineRule="exact"/>
        <w:jc w:val="left"/>
        <w:rPr>
          <w:rFonts w:hint="eastAsia" w:ascii="宋体" w:hAnsi="宋体" w:cs="宋体"/>
          <w:color w:val="auto"/>
          <w:kern w:val="0"/>
          <w:szCs w:val="21"/>
          <w:highlight w:val="none"/>
        </w:rPr>
      </w:pPr>
    </w:p>
    <w:p w14:paraId="0B43DFEE">
      <w:pPr>
        <w:spacing w:line="5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p>
    <w:p w14:paraId="4AF75509">
      <w:pPr>
        <w:spacing w:line="5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根据贵方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项目的招标文件（项目编号：</w:t>
      </w:r>
      <w:r>
        <w:rPr>
          <w:rFonts w:hint="eastAsia" w:ascii="宋体" w:hAnsi="宋体" w:cs="宋体"/>
          <w:b/>
          <w:bCs/>
          <w:color w:val="auto"/>
          <w:kern w:val="0"/>
          <w:szCs w:val="21"/>
          <w:highlight w:val="none"/>
          <w:u w:val="single"/>
        </w:rPr>
        <w:t xml:space="preserve">            </w:t>
      </w:r>
      <w:r>
        <w:rPr>
          <w:rFonts w:hint="eastAsia" w:ascii="宋体" w:hAnsi="宋体" w:cs="宋体"/>
          <w:color w:val="auto"/>
          <w:kern w:val="0"/>
          <w:szCs w:val="21"/>
          <w:highlight w:val="none"/>
        </w:rPr>
        <w:t>），正式授权下述签字人</w:t>
      </w:r>
      <w:r>
        <w:rPr>
          <w:rFonts w:hint="eastAsia" w:ascii="宋体" w:hAnsi="宋体" w:cs="宋体"/>
          <w:b/>
          <w:bCs/>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姓名</w:t>
      </w:r>
      <w:r>
        <w:rPr>
          <w:rFonts w:hint="eastAsia" w:ascii="宋体" w:hAnsi="宋体" w:cs="宋体"/>
          <w:color w:val="auto"/>
          <w:kern w:val="0"/>
          <w:szCs w:val="21"/>
          <w:highlight w:val="none"/>
        </w:rPr>
        <w:t>和</w:t>
      </w:r>
      <w:r>
        <w:rPr>
          <w:rFonts w:hint="eastAsia" w:ascii="宋体" w:hAnsi="宋体" w:cs="宋体"/>
          <w:color w:val="auto"/>
          <w:kern w:val="0"/>
          <w:szCs w:val="21"/>
          <w:highlight w:val="none"/>
          <w:u w:val="single"/>
        </w:rPr>
        <w:t>职务</w:t>
      </w:r>
      <w:r>
        <w:rPr>
          <w:rFonts w:hint="eastAsia" w:ascii="宋体" w:hAnsi="宋体" w:cs="宋体"/>
          <w:color w:val="auto"/>
          <w:kern w:val="0"/>
          <w:szCs w:val="21"/>
          <w:highlight w:val="none"/>
        </w:rPr>
        <w:t>）代表</w:t>
      </w:r>
      <w:r>
        <w:rPr>
          <w:rFonts w:hint="eastAsia" w:ascii="宋体" w:hAnsi="宋体" w:cs="宋体"/>
          <w:b/>
          <w:bCs/>
          <w:color w:val="auto"/>
          <w:kern w:val="0"/>
          <w:szCs w:val="21"/>
          <w:highlight w:val="none"/>
          <w:u w:val="single"/>
        </w:rPr>
        <w:t xml:space="preserve">            </w:t>
      </w:r>
      <w:r>
        <w:rPr>
          <w:rFonts w:hint="eastAsia" w:ascii="宋体" w:hAnsi="宋体" w:cs="宋体"/>
          <w:color w:val="auto"/>
          <w:kern w:val="0"/>
          <w:szCs w:val="21"/>
          <w:highlight w:val="none"/>
        </w:rPr>
        <w:t>（投标人的名称），提交的投标文件包含以下内容：</w:t>
      </w:r>
    </w:p>
    <w:p w14:paraId="419332CA">
      <w:pPr>
        <w:spacing w:line="5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（1）资格证明文件；</w:t>
      </w:r>
    </w:p>
    <w:p w14:paraId="12FEC762">
      <w:pPr>
        <w:spacing w:line="5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（2）技术商务文件；</w:t>
      </w:r>
    </w:p>
    <w:p w14:paraId="3A279EAA">
      <w:pPr>
        <w:spacing w:line="5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（3）报价文件；</w:t>
      </w:r>
    </w:p>
    <w:p w14:paraId="2BA63B3F">
      <w:pPr>
        <w:spacing w:line="5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据此函，签字人兹宣布同意如下：</w:t>
      </w:r>
    </w:p>
    <w:p w14:paraId="6A0418FD">
      <w:pPr>
        <w:spacing w:line="5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1、我方向贵方提交的所有投标文件、资料都是准确的和真实的。</w:t>
      </w:r>
    </w:p>
    <w:p w14:paraId="53DE28E0">
      <w:pPr>
        <w:spacing w:line="5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2、我们承担根据招标文件的规定，完成合同的责任和义务。</w:t>
      </w:r>
    </w:p>
    <w:p w14:paraId="4E154180">
      <w:pPr>
        <w:spacing w:line="5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3、我们已详细阅读全部招标文件，参考资料及有关附件，我们完全理解并同意放弃对这方面有不明或误解的权利。</w:t>
      </w:r>
    </w:p>
    <w:p w14:paraId="2169646D">
      <w:pPr>
        <w:spacing w:line="5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4、我们同意在投标人须知规定的截止日期起遵循本投标文件，并在投标人须知规定的有效期满之前均具有约束力，并有可能中标。</w:t>
      </w:r>
    </w:p>
    <w:p w14:paraId="5EB0659B">
      <w:pPr>
        <w:spacing w:line="5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5、同意向贵方提供贵方可能要求的与本投标有关的任何数据或资料。</w:t>
      </w:r>
    </w:p>
    <w:p w14:paraId="6A1E9ECA">
      <w:pPr>
        <w:spacing w:line="5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与本次投标有关的正式通讯地址为：</w:t>
      </w:r>
    </w:p>
    <w:p w14:paraId="277E36A5">
      <w:pPr>
        <w:spacing w:line="5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b/>
          <w:bCs/>
          <w:color w:val="auto"/>
          <w:kern w:val="0"/>
          <w:szCs w:val="21"/>
          <w:highlight w:val="none"/>
          <w:u w:val="single"/>
        </w:rPr>
        <w:t xml:space="preserve">                         </w:t>
      </w:r>
    </w:p>
    <w:p w14:paraId="1ECBB02E">
      <w:pPr>
        <w:spacing w:line="5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邮编：</w:t>
      </w:r>
      <w:r>
        <w:rPr>
          <w:rFonts w:hint="eastAsia" w:ascii="宋体" w:hAnsi="宋体" w:cs="宋体"/>
          <w:b/>
          <w:bCs/>
          <w:color w:val="auto"/>
          <w:kern w:val="0"/>
          <w:szCs w:val="21"/>
          <w:highlight w:val="none"/>
          <w:u w:val="single"/>
        </w:rPr>
        <w:t xml:space="preserve">                         </w:t>
      </w:r>
    </w:p>
    <w:p w14:paraId="5F16A5DB">
      <w:pPr>
        <w:spacing w:line="5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电话、传真：</w:t>
      </w:r>
      <w:r>
        <w:rPr>
          <w:rFonts w:hint="eastAsia" w:ascii="宋体" w:hAnsi="宋体" w:cs="宋体"/>
          <w:b/>
          <w:bCs/>
          <w:color w:val="auto"/>
          <w:kern w:val="0"/>
          <w:szCs w:val="21"/>
          <w:highlight w:val="none"/>
          <w:u w:val="single"/>
        </w:rPr>
        <w:t xml:space="preserve">                   </w:t>
      </w:r>
    </w:p>
    <w:p w14:paraId="4FDC1B2C">
      <w:pPr>
        <w:spacing w:line="5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b/>
          <w:bCs/>
          <w:color w:val="auto"/>
          <w:kern w:val="0"/>
          <w:szCs w:val="21"/>
          <w:highlight w:val="none"/>
          <w:u w:val="single"/>
        </w:rPr>
        <w:t xml:space="preserve">                     </w:t>
      </w:r>
    </w:p>
    <w:p w14:paraId="0FBAA71C">
      <w:pPr>
        <w:spacing w:line="5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银行账号：</w:t>
      </w:r>
      <w:r>
        <w:rPr>
          <w:rFonts w:hint="eastAsia" w:ascii="宋体" w:hAnsi="宋体" w:cs="宋体"/>
          <w:b/>
          <w:bCs/>
          <w:color w:val="auto"/>
          <w:kern w:val="0"/>
          <w:szCs w:val="21"/>
          <w:highlight w:val="none"/>
          <w:u w:val="single"/>
        </w:rPr>
        <w:t xml:space="preserve">                     </w:t>
      </w:r>
    </w:p>
    <w:p w14:paraId="58305CB6">
      <w:pPr>
        <w:spacing w:line="50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投标人全称（电子签章）： </w:t>
      </w:r>
      <w:r>
        <w:rPr>
          <w:rFonts w:hint="eastAsia" w:ascii="宋体" w:hAnsi="宋体" w:cs="宋体"/>
          <w:b/>
          <w:bCs/>
          <w:color w:val="auto"/>
          <w:kern w:val="0"/>
          <w:szCs w:val="21"/>
          <w:highlight w:val="none"/>
          <w:u w:val="single"/>
        </w:rPr>
        <w:t xml:space="preserve">      </w:t>
      </w:r>
    </w:p>
    <w:p w14:paraId="498FC1F9">
      <w:pPr>
        <w:spacing w:line="5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b/>
          <w:bCs/>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b/>
          <w:bCs/>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b/>
          <w:bCs/>
          <w:color w:val="auto"/>
          <w:kern w:val="0"/>
          <w:szCs w:val="21"/>
          <w:highlight w:val="none"/>
          <w:u w:val="single"/>
        </w:rPr>
        <w:t xml:space="preserve">        </w:t>
      </w:r>
      <w:r>
        <w:rPr>
          <w:rFonts w:hint="eastAsia" w:ascii="宋体" w:hAnsi="宋体" w:cs="宋体"/>
          <w:color w:val="auto"/>
          <w:kern w:val="0"/>
          <w:szCs w:val="21"/>
          <w:highlight w:val="none"/>
        </w:rPr>
        <w:t>日</w:t>
      </w:r>
    </w:p>
    <w:p w14:paraId="5D2A4DDE">
      <w:pPr>
        <w:widowControl/>
        <w:spacing w:line="440" w:lineRule="exact"/>
        <w:ind w:firstLine="420" w:firstLineChars="200"/>
        <w:jc w:val="left"/>
        <w:rPr>
          <w:rFonts w:ascii="宋体" w:hAnsi="宋体" w:cs="宋体"/>
          <w:color w:val="auto"/>
          <w:kern w:val="0"/>
          <w:highlight w:val="none"/>
        </w:rPr>
      </w:pPr>
    </w:p>
    <w:p w14:paraId="0FC28750">
      <w:pPr>
        <w:widowControl/>
        <w:spacing w:beforeLines="0" w:afterLines="0" w:line="540" w:lineRule="exact"/>
        <w:jc w:val="center"/>
        <w:outlineLvl w:val="2"/>
        <w:rPr>
          <w:rFonts w:hint="eastAsia" w:ascii="宋体" w:hAnsi="宋体" w:cs="宋体"/>
          <w:b/>
          <w:color w:val="auto"/>
          <w:kern w:val="0"/>
          <w:sz w:val="30"/>
          <w:szCs w:val="30"/>
          <w:highlight w:val="none"/>
        </w:rPr>
      </w:pPr>
      <w:r>
        <w:rPr>
          <w:rFonts w:ascii="仿宋" w:hAnsi="仿宋" w:eastAsia="仿宋" w:cs="宋体"/>
          <w:b/>
          <w:color w:val="auto"/>
          <w:kern w:val="0"/>
          <w:sz w:val="30"/>
          <w:szCs w:val="30"/>
          <w:highlight w:val="none"/>
        </w:rPr>
        <w:br w:type="page"/>
      </w:r>
      <w:bookmarkEnd w:id="188"/>
      <w:bookmarkEnd w:id="189"/>
      <w:bookmarkEnd w:id="190"/>
      <w:bookmarkEnd w:id="191"/>
      <w:bookmarkEnd w:id="192"/>
      <w:r>
        <w:rPr>
          <w:rFonts w:hint="eastAsia" w:ascii="宋体" w:hAnsi="宋体" w:cs="宋体"/>
          <w:b/>
          <w:color w:val="auto"/>
          <w:kern w:val="0"/>
          <w:sz w:val="30"/>
          <w:szCs w:val="30"/>
          <w:highlight w:val="none"/>
        </w:rPr>
        <w:t>二、开标一览表</w:t>
      </w:r>
    </w:p>
    <w:p w14:paraId="178AD1B8">
      <w:pPr>
        <w:snapToGrid w:val="0"/>
        <w:spacing w:before="50" w:beforeLines="0" w:after="50" w:afterLines="0" w:line="440" w:lineRule="exact"/>
        <w:jc w:val="left"/>
        <w:rPr>
          <w:rFonts w:hint="eastAsia" w:ascii="宋体" w:hAnsi="宋体" w:cs="宋体"/>
          <w:color w:val="auto"/>
          <w:sz w:val="21"/>
          <w:szCs w:val="21"/>
          <w:highlight w:val="none"/>
        </w:rPr>
      </w:pPr>
    </w:p>
    <w:p w14:paraId="364DDCDE">
      <w:pPr>
        <w:keepNext w:val="0"/>
        <w:keepLines w:val="0"/>
        <w:suppressLineNumbers w:val="0"/>
        <w:snapToGrid w:val="0"/>
        <w:spacing w:before="0" w:beforeLines="0" w:beforeAutospacing="0" w:after="0" w:afterLines="0" w:afterAutospacing="0" w:line="360" w:lineRule="exact"/>
        <w:ind w:left="0" w:right="0"/>
        <w:jc w:val="left"/>
        <w:rPr>
          <w:rFonts w:hint="eastAsia" w:ascii="宋体" w:hAnsi="宋体" w:eastAsia="宋体" w:cs="宋体"/>
          <w:color w:val="auto"/>
          <w:sz w:val="21"/>
          <w:szCs w:val="21"/>
          <w:highlight w:val="none"/>
        </w:rPr>
      </w:pPr>
    </w:p>
    <w:p w14:paraId="63BFD9C2">
      <w:pPr>
        <w:keepNext w:val="0"/>
        <w:keepLines w:val="0"/>
        <w:suppressLineNumbers w:val="0"/>
        <w:snapToGrid w:val="0"/>
        <w:spacing w:before="0" w:beforeLines="0" w:beforeAutospacing="0" w:after="0" w:afterLines="0" w:afterAutospacing="0" w:line="360" w:lineRule="exact"/>
        <w:ind w:left="0" w:right="0"/>
        <w:jc w:val="left"/>
        <w:rPr>
          <w:rFonts w:hint="default" w:ascii="宋体" w:hAnsi="宋体" w:eastAsia="仿宋"/>
          <w:color w:val="auto"/>
          <w:szCs w:val="21"/>
          <w:highlight w:val="none"/>
          <w:lang w:val="en-US" w:eastAsia="zh-CN"/>
        </w:rPr>
      </w:pPr>
      <w:r>
        <w:rPr>
          <w:rFonts w:hint="eastAsia" w:ascii="宋体" w:hAnsi="宋体" w:eastAsia="宋体" w:cs="宋体"/>
          <w:color w:val="auto"/>
          <w:sz w:val="21"/>
          <w:szCs w:val="21"/>
          <w:highlight w:val="none"/>
        </w:rPr>
        <w:t xml:space="preserve">项目编号：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金额单位：</w:t>
      </w:r>
      <w:r>
        <w:rPr>
          <w:rFonts w:hint="eastAsia" w:ascii="宋体" w:hAnsi="宋体" w:cs="宋体"/>
          <w:color w:val="auto"/>
          <w:sz w:val="21"/>
          <w:szCs w:val="21"/>
          <w:highlight w:val="none"/>
          <w:lang w:val="en-US" w:eastAsia="zh-CN"/>
        </w:rPr>
        <w:t>元</w:t>
      </w:r>
    </w:p>
    <w:tbl>
      <w:tblPr>
        <w:tblStyle w:val="38"/>
        <w:tblW w:w="958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7933"/>
      </w:tblGrid>
      <w:tr w14:paraId="7FF0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6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B44994">
            <w:pPr>
              <w:keepNext w:val="0"/>
              <w:keepLines w:val="0"/>
              <w:suppressLineNumbers w:val="0"/>
              <w:snapToGrid w:val="0"/>
              <w:spacing w:before="0" w:beforeLines="0" w:beforeAutospacing="0" w:after="0" w:afterLines="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9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5AD32A">
            <w:pPr>
              <w:keepNext w:val="0"/>
              <w:keepLines w:val="0"/>
              <w:suppressLineNumbers w:val="0"/>
              <w:snapToGrid w:val="0"/>
              <w:spacing w:before="0" w:beforeLines="0" w:beforeAutospacing="0" w:after="0" w:afterLines="0" w:afterAutospacing="0" w:line="360" w:lineRule="exact"/>
              <w:ind w:left="0" w:right="0"/>
              <w:rPr>
                <w:rFonts w:hint="eastAsia" w:ascii="宋体" w:hAnsi="宋体" w:eastAsia="宋体" w:cs="宋体"/>
                <w:color w:val="auto"/>
                <w:sz w:val="21"/>
                <w:szCs w:val="21"/>
                <w:highlight w:val="none"/>
              </w:rPr>
            </w:pPr>
          </w:p>
        </w:tc>
      </w:tr>
      <w:tr w14:paraId="2401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6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8FDB4D">
            <w:pPr>
              <w:keepNext w:val="0"/>
              <w:keepLines w:val="0"/>
              <w:suppressLineNumbers w:val="0"/>
              <w:snapToGrid w:val="0"/>
              <w:spacing w:before="0" w:beforeLines="0" w:beforeAutospacing="0" w:after="0" w:afterLines="0" w:afterAutospacing="0" w:line="360" w:lineRule="exact"/>
              <w:ind w:left="0" w:right="0"/>
              <w:jc w:val="center"/>
              <w:rPr>
                <w:rFonts w:hint="default" w:hAnsi="宋体" w:cs="宋体"/>
                <w:color w:val="auto"/>
                <w:szCs w:val="22"/>
                <w:highlight w:val="none"/>
                <w:lang w:val="en-US" w:eastAsia="zh-CN"/>
              </w:rPr>
            </w:pPr>
            <w:r>
              <w:rPr>
                <w:rFonts w:hint="eastAsia" w:hAnsi="宋体" w:cs="宋体"/>
                <w:color w:val="auto"/>
                <w:szCs w:val="22"/>
                <w:highlight w:val="none"/>
                <w:lang w:val="en-US" w:eastAsia="zh-CN"/>
              </w:rPr>
              <w:t>投标总价</w:t>
            </w:r>
          </w:p>
        </w:tc>
        <w:tc>
          <w:tcPr>
            <w:tcW w:w="79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E7579D">
            <w:pPr>
              <w:keepNext w:val="0"/>
              <w:keepLines w:val="0"/>
              <w:suppressLineNumbers w:val="0"/>
              <w:wordWrap w:val="0"/>
              <w:overflowPunct w:val="0"/>
              <w:autoSpaceDE w:val="0"/>
              <w:autoSpaceDN w:val="0"/>
              <w:snapToGrid w:val="0"/>
              <w:spacing w:before="0" w:beforeLines="0" w:beforeAutospacing="0" w:after="0" w:afterLines="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（小写：</w:t>
            </w:r>
            <w:r>
              <w:rPr>
                <w:rFonts w:hint="eastAsia" w:ascii="宋体" w:hAnsi="宋体" w:cs="宋体"/>
                <w:color w:val="auto"/>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bl>
    <w:p w14:paraId="3A8F74F6">
      <w:pPr>
        <w:keepNext w:val="0"/>
        <w:keepLines w:val="0"/>
        <w:pageBreakBefore w:val="0"/>
        <w:widowControl w:val="0"/>
        <w:kinsoku/>
        <w:wordWrap/>
        <w:overflowPunct/>
        <w:topLinePunct w:val="0"/>
        <w:bidi w:val="0"/>
        <w:snapToGrid/>
        <w:spacing w:line="400" w:lineRule="exact"/>
        <w:ind w:firstLine="0" w:firstLineChars="0"/>
        <w:jc w:val="both"/>
        <w:textAlignment w:val="auto"/>
        <w:outlineLvl w:val="9"/>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注：</w:t>
      </w:r>
    </w:p>
    <w:p w14:paraId="3F62FABB">
      <w:pPr>
        <w:widowControl w:val="0"/>
        <w:snapToGrid w:val="0"/>
        <w:spacing w:line="380" w:lineRule="exact"/>
        <w:ind w:firstLine="420" w:firstLineChars="20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1、报价一经涂改，应在涂改处加盖单位公章或者由法定代表人或授权委托人签字或盖章，否则其投标作无效标处理。</w:t>
      </w:r>
    </w:p>
    <w:p w14:paraId="286D6F3A">
      <w:pPr>
        <w:tabs>
          <w:tab w:val="center" w:pos="4156"/>
        </w:tabs>
        <w:autoSpaceDE w:val="0"/>
        <w:autoSpaceDN w:val="0"/>
        <w:adjustRightInd w:val="0"/>
        <w:spacing w:line="440" w:lineRule="exact"/>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lang w:eastAsia="zh-CN"/>
        </w:rPr>
        <w:t>2、</w:t>
      </w:r>
      <w:r>
        <w:rPr>
          <w:rFonts w:hint="eastAsia" w:ascii="宋体" w:hAnsi="宋体" w:cs="宋体"/>
          <w:b/>
          <w:sz w:val="21"/>
          <w:szCs w:val="21"/>
          <w:highlight w:val="none"/>
          <w:lang w:eastAsia="zh-CN"/>
        </w:rPr>
        <w:t>投标人报价应包括完成该项目所涉及的全部费用。</w:t>
      </w:r>
    </w:p>
    <w:p w14:paraId="4D114439">
      <w:pPr>
        <w:snapToGrid w:val="0"/>
        <w:spacing w:before="50" w:after="50" w:line="440" w:lineRule="exact"/>
        <w:ind w:firstLine="420" w:firstLineChars="20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3、以上报价应与“投标报价明细表”中的“投标总价”相一致。</w:t>
      </w:r>
    </w:p>
    <w:p w14:paraId="4FDB239D">
      <w:pPr>
        <w:pStyle w:val="16"/>
        <w:numPr>
          <w:ilvl w:val="0"/>
          <w:numId w:val="0"/>
        </w:numPr>
        <w:ind w:firstLine="420" w:firstLineChars="20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4、如遇市级赛事筹备办统一提供的，则费用金额相应核减。</w:t>
      </w:r>
    </w:p>
    <w:p w14:paraId="5196AFEA">
      <w:pPr>
        <w:pStyle w:val="36"/>
        <w:spacing w:beforeLines="0" w:afterLines="0"/>
        <w:rPr>
          <w:rFonts w:hint="eastAsia" w:ascii="宋体" w:hAnsi="宋体"/>
          <w:color w:val="auto"/>
          <w:sz w:val="20"/>
          <w:szCs w:val="24"/>
          <w:highlight w:val="none"/>
        </w:rPr>
      </w:pPr>
    </w:p>
    <w:p w14:paraId="3F759419">
      <w:pPr>
        <w:pStyle w:val="36"/>
        <w:spacing w:beforeLines="0" w:afterLines="0"/>
        <w:rPr>
          <w:rFonts w:hint="eastAsia" w:ascii="宋体" w:hAnsi="宋体"/>
          <w:color w:val="auto"/>
          <w:sz w:val="20"/>
          <w:szCs w:val="24"/>
          <w:highlight w:val="none"/>
        </w:rPr>
      </w:pPr>
    </w:p>
    <w:p w14:paraId="3182CD15">
      <w:pPr>
        <w:pStyle w:val="36"/>
        <w:spacing w:beforeLines="0" w:afterLines="0"/>
        <w:rPr>
          <w:rFonts w:hint="eastAsia" w:ascii="宋体" w:hAnsi="宋体"/>
          <w:color w:val="auto"/>
          <w:sz w:val="20"/>
          <w:szCs w:val="24"/>
          <w:highlight w:val="none"/>
        </w:rPr>
      </w:pPr>
    </w:p>
    <w:p w14:paraId="2B6E6573">
      <w:pPr>
        <w:pStyle w:val="36"/>
        <w:spacing w:beforeLines="0" w:afterLines="0"/>
        <w:rPr>
          <w:rFonts w:hint="eastAsia" w:ascii="宋体" w:hAnsi="宋体"/>
          <w:color w:val="auto"/>
          <w:sz w:val="20"/>
          <w:szCs w:val="24"/>
          <w:highlight w:val="none"/>
        </w:rPr>
      </w:pPr>
    </w:p>
    <w:p w14:paraId="7634A1A0">
      <w:pPr>
        <w:wordWrap w:val="0"/>
        <w:spacing w:beforeLines="0" w:afterLines="0" w:line="360" w:lineRule="auto"/>
        <w:rPr>
          <w:rFonts w:hint="eastAsia" w:ascii="宋体" w:hAnsi="宋体"/>
          <w:color w:val="auto"/>
          <w:sz w:val="21"/>
          <w:szCs w:val="24"/>
          <w:highlight w:val="none"/>
        </w:rPr>
      </w:pPr>
    </w:p>
    <w:p w14:paraId="1A54CA81">
      <w:pPr>
        <w:keepNext w:val="0"/>
        <w:keepLines w:val="0"/>
        <w:widowControl w:val="0"/>
        <w:suppressLineNumbers w:val="0"/>
        <w:spacing w:before="0" w:beforeAutospacing="0" w:after="0" w:afterAutospacing="0" w:line="500" w:lineRule="exact"/>
        <w:ind w:left="0" w:right="0" w:firstLine="3360" w:firstLineChars="1600"/>
        <w:jc w:val="both"/>
        <w:rPr>
          <w:rFonts w:hint="eastAsia" w:ascii="宋体" w:hAnsi="宋体" w:eastAsia="宋体" w:cs="宋体"/>
          <w:color w:val="auto"/>
          <w:kern w:val="2"/>
          <w:sz w:val="21"/>
          <w:szCs w:val="21"/>
          <w:highlight w:val="none"/>
        </w:rPr>
      </w:pPr>
      <w:r>
        <w:rPr>
          <w:rFonts w:hint="eastAsia" w:ascii="宋体" w:hAnsi="宋体"/>
          <w:color w:val="auto"/>
          <w:sz w:val="21"/>
          <w:szCs w:val="24"/>
          <w:highlight w:val="none"/>
        </w:rPr>
        <w:t xml:space="preserve">           </w:t>
      </w:r>
      <w:r>
        <w:rPr>
          <w:rFonts w:hint="eastAsia" w:ascii="宋体" w:hAnsi="宋体" w:eastAsia="宋体" w:cs="宋体"/>
          <w:color w:val="auto"/>
          <w:kern w:val="2"/>
          <w:sz w:val="21"/>
          <w:szCs w:val="21"/>
          <w:highlight w:val="none"/>
          <w:lang w:val="en-US" w:eastAsia="zh-CN" w:bidi="ar"/>
        </w:rPr>
        <w:t xml:space="preserve"> 投标人全称（电子签章）：</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p w14:paraId="16846AAC">
      <w:pPr>
        <w:keepNext w:val="0"/>
        <w:keepLines w:val="0"/>
        <w:widowControl w:val="0"/>
        <w:suppressLineNumbers w:val="0"/>
        <w:spacing w:before="0" w:beforeAutospacing="0" w:after="0" w:afterAutospacing="0"/>
        <w:ind w:left="0" w:right="0"/>
        <w:jc w:val="center"/>
        <w:rPr>
          <w:color w:val="auto"/>
          <w:highlight w:val="none"/>
        </w:rPr>
      </w:pPr>
      <w:r>
        <w:rPr>
          <w:rFonts w:hint="eastAsia" w:ascii="宋体" w:hAnsi="宋体" w:eastAsia="宋体" w:cs="宋体"/>
          <w:color w:val="auto"/>
          <w:kern w:val="2"/>
          <w:sz w:val="21"/>
          <w:szCs w:val="21"/>
          <w:highlight w:val="none"/>
          <w:lang w:val="en-US" w:eastAsia="zh-CN" w:bidi="ar"/>
        </w:rPr>
        <w:t xml:space="preserve">      日 期：</w:t>
      </w:r>
      <w:r>
        <w:rPr>
          <w:rFonts w:hint="eastAsia" w:ascii="宋体" w:hAnsi="宋体" w:eastAsia="宋体" w:cs="宋体"/>
          <w:color w:val="auto"/>
          <w:kern w:val="2"/>
          <w:sz w:val="21"/>
          <w:szCs w:val="21"/>
          <w:highlight w:val="none"/>
          <w:u w:val="single"/>
          <w:lang w:val="en-US" w:eastAsia="zh-CN" w:bidi="ar"/>
        </w:rPr>
        <w:t xml:space="preserve">                            </w:t>
      </w:r>
    </w:p>
    <w:p w14:paraId="4486DB55">
      <w:pPr>
        <w:wordWrap w:val="0"/>
        <w:spacing w:beforeLines="0" w:afterLines="0" w:line="360" w:lineRule="auto"/>
        <w:ind w:firstLine="420" w:firstLineChars="200"/>
        <w:jc w:val="right"/>
        <w:rPr>
          <w:rFonts w:hint="eastAsia" w:ascii="宋体" w:hAnsi="宋体" w:cs="宋体"/>
          <w:color w:val="auto"/>
          <w:sz w:val="21"/>
          <w:szCs w:val="21"/>
          <w:highlight w:val="none"/>
          <w:u w:val="single"/>
        </w:rPr>
      </w:pPr>
    </w:p>
    <w:p w14:paraId="1739E461">
      <w:pPr>
        <w:pStyle w:val="93"/>
        <w:ind w:firstLine="440"/>
        <w:rPr>
          <w:rFonts w:cs="宋体"/>
          <w:b/>
          <w:bCs/>
          <w:color w:val="auto"/>
          <w:kern w:val="0"/>
          <w:sz w:val="30"/>
          <w:szCs w:val="30"/>
          <w:highlight w:val="none"/>
        </w:rPr>
      </w:pPr>
    </w:p>
    <w:p w14:paraId="34727E42">
      <w:pPr>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rPr>
        <w:br w:type="page"/>
      </w:r>
    </w:p>
    <w:p w14:paraId="2D24F4FB">
      <w:pPr>
        <w:snapToGrid w:val="0"/>
        <w:spacing w:before="50" w:after="50"/>
        <w:jc w:val="center"/>
        <w:rPr>
          <w:rFonts w:hint="eastAsia" w:ascii="宋体" w:hAnsi="宋体" w:cs="宋体"/>
          <w:b/>
          <w:bCs/>
          <w:color w:val="auto"/>
          <w:kern w:val="0"/>
          <w:sz w:val="30"/>
          <w:szCs w:val="30"/>
          <w:highlight w:val="none"/>
          <w:lang w:eastAsia="zh-CN"/>
        </w:rPr>
        <w:sectPr>
          <w:footerReference r:id="rId7" w:type="default"/>
          <w:pgSz w:w="11906" w:h="16838"/>
          <w:pgMar w:top="1304" w:right="1304" w:bottom="1191" w:left="1304" w:header="794" w:footer="850" w:gutter="0"/>
          <w:pgBorders>
            <w:top w:val="none" w:sz="0" w:space="0"/>
            <w:left w:val="none" w:sz="0" w:space="0"/>
            <w:bottom w:val="none" w:sz="0" w:space="0"/>
            <w:right w:val="none" w:sz="0" w:space="0"/>
          </w:pgBorders>
          <w:pgNumType w:fmt="decimal"/>
          <w:cols w:space="0" w:num="1"/>
          <w:docGrid w:type="lines" w:linePitch="320" w:charSpace="0"/>
        </w:sectPr>
      </w:pPr>
    </w:p>
    <w:p w14:paraId="0AEBF5DF">
      <w:pPr>
        <w:numPr>
          <w:ilvl w:val="0"/>
          <w:numId w:val="0"/>
        </w:numPr>
        <w:spacing w:line="540" w:lineRule="exact"/>
        <w:jc w:val="center"/>
        <w:outlineLvl w:val="2"/>
        <w:rPr>
          <w:rFonts w:hint="eastAsia" w:ascii="宋体" w:hAnsi="宋体" w:eastAsia="宋体" w:cs="宋体"/>
          <w:b/>
          <w:color w:val="auto"/>
          <w:sz w:val="30"/>
          <w:szCs w:val="30"/>
          <w:highlight w:val="none"/>
          <w:lang w:eastAsia="zh-CN"/>
        </w:rPr>
      </w:pPr>
      <w:r>
        <w:rPr>
          <w:rFonts w:hint="eastAsia" w:ascii="宋体" w:hAnsi="宋体" w:cs="宋体"/>
          <w:b/>
          <w:color w:val="auto"/>
          <w:kern w:val="0"/>
          <w:sz w:val="30"/>
          <w:szCs w:val="30"/>
          <w:highlight w:val="none"/>
          <w:lang w:eastAsia="zh-CN"/>
        </w:rPr>
        <w:t>投标报价明细表</w:t>
      </w:r>
    </w:p>
    <w:p w14:paraId="0279E3A5">
      <w:pPr>
        <w:snapToGrid w:val="0"/>
        <w:spacing w:beforeLines="0" w:afterLines="0" w:line="540" w:lineRule="exact"/>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项目名称：                      </w:t>
      </w:r>
      <w:r>
        <w:rPr>
          <w:rFonts w:hint="eastAsia" w:ascii="宋体" w:hAnsi="宋体" w:eastAsia="宋体" w:cs="宋体"/>
          <w:color w:val="auto"/>
          <w:sz w:val="21"/>
          <w:szCs w:val="21"/>
          <w:lang w:val="en-US" w:eastAsia="zh-CN" w:bidi="ar"/>
        </w:rPr>
        <w:t xml:space="preserve">       </w:t>
      </w:r>
      <w:r>
        <w:rPr>
          <w:rFonts w:hint="eastAsia" w:ascii="宋体" w:hAnsi="宋体" w:eastAsia="宋体" w:cs="宋体"/>
          <w:color w:val="auto"/>
          <w:sz w:val="21"/>
          <w:szCs w:val="21"/>
          <w:lang w:bidi="ar"/>
        </w:rPr>
        <w:t xml:space="preserve">                             金额单位：元</w:t>
      </w:r>
    </w:p>
    <w:tbl>
      <w:tblPr>
        <w:tblStyle w:val="38"/>
        <w:tblW w:w="4999" w:type="pct"/>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4283"/>
        <w:gridCol w:w="4293"/>
      </w:tblGrid>
      <w:tr w14:paraId="749C61B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2" w:type="pct"/>
            <w:tcBorders>
              <w:top w:val="double" w:color="auto" w:sz="2" w:space="0"/>
              <w:left w:val="double" w:color="auto" w:sz="2" w:space="0"/>
              <w:bottom w:val="single" w:color="auto" w:sz="4" w:space="0"/>
              <w:right w:val="single" w:color="auto" w:sz="4" w:space="0"/>
              <w:tl2br w:val="nil"/>
              <w:tr2bl w:val="nil"/>
            </w:tcBorders>
            <w:noWrap w:val="0"/>
            <w:vAlign w:val="center"/>
          </w:tcPr>
          <w:p w14:paraId="7BCA95F3">
            <w:pPr>
              <w:keepNext w:val="0"/>
              <w:keepLines w:val="0"/>
              <w:suppressLineNumbers w:val="0"/>
              <w:spacing w:before="0" w:beforeLines="0" w:beforeAutospacing="0" w:after="0" w:afterLines="0" w:afterAutospacing="0" w:line="400" w:lineRule="exact"/>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bidi="ar"/>
              </w:rPr>
              <w:t>序号</w:t>
            </w:r>
          </w:p>
        </w:tc>
        <w:tc>
          <w:tcPr>
            <w:tcW w:w="2250" w:type="pct"/>
            <w:tcBorders>
              <w:top w:val="double" w:color="auto" w:sz="2" w:space="0"/>
              <w:left w:val="nil"/>
              <w:bottom w:val="single" w:color="auto" w:sz="4" w:space="0"/>
              <w:right w:val="single" w:color="auto" w:sz="4" w:space="0"/>
              <w:tl2br w:val="nil"/>
              <w:tr2bl w:val="nil"/>
            </w:tcBorders>
            <w:noWrap w:val="0"/>
            <w:vAlign w:val="center"/>
          </w:tcPr>
          <w:p w14:paraId="6839AA94">
            <w:pPr>
              <w:keepNext w:val="0"/>
              <w:keepLines w:val="0"/>
              <w:suppressLineNumbers w:val="0"/>
              <w:spacing w:before="0" w:beforeLines="0" w:beforeAutospacing="0" w:after="0" w:afterLines="0" w:afterAutospacing="0" w:line="400" w:lineRule="exact"/>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bidi="ar"/>
              </w:rPr>
              <w:t>费用名称</w:t>
            </w:r>
          </w:p>
        </w:tc>
        <w:tc>
          <w:tcPr>
            <w:tcW w:w="2256" w:type="pct"/>
            <w:tcBorders>
              <w:top w:val="double" w:color="auto" w:sz="2" w:space="0"/>
              <w:left w:val="nil"/>
              <w:bottom w:val="single" w:color="auto" w:sz="4" w:space="0"/>
              <w:right w:val="double" w:color="auto" w:sz="2" w:space="0"/>
              <w:tl2br w:val="nil"/>
              <w:tr2bl w:val="nil"/>
            </w:tcBorders>
            <w:noWrap w:val="0"/>
            <w:vAlign w:val="center"/>
          </w:tcPr>
          <w:p w14:paraId="594D9C32">
            <w:pPr>
              <w:keepNext w:val="0"/>
              <w:keepLines w:val="0"/>
              <w:suppressLineNumbers w:val="0"/>
              <w:snapToGrid w:val="0"/>
              <w:spacing w:before="0" w:beforeLines="0" w:beforeAutospacing="0" w:after="0" w:afterLines="0" w:afterAutospacing="0" w:line="400" w:lineRule="exact"/>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bidi="ar"/>
              </w:rPr>
              <w:t>金额（元）</w:t>
            </w:r>
          </w:p>
        </w:tc>
      </w:tr>
      <w:tr w14:paraId="7061B27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2" w:type="pct"/>
            <w:tcBorders>
              <w:top w:val="single" w:color="auto" w:sz="4" w:space="0"/>
              <w:left w:val="double" w:color="auto" w:sz="2" w:space="0"/>
              <w:bottom w:val="single" w:color="auto" w:sz="4" w:space="0"/>
              <w:right w:val="single" w:color="auto" w:sz="4" w:space="0"/>
              <w:tl2br w:val="nil"/>
              <w:tr2bl w:val="nil"/>
            </w:tcBorders>
            <w:noWrap w:val="0"/>
            <w:vAlign w:val="center"/>
          </w:tcPr>
          <w:p w14:paraId="608A1A5E">
            <w:pPr>
              <w:keepNext w:val="0"/>
              <w:keepLines w:val="0"/>
              <w:suppressLineNumbers w:val="0"/>
              <w:spacing w:before="0" w:beforeLines="0" w:beforeAutospacing="0" w:after="0" w:afterLines="0" w:afterAutospacing="0" w:line="4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w:t>
            </w:r>
          </w:p>
        </w:tc>
        <w:tc>
          <w:tcPr>
            <w:tcW w:w="2250" w:type="pct"/>
            <w:tcBorders>
              <w:top w:val="single" w:color="auto" w:sz="4" w:space="0"/>
              <w:left w:val="nil"/>
              <w:bottom w:val="single" w:color="auto" w:sz="4" w:space="0"/>
              <w:right w:val="single" w:color="auto" w:sz="4" w:space="0"/>
              <w:tl2br w:val="nil"/>
              <w:tr2bl w:val="nil"/>
            </w:tcBorders>
            <w:noWrap w:val="0"/>
            <w:vAlign w:val="center"/>
          </w:tcPr>
          <w:p w14:paraId="77009B7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p>
        </w:tc>
        <w:tc>
          <w:tcPr>
            <w:tcW w:w="2256" w:type="pct"/>
            <w:tcBorders>
              <w:top w:val="single" w:color="auto" w:sz="4" w:space="0"/>
              <w:left w:val="nil"/>
              <w:bottom w:val="single" w:color="auto" w:sz="4" w:space="0"/>
              <w:right w:val="double" w:color="auto" w:sz="2" w:space="0"/>
              <w:tl2br w:val="nil"/>
              <w:tr2bl w:val="nil"/>
            </w:tcBorders>
            <w:noWrap w:val="0"/>
            <w:vAlign w:val="center"/>
          </w:tcPr>
          <w:p w14:paraId="7B6989AC">
            <w:pPr>
              <w:keepNext w:val="0"/>
              <w:keepLines w:val="0"/>
              <w:suppressLineNumbers w:val="0"/>
              <w:snapToGrid w:val="0"/>
              <w:spacing w:before="0" w:beforeLines="0" w:beforeAutospacing="0" w:after="0" w:afterLines="0" w:afterAutospacing="0" w:line="400" w:lineRule="exact"/>
              <w:ind w:left="0" w:right="0"/>
              <w:jc w:val="center"/>
              <w:rPr>
                <w:rFonts w:hint="eastAsia" w:ascii="宋体" w:hAnsi="宋体" w:eastAsia="宋体" w:cs="宋体"/>
                <w:color w:val="auto"/>
                <w:sz w:val="21"/>
                <w:szCs w:val="21"/>
              </w:rPr>
            </w:pPr>
          </w:p>
        </w:tc>
      </w:tr>
      <w:tr w14:paraId="4D67F6EC">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2" w:type="pct"/>
            <w:tcBorders>
              <w:top w:val="single" w:color="auto" w:sz="4" w:space="0"/>
              <w:left w:val="double" w:color="auto" w:sz="2" w:space="0"/>
              <w:bottom w:val="single" w:color="auto" w:sz="4" w:space="0"/>
              <w:right w:val="single" w:color="auto" w:sz="4" w:space="0"/>
              <w:tl2br w:val="nil"/>
              <w:tr2bl w:val="nil"/>
            </w:tcBorders>
            <w:noWrap w:val="0"/>
            <w:vAlign w:val="center"/>
          </w:tcPr>
          <w:p w14:paraId="1F0BD5E3">
            <w:pPr>
              <w:keepNext w:val="0"/>
              <w:keepLines w:val="0"/>
              <w:suppressLineNumbers w:val="0"/>
              <w:spacing w:before="0" w:beforeLines="0" w:beforeAutospacing="0" w:after="0" w:afterLines="0" w:afterAutospacing="0" w:line="4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w:t>
            </w:r>
          </w:p>
        </w:tc>
        <w:tc>
          <w:tcPr>
            <w:tcW w:w="2250" w:type="pct"/>
            <w:tcBorders>
              <w:top w:val="single" w:color="auto" w:sz="4" w:space="0"/>
              <w:left w:val="nil"/>
              <w:bottom w:val="single" w:color="auto" w:sz="4" w:space="0"/>
              <w:right w:val="single" w:color="auto" w:sz="4" w:space="0"/>
              <w:tl2br w:val="nil"/>
              <w:tr2bl w:val="nil"/>
            </w:tcBorders>
            <w:noWrap w:val="0"/>
            <w:vAlign w:val="center"/>
          </w:tcPr>
          <w:p w14:paraId="20A08C44">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p>
        </w:tc>
        <w:tc>
          <w:tcPr>
            <w:tcW w:w="2256" w:type="pct"/>
            <w:tcBorders>
              <w:top w:val="single" w:color="auto" w:sz="4" w:space="0"/>
              <w:left w:val="nil"/>
              <w:bottom w:val="single" w:color="auto" w:sz="4" w:space="0"/>
              <w:right w:val="double" w:color="auto" w:sz="2" w:space="0"/>
              <w:tl2br w:val="nil"/>
              <w:tr2bl w:val="nil"/>
            </w:tcBorders>
            <w:noWrap w:val="0"/>
            <w:vAlign w:val="center"/>
          </w:tcPr>
          <w:p w14:paraId="036ED17D">
            <w:pPr>
              <w:keepNext w:val="0"/>
              <w:keepLines w:val="0"/>
              <w:suppressLineNumbers w:val="0"/>
              <w:snapToGrid w:val="0"/>
              <w:spacing w:before="0" w:beforeLines="0" w:beforeAutospacing="0" w:after="0" w:afterLines="0" w:afterAutospacing="0" w:line="400" w:lineRule="exact"/>
              <w:ind w:left="0" w:right="0"/>
              <w:jc w:val="center"/>
              <w:rPr>
                <w:rFonts w:hint="eastAsia" w:ascii="宋体" w:hAnsi="宋体" w:eastAsia="宋体" w:cs="宋体"/>
                <w:color w:val="auto"/>
                <w:sz w:val="21"/>
                <w:szCs w:val="21"/>
              </w:rPr>
            </w:pPr>
          </w:p>
        </w:tc>
      </w:tr>
      <w:tr w14:paraId="01EEF416">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2" w:type="pct"/>
            <w:tcBorders>
              <w:top w:val="single" w:color="auto" w:sz="4" w:space="0"/>
              <w:left w:val="double" w:color="auto" w:sz="2" w:space="0"/>
              <w:bottom w:val="single" w:color="auto" w:sz="4" w:space="0"/>
              <w:right w:val="single" w:color="auto" w:sz="4" w:space="0"/>
              <w:tl2br w:val="nil"/>
              <w:tr2bl w:val="nil"/>
            </w:tcBorders>
            <w:noWrap w:val="0"/>
            <w:vAlign w:val="center"/>
          </w:tcPr>
          <w:p w14:paraId="3C15EF53">
            <w:pPr>
              <w:keepNext w:val="0"/>
              <w:keepLines w:val="0"/>
              <w:suppressLineNumbers w:val="0"/>
              <w:spacing w:before="0" w:beforeLines="0" w:beforeAutospacing="0" w:after="0" w:afterLines="0" w:afterAutospacing="0" w:line="4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w:t>
            </w:r>
          </w:p>
        </w:tc>
        <w:tc>
          <w:tcPr>
            <w:tcW w:w="2250" w:type="pct"/>
            <w:tcBorders>
              <w:top w:val="single" w:color="auto" w:sz="4" w:space="0"/>
              <w:left w:val="nil"/>
              <w:bottom w:val="single" w:color="auto" w:sz="4" w:space="0"/>
              <w:right w:val="single" w:color="auto" w:sz="4" w:space="0"/>
              <w:tl2br w:val="nil"/>
              <w:tr2bl w:val="nil"/>
            </w:tcBorders>
            <w:noWrap w:val="0"/>
            <w:vAlign w:val="center"/>
          </w:tcPr>
          <w:p w14:paraId="316C56A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p>
        </w:tc>
        <w:tc>
          <w:tcPr>
            <w:tcW w:w="2256" w:type="pct"/>
            <w:tcBorders>
              <w:top w:val="single" w:color="auto" w:sz="4" w:space="0"/>
              <w:left w:val="nil"/>
              <w:bottom w:val="single" w:color="auto" w:sz="4" w:space="0"/>
              <w:right w:val="double" w:color="auto" w:sz="2" w:space="0"/>
              <w:tl2br w:val="nil"/>
              <w:tr2bl w:val="nil"/>
            </w:tcBorders>
            <w:noWrap w:val="0"/>
            <w:vAlign w:val="center"/>
          </w:tcPr>
          <w:p w14:paraId="6C82C140">
            <w:pPr>
              <w:keepNext w:val="0"/>
              <w:keepLines w:val="0"/>
              <w:suppressLineNumbers w:val="0"/>
              <w:snapToGrid w:val="0"/>
              <w:spacing w:before="0" w:beforeLines="0" w:beforeAutospacing="0" w:after="0" w:afterLines="0" w:afterAutospacing="0" w:line="400" w:lineRule="exact"/>
              <w:ind w:left="0" w:right="0"/>
              <w:jc w:val="center"/>
              <w:rPr>
                <w:rFonts w:hint="eastAsia" w:ascii="宋体" w:hAnsi="宋体" w:eastAsia="宋体" w:cs="宋体"/>
                <w:color w:val="auto"/>
                <w:sz w:val="21"/>
                <w:szCs w:val="21"/>
              </w:rPr>
            </w:pPr>
          </w:p>
        </w:tc>
      </w:tr>
      <w:tr w14:paraId="47790195">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2" w:type="pct"/>
            <w:tcBorders>
              <w:top w:val="single" w:color="auto" w:sz="4" w:space="0"/>
              <w:left w:val="double" w:color="auto" w:sz="2" w:space="0"/>
              <w:bottom w:val="single" w:color="auto" w:sz="4" w:space="0"/>
              <w:right w:val="single" w:color="auto" w:sz="4" w:space="0"/>
              <w:tl2br w:val="nil"/>
              <w:tr2bl w:val="nil"/>
            </w:tcBorders>
            <w:noWrap w:val="0"/>
            <w:vAlign w:val="center"/>
          </w:tcPr>
          <w:p w14:paraId="62FDFD19">
            <w:pPr>
              <w:keepNext w:val="0"/>
              <w:keepLines w:val="0"/>
              <w:suppressLineNumbers w:val="0"/>
              <w:spacing w:before="0" w:beforeLines="0" w:beforeAutospacing="0" w:after="0" w:afterLines="0" w:afterAutospacing="0" w:line="4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4</w:t>
            </w:r>
          </w:p>
        </w:tc>
        <w:tc>
          <w:tcPr>
            <w:tcW w:w="2250" w:type="pct"/>
            <w:tcBorders>
              <w:top w:val="single" w:color="auto" w:sz="4" w:space="0"/>
              <w:left w:val="nil"/>
              <w:bottom w:val="single" w:color="auto" w:sz="4" w:space="0"/>
              <w:right w:val="single" w:color="auto" w:sz="4" w:space="0"/>
              <w:tl2br w:val="nil"/>
              <w:tr2bl w:val="nil"/>
            </w:tcBorders>
            <w:noWrap w:val="0"/>
            <w:vAlign w:val="center"/>
          </w:tcPr>
          <w:p w14:paraId="0EA17342">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p>
        </w:tc>
        <w:tc>
          <w:tcPr>
            <w:tcW w:w="2256" w:type="pct"/>
            <w:tcBorders>
              <w:top w:val="single" w:color="auto" w:sz="4" w:space="0"/>
              <w:left w:val="nil"/>
              <w:bottom w:val="single" w:color="auto" w:sz="4" w:space="0"/>
              <w:right w:val="double" w:color="auto" w:sz="2" w:space="0"/>
              <w:tl2br w:val="nil"/>
              <w:tr2bl w:val="nil"/>
            </w:tcBorders>
            <w:noWrap w:val="0"/>
            <w:vAlign w:val="center"/>
          </w:tcPr>
          <w:p w14:paraId="4BD8DF30">
            <w:pPr>
              <w:keepNext w:val="0"/>
              <w:keepLines w:val="0"/>
              <w:suppressLineNumbers w:val="0"/>
              <w:snapToGrid w:val="0"/>
              <w:spacing w:before="0" w:beforeLines="0" w:beforeAutospacing="0" w:after="0" w:afterLines="0" w:afterAutospacing="0" w:line="400" w:lineRule="exact"/>
              <w:ind w:left="0" w:right="0"/>
              <w:jc w:val="center"/>
              <w:rPr>
                <w:rFonts w:hint="eastAsia" w:ascii="宋体" w:hAnsi="宋体" w:eastAsia="宋体" w:cs="宋体"/>
                <w:color w:val="auto"/>
                <w:sz w:val="21"/>
                <w:szCs w:val="21"/>
              </w:rPr>
            </w:pPr>
          </w:p>
        </w:tc>
      </w:tr>
      <w:tr w14:paraId="17144C2B">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2" w:type="pct"/>
            <w:tcBorders>
              <w:top w:val="single" w:color="auto" w:sz="4" w:space="0"/>
              <w:left w:val="double" w:color="auto" w:sz="2" w:space="0"/>
              <w:bottom w:val="single" w:color="auto" w:sz="4" w:space="0"/>
              <w:right w:val="single" w:color="auto" w:sz="4" w:space="0"/>
              <w:tl2br w:val="nil"/>
              <w:tr2bl w:val="nil"/>
            </w:tcBorders>
            <w:noWrap w:val="0"/>
            <w:vAlign w:val="center"/>
          </w:tcPr>
          <w:p w14:paraId="537AE90B">
            <w:pPr>
              <w:keepNext w:val="0"/>
              <w:keepLines w:val="0"/>
              <w:suppressLineNumbers w:val="0"/>
              <w:spacing w:before="0" w:beforeLines="0" w:beforeAutospacing="0" w:after="0" w:afterLines="0" w:afterAutospacing="0" w:line="4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2250" w:type="pct"/>
            <w:tcBorders>
              <w:top w:val="single" w:color="auto" w:sz="4" w:space="0"/>
              <w:left w:val="nil"/>
              <w:bottom w:val="single" w:color="auto" w:sz="4" w:space="0"/>
              <w:right w:val="single" w:color="auto" w:sz="4" w:space="0"/>
              <w:tl2br w:val="nil"/>
              <w:tr2bl w:val="nil"/>
            </w:tcBorders>
            <w:noWrap w:val="0"/>
            <w:vAlign w:val="center"/>
          </w:tcPr>
          <w:p w14:paraId="7F442E22">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p>
        </w:tc>
        <w:tc>
          <w:tcPr>
            <w:tcW w:w="2256" w:type="pct"/>
            <w:tcBorders>
              <w:top w:val="single" w:color="auto" w:sz="4" w:space="0"/>
              <w:left w:val="nil"/>
              <w:bottom w:val="single" w:color="auto" w:sz="4" w:space="0"/>
              <w:right w:val="double" w:color="auto" w:sz="2" w:space="0"/>
              <w:tl2br w:val="nil"/>
              <w:tr2bl w:val="nil"/>
            </w:tcBorders>
            <w:noWrap w:val="0"/>
            <w:vAlign w:val="center"/>
          </w:tcPr>
          <w:p w14:paraId="35C51E7F">
            <w:pPr>
              <w:keepNext w:val="0"/>
              <w:keepLines w:val="0"/>
              <w:suppressLineNumbers w:val="0"/>
              <w:snapToGrid w:val="0"/>
              <w:spacing w:before="0" w:beforeLines="0" w:beforeAutospacing="0" w:after="0" w:afterLines="0" w:afterAutospacing="0" w:line="400" w:lineRule="exact"/>
              <w:ind w:left="0" w:right="0"/>
              <w:jc w:val="center"/>
              <w:rPr>
                <w:rFonts w:hint="eastAsia" w:ascii="宋体" w:hAnsi="宋体" w:eastAsia="宋体" w:cs="宋体"/>
                <w:color w:val="auto"/>
                <w:sz w:val="21"/>
                <w:szCs w:val="21"/>
              </w:rPr>
            </w:pPr>
          </w:p>
        </w:tc>
      </w:tr>
      <w:tr w14:paraId="7870E67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2" w:type="pct"/>
            <w:tcBorders>
              <w:top w:val="single" w:color="auto" w:sz="4" w:space="0"/>
              <w:left w:val="double" w:color="auto" w:sz="2" w:space="0"/>
              <w:bottom w:val="single" w:color="auto" w:sz="4" w:space="0"/>
              <w:right w:val="single" w:color="auto" w:sz="4" w:space="0"/>
              <w:tl2br w:val="nil"/>
              <w:tr2bl w:val="nil"/>
            </w:tcBorders>
            <w:noWrap w:val="0"/>
            <w:vAlign w:val="center"/>
          </w:tcPr>
          <w:p w14:paraId="62F3F8FC">
            <w:pPr>
              <w:keepNext w:val="0"/>
              <w:keepLines w:val="0"/>
              <w:suppressLineNumbers w:val="0"/>
              <w:spacing w:before="0" w:beforeLines="0" w:beforeAutospacing="0" w:after="0" w:afterLines="0" w:afterAutospacing="0" w:line="4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2250" w:type="pct"/>
            <w:tcBorders>
              <w:top w:val="single" w:color="auto" w:sz="4" w:space="0"/>
              <w:left w:val="nil"/>
              <w:bottom w:val="single" w:color="auto" w:sz="4" w:space="0"/>
              <w:right w:val="single" w:color="auto" w:sz="4" w:space="0"/>
              <w:tl2br w:val="nil"/>
              <w:tr2bl w:val="nil"/>
            </w:tcBorders>
            <w:noWrap w:val="0"/>
            <w:vAlign w:val="center"/>
          </w:tcPr>
          <w:p w14:paraId="3022C2F5">
            <w:pPr>
              <w:pStyle w:val="32"/>
              <w:keepNext w:val="0"/>
              <w:keepLines w:val="0"/>
              <w:suppressLineNumbers w:val="0"/>
              <w:spacing w:before="120" w:beforeLines="0" w:beforeAutospacing="0" w:after="12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lang w:bidi="ar"/>
              </w:rPr>
              <w:t>……</w:t>
            </w:r>
          </w:p>
        </w:tc>
        <w:tc>
          <w:tcPr>
            <w:tcW w:w="2256" w:type="pct"/>
            <w:tcBorders>
              <w:top w:val="single" w:color="auto" w:sz="4" w:space="0"/>
              <w:left w:val="nil"/>
              <w:bottom w:val="single" w:color="auto" w:sz="4" w:space="0"/>
              <w:right w:val="double" w:color="auto" w:sz="2" w:space="0"/>
              <w:tl2br w:val="nil"/>
              <w:tr2bl w:val="nil"/>
            </w:tcBorders>
            <w:noWrap w:val="0"/>
            <w:vAlign w:val="center"/>
          </w:tcPr>
          <w:p w14:paraId="15B716D1">
            <w:pPr>
              <w:keepNext w:val="0"/>
              <w:keepLines w:val="0"/>
              <w:suppressLineNumbers w:val="0"/>
              <w:snapToGrid w:val="0"/>
              <w:spacing w:before="0" w:beforeLines="0" w:beforeAutospacing="0" w:after="0" w:afterLines="0" w:afterAutospacing="0" w:line="400" w:lineRule="exact"/>
              <w:ind w:left="0" w:right="0"/>
              <w:jc w:val="center"/>
              <w:rPr>
                <w:rFonts w:hint="eastAsia" w:ascii="宋体" w:hAnsi="宋体" w:eastAsia="宋体" w:cs="宋体"/>
                <w:color w:val="auto"/>
                <w:sz w:val="21"/>
                <w:szCs w:val="21"/>
              </w:rPr>
            </w:pPr>
          </w:p>
        </w:tc>
      </w:tr>
      <w:tr w14:paraId="393B8022">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743" w:type="pct"/>
            <w:gridSpan w:val="2"/>
            <w:tcBorders>
              <w:top w:val="single" w:color="auto" w:sz="4" w:space="0"/>
              <w:left w:val="double" w:color="auto" w:sz="2" w:space="0"/>
              <w:bottom w:val="double" w:color="auto" w:sz="2" w:space="0"/>
              <w:right w:val="single" w:color="auto" w:sz="4" w:space="0"/>
              <w:tl2br w:val="nil"/>
              <w:tr2bl w:val="nil"/>
            </w:tcBorders>
            <w:noWrap w:val="0"/>
            <w:vAlign w:val="center"/>
          </w:tcPr>
          <w:p w14:paraId="0B2CC968">
            <w:pPr>
              <w:keepNext w:val="0"/>
              <w:keepLines w:val="0"/>
              <w:suppressLineNumbers w:val="0"/>
              <w:spacing w:before="0" w:beforeLines="0" w:beforeAutospacing="0" w:after="0" w:afterLines="0" w:afterAutospacing="0" w:line="4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合计（元）</w:t>
            </w:r>
          </w:p>
        </w:tc>
        <w:tc>
          <w:tcPr>
            <w:tcW w:w="2256" w:type="pct"/>
            <w:tcBorders>
              <w:top w:val="single" w:color="auto" w:sz="4" w:space="0"/>
              <w:left w:val="nil"/>
              <w:bottom w:val="double" w:color="auto" w:sz="2" w:space="0"/>
              <w:right w:val="double" w:color="auto" w:sz="2" w:space="0"/>
              <w:tl2br w:val="nil"/>
              <w:tr2bl w:val="nil"/>
            </w:tcBorders>
            <w:noWrap w:val="0"/>
            <w:vAlign w:val="center"/>
          </w:tcPr>
          <w:p w14:paraId="5A528653">
            <w:pPr>
              <w:keepNext w:val="0"/>
              <w:keepLines w:val="0"/>
              <w:suppressLineNumbers w:val="0"/>
              <w:snapToGrid w:val="0"/>
              <w:spacing w:before="0" w:beforeLines="0" w:beforeAutospacing="0" w:after="0" w:afterLines="0" w:afterAutospacing="0" w:line="400" w:lineRule="exact"/>
              <w:ind w:left="0" w:right="0"/>
              <w:jc w:val="center"/>
              <w:rPr>
                <w:rFonts w:hint="eastAsia" w:ascii="宋体" w:hAnsi="宋体" w:eastAsia="宋体" w:cs="宋体"/>
                <w:color w:val="auto"/>
                <w:sz w:val="21"/>
                <w:szCs w:val="21"/>
              </w:rPr>
            </w:pPr>
          </w:p>
        </w:tc>
      </w:tr>
    </w:tbl>
    <w:p w14:paraId="750E97F3">
      <w:pPr>
        <w:spacing w:beforeLines="0" w:afterLines="0"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bidi="ar"/>
        </w:rPr>
        <w:t>注：1、投标报价明细表中的“合计”应当与“开标一览表”中的投标总报价一致。</w:t>
      </w:r>
    </w:p>
    <w:p w14:paraId="4C56E8AF">
      <w:pPr>
        <w:spacing w:beforeLines="0" w:afterLines="0"/>
        <w:ind w:firstLine="420" w:firstLineChars="200"/>
        <w:rPr>
          <w:rFonts w:hint="default" w:ascii="Times New Roman" w:hAnsi="Times New Roman" w:eastAsia="宋体" w:cs="Times New Roman"/>
          <w:color w:val="auto"/>
          <w:sz w:val="21"/>
          <w:szCs w:val="21"/>
        </w:rPr>
      </w:pPr>
      <w:r>
        <w:rPr>
          <w:rFonts w:hint="eastAsia" w:ascii="宋体" w:hAnsi="宋体" w:eastAsia="宋体" w:cs="宋体"/>
          <w:color w:val="auto"/>
          <w:sz w:val="21"/>
          <w:szCs w:val="21"/>
          <w:lang w:bidi="ar"/>
        </w:rPr>
        <w:t>2、内容可自行增添。</w:t>
      </w:r>
    </w:p>
    <w:p w14:paraId="58D14AE1">
      <w:pPr>
        <w:spacing w:beforeLines="0" w:afterLines="0" w:line="540" w:lineRule="exact"/>
        <w:ind w:firstLine="3840" w:firstLineChars="1600"/>
        <w:rPr>
          <w:rFonts w:hint="eastAsia" w:ascii="仿宋" w:hAnsi="仿宋" w:eastAsia="仿宋" w:cs="宋体"/>
          <w:color w:val="auto"/>
          <w:sz w:val="24"/>
          <w:szCs w:val="24"/>
        </w:rPr>
      </w:pPr>
      <w:r>
        <w:rPr>
          <w:rFonts w:hint="eastAsia" w:ascii="仿宋" w:hAnsi="仿宋" w:eastAsia="仿宋" w:cs="宋体"/>
          <w:color w:val="auto"/>
          <w:sz w:val="24"/>
          <w:szCs w:val="24"/>
          <w:lang w:bidi="ar"/>
        </w:rPr>
        <w:t xml:space="preserve"> </w:t>
      </w:r>
    </w:p>
    <w:p w14:paraId="68B44340">
      <w:pPr>
        <w:pStyle w:val="35"/>
        <w:widowControl/>
        <w:rPr>
          <w:rFonts w:hint="eastAsia" w:ascii="仿宋" w:hAnsi="仿宋" w:eastAsia="仿宋" w:cs="宋体"/>
          <w:bCs/>
          <w:color w:val="auto"/>
          <w:kern w:val="2"/>
          <w:sz w:val="24"/>
          <w:szCs w:val="24"/>
          <w:highlight w:val="none"/>
        </w:rPr>
      </w:pPr>
      <w:r>
        <w:rPr>
          <w:rFonts w:hint="eastAsia" w:ascii="仿宋" w:hAnsi="仿宋" w:eastAsia="仿宋" w:cs="宋体"/>
          <w:bCs/>
          <w:color w:val="auto"/>
          <w:kern w:val="2"/>
          <w:sz w:val="24"/>
          <w:szCs w:val="24"/>
          <w:highlight w:val="none"/>
        </w:rPr>
        <w:t xml:space="preserve"> </w:t>
      </w:r>
    </w:p>
    <w:p w14:paraId="437697A3">
      <w:pPr>
        <w:pStyle w:val="35"/>
        <w:widowControl/>
        <w:rPr>
          <w:rFonts w:hint="eastAsia" w:ascii="仿宋" w:hAnsi="仿宋" w:eastAsia="仿宋" w:cs="宋体"/>
          <w:bCs/>
          <w:color w:val="auto"/>
          <w:kern w:val="2"/>
          <w:sz w:val="24"/>
          <w:szCs w:val="24"/>
          <w:highlight w:val="none"/>
        </w:rPr>
      </w:pPr>
      <w:r>
        <w:rPr>
          <w:rFonts w:hint="eastAsia" w:ascii="仿宋" w:hAnsi="仿宋" w:eastAsia="仿宋" w:cs="宋体"/>
          <w:bCs/>
          <w:color w:val="auto"/>
          <w:kern w:val="2"/>
          <w:sz w:val="24"/>
          <w:szCs w:val="24"/>
          <w:highlight w:val="none"/>
        </w:rPr>
        <w:t xml:space="preserve"> </w:t>
      </w:r>
    </w:p>
    <w:p w14:paraId="201E0A97">
      <w:pPr>
        <w:keepNext w:val="0"/>
        <w:keepLines w:val="0"/>
        <w:pageBreakBefore w:val="0"/>
        <w:kinsoku/>
        <w:wordWrap/>
        <w:overflowPunct/>
        <w:topLinePunct w:val="0"/>
        <w:autoSpaceDE/>
        <w:autoSpaceDN/>
        <w:bidi w:val="0"/>
        <w:adjustRightInd/>
        <w:spacing w:line="360" w:lineRule="auto"/>
        <w:ind w:left="0" w:leftChars="0" w:right="0" w:rightChars="0" w:firstLine="3780" w:firstLineChars="18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7814F7D">
      <w:pPr>
        <w:keepNext w:val="0"/>
        <w:keepLines w:val="0"/>
        <w:pageBreakBefore w:val="0"/>
        <w:kinsoku/>
        <w:wordWrap/>
        <w:overflowPunct/>
        <w:topLinePunct w:val="0"/>
        <w:autoSpaceDE/>
        <w:autoSpaceDN/>
        <w:bidi w:val="0"/>
        <w:adjustRightInd/>
        <w:spacing w:line="360" w:lineRule="auto"/>
        <w:ind w:left="0" w:leftChars="0" w:right="0" w:rightChars="0" w:firstLine="3780" w:firstLineChars="18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法定代表人或授权委托人（签字或盖章）：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2A68712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3780" w:firstLineChars="1800"/>
        <w:jc w:val="both"/>
        <w:textAlignment w:val="baseline"/>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p>
    <w:p w14:paraId="14D90028">
      <w:pPr>
        <w:widowControl/>
        <w:spacing w:beforeLines="0" w:afterLines="0" w:line="440" w:lineRule="exact"/>
        <w:ind w:firstLine="480" w:firstLineChars="200"/>
        <w:jc w:val="left"/>
        <w:rPr>
          <w:rFonts w:hint="eastAsia" w:ascii="宋体" w:hAnsi="宋体" w:cs="宋体"/>
          <w:color w:val="auto"/>
          <w:kern w:val="0"/>
          <w:sz w:val="24"/>
          <w:szCs w:val="24"/>
          <w:highlight w:val="none"/>
        </w:rPr>
      </w:pPr>
    </w:p>
    <w:p w14:paraId="1A1289C9">
      <w:pPr>
        <w:snapToGrid w:val="0"/>
        <w:spacing w:before="50" w:after="50"/>
        <w:jc w:val="center"/>
        <w:rPr>
          <w:rFonts w:hint="eastAsia" w:ascii="宋体" w:hAnsi="宋体" w:cs="宋体"/>
          <w:b/>
          <w:bCs/>
          <w:color w:val="auto"/>
          <w:kern w:val="0"/>
          <w:sz w:val="30"/>
          <w:szCs w:val="30"/>
          <w:highlight w:val="none"/>
          <w:lang w:eastAsia="zh-CN"/>
        </w:rPr>
      </w:pPr>
    </w:p>
    <w:p w14:paraId="538F0938">
      <w:pPr>
        <w:rPr>
          <w:rFonts w:hint="eastAsia" w:ascii="宋体" w:hAnsi="宋体" w:cs="宋体"/>
          <w:b/>
          <w:bCs/>
          <w:color w:val="auto"/>
          <w:kern w:val="0"/>
          <w:sz w:val="30"/>
          <w:szCs w:val="30"/>
          <w:highlight w:val="none"/>
          <w:lang w:eastAsia="zh-CN"/>
        </w:rPr>
      </w:pPr>
    </w:p>
    <w:p w14:paraId="78B68B92">
      <w:pPr>
        <w:rPr>
          <w:rFonts w:hint="eastAsia" w:ascii="宋体" w:hAnsi="宋体" w:cs="宋体"/>
          <w:b/>
          <w:bCs/>
          <w:color w:val="auto"/>
          <w:kern w:val="0"/>
          <w:sz w:val="30"/>
          <w:szCs w:val="30"/>
          <w:highlight w:val="none"/>
          <w:lang w:eastAsia="zh-CN"/>
        </w:rPr>
      </w:pPr>
      <w:r>
        <w:rPr>
          <w:rFonts w:hint="eastAsia" w:ascii="宋体" w:hAnsi="宋体" w:cs="宋体"/>
          <w:b/>
          <w:bCs/>
          <w:color w:val="auto"/>
          <w:kern w:val="0"/>
          <w:sz w:val="30"/>
          <w:szCs w:val="30"/>
          <w:highlight w:val="none"/>
          <w:lang w:eastAsia="zh-CN"/>
        </w:rPr>
        <w:br w:type="page"/>
      </w:r>
    </w:p>
    <w:p w14:paraId="431DA410">
      <w:pPr>
        <w:snapToGrid w:val="0"/>
        <w:spacing w:before="50" w:after="50"/>
        <w:jc w:val="center"/>
        <w:rPr>
          <w:rFonts w:ascii="宋体" w:cs="宋体"/>
          <w:b/>
          <w:bCs/>
          <w:color w:val="auto"/>
          <w:kern w:val="0"/>
          <w:sz w:val="30"/>
          <w:szCs w:val="30"/>
          <w:highlight w:val="none"/>
        </w:rPr>
      </w:pPr>
      <w:r>
        <w:rPr>
          <w:rFonts w:hint="eastAsia" w:ascii="宋体" w:hAnsi="宋体" w:cs="宋体"/>
          <w:b/>
          <w:bCs/>
          <w:color w:val="auto"/>
          <w:kern w:val="0"/>
          <w:sz w:val="30"/>
          <w:szCs w:val="30"/>
          <w:highlight w:val="none"/>
          <w:lang w:eastAsia="zh-CN"/>
        </w:rPr>
        <w:t>四</w:t>
      </w:r>
      <w:r>
        <w:rPr>
          <w:rFonts w:hint="eastAsia" w:ascii="宋体" w:hAnsi="宋体" w:cs="宋体"/>
          <w:b/>
          <w:bCs/>
          <w:color w:val="auto"/>
          <w:kern w:val="0"/>
          <w:sz w:val="30"/>
          <w:szCs w:val="30"/>
          <w:highlight w:val="none"/>
        </w:rPr>
        <w:t>、</w:t>
      </w:r>
      <w:r>
        <w:rPr>
          <w:rFonts w:hint="eastAsia" w:ascii="宋体" w:hAnsi="宋体" w:cs="宋体"/>
          <w:b/>
          <w:color w:val="auto"/>
          <w:kern w:val="0"/>
          <w:sz w:val="30"/>
          <w:szCs w:val="30"/>
          <w:highlight w:val="none"/>
        </w:rPr>
        <w:t>投标人需要说明的其他文件和说明</w:t>
      </w:r>
    </w:p>
    <w:p w14:paraId="4DCF4D19">
      <w:pPr>
        <w:jc w:val="center"/>
        <w:rPr>
          <w:rFonts w:ascii="黑体" w:hAnsi="宋体" w:eastAsia="黑体" w:cs="Times New Roman"/>
          <w:color w:val="auto"/>
          <w:sz w:val="32"/>
          <w:szCs w:val="32"/>
          <w:highlight w:val="none"/>
        </w:rPr>
      </w:pPr>
    </w:p>
    <w:bookmarkEnd w:id="60"/>
    <w:bookmarkEnd w:id="61"/>
    <w:bookmarkEnd w:id="62"/>
    <w:bookmarkEnd w:id="63"/>
    <w:p w14:paraId="5D9DD5E1">
      <w:pPr>
        <w:jc w:val="center"/>
        <w:rPr>
          <w:rFonts w:ascii="黑体" w:hAnsi="宋体" w:eastAsia="黑体" w:cs="Times New Roman"/>
          <w:color w:val="auto"/>
          <w:sz w:val="32"/>
          <w:szCs w:val="32"/>
          <w:highlight w:val="none"/>
        </w:rPr>
      </w:pPr>
    </w:p>
    <w:sectPr>
      <w:footerReference r:id="rId8" w:type="default"/>
      <w:pgSz w:w="11906" w:h="16838"/>
      <w:pgMar w:top="1304" w:right="1304" w:bottom="1191" w:left="1304" w:header="794" w:footer="850" w:gutter="0"/>
      <w:pgBorders>
        <w:top w:val="none" w:sz="0" w:space="0"/>
        <w:left w:val="none" w:sz="0" w:space="0"/>
        <w:bottom w:val="none" w:sz="0" w:space="0"/>
        <w:right w:val="none" w:sz="0" w:space="0"/>
      </w:pgBorders>
      <w:pgNumType w:fmt="decimal"/>
      <w:cols w:space="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moder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1" w:csb1="00000000"/>
  </w:font>
  <w:font w:name="微软雅黑 Light">
    <w:panose1 w:val="020B0502040204020203"/>
    <w:charset w:val="7A"/>
    <w:family w:val="swiss"/>
    <w:pitch w:val="default"/>
    <w:sig w:usb0="80000287" w:usb1="2ACF001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CS?o｡ﾀ?">
    <w:altName w:val="MS Gothic"/>
    <w:panose1 w:val="00000000000000000000"/>
    <w:charset w:val="80"/>
    <w:family w:val="swiss"/>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新宋体">
    <w:panose1 w:val="02010609030101010101"/>
    <w:charset w:val="86"/>
    <w:family w:val="modern"/>
    <w:pitch w:val="default"/>
    <w:sig w:usb0="00000203" w:usb1="288F0000" w:usb2="0000000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D8549">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A74CA">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CCA74CA">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9AE25">
    <w:pPr>
      <w:pStyle w:val="2"/>
      <w:spacing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8480F">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578480F">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22AFE">
    <w:pPr>
      <w:pStyle w:val="24"/>
      <w:spacing w:beforeLines="0" w:afterLines="0"/>
      <w:rPr>
        <w:rFonts w:hint="default"/>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0180E">
                          <w:pPr>
                            <w:pStyle w:val="2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6E0180E">
                    <w:pPr>
                      <w:pStyle w:val="2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46B81">
    <w:pPr>
      <w:pStyle w:val="2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02234">
                          <w:pPr>
                            <w:pStyle w:val="2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D02234">
                    <w:pPr>
                      <w:pStyle w:val="2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54055">
    <w:pPr>
      <w:pStyle w:val="2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D34AC">
                          <w:pPr>
                            <w:pStyle w:val="2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F8D34AC">
                    <w:pPr>
                      <w:pStyle w:val="2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85D70">
    <w:pPr>
      <w:pStyle w:val="25"/>
      <w:pBdr>
        <w:bottom w:val="single" w:color="auto" w:sz="4" w:space="1"/>
      </w:pBdr>
      <w:jc w:val="center"/>
      <w:rPr>
        <w:rFonts w:ascii="仿宋" w:hAnsi="仿宋" w:eastAsia="仿宋" w:cs="仿宋"/>
      </w:rPr>
    </w:pPr>
    <w:r>
      <w:rPr>
        <w:rFonts w:hint="eastAsia" w:ascii="仿宋" w:hAnsi="仿宋" w:eastAsia="仿宋" w:cs="仿宋"/>
        <w:lang w:val="en-US" w:eastAsia="zh-CN"/>
      </w:rPr>
      <w:t>浙江省第十二届残疾人运动会盲人跳绳比赛整体赛事执行服务</w:t>
    </w:r>
    <w:r>
      <w:rPr>
        <w:rFonts w:hint="eastAsia" w:ascii="仿宋" w:hAnsi="仿宋" w:eastAsia="仿宋" w:cs="仿宋"/>
        <w:lang w:eastAsia="zh-CN"/>
      </w:rPr>
      <w:t>的</w:t>
    </w:r>
    <w:r>
      <w:rPr>
        <w:rFonts w:hint="eastAsia" w:ascii="仿宋" w:hAnsi="仿宋" w:eastAsia="仿宋" w:cs="仿宋"/>
        <w:lang w:val="en-US" w:eastAsia="zh-CN"/>
      </w:rPr>
      <w:t>公开招标采购</w:t>
    </w:r>
    <w:r>
      <w:rPr>
        <w:rFonts w:hint="eastAsia" w:ascii="仿宋" w:hAnsi="仿宋" w:eastAsia="仿宋" w:cs="仿宋"/>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9CB600"/>
    <w:multiLevelType w:val="singleLevel"/>
    <w:tmpl w:val="C69CB600"/>
    <w:lvl w:ilvl="0" w:tentative="0">
      <w:start w:val="1"/>
      <w:numFmt w:val="decimal"/>
      <w:suff w:val="nothing"/>
      <w:lvlText w:val="%1、"/>
      <w:lvlJc w:val="left"/>
    </w:lvl>
  </w:abstractNum>
  <w:abstractNum w:abstractNumId="1">
    <w:nsid w:val="CEF1A3C2"/>
    <w:multiLevelType w:val="singleLevel"/>
    <w:tmpl w:val="CEF1A3C2"/>
    <w:lvl w:ilvl="0" w:tentative="0">
      <w:start w:val="5"/>
      <w:numFmt w:val="decimal"/>
      <w:lvlText w:val="%1."/>
      <w:lvlJc w:val="left"/>
      <w:pPr>
        <w:tabs>
          <w:tab w:val="left" w:pos="312"/>
        </w:tabs>
      </w:pPr>
    </w:lvl>
  </w:abstractNum>
  <w:abstractNum w:abstractNumId="2">
    <w:nsid w:val="15F86C00"/>
    <w:multiLevelType w:val="singleLevel"/>
    <w:tmpl w:val="15F86C00"/>
    <w:lvl w:ilvl="0" w:tentative="0">
      <w:start w:val="3"/>
      <w:numFmt w:val="chineseCounting"/>
      <w:suff w:val="nothing"/>
      <w:lvlText w:val="%1、"/>
      <w:lvlJc w:val="left"/>
      <w:rPr>
        <w:rFonts w:hint="eastAsia"/>
      </w:rPr>
    </w:lvl>
  </w:abstractNum>
  <w:abstractNum w:abstractNumId="3">
    <w:nsid w:val="203B3A24"/>
    <w:multiLevelType w:val="multilevel"/>
    <w:tmpl w:val="203B3A24"/>
    <w:lvl w:ilvl="0" w:tentative="0">
      <w:start w:val="1"/>
      <w:numFmt w:val="chineseCountingThousand"/>
      <w:lvlText w:val="%1."/>
      <w:lvlJc w:val="left"/>
      <w:pPr>
        <w:ind w:left="0" w:firstLine="0"/>
      </w:pPr>
      <w:rPr>
        <w:rFonts w:hint="eastAsia"/>
        <w:lang w:val="en-US"/>
      </w:rPr>
    </w:lvl>
    <w:lvl w:ilvl="1" w:tentative="0">
      <w:start w:val="1"/>
      <w:numFmt w:val="decimal"/>
      <w:pStyle w:val="4"/>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48F8C1AD"/>
    <w:multiLevelType w:val="singleLevel"/>
    <w:tmpl w:val="48F8C1AD"/>
    <w:lvl w:ilvl="0" w:tentative="0">
      <w:start w:val="5"/>
      <w:numFmt w:val="decimal"/>
      <w:lvlText w:val="%1."/>
      <w:lvlJc w:val="left"/>
      <w:pPr>
        <w:tabs>
          <w:tab w:val="left" w:pos="312"/>
        </w:tabs>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oNotHyphenateCaps/>
  <w:drawingGridVerticalSpacing w:val="16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YmJhYWZmNGY2NGNlZDc4YzU2NGY0ZTU0MTIwMTcifQ=="/>
  </w:docVars>
  <w:rsids>
    <w:rsidRoot w:val="00172A27"/>
    <w:rsid w:val="00001E7E"/>
    <w:rsid w:val="0001668C"/>
    <w:rsid w:val="00016E1A"/>
    <w:rsid w:val="00027A4F"/>
    <w:rsid w:val="00037EE5"/>
    <w:rsid w:val="00086D3D"/>
    <w:rsid w:val="000B44D3"/>
    <w:rsid w:val="000C3AD8"/>
    <w:rsid w:val="00100327"/>
    <w:rsid w:val="00114464"/>
    <w:rsid w:val="001207EC"/>
    <w:rsid w:val="00136482"/>
    <w:rsid w:val="001422F3"/>
    <w:rsid w:val="00172A27"/>
    <w:rsid w:val="00172C38"/>
    <w:rsid w:val="001819F8"/>
    <w:rsid w:val="001D2BCA"/>
    <w:rsid w:val="001D4B73"/>
    <w:rsid w:val="001D64B2"/>
    <w:rsid w:val="001F0413"/>
    <w:rsid w:val="001F3F06"/>
    <w:rsid w:val="001F58D0"/>
    <w:rsid w:val="001F682E"/>
    <w:rsid w:val="00211E07"/>
    <w:rsid w:val="0021442B"/>
    <w:rsid w:val="0023188C"/>
    <w:rsid w:val="0027536B"/>
    <w:rsid w:val="002770DF"/>
    <w:rsid w:val="002B0DC1"/>
    <w:rsid w:val="002C0517"/>
    <w:rsid w:val="002F131C"/>
    <w:rsid w:val="002F4D9C"/>
    <w:rsid w:val="003066F9"/>
    <w:rsid w:val="0032063E"/>
    <w:rsid w:val="003216B0"/>
    <w:rsid w:val="00347588"/>
    <w:rsid w:val="003528C6"/>
    <w:rsid w:val="00352C94"/>
    <w:rsid w:val="00361DE8"/>
    <w:rsid w:val="00370A83"/>
    <w:rsid w:val="00395517"/>
    <w:rsid w:val="00396070"/>
    <w:rsid w:val="00397184"/>
    <w:rsid w:val="003A3BC0"/>
    <w:rsid w:val="003A68F3"/>
    <w:rsid w:val="003B29C5"/>
    <w:rsid w:val="003C55E9"/>
    <w:rsid w:val="003C61CC"/>
    <w:rsid w:val="003E4214"/>
    <w:rsid w:val="0041034F"/>
    <w:rsid w:val="00415205"/>
    <w:rsid w:val="0043515E"/>
    <w:rsid w:val="0044335C"/>
    <w:rsid w:val="00454096"/>
    <w:rsid w:val="00454176"/>
    <w:rsid w:val="00467D36"/>
    <w:rsid w:val="00486CC6"/>
    <w:rsid w:val="004B132E"/>
    <w:rsid w:val="004B1E90"/>
    <w:rsid w:val="004B2A95"/>
    <w:rsid w:val="004B554A"/>
    <w:rsid w:val="004B7F2B"/>
    <w:rsid w:val="004D55C2"/>
    <w:rsid w:val="00504C64"/>
    <w:rsid w:val="00513BC3"/>
    <w:rsid w:val="0051692E"/>
    <w:rsid w:val="0052789A"/>
    <w:rsid w:val="00527DB1"/>
    <w:rsid w:val="00534EA5"/>
    <w:rsid w:val="00551591"/>
    <w:rsid w:val="005710D7"/>
    <w:rsid w:val="005776D5"/>
    <w:rsid w:val="00585B55"/>
    <w:rsid w:val="00586971"/>
    <w:rsid w:val="005C3D03"/>
    <w:rsid w:val="005D1E9A"/>
    <w:rsid w:val="005E0616"/>
    <w:rsid w:val="005E6A1C"/>
    <w:rsid w:val="00607458"/>
    <w:rsid w:val="006269ED"/>
    <w:rsid w:val="00632879"/>
    <w:rsid w:val="0067706D"/>
    <w:rsid w:val="00680A29"/>
    <w:rsid w:val="006B3463"/>
    <w:rsid w:val="006E68D9"/>
    <w:rsid w:val="006E78DE"/>
    <w:rsid w:val="006F1213"/>
    <w:rsid w:val="006F2A32"/>
    <w:rsid w:val="007104DF"/>
    <w:rsid w:val="00714686"/>
    <w:rsid w:val="00716B66"/>
    <w:rsid w:val="0073088C"/>
    <w:rsid w:val="0075194C"/>
    <w:rsid w:val="007538EF"/>
    <w:rsid w:val="007D11D9"/>
    <w:rsid w:val="007E3FCA"/>
    <w:rsid w:val="007F7EBA"/>
    <w:rsid w:val="0080140A"/>
    <w:rsid w:val="00802182"/>
    <w:rsid w:val="0080231E"/>
    <w:rsid w:val="008024AB"/>
    <w:rsid w:val="008551EE"/>
    <w:rsid w:val="008803B2"/>
    <w:rsid w:val="008843EC"/>
    <w:rsid w:val="008C7676"/>
    <w:rsid w:val="008D6A3F"/>
    <w:rsid w:val="008E3C82"/>
    <w:rsid w:val="008E4D12"/>
    <w:rsid w:val="00912D03"/>
    <w:rsid w:val="00913E2E"/>
    <w:rsid w:val="00913F4B"/>
    <w:rsid w:val="00933AE7"/>
    <w:rsid w:val="00951FEE"/>
    <w:rsid w:val="00952EC7"/>
    <w:rsid w:val="009A0843"/>
    <w:rsid w:val="009A34D7"/>
    <w:rsid w:val="009B6625"/>
    <w:rsid w:val="009B7745"/>
    <w:rsid w:val="009D484B"/>
    <w:rsid w:val="009D71B8"/>
    <w:rsid w:val="009F27CC"/>
    <w:rsid w:val="00A03E2D"/>
    <w:rsid w:val="00A0516C"/>
    <w:rsid w:val="00A46412"/>
    <w:rsid w:val="00A6150C"/>
    <w:rsid w:val="00AA7A34"/>
    <w:rsid w:val="00AB1BA5"/>
    <w:rsid w:val="00AE656F"/>
    <w:rsid w:val="00AF23A0"/>
    <w:rsid w:val="00AF5564"/>
    <w:rsid w:val="00B13833"/>
    <w:rsid w:val="00B16502"/>
    <w:rsid w:val="00B217A9"/>
    <w:rsid w:val="00B441A2"/>
    <w:rsid w:val="00B76005"/>
    <w:rsid w:val="00B7737C"/>
    <w:rsid w:val="00B90A9D"/>
    <w:rsid w:val="00BD5C61"/>
    <w:rsid w:val="00C03A51"/>
    <w:rsid w:val="00C04527"/>
    <w:rsid w:val="00C112E1"/>
    <w:rsid w:val="00C13AA1"/>
    <w:rsid w:val="00C31D8C"/>
    <w:rsid w:val="00C3238E"/>
    <w:rsid w:val="00C36A14"/>
    <w:rsid w:val="00C42389"/>
    <w:rsid w:val="00C555F9"/>
    <w:rsid w:val="00C96031"/>
    <w:rsid w:val="00CC28BD"/>
    <w:rsid w:val="00CD21D2"/>
    <w:rsid w:val="00CD7457"/>
    <w:rsid w:val="00CF2085"/>
    <w:rsid w:val="00CF240A"/>
    <w:rsid w:val="00CF36E5"/>
    <w:rsid w:val="00D1213F"/>
    <w:rsid w:val="00D470E1"/>
    <w:rsid w:val="00D535FA"/>
    <w:rsid w:val="00D67BA6"/>
    <w:rsid w:val="00D73E66"/>
    <w:rsid w:val="00D80096"/>
    <w:rsid w:val="00D9081B"/>
    <w:rsid w:val="00D91EB8"/>
    <w:rsid w:val="00DA249B"/>
    <w:rsid w:val="00DA4DC0"/>
    <w:rsid w:val="00E42D08"/>
    <w:rsid w:val="00E4516A"/>
    <w:rsid w:val="00E7325D"/>
    <w:rsid w:val="00E860F1"/>
    <w:rsid w:val="00EA0D17"/>
    <w:rsid w:val="00EA553D"/>
    <w:rsid w:val="00EB7B19"/>
    <w:rsid w:val="00ED434E"/>
    <w:rsid w:val="00F0671C"/>
    <w:rsid w:val="00F1685B"/>
    <w:rsid w:val="00F17FCB"/>
    <w:rsid w:val="00F26D29"/>
    <w:rsid w:val="00F547DF"/>
    <w:rsid w:val="00F56665"/>
    <w:rsid w:val="00FA7EAE"/>
    <w:rsid w:val="00FB27D8"/>
    <w:rsid w:val="00FC6595"/>
    <w:rsid w:val="00FD4A02"/>
    <w:rsid w:val="00FE5678"/>
    <w:rsid w:val="00FF5833"/>
    <w:rsid w:val="01013D96"/>
    <w:rsid w:val="01055638"/>
    <w:rsid w:val="0106518A"/>
    <w:rsid w:val="01086D63"/>
    <w:rsid w:val="010C5C53"/>
    <w:rsid w:val="010F45B3"/>
    <w:rsid w:val="01100422"/>
    <w:rsid w:val="0123113C"/>
    <w:rsid w:val="012F2443"/>
    <w:rsid w:val="01303AC5"/>
    <w:rsid w:val="01340268"/>
    <w:rsid w:val="0134380D"/>
    <w:rsid w:val="0134483A"/>
    <w:rsid w:val="01393A9C"/>
    <w:rsid w:val="013C2F18"/>
    <w:rsid w:val="01446447"/>
    <w:rsid w:val="01456EBC"/>
    <w:rsid w:val="014A59F1"/>
    <w:rsid w:val="014C23D2"/>
    <w:rsid w:val="014D4F78"/>
    <w:rsid w:val="014D635E"/>
    <w:rsid w:val="014F1ADA"/>
    <w:rsid w:val="01531816"/>
    <w:rsid w:val="01552E48"/>
    <w:rsid w:val="0155370A"/>
    <w:rsid w:val="015C2431"/>
    <w:rsid w:val="0160322B"/>
    <w:rsid w:val="016B69D5"/>
    <w:rsid w:val="01733958"/>
    <w:rsid w:val="01746CC4"/>
    <w:rsid w:val="017813F1"/>
    <w:rsid w:val="017A79E1"/>
    <w:rsid w:val="0180044F"/>
    <w:rsid w:val="0183010B"/>
    <w:rsid w:val="01854D01"/>
    <w:rsid w:val="0187747C"/>
    <w:rsid w:val="018B0C9C"/>
    <w:rsid w:val="018C2B88"/>
    <w:rsid w:val="01901F57"/>
    <w:rsid w:val="0192235B"/>
    <w:rsid w:val="019416DC"/>
    <w:rsid w:val="019B4BD4"/>
    <w:rsid w:val="019D115B"/>
    <w:rsid w:val="019D7E23"/>
    <w:rsid w:val="01A85634"/>
    <w:rsid w:val="01AE77ED"/>
    <w:rsid w:val="01B13F71"/>
    <w:rsid w:val="01B329B2"/>
    <w:rsid w:val="01B446F6"/>
    <w:rsid w:val="01B7661E"/>
    <w:rsid w:val="01B83D0B"/>
    <w:rsid w:val="01BA04B8"/>
    <w:rsid w:val="01C840FA"/>
    <w:rsid w:val="01C945A9"/>
    <w:rsid w:val="01C977F3"/>
    <w:rsid w:val="01CC20EA"/>
    <w:rsid w:val="01D02F86"/>
    <w:rsid w:val="01D47565"/>
    <w:rsid w:val="01DD77FC"/>
    <w:rsid w:val="01E103A1"/>
    <w:rsid w:val="01E32031"/>
    <w:rsid w:val="01E85576"/>
    <w:rsid w:val="01E927E7"/>
    <w:rsid w:val="01F41B6A"/>
    <w:rsid w:val="01F524F1"/>
    <w:rsid w:val="01F813D7"/>
    <w:rsid w:val="01FB0DB9"/>
    <w:rsid w:val="01FB31A6"/>
    <w:rsid w:val="01FF3511"/>
    <w:rsid w:val="0200405B"/>
    <w:rsid w:val="020179D0"/>
    <w:rsid w:val="0205625E"/>
    <w:rsid w:val="02071510"/>
    <w:rsid w:val="02077E07"/>
    <w:rsid w:val="020A5CB9"/>
    <w:rsid w:val="020B2984"/>
    <w:rsid w:val="02115BF2"/>
    <w:rsid w:val="021E4AAE"/>
    <w:rsid w:val="02244075"/>
    <w:rsid w:val="022A1D94"/>
    <w:rsid w:val="022A4754"/>
    <w:rsid w:val="022A4BB8"/>
    <w:rsid w:val="022B3392"/>
    <w:rsid w:val="023D4BD4"/>
    <w:rsid w:val="023F4680"/>
    <w:rsid w:val="02496D62"/>
    <w:rsid w:val="024A2B2C"/>
    <w:rsid w:val="024A367C"/>
    <w:rsid w:val="024B62EE"/>
    <w:rsid w:val="024C4F30"/>
    <w:rsid w:val="024F1F38"/>
    <w:rsid w:val="025263E9"/>
    <w:rsid w:val="02536F61"/>
    <w:rsid w:val="02553AED"/>
    <w:rsid w:val="02583AB6"/>
    <w:rsid w:val="025A0925"/>
    <w:rsid w:val="025D3FAE"/>
    <w:rsid w:val="0265023E"/>
    <w:rsid w:val="02660B9B"/>
    <w:rsid w:val="02696FFA"/>
    <w:rsid w:val="027007C4"/>
    <w:rsid w:val="027431B7"/>
    <w:rsid w:val="02753E85"/>
    <w:rsid w:val="027718CF"/>
    <w:rsid w:val="027C2F90"/>
    <w:rsid w:val="027C6388"/>
    <w:rsid w:val="027E7769"/>
    <w:rsid w:val="02826FC5"/>
    <w:rsid w:val="028346AF"/>
    <w:rsid w:val="0287523E"/>
    <w:rsid w:val="02884039"/>
    <w:rsid w:val="028C5A64"/>
    <w:rsid w:val="028D6CB3"/>
    <w:rsid w:val="02904255"/>
    <w:rsid w:val="02944D79"/>
    <w:rsid w:val="02951E5D"/>
    <w:rsid w:val="0295315E"/>
    <w:rsid w:val="02987B74"/>
    <w:rsid w:val="02993B86"/>
    <w:rsid w:val="029E5EA1"/>
    <w:rsid w:val="029F7154"/>
    <w:rsid w:val="02A23F62"/>
    <w:rsid w:val="02A466CA"/>
    <w:rsid w:val="02A4679B"/>
    <w:rsid w:val="02A97FD3"/>
    <w:rsid w:val="02AD1871"/>
    <w:rsid w:val="02AF3E81"/>
    <w:rsid w:val="02B0187E"/>
    <w:rsid w:val="02B218EB"/>
    <w:rsid w:val="02B341EA"/>
    <w:rsid w:val="02B40FDB"/>
    <w:rsid w:val="02B81FC4"/>
    <w:rsid w:val="02B844E4"/>
    <w:rsid w:val="02BA25B0"/>
    <w:rsid w:val="02BD7451"/>
    <w:rsid w:val="02C411A6"/>
    <w:rsid w:val="02C75025"/>
    <w:rsid w:val="02C90A88"/>
    <w:rsid w:val="02CA7252"/>
    <w:rsid w:val="02CB09FB"/>
    <w:rsid w:val="02CE3306"/>
    <w:rsid w:val="02D03CA7"/>
    <w:rsid w:val="02D16383"/>
    <w:rsid w:val="02D756A2"/>
    <w:rsid w:val="02D90491"/>
    <w:rsid w:val="02DC79B2"/>
    <w:rsid w:val="02E17ABA"/>
    <w:rsid w:val="02E334E5"/>
    <w:rsid w:val="02E42DB9"/>
    <w:rsid w:val="02EE3656"/>
    <w:rsid w:val="02EF4076"/>
    <w:rsid w:val="02EF6A9C"/>
    <w:rsid w:val="02F06D76"/>
    <w:rsid w:val="02F13C2F"/>
    <w:rsid w:val="02F16E93"/>
    <w:rsid w:val="02F17EED"/>
    <w:rsid w:val="02F870E8"/>
    <w:rsid w:val="02F97A4F"/>
    <w:rsid w:val="02FA67CC"/>
    <w:rsid w:val="02FE7D59"/>
    <w:rsid w:val="0305345B"/>
    <w:rsid w:val="030628E9"/>
    <w:rsid w:val="030706D8"/>
    <w:rsid w:val="030D662D"/>
    <w:rsid w:val="03143FFF"/>
    <w:rsid w:val="0319647D"/>
    <w:rsid w:val="031A54C1"/>
    <w:rsid w:val="031F1055"/>
    <w:rsid w:val="03213C2F"/>
    <w:rsid w:val="03374899"/>
    <w:rsid w:val="033802CE"/>
    <w:rsid w:val="033E00E0"/>
    <w:rsid w:val="033E1B13"/>
    <w:rsid w:val="034163BA"/>
    <w:rsid w:val="03416D7F"/>
    <w:rsid w:val="034C051E"/>
    <w:rsid w:val="034C46F7"/>
    <w:rsid w:val="034F57EF"/>
    <w:rsid w:val="035166A0"/>
    <w:rsid w:val="035420AC"/>
    <w:rsid w:val="03543A5F"/>
    <w:rsid w:val="035559E2"/>
    <w:rsid w:val="03580FA1"/>
    <w:rsid w:val="03583BED"/>
    <w:rsid w:val="03584C4F"/>
    <w:rsid w:val="0359303C"/>
    <w:rsid w:val="036375FF"/>
    <w:rsid w:val="03741ECA"/>
    <w:rsid w:val="037945CE"/>
    <w:rsid w:val="037F6974"/>
    <w:rsid w:val="038045D9"/>
    <w:rsid w:val="03806C21"/>
    <w:rsid w:val="038776C0"/>
    <w:rsid w:val="038A15DD"/>
    <w:rsid w:val="038B648C"/>
    <w:rsid w:val="038C340C"/>
    <w:rsid w:val="039029E5"/>
    <w:rsid w:val="03925A05"/>
    <w:rsid w:val="03932BC7"/>
    <w:rsid w:val="03951E56"/>
    <w:rsid w:val="03981DFF"/>
    <w:rsid w:val="039832D1"/>
    <w:rsid w:val="03A11451"/>
    <w:rsid w:val="03A41F86"/>
    <w:rsid w:val="03A856A7"/>
    <w:rsid w:val="03A868BC"/>
    <w:rsid w:val="03AA6CD4"/>
    <w:rsid w:val="03AB0A8D"/>
    <w:rsid w:val="03AE3E41"/>
    <w:rsid w:val="03AF7B33"/>
    <w:rsid w:val="03B15391"/>
    <w:rsid w:val="03B20046"/>
    <w:rsid w:val="03B31BC3"/>
    <w:rsid w:val="03B90715"/>
    <w:rsid w:val="03BA191A"/>
    <w:rsid w:val="03BF7262"/>
    <w:rsid w:val="03C85A02"/>
    <w:rsid w:val="03C87F96"/>
    <w:rsid w:val="03D414B2"/>
    <w:rsid w:val="03D623F6"/>
    <w:rsid w:val="03D74DCF"/>
    <w:rsid w:val="03D8428A"/>
    <w:rsid w:val="03DB049D"/>
    <w:rsid w:val="03E10AFA"/>
    <w:rsid w:val="03E1408A"/>
    <w:rsid w:val="03E64947"/>
    <w:rsid w:val="03EA2148"/>
    <w:rsid w:val="03F12E00"/>
    <w:rsid w:val="03F61477"/>
    <w:rsid w:val="03F85280"/>
    <w:rsid w:val="03FA6994"/>
    <w:rsid w:val="03FC771D"/>
    <w:rsid w:val="03FF5472"/>
    <w:rsid w:val="040E30ED"/>
    <w:rsid w:val="040F0907"/>
    <w:rsid w:val="0412030F"/>
    <w:rsid w:val="0412293E"/>
    <w:rsid w:val="04143381"/>
    <w:rsid w:val="041800B5"/>
    <w:rsid w:val="041D05B7"/>
    <w:rsid w:val="041F74F0"/>
    <w:rsid w:val="04214F2B"/>
    <w:rsid w:val="04233CA6"/>
    <w:rsid w:val="04261205"/>
    <w:rsid w:val="042856FD"/>
    <w:rsid w:val="04296FDF"/>
    <w:rsid w:val="042E6D4F"/>
    <w:rsid w:val="04304184"/>
    <w:rsid w:val="043541A3"/>
    <w:rsid w:val="0435487F"/>
    <w:rsid w:val="043816E1"/>
    <w:rsid w:val="043A2978"/>
    <w:rsid w:val="04477AA3"/>
    <w:rsid w:val="04481D4C"/>
    <w:rsid w:val="04487A38"/>
    <w:rsid w:val="044B4F71"/>
    <w:rsid w:val="04510DC2"/>
    <w:rsid w:val="0453480E"/>
    <w:rsid w:val="045C0B52"/>
    <w:rsid w:val="045D24D1"/>
    <w:rsid w:val="04625BB3"/>
    <w:rsid w:val="046338D0"/>
    <w:rsid w:val="04652BB5"/>
    <w:rsid w:val="04657F2A"/>
    <w:rsid w:val="04664CA2"/>
    <w:rsid w:val="0470003C"/>
    <w:rsid w:val="04713771"/>
    <w:rsid w:val="04784355"/>
    <w:rsid w:val="04795DBE"/>
    <w:rsid w:val="047B4F56"/>
    <w:rsid w:val="047C37A7"/>
    <w:rsid w:val="047D0653"/>
    <w:rsid w:val="048249DD"/>
    <w:rsid w:val="04860988"/>
    <w:rsid w:val="04860D21"/>
    <w:rsid w:val="04930DA5"/>
    <w:rsid w:val="049328C7"/>
    <w:rsid w:val="04966548"/>
    <w:rsid w:val="04970573"/>
    <w:rsid w:val="049C24E5"/>
    <w:rsid w:val="049D3D50"/>
    <w:rsid w:val="049E08D4"/>
    <w:rsid w:val="049E2D66"/>
    <w:rsid w:val="04A95D19"/>
    <w:rsid w:val="04AA09E5"/>
    <w:rsid w:val="04AB5CBC"/>
    <w:rsid w:val="04B02E6F"/>
    <w:rsid w:val="04B52E18"/>
    <w:rsid w:val="04BA4AE5"/>
    <w:rsid w:val="04BC7823"/>
    <w:rsid w:val="04BE24DC"/>
    <w:rsid w:val="04BF77B4"/>
    <w:rsid w:val="04C032A1"/>
    <w:rsid w:val="04C077CC"/>
    <w:rsid w:val="04C64286"/>
    <w:rsid w:val="04C656F5"/>
    <w:rsid w:val="04C82992"/>
    <w:rsid w:val="04CA7447"/>
    <w:rsid w:val="04CB2517"/>
    <w:rsid w:val="04CB5320"/>
    <w:rsid w:val="04D341E4"/>
    <w:rsid w:val="04D46362"/>
    <w:rsid w:val="04D76D13"/>
    <w:rsid w:val="04D810D1"/>
    <w:rsid w:val="04DE4AA4"/>
    <w:rsid w:val="04DF5025"/>
    <w:rsid w:val="04E253FB"/>
    <w:rsid w:val="04E62621"/>
    <w:rsid w:val="04E63CBE"/>
    <w:rsid w:val="04E866D9"/>
    <w:rsid w:val="04E90CDF"/>
    <w:rsid w:val="04EA696E"/>
    <w:rsid w:val="04F829D0"/>
    <w:rsid w:val="04FD412B"/>
    <w:rsid w:val="04FE4348"/>
    <w:rsid w:val="05031C1C"/>
    <w:rsid w:val="05073623"/>
    <w:rsid w:val="05080764"/>
    <w:rsid w:val="05094FAC"/>
    <w:rsid w:val="050E384C"/>
    <w:rsid w:val="05106D4F"/>
    <w:rsid w:val="05111757"/>
    <w:rsid w:val="05111A6E"/>
    <w:rsid w:val="05136EC7"/>
    <w:rsid w:val="051428BE"/>
    <w:rsid w:val="05167229"/>
    <w:rsid w:val="05194415"/>
    <w:rsid w:val="051F378B"/>
    <w:rsid w:val="052551D9"/>
    <w:rsid w:val="052560C4"/>
    <w:rsid w:val="052E79B3"/>
    <w:rsid w:val="052F04CB"/>
    <w:rsid w:val="0533094F"/>
    <w:rsid w:val="053D415C"/>
    <w:rsid w:val="053F2A8F"/>
    <w:rsid w:val="054B166E"/>
    <w:rsid w:val="054F1C83"/>
    <w:rsid w:val="055A6DCE"/>
    <w:rsid w:val="055E08C3"/>
    <w:rsid w:val="055F62E0"/>
    <w:rsid w:val="056C2501"/>
    <w:rsid w:val="056D43BB"/>
    <w:rsid w:val="056E092B"/>
    <w:rsid w:val="056F4E5E"/>
    <w:rsid w:val="0571293C"/>
    <w:rsid w:val="05714D5E"/>
    <w:rsid w:val="05721729"/>
    <w:rsid w:val="05730F87"/>
    <w:rsid w:val="05764D75"/>
    <w:rsid w:val="057B5815"/>
    <w:rsid w:val="057B5C57"/>
    <w:rsid w:val="057E7E6F"/>
    <w:rsid w:val="05836653"/>
    <w:rsid w:val="058376DF"/>
    <w:rsid w:val="0585675B"/>
    <w:rsid w:val="058858FE"/>
    <w:rsid w:val="058C1C12"/>
    <w:rsid w:val="05935FBE"/>
    <w:rsid w:val="059418E1"/>
    <w:rsid w:val="05977090"/>
    <w:rsid w:val="05980071"/>
    <w:rsid w:val="059A3C03"/>
    <w:rsid w:val="059C71BC"/>
    <w:rsid w:val="059E5056"/>
    <w:rsid w:val="05A02951"/>
    <w:rsid w:val="05A05923"/>
    <w:rsid w:val="05A21430"/>
    <w:rsid w:val="05A33F43"/>
    <w:rsid w:val="05B75CC7"/>
    <w:rsid w:val="05B826BA"/>
    <w:rsid w:val="05B9411C"/>
    <w:rsid w:val="05BF5B20"/>
    <w:rsid w:val="05C34CD8"/>
    <w:rsid w:val="05C457B1"/>
    <w:rsid w:val="05C978C9"/>
    <w:rsid w:val="05CC38AA"/>
    <w:rsid w:val="05CD334C"/>
    <w:rsid w:val="05CD6914"/>
    <w:rsid w:val="05D930F8"/>
    <w:rsid w:val="05DE52E4"/>
    <w:rsid w:val="05E97746"/>
    <w:rsid w:val="05F15BD3"/>
    <w:rsid w:val="05F82C71"/>
    <w:rsid w:val="05FA3EF3"/>
    <w:rsid w:val="05FA570A"/>
    <w:rsid w:val="05FD3C3A"/>
    <w:rsid w:val="06034C39"/>
    <w:rsid w:val="0605356A"/>
    <w:rsid w:val="0608609B"/>
    <w:rsid w:val="06090C19"/>
    <w:rsid w:val="06116DFF"/>
    <w:rsid w:val="06131297"/>
    <w:rsid w:val="06137915"/>
    <w:rsid w:val="06144324"/>
    <w:rsid w:val="06146D46"/>
    <w:rsid w:val="06195CF3"/>
    <w:rsid w:val="061E4453"/>
    <w:rsid w:val="061E7E81"/>
    <w:rsid w:val="06200158"/>
    <w:rsid w:val="06201D0F"/>
    <w:rsid w:val="06235124"/>
    <w:rsid w:val="0627193B"/>
    <w:rsid w:val="062A3920"/>
    <w:rsid w:val="062B23B4"/>
    <w:rsid w:val="06316315"/>
    <w:rsid w:val="063236A4"/>
    <w:rsid w:val="06373ABD"/>
    <w:rsid w:val="063B324C"/>
    <w:rsid w:val="063F1E60"/>
    <w:rsid w:val="06461D1D"/>
    <w:rsid w:val="06481AD4"/>
    <w:rsid w:val="06497845"/>
    <w:rsid w:val="064C22CD"/>
    <w:rsid w:val="064E3A7C"/>
    <w:rsid w:val="064E6EC7"/>
    <w:rsid w:val="064F49ED"/>
    <w:rsid w:val="065146B7"/>
    <w:rsid w:val="065465CB"/>
    <w:rsid w:val="065E77B0"/>
    <w:rsid w:val="065F2FD1"/>
    <w:rsid w:val="06635F59"/>
    <w:rsid w:val="06661E56"/>
    <w:rsid w:val="066D4DBE"/>
    <w:rsid w:val="067902AF"/>
    <w:rsid w:val="067D7F88"/>
    <w:rsid w:val="06802468"/>
    <w:rsid w:val="068723D9"/>
    <w:rsid w:val="06890860"/>
    <w:rsid w:val="068A0BD2"/>
    <w:rsid w:val="068A3061"/>
    <w:rsid w:val="068A7FFC"/>
    <w:rsid w:val="06951A27"/>
    <w:rsid w:val="069529D6"/>
    <w:rsid w:val="06964DC9"/>
    <w:rsid w:val="06994D00"/>
    <w:rsid w:val="069A008B"/>
    <w:rsid w:val="069D5B61"/>
    <w:rsid w:val="06A24994"/>
    <w:rsid w:val="06A828A9"/>
    <w:rsid w:val="06AE17E8"/>
    <w:rsid w:val="06BB2083"/>
    <w:rsid w:val="06BD4A4F"/>
    <w:rsid w:val="06BE407C"/>
    <w:rsid w:val="06C621BD"/>
    <w:rsid w:val="06C70AA7"/>
    <w:rsid w:val="06C85FD7"/>
    <w:rsid w:val="06C904AE"/>
    <w:rsid w:val="06CB7493"/>
    <w:rsid w:val="06D15E55"/>
    <w:rsid w:val="06DD20DC"/>
    <w:rsid w:val="06DE7438"/>
    <w:rsid w:val="06E453C0"/>
    <w:rsid w:val="06E4767F"/>
    <w:rsid w:val="06E57FC4"/>
    <w:rsid w:val="06EF14A4"/>
    <w:rsid w:val="06F51A39"/>
    <w:rsid w:val="06F7755F"/>
    <w:rsid w:val="06F95F03"/>
    <w:rsid w:val="07007808"/>
    <w:rsid w:val="0707261C"/>
    <w:rsid w:val="070843C2"/>
    <w:rsid w:val="070A4273"/>
    <w:rsid w:val="070D70FB"/>
    <w:rsid w:val="07107A01"/>
    <w:rsid w:val="07154905"/>
    <w:rsid w:val="07156BA6"/>
    <w:rsid w:val="07165499"/>
    <w:rsid w:val="071B796D"/>
    <w:rsid w:val="071E766C"/>
    <w:rsid w:val="07223E31"/>
    <w:rsid w:val="07277ABD"/>
    <w:rsid w:val="072826F2"/>
    <w:rsid w:val="072B02AD"/>
    <w:rsid w:val="0733037D"/>
    <w:rsid w:val="0737288D"/>
    <w:rsid w:val="07387849"/>
    <w:rsid w:val="073A0BEE"/>
    <w:rsid w:val="073B6D32"/>
    <w:rsid w:val="074117A5"/>
    <w:rsid w:val="074568CF"/>
    <w:rsid w:val="074870F5"/>
    <w:rsid w:val="074F758D"/>
    <w:rsid w:val="07546F1E"/>
    <w:rsid w:val="0756593E"/>
    <w:rsid w:val="075F2816"/>
    <w:rsid w:val="076232D3"/>
    <w:rsid w:val="07660512"/>
    <w:rsid w:val="07666224"/>
    <w:rsid w:val="076B5C17"/>
    <w:rsid w:val="076C1FCA"/>
    <w:rsid w:val="076D4537"/>
    <w:rsid w:val="076D7142"/>
    <w:rsid w:val="07756BB0"/>
    <w:rsid w:val="078E56D7"/>
    <w:rsid w:val="078F3233"/>
    <w:rsid w:val="07923684"/>
    <w:rsid w:val="07973A24"/>
    <w:rsid w:val="07985315"/>
    <w:rsid w:val="079970F6"/>
    <w:rsid w:val="079F7DE8"/>
    <w:rsid w:val="07A60C9A"/>
    <w:rsid w:val="07A925C8"/>
    <w:rsid w:val="07AD37C0"/>
    <w:rsid w:val="07AE3C85"/>
    <w:rsid w:val="07B15D58"/>
    <w:rsid w:val="07B4433A"/>
    <w:rsid w:val="07B6518F"/>
    <w:rsid w:val="07BC73B2"/>
    <w:rsid w:val="07BD1C65"/>
    <w:rsid w:val="07C31D9D"/>
    <w:rsid w:val="07C51EE3"/>
    <w:rsid w:val="07CA6DC4"/>
    <w:rsid w:val="07DA5BA1"/>
    <w:rsid w:val="07DB1243"/>
    <w:rsid w:val="07E043B2"/>
    <w:rsid w:val="07F222E5"/>
    <w:rsid w:val="07F4468D"/>
    <w:rsid w:val="07FB4485"/>
    <w:rsid w:val="080975F8"/>
    <w:rsid w:val="080C562F"/>
    <w:rsid w:val="080D5A12"/>
    <w:rsid w:val="08161C67"/>
    <w:rsid w:val="08185412"/>
    <w:rsid w:val="081C39CF"/>
    <w:rsid w:val="08236132"/>
    <w:rsid w:val="082A095B"/>
    <w:rsid w:val="082A6628"/>
    <w:rsid w:val="082D6897"/>
    <w:rsid w:val="08307AAC"/>
    <w:rsid w:val="08314069"/>
    <w:rsid w:val="083261BC"/>
    <w:rsid w:val="083561C2"/>
    <w:rsid w:val="08361E36"/>
    <w:rsid w:val="083667B1"/>
    <w:rsid w:val="08377057"/>
    <w:rsid w:val="08384076"/>
    <w:rsid w:val="083939BF"/>
    <w:rsid w:val="083D7F0F"/>
    <w:rsid w:val="083E025F"/>
    <w:rsid w:val="0841131E"/>
    <w:rsid w:val="08415C10"/>
    <w:rsid w:val="08432893"/>
    <w:rsid w:val="084655D1"/>
    <w:rsid w:val="08475DD1"/>
    <w:rsid w:val="084B7103"/>
    <w:rsid w:val="084C67F6"/>
    <w:rsid w:val="08516A2B"/>
    <w:rsid w:val="085312EA"/>
    <w:rsid w:val="08534670"/>
    <w:rsid w:val="08571C05"/>
    <w:rsid w:val="0857224C"/>
    <w:rsid w:val="085B1D6F"/>
    <w:rsid w:val="085B4399"/>
    <w:rsid w:val="085C1AC0"/>
    <w:rsid w:val="08601B6C"/>
    <w:rsid w:val="08632999"/>
    <w:rsid w:val="08632C84"/>
    <w:rsid w:val="08670714"/>
    <w:rsid w:val="08697955"/>
    <w:rsid w:val="086B5F90"/>
    <w:rsid w:val="08717316"/>
    <w:rsid w:val="087272BE"/>
    <w:rsid w:val="087277C8"/>
    <w:rsid w:val="08741D48"/>
    <w:rsid w:val="08742CD0"/>
    <w:rsid w:val="08753E49"/>
    <w:rsid w:val="08785ADB"/>
    <w:rsid w:val="087F16BF"/>
    <w:rsid w:val="08877423"/>
    <w:rsid w:val="088B1BB5"/>
    <w:rsid w:val="088D48BE"/>
    <w:rsid w:val="08915BA7"/>
    <w:rsid w:val="08925DE9"/>
    <w:rsid w:val="08961119"/>
    <w:rsid w:val="089A766D"/>
    <w:rsid w:val="089D2839"/>
    <w:rsid w:val="08A03EE3"/>
    <w:rsid w:val="08A2571A"/>
    <w:rsid w:val="08A27699"/>
    <w:rsid w:val="08B140F2"/>
    <w:rsid w:val="08B625F4"/>
    <w:rsid w:val="08B63055"/>
    <w:rsid w:val="08BC1B04"/>
    <w:rsid w:val="08C40AD3"/>
    <w:rsid w:val="08C414F8"/>
    <w:rsid w:val="08C80452"/>
    <w:rsid w:val="08CA5204"/>
    <w:rsid w:val="08CB503E"/>
    <w:rsid w:val="08CE644D"/>
    <w:rsid w:val="08D129B1"/>
    <w:rsid w:val="08D17348"/>
    <w:rsid w:val="08D235B5"/>
    <w:rsid w:val="08D533EA"/>
    <w:rsid w:val="08D77F9A"/>
    <w:rsid w:val="08D86393"/>
    <w:rsid w:val="08D87DCF"/>
    <w:rsid w:val="08D91EF4"/>
    <w:rsid w:val="08DD5E34"/>
    <w:rsid w:val="08E03954"/>
    <w:rsid w:val="08E41C02"/>
    <w:rsid w:val="08E777F4"/>
    <w:rsid w:val="08EB2850"/>
    <w:rsid w:val="08ED59C4"/>
    <w:rsid w:val="08ED5ED8"/>
    <w:rsid w:val="08F03598"/>
    <w:rsid w:val="08F12A95"/>
    <w:rsid w:val="08F57E22"/>
    <w:rsid w:val="08F7757E"/>
    <w:rsid w:val="08FD6053"/>
    <w:rsid w:val="09006D28"/>
    <w:rsid w:val="090212B8"/>
    <w:rsid w:val="09045401"/>
    <w:rsid w:val="09082DE7"/>
    <w:rsid w:val="090F5AAF"/>
    <w:rsid w:val="09120704"/>
    <w:rsid w:val="09167695"/>
    <w:rsid w:val="091E2CFA"/>
    <w:rsid w:val="091F033F"/>
    <w:rsid w:val="09223893"/>
    <w:rsid w:val="092C1AFB"/>
    <w:rsid w:val="092D1D2C"/>
    <w:rsid w:val="093342EC"/>
    <w:rsid w:val="093700E7"/>
    <w:rsid w:val="093D7D4B"/>
    <w:rsid w:val="093F66E0"/>
    <w:rsid w:val="094324A0"/>
    <w:rsid w:val="09444DF1"/>
    <w:rsid w:val="094662E8"/>
    <w:rsid w:val="094A010C"/>
    <w:rsid w:val="094A7213"/>
    <w:rsid w:val="094D1238"/>
    <w:rsid w:val="094E20EC"/>
    <w:rsid w:val="094F558A"/>
    <w:rsid w:val="09526A35"/>
    <w:rsid w:val="0953612D"/>
    <w:rsid w:val="09542D12"/>
    <w:rsid w:val="095672F6"/>
    <w:rsid w:val="09571FD1"/>
    <w:rsid w:val="09597231"/>
    <w:rsid w:val="095E4BA4"/>
    <w:rsid w:val="09625CE0"/>
    <w:rsid w:val="0968408F"/>
    <w:rsid w:val="096C1142"/>
    <w:rsid w:val="096F6E8A"/>
    <w:rsid w:val="097058D4"/>
    <w:rsid w:val="097C1A9F"/>
    <w:rsid w:val="09862E1C"/>
    <w:rsid w:val="09882830"/>
    <w:rsid w:val="09887009"/>
    <w:rsid w:val="098B17FF"/>
    <w:rsid w:val="098E0F4D"/>
    <w:rsid w:val="098E5D2F"/>
    <w:rsid w:val="098F0B0A"/>
    <w:rsid w:val="09903C29"/>
    <w:rsid w:val="09952449"/>
    <w:rsid w:val="09A725A4"/>
    <w:rsid w:val="09A85C9D"/>
    <w:rsid w:val="09AB3217"/>
    <w:rsid w:val="09AB5B05"/>
    <w:rsid w:val="09AD37EC"/>
    <w:rsid w:val="09AF2CBF"/>
    <w:rsid w:val="09AF5A4D"/>
    <w:rsid w:val="09B33FF7"/>
    <w:rsid w:val="09B4415E"/>
    <w:rsid w:val="09B47B30"/>
    <w:rsid w:val="09B51C40"/>
    <w:rsid w:val="09BB7F9F"/>
    <w:rsid w:val="09BE4A0A"/>
    <w:rsid w:val="09C121DE"/>
    <w:rsid w:val="09C44AA0"/>
    <w:rsid w:val="09C9433C"/>
    <w:rsid w:val="09C9451E"/>
    <w:rsid w:val="09CA1842"/>
    <w:rsid w:val="09CC2CA0"/>
    <w:rsid w:val="09CE0A2C"/>
    <w:rsid w:val="09CF6409"/>
    <w:rsid w:val="09D04E8A"/>
    <w:rsid w:val="09D0738B"/>
    <w:rsid w:val="09D15D3A"/>
    <w:rsid w:val="09D84B78"/>
    <w:rsid w:val="09DB259B"/>
    <w:rsid w:val="09DF1B25"/>
    <w:rsid w:val="09E137E9"/>
    <w:rsid w:val="09E7021F"/>
    <w:rsid w:val="09ED601F"/>
    <w:rsid w:val="09EF210D"/>
    <w:rsid w:val="09EF2434"/>
    <w:rsid w:val="09FB1F7E"/>
    <w:rsid w:val="0A076050"/>
    <w:rsid w:val="0A094A6C"/>
    <w:rsid w:val="0A0C1573"/>
    <w:rsid w:val="0A145072"/>
    <w:rsid w:val="0A173A74"/>
    <w:rsid w:val="0A1801D1"/>
    <w:rsid w:val="0A1B3564"/>
    <w:rsid w:val="0A2355A7"/>
    <w:rsid w:val="0A27173A"/>
    <w:rsid w:val="0A273879"/>
    <w:rsid w:val="0A2768F6"/>
    <w:rsid w:val="0A2B66A8"/>
    <w:rsid w:val="0A2C0DEF"/>
    <w:rsid w:val="0A2C33BA"/>
    <w:rsid w:val="0A2D00E7"/>
    <w:rsid w:val="0A357FDF"/>
    <w:rsid w:val="0A362BD8"/>
    <w:rsid w:val="0A385FAB"/>
    <w:rsid w:val="0A3F2343"/>
    <w:rsid w:val="0A40121D"/>
    <w:rsid w:val="0A401F1B"/>
    <w:rsid w:val="0A417A99"/>
    <w:rsid w:val="0A451CA6"/>
    <w:rsid w:val="0A454A11"/>
    <w:rsid w:val="0A46373E"/>
    <w:rsid w:val="0A483F12"/>
    <w:rsid w:val="0A497078"/>
    <w:rsid w:val="0A522E6A"/>
    <w:rsid w:val="0A54464C"/>
    <w:rsid w:val="0A5F1330"/>
    <w:rsid w:val="0A63116D"/>
    <w:rsid w:val="0A656F63"/>
    <w:rsid w:val="0A686C92"/>
    <w:rsid w:val="0A6A6EAE"/>
    <w:rsid w:val="0A6E305C"/>
    <w:rsid w:val="0A6E67EF"/>
    <w:rsid w:val="0A7D7A17"/>
    <w:rsid w:val="0A841375"/>
    <w:rsid w:val="0A85237E"/>
    <w:rsid w:val="0A871C99"/>
    <w:rsid w:val="0A890842"/>
    <w:rsid w:val="0A8E7480"/>
    <w:rsid w:val="0A8F5DDD"/>
    <w:rsid w:val="0A986C7C"/>
    <w:rsid w:val="0AA35182"/>
    <w:rsid w:val="0AA417AC"/>
    <w:rsid w:val="0AAA0739"/>
    <w:rsid w:val="0AAA2B3A"/>
    <w:rsid w:val="0AB67AB5"/>
    <w:rsid w:val="0ABD6210"/>
    <w:rsid w:val="0AC005F0"/>
    <w:rsid w:val="0AC517D3"/>
    <w:rsid w:val="0ACD53EF"/>
    <w:rsid w:val="0AD021C3"/>
    <w:rsid w:val="0AD358F1"/>
    <w:rsid w:val="0AD56ECB"/>
    <w:rsid w:val="0AD727CA"/>
    <w:rsid w:val="0AD81C1D"/>
    <w:rsid w:val="0ADA0DA3"/>
    <w:rsid w:val="0ADC3261"/>
    <w:rsid w:val="0ADF2529"/>
    <w:rsid w:val="0AE2149C"/>
    <w:rsid w:val="0AE2165B"/>
    <w:rsid w:val="0AE35F05"/>
    <w:rsid w:val="0AE85214"/>
    <w:rsid w:val="0AEC6420"/>
    <w:rsid w:val="0AF838A6"/>
    <w:rsid w:val="0AF852A4"/>
    <w:rsid w:val="0B004616"/>
    <w:rsid w:val="0B007216"/>
    <w:rsid w:val="0B025F80"/>
    <w:rsid w:val="0B053EF0"/>
    <w:rsid w:val="0B061658"/>
    <w:rsid w:val="0B0822C7"/>
    <w:rsid w:val="0B0A145B"/>
    <w:rsid w:val="0B0C1EA2"/>
    <w:rsid w:val="0B0D32D6"/>
    <w:rsid w:val="0B0F50F1"/>
    <w:rsid w:val="0B117C6B"/>
    <w:rsid w:val="0B122604"/>
    <w:rsid w:val="0B126846"/>
    <w:rsid w:val="0B2146AC"/>
    <w:rsid w:val="0B2320BD"/>
    <w:rsid w:val="0B232F7C"/>
    <w:rsid w:val="0B276D3F"/>
    <w:rsid w:val="0B290964"/>
    <w:rsid w:val="0B2B50BD"/>
    <w:rsid w:val="0B2B6778"/>
    <w:rsid w:val="0B303F54"/>
    <w:rsid w:val="0B35127E"/>
    <w:rsid w:val="0B373047"/>
    <w:rsid w:val="0B3B175C"/>
    <w:rsid w:val="0B3F631C"/>
    <w:rsid w:val="0B416695"/>
    <w:rsid w:val="0B441502"/>
    <w:rsid w:val="0B481665"/>
    <w:rsid w:val="0B4D73CA"/>
    <w:rsid w:val="0B4E3E3C"/>
    <w:rsid w:val="0B4F3C62"/>
    <w:rsid w:val="0B4F45DD"/>
    <w:rsid w:val="0B520687"/>
    <w:rsid w:val="0B554E9E"/>
    <w:rsid w:val="0B57042F"/>
    <w:rsid w:val="0B5C6149"/>
    <w:rsid w:val="0B5F269F"/>
    <w:rsid w:val="0B611265"/>
    <w:rsid w:val="0B663828"/>
    <w:rsid w:val="0B6A777C"/>
    <w:rsid w:val="0B7605D4"/>
    <w:rsid w:val="0B772020"/>
    <w:rsid w:val="0B7C0033"/>
    <w:rsid w:val="0B821999"/>
    <w:rsid w:val="0B826006"/>
    <w:rsid w:val="0B8316D5"/>
    <w:rsid w:val="0B843998"/>
    <w:rsid w:val="0B844390"/>
    <w:rsid w:val="0B844ACA"/>
    <w:rsid w:val="0B897E6A"/>
    <w:rsid w:val="0B93791B"/>
    <w:rsid w:val="0B9A2272"/>
    <w:rsid w:val="0B9E4275"/>
    <w:rsid w:val="0BA126D0"/>
    <w:rsid w:val="0BB4694C"/>
    <w:rsid w:val="0BB5515B"/>
    <w:rsid w:val="0BB77C32"/>
    <w:rsid w:val="0BBB2773"/>
    <w:rsid w:val="0BBC4014"/>
    <w:rsid w:val="0BD5345B"/>
    <w:rsid w:val="0BDD7266"/>
    <w:rsid w:val="0BDE577E"/>
    <w:rsid w:val="0BE5722C"/>
    <w:rsid w:val="0BEA7FCB"/>
    <w:rsid w:val="0BEE4152"/>
    <w:rsid w:val="0BF422BF"/>
    <w:rsid w:val="0BF56C48"/>
    <w:rsid w:val="0BF8253D"/>
    <w:rsid w:val="0BFD0C78"/>
    <w:rsid w:val="0C0149DC"/>
    <w:rsid w:val="0C0F48DC"/>
    <w:rsid w:val="0C114528"/>
    <w:rsid w:val="0C127E0E"/>
    <w:rsid w:val="0C167C3E"/>
    <w:rsid w:val="0C1861E6"/>
    <w:rsid w:val="0C1A14A0"/>
    <w:rsid w:val="0C1F6159"/>
    <w:rsid w:val="0C2376B2"/>
    <w:rsid w:val="0C252C65"/>
    <w:rsid w:val="0C2C7CA8"/>
    <w:rsid w:val="0C325975"/>
    <w:rsid w:val="0C345395"/>
    <w:rsid w:val="0C375DE1"/>
    <w:rsid w:val="0C387DD2"/>
    <w:rsid w:val="0C3E0C0C"/>
    <w:rsid w:val="0C47008D"/>
    <w:rsid w:val="0C4A099B"/>
    <w:rsid w:val="0C4C1E6C"/>
    <w:rsid w:val="0C4F174C"/>
    <w:rsid w:val="0C515D21"/>
    <w:rsid w:val="0C5441AC"/>
    <w:rsid w:val="0C5A35EB"/>
    <w:rsid w:val="0C5B10E1"/>
    <w:rsid w:val="0C5E620A"/>
    <w:rsid w:val="0C657EF9"/>
    <w:rsid w:val="0C6947C6"/>
    <w:rsid w:val="0C7002DE"/>
    <w:rsid w:val="0C7469CA"/>
    <w:rsid w:val="0C855378"/>
    <w:rsid w:val="0C8E623E"/>
    <w:rsid w:val="0C94430C"/>
    <w:rsid w:val="0C945523"/>
    <w:rsid w:val="0C951634"/>
    <w:rsid w:val="0C962674"/>
    <w:rsid w:val="0C9C20B1"/>
    <w:rsid w:val="0CA07A77"/>
    <w:rsid w:val="0CA2708A"/>
    <w:rsid w:val="0CA8677F"/>
    <w:rsid w:val="0CAA598D"/>
    <w:rsid w:val="0CB15447"/>
    <w:rsid w:val="0CB23F50"/>
    <w:rsid w:val="0CB40392"/>
    <w:rsid w:val="0CB43667"/>
    <w:rsid w:val="0CB820FC"/>
    <w:rsid w:val="0CB90F9A"/>
    <w:rsid w:val="0CC26D02"/>
    <w:rsid w:val="0CC32FAD"/>
    <w:rsid w:val="0CC824A3"/>
    <w:rsid w:val="0CCF7D6F"/>
    <w:rsid w:val="0CD12757"/>
    <w:rsid w:val="0CD65C17"/>
    <w:rsid w:val="0CD65F7C"/>
    <w:rsid w:val="0CDC3B6F"/>
    <w:rsid w:val="0CDD2D53"/>
    <w:rsid w:val="0CE33A22"/>
    <w:rsid w:val="0CF66AAA"/>
    <w:rsid w:val="0CF91EA6"/>
    <w:rsid w:val="0D061389"/>
    <w:rsid w:val="0D062EE6"/>
    <w:rsid w:val="0D0B375D"/>
    <w:rsid w:val="0D0B74FE"/>
    <w:rsid w:val="0D0C0816"/>
    <w:rsid w:val="0D0F07D5"/>
    <w:rsid w:val="0D11404C"/>
    <w:rsid w:val="0D146169"/>
    <w:rsid w:val="0D180C27"/>
    <w:rsid w:val="0D1D522B"/>
    <w:rsid w:val="0D1E657D"/>
    <w:rsid w:val="0D20716B"/>
    <w:rsid w:val="0D243569"/>
    <w:rsid w:val="0D2B35C4"/>
    <w:rsid w:val="0D2C5C06"/>
    <w:rsid w:val="0D2D1403"/>
    <w:rsid w:val="0D3275B0"/>
    <w:rsid w:val="0D3468B7"/>
    <w:rsid w:val="0D350117"/>
    <w:rsid w:val="0D381DDE"/>
    <w:rsid w:val="0D3B3F1D"/>
    <w:rsid w:val="0D405BBB"/>
    <w:rsid w:val="0D446941"/>
    <w:rsid w:val="0D46560F"/>
    <w:rsid w:val="0D49488C"/>
    <w:rsid w:val="0D4B53A3"/>
    <w:rsid w:val="0D554A7D"/>
    <w:rsid w:val="0D5805AE"/>
    <w:rsid w:val="0D5863C8"/>
    <w:rsid w:val="0D5A54D3"/>
    <w:rsid w:val="0D5D0F56"/>
    <w:rsid w:val="0D5D20E6"/>
    <w:rsid w:val="0D621B0E"/>
    <w:rsid w:val="0D6478E2"/>
    <w:rsid w:val="0D6A139D"/>
    <w:rsid w:val="0D6B0E6B"/>
    <w:rsid w:val="0D6B1D99"/>
    <w:rsid w:val="0D6F59B4"/>
    <w:rsid w:val="0D6F6955"/>
    <w:rsid w:val="0D7C5FD9"/>
    <w:rsid w:val="0D837D9E"/>
    <w:rsid w:val="0D87687E"/>
    <w:rsid w:val="0D8853B5"/>
    <w:rsid w:val="0D8F692A"/>
    <w:rsid w:val="0D995B81"/>
    <w:rsid w:val="0D99777F"/>
    <w:rsid w:val="0D9B26F6"/>
    <w:rsid w:val="0D9B5784"/>
    <w:rsid w:val="0DA249EA"/>
    <w:rsid w:val="0DA4470E"/>
    <w:rsid w:val="0DA51A13"/>
    <w:rsid w:val="0DA64E82"/>
    <w:rsid w:val="0DA9485D"/>
    <w:rsid w:val="0DAA4EE0"/>
    <w:rsid w:val="0DAB2E51"/>
    <w:rsid w:val="0DAF4486"/>
    <w:rsid w:val="0DAF44EA"/>
    <w:rsid w:val="0DB2199E"/>
    <w:rsid w:val="0DB601AA"/>
    <w:rsid w:val="0DB8556E"/>
    <w:rsid w:val="0DB86976"/>
    <w:rsid w:val="0DC36DA9"/>
    <w:rsid w:val="0DCF02DA"/>
    <w:rsid w:val="0DD07F66"/>
    <w:rsid w:val="0DDD28ED"/>
    <w:rsid w:val="0DE117B9"/>
    <w:rsid w:val="0DE2374D"/>
    <w:rsid w:val="0DF40903"/>
    <w:rsid w:val="0DF83CCE"/>
    <w:rsid w:val="0DF85879"/>
    <w:rsid w:val="0DF9736E"/>
    <w:rsid w:val="0E003E05"/>
    <w:rsid w:val="0E02647E"/>
    <w:rsid w:val="0E06691C"/>
    <w:rsid w:val="0E093412"/>
    <w:rsid w:val="0E0C7CE4"/>
    <w:rsid w:val="0E0E15AE"/>
    <w:rsid w:val="0E11014C"/>
    <w:rsid w:val="0E1340B8"/>
    <w:rsid w:val="0E151893"/>
    <w:rsid w:val="0E1D0746"/>
    <w:rsid w:val="0E225824"/>
    <w:rsid w:val="0E24616F"/>
    <w:rsid w:val="0E254A2C"/>
    <w:rsid w:val="0E282970"/>
    <w:rsid w:val="0E2A38AE"/>
    <w:rsid w:val="0E2E49AF"/>
    <w:rsid w:val="0E317D16"/>
    <w:rsid w:val="0E374AB8"/>
    <w:rsid w:val="0E381017"/>
    <w:rsid w:val="0E3B4F86"/>
    <w:rsid w:val="0E3C784D"/>
    <w:rsid w:val="0E3E359D"/>
    <w:rsid w:val="0E3F3014"/>
    <w:rsid w:val="0E3F39B1"/>
    <w:rsid w:val="0E3F7CED"/>
    <w:rsid w:val="0E446727"/>
    <w:rsid w:val="0E451D59"/>
    <w:rsid w:val="0E5218BF"/>
    <w:rsid w:val="0E553A5C"/>
    <w:rsid w:val="0E585BD4"/>
    <w:rsid w:val="0E590736"/>
    <w:rsid w:val="0E5A04DD"/>
    <w:rsid w:val="0E5A138F"/>
    <w:rsid w:val="0E5B19BC"/>
    <w:rsid w:val="0E5D39F0"/>
    <w:rsid w:val="0E5F131B"/>
    <w:rsid w:val="0E5F25B5"/>
    <w:rsid w:val="0E606D09"/>
    <w:rsid w:val="0E62706D"/>
    <w:rsid w:val="0E652426"/>
    <w:rsid w:val="0E6C4D5E"/>
    <w:rsid w:val="0E7616B1"/>
    <w:rsid w:val="0E76520D"/>
    <w:rsid w:val="0E771CE2"/>
    <w:rsid w:val="0E775E48"/>
    <w:rsid w:val="0E79783E"/>
    <w:rsid w:val="0E7A0D06"/>
    <w:rsid w:val="0E7F33BA"/>
    <w:rsid w:val="0E844705"/>
    <w:rsid w:val="0E892932"/>
    <w:rsid w:val="0E8A0CB9"/>
    <w:rsid w:val="0E8E1FFE"/>
    <w:rsid w:val="0E907BB0"/>
    <w:rsid w:val="0E9577D4"/>
    <w:rsid w:val="0E9950F6"/>
    <w:rsid w:val="0EBE58B4"/>
    <w:rsid w:val="0EBF6D3C"/>
    <w:rsid w:val="0EC33B90"/>
    <w:rsid w:val="0EC50F88"/>
    <w:rsid w:val="0EC77204"/>
    <w:rsid w:val="0EC860FE"/>
    <w:rsid w:val="0ECD49F7"/>
    <w:rsid w:val="0ED61926"/>
    <w:rsid w:val="0ED71237"/>
    <w:rsid w:val="0ED73ADF"/>
    <w:rsid w:val="0EDE36EE"/>
    <w:rsid w:val="0EDF5A9E"/>
    <w:rsid w:val="0EE70A5E"/>
    <w:rsid w:val="0EE82504"/>
    <w:rsid w:val="0EF01055"/>
    <w:rsid w:val="0EFB062A"/>
    <w:rsid w:val="0EFE4021"/>
    <w:rsid w:val="0F0942D3"/>
    <w:rsid w:val="0F126880"/>
    <w:rsid w:val="0F156375"/>
    <w:rsid w:val="0F18392D"/>
    <w:rsid w:val="0F196EA1"/>
    <w:rsid w:val="0F1D62C7"/>
    <w:rsid w:val="0F2033CB"/>
    <w:rsid w:val="0F250257"/>
    <w:rsid w:val="0F275BFB"/>
    <w:rsid w:val="0F283359"/>
    <w:rsid w:val="0F295574"/>
    <w:rsid w:val="0F2B1032"/>
    <w:rsid w:val="0F2D6380"/>
    <w:rsid w:val="0F34165C"/>
    <w:rsid w:val="0F371C81"/>
    <w:rsid w:val="0F385CAD"/>
    <w:rsid w:val="0F3974D8"/>
    <w:rsid w:val="0F402637"/>
    <w:rsid w:val="0F4121AE"/>
    <w:rsid w:val="0F443BBD"/>
    <w:rsid w:val="0F5064A6"/>
    <w:rsid w:val="0F540CDA"/>
    <w:rsid w:val="0F5567B6"/>
    <w:rsid w:val="0F59642D"/>
    <w:rsid w:val="0F5C088B"/>
    <w:rsid w:val="0F5D65E9"/>
    <w:rsid w:val="0F61182E"/>
    <w:rsid w:val="0F6317E7"/>
    <w:rsid w:val="0F635FCA"/>
    <w:rsid w:val="0F637900"/>
    <w:rsid w:val="0F664EAC"/>
    <w:rsid w:val="0F67427F"/>
    <w:rsid w:val="0F685443"/>
    <w:rsid w:val="0F6D2A1B"/>
    <w:rsid w:val="0F7049B3"/>
    <w:rsid w:val="0F706E27"/>
    <w:rsid w:val="0F757254"/>
    <w:rsid w:val="0F777306"/>
    <w:rsid w:val="0F7B5C08"/>
    <w:rsid w:val="0F832574"/>
    <w:rsid w:val="0F897DAE"/>
    <w:rsid w:val="0F985657"/>
    <w:rsid w:val="0FA32C88"/>
    <w:rsid w:val="0FA40EC8"/>
    <w:rsid w:val="0FA50E60"/>
    <w:rsid w:val="0FA70C41"/>
    <w:rsid w:val="0FA7415B"/>
    <w:rsid w:val="0FB17563"/>
    <w:rsid w:val="0FB61C11"/>
    <w:rsid w:val="0FB80D78"/>
    <w:rsid w:val="0FB92FB9"/>
    <w:rsid w:val="0FB96235"/>
    <w:rsid w:val="0FC3014C"/>
    <w:rsid w:val="0FC30F9D"/>
    <w:rsid w:val="0FC545BA"/>
    <w:rsid w:val="0FC62723"/>
    <w:rsid w:val="0FC728B6"/>
    <w:rsid w:val="0FD60402"/>
    <w:rsid w:val="0FD67D63"/>
    <w:rsid w:val="0FD76A98"/>
    <w:rsid w:val="0FE031EC"/>
    <w:rsid w:val="0FE265CB"/>
    <w:rsid w:val="0FE43129"/>
    <w:rsid w:val="0FE563C4"/>
    <w:rsid w:val="0FE614FF"/>
    <w:rsid w:val="0FE955C5"/>
    <w:rsid w:val="0FEC4765"/>
    <w:rsid w:val="0FEE4BAF"/>
    <w:rsid w:val="0FF207E7"/>
    <w:rsid w:val="0FF22FB9"/>
    <w:rsid w:val="0FF56606"/>
    <w:rsid w:val="0FF663BD"/>
    <w:rsid w:val="0FF713B4"/>
    <w:rsid w:val="0FF83769"/>
    <w:rsid w:val="0FFA3C1C"/>
    <w:rsid w:val="100037E3"/>
    <w:rsid w:val="100404ED"/>
    <w:rsid w:val="100827DD"/>
    <w:rsid w:val="1019432E"/>
    <w:rsid w:val="10220A71"/>
    <w:rsid w:val="10275429"/>
    <w:rsid w:val="10305E0F"/>
    <w:rsid w:val="103134B1"/>
    <w:rsid w:val="10370503"/>
    <w:rsid w:val="103807AD"/>
    <w:rsid w:val="103B1CC5"/>
    <w:rsid w:val="103B225F"/>
    <w:rsid w:val="103C597E"/>
    <w:rsid w:val="103D083E"/>
    <w:rsid w:val="103E6FA4"/>
    <w:rsid w:val="104139CD"/>
    <w:rsid w:val="10452DA1"/>
    <w:rsid w:val="10493DFB"/>
    <w:rsid w:val="10495BE6"/>
    <w:rsid w:val="1051709A"/>
    <w:rsid w:val="10534DAD"/>
    <w:rsid w:val="105351C4"/>
    <w:rsid w:val="1057106E"/>
    <w:rsid w:val="1059025E"/>
    <w:rsid w:val="105B53E4"/>
    <w:rsid w:val="105E73E1"/>
    <w:rsid w:val="10747C7E"/>
    <w:rsid w:val="107759B7"/>
    <w:rsid w:val="10775FC0"/>
    <w:rsid w:val="107908EC"/>
    <w:rsid w:val="107C47B0"/>
    <w:rsid w:val="107E6810"/>
    <w:rsid w:val="10810930"/>
    <w:rsid w:val="1082361F"/>
    <w:rsid w:val="10831FBC"/>
    <w:rsid w:val="108A14BC"/>
    <w:rsid w:val="108A4FA0"/>
    <w:rsid w:val="108E7317"/>
    <w:rsid w:val="109615A3"/>
    <w:rsid w:val="10976C66"/>
    <w:rsid w:val="10997DA5"/>
    <w:rsid w:val="109D1C50"/>
    <w:rsid w:val="10A4406E"/>
    <w:rsid w:val="10A67B8F"/>
    <w:rsid w:val="10A8389F"/>
    <w:rsid w:val="10AA3BE5"/>
    <w:rsid w:val="10AB0728"/>
    <w:rsid w:val="10AC4963"/>
    <w:rsid w:val="10AF3DB8"/>
    <w:rsid w:val="10B003BB"/>
    <w:rsid w:val="10B1689D"/>
    <w:rsid w:val="10B4474B"/>
    <w:rsid w:val="10B97E33"/>
    <w:rsid w:val="10C45F8D"/>
    <w:rsid w:val="10C61608"/>
    <w:rsid w:val="10CD7AD0"/>
    <w:rsid w:val="10CE0067"/>
    <w:rsid w:val="10D006B1"/>
    <w:rsid w:val="10D15F2F"/>
    <w:rsid w:val="10D77039"/>
    <w:rsid w:val="10DB37FC"/>
    <w:rsid w:val="10DE196E"/>
    <w:rsid w:val="10DE709A"/>
    <w:rsid w:val="10F11E0F"/>
    <w:rsid w:val="10F13271"/>
    <w:rsid w:val="10F34F76"/>
    <w:rsid w:val="10F75548"/>
    <w:rsid w:val="10FB26A0"/>
    <w:rsid w:val="10FC7D0D"/>
    <w:rsid w:val="10FE0D1F"/>
    <w:rsid w:val="11003255"/>
    <w:rsid w:val="110200B0"/>
    <w:rsid w:val="110344BB"/>
    <w:rsid w:val="11154139"/>
    <w:rsid w:val="11170035"/>
    <w:rsid w:val="111A0468"/>
    <w:rsid w:val="1120350A"/>
    <w:rsid w:val="11206C21"/>
    <w:rsid w:val="11227714"/>
    <w:rsid w:val="11244DD7"/>
    <w:rsid w:val="11265F3A"/>
    <w:rsid w:val="11272BC2"/>
    <w:rsid w:val="11273C8A"/>
    <w:rsid w:val="112A6FA5"/>
    <w:rsid w:val="112B7D32"/>
    <w:rsid w:val="112F056D"/>
    <w:rsid w:val="11313E1F"/>
    <w:rsid w:val="113E7701"/>
    <w:rsid w:val="11407D54"/>
    <w:rsid w:val="11440549"/>
    <w:rsid w:val="1144353D"/>
    <w:rsid w:val="11480E15"/>
    <w:rsid w:val="114A715F"/>
    <w:rsid w:val="114A7673"/>
    <w:rsid w:val="114C4712"/>
    <w:rsid w:val="11530E21"/>
    <w:rsid w:val="115460D1"/>
    <w:rsid w:val="11631266"/>
    <w:rsid w:val="116B5445"/>
    <w:rsid w:val="116E1756"/>
    <w:rsid w:val="116E6670"/>
    <w:rsid w:val="1170463E"/>
    <w:rsid w:val="11765797"/>
    <w:rsid w:val="117A0852"/>
    <w:rsid w:val="117D3A12"/>
    <w:rsid w:val="117F143D"/>
    <w:rsid w:val="117F1444"/>
    <w:rsid w:val="11807196"/>
    <w:rsid w:val="11812F07"/>
    <w:rsid w:val="1182036D"/>
    <w:rsid w:val="1184527A"/>
    <w:rsid w:val="11855152"/>
    <w:rsid w:val="11863E1A"/>
    <w:rsid w:val="118F29C2"/>
    <w:rsid w:val="1190687B"/>
    <w:rsid w:val="11932E27"/>
    <w:rsid w:val="1193656A"/>
    <w:rsid w:val="11985DAC"/>
    <w:rsid w:val="119A0A99"/>
    <w:rsid w:val="119A6215"/>
    <w:rsid w:val="119C2875"/>
    <w:rsid w:val="11A111B2"/>
    <w:rsid w:val="11A63AF5"/>
    <w:rsid w:val="11AB56DB"/>
    <w:rsid w:val="11AC31FB"/>
    <w:rsid w:val="11AC6978"/>
    <w:rsid w:val="11AD5396"/>
    <w:rsid w:val="11AE5A53"/>
    <w:rsid w:val="11B524F0"/>
    <w:rsid w:val="11B571DC"/>
    <w:rsid w:val="11B835B5"/>
    <w:rsid w:val="11C106A0"/>
    <w:rsid w:val="11C20769"/>
    <w:rsid w:val="11CB5BE9"/>
    <w:rsid w:val="11CC4A59"/>
    <w:rsid w:val="11D54941"/>
    <w:rsid w:val="11DB31C3"/>
    <w:rsid w:val="11DC287F"/>
    <w:rsid w:val="11DC5EBC"/>
    <w:rsid w:val="11E3441D"/>
    <w:rsid w:val="11E41FAC"/>
    <w:rsid w:val="11E423C5"/>
    <w:rsid w:val="11E44B84"/>
    <w:rsid w:val="11E672BE"/>
    <w:rsid w:val="11E7010B"/>
    <w:rsid w:val="11E96D15"/>
    <w:rsid w:val="11EC1C13"/>
    <w:rsid w:val="11EC477B"/>
    <w:rsid w:val="11ED3526"/>
    <w:rsid w:val="11F570A5"/>
    <w:rsid w:val="11F65F1C"/>
    <w:rsid w:val="11F7204A"/>
    <w:rsid w:val="11FE3B95"/>
    <w:rsid w:val="12007BFB"/>
    <w:rsid w:val="12014EF3"/>
    <w:rsid w:val="12030E85"/>
    <w:rsid w:val="12072F0B"/>
    <w:rsid w:val="12087AC5"/>
    <w:rsid w:val="12114487"/>
    <w:rsid w:val="121446C0"/>
    <w:rsid w:val="121C60CC"/>
    <w:rsid w:val="121D1C01"/>
    <w:rsid w:val="121D7FE1"/>
    <w:rsid w:val="12236D5C"/>
    <w:rsid w:val="1224414D"/>
    <w:rsid w:val="12254912"/>
    <w:rsid w:val="1226452F"/>
    <w:rsid w:val="12275886"/>
    <w:rsid w:val="12291DFF"/>
    <w:rsid w:val="12294ACE"/>
    <w:rsid w:val="122C0E87"/>
    <w:rsid w:val="1235564D"/>
    <w:rsid w:val="1236208E"/>
    <w:rsid w:val="123935EC"/>
    <w:rsid w:val="123B49D0"/>
    <w:rsid w:val="123E638A"/>
    <w:rsid w:val="12456CB2"/>
    <w:rsid w:val="124617FA"/>
    <w:rsid w:val="12475E81"/>
    <w:rsid w:val="124850B5"/>
    <w:rsid w:val="124A2E47"/>
    <w:rsid w:val="124B1035"/>
    <w:rsid w:val="124D282D"/>
    <w:rsid w:val="124E1805"/>
    <w:rsid w:val="124F226C"/>
    <w:rsid w:val="124F64A1"/>
    <w:rsid w:val="12526B8B"/>
    <w:rsid w:val="12541EB8"/>
    <w:rsid w:val="125C5EF7"/>
    <w:rsid w:val="12604406"/>
    <w:rsid w:val="12605308"/>
    <w:rsid w:val="1265073D"/>
    <w:rsid w:val="126629B1"/>
    <w:rsid w:val="12672B74"/>
    <w:rsid w:val="126C148D"/>
    <w:rsid w:val="126D0D7A"/>
    <w:rsid w:val="126E09D6"/>
    <w:rsid w:val="127067DA"/>
    <w:rsid w:val="127127AD"/>
    <w:rsid w:val="127251F9"/>
    <w:rsid w:val="12725F47"/>
    <w:rsid w:val="127C5442"/>
    <w:rsid w:val="127E640D"/>
    <w:rsid w:val="127F06D9"/>
    <w:rsid w:val="1281080D"/>
    <w:rsid w:val="12882803"/>
    <w:rsid w:val="128D2B7C"/>
    <w:rsid w:val="128F5FB8"/>
    <w:rsid w:val="12901438"/>
    <w:rsid w:val="12917E37"/>
    <w:rsid w:val="12973E03"/>
    <w:rsid w:val="12990DA4"/>
    <w:rsid w:val="129E41C8"/>
    <w:rsid w:val="12A03C83"/>
    <w:rsid w:val="12A53972"/>
    <w:rsid w:val="12B03441"/>
    <w:rsid w:val="12B127D2"/>
    <w:rsid w:val="12BE26F1"/>
    <w:rsid w:val="12BF16B1"/>
    <w:rsid w:val="12C0700A"/>
    <w:rsid w:val="12C1567D"/>
    <w:rsid w:val="12C56D60"/>
    <w:rsid w:val="12C91FE8"/>
    <w:rsid w:val="12CA49E4"/>
    <w:rsid w:val="12CC343E"/>
    <w:rsid w:val="12DB5F87"/>
    <w:rsid w:val="12E423ED"/>
    <w:rsid w:val="12E621DF"/>
    <w:rsid w:val="12E64413"/>
    <w:rsid w:val="12E644D2"/>
    <w:rsid w:val="12E71080"/>
    <w:rsid w:val="12E716CD"/>
    <w:rsid w:val="12EE11B3"/>
    <w:rsid w:val="12EF1A32"/>
    <w:rsid w:val="12FD1A63"/>
    <w:rsid w:val="13001429"/>
    <w:rsid w:val="13021DA3"/>
    <w:rsid w:val="130354DD"/>
    <w:rsid w:val="13085A55"/>
    <w:rsid w:val="130A01BD"/>
    <w:rsid w:val="130A3A65"/>
    <w:rsid w:val="130B6BB6"/>
    <w:rsid w:val="130C40D8"/>
    <w:rsid w:val="131011DB"/>
    <w:rsid w:val="131229D0"/>
    <w:rsid w:val="131A188F"/>
    <w:rsid w:val="131B51E3"/>
    <w:rsid w:val="132164CD"/>
    <w:rsid w:val="13244D2F"/>
    <w:rsid w:val="132856F6"/>
    <w:rsid w:val="132D3BBF"/>
    <w:rsid w:val="132D66A4"/>
    <w:rsid w:val="132E0BFA"/>
    <w:rsid w:val="1330346E"/>
    <w:rsid w:val="133063A5"/>
    <w:rsid w:val="1331204B"/>
    <w:rsid w:val="13341230"/>
    <w:rsid w:val="13383C95"/>
    <w:rsid w:val="13495734"/>
    <w:rsid w:val="134C2EDA"/>
    <w:rsid w:val="134C68B0"/>
    <w:rsid w:val="13552AF2"/>
    <w:rsid w:val="13591077"/>
    <w:rsid w:val="135C75F4"/>
    <w:rsid w:val="13610F9D"/>
    <w:rsid w:val="13670A38"/>
    <w:rsid w:val="1367208C"/>
    <w:rsid w:val="13677935"/>
    <w:rsid w:val="136F29FC"/>
    <w:rsid w:val="13731882"/>
    <w:rsid w:val="137340AB"/>
    <w:rsid w:val="13735038"/>
    <w:rsid w:val="13773ECB"/>
    <w:rsid w:val="137B111C"/>
    <w:rsid w:val="137B129A"/>
    <w:rsid w:val="137C5830"/>
    <w:rsid w:val="13853E99"/>
    <w:rsid w:val="13873A19"/>
    <w:rsid w:val="138A3A85"/>
    <w:rsid w:val="138E153B"/>
    <w:rsid w:val="138F7D25"/>
    <w:rsid w:val="13916645"/>
    <w:rsid w:val="139A194E"/>
    <w:rsid w:val="139A25D7"/>
    <w:rsid w:val="139A2BE6"/>
    <w:rsid w:val="139E4FC6"/>
    <w:rsid w:val="13A02436"/>
    <w:rsid w:val="13A430B3"/>
    <w:rsid w:val="13A670D2"/>
    <w:rsid w:val="13A70841"/>
    <w:rsid w:val="13AB0089"/>
    <w:rsid w:val="13AD0B28"/>
    <w:rsid w:val="13AE4D87"/>
    <w:rsid w:val="13B50F03"/>
    <w:rsid w:val="13B7585D"/>
    <w:rsid w:val="13C54E2F"/>
    <w:rsid w:val="13C779F5"/>
    <w:rsid w:val="13CE15A5"/>
    <w:rsid w:val="13DC4DDB"/>
    <w:rsid w:val="13DE04EE"/>
    <w:rsid w:val="13E376EA"/>
    <w:rsid w:val="13E501B5"/>
    <w:rsid w:val="13F441C9"/>
    <w:rsid w:val="13F70B14"/>
    <w:rsid w:val="14003349"/>
    <w:rsid w:val="14063E54"/>
    <w:rsid w:val="1408033C"/>
    <w:rsid w:val="14086360"/>
    <w:rsid w:val="140A2286"/>
    <w:rsid w:val="14110CFE"/>
    <w:rsid w:val="14117175"/>
    <w:rsid w:val="14171794"/>
    <w:rsid w:val="141C7770"/>
    <w:rsid w:val="141F297C"/>
    <w:rsid w:val="14253A8D"/>
    <w:rsid w:val="14260A64"/>
    <w:rsid w:val="142B498C"/>
    <w:rsid w:val="142C45C0"/>
    <w:rsid w:val="142E15F9"/>
    <w:rsid w:val="14316948"/>
    <w:rsid w:val="14341E00"/>
    <w:rsid w:val="14354106"/>
    <w:rsid w:val="143614F9"/>
    <w:rsid w:val="14383E62"/>
    <w:rsid w:val="143C0CA7"/>
    <w:rsid w:val="143E0B55"/>
    <w:rsid w:val="1441624E"/>
    <w:rsid w:val="14442C66"/>
    <w:rsid w:val="1446439F"/>
    <w:rsid w:val="144907E4"/>
    <w:rsid w:val="144B6F55"/>
    <w:rsid w:val="144E66C5"/>
    <w:rsid w:val="14525825"/>
    <w:rsid w:val="14527783"/>
    <w:rsid w:val="145371BA"/>
    <w:rsid w:val="14575E8C"/>
    <w:rsid w:val="14606B8B"/>
    <w:rsid w:val="14650F9D"/>
    <w:rsid w:val="14675698"/>
    <w:rsid w:val="146E2FF7"/>
    <w:rsid w:val="14730A65"/>
    <w:rsid w:val="1474471A"/>
    <w:rsid w:val="14797FE4"/>
    <w:rsid w:val="147E6220"/>
    <w:rsid w:val="147F06B2"/>
    <w:rsid w:val="14863CD0"/>
    <w:rsid w:val="14887A48"/>
    <w:rsid w:val="148A5120"/>
    <w:rsid w:val="148F7946"/>
    <w:rsid w:val="14921A33"/>
    <w:rsid w:val="14987E62"/>
    <w:rsid w:val="14993625"/>
    <w:rsid w:val="1499696A"/>
    <w:rsid w:val="149B370D"/>
    <w:rsid w:val="14A378DD"/>
    <w:rsid w:val="14A45545"/>
    <w:rsid w:val="14B6023D"/>
    <w:rsid w:val="14BF6A8E"/>
    <w:rsid w:val="14C01B60"/>
    <w:rsid w:val="14C16B71"/>
    <w:rsid w:val="14CA04A9"/>
    <w:rsid w:val="14CA217F"/>
    <w:rsid w:val="14CD39B4"/>
    <w:rsid w:val="14D208C8"/>
    <w:rsid w:val="14D30E9E"/>
    <w:rsid w:val="14D43A20"/>
    <w:rsid w:val="14D52764"/>
    <w:rsid w:val="14DA06D8"/>
    <w:rsid w:val="14DE0A71"/>
    <w:rsid w:val="14DF0FC9"/>
    <w:rsid w:val="14E301D4"/>
    <w:rsid w:val="14EC48A6"/>
    <w:rsid w:val="14EE4756"/>
    <w:rsid w:val="1500003E"/>
    <w:rsid w:val="15001A74"/>
    <w:rsid w:val="150505EB"/>
    <w:rsid w:val="1509292F"/>
    <w:rsid w:val="150A1905"/>
    <w:rsid w:val="150A72D2"/>
    <w:rsid w:val="15127F15"/>
    <w:rsid w:val="151350D2"/>
    <w:rsid w:val="1514142F"/>
    <w:rsid w:val="15196833"/>
    <w:rsid w:val="151D2886"/>
    <w:rsid w:val="15200E67"/>
    <w:rsid w:val="15210021"/>
    <w:rsid w:val="15284930"/>
    <w:rsid w:val="15293E18"/>
    <w:rsid w:val="152A5CFC"/>
    <w:rsid w:val="152E6BE3"/>
    <w:rsid w:val="153170DB"/>
    <w:rsid w:val="1534197E"/>
    <w:rsid w:val="153542FD"/>
    <w:rsid w:val="153B0D9F"/>
    <w:rsid w:val="153E3C2C"/>
    <w:rsid w:val="15473CF8"/>
    <w:rsid w:val="154C316C"/>
    <w:rsid w:val="15512530"/>
    <w:rsid w:val="15631491"/>
    <w:rsid w:val="15673B02"/>
    <w:rsid w:val="1568787A"/>
    <w:rsid w:val="156C71E7"/>
    <w:rsid w:val="15700D4B"/>
    <w:rsid w:val="157B146E"/>
    <w:rsid w:val="157F746A"/>
    <w:rsid w:val="158644AD"/>
    <w:rsid w:val="15887527"/>
    <w:rsid w:val="158D0AA8"/>
    <w:rsid w:val="158E3702"/>
    <w:rsid w:val="15902B9F"/>
    <w:rsid w:val="15941CFE"/>
    <w:rsid w:val="159529BE"/>
    <w:rsid w:val="159B40EB"/>
    <w:rsid w:val="159E03A0"/>
    <w:rsid w:val="15AA2DD7"/>
    <w:rsid w:val="15AB025B"/>
    <w:rsid w:val="15AD14C5"/>
    <w:rsid w:val="15AF7DF4"/>
    <w:rsid w:val="15B136D5"/>
    <w:rsid w:val="15B14CCF"/>
    <w:rsid w:val="15B567D6"/>
    <w:rsid w:val="15B56C17"/>
    <w:rsid w:val="15BF387A"/>
    <w:rsid w:val="15C62455"/>
    <w:rsid w:val="15CC5D00"/>
    <w:rsid w:val="15CF7614"/>
    <w:rsid w:val="15D230BC"/>
    <w:rsid w:val="15D90659"/>
    <w:rsid w:val="15D9555B"/>
    <w:rsid w:val="15DA229D"/>
    <w:rsid w:val="15DB4918"/>
    <w:rsid w:val="15DE0236"/>
    <w:rsid w:val="15DF5D80"/>
    <w:rsid w:val="15EB4A8E"/>
    <w:rsid w:val="15EB5706"/>
    <w:rsid w:val="15EB6D7E"/>
    <w:rsid w:val="15ED14D4"/>
    <w:rsid w:val="15F01D49"/>
    <w:rsid w:val="15F22E90"/>
    <w:rsid w:val="15F25BDE"/>
    <w:rsid w:val="15F30DD5"/>
    <w:rsid w:val="15F32B9F"/>
    <w:rsid w:val="15F42192"/>
    <w:rsid w:val="15FF062D"/>
    <w:rsid w:val="1603441E"/>
    <w:rsid w:val="1606331B"/>
    <w:rsid w:val="160D1FA4"/>
    <w:rsid w:val="160D7132"/>
    <w:rsid w:val="161312BA"/>
    <w:rsid w:val="16136E02"/>
    <w:rsid w:val="16157F0B"/>
    <w:rsid w:val="161724BD"/>
    <w:rsid w:val="16173D8D"/>
    <w:rsid w:val="161860A6"/>
    <w:rsid w:val="161B669A"/>
    <w:rsid w:val="162A49AA"/>
    <w:rsid w:val="162B78B1"/>
    <w:rsid w:val="162D18DB"/>
    <w:rsid w:val="16337890"/>
    <w:rsid w:val="1637639D"/>
    <w:rsid w:val="163911A2"/>
    <w:rsid w:val="163A405E"/>
    <w:rsid w:val="1640713D"/>
    <w:rsid w:val="1641605C"/>
    <w:rsid w:val="16421706"/>
    <w:rsid w:val="16431C65"/>
    <w:rsid w:val="1643354A"/>
    <w:rsid w:val="1644273D"/>
    <w:rsid w:val="16464694"/>
    <w:rsid w:val="16484E33"/>
    <w:rsid w:val="164B646F"/>
    <w:rsid w:val="164F234B"/>
    <w:rsid w:val="1653504D"/>
    <w:rsid w:val="16546F1B"/>
    <w:rsid w:val="16585B40"/>
    <w:rsid w:val="165D188C"/>
    <w:rsid w:val="165D6CA0"/>
    <w:rsid w:val="16626F9D"/>
    <w:rsid w:val="166647A2"/>
    <w:rsid w:val="166710AD"/>
    <w:rsid w:val="166D3433"/>
    <w:rsid w:val="166E3BFC"/>
    <w:rsid w:val="16701CCC"/>
    <w:rsid w:val="167105B7"/>
    <w:rsid w:val="1676759D"/>
    <w:rsid w:val="16772C02"/>
    <w:rsid w:val="16780CF9"/>
    <w:rsid w:val="167C182F"/>
    <w:rsid w:val="16800029"/>
    <w:rsid w:val="16815E39"/>
    <w:rsid w:val="1683380E"/>
    <w:rsid w:val="168478EA"/>
    <w:rsid w:val="16871580"/>
    <w:rsid w:val="16893A21"/>
    <w:rsid w:val="168F19F2"/>
    <w:rsid w:val="168F4362"/>
    <w:rsid w:val="169829FE"/>
    <w:rsid w:val="16994FB2"/>
    <w:rsid w:val="16996F95"/>
    <w:rsid w:val="169A1E61"/>
    <w:rsid w:val="169E7B93"/>
    <w:rsid w:val="16A06A56"/>
    <w:rsid w:val="16A563C1"/>
    <w:rsid w:val="16A778F0"/>
    <w:rsid w:val="16AA7E82"/>
    <w:rsid w:val="16B0181E"/>
    <w:rsid w:val="16B071A1"/>
    <w:rsid w:val="16B1759D"/>
    <w:rsid w:val="16B2733D"/>
    <w:rsid w:val="16B439E3"/>
    <w:rsid w:val="16B6280A"/>
    <w:rsid w:val="16B929D0"/>
    <w:rsid w:val="16BD084D"/>
    <w:rsid w:val="16C534EA"/>
    <w:rsid w:val="16C537AD"/>
    <w:rsid w:val="16C82772"/>
    <w:rsid w:val="16C91301"/>
    <w:rsid w:val="16CB7FE6"/>
    <w:rsid w:val="16D04910"/>
    <w:rsid w:val="16D35E19"/>
    <w:rsid w:val="16D3780F"/>
    <w:rsid w:val="16D87F1F"/>
    <w:rsid w:val="16DF3B6C"/>
    <w:rsid w:val="16EE5A1A"/>
    <w:rsid w:val="16F763AA"/>
    <w:rsid w:val="16F92C85"/>
    <w:rsid w:val="16F95D2E"/>
    <w:rsid w:val="16FB3F85"/>
    <w:rsid w:val="16FB79AB"/>
    <w:rsid w:val="16FD14F8"/>
    <w:rsid w:val="16FD6401"/>
    <w:rsid w:val="16FF3379"/>
    <w:rsid w:val="170B2B23"/>
    <w:rsid w:val="170C22B7"/>
    <w:rsid w:val="17145EB7"/>
    <w:rsid w:val="17184F06"/>
    <w:rsid w:val="171B1C36"/>
    <w:rsid w:val="171E6442"/>
    <w:rsid w:val="172262C3"/>
    <w:rsid w:val="172E112F"/>
    <w:rsid w:val="172F541C"/>
    <w:rsid w:val="173215F1"/>
    <w:rsid w:val="17384A4F"/>
    <w:rsid w:val="17395A0B"/>
    <w:rsid w:val="174112FE"/>
    <w:rsid w:val="1745310A"/>
    <w:rsid w:val="17496D4E"/>
    <w:rsid w:val="174B7132"/>
    <w:rsid w:val="174F5C81"/>
    <w:rsid w:val="17503053"/>
    <w:rsid w:val="17544646"/>
    <w:rsid w:val="17563E2E"/>
    <w:rsid w:val="175E0056"/>
    <w:rsid w:val="175F0A7F"/>
    <w:rsid w:val="17610BE2"/>
    <w:rsid w:val="17660349"/>
    <w:rsid w:val="1768062A"/>
    <w:rsid w:val="17682C99"/>
    <w:rsid w:val="177673D6"/>
    <w:rsid w:val="17794485"/>
    <w:rsid w:val="177A43D2"/>
    <w:rsid w:val="177B3BED"/>
    <w:rsid w:val="177B655C"/>
    <w:rsid w:val="177F77B4"/>
    <w:rsid w:val="17806960"/>
    <w:rsid w:val="17807D4D"/>
    <w:rsid w:val="17817F00"/>
    <w:rsid w:val="17834584"/>
    <w:rsid w:val="178C49EE"/>
    <w:rsid w:val="178F016F"/>
    <w:rsid w:val="17966422"/>
    <w:rsid w:val="1798047F"/>
    <w:rsid w:val="179949A3"/>
    <w:rsid w:val="179E2A24"/>
    <w:rsid w:val="179F617E"/>
    <w:rsid w:val="17A1131E"/>
    <w:rsid w:val="17A72097"/>
    <w:rsid w:val="17AC1100"/>
    <w:rsid w:val="17AC2185"/>
    <w:rsid w:val="17AF16CA"/>
    <w:rsid w:val="17B00257"/>
    <w:rsid w:val="17B85A41"/>
    <w:rsid w:val="17BD7A49"/>
    <w:rsid w:val="17C244DB"/>
    <w:rsid w:val="17CB2352"/>
    <w:rsid w:val="17CB6F72"/>
    <w:rsid w:val="17CC2C29"/>
    <w:rsid w:val="17D10890"/>
    <w:rsid w:val="17D7731E"/>
    <w:rsid w:val="17DD62FD"/>
    <w:rsid w:val="17DF3275"/>
    <w:rsid w:val="17DF709E"/>
    <w:rsid w:val="17E265A8"/>
    <w:rsid w:val="17E647D8"/>
    <w:rsid w:val="17E97B67"/>
    <w:rsid w:val="17EB1267"/>
    <w:rsid w:val="17EB3B87"/>
    <w:rsid w:val="17F07ACE"/>
    <w:rsid w:val="17F36208"/>
    <w:rsid w:val="17F749FE"/>
    <w:rsid w:val="17FA354C"/>
    <w:rsid w:val="17FD296C"/>
    <w:rsid w:val="18015744"/>
    <w:rsid w:val="18031773"/>
    <w:rsid w:val="18073D90"/>
    <w:rsid w:val="18075732"/>
    <w:rsid w:val="18077089"/>
    <w:rsid w:val="180837AE"/>
    <w:rsid w:val="180B33EE"/>
    <w:rsid w:val="180B4CD6"/>
    <w:rsid w:val="18110375"/>
    <w:rsid w:val="18133A66"/>
    <w:rsid w:val="18175D30"/>
    <w:rsid w:val="181A06A4"/>
    <w:rsid w:val="181B3026"/>
    <w:rsid w:val="181F53EE"/>
    <w:rsid w:val="181F63DE"/>
    <w:rsid w:val="18216406"/>
    <w:rsid w:val="182305BA"/>
    <w:rsid w:val="182851FE"/>
    <w:rsid w:val="182A48A9"/>
    <w:rsid w:val="182B3E13"/>
    <w:rsid w:val="182C0564"/>
    <w:rsid w:val="182C7E01"/>
    <w:rsid w:val="182E79AC"/>
    <w:rsid w:val="182F467F"/>
    <w:rsid w:val="183103F7"/>
    <w:rsid w:val="183636EE"/>
    <w:rsid w:val="183937A6"/>
    <w:rsid w:val="183E2578"/>
    <w:rsid w:val="18411B45"/>
    <w:rsid w:val="184366DA"/>
    <w:rsid w:val="18443227"/>
    <w:rsid w:val="184766C9"/>
    <w:rsid w:val="1848063A"/>
    <w:rsid w:val="184C488D"/>
    <w:rsid w:val="18503F4C"/>
    <w:rsid w:val="185735C8"/>
    <w:rsid w:val="18584189"/>
    <w:rsid w:val="18597357"/>
    <w:rsid w:val="185A7002"/>
    <w:rsid w:val="185D55B4"/>
    <w:rsid w:val="185F045A"/>
    <w:rsid w:val="185F0BCD"/>
    <w:rsid w:val="18603584"/>
    <w:rsid w:val="18664452"/>
    <w:rsid w:val="186964F0"/>
    <w:rsid w:val="18746ECB"/>
    <w:rsid w:val="18784278"/>
    <w:rsid w:val="187C176A"/>
    <w:rsid w:val="187D12D7"/>
    <w:rsid w:val="187D363C"/>
    <w:rsid w:val="18822A00"/>
    <w:rsid w:val="18837CAD"/>
    <w:rsid w:val="1884459E"/>
    <w:rsid w:val="188B16C1"/>
    <w:rsid w:val="188E5DE1"/>
    <w:rsid w:val="18964AF9"/>
    <w:rsid w:val="189C59AC"/>
    <w:rsid w:val="189E6FE2"/>
    <w:rsid w:val="189F0FC7"/>
    <w:rsid w:val="18A7447C"/>
    <w:rsid w:val="18AC5D64"/>
    <w:rsid w:val="18AD53AA"/>
    <w:rsid w:val="18AF1E13"/>
    <w:rsid w:val="18B80869"/>
    <w:rsid w:val="18B91E29"/>
    <w:rsid w:val="18BA55C1"/>
    <w:rsid w:val="18BB55C0"/>
    <w:rsid w:val="18BD0028"/>
    <w:rsid w:val="18BF1309"/>
    <w:rsid w:val="18BF3F02"/>
    <w:rsid w:val="18C46F97"/>
    <w:rsid w:val="18C803DC"/>
    <w:rsid w:val="18CE3AFA"/>
    <w:rsid w:val="18CF7033"/>
    <w:rsid w:val="18D25736"/>
    <w:rsid w:val="18D327F1"/>
    <w:rsid w:val="18D626E8"/>
    <w:rsid w:val="18DA4BAA"/>
    <w:rsid w:val="18DA5DA0"/>
    <w:rsid w:val="18DB0957"/>
    <w:rsid w:val="18DE2E75"/>
    <w:rsid w:val="18E42205"/>
    <w:rsid w:val="18E44FA5"/>
    <w:rsid w:val="18E64B9B"/>
    <w:rsid w:val="18E731E4"/>
    <w:rsid w:val="18F00E44"/>
    <w:rsid w:val="18F34737"/>
    <w:rsid w:val="18F4756E"/>
    <w:rsid w:val="18F57A22"/>
    <w:rsid w:val="18F74CA7"/>
    <w:rsid w:val="18F93BA3"/>
    <w:rsid w:val="18F953B8"/>
    <w:rsid w:val="18FA0F3C"/>
    <w:rsid w:val="18FB0C4C"/>
    <w:rsid w:val="18FE51A3"/>
    <w:rsid w:val="18FE7F41"/>
    <w:rsid w:val="19026156"/>
    <w:rsid w:val="19033F6D"/>
    <w:rsid w:val="19047AC4"/>
    <w:rsid w:val="190D04FF"/>
    <w:rsid w:val="191C6D69"/>
    <w:rsid w:val="19285866"/>
    <w:rsid w:val="192A518F"/>
    <w:rsid w:val="19311933"/>
    <w:rsid w:val="19362169"/>
    <w:rsid w:val="193B7D1A"/>
    <w:rsid w:val="193D1531"/>
    <w:rsid w:val="193E3890"/>
    <w:rsid w:val="194505FE"/>
    <w:rsid w:val="19475063"/>
    <w:rsid w:val="194926ED"/>
    <w:rsid w:val="194C2202"/>
    <w:rsid w:val="194C31DB"/>
    <w:rsid w:val="195261ED"/>
    <w:rsid w:val="195929A8"/>
    <w:rsid w:val="195C2C22"/>
    <w:rsid w:val="195C6D75"/>
    <w:rsid w:val="195D20DB"/>
    <w:rsid w:val="195E1344"/>
    <w:rsid w:val="19606E11"/>
    <w:rsid w:val="19674D3A"/>
    <w:rsid w:val="196D7732"/>
    <w:rsid w:val="1973173A"/>
    <w:rsid w:val="19745C81"/>
    <w:rsid w:val="197467ED"/>
    <w:rsid w:val="197536DC"/>
    <w:rsid w:val="1979675A"/>
    <w:rsid w:val="197A1F78"/>
    <w:rsid w:val="197B1B52"/>
    <w:rsid w:val="198A4263"/>
    <w:rsid w:val="198D4EA4"/>
    <w:rsid w:val="199B7B3C"/>
    <w:rsid w:val="19AA6976"/>
    <w:rsid w:val="19AC7A7A"/>
    <w:rsid w:val="19AD4F18"/>
    <w:rsid w:val="19B15746"/>
    <w:rsid w:val="19B25769"/>
    <w:rsid w:val="19B32F1A"/>
    <w:rsid w:val="19B44EE1"/>
    <w:rsid w:val="19B64296"/>
    <w:rsid w:val="19BC611A"/>
    <w:rsid w:val="19BE4C75"/>
    <w:rsid w:val="19C51FB8"/>
    <w:rsid w:val="19C86081"/>
    <w:rsid w:val="19CB14DE"/>
    <w:rsid w:val="19CC487B"/>
    <w:rsid w:val="19D03761"/>
    <w:rsid w:val="19D160C2"/>
    <w:rsid w:val="19D30687"/>
    <w:rsid w:val="19D339A4"/>
    <w:rsid w:val="19D454DE"/>
    <w:rsid w:val="19D709F7"/>
    <w:rsid w:val="19DC7E5A"/>
    <w:rsid w:val="19E16D17"/>
    <w:rsid w:val="19E27746"/>
    <w:rsid w:val="19E4073A"/>
    <w:rsid w:val="19E57F4C"/>
    <w:rsid w:val="19E915E2"/>
    <w:rsid w:val="19F14188"/>
    <w:rsid w:val="19F3413D"/>
    <w:rsid w:val="19F35163"/>
    <w:rsid w:val="19F40AA7"/>
    <w:rsid w:val="19F80E4E"/>
    <w:rsid w:val="19F937F5"/>
    <w:rsid w:val="19FD659A"/>
    <w:rsid w:val="1A041C77"/>
    <w:rsid w:val="1A04603D"/>
    <w:rsid w:val="1A051304"/>
    <w:rsid w:val="1A096710"/>
    <w:rsid w:val="1A11143B"/>
    <w:rsid w:val="1A155A9E"/>
    <w:rsid w:val="1A1E54AC"/>
    <w:rsid w:val="1A1F4C54"/>
    <w:rsid w:val="1A223EE0"/>
    <w:rsid w:val="1A2F6BF4"/>
    <w:rsid w:val="1A30515D"/>
    <w:rsid w:val="1A310609"/>
    <w:rsid w:val="1A3741D1"/>
    <w:rsid w:val="1A3D55F7"/>
    <w:rsid w:val="1A413A8F"/>
    <w:rsid w:val="1A41503C"/>
    <w:rsid w:val="1A420699"/>
    <w:rsid w:val="1A4A5EB7"/>
    <w:rsid w:val="1A500268"/>
    <w:rsid w:val="1A53003A"/>
    <w:rsid w:val="1A57481F"/>
    <w:rsid w:val="1A593DA1"/>
    <w:rsid w:val="1A5A1A76"/>
    <w:rsid w:val="1A5A64AE"/>
    <w:rsid w:val="1A622E38"/>
    <w:rsid w:val="1A6565C6"/>
    <w:rsid w:val="1A6D09EF"/>
    <w:rsid w:val="1A6D60DF"/>
    <w:rsid w:val="1A7C6EB5"/>
    <w:rsid w:val="1A8238B0"/>
    <w:rsid w:val="1A82491A"/>
    <w:rsid w:val="1A8A7A46"/>
    <w:rsid w:val="1A8B1F9E"/>
    <w:rsid w:val="1A8B2BA4"/>
    <w:rsid w:val="1A923D6A"/>
    <w:rsid w:val="1A950150"/>
    <w:rsid w:val="1A964359"/>
    <w:rsid w:val="1A965E16"/>
    <w:rsid w:val="1A984F28"/>
    <w:rsid w:val="1A9F2436"/>
    <w:rsid w:val="1A9F4365"/>
    <w:rsid w:val="1AA07478"/>
    <w:rsid w:val="1AA3449A"/>
    <w:rsid w:val="1AA6221B"/>
    <w:rsid w:val="1AA75569"/>
    <w:rsid w:val="1AA911EF"/>
    <w:rsid w:val="1AAD09D0"/>
    <w:rsid w:val="1AAD6307"/>
    <w:rsid w:val="1AAE2B30"/>
    <w:rsid w:val="1AB04AF5"/>
    <w:rsid w:val="1AB81044"/>
    <w:rsid w:val="1AB91C23"/>
    <w:rsid w:val="1AB94309"/>
    <w:rsid w:val="1AC217DA"/>
    <w:rsid w:val="1AC24076"/>
    <w:rsid w:val="1AC61254"/>
    <w:rsid w:val="1AD631B1"/>
    <w:rsid w:val="1ADF238C"/>
    <w:rsid w:val="1AE11470"/>
    <w:rsid w:val="1AE532A9"/>
    <w:rsid w:val="1AE5371E"/>
    <w:rsid w:val="1AEE0062"/>
    <w:rsid w:val="1AEE1421"/>
    <w:rsid w:val="1AEF6950"/>
    <w:rsid w:val="1AF01E64"/>
    <w:rsid w:val="1AF1703F"/>
    <w:rsid w:val="1AF35FD4"/>
    <w:rsid w:val="1AF86177"/>
    <w:rsid w:val="1AFA2A0B"/>
    <w:rsid w:val="1AFE4CFE"/>
    <w:rsid w:val="1B065044"/>
    <w:rsid w:val="1B074FB4"/>
    <w:rsid w:val="1B091E7C"/>
    <w:rsid w:val="1B0B7B8D"/>
    <w:rsid w:val="1B134821"/>
    <w:rsid w:val="1B166C96"/>
    <w:rsid w:val="1B183E03"/>
    <w:rsid w:val="1B195CB1"/>
    <w:rsid w:val="1B1C19F8"/>
    <w:rsid w:val="1B1D2B47"/>
    <w:rsid w:val="1B323D9C"/>
    <w:rsid w:val="1B354054"/>
    <w:rsid w:val="1B394312"/>
    <w:rsid w:val="1B3A5CD6"/>
    <w:rsid w:val="1B3E3930"/>
    <w:rsid w:val="1B46185E"/>
    <w:rsid w:val="1B477401"/>
    <w:rsid w:val="1B4C6541"/>
    <w:rsid w:val="1B4E0F61"/>
    <w:rsid w:val="1B4E7285"/>
    <w:rsid w:val="1B521FB5"/>
    <w:rsid w:val="1B530684"/>
    <w:rsid w:val="1B5973EF"/>
    <w:rsid w:val="1B5F5B70"/>
    <w:rsid w:val="1B6146D1"/>
    <w:rsid w:val="1B640F8E"/>
    <w:rsid w:val="1B652D20"/>
    <w:rsid w:val="1B68712F"/>
    <w:rsid w:val="1B6B08DE"/>
    <w:rsid w:val="1B6D1CF3"/>
    <w:rsid w:val="1B744774"/>
    <w:rsid w:val="1B745AE6"/>
    <w:rsid w:val="1B7661BC"/>
    <w:rsid w:val="1B797ECE"/>
    <w:rsid w:val="1B7E6195"/>
    <w:rsid w:val="1B8312FF"/>
    <w:rsid w:val="1B890779"/>
    <w:rsid w:val="1B923654"/>
    <w:rsid w:val="1B92609C"/>
    <w:rsid w:val="1B9522F9"/>
    <w:rsid w:val="1B956A5D"/>
    <w:rsid w:val="1BA23459"/>
    <w:rsid w:val="1BA55384"/>
    <w:rsid w:val="1BA55535"/>
    <w:rsid w:val="1BAF0D22"/>
    <w:rsid w:val="1BBB4A6C"/>
    <w:rsid w:val="1BBC107A"/>
    <w:rsid w:val="1BC02FC5"/>
    <w:rsid w:val="1BCB0C13"/>
    <w:rsid w:val="1BCB38F2"/>
    <w:rsid w:val="1BCC2D5D"/>
    <w:rsid w:val="1BCD6B37"/>
    <w:rsid w:val="1BD33A52"/>
    <w:rsid w:val="1BD60643"/>
    <w:rsid w:val="1BD96E06"/>
    <w:rsid w:val="1BDA33D2"/>
    <w:rsid w:val="1BDB3E50"/>
    <w:rsid w:val="1BDB7F54"/>
    <w:rsid w:val="1BDD4B1E"/>
    <w:rsid w:val="1BE35EAC"/>
    <w:rsid w:val="1BE43C93"/>
    <w:rsid w:val="1BE524E3"/>
    <w:rsid w:val="1BE717AD"/>
    <w:rsid w:val="1BE8403B"/>
    <w:rsid w:val="1BE93967"/>
    <w:rsid w:val="1BEC123B"/>
    <w:rsid w:val="1BEF3274"/>
    <w:rsid w:val="1BF239D4"/>
    <w:rsid w:val="1BF55A3C"/>
    <w:rsid w:val="1BF7204E"/>
    <w:rsid w:val="1BFF7D69"/>
    <w:rsid w:val="1C032463"/>
    <w:rsid w:val="1C062E3D"/>
    <w:rsid w:val="1C0F104B"/>
    <w:rsid w:val="1C0F5DC5"/>
    <w:rsid w:val="1C110840"/>
    <w:rsid w:val="1C1462A3"/>
    <w:rsid w:val="1C146673"/>
    <w:rsid w:val="1C1C565B"/>
    <w:rsid w:val="1C21237B"/>
    <w:rsid w:val="1C237A5C"/>
    <w:rsid w:val="1C2854A8"/>
    <w:rsid w:val="1C293F4F"/>
    <w:rsid w:val="1C2E0CF6"/>
    <w:rsid w:val="1C312907"/>
    <w:rsid w:val="1C33094F"/>
    <w:rsid w:val="1C3619FB"/>
    <w:rsid w:val="1C377263"/>
    <w:rsid w:val="1C3C29CC"/>
    <w:rsid w:val="1C434BCB"/>
    <w:rsid w:val="1C470B3D"/>
    <w:rsid w:val="1C4A50F5"/>
    <w:rsid w:val="1C4B7C53"/>
    <w:rsid w:val="1C4C5B80"/>
    <w:rsid w:val="1C4E54BA"/>
    <w:rsid w:val="1C5B27CF"/>
    <w:rsid w:val="1C5F14C4"/>
    <w:rsid w:val="1C65060B"/>
    <w:rsid w:val="1C657CFD"/>
    <w:rsid w:val="1C666C92"/>
    <w:rsid w:val="1C6A03CB"/>
    <w:rsid w:val="1C6B00E9"/>
    <w:rsid w:val="1C6D307E"/>
    <w:rsid w:val="1C6F23C4"/>
    <w:rsid w:val="1C7415F7"/>
    <w:rsid w:val="1C7A19F3"/>
    <w:rsid w:val="1C7D2439"/>
    <w:rsid w:val="1C7E4583"/>
    <w:rsid w:val="1C7F7D5C"/>
    <w:rsid w:val="1C81045D"/>
    <w:rsid w:val="1C835414"/>
    <w:rsid w:val="1C863AD4"/>
    <w:rsid w:val="1C867395"/>
    <w:rsid w:val="1C8B0159"/>
    <w:rsid w:val="1C8D7EAC"/>
    <w:rsid w:val="1C8E406A"/>
    <w:rsid w:val="1C8F4ABB"/>
    <w:rsid w:val="1C912274"/>
    <w:rsid w:val="1C952AB3"/>
    <w:rsid w:val="1C956BC8"/>
    <w:rsid w:val="1C9C67A2"/>
    <w:rsid w:val="1CA803CB"/>
    <w:rsid w:val="1CAA4E7D"/>
    <w:rsid w:val="1CAA7D51"/>
    <w:rsid w:val="1CBA0DC9"/>
    <w:rsid w:val="1CBB4733"/>
    <w:rsid w:val="1CBD7190"/>
    <w:rsid w:val="1CC3340E"/>
    <w:rsid w:val="1CC3422F"/>
    <w:rsid w:val="1CC546AE"/>
    <w:rsid w:val="1CC92BB8"/>
    <w:rsid w:val="1CCC7603"/>
    <w:rsid w:val="1CCF02CC"/>
    <w:rsid w:val="1CD208EE"/>
    <w:rsid w:val="1CD421CB"/>
    <w:rsid w:val="1CDA2E0B"/>
    <w:rsid w:val="1CE2035C"/>
    <w:rsid w:val="1CE65C54"/>
    <w:rsid w:val="1CE668FF"/>
    <w:rsid w:val="1CEB0397"/>
    <w:rsid w:val="1CED7619"/>
    <w:rsid w:val="1CEE19CF"/>
    <w:rsid w:val="1CEE25FA"/>
    <w:rsid w:val="1CF14289"/>
    <w:rsid w:val="1CF410B2"/>
    <w:rsid w:val="1CF8358B"/>
    <w:rsid w:val="1CF856EE"/>
    <w:rsid w:val="1CF94C5D"/>
    <w:rsid w:val="1CFB5BE1"/>
    <w:rsid w:val="1CFD2F9D"/>
    <w:rsid w:val="1CFF6454"/>
    <w:rsid w:val="1D155498"/>
    <w:rsid w:val="1D18670A"/>
    <w:rsid w:val="1D220C74"/>
    <w:rsid w:val="1D265E6B"/>
    <w:rsid w:val="1D2904D9"/>
    <w:rsid w:val="1D2E200C"/>
    <w:rsid w:val="1D341946"/>
    <w:rsid w:val="1D362F5F"/>
    <w:rsid w:val="1D3A2841"/>
    <w:rsid w:val="1D3C508E"/>
    <w:rsid w:val="1D4208B6"/>
    <w:rsid w:val="1D450D78"/>
    <w:rsid w:val="1D4821D2"/>
    <w:rsid w:val="1D493682"/>
    <w:rsid w:val="1D493F50"/>
    <w:rsid w:val="1D4B6B76"/>
    <w:rsid w:val="1D4D24B3"/>
    <w:rsid w:val="1D5151A7"/>
    <w:rsid w:val="1D5178C8"/>
    <w:rsid w:val="1D520AB1"/>
    <w:rsid w:val="1D5226FC"/>
    <w:rsid w:val="1D536EE9"/>
    <w:rsid w:val="1D5900A3"/>
    <w:rsid w:val="1D5C3400"/>
    <w:rsid w:val="1D6D0F10"/>
    <w:rsid w:val="1D6E3A3E"/>
    <w:rsid w:val="1D6F382A"/>
    <w:rsid w:val="1D716B84"/>
    <w:rsid w:val="1D722022"/>
    <w:rsid w:val="1D7E7249"/>
    <w:rsid w:val="1D8538DD"/>
    <w:rsid w:val="1D864B64"/>
    <w:rsid w:val="1D895C99"/>
    <w:rsid w:val="1D8B7974"/>
    <w:rsid w:val="1D901CCD"/>
    <w:rsid w:val="1D942025"/>
    <w:rsid w:val="1D945617"/>
    <w:rsid w:val="1D9D12D5"/>
    <w:rsid w:val="1D9E3026"/>
    <w:rsid w:val="1D9E7A1E"/>
    <w:rsid w:val="1DAA50FC"/>
    <w:rsid w:val="1DAA6E36"/>
    <w:rsid w:val="1DAF5E4A"/>
    <w:rsid w:val="1DB07F4E"/>
    <w:rsid w:val="1DB14B01"/>
    <w:rsid w:val="1DB14E68"/>
    <w:rsid w:val="1DB81CAE"/>
    <w:rsid w:val="1DBA41AA"/>
    <w:rsid w:val="1DBA66BC"/>
    <w:rsid w:val="1DBC080D"/>
    <w:rsid w:val="1DC25201"/>
    <w:rsid w:val="1DC55B33"/>
    <w:rsid w:val="1DC87107"/>
    <w:rsid w:val="1DCA41FB"/>
    <w:rsid w:val="1DCE7D00"/>
    <w:rsid w:val="1DD15C9C"/>
    <w:rsid w:val="1DD57137"/>
    <w:rsid w:val="1DD74991"/>
    <w:rsid w:val="1DDB0D8B"/>
    <w:rsid w:val="1DDB1CB0"/>
    <w:rsid w:val="1DE4706D"/>
    <w:rsid w:val="1DE85FC1"/>
    <w:rsid w:val="1DF04AA7"/>
    <w:rsid w:val="1DF779ED"/>
    <w:rsid w:val="1DFC1159"/>
    <w:rsid w:val="1DFD3206"/>
    <w:rsid w:val="1DFD5117"/>
    <w:rsid w:val="1DFE2117"/>
    <w:rsid w:val="1DFE6FCD"/>
    <w:rsid w:val="1E04410B"/>
    <w:rsid w:val="1E057A04"/>
    <w:rsid w:val="1E076A66"/>
    <w:rsid w:val="1E086A22"/>
    <w:rsid w:val="1E087A39"/>
    <w:rsid w:val="1E095C8F"/>
    <w:rsid w:val="1E0F3384"/>
    <w:rsid w:val="1E0F3D4E"/>
    <w:rsid w:val="1E1032E7"/>
    <w:rsid w:val="1E1101C6"/>
    <w:rsid w:val="1E120081"/>
    <w:rsid w:val="1E152864"/>
    <w:rsid w:val="1E154A9C"/>
    <w:rsid w:val="1E214248"/>
    <w:rsid w:val="1E2405A0"/>
    <w:rsid w:val="1E2B7111"/>
    <w:rsid w:val="1E2F69E1"/>
    <w:rsid w:val="1E3235D1"/>
    <w:rsid w:val="1E333E27"/>
    <w:rsid w:val="1E3944D3"/>
    <w:rsid w:val="1E3C56C7"/>
    <w:rsid w:val="1E400281"/>
    <w:rsid w:val="1E4106C9"/>
    <w:rsid w:val="1E4247B5"/>
    <w:rsid w:val="1E4346AE"/>
    <w:rsid w:val="1E4449B6"/>
    <w:rsid w:val="1E480D17"/>
    <w:rsid w:val="1E492E65"/>
    <w:rsid w:val="1E4C2137"/>
    <w:rsid w:val="1E4C7D38"/>
    <w:rsid w:val="1E4D539F"/>
    <w:rsid w:val="1E4F49AE"/>
    <w:rsid w:val="1E500989"/>
    <w:rsid w:val="1E527A80"/>
    <w:rsid w:val="1E541E5D"/>
    <w:rsid w:val="1E567B72"/>
    <w:rsid w:val="1E581A00"/>
    <w:rsid w:val="1E58486F"/>
    <w:rsid w:val="1E58492F"/>
    <w:rsid w:val="1E586961"/>
    <w:rsid w:val="1E5A2FB7"/>
    <w:rsid w:val="1E5C2EF2"/>
    <w:rsid w:val="1E5C384D"/>
    <w:rsid w:val="1E5C7688"/>
    <w:rsid w:val="1E623329"/>
    <w:rsid w:val="1E626576"/>
    <w:rsid w:val="1E6A6661"/>
    <w:rsid w:val="1E7B7095"/>
    <w:rsid w:val="1E7D440E"/>
    <w:rsid w:val="1E7F13C7"/>
    <w:rsid w:val="1E7F4130"/>
    <w:rsid w:val="1E805E80"/>
    <w:rsid w:val="1E827F37"/>
    <w:rsid w:val="1E852FB9"/>
    <w:rsid w:val="1E8D3A35"/>
    <w:rsid w:val="1E8F0D24"/>
    <w:rsid w:val="1E8F2D24"/>
    <w:rsid w:val="1E9271ED"/>
    <w:rsid w:val="1E960C24"/>
    <w:rsid w:val="1E9B5F97"/>
    <w:rsid w:val="1EA2147E"/>
    <w:rsid w:val="1EA800AD"/>
    <w:rsid w:val="1EAD2567"/>
    <w:rsid w:val="1EB0620D"/>
    <w:rsid w:val="1EB46E6B"/>
    <w:rsid w:val="1EB61478"/>
    <w:rsid w:val="1EB718F8"/>
    <w:rsid w:val="1EB82C04"/>
    <w:rsid w:val="1EBD0D53"/>
    <w:rsid w:val="1EC42035"/>
    <w:rsid w:val="1EC803D7"/>
    <w:rsid w:val="1EC91DF0"/>
    <w:rsid w:val="1ECB1AAB"/>
    <w:rsid w:val="1ECC6010"/>
    <w:rsid w:val="1ED156AB"/>
    <w:rsid w:val="1ED839C8"/>
    <w:rsid w:val="1EDD0B31"/>
    <w:rsid w:val="1EE04E27"/>
    <w:rsid w:val="1EE5708E"/>
    <w:rsid w:val="1EE94750"/>
    <w:rsid w:val="1EF62798"/>
    <w:rsid w:val="1EF767A1"/>
    <w:rsid w:val="1EFB54AE"/>
    <w:rsid w:val="1EFC537F"/>
    <w:rsid w:val="1EFF4B2F"/>
    <w:rsid w:val="1EFF67AE"/>
    <w:rsid w:val="1F045698"/>
    <w:rsid w:val="1F047C64"/>
    <w:rsid w:val="1F0702E8"/>
    <w:rsid w:val="1F08049D"/>
    <w:rsid w:val="1F0842A3"/>
    <w:rsid w:val="1F114FA5"/>
    <w:rsid w:val="1F143189"/>
    <w:rsid w:val="1F17234F"/>
    <w:rsid w:val="1F1810F0"/>
    <w:rsid w:val="1F1F6421"/>
    <w:rsid w:val="1F22637C"/>
    <w:rsid w:val="1F24392E"/>
    <w:rsid w:val="1F255B7E"/>
    <w:rsid w:val="1F260325"/>
    <w:rsid w:val="1F295EF2"/>
    <w:rsid w:val="1F2B590C"/>
    <w:rsid w:val="1F2E774A"/>
    <w:rsid w:val="1F313039"/>
    <w:rsid w:val="1F327038"/>
    <w:rsid w:val="1F332ED6"/>
    <w:rsid w:val="1F344325"/>
    <w:rsid w:val="1F35369B"/>
    <w:rsid w:val="1F367904"/>
    <w:rsid w:val="1F3A4A8E"/>
    <w:rsid w:val="1F3A76A7"/>
    <w:rsid w:val="1F3F63C8"/>
    <w:rsid w:val="1F417171"/>
    <w:rsid w:val="1F4D429C"/>
    <w:rsid w:val="1F4D5DEF"/>
    <w:rsid w:val="1F5131FD"/>
    <w:rsid w:val="1F5251C4"/>
    <w:rsid w:val="1F550A4E"/>
    <w:rsid w:val="1F575EBF"/>
    <w:rsid w:val="1F5B7F24"/>
    <w:rsid w:val="1F5C79D1"/>
    <w:rsid w:val="1F610E5D"/>
    <w:rsid w:val="1F625DB9"/>
    <w:rsid w:val="1F685B79"/>
    <w:rsid w:val="1F6A63F5"/>
    <w:rsid w:val="1F6C05BE"/>
    <w:rsid w:val="1F6C11FB"/>
    <w:rsid w:val="1F7034A2"/>
    <w:rsid w:val="1F70507D"/>
    <w:rsid w:val="1F730BB2"/>
    <w:rsid w:val="1F736C5F"/>
    <w:rsid w:val="1F743FB9"/>
    <w:rsid w:val="1F78398C"/>
    <w:rsid w:val="1F7B14F7"/>
    <w:rsid w:val="1F833472"/>
    <w:rsid w:val="1F8444D9"/>
    <w:rsid w:val="1F8A2191"/>
    <w:rsid w:val="1F8E3BC8"/>
    <w:rsid w:val="1F903920"/>
    <w:rsid w:val="1F943E0D"/>
    <w:rsid w:val="1F981BEC"/>
    <w:rsid w:val="1F9839CA"/>
    <w:rsid w:val="1F9A406B"/>
    <w:rsid w:val="1F9D7E6D"/>
    <w:rsid w:val="1FA07CBB"/>
    <w:rsid w:val="1FA12C16"/>
    <w:rsid w:val="1FA629B9"/>
    <w:rsid w:val="1FAA324D"/>
    <w:rsid w:val="1FAA6D8A"/>
    <w:rsid w:val="1FAB0A8F"/>
    <w:rsid w:val="1FAC0EDF"/>
    <w:rsid w:val="1FB13BD9"/>
    <w:rsid w:val="1FB45B95"/>
    <w:rsid w:val="1FB916FE"/>
    <w:rsid w:val="1FBA6F24"/>
    <w:rsid w:val="1FC102B2"/>
    <w:rsid w:val="1FC165E2"/>
    <w:rsid w:val="1FC7380A"/>
    <w:rsid w:val="1FCF69B8"/>
    <w:rsid w:val="1FD10B20"/>
    <w:rsid w:val="1FD11643"/>
    <w:rsid w:val="1FD30E6D"/>
    <w:rsid w:val="1FD53D5E"/>
    <w:rsid w:val="1FD54CAB"/>
    <w:rsid w:val="1FD761C2"/>
    <w:rsid w:val="1FD9503B"/>
    <w:rsid w:val="1FDA09DC"/>
    <w:rsid w:val="1FDE3383"/>
    <w:rsid w:val="1FE10954"/>
    <w:rsid w:val="1FE62B24"/>
    <w:rsid w:val="1FE67C99"/>
    <w:rsid w:val="1FE850F1"/>
    <w:rsid w:val="1FEB6E1C"/>
    <w:rsid w:val="1FEB7530"/>
    <w:rsid w:val="1FEC6ABF"/>
    <w:rsid w:val="1FF33CFB"/>
    <w:rsid w:val="1FF539A0"/>
    <w:rsid w:val="1FF75ECC"/>
    <w:rsid w:val="1FFE2344"/>
    <w:rsid w:val="1FFF7FC2"/>
    <w:rsid w:val="20020140"/>
    <w:rsid w:val="200F0D3F"/>
    <w:rsid w:val="201345AA"/>
    <w:rsid w:val="20150AF2"/>
    <w:rsid w:val="201A47F7"/>
    <w:rsid w:val="201B7143"/>
    <w:rsid w:val="2022352E"/>
    <w:rsid w:val="20237EAB"/>
    <w:rsid w:val="20251086"/>
    <w:rsid w:val="202A3701"/>
    <w:rsid w:val="202C7E22"/>
    <w:rsid w:val="202E1F81"/>
    <w:rsid w:val="203310CD"/>
    <w:rsid w:val="203374E3"/>
    <w:rsid w:val="203504DB"/>
    <w:rsid w:val="20355E02"/>
    <w:rsid w:val="203C7D81"/>
    <w:rsid w:val="20414994"/>
    <w:rsid w:val="204F1D62"/>
    <w:rsid w:val="20545F0F"/>
    <w:rsid w:val="20575FC6"/>
    <w:rsid w:val="205943A5"/>
    <w:rsid w:val="205D2DBD"/>
    <w:rsid w:val="206421AD"/>
    <w:rsid w:val="206550E2"/>
    <w:rsid w:val="20655E69"/>
    <w:rsid w:val="20671B32"/>
    <w:rsid w:val="206C658F"/>
    <w:rsid w:val="206E50DF"/>
    <w:rsid w:val="206E665F"/>
    <w:rsid w:val="20752004"/>
    <w:rsid w:val="20754590"/>
    <w:rsid w:val="207655DF"/>
    <w:rsid w:val="20875711"/>
    <w:rsid w:val="20881525"/>
    <w:rsid w:val="20881B18"/>
    <w:rsid w:val="20887022"/>
    <w:rsid w:val="208B3FBF"/>
    <w:rsid w:val="208B7C88"/>
    <w:rsid w:val="209269F6"/>
    <w:rsid w:val="20981239"/>
    <w:rsid w:val="20A56FF4"/>
    <w:rsid w:val="20A72647"/>
    <w:rsid w:val="20A87D18"/>
    <w:rsid w:val="20AE3884"/>
    <w:rsid w:val="20B15D87"/>
    <w:rsid w:val="20B860E0"/>
    <w:rsid w:val="20BB47BF"/>
    <w:rsid w:val="20BC234F"/>
    <w:rsid w:val="20BE1468"/>
    <w:rsid w:val="20C715F6"/>
    <w:rsid w:val="20CA4E2E"/>
    <w:rsid w:val="20CB0051"/>
    <w:rsid w:val="20D03B58"/>
    <w:rsid w:val="20E424AA"/>
    <w:rsid w:val="20E458D1"/>
    <w:rsid w:val="20E65D43"/>
    <w:rsid w:val="20E8056F"/>
    <w:rsid w:val="20E8626D"/>
    <w:rsid w:val="20ED7529"/>
    <w:rsid w:val="20EE157B"/>
    <w:rsid w:val="20EF3AFF"/>
    <w:rsid w:val="20F052B2"/>
    <w:rsid w:val="20F4161C"/>
    <w:rsid w:val="20F6154A"/>
    <w:rsid w:val="20FB4A48"/>
    <w:rsid w:val="20FB4BF0"/>
    <w:rsid w:val="20FC3930"/>
    <w:rsid w:val="210051DA"/>
    <w:rsid w:val="21005B13"/>
    <w:rsid w:val="210117C5"/>
    <w:rsid w:val="21025FFD"/>
    <w:rsid w:val="21047605"/>
    <w:rsid w:val="21091262"/>
    <w:rsid w:val="21097C55"/>
    <w:rsid w:val="210B21EA"/>
    <w:rsid w:val="21107053"/>
    <w:rsid w:val="211526CF"/>
    <w:rsid w:val="21186874"/>
    <w:rsid w:val="21187528"/>
    <w:rsid w:val="2120692E"/>
    <w:rsid w:val="21252CB1"/>
    <w:rsid w:val="21296D97"/>
    <w:rsid w:val="212D5834"/>
    <w:rsid w:val="21330B9A"/>
    <w:rsid w:val="21364314"/>
    <w:rsid w:val="21365594"/>
    <w:rsid w:val="213920FA"/>
    <w:rsid w:val="213A6E39"/>
    <w:rsid w:val="21404FC4"/>
    <w:rsid w:val="21462370"/>
    <w:rsid w:val="2149055F"/>
    <w:rsid w:val="2149452E"/>
    <w:rsid w:val="214C1D38"/>
    <w:rsid w:val="214E3DC8"/>
    <w:rsid w:val="214F0194"/>
    <w:rsid w:val="215522BF"/>
    <w:rsid w:val="21556E90"/>
    <w:rsid w:val="21595545"/>
    <w:rsid w:val="215D45DB"/>
    <w:rsid w:val="215E538B"/>
    <w:rsid w:val="216033A3"/>
    <w:rsid w:val="216438B5"/>
    <w:rsid w:val="21650C91"/>
    <w:rsid w:val="216B33FD"/>
    <w:rsid w:val="216D46E2"/>
    <w:rsid w:val="216D615A"/>
    <w:rsid w:val="216F24AC"/>
    <w:rsid w:val="21701033"/>
    <w:rsid w:val="2172058A"/>
    <w:rsid w:val="217355DC"/>
    <w:rsid w:val="21763952"/>
    <w:rsid w:val="217C0935"/>
    <w:rsid w:val="217D7482"/>
    <w:rsid w:val="21817CF9"/>
    <w:rsid w:val="2182181A"/>
    <w:rsid w:val="21882443"/>
    <w:rsid w:val="218850A2"/>
    <w:rsid w:val="21885265"/>
    <w:rsid w:val="218B4AEC"/>
    <w:rsid w:val="21903F3D"/>
    <w:rsid w:val="219457CF"/>
    <w:rsid w:val="21983295"/>
    <w:rsid w:val="219E6AFD"/>
    <w:rsid w:val="21A06B90"/>
    <w:rsid w:val="21A41206"/>
    <w:rsid w:val="21A432FF"/>
    <w:rsid w:val="21A949EC"/>
    <w:rsid w:val="21AE07C2"/>
    <w:rsid w:val="21AF239F"/>
    <w:rsid w:val="21B01193"/>
    <w:rsid w:val="21B21012"/>
    <w:rsid w:val="21B22166"/>
    <w:rsid w:val="21B3789E"/>
    <w:rsid w:val="21B87609"/>
    <w:rsid w:val="21BB5804"/>
    <w:rsid w:val="21BC056E"/>
    <w:rsid w:val="21BE114B"/>
    <w:rsid w:val="21BF30F9"/>
    <w:rsid w:val="21C213B9"/>
    <w:rsid w:val="21C6018C"/>
    <w:rsid w:val="21C80CD9"/>
    <w:rsid w:val="21C80DC5"/>
    <w:rsid w:val="21C90A04"/>
    <w:rsid w:val="21C952B1"/>
    <w:rsid w:val="21C96D31"/>
    <w:rsid w:val="21CB34F6"/>
    <w:rsid w:val="21CD20EB"/>
    <w:rsid w:val="21D149BB"/>
    <w:rsid w:val="21D60D29"/>
    <w:rsid w:val="21D818E3"/>
    <w:rsid w:val="21DC5477"/>
    <w:rsid w:val="21DE4DAB"/>
    <w:rsid w:val="21DE555A"/>
    <w:rsid w:val="21E05C78"/>
    <w:rsid w:val="21E169EA"/>
    <w:rsid w:val="21E343E4"/>
    <w:rsid w:val="21E606FF"/>
    <w:rsid w:val="21E6397D"/>
    <w:rsid w:val="21EF22DB"/>
    <w:rsid w:val="21F46074"/>
    <w:rsid w:val="21F66FAD"/>
    <w:rsid w:val="21F91A91"/>
    <w:rsid w:val="21FE5619"/>
    <w:rsid w:val="21FE6EEC"/>
    <w:rsid w:val="21FF455E"/>
    <w:rsid w:val="22012448"/>
    <w:rsid w:val="22056652"/>
    <w:rsid w:val="220862A4"/>
    <w:rsid w:val="220B1CB9"/>
    <w:rsid w:val="220E06F7"/>
    <w:rsid w:val="220E45FB"/>
    <w:rsid w:val="220E5299"/>
    <w:rsid w:val="2211544C"/>
    <w:rsid w:val="22177E2C"/>
    <w:rsid w:val="22191C76"/>
    <w:rsid w:val="221A1ACB"/>
    <w:rsid w:val="221D1670"/>
    <w:rsid w:val="22200900"/>
    <w:rsid w:val="22291048"/>
    <w:rsid w:val="222B2274"/>
    <w:rsid w:val="222C6406"/>
    <w:rsid w:val="22336E24"/>
    <w:rsid w:val="22374156"/>
    <w:rsid w:val="223A2512"/>
    <w:rsid w:val="223B07F0"/>
    <w:rsid w:val="223B4EAA"/>
    <w:rsid w:val="223D537F"/>
    <w:rsid w:val="22414480"/>
    <w:rsid w:val="22446F79"/>
    <w:rsid w:val="2249698C"/>
    <w:rsid w:val="225219C3"/>
    <w:rsid w:val="225464ED"/>
    <w:rsid w:val="22564176"/>
    <w:rsid w:val="22591886"/>
    <w:rsid w:val="225966ED"/>
    <w:rsid w:val="225B49EE"/>
    <w:rsid w:val="225F1AD2"/>
    <w:rsid w:val="2260796F"/>
    <w:rsid w:val="22656CA5"/>
    <w:rsid w:val="2266331C"/>
    <w:rsid w:val="226D4215"/>
    <w:rsid w:val="226F3B34"/>
    <w:rsid w:val="22702C66"/>
    <w:rsid w:val="22712661"/>
    <w:rsid w:val="227430DC"/>
    <w:rsid w:val="227546B9"/>
    <w:rsid w:val="22757F9B"/>
    <w:rsid w:val="22793A51"/>
    <w:rsid w:val="227C098D"/>
    <w:rsid w:val="227E3B9C"/>
    <w:rsid w:val="228210AC"/>
    <w:rsid w:val="22821F7B"/>
    <w:rsid w:val="22846069"/>
    <w:rsid w:val="228C2C10"/>
    <w:rsid w:val="22926000"/>
    <w:rsid w:val="22951EC0"/>
    <w:rsid w:val="229544FB"/>
    <w:rsid w:val="22983618"/>
    <w:rsid w:val="22985679"/>
    <w:rsid w:val="22987EE4"/>
    <w:rsid w:val="22993FC3"/>
    <w:rsid w:val="22A0105F"/>
    <w:rsid w:val="22A3021D"/>
    <w:rsid w:val="22AA10F7"/>
    <w:rsid w:val="22AF54FE"/>
    <w:rsid w:val="22B576AF"/>
    <w:rsid w:val="22B76D13"/>
    <w:rsid w:val="22B93B33"/>
    <w:rsid w:val="22BB68F4"/>
    <w:rsid w:val="22BC161D"/>
    <w:rsid w:val="22C01653"/>
    <w:rsid w:val="22C57CC5"/>
    <w:rsid w:val="22C773F4"/>
    <w:rsid w:val="22C86246"/>
    <w:rsid w:val="22D23867"/>
    <w:rsid w:val="22D80D68"/>
    <w:rsid w:val="22D878EF"/>
    <w:rsid w:val="22E06CFB"/>
    <w:rsid w:val="22EA427A"/>
    <w:rsid w:val="22EB187C"/>
    <w:rsid w:val="22ED0618"/>
    <w:rsid w:val="22F71B04"/>
    <w:rsid w:val="22F724B6"/>
    <w:rsid w:val="22F75A79"/>
    <w:rsid w:val="22F8223D"/>
    <w:rsid w:val="22F84E7E"/>
    <w:rsid w:val="22FD4589"/>
    <w:rsid w:val="22FE3762"/>
    <w:rsid w:val="230022FA"/>
    <w:rsid w:val="23021CA1"/>
    <w:rsid w:val="23044E1C"/>
    <w:rsid w:val="23064C20"/>
    <w:rsid w:val="23092185"/>
    <w:rsid w:val="230E5F2A"/>
    <w:rsid w:val="231176F9"/>
    <w:rsid w:val="231254BA"/>
    <w:rsid w:val="2318468D"/>
    <w:rsid w:val="231A0CEA"/>
    <w:rsid w:val="231D6C02"/>
    <w:rsid w:val="232114B7"/>
    <w:rsid w:val="23240E7E"/>
    <w:rsid w:val="232834E9"/>
    <w:rsid w:val="232E3B37"/>
    <w:rsid w:val="23305E7B"/>
    <w:rsid w:val="23312C4D"/>
    <w:rsid w:val="233314DF"/>
    <w:rsid w:val="23332BA7"/>
    <w:rsid w:val="233609E3"/>
    <w:rsid w:val="233628D5"/>
    <w:rsid w:val="23363BEA"/>
    <w:rsid w:val="234318A1"/>
    <w:rsid w:val="23503E27"/>
    <w:rsid w:val="235177E9"/>
    <w:rsid w:val="23530438"/>
    <w:rsid w:val="23541E59"/>
    <w:rsid w:val="235833CF"/>
    <w:rsid w:val="235F3DD7"/>
    <w:rsid w:val="236479A1"/>
    <w:rsid w:val="236512A0"/>
    <w:rsid w:val="23694D6E"/>
    <w:rsid w:val="237271F0"/>
    <w:rsid w:val="23741900"/>
    <w:rsid w:val="237B3CC9"/>
    <w:rsid w:val="23835999"/>
    <w:rsid w:val="239763D6"/>
    <w:rsid w:val="23984DB1"/>
    <w:rsid w:val="23990CD5"/>
    <w:rsid w:val="23A06BEB"/>
    <w:rsid w:val="23A32489"/>
    <w:rsid w:val="23A35012"/>
    <w:rsid w:val="23A71CE5"/>
    <w:rsid w:val="23A77DD4"/>
    <w:rsid w:val="23B00960"/>
    <w:rsid w:val="23B51317"/>
    <w:rsid w:val="23BA3E97"/>
    <w:rsid w:val="23C3001F"/>
    <w:rsid w:val="23C44E18"/>
    <w:rsid w:val="23C5556E"/>
    <w:rsid w:val="23CA1D46"/>
    <w:rsid w:val="23CC04E9"/>
    <w:rsid w:val="23CE387A"/>
    <w:rsid w:val="23D36207"/>
    <w:rsid w:val="23D428D9"/>
    <w:rsid w:val="23D65777"/>
    <w:rsid w:val="23D745BA"/>
    <w:rsid w:val="23DA2B29"/>
    <w:rsid w:val="23DF6070"/>
    <w:rsid w:val="23E8772B"/>
    <w:rsid w:val="23EF43FF"/>
    <w:rsid w:val="23FA5246"/>
    <w:rsid w:val="23FC6B9B"/>
    <w:rsid w:val="23FE4EAD"/>
    <w:rsid w:val="24001599"/>
    <w:rsid w:val="24092C37"/>
    <w:rsid w:val="240B4874"/>
    <w:rsid w:val="240D070C"/>
    <w:rsid w:val="240D7437"/>
    <w:rsid w:val="24103FDC"/>
    <w:rsid w:val="24136912"/>
    <w:rsid w:val="241614E8"/>
    <w:rsid w:val="24194AE2"/>
    <w:rsid w:val="241B4ECA"/>
    <w:rsid w:val="241E5CD3"/>
    <w:rsid w:val="241E7826"/>
    <w:rsid w:val="241F1A4B"/>
    <w:rsid w:val="2422647B"/>
    <w:rsid w:val="24226F89"/>
    <w:rsid w:val="2423276B"/>
    <w:rsid w:val="24277076"/>
    <w:rsid w:val="24283AF2"/>
    <w:rsid w:val="24297CE0"/>
    <w:rsid w:val="242D1738"/>
    <w:rsid w:val="242D44A3"/>
    <w:rsid w:val="24307476"/>
    <w:rsid w:val="24371EF7"/>
    <w:rsid w:val="243F0C18"/>
    <w:rsid w:val="244346AA"/>
    <w:rsid w:val="244539B9"/>
    <w:rsid w:val="2448083E"/>
    <w:rsid w:val="244F27B6"/>
    <w:rsid w:val="24506E7F"/>
    <w:rsid w:val="24593EDB"/>
    <w:rsid w:val="245C2990"/>
    <w:rsid w:val="245F5422"/>
    <w:rsid w:val="246304AF"/>
    <w:rsid w:val="246311C6"/>
    <w:rsid w:val="24632E3A"/>
    <w:rsid w:val="24644286"/>
    <w:rsid w:val="24653F2A"/>
    <w:rsid w:val="24667FC6"/>
    <w:rsid w:val="24675172"/>
    <w:rsid w:val="246F4469"/>
    <w:rsid w:val="246F5C29"/>
    <w:rsid w:val="24741C5D"/>
    <w:rsid w:val="247843F2"/>
    <w:rsid w:val="247E7B6C"/>
    <w:rsid w:val="2481348E"/>
    <w:rsid w:val="24815ED3"/>
    <w:rsid w:val="24845687"/>
    <w:rsid w:val="24881BE5"/>
    <w:rsid w:val="2489369A"/>
    <w:rsid w:val="24903B53"/>
    <w:rsid w:val="24925CBD"/>
    <w:rsid w:val="24943E2E"/>
    <w:rsid w:val="2499620B"/>
    <w:rsid w:val="249A5E7A"/>
    <w:rsid w:val="249E73E3"/>
    <w:rsid w:val="249F5305"/>
    <w:rsid w:val="24A03D37"/>
    <w:rsid w:val="24AE46D7"/>
    <w:rsid w:val="24AF2F77"/>
    <w:rsid w:val="24B2466D"/>
    <w:rsid w:val="24B85FE4"/>
    <w:rsid w:val="24BF5149"/>
    <w:rsid w:val="24CF4092"/>
    <w:rsid w:val="24DB63E5"/>
    <w:rsid w:val="24DE76F6"/>
    <w:rsid w:val="24E41333"/>
    <w:rsid w:val="24E4220A"/>
    <w:rsid w:val="24E7164C"/>
    <w:rsid w:val="24E82530"/>
    <w:rsid w:val="24EB6192"/>
    <w:rsid w:val="24F314FC"/>
    <w:rsid w:val="24FA6740"/>
    <w:rsid w:val="25027793"/>
    <w:rsid w:val="25042AE4"/>
    <w:rsid w:val="2508348D"/>
    <w:rsid w:val="250C3013"/>
    <w:rsid w:val="250D157E"/>
    <w:rsid w:val="251A2917"/>
    <w:rsid w:val="251A49CB"/>
    <w:rsid w:val="251B093B"/>
    <w:rsid w:val="2522702B"/>
    <w:rsid w:val="25253E6F"/>
    <w:rsid w:val="252829F4"/>
    <w:rsid w:val="252F5CBE"/>
    <w:rsid w:val="25313AD0"/>
    <w:rsid w:val="25373F66"/>
    <w:rsid w:val="253E414E"/>
    <w:rsid w:val="25404C87"/>
    <w:rsid w:val="25411151"/>
    <w:rsid w:val="254546C9"/>
    <w:rsid w:val="25490112"/>
    <w:rsid w:val="254E24A3"/>
    <w:rsid w:val="254F2273"/>
    <w:rsid w:val="25537EE8"/>
    <w:rsid w:val="25540ADB"/>
    <w:rsid w:val="255A66A3"/>
    <w:rsid w:val="255C237C"/>
    <w:rsid w:val="255E1CCC"/>
    <w:rsid w:val="255F0BA0"/>
    <w:rsid w:val="25632921"/>
    <w:rsid w:val="256E4A38"/>
    <w:rsid w:val="256E7EBC"/>
    <w:rsid w:val="256F704A"/>
    <w:rsid w:val="257401F8"/>
    <w:rsid w:val="25780ECA"/>
    <w:rsid w:val="257C35DA"/>
    <w:rsid w:val="258E50DA"/>
    <w:rsid w:val="25902175"/>
    <w:rsid w:val="25913A1E"/>
    <w:rsid w:val="2592412B"/>
    <w:rsid w:val="259326F1"/>
    <w:rsid w:val="25956267"/>
    <w:rsid w:val="2596525F"/>
    <w:rsid w:val="25965A14"/>
    <w:rsid w:val="259764E8"/>
    <w:rsid w:val="259A1595"/>
    <w:rsid w:val="259C7AA7"/>
    <w:rsid w:val="259D70DF"/>
    <w:rsid w:val="25A3041D"/>
    <w:rsid w:val="25A50118"/>
    <w:rsid w:val="25A971F9"/>
    <w:rsid w:val="25AA1942"/>
    <w:rsid w:val="25B15811"/>
    <w:rsid w:val="25BD69B8"/>
    <w:rsid w:val="25C34F6D"/>
    <w:rsid w:val="25C43E6E"/>
    <w:rsid w:val="25C44FD8"/>
    <w:rsid w:val="25C86066"/>
    <w:rsid w:val="25CB59E7"/>
    <w:rsid w:val="25CD64EE"/>
    <w:rsid w:val="25CE63EE"/>
    <w:rsid w:val="25CF4680"/>
    <w:rsid w:val="25D26DA3"/>
    <w:rsid w:val="25D3542A"/>
    <w:rsid w:val="25D55DC4"/>
    <w:rsid w:val="25D63E91"/>
    <w:rsid w:val="25D8483A"/>
    <w:rsid w:val="25DA1D82"/>
    <w:rsid w:val="25DF1FF2"/>
    <w:rsid w:val="25E3015F"/>
    <w:rsid w:val="25E43FC0"/>
    <w:rsid w:val="25E5277F"/>
    <w:rsid w:val="25E77590"/>
    <w:rsid w:val="25EC0F7B"/>
    <w:rsid w:val="25EC23B0"/>
    <w:rsid w:val="25F038C6"/>
    <w:rsid w:val="25F3098F"/>
    <w:rsid w:val="25F77C55"/>
    <w:rsid w:val="25F800AB"/>
    <w:rsid w:val="25FB3052"/>
    <w:rsid w:val="25FC334E"/>
    <w:rsid w:val="25FE7724"/>
    <w:rsid w:val="25FF1008"/>
    <w:rsid w:val="25FF1488"/>
    <w:rsid w:val="2600164D"/>
    <w:rsid w:val="26006ABA"/>
    <w:rsid w:val="26020B84"/>
    <w:rsid w:val="260A7FA4"/>
    <w:rsid w:val="260B24A0"/>
    <w:rsid w:val="26102BD1"/>
    <w:rsid w:val="261220B7"/>
    <w:rsid w:val="26125C55"/>
    <w:rsid w:val="261A25A4"/>
    <w:rsid w:val="26202902"/>
    <w:rsid w:val="26235B5A"/>
    <w:rsid w:val="2628254F"/>
    <w:rsid w:val="262B3423"/>
    <w:rsid w:val="262F4698"/>
    <w:rsid w:val="26306192"/>
    <w:rsid w:val="26335456"/>
    <w:rsid w:val="26347232"/>
    <w:rsid w:val="26362AF4"/>
    <w:rsid w:val="263649AA"/>
    <w:rsid w:val="263C37A5"/>
    <w:rsid w:val="263D5601"/>
    <w:rsid w:val="264136B9"/>
    <w:rsid w:val="264145FC"/>
    <w:rsid w:val="264810DC"/>
    <w:rsid w:val="264B4835"/>
    <w:rsid w:val="264E1B7A"/>
    <w:rsid w:val="264F7977"/>
    <w:rsid w:val="26504CD9"/>
    <w:rsid w:val="265866D3"/>
    <w:rsid w:val="26594A61"/>
    <w:rsid w:val="265C3B50"/>
    <w:rsid w:val="26604F36"/>
    <w:rsid w:val="2668652E"/>
    <w:rsid w:val="267267AA"/>
    <w:rsid w:val="267467C5"/>
    <w:rsid w:val="267576E6"/>
    <w:rsid w:val="267A4CCD"/>
    <w:rsid w:val="267A753A"/>
    <w:rsid w:val="267D6D39"/>
    <w:rsid w:val="267E1F16"/>
    <w:rsid w:val="267E46DD"/>
    <w:rsid w:val="268129DB"/>
    <w:rsid w:val="268D3EBE"/>
    <w:rsid w:val="268F1B65"/>
    <w:rsid w:val="269A7E93"/>
    <w:rsid w:val="269D75EB"/>
    <w:rsid w:val="26A15154"/>
    <w:rsid w:val="26A368E2"/>
    <w:rsid w:val="26A717B5"/>
    <w:rsid w:val="26AC741C"/>
    <w:rsid w:val="26AF0BB6"/>
    <w:rsid w:val="26B056AF"/>
    <w:rsid w:val="26B21295"/>
    <w:rsid w:val="26B219AC"/>
    <w:rsid w:val="26B438BA"/>
    <w:rsid w:val="26B76B93"/>
    <w:rsid w:val="26B8346C"/>
    <w:rsid w:val="26C37F3B"/>
    <w:rsid w:val="26C9056E"/>
    <w:rsid w:val="26CC3ADC"/>
    <w:rsid w:val="26CC7E59"/>
    <w:rsid w:val="26CE4AB9"/>
    <w:rsid w:val="26CF28D9"/>
    <w:rsid w:val="26DA3CE7"/>
    <w:rsid w:val="26DB1F0C"/>
    <w:rsid w:val="26DB64CD"/>
    <w:rsid w:val="26E147BC"/>
    <w:rsid w:val="26E153A2"/>
    <w:rsid w:val="26E4122F"/>
    <w:rsid w:val="26E816D4"/>
    <w:rsid w:val="26E97A32"/>
    <w:rsid w:val="26EC1049"/>
    <w:rsid w:val="26F77938"/>
    <w:rsid w:val="2705317A"/>
    <w:rsid w:val="2709382B"/>
    <w:rsid w:val="270E407A"/>
    <w:rsid w:val="2710459F"/>
    <w:rsid w:val="27142E29"/>
    <w:rsid w:val="27145C1A"/>
    <w:rsid w:val="27171536"/>
    <w:rsid w:val="27222C85"/>
    <w:rsid w:val="272C0782"/>
    <w:rsid w:val="27310749"/>
    <w:rsid w:val="27315613"/>
    <w:rsid w:val="273677D8"/>
    <w:rsid w:val="27416156"/>
    <w:rsid w:val="27456E88"/>
    <w:rsid w:val="274C2B57"/>
    <w:rsid w:val="274F0811"/>
    <w:rsid w:val="274F53D7"/>
    <w:rsid w:val="275E7ECA"/>
    <w:rsid w:val="27605865"/>
    <w:rsid w:val="27613D33"/>
    <w:rsid w:val="27615587"/>
    <w:rsid w:val="276D1566"/>
    <w:rsid w:val="276D5C29"/>
    <w:rsid w:val="27731071"/>
    <w:rsid w:val="277F57FF"/>
    <w:rsid w:val="2793564B"/>
    <w:rsid w:val="279B21F2"/>
    <w:rsid w:val="279D0BD8"/>
    <w:rsid w:val="27A4391A"/>
    <w:rsid w:val="27A6071D"/>
    <w:rsid w:val="27A634EB"/>
    <w:rsid w:val="27A94AAD"/>
    <w:rsid w:val="27AD3DE5"/>
    <w:rsid w:val="27B02F09"/>
    <w:rsid w:val="27B1626C"/>
    <w:rsid w:val="27BA6A0B"/>
    <w:rsid w:val="27BF04DE"/>
    <w:rsid w:val="27C73007"/>
    <w:rsid w:val="27CA4A83"/>
    <w:rsid w:val="27D065A3"/>
    <w:rsid w:val="27D123D3"/>
    <w:rsid w:val="27D80C35"/>
    <w:rsid w:val="27DB6E02"/>
    <w:rsid w:val="27DD098B"/>
    <w:rsid w:val="27DE38C3"/>
    <w:rsid w:val="27E11CF3"/>
    <w:rsid w:val="27EA35C8"/>
    <w:rsid w:val="27EA6372"/>
    <w:rsid w:val="27F043F2"/>
    <w:rsid w:val="27F1767E"/>
    <w:rsid w:val="27F62DC9"/>
    <w:rsid w:val="27F80B6E"/>
    <w:rsid w:val="28044EC3"/>
    <w:rsid w:val="280E605F"/>
    <w:rsid w:val="28100534"/>
    <w:rsid w:val="28113954"/>
    <w:rsid w:val="28163E36"/>
    <w:rsid w:val="281962F8"/>
    <w:rsid w:val="281B1346"/>
    <w:rsid w:val="281B5731"/>
    <w:rsid w:val="281D1994"/>
    <w:rsid w:val="281E039D"/>
    <w:rsid w:val="281E3A91"/>
    <w:rsid w:val="2821615A"/>
    <w:rsid w:val="28266AD2"/>
    <w:rsid w:val="282955D1"/>
    <w:rsid w:val="282C2D2F"/>
    <w:rsid w:val="282F5993"/>
    <w:rsid w:val="28313102"/>
    <w:rsid w:val="28325027"/>
    <w:rsid w:val="28366ACE"/>
    <w:rsid w:val="283709C0"/>
    <w:rsid w:val="28393D66"/>
    <w:rsid w:val="283F08BE"/>
    <w:rsid w:val="28415631"/>
    <w:rsid w:val="28506D76"/>
    <w:rsid w:val="28664B59"/>
    <w:rsid w:val="28736253"/>
    <w:rsid w:val="2876603E"/>
    <w:rsid w:val="287858E3"/>
    <w:rsid w:val="287871DB"/>
    <w:rsid w:val="2879458D"/>
    <w:rsid w:val="287A694B"/>
    <w:rsid w:val="288A7A0D"/>
    <w:rsid w:val="289054C8"/>
    <w:rsid w:val="28906184"/>
    <w:rsid w:val="28947465"/>
    <w:rsid w:val="28960944"/>
    <w:rsid w:val="289E43FD"/>
    <w:rsid w:val="28A67315"/>
    <w:rsid w:val="28AD3F31"/>
    <w:rsid w:val="28AE4A34"/>
    <w:rsid w:val="28AF5828"/>
    <w:rsid w:val="28AF7833"/>
    <w:rsid w:val="28B127F5"/>
    <w:rsid w:val="28BA4B87"/>
    <w:rsid w:val="28BF5E7F"/>
    <w:rsid w:val="28C72DDD"/>
    <w:rsid w:val="28CD15CD"/>
    <w:rsid w:val="28CF6740"/>
    <w:rsid w:val="28D41021"/>
    <w:rsid w:val="28D46747"/>
    <w:rsid w:val="28D55F25"/>
    <w:rsid w:val="28D7799E"/>
    <w:rsid w:val="28DB03C5"/>
    <w:rsid w:val="28DB18FD"/>
    <w:rsid w:val="28DD549E"/>
    <w:rsid w:val="28E25C14"/>
    <w:rsid w:val="28E32F5E"/>
    <w:rsid w:val="28EA2D93"/>
    <w:rsid w:val="28EC45F2"/>
    <w:rsid w:val="28F02EFE"/>
    <w:rsid w:val="28F17E3E"/>
    <w:rsid w:val="28F506AE"/>
    <w:rsid w:val="28F831CE"/>
    <w:rsid w:val="28FC3C64"/>
    <w:rsid w:val="28FF4D61"/>
    <w:rsid w:val="29024819"/>
    <w:rsid w:val="2902671B"/>
    <w:rsid w:val="290F208E"/>
    <w:rsid w:val="290F77CE"/>
    <w:rsid w:val="29103DA7"/>
    <w:rsid w:val="291277E2"/>
    <w:rsid w:val="29144590"/>
    <w:rsid w:val="291C2789"/>
    <w:rsid w:val="292116DA"/>
    <w:rsid w:val="29254D87"/>
    <w:rsid w:val="292B1120"/>
    <w:rsid w:val="292C2047"/>
    <w:rsid w:val="292D7719"/>
    <w:rsid w:val="29300096"/>
    <w:rsid w:val="29321722"/>
    <w:rsid w:val="29370396"/>
    <w:rsid w:val="29376198"/>
    <w:rsid w:val="29416439"/>
    <w:rsid w:val="294321AF"/>
    <w:rsid w:val="29447BA6"/>
    <w:rsid w:val="29450C21"/>
    <w:rsid w:val="2945103F"/>
    <w:rsid w:val="294C79F8"/>
    <w:rsid w:val="294D7F3B"/>
    <w:rsid w:val="29513AA3"/>
    <w:rsid w:val="29513E85"/>
    <w:rsid w:val="295238F6"/>
    <w:rsid w:val="295E26B3"/>
    <w:rsid w:val="29601ECA"/>
    <w:rsid w:val="29607648"/>
    <w:rsid w:val="29694B10"/>
    <w:rsid w:val="297168A5"/>
    <w:rsid w:val="297170FC"/>
    <w:rsid w:val="29797F24"/>
    <w:rsid w:val="297E3DA9"/>
    <w:rsid w:val="297E7214"/>
    <w:rsid w:val="297F08D9"/>
    <w:rsid w:val="298D600B"/>
    <w:rsid w:val="29946A38"/>
    <w:rsid w:val="29957813"/>
    <w:rsid w:val="299601E9"/>
    <w:rsid w:val="29A05404"/>
    <w:rsid w:val="29A1163A"/>
    <w:rsid w:val="29A206F3"/>
    <w:rsid w:val="29A74A82"/>
    <w:rsid w:val="29AF237A"/>
    <w:rsid w:val="29B11BC7"/>
    <w:rsid w:val="29B139F1"/>
    <w:rsid w:val="29B86A55"/>
    <w:rsid w:val="29BC227F"/>
    <w:rsid w:val="29BD73F6"/>
    <w:rsid w:val="29BE21E2"/>
    <w:rsid w:val="29C54E43"/>
    <w:rsid w:val="29D06360"/>
    <w:rsid w:val="29D41F11"/>
    <w:rsid w:val="29D435BA"/>
    <w:rsid w:val="29DA31CC"/>
    <w:rsid w:val="29DC2E0C"/>
    <w:rsid w:val="29DD515A"/>
    <w:rsid w:val="29E863A6"/>
    <w:rsid w:val="29EA1723"/>
    <w:rsid w:val="29EA41FF"/>
    <w:rsid w:val="29ED6C85"/>
    <w:rsid w:val="29F574D6"/>
    <w:rsid w:val="29F62C31"/>
    <w:rsid w:val="29F81ECC"/>
    <w:rsid w:val="29F83AE9"/>
    <w:rsid w:val="29F9212B"/>
    <w:rsid w:val="29FC05F8"/>
    <w:rsid w:val="29FC14DD"/>
    <w:rsid w:val="29FC1E22"/>
    <w:rsid w:val="29FD3522"/>
    <w:rsid w:val="2A000BBA"/>
    <w:rsid w:val="2A00129D"/>
    <w:rsid w:val="2A0139A5"/>
    <w:rsid w:val="2A053CE2"/>
    <w:rsid w:val="2A0848FE"/>
    <w:rsid w:val="2A0A399E"/>
    <w:rsid w:val="2A0B6155"/>
    <w:rsid w:val="2A0B7941"/>
    <w:rsid w:val="2A0C1190"/>
    <w:rsid w:val="2A1A1130"/>
    <w:rsid w:val="2A1E208D"/>
    <w:rsid w:val="2A1F117C"/>
    <w:rsid w:val="2A200944"/>
    <w:rsid w:val="2A2E7B13"/>
    <w:rsid w:val="2A2E7D51"/>
    <w:rsid w:val="2A314A74"/>
    <w:rsid w:val="2A342BA9"/>
    <w:rsid w:val="2A344D6E"/>
    <w:rsid w:val="2A362B72"/>
    <w:rsid w:val="2A383F9D"/>
    <w:rsid w:val="2A395F26"/>
    <w:rsid w:val="2A3F3D76"/>
    <w:rsid w:val="2A4071E1"/>
    <w:rsid w:val="2A42145E"/>
    <w:rsid w:val="2A4513FD"/>
    <w:rsid w:val="2A4C168E"/>
    <w:rsid w:val="2A4D10C0"/>
    <w:rsid w:val="2A54742F"/>
    <w:rsid w:val="2A590625"/>
    <w:rsid w:val="2A595771"/>
    <w:rsid w:val="2A5B0295"/>
    <w:rsid w:val="2A60103C"/>
    <w:rsid w:val="2A616605"/>
    <w:rsid w:val="2A616617"/>
    <w:rsid w:val="2A66736B"/>
    <w:rsid w:val="2A6724C6"/>
    <w:rsid w:val="2A6C79EA"/>
    <w:rsid w:val="2A7B2AC1"/>
    <w:rsid w:val="2A7D42CC"/>
    <w:rsid w:val="2A7F2BBD"/>
    <w:rsid w:val="2A7F3043"/>
    <w:rsid w:val="2A7F59C2"/>
    <w:rsid w:val="2A8048CA"/>
    <w:rsid w:val="2A8720F2"/>
    <w:rsid w:val="2A8D590F"/>
    <w:rsid w:val="2A904B8F"/>
    <w:rsid w:val="2A963131"/>
    <w:rsid w:val="2A9C4791"/>
    <w:rsid w:val="2A9C66FC"/>
    <w:rsid w:val="2AAD4A3F"/>
    <w:rsid w:val="2AAF5AC1"/>
    <w:rsid w:val="2AB163FD"/>
    <w:rsid w:val="2AB313D1"/>
    <w:rsid w:val="2AB9422C"/>
    <w:rsid w:val="2ABF6BEC"/>
    <w:rsid w:val="2AC06829"/>
    <w:rsid w:val="2AC0755D"/>
    <w:rsid w:val="2AC16FE3"/>
    <w:rsid w:val="2AC23E23"/>
    <w:rsid w:val="2AC5580A"/>
    <w:rsid w:val="2AC8349C"/>
    <w:rsid w:val="2AC92F5B"/>
    <w:rsid w:val="2ACA029C"/>
    <w:rsid w:val="2ACB0889"/>
    <w:rsid w:val="2ACC5E85"/>
    <w:rsid w:val="2AD435BE"/>
    <w:rsid w:val="2AD5133C"/>
    <w:rsid w:val="2AD62FB2"/>
    <w:rsid w:val="2AD87B9C"/>
    <w:rsid w:val="2ADC347F"/>
    <w:rsid w:val="2ADD6438"/>
    <w:rsid w:val="2AE060A5"/>
    <w:rsid w:val="2AE0654B"/>
    <w:rsid w:val="2AE0693B"/>
    <w:rsid w:val="2AE30B82"/>
    <w:rsid w:val="2AEB0D01"/>
    <w:rsid w:val="2AF105D8"/>
    <w:rsid w:val="2AFE0F41"/>
    <w:rsid w:val="2B087775"/>
    <w:rsid w:val="2B0F09A8"/>
    <w:rsid w:val="2B104A8F"/>
    <w:rsid w:val="2B1234AC"/>
    <w:rsid w:val="2B13064B"/>
    <w:rsid w:val="2B134D23"/>
    <w:rsid w:val="2B137F31"/>
    <w:rsid w:val="2B1763E8"/>
    <w:rsid w:val="2B234F45"/>
    <w:rsid w:val="2B2A061E"/>
    <w:rsid w:val="2B2C22CD"/>
    <w:rsid w:val="2B2E3203"/>
    <w:rsid w:val="2B3134B1"/>
    <w:rsid w:val="2B32167D"/>
    <w:rsid w:val="2B324997"/>
    <w:rsid w:val="2B355C71"/>
    <w:rsid w:val="2B375BD7"/>
    <w:rsid w:val="2B39163E"/>
    <w:rsid w:val="2B3C09AA"/>
    <w:rsid w:val="2B3D2848"/>
    <w:rsid w:val="2B3D6701"/>
    <w:rsid w:val="2B405D02"/>
    <w:rsid w:val="2B42022D"/>
    <w:rsid w:val="2B4C581C"/>
    <w:rsid w:val="2B4C657B"/>
    <w:rsid w:val="2B4C772D"/>
    <w:rsid w:val="2B4D620C"/>
    <w:rsid w:val="2B4E3E1D"/>
    <w:rsid w:val="2B50527A"/>
    <w:rsid w:val="2B586DE9"/>
    <w:rsid w:val="2B5E283B"/>
    <w:rsid w:val="2B5F46CA"/>
    <w:rsid w:val="2B6D1CD4"/>
    <w:rsid w:val="2B743D1D"/>
    <w:rsid w:val="2B7644F6"/>
    <w:rsid w:val="2B784B3B"/>
    <w:rsid w:val="2B7B1CE8"/>
    <w:rsid w:val="2B7E44F9"/>
    <w:rsid w:val="2B805DE4"/>
    <w:rsid w:val="2B826277"/>
    <w:rsid w:val="2B8320A3"/>
    <w:rsid w:val="2B846CB6"/>
    <w:rsid w:val="2B8C61BB"/>
    <w:rsid w:val="2B8F2464"/>
    <w:rsid w:val="2B9165DE"/>
    <w:rsid w:val="2B922AF1"/>
    <w:rsid w:val="2B944ACD"/>
    <w:rsid w:val="2B9A1C37"/>
    <w:rsid w:val="2BA9042A"/>
    <w:rsid w:val="2BAE70BF"/>
    <w:rsid w:val="2BB162C3"/>
    <w:rsid w:val="2BB403C9"/>
    <w:rsid w:val="2BB50451"/>
    <w:rsid w:val="2BB53C9D"/>
    <w:rsid w:val="2BB679E4"/>
    <w:rsid w:val="2BB767BB"/>
    <w:rsid w:val="2BB91BFB"/>
    <w:rsid w:val="2BBA6442"/>
    <w:rsid w:val="2BBB64FD"/>
    <w:rsid w:val="2BBF347F"/>
    <w:rsid w:val="2BC6654B"/>
    <w:rsid w:val="2BC70BD5"/>
    <w:rsid w:val="2BC9499F"/>
    <w:rsid w:val="2BC96AFA"/>
    <w:rsid w:val="2BCA0D13"/>
    <w:rsid w:val="2BCF7208"/>
    <w:rsid w:val="2BD26A12"/>
    <w:rsid w:val="2BD57AD1"/>
    <w:rsid w:val="2BE07659"/>
    <w:rsid w:val="2BE4464D"/>
    <w:rsid w:val="2BE52092"/>
    <w:rsid w:val="2BE548C0"/>
    <w:rsid w:val="2BEC2431"/>
    <w:rsid w:val="2BEF7798"/>
    <w:rsid w:val="2BF5150A"/>
    <w:rsid w:val="2BF52582"/>
    <w:rsid w:val="2BF576C5"/>
    <w:rsid w:val="2BF83124"/>
    <w:rsid w:val="2BF95501"/>
    <w:rsid w:val="2BFC059D"/>
    <w:rsid w:val="2BFF1161"/>
    <w:rsid w:val="2C0004BF"/>
    <w:rsid w:val="2C01276B"/>
    <w:rsid w:val="2C025CB0"/>
    <w:rsid w:val="2C0410BD"/>
    <w:rsid w:val="2C0C65BA"/>
    <w:rsid w:val="2C1A6D8C"/>
    <w:rsid w:val="2C1B4DF5"/>
    <w:rsid w:val="2C1F6DBF"/>
    <w:rsid w:val="2C206441"/>
    <w:rsid w:val="2C29790B"/>
    <w:rsid w:val="2C2C3F15"/>
    <w:rsid w:val="2C2C43DC"/>
    <w:rsid w:val="2C2E6CF3"/>
    <w:rsid w:val="2C306F8E"/>
    <w:rsid w:val="2C344030"/>
    <w:rsid w:val="2C3A71D3"/>
    <w:rsid w:val="2C3F5021"/>
    <w:rsid w:val="2C403EBF"/>
    <w:rsid w:val="2C414C55"/>
    <w:rsid w:val="2C42277B"/>
    <w:rsid w:val="2C48200F"/>
    <w:rsid w:val="2C4B5BE8"/>
    <w:rsid w:val="2C4C2B26"/>
    <w:rsid w:val="2C4D2AFE"/>
    <w:rsid w:val="2C4E1DF3"/>
    <w:rsid w:val="2C550383"/>
    <w:rsid w:val="2C591E3D"/>
    <w:rsid w:val="2C5C383D"/>
    <w:rsid w:val="2C5C3C34"/>
    <w:rsid w:val="2C646594"/>
    <w:rsid w:val="2C653DEC"/>
    <w:rsid w:val="2C66371A"/>
    <w:rsid w:val="2C6842E1"/>
    <w:rsid w:val="2C6927B8"/>
    <w:rsid w:val="2C6A5519"/>
    <w:rsid w:val="2C6C08EC"/>
    <w:rsid w:val="2C73390C"/>
    <w:rsid w:val="2C7605FC"/>
    <w:rsid w:val="2C783719"/>
    <w:rsid w:val="2C794EC8"/>
    <w:rsid w:val="2C854F81"/>
    <w:rsid w:val="2C85663E"/>
    <w:rsid w:val="2C866474"/>
    <w:rsid w:val="2C8803ED"/>
    <w:rsid w:val="2C8A1A4B"/>
    <w:rsid w:val="2C916BA7"/>
    <w:rsid w:val="2C946286"/>
    <w:rsid w:val="2C960A6A"/>
    <w:rsid w:val="2C981A8D"/>
    <w:rsid w:val="2C9A1E09"/>
    <w:rsid w:val="2CAE1803"/>
    <w:rsid w:val="2CAF1059"/>
    <w:rsid w:val="2CB06C01"/>
    <w:rsid w:val="2CB62571"/>
    <w:rsid w:val="2CB97B16"/>
    <w:rsid w:val="2CBA763A"/>
    <w:rsid w:val="2CBB3CE3"/>
    <w:rsid w:val="2CBC1841"/>
    <w:rsid w:val="2CBC252D"/>
    <w:rsid w:val="2CBD2FBE"/>
    <w:rsid w:val="2CC27C9B"/>
    <w:rsid w:val="2CC45559"/>
    <w:rsid w:val="2CC63EFE"/>
    <w:rsid w:val="2CCA3998"/>
    <w:rsid w:val="2CD9461D"/>
    <w:rsid w:val="2CD97193"/>
    <w:rsid w:val="2CDD5941"/>
    <w:rsid w:val="2CE030F6"/>
    <w:rsid w:val="2CED47FF"/>
    <w:rsid w:val="2CEE7FE9"/>
    <w:rsid w:val="2CF22610"/>
    <w:rsid w:val="2CF32C53"/>
    <w:rsid w:val="2CF5299D"/>
    <w:rsid w:val="2CF701D7"/>
    <w:rsid w:val="2CFC24AE"/>
    <w:rsid w:val="2CFE15C3"/>
    <w:rsid w:val="2CFE5D29"/>
    <w:rsid w:val="2D006CED"/>
    <w:rsid w:val="2D0547E8"/>
    <w:rsid w:val="2D0A685E"/>
    <w:rsid w:val="2D0A7D39"/>
    <w:rsid w:val="2D0E13A3"/>
    <w:rsid w:val="2D124A45"/>
    <w:rsid w:val="2D12686A"/>
    <w:rsid w:val="2D130B1D"/>
    <w:rsid w:val="2D1B17F9"/>
    <w:rsid w:val="2D2107F6"/>
    <w:rsid w:val="2D2A03B0"/>
    <w:rsid w:val="2D2D2866"/>
    <w:rsid w:val="2D2D2F6A"/>
    <w:rsid w:val="2D3712FB"/>
    <w:rsid w:val="2D406FBC"/>
    <w:rsid w:val="2D427678"/>
    <w:rsid w:val="2D453E76"/>
    <w:rsid w:val="2D4705AB"/>
    <w:rsid w:val="2D5A1AE0"/>
    <w:rsid w:val="2D5B03F9"/>
    <w:rsid w:val="2D5E0C36"/>
    <w:rsid w:val="2D5E6E96"/>
    <w:rsid w:val="2D6244A4"/>
    <w:rsid w:val="2D681703"/>
    <w:rsid w:val="2D682D77"/>
    <w:rsid w:val="2D774DD8"/>
    <w:rsid w:val="2D7A32D3"/>
    <w:rsid w:val="2D804718"/>
    <w:rsid w:val="2D837727"/>
    <w:rsid w:val="2D9143B8"/>
    <w:rsid w:val="2D921205"/>
    <w:rsid w:val="2D972488"/>
    <w:rsid w:val="2DA846A6"/>
    <w:rsid w:val="2DA848E3"/>
    <w:rsid w:val="2DB61CA3"/>
    <w:rsid w:val="2DBA19DD"/>
    <w:rsid w:val="2DBA5BB0"/>
    <w:rsid w:val="2DBB29BC"/>
    <w:rsid w:val="2DC12250"/>
    <w:rsid w:val="2DC129A8"/>
    <w:rsid w:val="2DC13BD5"/>
    <w:rsid w:val="2DC44491"/>
    <w:rsid w:val="2DC45811"/>
    <w:rsid w:val="2DC67A4A"/>
    <w:rsid w:val="2DCA2769"/>
    <w:rsid w:val="2DCA71A4"/>
    <w:rsid w:val="2DCB2EEB"/>
    <w:rsid w:val="2DCE59E2"/>
    <w:rsid w:val="2DD224CD"/>
    <w:rsid w:val="2DD5581D"/>
    <w:rsid w:val="2DE22CDE"/>
    <w:rsid w:val="2DE306E2"/>
    <w:rsid w:val="2DE33AEA"/>
    <w:rsid w:val="2DE7237C"/>
    <w:rsid w:val="2DEC7B25"/>
    <w:rsid w:val="2DED6635"/>
    <w:rsid w:val="2DEE4499"/>
    <w:rsid w:val="2DF3327C"/>
    <w:rsid w:val="2DF33D2D"/>
    <w:rsid w:val="2DF5796E"/>
    <w:rsid w:val="2DF618D9"/>
    <w:rsid w:val="2DFC0C9B"/>
    <w:rsid w:val="2E05557A"/>
    <w:rsid w:val="2E0A2BD1"/>
    <w:rsid w:val="2E0E33F9"/>
    <w:rsid w:val="2E110657"/>
    <w:rsid w:val="2E121BEB"/>
    <w:rsid w:val="2E1906B9"/>
    <w:rsid w:val="2E1F2D74"/>
    <w:rsid w:val="2E1F62BE"/>
    <w:rsid w:val="2E202325"/>
    <w:rsid w:val="2E246ACB"/>
    <w:rsid w:val="2E2B2332"/>
    <w:rsid w:val="2E2B2415"/>
    <w:rsid w:val="2E2C45A1"/>
    <w:rsid w:val="2E2E4BCE"/>
    <w:rsid w:val="2E2F26EB"/>
    <w:rsid w:val="2E304F81"/>
    <w:rsid w:val="2E3C1730"/>
    <w:rsid w:val="2E3E0195"/>
    <w:rsid w:val="2E4272A0"/>
    <w:rsid w:val="2E4308E9"/>
    <w:rsid w:val="2E474078"/>
    <w:rsid w:val="2E4C3696"/>
    <w:rsid w:val="2E4F2822"/>
    <w:rsid w:val="2E4F72DE"/>
    <w:rsid w:val="2E614F15"/>
    <w:rsid w:val="2E61525F"/>
    <w:rsid w:val="2E622441"/>
    <w:rsid w:val="2E6A04FD"/>
    <w:rsid w:val="2E6C6A33"/>
    <w:rsid w:val="2E6D4110"/>
    <w:rsid w:val="2E7013E0"/>
    <w:rsid w:val="2E717347"/>
    <w:rsid w:val="2E731311"/>
    <w:rsid w:val="2E753222"/>
    <w:rsid w:val="2E7807D0"/>
    <w:rsid w:val="2E790D85"/>
    <w:rsid w:val="2E7A7CB1"/>
    <w:rsid w:val="2E7C6418"/>
    <w:rsid w:val="2E7F5D86"/>
    <w:rsid w:val="2E823302"/>
    <w:rsid w:val="2E834979"/>
    <w:rsid w:val="2E862F6C"/>
    <w:rsid w:val="2E8F0D4A"/>
    <w:rsid w:val="2E9066AF"/>
    <w:rsid w:val="2E9266F5"/>
    <w:rsid w:val="2E931830"/>
    <w:rsid w:val="2EA116DD"/>
    <w:rsid w:val="2EA37237"/>
    <w:rsid w:val="2EA579A7"/>
    <w:rsid w:val="2EA63E7E"/>
    <w:rsid w:val="2EA84BF2"/>
    <w:rsid w:val="2EAA1AD0"/>
    <w:rsid w:val="2EAC5C40"/>
    <w:rsid w:val="2EAD1DB6"/>
    <w:rsid w:val="2EAD6D0E"/>
    <w:rsid w:val="2EAF11B1"/>
    <w:rsid w:val="2EB011EC"/>
    <w:rsid w:val="2EB05842"/>
    <w:rsid w:val="2EB06918"/>
    <w:rsid w:val="2EB66431"/>
    <w:rsid w:val="2EB735A9"/>
    <w:rsid w:val="2EBC01BA"/>
    <w:rsid w:val="2EC12C4A"/>
    <w:rsid w:val="2EC41B6D"/>
    <w:rsid w:val="2EC44DB8"/>
    <w:rsid w:val="2EC4573A"/>
    <w:rsid w:val="2ECC0F67"/>
    <w:rsid w:val="2ECC1DE7"/>
    <w:rsid w:val="2ECF195C"/>
    <w:rsid w:val="2ECF780E"/>
    <w:rsid w:val="2ED44507"/>
    <w:rsid w:val="2ED52CD1"/>
    <w:rsid w:val="2ED71D78"/>
    <w:rsid w:val="2ED776D7"/>
    <w:rsid w:val="2EDA7062"/>
    <w:rsid w:val="2EDA7AB5"/>
    <w:rsid w:val="2EDC75F6"/>
    <w:rsid w:val="2EDD0C91"/>
    <w:rsid w:val="2EDF0755"/>
    <w:rsid w:val="2EE34D2E"/>
    <w:rsid w:val="2EE736D3"/>
    <w:rsid w:val="2EF56E81"/>
    <w:rsid w:val="2F060F54"/>
    <w:rsid w:val="2F064CB7"/>
    <w:rsid w:val="2F112DE3"/>
    <w:rsid w:val="2F19365C"/>
    <w:rsid w:val="2F1E002F"/>
    <w:rsid w:val="2F21419F"/>
    <w:rsid w:val="2F245E39"/>
    <w:rsid w:val="2F2D02A8"/>
    <w:rsid w:val="2F306727"/>
    <w:rsid w:val="2F3522EA"/>
    <w:rsid w:val="2F352B97"/>
    <w:rsid w:val="2F3553CF"/>
    <w:rsid w:val="2F357A11"/>
    <w:rsid w:val="2F3959CF"/>
    <w:rsid w:val="2F3A7384"/>
    <w:rsid w:val="2F3D600A"/>
    <w:rsid w:val="2F432A92"/>
    <w:rsid w:val="2F474FAC"/>
    <w:rsid w:val="2F4C25F7"/>
    <w:rsid w:val="2F4F7689"/>
    <w:rsid w:val="2F50322F"/>
    <w:rsid w:val="2F507D5A"/>
    <w:rsid w:val="2F530222"/>
    <w:rsid w:val="2F627C7A"/>
    <w:rsid w:val="2F654138"/>
    <w:rsid w:val="2F663C5F"/>
    <w:rsid w:val="2F6960F9"/>
    <w:rsid w:val="2F6A4434"/>
    <w:rsid w:val="2F6C7AAB"/>
    <w:rsid w:val="2F6D5B97"/>
    <w:rsid w:val="2F7E2F02"/>
    <w:rsid w:val="2F7E41CB"/>
    <w:rsid w:val="2F7F3DCA"/>
    <w:rsid w:val="2F8350AD"/>
    <w:rsid w:val="2F8D77EE"/>
    <w:rsid w:val="2F912F27"/>
    <w:rsid w:val="2F945431"/>
    <w:rsid w:val="2F961524"/>
    <w:rsid w:val="2F9952B7"/>
    <w:rsid w:val="2F9C7047"/>
    <w:rsid w:val="2FA0432F"/>
    <w:rsid w:val="2FA04A32"/>
    <w:rsid w:val="2FA0612E"/>
    <w:rsid w:val="2FA20284"/>
    <w:rsid w:val="2FA272F3"/>
    <w:rsid w:val="2FA64336"/>
    <w:rsid w:val="2FA7314F"/>
    <w:rsid w:val="2FA843B8"/>
    <w:rsid w:val="2FAF269D"/>
    <w:rsid w:val="2FB06DDD"/>
    <w:rsid w:val="2FB26711"/>
    <w:rsid w:val="2FB4369C"/>
    <w:rsid w:val="2FBD41EE"/>
    <w:rsid w:val="2FC321C8"/>
    <w:rsid w:val="2FC551CE"/>
    <w:rsid w:val="2FC72737"/>
    <w:rsid w:val="2FCF4E74"/>
    <w:rsid w:val="2FD40D92"/>
    <w:rsid w:val="2FD516FD"/>
    <w:rsid w:val="2FD7201C"/>
    <w:rsid w:val="2FD76D31"/>
    <w:rsid w:val="2FDF0D0E"/>
    <w:rsid w:val="2FEA0D17"/>
    <w:rsid w:val="2FEB1E9F"/>
    <w:rsid w:val="2FED16E7"/>
    <w:rsid w:val="2FF63FA8"/>
    <w:rsid w:val="2FFD5E22"/>
    <w:rsid w:val="30001D5C"/>
    <w:rsid w:val="30002C53"/>
    <w:rsid w:val="300A1030"/>
    <w:rsid w:val="300B2D4B"/>
    <w:rsid w:val="300F5D24"/>
    <w:rsid w:val="301272EB"/>
    <w:rsid w:val="30175BF1"/>
    <w:rsid w:val="301A3A70"/>
    <w:rsid w:val="30215A7A"/>
    <w:rsid w:val="30216188"/>
    <w:rsid w:val="30284E78"/>
    <w:rsid w:val="302C657B"/>
    <w:rsid w:val="30342B5B"/>
    <w:rsid w:val="30361585"/>
    <w:rsid w:val="303A3EBD"/>
    <w:rsid w:val="30416EF2"/>
    <w:rsid w:val="30455BCF"/>
    <w:rsid w:val="3046743E"/>
    <w:rsid w:val="3052332D"/>
    <w:rsid w:val="30556E1D"/>
    <w:rsid w:val="30571CBB"/>
    <w:rsid w:val="30594938"/>
    <w:rsid w:val="305A6FA0"/>
    <w:rsid w:val="305B06A5"/>
    <w:rsid w:val="305C310E"/>
    <w:rsid w:val="305D064C"/>
    <w:rsid w:val="305E1109"/>
    <w:rsid w:val="305F0FBB"/>
    <w:rsid w:val="30633349"/>
    <w:rsid w:val="306E570C"/>
    <w:rsid w:val="30766A39"/>
    <w:rsid w:val="30780926"/>
    <w:rsid w:val="30787681"/>
    <w:rsid w:val="307910F0"/>
    <w:rsid w:val="307D31D1"/>
    <w:rsid w:val="307E162C"/>
    <w:rsid w:val="30860ED9"/>
    <w:rsid w:val="308649BA"/>
    <w:rsid w:val="30872156"/>
    <w:rsid w:val="308E2433"/>
    <w:rsid w:val="30912CCB"/>
    <w:rsid w:val="30942A4F"/>
    <w:rsid w:val="309E1D99"/>
    <w:rsid w:val="30A01D57"/>
    <w:rsid w:val="30A315D0"/>
    <w:rsid w:val="30A561BB"/>
    <w:rsid w:val="30A65DBB"/>
    <w:rsid w:val="30A8761B"/>
    <w:rsid w:val="30B241F8"/>
    <w:rsid w:val="30B90C14"/>
    <w:rsid w:val="30B945E2"/>
    <w:rsid w:val="30B95992"/>
    <w:rsid w:val="30C06B0F"/>
    <w:rsid w:val="30C36555"/>
    <w:rsid w:val="30CA44F3"/>
    <w:rsid w:val="30CB18BF"/>
    <w:rsid w:val="30D243A9"/>
    <w:rsid w:val="30D2750F"/>
    <w:rsid w:val="30D86510"/>
    <w:rsid w:val="30DC6ACD"/>
    <w:rsid w:val="30E3277E"/>
    <w:rsid w:val="30EA3852"/>
    <w:rsid w:val="30EE1123"/>
    <w:rsid w:val="30F024AC"/>
    <w:rsid w:val="30F34B4A"/>
    <w:rsid w:val="30FD68B4"/>
    <w:rsid w:val="310024F8"/>
    <w:rsid w:val="31010BE8"/>
    <w:rsid w:val="31012E47"/>
    <w:rsid w:val="31020853"/>
    <w:rsid w:val="31030908"/>
    <w:rsid w:val="31035BE8"/>
    <w:rsid w:val="310B6E84"/>
    <w:rsid w:val="310E6772"/>
    <w:rsid w:val="3113711D"/>
    <w:rsid w:val="31142A7E"/>
    <w:rsid w:val="311F5D56"/>
    <w:rsid w:val="31240BBF"/>
    <w:rsid w:val="312671FB"/>
    <w:rsid w:val="312B4316"/>
    <w:rsid w:val="312E5E5E"/>
    <w:rsid w:val="3132091B"/>
    <w:rsid w:val="31343A62"/>
    <w:rsid w:val="313D7139"/>
    <w:rsid w:val="31441466"/>
    <w:rsid w:val="31471E27"/>
    <w:rsid w:val="31474F7B"/>
    <w:rsid w:val="314C3890"/>
    <w:rsid w:val="314E34B0"/>
    <w:rsid w:val="31527C34"/>
    <w:rsid w:val="315531D8"/>
    <w:rsid w:val="315C6FBD"/>
    <w:rsid w:val="31600F98"/>
    <w:rsid w:val="316437CC"/>
    <w:rsid w:val="31695025"/>
    <w:rsid w:val="31704E1E"/>
    <w:rsid w:val="31707887"/>
    <w:rsid w:val="31744352"/>
    <w:rsid w:val="31745184"/>
    <w:rsid w:val="31764937"/>
    <w:rsid w:val="31790BBB"/>
    <w:rsid w:val="317A128C"/>
    <w:rsid w:val="317A522F"/>
    <w:rsid w:val="317B5D12"/>
    <w:rsid w:val="317D4431"/>
    <w:rsid w:val="317E521F"/>
    <w:rsid w:val="31817666"/>
    <w:rsid w:val="318219F4"/>
    <w:rsid w:val="31880E06"/>
    <w:rsid w:val="318A4076"/>
    <w:rsid w:val="318E29B1"/>
    <w:rsid w:val="319A6BE5"/>
    <w:rsid w:val="319C5890"/>
    <w:rsid w:val="31A30217"/>
    <w:rsid w:val="31A978C9"/>
    <w:rsid w:val="31AA329C"/>
    <w:rsid w:val="31B26DE1"/>
    <w:rsid w:val="31B325FE"/>
    <w:rsid w:val="31BB5152"/>
    <w:rsid w:val="31D3034A"/>
    <w:rsid w:val="31DB1C29"/>
    <w:rsid w:val="31E05A94"/>
    <w:rsid w:val="31E33A48"/>
    <w:rsid w:val="31E36D07"/>
    <w:rsid w:val="31E60CFE"/>
    <w:rsid w:val="31E94013"/>
    <w:rsid w:val="31EC0213"/>
    <w:rsid w:val="31EF0CAF"/>
    <w:rsid w:val="31F26A84"/>
    <w:rsid w:val="31F40EBF"/>
    <w:rsid w:val="31FA7AE4"/>
    <w:rsid w:val="31FC2134"/>
    <w:rsid w:val="31FC3BA3"/>
    <w:rsid w:val="31FF6C94"/>
    <w:rsid w:val="32037175"/>
    <w:rsid w:val="32052280"/>
    <w:rsid w:val="32076F09"/>
    <w:rsid w:val="32121990"/>
    <w:rsid w:val="32147E64"/>
    <w:rsid w:val="321605D6"/>
    <w:rsid w:val="32183C32"/>
    <w:rsid w:val="321D3A6E"/>
    <w:rsid w:val="321E1CCD"/>
    <w:rsid w:val="32202BAC"/>
    <w:rsid w:val="32204D8F"/>
    <w:rsid w:val="32225204"/>
    <w:rsid w:val="32285D0E"/>
    <w:rsid w:val="32295F0C"/>
    <w:rsid w:val="322F2FA1"/>
    <w:rsid w:val="32327C9B"/>
    <w:rsid w:val="323A11BD"/>
    <w:rsid w:val="324004E7"/>
    <w:rsid w:val="32400D63"/>
    <w:rsid w:val="32421A3F"/>
    <w:rsid w:val="32432DA9"/>
    <w:rsid w:val="324426FE"/>
    <w:rsid w:val="32466B7A"/>
    <w:rsid w:val="3248365E"/>
    <w:rsid w:val="3250495D"/>
    <w:rsid w:val="32533B90"/>
    <w:rsid w:val="3256794D"/>
    <w:rsid w:val="325B5F46"/>
    <w:rsid w:val="325C7836"/>
    <w:rsid w:val="325E3612"/>
    <w:rsid w:val="32655C58"/>
    <w:rsid w:val="326C5061"/>
    <w:rsid w:val="32716F47"/>
    <w:rsid w:val="32753EDC"/>
    <w:rsid w:val="32770832"/>
    <w:rsid w:val="3279604F"/>
    <w:rsid w:val="327A5AA2"/>
    <w:rsid w:val="327C01FF"/>
    <w:rsid w:val="327F7C3D"/>
    <w:rsid w:val="32815CDC"/>
    <w:rsid w:val="32821B23"/>
    <w:rsid w:val="3282514D"/>
    <w:rsid w:val="32834A74"/>
    <w:rsid w:val="32855C56"/>
    <w:rsid w:val="32865F72"/>
    <w:rsid w:val="32887673"/>
    <w:rsid w:val="328C0346"/>
    <w:rsid w:val="32933F11"/>
    <w:rsid w:val="32956254"/>
    <w:rsid w:val="32A010A6"/>
    <w:rsid w:val="32B10D88"/>
    <w:rsid w:val="32B36C43"/>
    <w:rsid w:val="32C64066"/>
    <w:rsid w:val="32C74D51"/>
    <w:rsid w:val="32CC32F2"/>
    <w:rsid w:val="32CF1F8C"/>
    <w:rsid w:val="32D27BEE"/>
    <w:rsid w:val="32D435DB"/>
    <w:rsid w:val="32D524DF"/>
    <w:rsid w:val="32D54349"/>
    <w:rsid w:val="32DA677B"/>
    <w:rsid w:val="32DC5C2D"/>
    <w:rsid w:val="32DD4096"/>
    <w:rsid w:val="32DE0A7B"/>
    <w:rsid w:val="32E21F5C"/>
    <w:rsid w:val="32E359C5"/>
    <w:rsid w:val="32E74859"/>
    <w:rsid w:val="32EB719E"/>
    <w:rsid w:val="32EE2A7C"/>
    <w:rsid w:val="32F43194"/>
    <w:rsid w:val="32F5755F"/>
    <w:rsid w:val="32F77477"/>
    <w:rsid w:val="32FB60B0"/>
    <w:rsid w:val="33035BC0"/>
    <w:rsid w:val="33062612"/>
    <w:rsid w:val="33066B2A"/>
    <w:rsid w:val="330812C9"/>
    <w:rsid w:val="33094E95"/>
    <w:rsid w:val="330E1026"/>
    <w:rsid w:val="331002B4"/>
    <w:rsid w:val="33111DAD"/>
    <w:rsid w:val="3312325A"/>
    <w:rsid w:val="33164CA2"/>
    <w:rsid w:val="33194BD6"/>
    <w:rsid w:val="331A6E06"/>
    <w:rsid w:val="33227F58"/>
    <w:rsid w:val="332B669E"/>
    <w:rsid w:val="332D0955"/>
    <w:rsid w:val="332D4F12"/>
    <w:rsid w:val="332F4DDC"/>
    <w:rsid w:val="333301AB"/>
    <w:rsid w:val="333505FF"/>
    <w:rsid w:val="333726AC"/>
    <w:rsid w:val="333B1BA2"/>
    <w:rsid w:val="334005F0"/>
    <w:rsid w:val="334212B2"/>
    <w:rsid w:val="33452A69"/>
    <w:rsid w:val="33461A5A"/>
    <w:rsid w:val="33470D22"/>
    <w:rsid w:val="334B644A"/>
    <w:rsid w:val="334D49B5"/>
    <w:rsid w:val="33504770"/>
    <w:rsid w:val="33555462"/>
    <w:rsid w:val="33617365"/>
    <w:rsid w:val="3368161C"/>
    <w:rsid w:val="336863FE"/>
    <w:rsid w:val="336925B2"/>
    <w:rsid w:val="33762148"/>
    <w:rsid w:val="33770143"/>
    <w:rsid w:val="337952C7"/>
    <w:rsid w:val="33845782"/>
    <w:rsid w:val="3387208E"/>
    <w:rsid w:val="338F73C7"/>
    <w:rsid w:val="339104D3"/>
    <w:rsid w:val="3393684C"/>
    <w:rsid w:val="339779CA"/>
    <w:rsid w:val="339B3801"/>
    <w:rsid w:val="339B750D"/>
    <w:rsid w:val="33A053BF"/>
    <w:rsid w:val="33A97DE2"/>
    <w:rsid w:val="33B15681"/>
    <w:rsid w:val="33BC3413"/>
    <w:rsid w:val="33BE2D7C"/>
    <w:rsid w:val="33BE52C1"/>
    <w:rsid w:val="33BF0645"/>
    <w:rsid w:val="33C87A3B"/>
    <w:rsid w:val="33CC425A"/>
    <w:rsid w:val="33CF6D87"/>
    <w:rsid w:val="33D1362B"/>
    <w:rsid w:val="33D254E6"/>
    <w:rsid w:val="33D44600"/>
    <w:rsid w:val="33D8164E"/>
    <w:rsid w:val="33DC3DB3"/>
    <w:rsid w:val="33DE3DF9"/>
    <w:rsid w:val="33DF56D3"/>
    <w:rsid w:val="33E27654"/>
    <w:rsid w:val="33E349B8"/>
    <w:rsid w:val="33E669DE"/>
    <w:rsid w:val="33E72FCB"/>
    <w:rsid w:val="33ED187C"/>
    <w:rsid w:val="33EE7C53"/>
    <w:rsid w:val="33EF1DED"/>
    <w:rsid w:val="33F11657"/>
    <w:rsid w:val="33F21165"/>
    <w:rsid w:val="33F437B7"/>
    <w:rsid w:val="33F85FC9"/>
    <w:rsid w:val="33FF49A2"/>
    <w:rsid w:val="34014087"/>
    <w:rsid w:val="34032A4E"/>
    <w:rsid w:val="34084A2A"/>
    <w:rsid w:val="340C308D"/>
    <w:rsid w:val="340C4AC9"/>
    <w:rsid w:val="341262AE"/>
    <w:rsid w:val="341F1A30"/>
    <w:rsid w:val="342000D8"/>
    <w:rsid w:val="3422506D"/>
    <w:rsid w:val="342303BC"/>
    <w:rsid w:val="34267AEA"/>
    <w:rsid w:val="34271DC6"/>
    <w:rsid w:val="342C2C63"/>
    <w:rsid w:val="342E6630"/>
    <w:rsid w:val="34300EB3"/>
    <w:rsid w:val="343334AC"/>
    <w:rsid w:val="343879D0"/>
    <w:rsid w:val="343E1A7A"/>
    <w:rsid w:val="344100A2"/>
    <w:rsid w:val="344430B3"/>
    <w:rsid w:val="344A2B14"/>
    <w:rsid w:val="344C0A63"/>
    <w:rsid w:val="34530E14"/>
    <w:rsid w:val="34562C09"/>
    <w:rsid w:val="345A1477"/>
    <w:rsid w:val="345A6FE9"/>
    <w:rsid w:val="345F47B3"/>
    <w:rsid w:val="34612406"/>
    <w:rsid w:val="346364AD"/>
    <w:rsid w:val="346E73FC"/>
    <w:rsid w:val="34723D7E"/>
    <w:rsid w:val="347316A2"/>
    <w:rsid w:val="347623B1"/>
    <w:rsid w:val="34795AAE"/>
    <w:rsid w:val="34797713"/>
    <w:rsid w:val="347D4E83"/>
    <w:rsid w:val="347E3A71"/>
    <w:rsid w:val="34802B3D"/>
    <w:rsid w:val="348034F9"/>
    <w:rsid w:val="34835152"/>
    <w:rsid w:val="3488764F"/>
    <w:rsid w:val="348D5D07"/>
    <w:rsid w:val="34953A04"/>
    <w:rsid w:val="34982DFD"/>
    <w:rsid w:val="349F098E"/>
    <w:rsid w:val="34A0749C"/>
    <w:rsid w:val="34A15869"/>
    <w:rsid w:val="34A361A8"/>
    <w:rsid w:val="34A55132"/>
    <w:rsid w:val="34A92DFF"/>
    <w:rsid w:val="34AF3832"/>
    <w:rsid w:val="34B17CAA"/>
    <w:rsid w:val="34B302A6"/>
    <w:rsid w:val="34B42C11"/>
    <w:rsid w:val="34B53146"/>
    <w:rsid w:val="34B66B76"/>
    <w:rsid w:val="34BA6D44"/>
    <w:rsid w:val="34C83C8C"/>
    <w:rsid w:val="34CA51DA"/>
    <w:rsid w:val="34CC7195"/>
    <w:rsid w:val="34D10023"/>
    <w:rsid w:val="34D17786"/>
    <w:rsid w:val="34D47BD7"/>
    <w:rsid w:val="34DD7020"/>
    <w:rsid w:val="34DE5B29"/>
    <w:rsid w:val="34DE7331"/>
    <w:rsid w:val="34E02B31"/>
    <w:rsid w:val="34E048E7"/>
    <w:rsid w:val="34E24FDF"/>
    <w:rsid w:val="34E30CD9"/>
    <w:rsid w:val="34E31F70"/>
    <w:rsid w:val="34E33DD5"/>
    <w:rsid w:val="34E341B2"/>
    <w:rsid w:val="34E41735"/>
    <w:rsid w:val="34EE2084"/>
    <w:rsid w:val="34F91BB5"/>
    <w:rsid w:val="34F9347B"/>
    <w:rsid w:val="34FB1C67"/>
    <w:rsid w:val="34FD1993"/>
    <w:rsid w:val="35005E9A"/>
    <w:rsid w:val="35012268"/>
    <w:rsid w:val="35016DC1"/>
    <w:rsid w:val="3507729A"/>
    <w:rsid w:val="3509169E"/>
    <w:rsid w:val="350E6053"/>
    <w:rsid w:val="35157C46"/>
    <w:rsid w:val="35192B91"/>
    <w:rsid w:val="351B287B"/>
    <w:rsid w:val="352425C2"/>
    <w:rsid w:val="3524430A"/>
    <w:rsid w:val="352B0014"/>
    <w:rsid w:val="352D2404"/>
    <w:rsid w:val="352E5F92"/>
    <w:rsid w:val="352F215C"/>
    <w:rsid w:val="352F2524"/>
    <w:rsid w:val="352F71D6"/>
    <w:rsid w:val="35341AA9"/>
    <w:rsid w:val="3538296D"/>
    <w:rsid w:val="353A7A0E"/>
    <w:rsid w:val="353B0EF6"/>
    <w:rsid w:val="353F0A1C"/>
    <w:rsid w:val="355030F7"/>
    <w:rsid w:val="355E3681"/>
    <w:rsid w:val="35663900"/>
    <w:rsid w:val="35686634"/>
    <w:rsid w:val="35694C0F"/>
    <w:rsid w:val="356A237E"/>
    <w:rsid w:val="356C2617"/>
    <w:rsid w:val="357030FD"/>
    <w:rsid w:val="35715820"/>
    <w:rsid w:val="357423CB"/>
    <w:rsid w:val="357F5C75"/>
    <w:rsid w:val="358022F1"/>
    <w:rsid w:val="35802679"/>
    <w:rsid w:val="35831E3A"/>
    <w:rsid w:val="358435B1"/>
    <w:rsid w:val="35885C28"/>
    <w:rsid w:val="358C4B06"/>
    <w:rsid w:val="358D2DD5"/>
    <w:rsid w:val="3591146B"/>
    <w:rsid w:val="35924104"/>
    <w:rsid w:val="35A52435"/>
    <w:rsid w:val="35A65B28"/>
    <w:rsid w:val="35A86C1B"/>
    <w:rsid w:val="35A953BD"/>
    <w:rsid w:val="35B1114E"/>
    <w:rsid w:val="35B9690A"/>
    <w:rsid w:val="35C16F5A"/>
    <w:rsid w:val="35C60063"/>
    <w:rsid w:val="35CE3891"/>
    <w:rsid w:val="35D06592"/>
    <w:rsid w:val="35D4059F"/>
    <w:rsid w:val="35D43053"/>
    <w:rsid w:val="35D65BFB"/>
    <w:rsid w:val="35D80A79"/>
    <w:rsid w:val="35DA5367"/>
    <w:rsid w:val="35DB0C4D"/>
    <w:rsid w:val="35DB3448"/>
    <w:rsid w:val="35EA3592"/>
    <w:rsid w:val="35EF1ACE"/>
    <w:rsid w:val="35F61672"/>
    <w:rsid w:val="35FA67E7"/>
    <w:rsid w:val="35FB3C7A"/>
    <w:rsid w:val="35FC68AF"/>
    <w:rsid w:val="3603184A"/>
    <w:rsid w:val="360337E6"/>
    <w:rsid w:val="36035715"/>
    <w:rsid w:val="360B0C81"/>
    <w:rsid w:val="360C0353"/>
    <w:rsid w:val="360E0DAB"/>
    <w:rsid w:val="361071E4"/>
    <w:rsid w:val="36146F36"/>
    <w:rsid w:val="36176A1A"/>
    <w:rsid w:val="3619666E"/>
    <w:rsid w:val="361B0FFB"/>
    <w:rsid w:val="361D1595"/>
    <w:rsid w:val="361E3272"/>
    <w:rsid w:val="3621762D"/>
    <w:rsid w:val="36276CA7"/>
    <w:rsid w:val="3628404A"/>
    <w:rsid w:val="36295C84"/>
    <w:rsid w:val="362A409A"/>
    <w:rsid w:val="362C4441"/>
    <w:rsid w:val="362E13CA"/>
    <w:rsid w:val="363449BC"/>
    <w:rsid w:val="36375CD5"/>
    <w:rsid w:val="36383DCF"/>
    <w:rsid w:val="36395F34"/>
    <w:rsid w:val="363C4EA0"/>
    <w:rsid w:val="363D6A73"/>
    <w:rsid w:val="36402D8B"/>
    <w:rsid w:val="3641368B"/>
    <w:rsid w:val="3642681F"/>
    <w:rsid w:val="3643134A"/>
    <w:rsid w:val="36461547"/>
    <w:rsid w:val="364843D5"/>
    <w:rsid w:val="3652617C"/>
    <w:rsid w:val="36541A28"/>
    <w:rsid w:val="36546567"/>
    <w:rsid w:val="36574AFE"/>
    <w:rsid w:val="36591ABD"/>
    <w:rsid w:val="36641AD2"/>
    <w:rsid w:val="36646F76"/>
    <w:rsid w:val="366570F7"/>
    <w:rsid w:val="3666261F"/>
    <w:rsid w:val="36666547"/>
    <w:rsid w:val="366A0349"/>
    <w:rsid w:val="366E3295"/>
    <w:rsid w:val="3675224A"/>
    <w:rsid w:val="36756DF9"/>
    <w:rsid w:val="367A38B8"/>
    <w:rsid w:val="367B0FF4"/>
    <w:rsid w:val="36821710"/>
    <w:rsid w:val="3691091E"/>
    <w:rsid w:val="36936857"/>
    <w:rsid w:val="36982A42"/>
    <w:rsid w:val="369A308D"/>
    <w:rsid w:val="369F25E5"/>
    <w:rsid w:val="36A77E02"/>
    <w:rsid w:val="36AB024A"/>
    <w:rsid w:val="36AE40E6"/>
    <w:rsid w:val="36AF78C9"/>
    <w:rsid w:val="36B121AB"/>
    <w:rsid w:val="36B14D27"/>
    <w:rsid w:val="36B22808"/>
    <w:rsid w:val="36B31E3D"/>
    <w:rsid w:val="36B52D7C"/>
    <w:rsid w:val="36C53040"/>
    <w:rsid w:val="36C565F7"/>
    <w:rsid w:val="36CA0E23"/>
    <w:rsid w:val="36CF0743"/>
    <w:rsid w:val="36D3294D"/>
    <w:rsid w:val="36D44917"/>
    <w:rsid w:val="36DC5C06"/>
    <w:rsid w:val="36DE3181"/>
    <w:rsid w:val="36E11F07"/>
    <w:rsid w:val="36E46E85"/>
    <w:rsid w:val="36E52680"/>
    <w:rsid w:val="36E85F1D"/>
    <w:rsid w:val="36F17277"/>
    <w:rsid w:val="36F27CC4"/>
    <w:rsid w:val="36FA64BE"/>
    <w:rsid w:val="36FF4C08"/>
    <w:rsid w:val="37045A7D"/>
    <w:rsid w:val="37096587"/>
    <w:rsid w:val="370A6345"/>
    <w:rsid w:val="370F6DFA"/>
    <w:rsid w:val="371042D3"/>
    <w:rsid w:val="37135516"/>
    <w:rsid w:val="3713567C"/>
    <w:rsid w:val="37190A9F"/>
    <w:rsid w:val="371C50BE"/>
    <w:rsid w:val="371C513B"/>
    <w:rsid w:val="371F6089"/>
    <w:rsid w:val="37240372"/>
    <w:rsid w:val="37290B8B"/>
    <w:rsid w:val="372E1FA7"/>
    <w:rsid w:val="372E4027"/>
    <w:rsid w:val="37312C93"/>
    <w:rsid w:val="37340428"/>
    <w:rsid w:val="37372016"/>
    <w:rsid w:val="373A783C"/>
    <w:rsid w:val="373C5949"/>
    <w:rsid w:val="37401CA1"/>
    <w:rsid w:val="37470BC4"/>
    <w:rsid w:val="37476E97"/>
    <w:rsid w:val="37530E08"/>
    <w:rsid w:val="3754662E"/>
    <w:rsid w:val="37547F55"/>
    <w:rsid w:val="375C0B95"/>
    <w:rsid w:val="375F0685"/>
    <w:rsid w:val="375F55B3"/>
    <w:rsid w:val="376113B4"/>
    <w:rsid w:val="37620748"/>
    <w:rsid w:val="376904C3"/>
    <w:rsid w:val="37690531"/>
    <w:rsid w:val="376D2DD9"/>
    <w:rsid w:val="376F157B"/>
    <w:rsid w:val="3773597D"/>
    <w:rsid w:val="3776166A"/>
    <w:rsid w:val="37766721"/>
    <w:rsid w:val="37772F2B"/>
    <w:rsid w:val="37781747"/>
    <w:rsid w:val="377A149C"/>
    <w:rsid w:val="377B30BA"/>
    <w:rsid w:val="377F0D0E"/>
    <w:rsid w:val="37817445"/>
    <w:rsid w:val="378833B5"/>
    <w:rsid w:val="378A672E"/>
    <w:rsid w:val="378E4AC6"/>
    <w:rsid w:val="378F6C2A"/>
    <w:rsid w:val="3793472C"/>
    <w:rsid w:val="379D211A"/>
    <w:rsid w:val="379E09C2"/>
    <w:rsid w:val="379E10B9"/>
    <w:rsid w:val="379F0BBA"/>
    <w:rsid w:val="37A34B09"/>
    <w:rsid w:val="37A4253C"/>
    <w:rsid w:val="37A752F6"/>
    <w:rsid w:val="37AA27A7"/>
    <w:rsid w:val="37AB4059"/>
    <w:rsid w:val="37AC2532"/>
    <w:rsid w:val="37AE474D"/>
    <w:rsid w:val="37AE6E79"/>
    <w:rsid w:val="37B043DC"/>
    <w:rsid w:val="37B37ED1"/>
    <w:rsid w:val="37B55FE8"/>
    <w:rsid w:val="37B92013"/>
    <w:rsid w:val="37B93353"/>
    <w:rsid w:val="37C16BAC"/>
    <w:rsid w:val="37C471F9"/>
    <w:rsid w:val="37C66FC5"/>
    <w:rsid w:val="37CB5EA9"/>
    <w:rsid w:val="37CB7AC8"/>
    <w:rsid w:val="37CE60D7"/>
    <w:rsid w:val="37E17697"/>
    <w:rsid w:val="37E80B0F"/>
    <w:rsid w:val="37E909EA"/>
    <w:rsid w:val="37E961EE"/>
    <w:rsid w:val="37EA4668"/>
    <w:rsid w:val="37ED2203"/>
    <w:rsid w:val="37ED4DF0"/>
    <w:rsid w:val="37F25B05"/>
    <w:rsid w:val="37F61EA2"/>
    <w:rsid w:val="37FC2195"/>
    <w:rsid w:val="38004958"/>
    <w:rsid w:val="3802105F"/>
    <w:rsid w:val="38066889"/>
    <w:rsid w:val="380E2BE8"/>
    <w:rsid w:val="38110CE3"/>
    <w:rsid w:val="38135A8C"/>
    <w:rsid w:val="38153EC9"/>
    <w:rsid w:val="381649B9"/>
    <w:rsid w:val="381B71A3"/>
    <w:rsid w:val="381F2660"/>
    <w:rsid w:val="38272CB3"/>
    <w:rsid w:val="3828316D"/>
    <w:rsid w:val="382B3962"/>
    <w:rsid w:val="382F236C"/>
    <w:rsid w:val="382F7DD9"/>
    <w:rsid w:val="383502E2"/>
    <w:rsid w:val="38385C8E"/>
    <w:rsid w:val="383B2EA0"/>
    <w:rsid w:val="383C0BE1"/>
    <w:rsid w:val="383D08F2"/>
    <w:rsid w:val="38457E07"/>
    <w:rsid w:val="384635F3"/>
    <w:rsid w:val="38492A12"/>
    <w:rsid w:val="384D1D1B"/>
    <w:rsid w:val="38590130"/>
    <w:rsid w:val="385B0E4C"/>
    <w:rsid w:val="38652F10"/>
    <w:rsid w:val="386E2A74"/>
    <w:rsid w:val="38710F80"/>
    <w:rsid w:val="38724B02"/>
    <w:rsid w:val="387A5BBF"/>
    <w:rsid w:val="387B14EE"/>
    <w:rsid w:val="38802A74"/>
    <w:rsid w:val="38854931"/>
    <w:rsid w:val="38876662"/>
    <w:rsid w:val="38885623"/>
    <w:rsid w:val="388C36FB"/>
    <w:rsid w:val="389350E9"/>
    <w:rsid w:val="389B53C4"/>
    <w:rsid w:val="389C7DAA"/>
    <w:rsid w:val="389E4CFE"/>
    <w:rsid w:val="38A06535"/>
    <w:rsid w:val="38A41AAD"/>
    <w:rsid w:val="38A5656B"/>
    <w:rsid w:val="38A722E3"/>
    <w:rsid w:val="38A74091"/>
    <w:rsid w:val="38A856AE"/>
    <w:rsid w:val="38A913DF"/>
    <w:rsid w:val="38A95F29"/>
    <w:rsid w:val="38AC5B4C"/>
    <w:rsid w:val="38B61F16"/>
    <w:rsid w:val="38B83CC2"/>
    <w:rsid w:val="38B83F00"/>
    <w:rsid w:val="38BC1DE1"/>
    <w:rsid w:val="38C263D5"/>
    <w:rsid w:val="38C33D3C"/>
    <w:rsid w:val="38C4653E"/>
    <w:rsid w:val="38C86830"/>
    <w:rsid w:val="38C94A1D"/>
    <w:rsid w:val="38CF6F59"/>
    <w:rsid w:val="38D17722"/>
    <w:rsid w:val="38D40BFF"/>
    <w:rsid w:val="38DC462B"/>
    <w:rsid w:val="38DE606C"/>
    <w:rsid w:val="38E012A6"/>
    <w:rsid w:val="38E3534F"/>
    <w:rsid w:val="38E4364B"/>
    <w:rsid w:val="38EA21D0"/>
    <w:rsid w:val="38EB3F39"/>
    <w:rsid w:val="38EB5B4E"/>
    <w:rsid w:val="38F10FEB"/>
    <w:rsid w:val="38F265C1"/>
    <w:rsid w:val="38F3141E"/>
    <w:rsid w:val="38F73064"/>
    <w:rsid w:val="38FC0896"/>
    <w:rsid w:val="38FE6FFB"/>
    <w:rsid w:val="3902576C"/>
    <w:rsid w:val="39051112"/>
    <w:rsid w:val="390B0301"/>
    <w:rsid w:val="390B693E"/>
    <w:rsid w:val="390E0D75"/>
    <w:rsid w:val="390E6F27"/>
    <w:rsid w:val="39137B43"/>
    <w:rsid w:val="39141293"/>
    <w:rsid w:val="39142B3D"/>
    <w:rsid w:val="39193EEF"/>
    <w:rsid w:val="39195E60"/>
    <w:rsid w:val="391D0413"/>
    <w:rsid w:val="39206236"/>
    <w:rsid w:val="39222C6C"/>
    <w:rsid w:val="392A3D35"/>
    <w:rsid w:val="392B4BCD"/>
    <w:rsid w:val="39303757"/>
    <w:rsid w:val="393079B7"/>
    <w:rsid w:val="39344A8D"/>
    <w:rsid w:val="39381C3B"/>
    <w:rsid w:val="393974FA"/>
    <w:rsid w:val="393C3933"/>
    <w:rsid w:val="393D3862"/>
    <w:rsid w:val="393E7AFF"/>
    <w:rsid w:val="39423DBA"/>
    <w:rsid w:val="39454EB7"/>
    <w:rsid w:val="394A08DF"/>
    <w:rsid w:val="394E365F"/>
    <w:rsid w:val="39505EAC"/>
    <w:rsid w:val="39540564"/>
    <w:rsid w:val="395534D5"/>
    <w:rsid w:val="39564D73"/>
    <w:rsid w:val="39567866"/>
    <w:rsid w:val="395E3BA2"/>
    <w:rsid w:val="395E59EA"/>
    <w:rsid w:val="396025E2"/>
    <w:rsid w:val="39623F6A"/>
    <w:rsid w:val="39643E1A"/>
    <w:rsid w:val="39657013"/>
    <w:rsid w:val="396B3238"/>
    <w:rsid w:val="396E45E8"/>
    <w:rsid w:val="3975778F"/>
    <w:rsid w:val="3977143D"/>
    <w:rsid w:val="397B46A4"/>
    <w:rsid w:val="397B51C6"/>
    <w:rsid w:val="397F4FF3"/>
    <w:rsid w:val="39815A0D"/>
    <w:rsid w:val="39844B4C"/>
    <w:rsid w:val="39867D9B"/>
    <w:rsid w:val="398701BB"/>
    <w:rsid w:val="398F74E9"/>
    <w:rsid w:val="39905582"/>
    <w:rsid w:val="399166EB"/>
    <w:rsid w:val="39920034"/>
    <w:rsid w:val="39923F4F"/>
    <w:rsid w:val="39946C1A"/>
    <w:rsid w:val="3995183B"/>
    <w:rsid w:val="39965487"/>
    <w:rsid w:val="39972358"/>
    <w:rsid w:val="399834AF"/>
    <w:rsid w:val="399B6515"/>
    <w:rsid w:val="399C2E82"/>
    <w:rsid w:val="399D3EA7"/>
    <w:rsid w:val="39A0054A"/>
    <w:rsid w:val="39AA17C3"/>
    <w:rsid w:val="39AE5AA9"/>
    <w:rsid w:val="39B56641"/>
    <w:rsid w:val="39B573C9"/>
    <w:rsid w:val="39BA76A0"/>
    <w:rsid w:val="39BB4354"/>
    <w:rsid w:val="39C2102B"/>
    <w:rsid w:val="39C87EF3"/>
    <w:rsid w:val="39CA411B"/>
    <w:rsid w:val="39D45A96"/>
    <w:rsid w:val="39DD1893"/>
    <w:rsid w:val="39DD4B5B"/>
    <w:rsid w:val="39DE2EDF"/>
    <w:rsid w:val="39E66B65"/>
    <w:rsid w:val="39E80AD3"/>
    <w:rsid w:val="39EA4643"/>
    <w:rsid w:val="39EE7E69"/>
    <w:rsid w:val="39F579C0"/>
    <w:rsid w:val="39FC048C"/>
    <w:rsid w:val="39FC1B8D"/>
    <w:rsid w:val="3A044468"/>
    <w:rsid w:val="3A066FC9"/>
    <w:rsid w:val="3A097DD2"/>
    <w:rsid w:val="3A0E15DA"/>
    <w:rsid w:val="3A0F4B50"/>
    <w:rsid w:val="3A0F5361"/>
    <w:rsid w:val="3A16079B"/>
    <w:rsid w:val="3A1A4D37"/>
    <w:rsid w:val="3A1D3F5D"/>
    <w:rsid w:val="3A1D43CC"/>
    <w:rsid w:val="3A237F2E"/>
    <w:rsid w:val="3A2B28B1"/>
    <w:rsid w:val="3A2D354F"/>
    <w:rsid w:val="3A2D7FD2"/>
    <w:rsid w:val="3A340FF7"/>
    <w:rsid w:val="3A4045BF"/>
    <w:rsid w:val="3A4129CE"/>
    <w:rsid w:val="3A421264"/>
    <w:rsid w:val="3A4829FF"/>
    <w:rsid w:val="3A4D75BB"/>
    <w:rsid w:val="3A5D0978"/>
    <w:rsid w:val="3A5E1917"/>
    <w:rsid w:val="3A5E74E3"/>
    <w:rsid w:val="3A75224D"/>
    <w:rsid w:val="3A75427C"/>
    <w:rsid w:val="3A7A7125"/>
    <w:rsid w:val="3A8474CB"/>
    <w:rsid w:val="3A8B40B7"/>
    <w:rsid w:val="3A917BDF"/>
    <w:rsid w:val="3A920D71"/>
    <w:rsid w:val="3A943104"/>
    <w:rsid w:val="3A972235"/>
    <w:rsid w:val="3A9951F7"/>
    <w:rsid w:val="3A9F0094"/>
    <w:rsid w:val="3A9F60B0"/>
    <w:rsid w:val="3AA239DE"/>
    <w:rsid w:val="3AA36500"/>
    <w:rsid w:val="3AA627C4"/>
    <w:rsid w:val="3AA77216"/>
    <w:rsid w:val="3AA822BB"/>
    <w:rsid w:val="3AAB4A2F"/>
    <w:rsid w:val="3AAB4C7D"/>
    <w:rsid w:val="3AAD7FA8"/>
    <w:rsid w:val="3AAF1C6F"/>
    <w:rsid w:val="3AB24F6F"/>
    <w:rsid w:val="3AB25874"/>
    <w:rsid w:val="3AB30469"/>
    <w:rsid w:val="3AB574C9"/>
    <w:rsid w:val="3AB75A66"/>
    <w:rsid w:val="3AB76063"/>
    <w:rsid w:val="3ABA0476"/>
    <w:rsid w:val="3AC20023"/>
    <w:rsid w:val="3AC257F8"/>
    <w:rsid w:val="3AC60B38"/>
    <w:rsid w:val="3AC70D44"/>
    <w:rsid w:val="3ACE3DC8"/>
    <w:rsid w:val="3AD33E0E"/>
    <w:rsid w:val="3AD354E6"/>
    <w:rsid w:val="3AD6560D"/>
    <w:rsid w:val="3AD71199"/>
    <w:rsid w:val="3ADC3D9A"/>
    <w:rsid w:val="3ADD26B5"/>
    <w:rsid w:val="3ADD46E4"/>
    <w:rsid w:val="3ADF7E46"/>
    <w:rsid w:val="3AE634C2"/>
    <w:rsid w:val="3AE76D1F"/>
    <w:rsid w:val="3AEA26C9"/>
    <w:rsid w:val="3AEB5D6E"/>
    <w:rsid w:val="3AEB72D8"/>
    <w:rsid w:val="3AEE5E4E"/>
    <w:rsid w:val="3AF00550"/>
    <w:rsid w:val="3AF20562"/>
    <w:rsid w:val="3AF4004F"/>
    <w:rsid w:val="3AF642A7"/>
    <w:rsid w:val="3AF77E9E"/>
    <w:rsid w:val="3AF86FA8"/>
    <w:rsid w:val="3AFB7C6B"/>
    <w:rsid w:val="3AFC6F15"/>
    <w:rsid w:val="3AFE0926"/>
    <w:rsid w:val="3B003BC7"/>
    <w:rsid w:val="3B005D39"/>
    <w:rsid w:val="3B0277D2"/>
    <w:rsid w:val="3B073E93"/>
    <w:rsid w:val="3B120994"/>
    <w:rsid w:val="3B120DF1"/>
    <w:rsid w:val="3B124F8D"/>
    <w:rsid w:val="3B154660"/>
    <w:rsid w:val="3B1D3148"/>
    <w:rsid w:val="3B2468BE"/>
    <w:rsid w:val="3B264AAD"/>
    <w:rsid w:val="3B2E0A9A"/>
    <w:rsid w:val="3B361F6E"/>
    <w:rsid w:val="3B385E12"/>
    <w:rsid w:val="3B3E2624"/>
    <w:rsid w:val="3B456F34"/>
    <w:rsid w:val="3B4B6F69"/>
    <w:rsid w:val="3B4C55CA"/>
    <w:rsid w:val="3B523060"/>
    <w:rsid w:val="3B524C85"/>
    <w:rsid w:val="3B5262AD"/>
    <w:rsid w:val="3B5D50F9"/>
    <w:rsid w:val="3B5F0356"/>
    <w:rsid w:val="3B5F41EE"/>
    <w:rsid w:val="3B6257D1"/>
    <w:rsid w:val="3B672946"/>
    <w:rsid w:val="3B691D3C"/>
    <w:rsid w:val="3B6C320A"/>
    <w:rsid w:val="3B6C3950"/>
    <w:rsid w:val="3B6D625C"/>
    <w:rsid w:val="3B6E7199"/>
    <w:rsid w:val="3B712133"/>
    <w:rsid w:val="3B724620"/>
    <w:rsid w:val="3B755751"/>
    <w:rsid w:val="3B773C0E"/>
    <w:rsid w:val="3B926520"/>
    <w:rsid w:val="3B97548F"/>
    <w:rsid w:val="3B975929"/>
    <w:rsid w:val="3B9A1857"/>
    <w:rsid w:val="3B9D7909"/>
    <w:rsid w:val="3BA343B0"/>
    <w:rsid w:val="3BA408C7"/>
    <w:rsid w:val="3BA75A56"/>
    <w:rsid w:val="3BA75BF3"/>
    <w:rsid w:val="3BAB6064"/>
    <w:rsid w:val="3BB3038C"/>
    <w:rsid w:val="3BB673E4"/>
    <w:rsid w:val="3BBA7FBF"/>
    <w:rsid w:val="3BBC1DF4"/>
    <w:rsid w:val="3BBF5C68"/>
    <w:rsid w:val="3BC06023"/>
    <w:rsid w:val="3BC369E8"/>
    <w:rsid w:val="3BC6077A"/>
    <w:rsid w:val="3BC70973"/>
    <w:rsid w:val="3BCC1641"/>
    <w:rsid w:val="3BCD2809"/>
    <w:rsid w:val="3BCF534D"/>
    <w:rsid w:val="3BD056AD"/>
    <w:rsid w:val="3BD078F2"/>
    <w:rsid w:val="3BD559A6"/>
    <w:rsid w:val="3BD936AB"/>
    <w:rsid w:val="3BDA48BA"/>
    <w:rsid w:val="3BDF69B4"/>
    <w:rsid w:val="3BE7184E"/>
    <w:rsid w:val="3BEC0515"/>
    <w:rsid w:val="3BF53366"/>
    <w:rsid w:val="3BF53A11"/>
    <w:rsid w:val="3BF613A8"/>
    <w:rsid w:val="3BF73C78"/>
    <w:rsid w:val="3BF97D4E"/>
    <w:rsid w:val="3C032EFE"/>
    <w:rsid w:val="3C0457E6"/>
    <w:rsid w:val="3C112141"/>
    <w:rsid w:val="3C115781"/>
    <w:rsid w:val="3C1367BD"/>
    <w:rsid w:val="3C183C90"/>
    <w:rsid w:val="3C1852A6"/>
    <w:rsid w:val="3C1F6464"/>
    <w:rsid w:val="3C2239FF"/>
    <w:rsid w:val="3C283702"/>
    <w:rsid w:val="3C292F38"/>
    <w:rsid w:val="3C2E6878"/>
    <w:rsid w:val="3C3C2358"/>
    <w:rsid w:val="3C3E46FA"/>
    <w:rsid w:val="3C40045A"/>
    <w:rsid w:val="3C410B1E"/>
    <w:rsid w:val="3C44532E"/>
    <w:rsid w:val="3C4661A3"/>
    <w:rsid w:val="3C4749EB"/>
    <w:rsid w:val="3C4D4C80"/>
    <w:rsid w:val="3C5535EC"/>
    <w:rsid w:val="3C56711C"/>
    <w:rsid w:val="3C622A80"/>
    <w:rsid w:val="3C682163"/>
    <w:rsid w:val="3C6D459F"/>
    <w:rsid w:val="3C6E0147"/>
    <w:rsid w:val="3C7522B5"/>
    <w:rsid w:val="3C80292A"/>
    <w:rsid w:val="3C803288"/>
    <w:rsid w:val="3C83168D"/>
    <w:rsid w:val="3C8750C1"/>
    <w:rsid w:val="3C8A5FFE"/>
    <w:rsid w:val="3C8B7ABE"/>
    <w:rsid w:val="3C8E3FF1"/>
    <w:rsid w:val="3C8E5535"/>
    <w:rsid w:val="3C91441F"/>
    <w:rsid w:val="3C914C27"/>
    <w:rsid w:val="3C9420CA"/>
    <w:rsid w:val="3C96708B"/>
    <w:rsid w:val="3C993F9C"/>
    <w:rsid w:val="3CA42C7D"/>
    <w:rsid w:val="3CB509EF"/>
    <w:rsid w:val="3CB74ABF"/>
    <w:rsid w:val="3CB74EBB"/>
    <w:rsid w:val="3CBB5EAE"/>
    <w:rsid w:val="3CBF4A2B"/>
    <w:rsid w:val="3CC62F0A"/>
    <w:rsid w:val="3CC646B1"/>
    <w:rsid w:val="3CC746A3"/>
    <w:rsid w:val="3CCA6C4E"/>
    <w:rsid w:val="3CD7386F"/>
    <w:rsid w:val="3CD8611F"/>
    <w:rsid w:val="3CE176B1"/>
    <w:rsid w:val="3CE37662"/>
    <w:rsid w:val="3CE527B0"/>
    <w:rsid w:val="3CE63CD8"/>
    <w:rsid w:val="3CF028E1"/>
    <w:rsid w:val="3CF04ECB"/>
    <w:rsid w:val="3CF136D6"/>
    <w:rsid w:val="3CF35BB1"/>
    <w:rsid w:val="3CF4787E"/>
    <w:rsid w:val="3CF47EA3"/>
    <w:rsid w:val="3CF5126B"/>
    <w:rsid w:val="3CFB2348"/>
    <w:rsid w:val="3D040EBB"/>
    <w:rsid w:val="3D0916BD"/>
    <w:rsid w:val="3D0B6672"/>
    <w:rsid w:val="3D0E2B9E"/>
    <w:rsid w:val="3D0F0CA3"/>
    <w:rsid w:val="3D126922"/>
    <w:rsid w:val="3D1442E8"/>
    <w:rsid w:val="3D1C5F57"/>
    <w:rsid w:val="3D1D63F2"/>
    <w:rsid w:val="3D22507F"/>
    <w:rsid w:val="3D2A28C8"/>
    <w:rsid w:val="3D2B7EBC"/>
    <w:rsid w:val="3D2E1F29"/>
    <w:rsid w:val="3D2F4655"/>
    <w:rsid w:val="3D411577"/>
    <w:rsid w:val="3D4272C4"/>
    <w:rsid w:val="3D470C74"/>
    <w:rsid w:val="3D49282B"/>
    <w:rsid w:val="3D496987"/>
    <w:rsid w:val="3D4B7AF5"/>
    <w:rsid w:val="3D4C0A1A"/>
    <w:rsid w:val="3D4C39CC"/>
    <w:rsid w:val="3D551F3C"/>
    <w:rsid w:val="3D56594E"/>
    <w:rsid w:val="3D5B0C87"/>
    <w:rsid w:val="3D5C4BDC"/>
    <w:rsid w:val="3D61296D"/>
    <w:rsid w:val="3D61395B"/>
    <w:rsid w:val="3D6B65F6"/>
    <w:rsid w:val="3D6F475A"/>
    <w:rsid w:val="3D713608"/>
    <w:rsid w:val="3D72206F"/>
    <w:rsid w:val="3D760EEB"/>
    <w:rsid w:val="3D7701A0"/>
    <w:rsid w:val="3D785FFC"/>
    <w:rsid w:val="3D797698"/>
    <w:rsid w:val="3D7B3CD0"/>
    <w:rsid w:val="3D7E1D64"/>
    <w:rsid w:val="3D7E5628"/>
    <w:rsid w:val="3D850726"/>
    <w:rsid w:val="3D89645B"/>
    <w:rsid w:val="3D8B6FE3"/>
    <w:rsid w:val="3D8C577E"/>
    <w:rsid w:val="3D940238"/>
    <w:rsid w:val="3D981173"/>
    <w:rsid w:val="3D9833CE"/>
    <w:rsid w:val="3D9A7B4F"/>
    <w:rsid w:val="3D9A7F7C"/>
    <w:rsid w:val="3D9B5082"/>
    <w:rsid w:val="3D9E787A"/>
    <w:rsid w:val="3DA07301"/>
    <w:rsid w:val="3DA21C89"/>
    <w:rsid w:val="3DAA4063"/>
    <w:rsid w:val="3DAB1975"/>
    <w:rsid w:val="3DAE294A"/>
    <w:rsid w:val="3DB374B6"/>
    <w:rsid w:val="3DB525A0"/>
    <w:rsid w:val="3DBF7329"/>
    <w:rsid w:val="3DC26AB2"/>
    <w:rsid w:val="3DCE05EE"/>
    <w:rsid w:val="3DCE2CAE"/>
    <w:rsid w:val="3DD024E6"/>
    <w:rsid w:val="3DD21338"/>
    <w:rsid w:val="3DD34DED"/>
    <w:rsid w:val="3DD3766A"/>
    <w:rsid w:val="3DD91A60"/>
    <w:rsid w:val="3DDA6A07"/>
    <w:rsid w:val="3DE2199A"/>
    <w:rsid w:val="3DE40378"/>
    <w:rsid w:val="3DEC0709"/>
    <w:rsid w:val="3DF54B6D"/>
    <w:rsid w:val="3DF64E66"/>
    <w:rsid w:val="3DF7034B"/>
    <w:rsid w:val="3DF71458"/>
    <w:rsid w:val="3DF75FD5"/>
    <w:rsid w:val="3DFB441D"/>
    <w:rsid w:val="3DFF04CC"/>
    <w:rsid w:val="3DFF1F7C"/>
    <w:rsid w:val="3E0360C6"/>
    <w:rsid w:val="3E0B5C5E"/>
    <w:rsid w:val="3E0F1D0B"/>
    <w:rsid w:val="3E187E24"/>
    <w:rsid w:val="3E1A2467"/>
    <w:rsid w:val="3E1B0C1A"/>
    <w:rsid w:val="3E1C107E"/>
    <w:rsid w:val="3E1C2E2C"/>
    <w:rsid w:val="3E205C21"/>
    <w:rsid w:val="3E2143F9"/>
    <w:rsid w:val="3E241CE0"/>
    <w:rsid w:val="3E272866"/>
    <w:rsid w:val="3E2944B3"/>
    <w:rsid w:val="3E2D3CBB"/>
    <w:rsid w:val="3E31273D"/>
    <w:rsid w:val="3E3A1A77"/>
    <w:rsid w:val="3E3A7756"/>
    <w:rsid w:val="3E3D0FF4"/>
    <w:rsid w:val="3E3E2A82"/>
    <w:rsid w:val="3E412727"/>
    <w:rsid w:val="3E457049"/>
    <w:rsid w:val="3E492FED"/>
    <w:rsid w:val="3E4B3711"/>
    <w:rsid w:val="3E4C363B"/>
    <w:rsid w:val="3E4C5E37"/>
    <w:rsid w:val="3E4F464F"/>
    <w:rsid w:val="3E536155"/>
    <w:rsid w:val="3E550B99"/>
    <w:rsid w:val="3E561EB2"/>
    <w:rsid w:val="3E59735D"/>
    <w:rsid w:val="3E5A01A3"/>
    <w:rsid w:val="3E5F71BC"/>
    <w:rsid w:val="3E612F34"/>
    <w:rsid w:val="3E625D19"/>
    <w:rsid w:val="3E6601F2"/>
    <w:rsid w:val="3E67340B"/>
    <w:rsid w:val="3E710EC6"/>
    <w:rsid w:val="3E7C1773"/>
    <w:rsid w:val="3E7E69A2"/>
    <w:rsid w:val="3E806392"/>
    <w:rsid w:val="3E835DCC"/>
    <w:rsid w:val="3E84292B"/>
    <w:rsid w:val="3E845950"/>
    <w:rsid w:val="3E870CD8"/>
    <w:rsid w:val="3E9E523D"/>
    <w:rsid w:val="3EA501C9"/>
    <w:rsid w:val="3EA572B9"/>
    <w:rsid w:val="3EAA7DAC"/>
    <w:rsid w:val="3EAE11B3"/>
    <w:rsid w:val="3EB03CA6"/>
    <w:rsid w:val="3EB14609"/>
    <w:rsid w:val="3EB239C1"/>
    <w:rsid w:val="3EB46AAA"/>
    <w:rsid w:val="3EB72429"/>
    <w:rsid w:val="3EBD2A6C"/>
    <w:rsid w:val="3EBD2B0D"/>
    <w:rsid w:val="3EC27FA3"/>
    <w:rsid w:val="3EC638C8"/>
    <w:rsid w:val="3ECA149B"/>
    <w:rsid w:val="3ED82E9F"/>
    <w:rsid w:val="3EDB00E4"/>
    <w:rsid w:val="3EDF2B9E"/>
    <w:rsid w:val="3EDF6DA9"/>
    <w:rsid w:val="3EE06BDE"/>
    <w:rsid w:val="3EE117FE"/>
    <w:rsid w:val="3EE11B18"/>
    <w:rsid w:val="3EE207AE"/>
    <w:rsid w:val="3EE416FC"/>
    <w:rsid w:val="3EE50194"/>
    <w:rsid w:val="3EE92838"/>
    <w:rsid w:val="3EEB00AB"/>
    <w:rsid w:val="3EED2218"/>
    <w:rsid w:val="3EEE5A25"/>
    <w:rsid w:val="3EF1250A"/>
    <w:rsid w:val="3EF353FF"/>
    <w:rsid w:val="3EF93EF2"/>
    <w:rsid w:val="3EFB09F5"/>
    <w:rsid w:val="3EFD0EAF"/>
    <w:rsid w:val="3EFE150C"/>
    <w:rsid w:val="3EFF15A9"/>
    <w:rsid w:val="3F033FEC"/>
    <w:rsid w:val="3F0343A7"/>
    <w:rsid w:val="3F067ABF"/>
    <w:rsid w:val="3F0820B8"/>
    <w:rsid w:val="3F0B6FCF"/>
    <w:rsid w:val="3F0F0BE2"/>
    <w:rsid w:val="3F105341"/>
    <w:rsid w:val="3F155627"/>
    <w:rsid w:val="3F1718FD"/>
    <w:rsid w:val="3F1C23EC"/>
    <w:rsid w:val="3F261A88"/>
    <w:rsid w:val="3F284738"/>
    <w:rsid w:val="3F2944CE"/>
    <w:rsid w:val="3F2E619B"/>
    <w:rsid w:val="3F30039C"/>
    <w:rsid w:val="3F3007E1"/>
    <w:rsid w:val="3F300CE5"/>
    <w:rsid w:val="3F350AFB"/>
    <w:rsid w:val="3F367683"/>
    <w:rsid w:val="3F38075E"/>
    <w:rsid w:val="3F3A4ADF"/>
    <w:rsid w:val="3F3F17C3"/>
    <w:rsid w:val="3F3F64F2"/>
    <w:rsid w:val="3F423A83"/>
    <w:rsid w:val="3F4440F1"/>
    <w:rsid w:val="3F4507E3"/>
    <w:rsid w:val="3F477D92"/>
    <w:rsid w:val="3F4E4CBD"/>
    <w:rsid w:val="3F4E59AB"/>
    <w:rsid w:val="3F5E01B9"/>
    <w:rsid w:val="3F5E7474"/>
    <w:rsid w:val="3F613F1A"/>
    <w:rsid w:val="3F63067F"/>
    <w:rsid w:val="3F692368"/>
    <w:rsid w:val="3F6C7DE3"/>
    <w:rsid w:val="3F6F6438"/>
    <w:rsid w:val="3F723239"/>
    <w:rsid w:val="3F757288"/>
    <w:rsid w:val="3F820783"/>
    <w:rsid w:val="3F844911"/>
    <w:rsid w:val="3F867444"/>
    <w:rsid w:val="3F8921D3"/>
    <w:rsid w:val="3F8A770C"/>
    <w:rsid w:val="3F9361A0"/>
    <w:rsid w:val="3F9C0DD8"/>
    <w:rsid w:val="3F9C7D87"/>
    <w:rsid w:val="3F9D1B79"/>
    <w:rsid w:val="3F9E0E59"/>
    <w:rsid w:val="3F9E5AC2"/>
    <w:rsid w:val="3FA00646"/>
    <w:rsid w:val="3FA05B97"/>
    <w:rsid w:val="3FA07ECC"/>
    <w:rsid w:val="3FA501FC"/>
    <w:rsid w:val="3FA64A0D"/>
    <w:rsid w:val="3FAC32A0"/>
    <w:rsid w:val="3FB31BB8"/>
    <w:rsid w:val="3FB34CCA"/>
    <w:rsid w:val="3FB84B5C"/>
    <w:rsid w:val="3FB92CBB"/>
    <w:rsid w:val="3FCA764B"/>
    <w:rsid w:val="3FCC1562"/>
    <w:rsid w:val="3FCD674C"/>
    <w:rsid w:val="3FCE0156"/>
    <w:rsid w:val="3FCE1219"/>
    <w:rsid w:val="3FD601AA"/>
    <w:rsid w:val="3FE130D8"/>
    <w:rsid w:val="3FE744EF"/>
    <w:rsid w:val="3FE97952"/>
    <w:rsid w:val="3FEE3737"/>
    <w:rsid w:val="3FEF3727"/>
    <w:rsid w:val="3FF21D03"/>
    <w:rsid w:val="3FF96283"/>
    <w:rsid w:val="3FFC656D"/>
    <w:rsid w:val="40035F32"/>
    <w:rsid w:val="40063829"/>
    <w:rsid w:val="400845A5"/>
    <w:rsid w:val="400A26F9"/>
    <w:rsid w:val="400A45DF"/>
    <w:rsid w:val="400D6250"/>
    <w:rsid w:val="400D6E3A"/>
    <w:rsid w:val="400E78B7"/>
    <w:rsid w:val="400F0A36"/>
    <w:rsid w:val="40123638"/>
    <w:rsid w:val="40130BEB"/>
    <w:rsid w:val="401A609A"/>
    <w:rsid w:val="40281EEC"/>
    <w:rsid w:val="402A37CD"/>
    <w:rsid w:val="402A77D0"/>
    <w:rsid w:val="40306CBF"/>
    <w:rsid w:val="403209AD"/>
    <w:rsid w:val="40361BF2"/>
    <w:rsid w:val="403C2E9F"/>
    <w:rsid w:val="403C6917"/>
    <w:rsid w:val="403D52DB"/>
    <w:rsid w:val="40416887"/>
    <w:rsid w:val="404419A3"/>
    <w:rsid w:val="40455626"/>
    <w:rsid w:val="40472918"/>
    <w:rsid w:val="40474188"/>
    <w:rsid w:val="40542DAE"/>
    <w:rsid w:val="405511ED"/>
    <w:rsid w:val="40552A20"/>
    <w:rsid w:val="405755B1"/>
    <w:rsid w:val="405C72A2"/>
    <w:rsid w:val="406712EA"/>
    <w:rsid w:val="406D2109"/>
    <w:rsid w:val="40701D65"/>
    <w:rsid w:val="40747A76"/>
    <w:rsid w:val="407B584B"/>
    <w:rsid w:val="407D7C33"/>
    <w:rsid w:val="40800996"/>
    <w:rsid w:val="40881A2C"/>
    <w:rsid w:val="408A2ED1"/>
    <w:rsid w:val="408B337A"/>
    <w:rsid w:val="40900E72"/>
    <w:rsid w:val="409023B1"/>
    <w:rsid w:val="40907EA2"/>
    <w:rsid w:val="40982598"/>
    <w:rsid w:val="40990ADF"/>
    <w:rsid w:val="409A21DB"/>
    <w:rsid w:val="40B84FEE"/>
    <w:rsid w:val="40B878A1"/>
    <w:rsid w:val="40BB779B"/>
    <w:rsid w:val="40C164DC"/>
    <w:rsid w:val="40C31C84"/>
    <w:rsid w:val="40C60168"/>
    <w:rsid w:val="40C67090"/>
    <w:rsid w:val="40C828F1"/>
    <w:rsid w:val="40C878F7"/>
    <w:rsid w:val="40CA4CBA"/>
    <w:rsid w:val="40D0556B"/>
    <w:rsid w:val="40D4181D"/>
    <w:rsid w:val="40D52441"/>
    <w:rsid w:val="40DA0DDE"/>
    <w:rsid w:val="40DB14BC"/>
    <w:rsid w:val="40DF2D26"/>
    <w:rsid w:val="40E01D49"/>
    <w:rsid w:val="40E36629"/>
    <w:rsid w:val="40E51BE3"/>
    <w:rsid w:val="40E60C95"/>
    <w:rsid w:val="40EA2436"/>
    <w:rsid w:val="40F064BA"/>
    <w:rsid w:val="40F34588"/>
    <w:rsid w:val="40F403F4"/>
    <w:rsid w:val="40F52350"/>
    <w:rsid w:val="40F7414D"/>
    <w:rsid w:val="40F80D1D"/>
    <w:rsid w:val="40FD0E7E"/>
    <w:rsid w:val="4105337E"/>
    <w:rsid w:val="410560D4"/>
    <w:rsid w:val="4106552E"/>
    <w:rsid w:val="410826DE"/>
    <w:rsid w:val="41087A8E"/>
    <w:rsid w:val="41096B14"/>
    <w:rsid w:val="41097DCA"/>
    <w:rsid w:val="410B2151"/>
    <w:rsid w:val="4110070A"/>
    <w:rsid w:val="41103B79"/>
    <w:rsid w:val="41104931"/>
    <w:rsid w:val="41121B7C"/>
    <w:rsid w:val="411237C8"/>
    <w:rsid w:val="41196FA3"/>
    <w:rsid w:val="412274DF"/>
    <w:rsid w:val="412B475F"/>
    <w:rsid w:val="41327BE5"/>
    <w:rsid w:val="413A4147"/>
    <w:rsid w:val="414609CE"/>
    <w:rsid w:val="414B61A3"/>
    <w:rsid w:val="414C54B5"/>
    <w:rsid w:val="41547926"/>
    <w:rsid w:val="41547BF2"/>
    <w:rsid w:val="415A4E55"/>
    <w:rsid w:val="415D2357"/>
    <w:rsid w:val="415D36B4"/>
    <w:rsid w:val="415F79F5"/>
    <w:rsid w:val="416C04BF"/>
    <w:rsid w:val="41720245"/>
    <w:rsid w:val="41735C43"/>
    <w:rsid w:val="41744F72"/>
    <w:rsid w:val="417756CE"/>
    <w:rsid w:val="41782186"/>
    <w:rsid w:val="41803A4E"/>
    <w:rsid w:val="41806E7D"/>
    <w:rsid w:val="41844BEF"/>
    <w:rsid w:val="418849C9"/>
    <w:rsid w:val="418F3487"/>
    <w:rsid w:val="41900C6E"/>
    <w:rsid w:val="41923271"/>
    <w:rsid w:val="41980874"/>
    <w:rsid w:val="419B19EF"/>
    <w:rsid w:val="419C393A"/>
    <w:rsid w:val="419D7695"/>
    <w:rsid w:val="41A02493"/>
    <w:rsid w:val="41A22AC5"/>
    <w:rsid w:val="41A374ED"/>
    <w:rsid w:val="41A835D2"/>
    <w:rsid w:val="41AB76F5"/>
    <w:rsid w:val="41AD3C87"/>
    <w:rsid w:val="41B05696"/>
    <w:rsid w:val="41B25AE3"/>
    <w:rsid w:val="41B94333"/>
    <w:rsid w:val="41BA5403"/>
    <w:rsid w:val="41BE148F"/>
    <w:rsid w:val="41C21DA2"/>
    <w:rsid w:val="41C66E63"/>
    <w:rsid w:val="41CB713C"/>
    <w:rsid w:val="41CE1D93"/>
    <w:rsid w:val="41D2291E"/>
    <w:rsid w:val="41DA625B"/>
    <w:rsid w:val="41DB5140"/>
    <w:rsid w:val="41DC5414"/>
    <w:rsid w:val="41E35895"/>
    <w:rsid w:val="41E4752D"/>
    <w:rsid w:val="41E86390"/>
    <w:rsid w:val="41EC6896"/>
    <w:rsid w:val="41F772E6"/>
    <w:rsid w:val="41FA32F9"/>
    <w:rsid w:val="41FD30E7"/>
    <w:rsid w:val="41FD42D1"/>
    <w:rsid w:val="41FE2DB3"/>
    <w:rsid w:val="41FF49CB"/>
    <w:rsid w:val="42004812"/>
    <w:rsid w:val="4202059B"/>
    <w:rsid w:val="420E09B3"/>
    <w:rsid w:val="420E7A3F"/>
    <w:rsid w:val="42110E25"/>
    <w:rsid w:val="421C1EFB"/>
    <w:rsid w:val="421D4BA7"/>
    <w:rsid w:val="42204A94"/>
    <w:rsid w:val="422252D1"/>
    <w:rsid w:val="422B56DB"/>
    <w:rsid w:val="423456A2"/>
    <w:rsid w:val="42352613"/>
    <w:rsid w:val="42370452"/>
    <w:rsid w:val="42371E7A"/>
    <w:rsid w:val="42384781"/>
    <w:rsid w:val="42385FB8"/>
    <w:rsid w:val="4239707A"/>
    <w:rsid w:val="423A63B1"/>
    <w:rsid w:val="423D46F9"/>
    <w:rsid w:val="42422FD2"/>
    <w:rsid w:val="424550E3"/>
    <w:rsid w:val="424C1BF3"/>
    <w:rsid w:val="42507954"/>
    <w:rsid w:val="4254247B"/>
    <w:rsid w:val="4256426A"/>
    <w:rsid w:val="425A06E3"/>
    <w:rsid w:val="42605BEB"/>
    <w:rsid w:val="4262689E"/>
    <w:rsid w:val="426D0A83"/>
    <w:rsid w:val="426D4CD7"/>
    <w:rsid w:val="427208A6"/>
    <w:rsid w:val="42762602"/>
    <w:rsid w:val="427B3AAC"/>
    <w:rsid w:val="427F5004"/>
    <w:rsid w:val="4282549C"/>
    <w:rsid w:val="4283384E"/>
    <w:rsid w:val="428760C2"/>
    <w:rsid w:val="42891B45"/>
    <w:rsid w:val="428C1396"/>
    <w:rsid w:val="428C6FED"/>
    <w:rsid w:val="428D0392"/>
    <w:rsid w:val="428D44BE"/>
    <w:rsid w:val="42992F79"/>
    <w:rsid w:val="42996133"/>
    <w:rsid w:val="42A00190"/>
    <w:rsid w:val="42A21B35"/>
    <w:rsid w:val="42A41642"/>
    <w:rsid w:val="42A66DC4"/>
    <w:rsid w:val="42A961FC"/>
    <w:rsid w:val="42AB6C89"/>
    <w:rsid w:val="42B333EE"/>
    <w:rsid w:val="42B42907"/>
    <w:rsid w:val="42B6178A"/>
    <w:rsid w:val="42BD465F"/>
    <w:rsid w:val="42BF022A"/>
    <w:rsid w:val="42C20D43"/>
    <w:rsid w:val="42C61D58"/>
    <w:rsid w:val="42CA7430"/>
    <w:rsid w:val="42D11A85"/>
    <w:rsid w:val="42D642FC"/>
    <w:rsid w:val="42D91234"/>
    <w:rsid w:val="42DC6E02"/>
    <w:rsid w:val="42DE19B6"/>
    <w:rsid w:val="42DE2423"/>
    <w:rsid w:val="42DE33A8"/>
    <w:rsid w:val="42E000A1"/>
    <w:rsid w:val="42E02A3C"/>
    <w:rsid w:val="42E303BC"/>
    <w:rsid w:val="42E5446F"/>
    <w:rsid w:val="42E82B5A"/>
    <w:rsid w:val="42EA603C"/>
    <w:rsid w:val="42EE1830"/>
    <w:rsid w:val="42F02403"/>
    <w:rsid w:val="42F425EC"/>
    <w:rsid w:val="42F629EA"/>
    <w:rsid w:val="42FA4A3A"/>
    <w:rsid w:val="42FF3B42"/>
    <w:rsid w:val="430200DB"/>
    <w:rsid w:val="43072DF0"/>
    <w:rsid w:val="43085749"/>
    <w:rsid w:val="431145D6"/>
    <w:rsid w:val="4318259D"/>
    <w:rsid w:val="43184C79"/>
    <w:rsid w:val="43186612"/>
    <w:rsid w:val="431D2EC5"/>
    <w:rsid w:val="431D5EA7"/>
    <w:rsid w:val="431E00EC"/>
    <w:rsid w:val="431F3F74"/>
    <w:rsid w:val="4320226C"/>
    <w:rsid w:val="43255FDF"/>
    <w:rsid w:val="43281EEE"/>
    <w:rsid w:val="432D2DA3"/>
    <w:rsid w:val="43316CEE"/>
    <w:rsid w:val="43324A57"/>
    <w:rsid w:val="4335468F"/>
    <w:rsid w:val="43384DDA"/>
    <w:rsid w:val="43385011"/>
    <w:rsid w:val="434B3C25"/>
    <w:rsid w:val="434F4AE3"/>
    <w:rsid w:val="4350603F"/>
    <w:rsid w:val="43511AFE"/>
    <w:rsid w:val="435447AE"/>
    <w:rsid w:val="435A6ADD"/>
    <w:rsid w:val="435B51B5"/>
    <w:rsid w:val="435D3C4E"/>
    <w:rsid w:val="435F10F2"/>
    <w:rsid w:val="43617533"/>
    <w:rsid w:val="43623003"/>
    <w:rsid w:val="436461F8"/>
    <w:rsid w:val="43666411"/>
    <w:rsid w:val="436B1317"/>
    <w:rsid w:val="436C4B22"/>
    <w:rsid w:val="43723E05"/>
    <w:rsid w:val="43780E1A"/>
    <w:rsid w:val="4379098C"/>
    <w:rsid w:val="437B6846"/>
    <w:rsid w:val="437C437F"/>
    <w:rsid w:val="437D55FB"/>
    <w:rsid w:val="437F3AC9"/>
    <w:rsid w:val="4381009D"/>
    <w:rsid w:val="43815F36"/>
    <w:rsid w:val="43827139"/>
    <w:rsid w:val="438304AE"/>
    <w:rsid w:val="438A774E"/>
    <w:rsid w:val="438B1A71"/>
    <w:rsid w:val="438D0C62"/>
    <w:rsid w:val="43904022"/>
    <w:rsid w:val="43975310"/>
    <w:rsid w:val="439874F7"/>
    <w:rsid w:val="43987F2D"/>
    <w:rsid w:val="439C769B"/>
    <w:rsid w:val="43A0005B"/>
    <w:rsid w:val="43A02015"/>
    <w:rsid w:val="43AA77B9"/>
    <w:rsid w:val="43AD0613"/>
    <w:rsid w:val="43B04AF5"/>
    <w:rsid w:val="43B20AE4"/>
    <w:rsid w:val="43B223CA"/>
    <w:rsid w:val="43B525EA"/>
    <w:rsid w:val="43B62227"/>
    <w:rsid w:val="43B64809"/>
    <w:rsid w:val="43BC6A95"/>
    <w:rsid w:val="43BE762D"/>
    <w:rsid w:val="43C1278A"/>
    <w:rsid w:val="43C13B2B"/>
    <w:rsid w:val="43C324FF"/>
    <w:rsid w:val="43C449B2"/>
    <w:rsid w:val="43CF5CAE"/>
    <w:rsid w:val="43D05A3B"/>
    <w:rsid w:val="43D1290A"/>
    <w:rsid w:val="43D45F57"/>
    <w:rsid w:val="43D840B7"/>
    <w:rsid w:val="43DD5DAC"/>
    <w:rsid w:val="43E134B5"/>
    <w:rsid w:val="43E43392"/>
    <w:rsid w:val="43E47D66"/>
    <w:rsid w:val="43E53AAA"/>
    <w:rsid w:val="43E60D92"/>
    <w:rsid w:val="43E94B92"/>
    <w:rsid w:val="43F251E0"/>
    <w:rsid w:val="43F42155"/>
    <w:rsid w:val="43F860E9"/>
    <w:rsid w:val="44026BA6"/>
    <w:rsid w:val="440846D6"/>
    <w:rsid w:val="440A192C"/>
    <w:rsid w:val="440E749A"/>
    <w:rsid w:val="441537CD"/>
    <w:rsid w:val="44160FFE"/>
    <w:rsid w:val="44181023"/>
    <w:rsid w:val="4418375F"/>
    <w:rsid w:val="441E1BE8"/>
    <w:rsid w:val="442C6934"/>
    <w:rsid w:val="44347C9D"/>
    <w:rsid w:val="443679F9"/>
    <w:rsid w:val="444B2C7B"/>
    <w:rsid w:val="444D531B"/>
    <w:rsid w:val="4452367D"/>
    <w:rsid w:val="44560FD6"/>
    <w:rsid w:val="445A5430"/>
    <w:rsid w:val="445C1054"/>
    <w:rsid w:val="44615A3C"/>
    <w:rsid w:val="44620F1D"/>
    <w:rsid w:val="446241F9"/>
    <w:rsid w:val="44641089"/>
    <w:rsid w:val="4464552C"/>
    <w:rsid w:val="44686A32"/>
    <w:rsid w:val="446F128F"/>
    <w:rsid w:val="447404D5"/>
    <w:rsid w:val="448036D3"/>
    <w:rsid w:val="44812D65"/>
    <w:rsid w:val="44812EE3"/>
    <w:rsid w:val="44823464"/>
    <w:rsid w:val="448575B5"/>
    <w:rsid w:val="448958F8"/>
    <w:rsid w:val="448F6DA0"/>
    <w:rsid w:val="44903EB4"/>
    <w:rsid w:val="449561F9"/>
    <w:rsid w:val="44956D47"/>
    <w:rsid w:val="449D459A"/>
    <w:rsid w:val="449E55C8"/>
    <w:rsid w:val="44A03AA5"/>
    <w:rsid w:val="44A257EC"/>
    <w:rsid w:val="44A53BA9"/>
    <w:rsid w:val="44AA5128"/>
    <w:rsid w:val="44AE73A3"/>
    <w:rsid w:val="44B13C5A"/>
    <w:rsid w:val="44B35056"/>
    <w:rsid w:val="44B71224"/>
    <w:rsid w:val="44B7469E"/>
    <w:rsid w:val="44C07196"/>
    <w:rsid w:val="44C33BDD"/>
    <w:rsid w:val="44C456B5"/>
    <w:rsid w:val="44C91833"/>
    <w:rsid w:val="44CB29A6"/>
    <w:rsid w:val="44CC01A6"/>
    <w:rsid w:val="44CC68F8"/>
    <w:rsid w:val="44CE6A8C"/>
    <w:rsid w:val="44D23320"/>
    <w:rsid w:val="44D42D7D"/>
    <w:rsid w:val="44D56290"/>
    <w:rsid w:val="44D66B9B"/>
    <w:rsid w:val="44D824DB"/>
    <w:rsid w:val="44D86010"/>
    <w:rsid w:val="44D86FE0"/>
    <w:rsid w:val="44DC43F4"/>
    <w:rsid w:val="44E13A9C"/>
    <w:rsid w:val="44E87F0C"/>
    <w:rsid w:val="44EC0EA2"/>
    <w:rsid w:val="44F1005C"/>
    <w:rsid w:val="44F2725A"/>
    <w:rsid w:val="44F27810"/>
    <w:rsid w:val="45010ABC"/>
    <w:rsid w:val="4502555A"/>
    <w:rsid w:val="450E44D2"/>
    <w:rsid w:val="45140AA8"/>
    <w:rsid w:val="45156316"/>
    <w:rsid w:val="45180059"/>
    <w:rsid w:val="451A56BA"/>
    <w:rsid w:val="451E3A99"/>
    <w:rsid w:val="452528DF"/>
    <w:rsid w:val="452A0DFC"/>
    <w:rsid w:val="452D239D"/>
    <w:rsid w:val="453341A8"/>
    <w:rsid w:val="453365AD"/>
    <w:rsid w:val="453F74A9"/>
    <w:rsid w:val="45401216"/>
    <w:rsid w:val="45420BD1"/>
    <w:rsid w:val="454E30FE"/>
    <w:rsid w:val="4550082B"/>
    <w:rsid w:val="45522BF3"/>
    <w:rsid w:val="455437AA"/>
    <w:rsid w:val="4555586D"/>
    <w:rsid w:val="45573124"/>
    <w:rsid w:val="456032D6"/>
    <w:rsid w:val="4564161B"/>
    <w:rsid w:val="45642E8F"/>
    <w:rsid w:val="4565647C"/>
    <w:rsid w:val="456A07D0"/>
    <w:rsid w:val="456D693A"/>
    <w:rsid w:val="45731B3A"/>
    <w:rsid w:val="4575649F"/>
    <w:rsid w:val="457629E4"/>
    <w:rsid w:val="4577128F"/>
    <w:rsid w:val="45782A4A"/>
    <w:rsid w:val="45876A35"/>
    <w:rsid w:val="45881F68"/>
    <w:rsid w:val="459513DA"/>
    <w:rsid w:val="45986889"/>
    <w:rsid w:val="459E681C"/>
    <w:rsid w:val="45AA57DF"/>
    <w:rsid w:val="45AC6EE2"/>
    <w:rsid w:val="45AF7433"/>
    <w:rsid w:val="45B5254E"/>
    <w:rsid w:val="45C15285"/>
    <w:rsid w:val="45C81AEB"/>
    <w:rsid w:val="45CE1920"/>
    <w:rsid w:val="45CE2F83"/>
    <w:rsid w:val="45CE7E35"/>
    <w:rsid w:val="45CF3918"/>
    <w:rsid w:val="45D00BC1"/>
    <w:rsid w:val="45D21D09"/>
    <w:rsid w:val="45D3371D"/>
    <w:rsid w:val="45D65CA7"/>
    <w:rsid w:val="45D97A24"/>
    <w:rsid w:val="45E24C2F"/>
    <w:rsid w:val="45E324F9"/>
    <w:rsid w:val="45E378DC"/>
    <w:rsid w:val="45E575B9"/>
    <w:rsid w:val="45E77C9B"/>
    <w:rsid w:val="45EA23DF"/>
    <w:rsid w:val="45EC15A7"/>
    <w:rsid w:val="45EC51C9"/>
    <w:rsid w:val="45EF1700"/>
    <w:rsid w:val="45FC42FE"/>
    <w:rsid w:val="460352AC"/>
    <w:rsid w:val="46061795"/>
    <w:rsid w:val="46064297"/>
    <w:rsid w:val="46071697"/>
    <w:rsid w:val="46081CD2"/>
    <w:rsid w:val="46082CDF"/>
    <w:rsid w:val="460918A2"/>
    <w:rsid w:val="460E002F"/>
    <w:rsid w:val="460F40E6"/>
    <w:rsid w:val="460F7AEB"/>
    <w:rsid w:val="46125C41"/>
    <w:rsid w:val="46162F9D"/>
    <w:rsid w:val="46167D7A"/>
    <w:rsid w:val="4619461F"/>
    <w:rsid w:val="461A2AA6"/>
    <w:rsid w:val="46217BA7"/>
    <w:rsid w:val="46222206"/>
    <w:rsid w:val="46231422"/>
    <w:rsid w:val="462314CB"/>
    <w:rsid w:val="46255291"/>
    <w:rsid w:val="4626526C"/>
    <w:rsid w:val="462D52A3"/>
    <w:rsid w:val="46305202"/>
    <w:rsid w:val="4632673F"/>
    <w:rsid w:val="46327CBF"/>
    <w:rsid w:val="46420F3F"/>
    <w:rsid w:val="46421EB0"/>
    <w:rsid w:val="4643528B"/>
    <w:rsid w:val="4647031D"/>
    <w:rsid w:val="464762DE"/>
    <w:rsid w:val="46481E89"/>
    <w:rsid w:val="464B39AA"/>
    <w:rsid w:val="464D64AC"/>
    <w:rsid w:val="464F2ED5"/>
    <w:rsid w:val="464F5D68"/>
    <w:rsid w:val="4652557E"/>
    <w:rsid w:val="46562535"/>
    <w:rsid w:val="465D3332"/>
    <w:rsid w:val="466405CE"/>
    <w:rsid w:val="46645A59"/>
    <w:rsid w:val="46672A82"/>
    <w:rsid w:val="46674E60"/>
    <w:rsid w:val="4667509D"/>
    <w:rsid w:val="466B2CE0"/>
    <w:rsid w:val="466D2E1C"/>
    <w:rsid w:val="466E309D"/>
    <w:rsid w:val="466F3D00"/>
    <w:rsid w:val="467105DE"/>
    <w:rsid w:val="467658C4"/>
    <w:rsid w:val="467676D8"/>
    <w:rsid w:val="467D516A"/>
    <w:rsid w:val="467E6919"/>
    <w:rsid w:val="46884D3E"/>
    <w:rsid w:val="468A764A"/>
    <w:rsid w:val="468C2814"/>
    <w:rsid w:val="468E14E4"/>
    <w:rsid w:val="4690085B"/>
    <w:rsid w:val="46917D04"/>
    <w:rsid w:val="46956D61"/>
    <w:rsid w:val="4697357F"/>
    <w:rsid w:val="46975846"/>
    <w:rsid w:val="469B73CF"/>
    <w:rsid w:val="469C49C8"/>
    <w:rsid w:val="469E0BD5"/>
    <w:rsid w:val="469E5F49"/>
    <w:rsid w:val="46A80977"/>
    <w:rsid w:val="46AC7AA3"/>
    <w:rsid w:val="46B47638"/>
    <w:rsid w:val="46B51967"/>
    <w:rsid w:val="46B532A5"/>
    <w:rsid w:val="46BA3535"/>
    <w:rsid w:val="46BD2BBD"/>
    <w:rsid w:val="46BD7E64"/>
    <w:rsid w:val="46C06900"/>
    <w:rsid w:val="46C31A9C"/>
    <w:rsid w:val="46D17F3A"/>
    <w:rsid w:val="46D462E6"/>
    <w:rsid w:val="46D858D5"/>
    <w:rsid w:val="46DF09EB"/>
    <w:rsid w:val="46E621D1"/>
    <w:rsid w:val="46ED62C8"/>
    <w:rsid w:val="46EE37D3"/>
    <w:rsid w:val="46F03B4B"/>
    <w:rsid w:val="46F53F4E"/>
    <w:rsid w:val="46F7413C"/>
    <w:rsid w:val="46FA769C"/>
    <w:rsid w:val="46FD6D15"/>
    <w:rsid w:val="47014F4F"/>
    <w:rsid w:val="47111EB3"/>
    <w:rsid w:val="47163FCD"/>
    <w:rsid w:val="47184150"/>
    <w:rsid w:val="471D1C3F"/>
    <w:rsid w:val="471E7A37"/>
    <w:rsid w:val="47205D8A"/>
    <w:rsid w:val="472114B4"/>
    <w:rsid w:val="47284BD9"/>
    <w:rsid w:val="47286124"/>
    <w:rsid w:val="4732340F"/>
    <w:rsid w:val="473C562E"/>
    <w:rsid w:val="47496F58"/>
    <w:rsid w:val="474C1F3C"/>
    <w:rsid w:val="47584802"/>
    <w:rsid w:val="475B2F34"/>
    <w:rsid w:val="476A1FFE"/>
    <w:rsid w:val="476C2769"/>
    <w:rsid w:val="476E3942"/>
    <w:rsid w:val="4771159A"/>
    <w:rsid w:val="4771514F"/>
    <w:rsid w:val="477D5103"/>
    <w:rsid w:val="477F3B60"/>
    <w:rsid w:val="47820ED4"/>
    <w:rsid w:val="478303D1"/>
    <w:rsid w:val="47842BBF"/>
    <w:rsid w:val="478D7324"/>
    <w:rsid w:val="479025D8"/>
    <w:rsid w:val="47916749"/>
    <w:rsid w:val="47932368"/>
    <w:rsid w:val="47936EC8"/>
    <w:rsid w:val="479D0560"/>
    <w:rsid w:val="479D24B5"/>
    <w:rsid w:val="479F5F46"/>
    <w:rsid w:val="47A143A2"/>
    <w:rsid w:val="47A83D42"/>
    <w:rsid w:val="47A8668E"/>
    <w:rsid w:val="47AF0734"/>
    <w:rsid w:val="47AF2BD7"/>
    <w:rsid w:val="47B07C20"/>
    <w:rsid w:val="47B21171"/>
    <w:rsid w:val="47B50725"/>
    <w:rsid w:val="47B63C33"/>
    <w:rsid w:val="47BA49C9"/>
    <w:rsid w:val="47BD6727"/>
    <w:rsid w:val="47BE64E6"/>
    <w:rsid w:val="47BE73FC"/>
    <w:rsid w:val="47C214C5"/>
    <w:rsid w:val="47C32790"/>
    <w:rsid w:val="47CA33F6"/>
    <w:rsid w:val="47CA5B7F"/>
    <w:rsid w:val="47CC533E"/>
    <w:rsid w:val="47CD2147"/>
    <w:rsid w:val="47D01AF4"/>
    <w:rsid w:val="47D13DD4"/>
    <w:rsid w:val="47D20394"/>
    <w:rsid w:val="47DB64C9"/>
    <w:rsid w:val="47DB6D82"/>
    <w:rsid w:val="47DC4010"/>
    <w:rsid w:val="47DE385A"/>
    <w:rsid w:val="47DF3068"/>
    <w:rsid w:val="47E23631"/>
    <w:rsid w:val="47E800AD"/>
    <w:rsid w:val="47F2797E"/>
    <w:rsid w:val="48002406"/>
    <w:rsid w:val="480058EC"/>
    <w:rsid w:val="48031DB0"/>
    <w:rsid w:val="480C36CC"/>
    <w:rsid w:val="48104118"/>
    <w:rsid w:val="48134EDE"/>
    <w:rsid w:val="481761C7"/>
    <w:rsid w:val="481A533B"/>
    <w:rsid w:val="48202F63"/>
    <w:rsid w:val="48243022"/>
    <w:rsid w:val="4826781B"/>
    <w:rsid w:val="482D6593"/>
    <w:rsid w:val="483004A8"/>
    <w:rsid w:val="483159DA"/>
    <w:rsid w:val="48326E14"/>
    <w:rsid w:val="483A1602"/>
    <w:rsid w:val="483C1845"/>
    <w:rsid w:val="483D6445"/>
    <w:rsid w:val="48443C90"/>
    <w:rsid w:val="484B1F99"/>
    <w:rsid w:val="48511CF3"/>
    <w:rsid w:val="48550880"/>
    <w:rsid w:val="48551232"/>
    <w:rsid w:val="485536EB"/>
    <w:rsid w:val="48587156"/>
    <w:rsid w:val="485E7CC8"/>
    <w:rsid w:val="4860425D"/>
    <w:rsid w:val="48641D5A"/>
    <w:rsid w:val="48663546"/>
    <w:rsid w:val="48667C77"/>
    <w:rsid w:val="48677343"/>
    <w:rsid w:val="487746A8"/>
    <w:rsid w:val="487F3AE5"/>
    <w:rsid w:val="487F52F6"/>
    <w:rsid w:val="4880042B"/>
    <w:rsid w:val="48826283"/>
    <w:rsid w:val="48827D98"/>
    <w:rsid w:val="4884220F"/>
    <w:rsid w:val="488469BC"/>
    <w:rsid w:val="48863795"/>
    <w:rsid w:val="488D5B65"/>
    <w:rsid w:val="488D737C"/>
    <w:rsid w:val="48951E28"/>
    <w:rsid w:val="489803FA"/>
    <w:rsid w:val="489857A5"/>
    <w:rsid w:val="489E742C"/>
    <w:rsid w:val="489E7E2A"/>
    <w:rsid w:val="48A028AB"/>
    <w:rsid w:val="48A12C3C"/>
    <w:rsid w:val="48A347AA"/>
    <w:rsid w:val="48A67818"/>
    <w:rsid w:val="48A72F17"/>
    <w:rsid w:val="48A83600"/>
    <w:rsid w:val="48A87524"/>
    <w:rsid w:val="48AB2ECD"/>
    <w:rsid w:val="48AC2C1D"/>
    <w:rsid w:val="48AF53EA"/>
    <w:rsid w:val="48B27E40"/>
    <w:rsid w:val="48B365DE"/>
    <w:rsid w:val="48B76143"/>
    <w:rsid w:val="48B9796B"/>
    <w:rsid w:val="48BB2E72"/>
    <w:rsid w:val="48BE4C9B"/>
    <w:rsid w:val="48BF48E4"/>
    <w:rsid w:val="48CA1632"/>
    <w:rsid w:val="48D026A6"/>
    <w:rsid w:val="48D04500"/>
    <w:rsid w:val="48D12A65"/>
    <w:rsid w:val="48D43259"/>
    <w:rsid w:val="48D70C09"/>
    <w:rsid w:val="48D8767C"/>
    <w:rsid w:val="48E32F61"/>
    <w:rsid w:val="48E46C3C"/>
    <w:rsid w:val="48ED63AC"/>
    <w:rsid w:val="48F12978"/>
    <w:rsid w:val="48F4747B"/>
    <w:rsid w:val="4900260F"/>
    <w:rsid w:val="4904365A"/>
    <w:rsid w:val="490718DA"/>
    <w:rsid w:val="490B6CB3"/>
    <w:rsid w:val="490D0572"/>
    <w:rsid w:val="490E2821"/>
    <w:rsid w:val="490E3CB9"/>
    <w:rsid w:val="491868E5"/>
    <w:rsid w:val="492805BB"/>
    <w:rsid w:val="492E6B80"/>
    <w:rsid w:val="49327452"/>
    <w:rsid w:val="493560AE"/>
    <w:rsid w:val="493B3F23"/>
    <w:rsid w:val="493C0826"/>
    <w:rsid w:val="493D3DD1"/>
    <w:rsid w:val="493E7A90"/>
    <w:rsid w:val="494B2817"/>
    <w:rsid w:val="494E7669"/>
    <w:rsid w:val="494F782A"/>
    <w:rsid w:val="4951013C"/>
    <w:rsid w:val="49512A57"/>
    <w:rsid w:val="49576645"/>
    <w:rsid w:val="495A79FE"/>
    <w:rsid w:val="495F224E"/>
    <w:rsid w:val="495F5834"/>
    <w:rsid w:val="496A6945"/>
    <w:rsid w:val="496B4C67"/>
    <w:rsid w:val="496F29A9"/>
    <w:rsid w:val="496F384F"/>
    <w:rsid w:val="4976700B"/>
    <w:rsid w:val="497B7BE4"/>
    <w:rsid w:val="4982095B"/>
    <w:rsid w:val="498655B7"/>
    <w:rsid w:val="49901E04"/>
    <w:rsid w:val="49936616"/>
    <w:rsid w:val="49942410"/>
    <w:rsid w:val="499552B5"/>
    <w:rsid w:val="49981344"/>
    <w:rsid w:val="499B2674"/>
    <w:rsid w:val="499E605A"/>
    <w:rsid w:val="49A0700B"/>
    <w:rsid w:val="49A10BAB"/>
    <w:rsid w:val="49A800A8"/>
    <w:rsid w:val="49A80C47"/>
    <w:rsid w:val="49AA45AB"/>
    <w:rsid w:val="49AC37BC"/>
    <w:rsid w:val="49AC68A8"/>
    <w:rsid w:val="49AD5280"/>
    <w:rsid w:val="49B07AE2"/>
    <w:rsid w:val="49B24105"/>
    <w:rsid w:val="49B874D7"/>
    <w:rsid w:val="49CC2754"/>
    <w:rsid w:val="49CD3DD2"/>
    <w:rsid w:val="49D11768"/>
    <w:rsid w:val="49D600D0"/>
    <w:rsid w:val="49D767A1"/>
    <w:rsid w:val="49D9191F"/>
    <w:rsid w:val="49DC6240"/>
    <w:rsid w:val="49E27E21"/>
    <w:rsid w:val="49E454FC"/>
    <w:rsid w:val="49E56E7D"/>
    <w:rsid w:val="49E86D0F"/>
    <w:rsid w:val="49EA625A"/>
    <w:rsid w:val="49EC05D7"/>
    <w:rsid w:val="49EF3714"/>
    <w:rsid w:val="49EF475C"/>
    <w:rsid w:val="49F021BB"/>
    <w:rsid w:val="49F214EF"/>
    <w:rsid w:val="49F86199"/>
    <w:rsid w:val="49FC4DB5"/>
    <w:rsid w:val="49FD6FDA"/>
    <w:rsid w:val="4A003A2C"/>
    <w:rsid w:val="4A0A7205"/>
    <w:rsid w:val="4A0B1E0E"/>
    <w:rsid w:val="4A0C0A03"/>
    <w:rsid w:val="4A163074"/>
    <w:rsid w:val="4A1D7219"/>
    <w:rsid w:val="4A207B43"/>
    <w:rsid w:val="4A213573"/>
    <w:rsid w:val="4A231B42"/>
    <w:rsid w:val="4A233F84"/>
    <w:rsid w:val="4A24068E"/>
    <w:rsid w:val="4A254BBF"/>
    <w:rsid w:val="4A266BE3"/>
    <w:rsid w:val="4A27538E"/>
    <w:rsid w:val="4A2A3B30"/>
    <w:rsid w:val="4A2B4339"/>
    <w:rsid w:val="4A321F9C"/>
    <w:rsid w:val="4A356245"/>
    <w:rsid w:val="4A362D1F"/>
    <w:rsid w:val="4A39282B"/>
    <w:rsid w:val="4A3B52D6"/>
    <w:rsid w:val="4A434479"/>
    <w:rsid w:val="4A4464A7"/>
    <w:rsid w:val="4A487012"/>
    <w:rsid w:val="4A4C4157"/>
    <w:rsid w:val="4A4C4895"/>
    <w:rsid w:val="4A4C5090"/>
    <w:rsid w:val="4A4D772B"/>
    <w:rsid w:val="4A5617F3"/>
    <w:rsid w:val="4A563EB9"/>
    <w:rsid w:val="4A5647ED"/>
    <w:rsid w:val="4A5676E6"/>
    <w:rsid w:val="4A5F3945"/>
    <w:rsid w:val="4A5F3FB0"/>
    <w:rsid w:val="4A6118E0"/>
    <w:rsid w:val="4A663BB1"/>
    <w:rsid w:val="4A665814"/>
    <w:rsid w:val="4A70359E"/>
    <w:rsid w:val="4A746EF5"/>
    <w:rsid w:val="4A764064"/>
    <w:rsid w:val="4A767D68"/>
    <w:rsid w:val="4A7A05AA"/>
    <w:rsid w:val="4A7B59C1"/>
    <w:rsid w:val="4A7E212F"/>
    <w:rsid w:val="4A802994"/>
    <w:rsid w:val="4A837C67"/>
    <w:rsid w:val="4A85241B"/>
    <w:rsid w:val="4A8745B6"/>
    <w:rsid w:val="4A884777"/>
    <w:rsid w:val="4A8C02EE"/>
    <w:rsid w:val="4A8C59D7"/>
    <w:rsid w:val="4A8D2253"/>
    <w:rsid w:val="4A8D6D6D"/>
    <w:rsid w:val="4A8F2BD7"/>
    <w:rsid w:val="4A941957"/>
    <w:rsid w:val="4A952869"/>
    <w:rsid w:val="4A9A6D41"/>
    <w:rsid w:val="4AA354D9"/>
    <w:rsid w:val="4AA47378"/>
    <w:rsid w:val="4AA643B3"/>
    <w:rsid w:val="4AA82E5E"/>
    <w:rsid w:val="4AB36039"/>
    <w:rsid w:val="4AB459E6"/>
    <w:rsid w:val="4AB53F04"/>
    <w:rsid w:val="4AB56827"/>
    <w:rsid w:val="4AB6371D"/>
    <w:rsid w:val="4AB92A9B"/>
    <w:rsid w:val="4AB95725"/>
    <w:rsid w:val="4AB97C54"/>
    <w:rsid w:val="4ABB635B"/>
    <w:rsid w:val="4ABC6AA8"/>
    <w:rsid w:val="4ABE4A89"/>
    <w:rsid w:val="4AC40C07"/>
    <w:rsid w:val="4AC565F9"/>
    <w:rsid w:val="4ACE7E35"/>
    <w:rsid w:val="4AD329F4"/>
    <w:rsid w:val="4AD80D38"/>
    <w:rsid w:val="4AD849E2"/>
    <w:rsid w:val="4AE65473"/>
    <w:rsid w:val="4AEA120B"/>
    <w:rsid w:val="4AF20042"/>
    <w:rsid w:val="4AF30E2E"/>
    <w:rsid w:val="4AF65031"/>
    <w:rsid w:val="4AF92D66"/>
    <w:rsid w:val="4AF96660"/>
    <w:rsid w:val="4AFC036F"/>
    <w:rsid w:val="4AFD2237"/>
    <w:rsid w:val="4AFE3070"/>
    <w:rsid w:val="4B025433"/>
    <w:rsid w:val="4B097D3D"/>
    <w:rsid w:val="4B11183E"/>
    <w:rsid w:val="4B114BA4"/>
    <w:rsid w:val="4B1310E7"/>
    <w:rsid w:val="4B164FC0"/>
    <w:rsid w:val="4B1A2A77"/>
    <w:rsid w:val="4B256D82"/>
    <w:rsid w:val="4B27397E"/>
    <w:rsid w:val="4B277483"/>
    <w:rsid w:val="4B2B5C98"/>
    <w:rsid w:val="4B2C2AEC"/>
    <w:rsid w:val="4B2D3923"/>
    <w:rsid w:val="4B2E7DD4"/>
    <w:rsid w:val="4B3073D3"/>
    <w:rsid w:val="4B3139D1"/>
    <w:rsid w:val="4B3263A7"/>
    <w:rsid w:val="4B346A85"/>
    <w:rsid w:val="4B3479F6"/>
    <w:rsid w:val="4B35311E"/>
    <w:rsid w:val="4B36330F"/>
    <w:rsid w:val="4B384224"/>
    <w:rsid w:val="4B3847AB"/>
    <w:rsid w:val="4B3F42A7"/>
    <w:rsid w:val="4B3F5E3A"/>
    <w:rsid w:val="4B410FF9"/>
    <w:rsid w:val="4B476769"/>
    <w:rsid w:val="4B4E5EF2"/>
    <w:rsid w:val="4B50680B"/>
    <w:rsid w:val="4B56076F"/>
    <w:rsid w:val="4B5740D4"/>
    <w:rsid w:val="4B5769EE"/>
    <w:rsid w:val="4B5B4592"/>
    <w:rsid w:val="4B65608F"/>
    <w:rsid w:val="4B670767"/>
    <w:rsid w:val="4B6E66A7"/>
    <w:rsid w:val="4B730DEF"/>
    <w:rsid w:val="4B77256B"/>
    <w:rsid w:val="4B7C7897"/>
    <w:rsid w:val="4B7D5482"/>
    <w:rsid w:val="4B806CB3"/>
    <w:rsid w:val="4B8150DA"/>
    <w:rsid w:val="4B83273C"/>
    <w:rsid w:val="4B890A4E"/>
    <w:rsid w:val="4B8E761E"/>
    <w:rsid w:val="4B914058"/>
    <w:rsid w:val="4B914B84"/>
    <w:rsid w:val="4B926B22"/>
    <w:rsid w:val="4B983E5C"/>
    <w:rsid w:val="4B9B7530"/>
    <w:rsid w:val="4B9C5A1F"/>
    <w:rsid w:val="4BA10F7A"/>
    <w:rsid w:val="4BA47379"/>
    <w:rsid w:val="4BAE00DB"/>
    <w:rsid w:val="4BAF1783"/>
    <w:rsid w:val="4BAF3394"/>
    <w:rsid w:val="4BB35B78"/>
    <w:rsid w:val="4BC0719D"/>
    <w:rsid w:val="4BC33DB7"/>
    <w:rsid w:val="4BC8031B"/>
    <w:rsid w:val="4BCA16D2"/>
    <w:rsid w:val="4BCB2739"/>
    <w:rsid w:val="4BD16405"/>
    <w:rsid w:val="4BD3034D"/>
    <w:rsid w:val="4BD93248"/>
    <w:rsid w:val="4BD97E3F"/>
    <w:rsid w:val="4BDB3328"/>
    <w:rsid w:val="4BE30D0A"/>
    <w:rsid w:val="4BE31E95"/>
    <w:rsid w:val="4BEC3F94"/>
    <w:rsid w:val="4BF21C49"/>
    <w:rsid w:val="4BF5487E"/>
    <w:rsid w:val="4BFB060E"/>
    <w:rsid w:val="4BFB38F0"/>
    <w:rsid w:val="4C0616B3"/>
    <w:rsid w:val="4C0851EF"/>
    <w:rsid w:val="4C0A301F"/>
    <w:rsid w:val="4C0A3EDE"/>
    <w:rsid w:val="4C0C03BB"/>
    <w:rsid w:val="4C126DD5"/>
    <w:rsid w:val="4C134867"/>
    <w:rsid w:val="4C135D38"/>
    <w:rsid w:val="4C161FE1"/>
    <w:rsid w:val="4C17694B"/>
    <w:rsid w:val="4C1A3299"/>
    <w:rsid w:val="4C205E8A"/>
    <w:rsid w:val="4C231829"/>
    <w:rsid w:val="4C260855"/>
    <w:rsid w:val="4C2A4C80"/>
    <w:rsid w:val="4C2A5C2C"/>
    <w:rsid w:val="4C39008A"/>
    <w:rsid w:val="4C3B54BE"/>
    <w:rsid w:val="4C460819"/>
    <w:rsid w:val="4C476862"/>
    <w:rsid w:val="4C4A5F38"/>
    <w:rsid w:val="4C5732DC"/>
    <w:rsid w:val="4C591820"/>
    <w:rsid w:val="4C5C10A5"/>
    <w:rsid w:val="4C5C34C7"/>
    <w:rsid w:val="4C5D690C"/>
    <w:rsid w:val="4C6112D4"/>
    <w:rsid w:val="4C654CF9"/>
    <w:rsid w:val="4C68738E"/>
    <w:rsid w:val="4C6D3645"/>
    <w:rsid w:val="4C720537"/>
    <w:rsid w:val="4C750B52"/>
    <w:rsid w:val="4C763A77"/>
    <w:rsid w:val="4C7661CD"/>
    <w:rsid w:val="4C7708B2"/>
    <w:rsid w:val="4C7824EC"/>
    <w:rsid w:val="4C7B06CE"/>
    <w:rsid w:val="4C804ECE"/>
    <w:rsid w:val="4C8C4471"/>
    <w:rsid w:val="4C8F662F"/>
    <w:rsid w:val="4C900C37"/>
    <w:rsid w:val="4C911DC8"/>
    <w:rsid w:val="4C92075D"/>
    <w:rsid w:val="4C931DA8"/>
    <w:rsid w:val="4C9B6CA9"/>
    <w:rsid w:val="4CA50490"/>
    <w:rsid w:val="4CA56812"/>
    <w:rsid w:val="4CA7765E"/>
    <w:rsid w:val="4CAA4268"/>
    <w:rsid w:val="4CAB04DB"/>
    <w:rsid w:val="4CAB3EDA"/>
    <w:rsid w:val="4CAC2FF4"/>
    <w:rsid w:val="4CAD50B1"/>
    <w:rsid w:val="4CAD6DD3"/>
    <w:rsid w:val="4CB057BC"/>
    <w:rsid w:val="4CB30DFF"/>
    <w:rsid w:val="4CB61B37"/>
    <w:rsid w:val="4CB71DC1"/>
    <w:rsid w:val="4CB8338E"/>
    <w:rsid w:val="4CC15703"/>
    <w:rsid w:val="4CC42378"/>
    <w:rsid w:val="4CCB1D80"/>
    <w:rsid w:val="4CCF2926"/>
    <w:rsid w:val="4CD40988"/>
    <w:rsid w:val="4CD54ADB"/>
    <w:rsid w:val="4CD77E1B"/>
    <w:rsid w:val="4CD8164E"/>
    <w:rsid w:val="4CDB3117"/>
    <w:rsid w:val="4CDC6B89"/>
    <w:rsid w:val="4CDE5575"/>
    <w:rsid w:val="4CE25249"/>
    <w:rsid w:val="4CE44759"/>
    <w:rsid w:val="4CE865CF"/>
    <w:rsid w:val="4CE920AB"/>
    <w:rsid w:val="4CEA03D9"/>
    <w:rsid w:val="4D036FA2"/>
    <w:rsid w:val="4D0C2D28"/>
    <w:rsid w:val="4D135D42"/>
    <w:rsid w:val="4D1457CB"/>
    <w:rsid w:val="4D193597"/>
    <w:rsid w:val="4D1E6698"/>
    <w:rsid w:val="4D1F4E7D"/>
    <w:rsid w:val="4D264B0B"/>
    <w:rsid w:val="4D270653"/>
    <w:rsid w:val="4D2A61D5"/>
    <w:rsid w:val="4D2E5D47"/>
    <w:rsid w:val="4D337707"/>
    <w:rsid w:val="4D392848"/>
    <w:rsid w:val="4D441F63"/>
    <w:rsid w:val="4D483C7A"/>
    <w:rsid w:val="4D493B9D"/>
    <w:rsid w:val="4D4A62C6"/>
    <w:rsid w:val="4D5035B5"/>
    <w:rsid w:val="4D551C48"/>
    <w:rsid w:val="4D57147E"/>
    <w:rsid w:val="4D583426"/>
    <w:rsid w:val="4D5B63A5"/>
    <w:rsid w:val="4D5B6D3A"/>
    <w:rsid w:val="4D5C49A2"/>
    <w:rsid w:val="4D5E4210"/>
    <w:rsid w:val="4D5F1345"/>
    <w:rsid w:val="4D645E65"/>
    <w:rsid w:val="4D6E2F0E"/>
    <w:rsid w:val="4D710638"/>
    <w:rsid w:val="4D765C85"/>
    <w:rsid w:val="4D7737C2"/>
    <w:rsid w:val="4D77400B"/>
    <w:rsid w:val="4D7E2A4E"/>
    <w:rsid w:val="4D8010DF"/>
    <w:rsid w:val="4D853345"/>
    <w:rsid w:val="4D8A7D8E"/>
    <w:rsid w:val="4D901140"/>
    <w:rsid w:val="4D974618"/>
    <w:rsid w:val="4D9C320E"/>
    <w:rsid w:val="4D9D1DB3"/>
    <w:rsid w:val="4D9D5DA8"/>
    <w:rsid w:val="4DA53D62"/>
    <w:rsid w:val="4DA5531C"/>
    <w:rsid w:val="4DA72BCE"/>
    <w:rsid w:val="4DA97E2A"/>
    <w:rsid w:val="4DAC5535"/>
    <w:rsid w:val="4DAF0985"/>
    <w:rsid w:val="4DB03590"/>
    <w:rsid w:val="4DB05A80"/>
    <w:rsid w:val="4DB277A1"/>
    <w:rsid w:val="4DB67811"/>
    <w:rsid w:val="4DB70907"/>
    <w:rsid w:val="4DBA4141"/>
    <w:rsid w:val="4DBF14B8"/>
    <w:rsid w:val="4DC0296C"/>
    <w:rsid w:val="4DC02F32"/>
    <w:rsid w:val="4DC341CE"/>
    <w:rsid w:val="4DC56314"/>
    <w:rsid w:val="4DC92BCA"/>
    <w:rsid w:val="4DCE7CB9"/>
    <w:rsid w:val="4DD013CF"/>
    <w:rsid w:val="4DD359B4"/>
    <w:rsid w:val="4DD43C82"/>
    <w:rsid w:val="4DD5372C"/>
    <w:rsid w:val="4DD671B5"/>
    <w:rsid w:val="4DD83353"/>
    <w:rsid w:val="4DE4148C"/>
    <w:rsid w:val="4DE7548D"/>
    <w:rsid w:val="4DF24CE9"/>
    <w:rsid w:val="4DF36940"/>
    <w:rsid w:val="4DF51172"/>
    <w:rsid w:val="4DFA7CC5"/>
    <w:rsid w:val="4DFB606F"/>
    <w:rsid w:val="4E05476B"/>
    <w:rsid w:val="4E0662D9"/>
    <w:rsid w:val="4E081D31"/>
    <w:rsid w:val="4E0D318A"/>
    <w:rsid w:val="4E107799"/>
    <w:rsid w:val="4E143F87"/>
    <w:rsid w:val="4E1853A9"/>
    <w:rsid w:val="4E191B10"/>
    <w:rsid w:val="4E194A72"/>
    <w:rsid w:val="4E1C2C3B"/>
    <w:rsid w:val="4E205F3F"/>
    <w:rsid w:val="4E2271DA"/>
    <w:rsid w:val="4E2561EF"/>
    <w:rsid w:val="4E2745E7"/>
    <w:rsid w:val="4E284E1A"/>
    <w:rsid w:val="4E2C3DE8"/>
    <w:rsid w:val="4E404914"/>
    <w:rsid w:val="4E42063F"/>
    <w:rsid w:val="4E464837"/>
    <w:rsid w:val="4E534135"/>
    <w:rsid w:val="4E535FEA"/>
    <w:rsid w:val="4E55208B"/>
    <w:rsid w:val="4E5A2ECF"/>
    <w:rsid w:val="4E5C6D04"/>
    <w:rsid w:val="4E612956"/>
    <w:rsid w:val="4E632D4E"/>
    <w:rsid w:val="4E650259"/>
    <w:rsid w:val="4E6C5709"/>
    <w:rsid w:val="4E6E6066"/>
    <w:rsid w:val="4E74211C"/>
    <w:rsid w:val="4E75158A"/>
    <w:rsid w:val="4E7520E4"/>
    <w:rsid w:val="4E790394"/>
    <w:rsid w:val="4E796118"/>
    <w:rsid w:val="4E7B506E"/>
    <w:rsid w:val="4E877D5A"/>
    <w:rsid w:val="4E9455A2"/>
    <w:rsid w:val="4E950B5B"/>
    <w:rsid w:val="4E9C5D6A"/>
    <w:rsid w:val="4E9D3659"/>
    <w:rsid w:val="4E9F3A03"/>
    <w:rsid w:val="4EA01D5C"/>
    <w:rsid w:val="4EA74130"/>
    <w:rsid w:val="4EAA7184"/>
    <w:rsid w:val="4EAE5AE6"/>
    <w:rsid w:val="4EAE608B"/>
    <w:rsid w:val="4EAF4555"/>
    <w:rsid w:val="4EB01133"/>
    <w:rsid w:val="4EB920E6"/>
    <w:rsid w:val="4EBF487C"/>
    <w:rsid w:val="4EC00C3F"/>
    <w:rsid w:val="4EC06424"/>
    <w:rsid w:val="4EC17DFA"/>
    <w:rsid w:val="4EC3721A"/>
    <w:rsid w:val="4EC67FF3"/>
    <w:rsid w:val="4EC76DE4"/>
    <w:rsid w:val="4ECD1FB7"/>
    <w:rsid w:val="4ED013E4"/>
    <w:rsid w:val="4ED2024A"/>
    <w:rsid w:val="4ED41501"/>
    <w:rsid w:val="4EE3065B"/>
    <w:rsid w:val="4EE337C4"/>
    <w:rsid w:val="4EE67BCA"/>
    <w:rsid w:val="4EE97E2E"/>
    <w:rsid w:val="4EEA1F5E"/>
    <w:rsid w:val="4EEF6C93"/>
    <w:rsid w:val="4EF15EF3"/>
    <w:rsid w:val="4EF76852"/>
    <w:rsid w:val="4EFB08C7"/>
    <w:rsid w:val="4EFB49A8"/>
    <w:rsid w:val="4EFC68DD"/>
    <w:rsid w:val="4EFD2D29"/>
    <w:rsid w:val="4EFF6855"/>
    <w:rsid w:val="4F024EC7"/>
    <w:rsid w:val="4F037D31"/>
    <w:rsid w:val="4F0B3174"/>
    <w:rsid w:val="4F0D10B9"/>
    <w:rsid w:val="4F0E056F"/>
    <w:rsid w:val="4F0F66CF"/>
    <w:rsid w:val="4F16669D"/>
    <w:rsid w:val="4F263169"/>
    <w:rsid w:val="4F271309"/>
    <w:rsid w:val="4F2846D2"/>
    <w:rsid w:val="4F29214E"/>
    <w:rsid w:val="4F2E36DB"/>
    <w:rsid w:val="4F2E6D99"/>
    <w:rsid w:val="4F2F2D0D"/>
    <w:rsid w:val="4F2F7DC6"/>
    <w:rsid w:val="4F3113E5"/>
    <w:rsid w:val="4F333760"/>
    <w:rsid w:val="4F412DF9"/>
    <w:rsid w:val="4F420E00"/>
    <w:rsid w:val="4F487594"/>
    <w:rsid w:val="4F4D33E1"/>
    <w:rsid w:val="4F5D085A"/>
    <w:rsid w:val="4F5F10EB"/>
    <w:rsid w:val="4F7A31C1"/>
    <w:rsid w:val="4F8353A9"/>
    <w:rsid w:val="4F863E49"/>
    <w:rsid w:val="4F864327"/>
    <w:rsid w:val="4F8664E6"/>
    <w:rsid w:val="4F8E0153"/>
    <w:rsid w:val="4F9123BA"/>
    <w:rsid w:val="4F926F84"/>
    <w:rsid w:val="4F946284"/>
    <w:rsid w:val="4F965C0B"/>
    <w:rsid w:val="4F9D32E4"/>
    <w:rsid w:val="4F9D4D9E"/>
    <w:rsid w:val="4F9E1B3A"/>
    <w:rsid w:val="4FA44B83"/>
    <w:rsid w:val="4FA47125"/>
    <w:rsid w:val="4FA47F62"/>
    <w:rsid w:val="4FA605A6"/>
    <w:rsid w:val="4FA64965"/>
    <w:rsid w:val="4FB00C62"/>
    <w:rsid w:val="4FB358C7"/>
    <w:rsid w:val="4FB4602D"/>
    <w:rsid w:val="4FB80DDD"/>
    <w:rsid w:val="4FBB165E"/>
    <w:rsid w:val="4FC06D9E"/>
    <w:rsid w:val="4FC53C60"/>
    <w:rsid w:val="4FC83BF5"/>
    <w:rsid w:val="4FCE746C"/>
    <w:rsid w:val="4FD70FC8"/>
    <w:rsid w:val="4FD76FAF"/>
    <w:rsid w:val="4FD90486"/>
    <w:rsid w:val="4FDC1D0B"/>
    <w:rsid w:val="4FDE2207"/>
    <w:rsid w:val="4FE02536"/>
    <w:rsid w:val="4FE11858"/>
    <w:rsid w:val="4FE5221C"/>
    <w:rsid w:val="4FE9475B"/>
    <w:rsid w:val="4FEB52E2"/>
    <w:rsid w:val="4FEE214E"/>
    <w:rsid w:val="4FF8171B"/>
    <w:rsid w:val="4FF879C7"/>
    <w:rsid w:val="4FFA4DD2"/>
    <w:rsid w:val="50026E65"/>
    <w:rsid w:val="500505D9"/>
    <w:rsid w:val="50054AEF"/>
    <w:rsid w:val="5006174B"/>
    <w:rsid w:val="50093F5E"/>
    <w:rsid w:val="500B3954"/>
    <w:rsid w:val="500E0157"/>
    <w:rsid w:val="50141B34"/>
    <w:rsid w:val="50177902"/>
    <w:rsid w:val="50183CDA"/>
    <w:rsid w:val="501971E1"/>
    <w:rsid w:val="501B265E"/>
    <w:rsid w:val="501D0515"/>
    <w:rsid w:val="50214F68"/>
    <w:rsid w:val="50247218"/>
    <w:rsid w:val="502F6CD4"/>
    <w:rsid w:val="50346604"/>
    <w:rsid w:val="50366467"/>
    <w:rsid w:val="503737A6"/>
    <w:rsid w:val="503862C7"/>
    <w:rsid w:val="503A5994"/>
    <w:rsid w:val="503C580B"/>
    <w:rsid w:val="503D7511"/>
    <w:rsid w:val="503E68CD"/>
    <w:rsid w:val="50446D1C"/>
    <w:rsid w:val="50453AE9"/>
    <w:rsid w:val="504607EA"/>
    <w:rsid w:val="504774E9"/>
    <w:rsid w:val="50482B34"/>
    <w:rsid w:val="504D3319"/>
    <w:rsid w:val="504F621D"/>
    <w:rsid w:val="50563037"/>
    <w:rsid w:val="50684E13"/>
    <w:rsid w:val="506A205B"/>
    <w:rsid w:val="506F1C65"/>
    <w:rsid w:val="50721A76"/>
    <w:rsid w:val="50742D01"/>
    <w:rsid w:val="5074776F"/>
    <w:rsid w:val="507B7336"/>
    <w:rsid w:val="508236E6"/>
    <w:rsid w:val="50872332"/>
    <w:rsid w:val="508E01DC"/>
    <w:rsid w:val="508F44C3"/>
    <w:rsid w:val="50915827"/>
    <w:rsid w:val="50963581"/>
    <w:rsid w:val="509E2397"/>
    <w:rsid w:val="50A2665D"/>
    <w:rsid w:val="50B04EEC"/>
    <w:rsid w:val="50B45F87"/>
    <w:rsid w:val="50B762E2"/>
    <w:rsid w:val="50BD10BE"/>
    <w:rsid w:val="50C3503D"/>
    <w:rsid w:val="50C633C0"/>
    <w:rsid w:val="50CA1E50"/>
    <w:rsid w:val="50CB69B0"/>
    <w:rsid w:val="50D53873"/>
    <w:rsid w:val="50D6330E"/>
    <w:rsid w:val="50DA0369"/>
    <w:rsid w:val="50DA6BB3"/>
    <w:rsid w:val="50E67C23"/>
    <w:rsid w:val="50EA707B"/>
    <w:rsid w:val="50ED7ED5"/>
    <w:rsid w:val="50F00D64"/>
    <w:rsid w:val="50F1639A"/>
    <w:rsid w:val="50F4253E"/>
    <w:rsid w:val="50F46861"/>
    <w:rsid w:val="50F971EB"/>
    <w:rsid w:val="51025944"/>
    <w:rsid w:val="51025D03"/>
    <w:rsid w:val="51053BF3"/>
    <w:rsid w:val="51060F79"/>
    <w:rsid w:val="510942A9"/>
    <w:rsid w:val="510C43EE"/>
    <w:rsid w:val="51112274"/>
    <w:rsid w:val="511219B1"/>
    <w:rsid w:val="51157498"/>
    <w:rsid w:val="511931B2"/>
    <w:rsid w:val="5119769F"/>
    <w:rsid w:val="511B4D02"/>
    <w:rsid w:val="51284D49"/>
    <w:rsid w:val="512B3500"/>
    <w:rsid w:val="513323C6"/>
    <w:rsid w:val="51365736"/>
    <w:rsid w:val="51365B56"/>
    <w:rsid w:val="513C591A"/>
    <w:rsid w:val="513C5B6A"/>
    <w:rsid w:val="513D4289"/>
    <w:rsid w:val="51422A0A"/>
    <w:rsid w:val="51425190"/>
    <w:rsid w:val="51465FA9"/>
    <w:rsid w:val="51482FEA"/>
    <w:rsid w:val="514968A4"/>
    <w:rsid w:val="514C1969"/>
    <w:rsid w:val="514C2EFA"/>
    <w:rsid w:val="515C4893"/>
    <w:rsid w:val="515F0E61"/>
    <w:rsid w:val="51650F4B"/>
    <w:rsid w:val="51653A6E"/>
    <w:rsid w:val="51653F57"/>
    <w:rsid w:val="516657FF"/>
    <w:rsid w:val="51697153"/>
    <w:rsid w:val="516B14C3"/>
    <w:rsid w:val="517372F5"/>
    <w:rsid w:val="5176689F"/>
    <w:rsid w:val="517B6017"/>
    <w:rsid w:val="518076FC"/>
    <w:rsid w:val="51836CF5"/>
    <w:rsid w:val="518468BE"/>
    <w:rsid w:val="518877DB"/>
    <w:rsid w:val="518A0F75"/>
    <w:rsid w:val="518E6F6F"/>
    <w:rsid w:val="5195636A"/>
    <w:rsid w:val="51960AD2"/>
    <w:rsid w:val="519712E0"/>
    <w:rsid w:val="519947F8"/>
    <w:rsid w:val="519A093C"/>
    <w:rsid w:val="51A24227"/>
    <w:rsid w:val="51A33CC1"/>
    <w:rsid w:val="51A52CE0"/>
    <w:rsid w:val="51A55BB9"/>
    <w:rsid w:val="51A64CD2"/>
    <w:rsid w:val="51A83990"/>
    <w:rsid w:val="51AB0620"/>
    <w:rsid w:val="51AE448C"/>
    <w:rsid w:val="51B1567E"/>
    <w:rsid w:val="51B37A55"/>
    <w:rsid w:val="51C373D4"/>
    <w:rsid w:val="51C44F4A"/>
    <w:rsid w:val="51C62BC4"/>
    <w:rsid w:val="51C71DD3"/>
    <w:rsid w:val="51CC41FA"/>
    <w:rsid w:val="51D04721"/>
    <w:rsid w:val="51D202E3"/>
    <w:rsid w:val="51D41FA9"/>
    <w:rsid w:val="51DA5491"/>
    <w:rsid w:val="51DC30EE"/>
    <w:rsid w:val="51DF61F2"/>
    <w:rsid w:val="51E05D03"/>
    <w:rsid w:val="51E6359F"/>
    <w:rsid w:val="51E76E38"/>
    <w:rsid w:val="51EC7024"/>
    <w:rsid w:val="51F010AD"/>
    <w:rsid w:val="51FE7C18"/>
    <w:rsid w:val="52013495"/>
    <w:rsid w:val="52036D9A"/>
    <w:rsid w:val="52040016"/>
    <w:rsid w:val="52076E0E"/>
    <w:rsid w:val="520B03E6"/>
    <w:rsid w:val="520B69AB"/>
    <w:rsid w:val="520C05A8"/>
    <w:rsid w:val="52112935"/>
    <w:rsid w:val="52170FD9"/>
    <w:rsid w:val="521A0758"/>
    <w:rsid w:val="522039C6"/>
    <w:rsid w:val="52281FEE"/>
    <w:rsid w:val="522950FD"/>
    <w:rsid w:val="522A060B"/>
    <w:rsid w:val="522A7093"/>
    <w:rsid w:val="522D6E3D"/>
    <w:rsid w:val="522F1F0D"/>
    <w:rsid w:val="52336900"/>
    <w:rsid w:val="52352C34"/>
    <w:rsid w:val="52355AE4"/>
    <w:rsid w:val="5237121D"/>
    <w:rsid w:val="52394174"/>
    <w:rsid w:val="523B44C9"/>
    <w:rsid w:val="523B6476"/>
    <w:rsid w:val="523D1428"/>
    <w:rsid w:val="523E5BEE"/>
    <w:rsid w:val="52462C1E"/>
    <w:rsid w:val="524C6F47"/>
    <w:rsid w:val="5252515F"/>
    <w:rsid w:val="525376C5"/>
    <w:rsid w:val="52576514"/>
    <w:rsid w:val="52631B61"/>
    <w:rsid w:val="526536A7"/>
    <w:rsid w:val="526606C2"/>
    <w:rsid w:val="526810FF"/>
    <w:rsid w:val="526A7A80"/>
    <w:rsid w:val="526B17A1"/>
    <w:rsid w:val="526E563E"/>
    <w:rsid w:val="526F516B"/>
    <w:rsid w:val="527205D0"/>
    <w:rsid w:val="52765094"/>
    <w:rsid w:val="527B57CD"/>
    <w:rsid w:val="5284617D"/>
    <w:rsid w:val="528A23EF"/>
    <w:rsid w:val="528D4FC8"/>
    <w:rsid w:val="52906522"/>
    <w:rsid w:val="5297032F"/>
    <w:rsid w:val="52992845"/>
    <w:rsid w:val="529B0012"/>
    <w:rsid w:val="52A15B9E"/>
    <w:rsid w:val="52A174E0"/>
    <w:rsid w:val="52A17705"/>
    <w:rsid w:val="52A67716"/>
    <w:rsid w:val="52A750D4"/>
    <w:rsid w:val="52A90CC3"/>
    <w:rsid w:val="52B05170"/>
    <w:rsid w:val="52B055DB"/>
    <w:rsid w:val="52B236F1"/>
    <w:rsid w:val="52B337B8"/>
    <w:rsid w:val="52B8179A"/>
    <w:rsid w:val="52B81D51"/>
    <w:rsid w:val="52BA27BB"/>
    <w:rsid w:val="52BB3775"/>
    <w:rsid w:val="52BC29D7"/>
    <w:rsid w:val="52BD686A"/>
    <w:rsid w:val="52C57AEA"/>
    <w:rsid w:val="52D04A3C"/>
    <w:rsid w:val="52D05583"/>
    <w:rsid w:val="52D10EBE"/>
    <w:rsid w:val="52D6332C"/>
    <w:rsid w:val="52D72F1B"/>
    <w:rsid w:val="52DD6187"/>
    <w:rsid w:val="52E23482"/>
    <w:rsid w:val="52E5627B"/>
    <w:rsid w:val="52EB1A17"/>
    <w:rsid w:val="52F20018"/>
    <w:rsid w:val="52F25A5C"/>
    <w:rsid w:val="52F537F4"/>
    <w:rsid w:val="52FA3185"/>
    <w:rsid w:val="52FC2836"/>
    <w:rsid w:val="53004672"/>
    <w:rsid w:val="53055F02"/>
    <w:rsid w:val="530B0A0E"/>
    <w:rsid w:val="530C5AA4"/>
    <w:rsid w:val="53111A06"/>
    <w:rsid w:val="53112A2C"/>
    <w:rsid w:val="531243A6"/>
    <w:rsid w:val="53150A36"/>
    <w:rsid w:val="531A0149"/>
    <w:rsid w:val="53205A4E"/>
    <w:rsid w:val="53222C5B"/>
    <w:rsid w:val="53230361"/>
    <w:rsid w:val="53280A97"/>
    <w:rsid w:val="53285514"/>
    <w:rsid w:val="53297DDD"/>
    <w:rsid w:val="532C1F06"/>
    <w:rsid w:val="53353630"/>
    <w:rsid w:val="533C3C0D"/>
    <w:rsid w:val="533D4D33"/>
    <w:rsid w:val="533E33EC"/>
    <w:rsid w:val="533F1619"/>
    <w:rsid w:val="53413EB4"/>
    <w:rsid w:val="534229D1"/>
    <w:rsid w:val="534643BE"/>
    <w:rsid w:val="534935B1"/>
    <w:rsid w:val="534A2ACE"/>
    <w:rsid w:val="534A56F5"/>
    <w:rsid w:val="534B2879"/>
    <w:rsid w:val="534C7991"/>
    <w:rsid w:val="534D4DA4"/>
    <w:rsid w:val="535013D8"/>
    <w:rsid w:val="53531940"/>
    <w:rsid w:val="53584885"/>
    <w:rsid w:val="5359377C"/>
    <w:rsid w:val="53595B25"/>
    <w:rsid w:val="535960C6"/>
    <w:rsid w:val="535B08E9"/>
    <w:rsid w:val="53612643"/>
    <w:rsid w:val="5362063F"/>
    <w:rsid w:val="53645772"/>
    <w:rsid w:val="53646CEF"/>
    <w:rsid w:val="536A7603"/>
    <w:rsid w:val="536B427C"/>
    <w:rsid w:val="536D4964"/>
    <w:rsid w:val="537440B0"/>
    <w:rsid w:val="538143BC"/>
    <w:rsid w:val="53845DF5"/>
    <w:rsid w:val="5385768B"/>
    <w:rsid w:val="538663A6"/>
    <w:rsid w:val="538A60B0"/>
    <w:rsid w:val="538E2D38"/>
    <w:rsid w:val="538E470C"/>
    <w:rsid w:val="5390692A"/>
    <w:rsid w:val="53924F88"/>
    <w:rsid w:val="539A77F4"/>
    <w:rsid w:val="539B1E39"/>
    <w:rsid w:val="539C3F11"/>
    <w:rsid w:val="539E4973"/>
    <w:rsid w:val="53A3498E"/>
    <w:rsid w:val="53A616BE"/>
    <w:rsid w:val="53AB24A6"/>
    <w:rsid w:val="53AB4604"/>
    <w:rsid w:val="53AC0356"/>
    <w:rsid w:val="53B359D6"/>
    <w:rsid w:val="53BD2304"/>
    <w:rsid w:val="53BF7315"/>
    <w:rsid w:val="53D00145"/>
    <w:rsid w:val="53D34EE3"/>
    <w:rsid w:val="53D37FD9"/>
    <w:rsid w:val="53D708D1"/>
    <w:rsid w:val="53D801C1"/>
    <w:rsid w:val="53D855EF"/>
    <w:rsid w:val="53DD586D"/>
    <w:rsid w:val="53E35042"/>
    <w:rsid w:val="53E36B7F"/>
    <w:rsid w:val="53E44531"/>
    <w:rsid w:val="53E57664"/>
    <w:rsid w:val="53E602FA"/>
    <w:rsid w:val="53E65C2E"/>
    <w:rsid w:val="53E81EC2"/>
    <w:rsid w:val="53E94107"/>
    <w:rsid w:val="53EB0F4E"/>
    <w:rsid w:val="53EE1E04"/>
    <w:rsid w:val="53F34ADB"/>
    <w:rsid w:val="53F46F96"/>
    <w:rsid w:val="53F71F19"/>
    <w:rsid w:val="53FC2A7F"/>
    <w:rsid w:val="53FD6E7A"/>
    <w:rsid w:val="53FE2232"/>
    <w:rsid w:val="53FF79F7"/>
    <w:rsid w:val="5400062A"/>
    <w:rsid w:val="54056EA0"/>
    <w:rsid w:val="5408750A"/>
    <w:rsid w:val="54100030"/>
    <w:rsid w:val="54117CB7"/>
    <w:rsid w:val="541859EC"/>
    <w:rsid w:val="541C0A0E"/>
    <w:rsid w:val="541C77DD"/>
    <w:rsid w:val="541D5137"/>
    <w:rsid w:val="5423549C"/>
    <w:rsid w:val="542412B2"/>
    <w:rsid w:val="54273C81"/>
    <w:rsid w:val="542D6969"/>
    <w:rsid w:val="54316C36"/>
    <w:rsid w:val="54380BCE"/>
    <w:rsid w:val="54380DD8"/>
    <w:rsid w:val="54390055"/>
    <w:rsid w:val="54390714"/>
    <w:rsid w:val="54397EAA"/>
    <w:rsid w:val="543E6F90"/>
    <w:rsid w:val="54427152"/>
    <w:rsid w:val="544A7658"/>
    <w:rsid w:val="545142A9"/>
    <w:rsid w:val="545A0949"/>
    <w:rsid w:val="545E0C73"/>
    <w:rsid w:val="54607BB9"/>
    <w:rsid w:val="5462371A"/>
    <w:rsid w:val="54626B53"/>
    <w:rsid w:val="54661B18"/>
    <w:rsid w:val="5467297F"/>
    <w:rsid w:val="546A5FFA"/>
    <w:rsid w:val="5472334E"/>
    <w:rsid w:val="54743BB8"/>
    <w:rsid w:val="54755ADB"/>
    <w:rsid w:val="54782E02"/>
    <w:rsid w:val="54791FA9"/>
    <w:rsid w:val="547B00D9"/>
    <w:rsid w:val="54850626"/>
    <w:rsid w:val="548574CA"/>
    <w:rsid w:val="548D73EB"/>
    <w:rsid w:val="549065B1"/>
    <w:rsid w:val="54957FB7"/>
    <w:rsid w:val="54A101E4"/>
    <w:rsid w:val="54A808C7"/>
    <w:rsid w:val="54A9332B"/>
    <w:rsid w:val="54AA3F91"/>
    <w:rsid w:val="54AB7757"/>
    <w:rsid w:val="54B17A4E"/>
    <w:rsid w:val="54B417BF"/>
    <w:rsid w:val="54B57EBB"/>
    <w:rsid w:val="54B61F65"/>
    <w:rsid w:val="54B74A35"/>
    <w:rsid w:val="54B92B8C"/>
    <w:rsid w:val="54BA71B6"/>
    <w:rsid w:val="54BB2F47"/>
    <w:rsid w:val="54C117C9"/>
    <w:rsid w:val="54CC6056"/>
    <w:rsid w:val="54D026EB"/>
    <w:rsid w:val="54D10E69"/>
    <w:rsid w:val="54D76AC2"/>
    <w:rsid w:val="54D9065D"/>
    <w:rsid w:val="54E063D0"/>
    <w:rsid w:val="54E417E4"/>
    <w:rsid w:val="54E42C29"/>
    <w:rsid w:val="54E503CE"/>
    <w:rsid w:val="54E75AC3"/>
    <w:rsid w:val="54E91774"/>
    <w:rsid w:val="54ED0EDC"/>
    <w:rsid w:val="54EE236D"/>
    <w:rsid w:val="54EF59E7"/>
    <w:rsid w:val="54EF6BD6"/>
    <w:rsid w:val="54F5376B"/>
    <w:rsid w:val="54F72D64"/>
    <w:rsid w:val="550150BA"/>
    <w:rsid w:val="55036D3C"/>
    <w:rsid w:val="55062A5D"/>
    <w:rsid w:val="550E03D9"/>
    <w:rsid w:val="550E7DED"/>
    <w:rsid w:val="550F4910"/>
    <w:rsid w:val="55130773"/>
    <w:rsid w:val="55186324"/>
    <w:rsid w:val="55186D60"/>
    <w:rsid w:val="551878BB"/>
    <w:rsid w:val="55191695"/>
    <w:rsid w:val="55194A7E"/>
    <w:rsid w:val="551B057C"/>
    <w:rsid w:val="55216368"/>
    <w:rsid w:val="55252239"/>
    <w:rsid w:val="552A24A2"/>
    <w:rsid w:val="552D3A24"/>
    <w:rsid w:val="552F6782"/>
    <w:rsid w:val="55301478"/>
    <w:rsid w:val="5535422D"/>
    <w:rsid w:val="553E775C"/>
    <w:rsid w:val="55420869"/>
    <w:rsid w:val="55427042"/>
    <w:rsid w:val="55445741"/>
    <w:rsid w:val="554556F6"/>
    <w:rsid w:val="554B430F"/>
    <w:rsid w:val="555036FC"/>
    <w:rsid w:val="5551399D"/>
    <w:rsid w:val="55535C60"/>
    <w:rsid w:val="55562C6F"/>
    <w:rsid w:val="5558020B"/>
    <w:rsid w:val="556102FB"/>
    <w:rsid w:val="55623EE0"/>
    <w:rsid w:val="55624575"/>
    <w:rsid w:val="55640D61"/>
    <w:rsid w:val="556751C7"/>
    <w:rsid w:val="55696E75"/>
    <w:rsid w:val="556A2274"/>
    <w:rsid w:val="556A7249"/>
    <w:rsid w:val="556E5C27"/>
    <w:rsid w:val="557403E9"/>
    <w:rsid w:val="557430F6"/>
    <w:rsid w:val="55751E27"/>
    <w:rsid w:val="557601B7"/>
    <w:rsid w:val="557960CD"/>
    <w:rsid w:val="558B57C9"/>
    <w:rsid w:val="55914DE4"/>
    <w:rsid w:val="559751B6"/>
    <w:rsid w:val="559C62B2"/>
    <w:rsid w:val="559E4824"/>
    <w:rsid w:val="55A40BEA"/>
    <w:rsid w:val="55A4526F"/>
    <w:rsid w:val="55A51811"/>
    <w:rsid w:val="55AE09D0"/>
    <w:rsid w:val="55B17AD6"/>
    <w:rsid w:val="55B21F45"/>
    <w:rsid w:val="55B469BC"/>
    <w:rsid w:val="55B87486"/>
    <w:rsid w:val="55BA0625"/>
    <w:rsid w:val="55BC45BC"/>
    <w:rsid w:val="55C363DC"/>
    <w:rsid w:val="55C546B3"/>
    <w:rsid w:val="55C63F43"/>
    <w:rsid w:val="55C75DEB"/>
    <w:rsid w:val="55CC65DB"/>
    <w:rsid w:val="55CE0F95"/>
    <w:rsid w:val="55D00080"/>
    <w:rsid w:val="55D02BC6"/>
    <w:rsid w:val="55D65411"/>
    <w:rsid w:val="55DA0CF1"/>
    <w:rsid w:val="55DA4B2E"/>
    <w:rsid w:val="55DF35AE"/>
    <w:rsid w:val="55E069DD"/>
    <w:rsid w:val="55E16BFA"/>
    <w:rsid w:val="55E25BDB"/>
    <w:rsid w:val="55E40E17"/>
    <w:rsid w:val="55E7555D"/>
    <w:rsid w:val="55EB7334"/>
    <w:rsid w:val="55EF09CE"/>
    <w:rsid w:val="55F52488"/>
    <w:rsid w:val="55F54030"/>
    <w:rsid w:val="55F5670D"/>
    <w:rsid w:val="55F82729"/>
    <w:rsid w:val="55F93FF1"/>
    <w:rsid w:val="55FC0337"/>
    <w:rsid w:val="55FE7732"/>
    <w:rsid w:val="56017878"/>
    <w:rsid w:val="560259B1"/>
    <w:rsid w:val="560550E5"/>
    <w:rsid w:val="560869A4"/>
    <w:rsid w:val="560B0C55"/>
    <w:rsid w:val="560E37ED"/>
    <w:rsid w:val="561507EC"/>
    <w:rsid w:val="561B0789"/>
    <w:rsid w:val="561B281D"/>
    <w:rsid w:val="561D4EA4"/>
    <w:rsid w:val="561F5112"/>
    <w:rsid w:val="56214362"/>
    <w:rsid w:val="56224D2A"/>
    <w:rsid w:val="56234153"/>
    <w:rsid w:val="562456B8"/>
    <w:rsid w:val="56264A9B"/>
    <w:rsid w:val="5628702D"/>
    <w:rsid w:val="56304DFF"/>
    <w:rsid w:val="563574FA"/>
    <w:rsid w:val="563A01D2"/>
    <w:rsid w:val="563B4B4C"/>
    <w:rsid w:val="563B5638"/>
    <w:rsid w:val="563C7E28"/>
    <w:rsid w:val="563D6C70"/>
    <w:rsid w:val="56512623"/>
    <w:rsid w:val="56540681"/>
    <w:rsid w:val="565565DE"/>
    <w:rsid w:val="565C76E0"/>
    <w:rsid w:val="56680EF3"/>
    <w:rsid w:val="56727B8D"/>
    <w:rsid w:val="5675471F"/>
    <w:rsid w:val="56773CBA"/>
    <w:rsid w:val="56780533"/>
    <w:rsid w:val="567A4C53"/>
    <w:rsid w:val="56831379"/>
    <w:rsid w:val="568752BD"/>
    <w:rsid w:val="56881A91"/>
    <w:rsid w:val="56890E23"/>
    <w:rsid w:val="568A6695"/>
    <w:rsid w:val="568B4B9B"/>
    <w:rsid w:val="568D76C3"/>
    <w:rsid w:val="56951949"/>
    <w:rsid w:val="56962151"/>
    <w:rsid w:val="56975A28"/>
    <w:rsid w:val="569B1245"/>
    <w:rsid w:val="569D2FD4"/>
    <w:rsid w:val="569D3FA5"/>
    <w:rsid w:val="569E1491"/>
    <w:rsid w:val="56A34905"/>
    <w:rsid w:val="56A442A3"/>
    <w:rsid w:val="56A45579"/>
    <w:rsid w:val="56A63783"/>
    <w:rsid w:val="56A75B74"/>
    <w:rsid w:val="56B13B28"/>
    <w:rsid w:val="56C24012"/>
    <w:rsid w:val="56C60A8B"/>
    <w:rsid w:val="56CC2488"/>
    <w:rsid w:val="56CC7053"/>
    <w:rsid w:val="56D41509"/>
    <w:rsid w:val="56D426E8"/>
    <w:rsid w:val="56D445F7"/>
    <w:rsid w:val="56DA2EDE"/>
    <w:rsid w:val="56DB5784"/>
    <w:rsid w:val="56DD3730"/>
    <w:rsid w:val="56E13DCC"/>
    <w:rsid w:val="56EA1E8C"/>
    <w:rsid w:val="56EF4D2A"/>
    <w:rsid w:val="56F32411"/>
    <w:rsid w:val="56F85E53"/>
    <w:rsid w:val="57007C61"/>
    <w:rsid w:val="57063394"/>
    <w:rsid w:val="570755F7"/>
    <w:rsid w:val="570856E4"/>
    <w:rsid w:val="570C2F2C"/>
    <w:rsid w:val="57120853"/>
    <w:rsid w:val="57124646"/>
    <w:rsid w:val="5713217D"/>
    <w:rsid w:val="57194202"/>
    <w:rsid w:val="571A5931"/>
    <w:rsid w:val="571D20C4"/>
    <w:rsid w:val="572C3395"/>
    <w:rsid w:val="572E1821"/>
    <w:rsid w:val="57304353"/>
    <w:rsid w:val="5734105A"/>
    <w:rsid w:val="57375C2D"/>
    <w:rsid w:val="573810A6"/>
    <w:rsid w:val="57392524"/>
    <w:rsid w:val="573F2D26"/>
    <w:rsid w:val="574039C8"/>
    <w:rsid w:val="57416390"/>
    <w:rsid w:val="574511ED"/>
    <w:rsid w:val="574870CB"/>
    <w:rsid w:val="574E1592"/>
    <w:rsid w:val="575276D4"/>
    <w:rsid w:val="575410D3"/>
    <w:rsid w:val="575431DF"/>
    <w:rsid w:val="57576567"/>
    <w:rsid w:val="5758191B"/>
    <w:rsid w:val="575A4DFF"/>
    <w:rsid w:val="575D0E75"/>
    <w:rsid w:val="575E73E6"/>
    <w:rsid w:val="575F025E"/>
    <w:rsid w:val="57615769"/>
    <w:rsid w:val="57635483"/>
    <w:rsid w:val="57640345"/>
    <w:rsid w:val="57663569"/>
    <w:rsid w:val="576D1E09"/>
    <w:rsid w:val="57700C92"/>
    <w:rsid w:val="57716A78"/>
    <w:rsid w:val="57756FA8"/>
    <w:rsid w:val="577723A0"/>
    <w:rsid w:val="57773DDA"/>
    <w:rsid w:val="577777C0"/>
    <w:rsid w:val="5779727E"/>
    <w:rsid w:val="578041B9"/>
    <w:rsid w:val="57837E18"/>
    <w:rsid w:val="57847D55"/>
    <w:rsid w:val="578702CE"/>
    <w:rsid w:val="578F5A75"/>
    <w:rsid w:val="57955D6C"/>
    <w:rsid w:val="579828A8"/>
    <w:rsid w:val="579B5D36"/>
    <w:rsid w:val="57A627EA"/>
    <w:rsid w:val="57A92E65"/>
    <w:rsid w:val="57AD2F37"/>
    <w:rsid w:val="57B773DB"/>
    <w:rsid w:val="57B9589A"/>
    <w:rsid w:val="57BD0F03"/>
    <w:rsid w:val="57BF5294"/>
    <w:rsid w:val="57C51433"/>
    <w:rsid w:val="57C5564D"/>
    <w:rsid w:val="57CA0E73"/>
    <w:rsid w:val="57CD7072"/>
    <w:rsid w:val="57D26A88"/>
    <w:rsid w:val="57D36F3D"/>
    <w:rsid w:val="57D430F1"/>
    <w:rsid w:val="57D44322"/>
    <w:rsid w:val="57D66329"/>
    <w:rsid w:val="57D949E3"/>
    <w:rsid w:val="57DC48C7"/>
    <w:rsid w:val="57E143E2"/>
    <w:rsid w:val="57E223AA"/>
    <w:rsid w:val="57E274F8"/>
    <w:rsid w:val="57E27DDF"/>
    <w:rsid w:val="57E40975"/>
    <w:rsid w:val="57E4206A"/>
    <w:rsid w:val="57ED5E1B"/>
    <w:rsid w:val="57F43379"/>
    <w:rsid w:val="57F54E0D"/>
    <w:rsid w:val="57F6121B"/>
    <w:rsid w:val="57FC48D5"/>
    <w:rsid w:val="57FC5BB2"/>
    <w:rsid w:val="57FC7163"/>
    <w:rsid w:val="580D237A"/>
    <w:rsid w:val="580D644F"/>
    <w:rsid w:val="580E17ED"/>
    <w:rsid w:val="58123C31"/>
    <w:rsid w:val="581556CF"/>
    <w:rsid w:val="58170ECA"/>
    <w:rsid w:val="58197BC6"/>
    <w:rsid w:val="581C54E1"/>
    <w:rsid w:val="581D1DF2"/>
    <w:rsid w:val="58235FC6"/>
    <w:rsid w:val="5827444F"/>
    <w:rsid w:val="58293053"/>
    <w:rsid w:val="58296F04"/>
    <w:rsid w:val="582C45A9"/>
    <w:rsid w:val="58303B0C"/>
    <w:rsid w:val="583465A4"/>
    <w:rsid w:val="583758E5"/>
    <w:rsid w:val="58381084"/>
    <w:rsid w:val="583A111F"/>
    <w:rsid w:val="583B2D78"/>
    <w:rsid w:val="583E783A"/>
    <w:rsid w:val="58425AB7"/>
    <w:rsid w:val="58466D8D"/>
    <w:rsid w:val="58480B4F"/>
    <w:rsid w:val="584928FB"/>
    <w:rsid w:val="58512FCE"/>
    <w:rsid w:val="585323A9"/>
    <w:rsid w:val="58554973"/>
    <w:rsid w:val="58584F50"/>
    <w:rsid w:val="58626561"/>
    <w:rsid w:val="58634CA2"/>
    <w:rsid w:val="58690C12"/>
    <w:rsid w:val="586B3216"/>
    <w:rsid w:val="58707675"/>
    <w:rsid w:val="5874766E"/>
    <w:rsid w:val="58761FFA"/>
    <w:rsid w:val="58765037"/>
    <w:rsid w:val="587B3D18"/>
    <w:rsid w:val="588671B5"/>
    <w:rsid w:val="5888560B"/>
    <w:rsid w:val="588875E4"/>
    <w:rsid w:val="58897AB4"/>
    <w:rsid w:val="588D15F3"/>
    <w:rsid w:val="588F48D9"/>
    <w:rsid w:val="58907A5F"/>
    <w:rsid w:val="58914350"/>
    <w:rsid w:val="589177CD"/>
    <w:rsid w:val="5892040D"/>
    <w:rsid w:val="58943390"/>
    <w:rsid w:val="58952BD0"/>
    <w:rsid w:val="589D18E5"/>
    <w:rsid w:val="589F4B3F"/>
    <w:rsid w:val="58A46D71"/>
    <w:rsid w:val="58A55793"/>
    <w:rsid w:val="58A84EC9"/>
    <w:rsid w:val="58AF33DA"/>
    <w:rsid w:val="58B04785"/>
    <w:rsid w:val="58B23280"/>
    <w:rsid w:val="58B628D8"/>
    <w:rsid w:val="58B96B16"/>
    <w:rsid w:val="58BE77A9"/>
    <w:rsid w:val="58C111D0"/>
    <w:rsid w:val="58C11564"/>
    <w:rsid w:val="58C15437"/>
    <w:rsid w:val="58C811DD"/>
    <w:rsid w:val="58CD3B8E"/>
    <w:rsid w:val="58CD4D9B"/>
    <w:rsid w:val="58CE10E9"/>
    <w:rsid w:val="58CE6FC1"/>
    <w:rsid w:val="58D2602D"/>
    <w:rsid w:val="58DB581A"/>
    <w:rsid w:val="58DF6F58"/>
    <w:rsid w:val="58E124D0"/>
    <w:rsid w:val="58E33156"/>
    <w:rsid w:val="58E36E57"/>
    <w:rsid w:val="58E44DC4"/>
    <w:rsid w:val="58E51792"/>
    <w:rsid w:val="58E751E5"/>
    <w:rsid w:val="58EA504A"/>
    <w:rsid w:val="58F108CA"/>
    <w:rsid w:val="58F550F6"/>
    <w:rsid w:val="58F84006"/>
    <w:rsid w:val="58F84EA5"/>
    <w:rsid w:val="58F95475"/>
    <w:rsid w:val="58F958E0"/>
    <w:rsid w:val="58FE4A98"/>
    <w:rsid w:val="59033EC8"/>
    <w:rsid w:val="59045D2F"/>
    <w:rsid w:val="590627FB"/>
    <w:rsid w:val="590B5B1F"/>
    <w:rsid w:val="590F786B"/>
    <w:rsid w:val="591036CA"/>
    <w:rsid w:val="5912769E"/>
    <w:rsid w:val="591307AA"/>
    <w:rsid w:val="59185396"/>
    <w:rsid w:val="591874A8"/>
    <w:rsid w:val="591B7DD0"/>
    <w:rsid w:val="591D1D2D"/>
    <w:rsid w:val="591E72C7"/>
    <w:rsid w:val="59206A11"/>
    <w:rsid w:val="59240F58"/>
    <w:rsid w:val="59260BAB"/>
    <w:rsid w:val="592C071B"/>
    <w:rsid w:val="592D018B"/>
    <w:rsid w:val="59371711"/>
    <w:rsid w:val="59374AE6"/>
    <w:rsid w:val="593A2474"/>
    <w:rsid w:val="593B07CA"/>
    <w:rsid w:val="593B5A63"/>
    <w:rsid w:val="593C1120"/>
    <w:rsid w:val="594B3B32"/>
    <w:rsid w:val="59507174"/>
    <w:rsid w:val="5951724C"/>
    <w:rsid w:val="59533511"/>
    <w:rsid w:val="595B07A7"/>
    <w:rsid w:val="595F349F"/>
    <w:rsid w:val="59604C2C"/>
    <w:rsid w:val="59616890"/>
    <w:rsid w:val="59637D65"/>
    <w:rsid w:val="59684D1F"/>
    <w:rsid w:val="596F3E59"/>
    <w:rsid w:val="596F64AC"/>
    <w:rsid w:val="597574D5"/>
    <w:rsid w:val="5976257A"/>
    <w:rsid w:val="597665A1"/>
    <w:rsid w:val="597D4F91"/>
    <w:rsid w:val="597F0F3B"/>
    <w:rsid w:val="5987439F"/>
    <w:rsid w:val="598903A3"/>
    <w:rsid w:val="598B6D4D"/>
    <w:rsid w:val="599C20DD"/>
    <w:rsid w:val="599E0798"/>
    <w:rsid w:val="599E4BE5"/>
    <w:rsid w:val="59A114E3"/>
    <w:rsid w:val="59A815C0"/>
    <w:rsid w:val="59AC0B68"/>
    <w:rsid w:val="59B03A2E"/>
    <w:rsid w:val="59B24062"/>
    <w:rsid w:val="59B4496B"/>
    <w:rsid w:val="59B9382B"/>
    <w:rsid w:val="59BB5187"/>
    <w:rsid w:val="59BB59E8"/>
    <w:rsid w:val="59BC2C8E"/>
    <w:rsid w:val="59BC3B8A"/>
    <w:rsid w:val="59BF10C7"/>
    <w:rsid w:val="59C23630"/>
    <w:rsid w:val="59C27F55"/>
    <w:rsid w:val="59C56F3E"/>
    <w:rsid w:val="59C865CE"/>
    <w:rsid w:val="59CB7ACC"/>
    <w:rsid w:val="59D22A99"/>
    <w:rsid w:val="59D64991"/>
    <w:rsid w:val="59D64DBB"/>
    <w:rsid w:val="59D975DA"/>
    <w:rsid w:val="59DD6C05"/>
    <w:rsid w:val="59DE785E"/>
    <w:rsid w:val="59E14693"/>
    <w:rsid w:val="59E25FB6"/>
    <w:rsid w:val="59E33926"/>
    <w:rsid w:val="59EA7E2A"/>
    <w:rsid w:val="59EE0A36"/>
    <w:rsid w:val="59F12C84"/>
    <w:rsid w:val="59F84C7A"/>
    <w:rsid w:val="59FA2867"/>
    <w:rsid w:val="5A0561AA"/>
    <w:rsid w:val="5A08681A"/>
    <w:rsid w:val="5A0A4AF0"/>
    <w:rsid w:val="5A0F5E48"/>
    <w:rsid w:val="5A1156A5"/>
    <w:rsid w:val="5A173CF1"/>
    <w:rsid w:val="5A19089F"/>
    <w:rsid w:val="5A261B1C"/>
    <w:rsid w:val="5A306E59"/>
    <w:rsid w:val="5A367300"/>
    <w:rsid w:val="5A3B7496"/>
    <w:rsid w:val="5A410DDC"/>
    <w:rsid w:val="5A41275F"/>
    <w:rsid w:val="5A444F80"/>
    <w:rsid w:val="5A472E42"/>
    <w:rsid w:val="5A482194"/>
    <w:rsid w:val="5A4A4E9E"/>
    <w:rsid w:val="5A4D27CD"/>
    <w:rsid w:val="5A506C31"/>
    <w:rsid w:val="5A524A17"/>
    <w:rsid w:val="5A5324A7"/>
    <w:rsid w:val="5A5411A9"/>
    <w:rsid w:val="5A544360"/>
    <w:rsid w:val="5A552CC2"/>
    <w:rsid w:val="5A556906"/>
    <w:rsid w:val="5A572304"/>
    <w:rsid w:val="5A582887"/>
    <w:rsid w:val="5A5E2DCD"/>
    <w:rsid w:val="5A605873"/>
    <w:rsid w:val="5A610C62"/>
    <w:rsid w:val="5A6A3109"/>
    <w:rsid w:val="5A6B0B79"/>
    <w:rsid w:val="5A6E3B40"/>
    <w:rsid w:val="5A703197"/>
    <w:rsid w:val="5A711CFE"/>
    <w:rsid w:val="5A741A8B"/>
    <w:rsid w:val="5A7907C0"/>
    <w:rsid w:val="5A7F0572"/>
    <w:rsid w:val="5A8650F4"/>
    <w:rsid w:val="5A884478"/>
    <w:rsid w:val="5A887161"/>
    <w:rsid w:val="5A8C3E9A"/>
    <w:rsid w:val="5A8C684C"/>
    <w:rsid w:val="5A8D3EC5"/>
    <w:rsid w:val="5A952EEF"/>
    <w:rsid w:val="5A957D96"/>
    <w:rsid w:val="5A9967BA"/>
    <w:rsid w:val="5A9A75B8"/>
    <w:rsid w:val="5AA36086"/>
    <w:rsid w:val="5AA94DDC"/>
    <w:rsid w:val="5AAE0C6C"/>
    <w:rsid w:val="5AB45B4F"/>
    <w:rsid w:val="5AB55BCF"/>
    <w:rsid w:val="5AB73286"/>
    <w:rsid w:val="5AB85626"/>
    <w:rsid w:val="5ABC5CAA"/>
    <w:rsid w:val="5AC75FFB"/>
    <w:rsid w:val="5ACC3441"/>
    <w:rsid w:val="5ACF2070"/>
    <w:rsid w:val="5AD30B30"/>
    <w:rsid w:val="5AD57ED4"/>
    <w:rsid w:val="5ADA226F"/>
    <w:rsid w:val="5ADA7AF1"/>
    <w:rsid w:val="5ADB310F"/>
    <w:rsid w:val="5ADF4B77"/>
    <w:rsid w:val="5ADF65D4"/>
    <w:rsid w:val="5AE05AAA"/>
    <w:rsid w:val="5AE31479"/>
    <w:rsid w:val="5AE52AEA"/>
    <w:rsid w:val="5AE738EC"/>
    <w:rsid w:val="5AEB5094"/>
    <w:rsid w:val="5AEC03FD"/>
    <w:rsid w:val="5AF14FC2"/>
    <w:rsid w:val="5AF43BAB"/>
    <w:rsid w:val="5AF5653B"/>
    <w:rsid w:val="5AFA22BB"/>
    <w:rsid w:val="5AFB6542"/>
    <w:rsid w:val="5AFB7C61"/>
    <w:rsid w:val="5B0263E2"/>
    <w:rsid w:val="5B060C94"/>
    <w:rsid w:val="5B0623FF"/>
    <w:rsid w:val="5B0639BD"/>
    <w:rsid w:val="5B0C43C2"/>
    <w:rsid w:val="5B0F7C02"/>
    <w:rsid w:val="5B150ED7"/>
    <w:rsid w:val="5B195234"/>
    <w:rsid w:val="5B1B09B2"/>
    <w:rsid w:val="5B1C6E96"/>
    <w:rsid w:val="5B220E14"/>
    <w:rsid w:val="5B223B0B"/>
    <w:rsid w:val="5B270581"/>
    <w:rsid w:val="5B3248EF"/>
    <w:rsid w:val="5B331ABB"/>
    <w:rsid w:val="5B347E4A"/>
    <w:rsid w:val="5B385E0C"/>
    <w:rsid w:val="5B443576"/>
    <w:rsid w:val="5B4609F2"/>
    <w:rsid w:val="5B4738A1"/>
    <w:rsid w:val="5B4817C4"/>
    <w:rsid w:val="5B4B07A3"/>
    <w:rsid w:val="5B51339A"/>
    <w:rsid w:val="5B5251F1"/>
    <w:rsid w:val="5B53599B"/>
    <w:rsid w:val="5B546CF3"/>
    <w:rsid w:val="5B565AF4"/>
    <w:rsid w:val="5B576F21"/>
    <w:rsid w:val="5B5A6217"/>
    <w:rsid w:val="5B5B43B7"/>
    <w:rsid w:val="5B5C0BBA"/>
    <w:rsid w:val="5B624388"/>
    <w:rsid w:val="5B6369FB"/>
    <w:rsid w:val="5B6A1223"/>
    <w:rsid w:val="5B6B0C30"/>
    <w:rsid w:val="5B7143E1"/>
    <w:rsid w:val="5B75296E"/>
    <w:rsid w:val="5B7768F3"/>
    <w:rsid w:val="5B7855A1"/>
    <w:rsid w:val="5B797FAA"/>
    <w:rsid w:val="5B7E127D"/>
    <w:rsid w:val="5B7F0855"/>
    <w:rsid w:val="5B800D2B"/>
    <w:rsid w:val="5B825EE7"/>
    <w:rsid w:val="5B845EE3"/>
    <w:rsid w:val="5B876165"/>
    <w:rsid w:val="5B8A59FD"/>
    <w:rsid w:val="5B8B3969"/>
    <w:rsid w:val="5B8C07DF"/>
    <w:rsid w:val="5B8C7792"/>
    <w:rsid w:val="5B8E72CF"/>
    <w:rsid w:val="5B9E2A2A"/>
    <w:rsid w:val="5B9F078E"/>
    <w:rsid w:val="5BAB01D9"/>
    <w:rsid w:val="5BAE1B49"/>
    <w:rsid w:val="5BAE29F6"/>
    <w:rsid w:val="5BB15CB4"/>
    <w:rsid w:val="5BB31F54"/>
    <w:rsid w:val="5BB9386C"/>
    <w:rsid w:val="5BBB090C"/>
    <w:rsid w:val="5BBE6F32"/>
    <w:rsid w:val="5BC73B70"/>
    <w:rsid w:val="5BCC5A39"/>
    <w:rsid w:val="5BD13F86"/>
    <w:rsid w:val="5BD22018"/>
    <w:rsid w:val="5BD57239"/>
    <w:rsid w:val="5BD72CB1"/>
    <w:rsid w:val="5BD8613E"/>
    <w:rsid w:val="5BE07737"/>
    <w:rsid w:val="5BE30D48"/>
    <w:rsid w:val="5BE56AFB"/>
    <w:rsid w:val="5BE71578"/>
    <w:rsid w:val="5BEB2715"/>
    <w:rsid w:val="5BEB4B29"/>
    <w:rsid w:val="5BF07771"/>
    <w:rsid w:val="5BF21AAF"/>
    <w:rsid w:val="5BFA7CF4"/>
    <w:rsid w:val="5BFF0F75"/>
    <w:rsid w:val="5BFF6DC4"/>
    <w:rsid w:val="5C091207"/>
    <w:rsid w:val="5C0B1133"/>
    <w:rsid w:val="5C0B621A"/>
    <w:rsid w:val="5C0F37F3"/>
    <w:rsid w:val="5C111AC3"/>
    <w:rsid w:val="5C13439A"/>
    <w:rsid w:val="5C136F43"/>
    <w:rsid w:val="5C155ABB"/>
    <w:rsid w:val="5C1A6E94"/>
    <w:rsid w:val="5C1E0FA1"/>
    <w:rsid w:val="5C281E61"/>
    <w:rsid w:val="5C2A3FFA"/>
    <w:rsid w:val="5C2C2E0F"/>
    <w:rsid w:val="5C2D3C7A"/>
    <w:rsid w:val="5C3300D7"/>
    <w:rsid w:val="5C344B3A"/>
    <w:rsid w:val="5C374FC1"/>
    <w:rsid w:val="5C381321"/>
    <w:rsid w:val="5C3D25AC"/>
    <w:rsid w:val="5C4176F0"/>
    <w:rsid w:val="5C437EE7"/>
    <w:rsid w:val="5C46721B"/>
    <w:rsid w:val="5C4B1C13"/>
    <w:rsid w:val="5C4C0765"/>
    <w:rsid w:val="5C50549A"/>
    <w:rsid w:val="5C545A2F"/>
    <w:rsid w:val="5C556FC5"/>
    <w:rsid w:val="5C606182"/>
    <w:rsid w:val="5C633E6D"/>
    <w:rsid w:val="5C6556BC"/>
    <w:rsid w:val="5C66292C"/>
    <w:rsid w:val="5C6C3967"/>
    <w:rsid w:val="5C6E089F"/>
    <w:rsid w:val="5C7250C0"/>
    <w:rsid w:val="5C7849BF"/>
    <w:rsid w:val="5C7C0D7C"/>
    <w:rsid w:val="5C864CB9"/>
    <w:rsid w:val="5C891B7C"/>
    <w:rsid w:val="5C8A551D"/>
    <w:rsid w:val="5C8C78D9"/>
    <w:rsid w:val="5C98055C"/>
    <w:rsid w:val="5C981DBF"/>
    <w:rsid w:val="5C995EAD"/>
    <w:rsid w:val="5C9B1663"/>
    <w:rsid w:val="5C9E5CA4"/>
    <w:rsid w:val="5C9E6E1E"/>
    <w:rsid w:val="5CA45F8F"/>
    <w:rsid w:val="5CB2181F"/>
    <w:rsid w:val="5CB24B00"/>
    <w:rsid w:val="5CB338FE"/>
    <w:rsid w:val="5CB82A97"/>
    <w:rsid w:val="5CB87D6C"/>
    <w:rsid w:val="5CBA6FBE"/>
    <w:rsid w:val="5CC10321"/>
    <w:rsid w:val="5CC201FD"/>
    <w:rsid w:val="5CC22E34"/>
    <w:rsid w:val="5CC34E04"/>
    <w:rsid w:val="5CCB639C"/>
    <w:rsid w:val="5CCD187E"/>
    <w:rsid w:val="5CD2031B"/>
    <w:rsid w:val="5CD4387D"/>
    <w:rsid w:val="5CD45288"/>
    <w:rsid w:val="5CDE3A50"/>
    <w:rsid w:val="5CE24AF6"/>
    <w:rsid w:val="5CE30F80"/>
    <w:rsid w:val="5CE5035E"/>
    <w:rsid w:val="5CE53322"/>
    <w:rsid w:val="5CE9261B"/>
    <w:rsid w:val="5CEB7795"/>
    <w:rsid w:val="5CEB7E0F"/>
    <w:rsid w:val="5CEC3859"/>
    <w:rsid w:val="5CEE1E9C"/>
    <w:rsid w:val="5CF304B8"/>
    <w:rsid w:val="5CF9377E"/>
    <w:rsid w:val="5CFB6AB9"/>
    <w:rsid w:val="5D017067"/>
    <w:rsid w:val="5D0447D5"/>
    <w:rsid w:val="5D0552B3"/>
    <w:rsid w:val="5D0601FD"/>
    <w:rsid w:val="5D07484F"/>
    <w:rsid w:val="5D075283"/>
    <w:rsid w:val="5D1E0CC5"/>
    <w:rsid w:val="5D1F120E"/>
    <w:rsid w:val="5D27068F"/>
    <w:rsid w:val="5D283381"/>
    <w:rsid w:val="5D2A0C40"/>
    <w:rsid w:val="5D2B2C3F"/>
    <w:rsid w:val="5D2B4149"/>
    <w:rsid w:val="5D2B7EDF"/>
    <w:rsid w:val="5D2E5954"/>
    <w:rsid w:val="5D2F7C8B"/>
    <w:rsid w:val="5D33037E"/>
    <w:rsid w:val="5D385B29"/>
    <w:rsid w:val="5D3D7497"/>
    <w:rsid w:val="5D412D7D"/>
    <w:rsid w:val="5D4665C0"/>
    <w:rsid w:val="5D4C012C"/>
    <w:rsid w:val="5D4D4B30"/>
    <w:rsid w:val="5D4E5FAB"/>
    <w:rsid w:val="5D4F66DE"/>
    <w:rsid w:val="5D5132DD"/>
    <w:rsid w:val="5D536CDE"/>
    <w:rsid w:val="5D5C6D82"/>
    <w:rsid w:val="5D5D051A"/>
    <w:rsid w:val="5D626B16"/>
    <w:rsid w:val="5D670D8D"/>
    <w:rsid w:val="5D6A06FC"/>
    <w:rsid w:val="5D700B7E"/>
    <w:rsid w:val="5D720862"/>
    <w:rsid w:val="5D720FAC"/>
    <w:rsid w:val="5D725F26"/>
    <w:rsid w:val="5D766B1C"/>
    <w:rsid w:val="5D792DFC"/>
    <w:rsid w:val="5D7B0EA3"/>
    <w:rsid w:val="5D7F4F88"/>
    <w:rsid w:val="5D8C0909"/>
    <w:rsid w:val="5D8E4DE4"/>
    <w:rsid w:val="5D975305"/>
    <w:rsid w:val="5D9A018C"/>
    <w:rsid w:val="5D9C44DF"/>
    <w:rsid w:val="5DA20216"/>
    <w:rsid w:val="5DA33BD7"/>
    <w:rsid w:val="5DA73BEC"/>
    <w:rsid w:val="5DAA4061"/>
    <w:rsid w:val="5DB2129E"/>
    <w:rsid w:val="5DB360E9"/>
    <w:rsid w:val="5DB42149"/>
    <w:rsid w:val="5DB949F9"/>
    <w:rsid w:val="5DBC1ADE"/>
    <w:rsid w:val="5DBC7031"/>
    <w:rsid w:val="5DBE2B11"/>
    <w:rsid w:val="5DCB2C8A"/>
    <w:rsid w:val="5DCD15E2"/>
    <w:rsid w:val="5DD04C0F"/>
    <w:rsid w:val="5DD2300F"/>
    <w:rsid w:val="5DD465F2"/>
    <w:rsid w:val="5DD93908"/>
    <w:rsid w:val="5DDC3F2E"/>
    <w:rsid w:val="5DE4577C"/>
    <w:rsid w:val="5DE63EEC"/>
    <w:rsid w:val="5DE65F6F"/>
    <w:rsid w:val="5DE96BD1"/>
    <w:rsid w:val="5DEA261B"/>
    <w:rsid w:val="5DEC7169"/>
    <w:rsid w:val="5DF179D9"/>
    <w:rsid w:val="5DF2044D"/>
    <w:rsid w:val="5DF21C0F"/>
    <w:rsid w:val="5DF67004"/>
    <w:rsid w:val="5DF83C61"/>
    <w:rsid w:val="5E0308A3"/>
    <w:rsid w:val="5E035B38"/>
    <w:rsid w:val="5E095C70"/>
    <w:rsid w:val="5E0B173C"/>
    <w:rsid w:val="5E106EDF"/>
    <w:rsid w:val="5E120630"/>
    <w:rsid w:val="5E1216FE"/>
    <w:rsid w:val="5E1C02F4"/>
    <w:rsid w:val="5E1F4FFF"/>
    <w:rsid w:val="5E21071B"/>
    <w:rsid w:val="5E22421C"/>
    <w:rsid w:val="5E272801"/>
    <w:rsid w:val="5E3D1E13"/>
    <w:rsid w:val="5E3E37C5"/>
    <w:rsid w:val="5E4625D0"/>
    <w:rsid w:val="5E4E0AE5"/>
    <w:rsid w:val="5E4F43B4"/>
    <w:rsid w:val="5E513323"/>
    <w:rsid w:val="5E580964"/>
    <w:rsid w:val="5E5B365C"/>
    <w:rsid w:val="5E666302"/>
    <w:rsid w:val="5E6716D1"/>
    <w:rsid w:val="5E687F19"/>
    <w:rsid w:val="5E6C4293"/>
    <w:rsid w:val="5E7026A6"/>
    <w:rsid w:val="5E755A03"/>
    <w:rsid w:val="5E76672D"/>
    <w:rsid w:val="5E793BA4"/>
    <w:rsid w:val="5E7A3743"/>
    <w:rsid w:val="5E8268C7"/>
    <w:rsid w:val="5E954808"/>
    <w:rsid w:val="5E9627E8"/>
    <w:rsid w:val="5E9639C0"/>
    <w:rsid w:val="5E9A5E8F"/>
    <w:rsid w:val="5E9E366D"/>
    <w:rsid w:val="5EA40C13"/>
    <w:rsid w:val="5EA435B2"/>
    <w:rsid w:val="5EA64A8A"/>
    <w:rsid w:val="5EA703D6"/>
    <w:rsid w:val="5EAC600B"/>
    <w:rsid w:val="5EB079C5"/>
    <w:rsid w:val="5EB37E9B"/>
    <w:rsid w:val="5EBB7732"/>
    <w:rsid w:val="5EBC09F6"/>
    <w:rsid w:val="5EBF5BD8"/>
    <w:rsid w:val="5EC15CF5"/>
    <w:rsid w:val="5EC56770"/>
    <w:rsid w:val="5EC61F2E"/>
    <w:rsid w:val="5ECD6EB5"/>
    <w:rsid w:val="5ECE0A65"/>
    <w:rsid w:val="5ECF3889"/>
    <w:rsid w:val="5ED01333"/>
    <w:rsid w:val="5ED147E8"/>
    <w:rsid w:val="5ED875CD"/>
    <w:rsid w:val="5ED964EF"/>
    <w:rsid w:val="5EDE701F"/>
    <w:rsid w:val="5EE65B7B"/>
    <w:rsid w:val="5EE8399B"/>
    <w:rsid w:val="5EF317BF"/>
    <w:rsid w:val="5EF63549"/>
    <w:rsid w:val="5EF66B9F"/>
    <w:rsid w:val="5EF71B8D"/>
    <w:rsid w:val="5EF808F3"/>
    <w:rsid w:val="5EF81EF0"/>
    <w:rsid w:val="5EFE679E"/>
    <w:rsid w:val="5F0426DA"/>
    <w:rsid w:val="5F0C6679"/>
    <w:rsid w:val="5F0D117F"/>
    <w:rsid w:val="5F172417"/>
    <w:rsid w:val="5F180458"/>
    <w:rsid w:val="5F1A2748"/>
    <w:rsid w:val="5F1F4F79"/>
    <w:rsid w:val="5F221E14"/>
    <w:rsid w:val="5F2508B7"/>
    <w:rsid w:val="5F250C5E"/>
    <w:rsid w:val="5F2737C8"/>
    <w:rsid w:val="5F27732F"/>
    <w:rsid w:val="5F293E44"/>
    <w:rsid w:val="5F295F84"/>
    <w:rsid w:val="5F310FA8"/>
    <w:rsid w:val="5F311CD4"/>
    <w:rsid w:val="5F313A6B"/>
    <w:rsid w:val="5F33795B"/>
    <w:rsid w:val="5F363DBA"/>
    <w:rsid w:val="5F364B70"/>
    <w:rsid w:val="5F41148B"/>
    <w:rsid w:val="5F502572"/>
    <w:rsid w:val="5F5242E9"/>
    <w:rsid w:val="5F530220"/>
    <w:rsid w:val="5F5A3D16"/>
    <w:rsid w:val="5F61334B"/>
    <w:rsid w:val="5F6B29A3"/>
    <w:rsid w:val="5F6F613D"/>
    <w:rsid w:val="5F6F65C8"/>
    <w:rsid w:val="5F7C7231"/>
    <w:rsid w:val="5F830D18"/>
    <w:rsid w:val="5F89181E"/>
    <w:rsid w:val="5F9014E3"/>
    <w:rsid w:val="5F9527D0"/>
    <w:rsid w:val="5F9740DE"/>
    <w:rsid w:val="5F9E4921"/>
    <w:rsid w:val="5FA330A8"/>
    <w:rsid w:val="5FA9500B"/>
    <w:rsid w:val="5FAE79D0"/>
    <w:rsid w:val="5FB23009"/>
    <w:rsid w:val="5FB3695E"/>
    <w:rsid w:val="5FB62C58"/>
    <w:rsid w:val="5FB938DE"/>
    <w:rsid w:val="5FB94DE5"/>
    <w:rsid w:val="5FBB641C"/>
    <w:rsid w:val="5FBC56B4"/>
    <w:rsid w:val="5FC02A4C"/>
    <w:rsid w:val="5FC57961"/>
    <w:rsid w:val="5FC726B7"/>
    <w:rsid w:val="5FCF2548"/>
    <w:rsid w:val="5FCF7EF7"/>
    <w:rsid w:val="5FD74287"/>
    <w:rsid w:val="5FDB26EF"/>
    <w:rsid w:val="5FE009E7"/>
    <w:rsid w:val="5FE509A2"/>
    <w:rsid w:val="5FE85BC1"/>
    <w:rsid w:val="5FEB63EE"/>
    <w:rsid w:val="5FEF74B9"/>
    <w:rsid w:val="5FF0672C"/>
    <w:rsid w:val="5FF34631"/>
    <w:rsid w:val="5FF82275"/>
    <w:rsid w:val="5FFA758E"/>
    <w:rsid w:val="600855A2"/>
    <w:rsid w:val="600938F4"/>
    <w:rsid w:val="600E215C"/>
    <w:rsid w:val="60176FDA"/>
    <w:rsid w:val="601C6974"/>
    <w:rsid w:val="602108B3"/>
    <w:rsid w:val="60245E59"/>
    <w:rsid w:val="60302503"/>
    <w:rsid w:val="603219A9"/>
    <w:rsid w:val="60326508"/>
    <w:rsid w:val="60340A3A"/>
    <w:rsid w:val="60364C76"/>
    <w:rsid w:val="6038354F"/>
    <w:rsid w:val="603938B9"/>
    <w:rsid w:val="603B0F23"/>
    <w:rsid w:val="603D2B23"/>
    <w:rsid w:val="603E7D42"/>
    <w:rsid w:val="60401644"/>
    <w:rsid w:val="60424915"/>
    <w:rsid w:val="60425591"/>
    <w:rsid w:val="60433E58"/>
    <w:rsid w:val="604438C5"/>
    <w:rsid w:val="604C0AC7"/>
    <w:rsid w:val="60536729"/>
    <w:rsid w:val="605440A6"/>
    <w:rsid w:val="60584C02"/>
    <w:rsid w:val="60596FAD"/>
    <w:rsid w:val="605D6C12"/>
    <w:rsid w:val="605E50CE"/>
    <w:rsid w:val="605E5173"/>
    <w:rsid w:val="605F17A5"/>
    <w:rsid w:val="60612521"/>
    <w:rsid w:val="606422CF"/>
    <w:rsid w:val="606730FE"/>
    <w:rsid w:val="606C5C1A"/>
    <w:rsid w:val="606C6C69"/>
    <w:rsid w:val="60713104"/>
    <w:rsid w:val="60714E01"/>
    <w:rsid w:val="6078173E"/>
    <w:rsid w:val="607A485A"/>
    <w:rsid w:val="607C484C"/>
    <w:rsid w:val="607F363B"/>
    <w:rsid w:val="608553B7"/>
    <w:rsid w:val="60862529"/>
    <w:rsid w:val="6089513D"/>
    <w:rsid w:val="608E7ECB"/>
    <w:rsid w:val="609358DB"/>
    <w:rsid w:val="60981A6D"/>
    <w:rsid w:val="60981B55"/>
    <w:rsid w:val="609B5291"/>
    <w:rsid w:val="609D46B7"/>
    <w:rsid w:val="60A117CF"/>
    <w:rsid w:val="60A52CFD"/>
    <w:rsid w:val="60A571D7"/>
    <w:rsid w:val="60AC0286"/>
    <w:rsid w:val="60B46B0F"/>
    <w:rsid w:val="60B904DD"/>
    <w:rsid w:val="60C508CD"/>
    <w:rsid w:val="60C741BE"/>
    <w:rsid w:val="60C77C6D"/>
    <w:rsid w:val="60CA12B5"/>
    <w:rsid w:val="60D46890"/>
    <w:rsid w:val="60D52BFC"/>
    <w:rsid w:val="60D65EBD"/>
    <w:rsid w:val="60DB447B"/>
    <w:rsid w:val="60DF0CAD"/>
    <w:rsid w:val="60DF378B"/>
    <w:rsid w:val="60E139B7"/>
    <w:rsid w:val="60E24BAB"/>
    <w:rsid w:val="60E25590"/>
    <w:rsid w:val="60E334EE"/>
    <w:rsid w:val="60E54774"/>
    <w:rsid w:val="60E81042"/>
    <w:rsid w:val="60EB1F76"/>
    <w:rsid w:val="60F7165E"/>
    <w:rsid w:val="60F77E35"/>
    <w:rsid w:val="60F87710"/>
    <w:rsid w:val="60F94719"/>
    <w:rsid w:val="60F97EF4"/>
    <w:rsid w:val="60FA2708"/>
    <w:rsid w:val="60FF4DB3"/>
    <w:rsid w:val="61044130"/>
    <w:rsid w:val="6104493D"/>
    <w:rsid w:val="61050B1B"/>
    <w:rsid w:val="61074553"/>
    <w:rsid w:val="610B7CFD"/>
    <w:rsid w:val="610C15AD"/>
    <w:rsid w:val="6113643C"/>
    <w:rsid w:val="611603B4"/>
    <w:rsid w:val="611754E4"/>
    <w:rsid w:val="611E6F96"/>
    <w:rsid w:val="611F485D"/>
    <w:rsid w:val="61205267"/>
    <w:rsid w:val="6129468F"/>
    <w:rsid w:val="612C3EDE"/>
    <w:rsid w:val="612F1D38"/>
    <w:rsid w:val="61323B93"/>
    <w:rsid w:val="61344581"/>
    <w:rsid w:val="613711E6"/>
    <w:rsid w:val="613D4034"/>
    <w:rsid w:val="613E6DFE"/>
    <w:rsid w:val="613F0F41"/>
    <w:rsid w:val="614D1E63"/>
    <w:rsid w:val="61534C19"/>
    <w:rsid w:val="61547F19"/>
    <w:rsid w:val="61585F64"/>
    <w:rsid w:val="61591AE0"/>
    <w:rsid w:val="615A7844"/>
    <w:rsid w:val="61612DFE"/>
    <w:rsid w:val="61671EA0"/>
    <w:rsid w:val="6168047E"/>
    <w:rsid w:val="616B401E"/>
    <w:rsid w:val="616F0FAB"/>
    <w:rsid w:val="6173794E"/>
    <w:rsid w:val="618027DB"/>
    <w:rsid w:val="618243C7"/>
    <w:rsid w:val="61881DC6"/>
    <w:rsid w:val="618B5A4F"/>
    <w:rsid w:val="618D696E"/>
    <w:rsid w:val="619102D6"/>
    <w:rsid w:val="619831A2"/>
    <w:rsid w:val="619C5630"/>
    <w:rsid w:val="619E0F16"/>
    <w:rsid w:val="61A25EAE"/>
    <w:rsid w:val="61AC3CD1"/>
    <w:rsid w:val="61AF1633"/>
    <w:rsid w:val="61AF4B8B"/>
    <w:rsid w:val="61C00F28"/>
    <w:rsid w:val="61C15914"/>
    <w:rsid w:val="61C4419A"/>
    <w:rsid w:val="61C96577"/>
    <w:rsid w:val="61CB5FE9"/>
    <w:rsid w:val="61D0302D"/>
    <w:rsid w:val="61DC0F34"/>
    <w:rsid w:val="61DE10BB"/>
    <w:rsid w:val="61DE47FF"/>
    <w:rsid w:val="61DE7E9B"/>
    <w:rsid w:val="61DF7014"/>
    <w:rsid w:val="61EF70A5"/>
    <w:rsid w:val="61F907BD"/>
    <w:rsid w:val="61F936E4"/>
    <w:rsid w:val="61FB6E75"/>
    <w:rsid w:val="6200176E"/>
    <w:rsid w:val="62090BDF"/>
    <w:rsid w:val="620A779F"/>
    <w:rsid w:val="620C1A66"/>
    <w:rsid w:val="620C6E47"/>
    <w:rsid w:val="620E576B"/>
    <w:rsid w:val="621023E0"/>
    <w:rsid w:val="62107873"/>
    <w:rsid w:val="62112683"/>
    <w:rsid w:val="62124F1F"/>
    <w:rsid w:val="6214735B"/>
    <w:rsid w:val="621B3541"/>
    <w:rsid w:val="62212560"/>
    <w:rsid w:val="62274B4C"/>
    <w:rsid w:val="622854C3"/>
    <w:rsid w:val="622D7175"/>
    <w:rsid w:val="622F617E"/>
    <w:rsid w:val="623321C4"/>
    <w:rsid w:val="62357DDC"/>
    <w:rsid w:val="62371225"/>
    <w:rsid w:val="62390602"/>
    <w:rsid w:val="6239194F"/>
    <w:rsid w:val="623B09CF"/>
    <w:rsid w:val="623C0423"/>
    <w:rsid w:val="623F0083"/>
    <w:rsid w:val="62400359"/>
    <w:rsid w:val="62406400"/>
    <w:rsid w:val="62430DD8"/>
    <w:rsid w:val="62446E4A"/>
    <w:rsid w:val="624715D5"/>
    <w:rsid w:val="62485EE6"/>
    <w:rsid w:val="624D4449"/>
    <w:rsid w:val="62505606"/>
    <w:rsid w:val="62525E34"/>
    <w:rsid w:val="625708C7"/>
    <w:rsid w:val="62587FF8"/>
    <w:rsid w:val="625B3673"/>
    <w:rsid w:val="62644EBA"/>
    <w:rsid w:val="6264598A"/>
    <w:rsid w:val="626517E1"/>
    <w:rsid w:val="626544F2"/>
    <w:rsid w:val="62741D49"/>
    <w:rsid w:val="6274638B"/>
    <w:rsid w:val="62762EE2"/>
    <w:rsid w:val="627838A4"/>
    <w:rsid w:val="627A49FF"/>
    <w:rsid w:val="627D12EF"/>
    <w:rsid w:val="628029B5"/>
    <w:rsid w:val="628315AF"/>
    <w:rsid w:val="6283706E"/>
    <w:rsid w:val="62837395"/>
    <w:rsid w:val="62854333"/>
    <w:rsid w:val="62880178"/>
    <w:rsid w:val="62892EFD"/>
    <w:rsid w:val="62897BFA"/>
    <w:rsid w:val="628B2A4E"/>
    <w:rsid w:val="62900461"/>
    <w:rsid w:val="62940069"/>
    <w:rsid w:val="62994A35"/>
    <w:rsid w:val="629A1437"/>
    <w:rsid w:val="629A1E94"/>
    <w:rsid w:val="629B2133"/>
    <w:rsid w:val="629B4179"/>
    <w:rsid w:val="629B4322"/>
    <w:rsid w:val="62A12D63"/>
    <w:rsid w:val="62A23976"/>
    <w:rsid w:val="62A34EF7"/>
    <w:rsid w:val="62A7616E"/>
    <w:rsid w:val="62A866AC"/>
    <w:rsid w:val="62AB2FD1"/>
    <w:rsid w:val="62AC4A3B"/>
    <w:rsid w:val="62AD6A8A"/>
    <w:rsid w:val="62AE0E9C"/>
    <w:rsid w:val="62AF14B7"/>
    <w:rsid w:val="62B0187B"/>
    <w:rsid w:val="62B8022E"/>
    <w:rsid w:val="62BA70CA"/>
    <w:rsid w:val="62BC64A3"/>
    <w:rsid w:val="62BD6D5E"/>
    <w:rsid w:val="62C92951"/>
    <w:rsid w:val="62CA07F9"/>
    <w:rsid w:val="62CA186F"/>
    <w:rsid w:val="62D07FDA"/>
    <w:rsid w:val="62D63D2D"/>
    <w:rsid w:val="62ED46E5"/>
    <w:rsid w:val="62F13B41"/>
    <w:rsid w:val="62F70A87"/>
    <w:rsid w:val="62F94D5F"/>
    <w:rsid w:val="62FA1420"/>
    <w:rsid w:val="62FC195E"/>
    <w:rsid w:val="62FD779C"/>
    <w:rsid w:val="62FE62F7"/>
    <w:rsid w:val="62FF3463"/>
    <w:rsid w:val="62FF6F70"/>
    <w:rsid w:val="63067EB7"/>
    <w:rsid w:val="63084225"/>
    <w:rsid w:val="630A329E"/>
    <w:rsid w:val="630C20AE"/>
    <w:rsid w:val="630D7AC0"/>
    <w:rsid w:val="63141334"/>
    <w:rsid w:val="63187182"/>
    <w:rsid w:val="631A5549"/>
    <w:rsid w:val="631B059F"/>
    <w:rsid w:val="631D3DC1"/>
    <w:rsid w:val="631F2D59"/>
    <w:rsid w:val="6323518A"/>
    <w:rsid w:val="63277247"/>
    <w:rsid w:val="633078DD"/>
    <w:rsid w:val="63322425"/>
    <w:rsid w:val="63376CA9"/>
    <w:rsid w:val="6339548B"/>
    <w:rsid w:val="6344244A"/>
    <w:rsid w:val="634519A5"/>
    <w:rsid w:val="63487602"/>
    <w:rsid w:val="634A686D"/>
    <w:rsid w:val="634B0110"/>
    <w:rsid w:val="634C1B8F"/>
    <w:rsid w:val="634D0EEA"/>
    <w:rsid w:val="634E142A"/>
    <w:rsid w:val="63525E6A"/>
    <w:rsid w:val="63562961"/>
    <w:rsid w:val="6357746F"/>
    <w:rsid w:val="63577A9E"/>
    <w:rsid w:val="635F53E5"/>
    <w:rsid w:val="63610B07"/>
    <w:rsid w:val="63642F66"/>
    <w:rsid w:val="63645D10"/>
    <w:rsid w:val="63657F78"/>
    <w:rsid w:val="63695DD3"/>
    <w:rsid w:val="636F68FD"/>
    <w:rsid w:val="63701607"/>
    <w:rsid w:val="6371448D"/>
    <w:rsid w:val="63733EF2"/>
    <w:rsid w:val="63750765"/>
    <w:rsid w:val="637C43AA"/>
    <w:rsid w:val="637D1D0F"/>
    <w:rsid w:val="638C6941"/>
    <w:rsid w:val="63955807"/>
    <w:rsid w:val="639E10D6"/>
    <w:rsid w:val="63A368D2"/>
    <w:rsid w:val="63A64DC2"/>
    <w:rsid w:val="63AC0521"/>
    <w:rsid w:val="63AF3EEA"/>
    <w:rsid w:val="63B9137B"/>
    <w:rsid w:val="63BA0447"/>
    <w:rsid w:val="63BB7FE6"/>
    <w:rsid w:val="63C048E6"/>
    <w:rsid w:val="63C26BD5"/>
    <w:rsid w:val="63C83F99"/>
    <w:rsid w:val="63CE4319"/>
    <w:rsid w:val="63D16D88"/>
    <w:rsid w:val="63D22F53"/>
    <w:rsid w:val="63D25BB7"/>
    <w:rsid w:val="63D30159"/>
    <w:rsid w:val="63D41F56"/>
    <w:rsid w:val="63D9562D"/>
    <w:rsid w:val="63DB1215"/>
    <w:rsid w:val="63DB3676"/>
    <w:rsid w:val="63DC1753"/>
    <w:rsid w:val="63DF65BB"/>
    <w:rsid w:val="63E00F81"/>
    <w:rsid w:val="63E04816"/>
    <w:rsid w:val="63E5397D"/>
    <w:rsid w:val="63E861DD"/>
    <w:rsid w:val="63E9154F"/>
    <w:rsid w:val="63EE6017"/>
    <w:rsid w:val="63F32FAC"/>
    <w:rsid w:val="63F356EB"/>
    <w:rsid w:val="63F41D56"/>
    <w:rsid w:val="63F74857"/>
    <w:rsid w:val="63FC5320"/>
    <w:rsid w:val="64033E00"/>
    <w:rsid w:val="64046DF1"/>
    <w:rsid w:val="64097560"/>
    <w:rsid w:val="640E7D56"/>
    <w:rsid w:val="640F06DB"/>
    <w:rsid w:val="641066DF"/>
    <w:rsid w:val="64184615"/>
    <w:rsid w:val="64223F84"/>
    <w:rsid w:val="642717CF"/>
    <w:rsid w:val="642848BF"/>
    <w:rsid w:val="642E6A3B"/>
    <w:rsid w:val="642F6944"/>
    <w:rsid w:val="64310E2C"/>
    <w:rsid w:val="6431678C"/>
    <w:rsid w:val="6435068A"/>
    <w:rsid w:val="64370D8C"/>
    <w:rsid w:val="643729EA"/>
    <w:rsid w:val="643A375C"/>
    <w:rsid w:val="643B1954"/>
    <w:rsid w:val="643B19AE"/>
    <w:rsid w:val="64500359"/>
    <w:rsid w:val="645244F7"/>
    <w:rsid w:val="64552673"/>
    <w:rsid w:val="64584663"/>
    <w:rsid w:val="645925CB"/>
    <w:rsid w:val="64595EAF"/>
    <w:rsid w:val="645A23C1"/>
    <w:rsid w:val="645C6510"/>
    <w:rsid w:val="645D35F7"/>
    <w:rsid w:val="64624FBE"/>
    <w:rsid w:val="64625D51"/>
    <w:rsid w:val="64634BE1"/>
    <w:rsid w:val="646627A3"/>
    <w:rsid w:val="64680BE1"/>
    <w:rsid w:val="64681A40"/>
    <w:rsid w:val="646A637F"/>
    <w:rsid w:val="64767A12"/>
    <w:rsid w:val="6477050C"/>
    <w:rsid w:val="64774FA5"/>
    <w:rsid w:val="64796AD4"/>
    <w:rsid w:val="647A7845"/>
    <w:rsid w:val="647E3B81"/>
    <w:rsid w:val="64811CF5"/>
    <w:rsid w:val="64826780"/>
    <w:rsid w:val="64843441"/>
    <w:rsid w:val="64875C3F"/>
    <w:rsid w:val="64901669"/>
    <w:rsid w:val="64932842"/>
    <w:rsid w:val="64977571"/>
    <w:rsid w:val="649E12F1"/>
    <w:rsid w:val="64A21612"/>
    <w:rsid w:val="64A31347"/>
    <w:rsid w:val="64A53187"/>
    <w:rsid w:val="64AA7B26"/>
    <w:rsid w:val="64AB4799"/>
    <w:rsid w:val="64AF1113"/>
    <w:rsid w:val="64AF49B9"/>
    <w:rsid w:val="64B3595F"/>
    <w:rsid w:val="64B41A24"/>
    <w:rsid w:val="64B53ED8"/>
    <w:rsid w:val="64B81251"/>
    <w:rsid w:val="64BF764B"/>
    <w:rsid w:val="64C10F38"/>
    <w:rsid w:val="64C56939"/>
    <w:rsid w:val="64CA165B"/>
    <w:rsid w:val="64CB664D"/>
    <w:rsid w:val="64CF1B65"/>
    <w:rsid w:val="64D00416"/>
    <w:rsid w:val="64D53272"/>
    <w:rsid w:val="64DB3289"/>
    <w:rsid w:val="64E16F91"/>
    <w:rsid w:val="64EA7E11"/>
    <w:rsid w:val="64EF3596"/>
    <w:rsid w:val="64F35CD6"/>
    <w:rsid w:val="64F3622A"/>
    <w:rsid w:val="64F76B0F"/>
    <w:rsid w:val="65017878"/>
    <w:rsid w:val="650A21D6"/>
    <w:rsid w:val="650A586D"/>
    <w:rsid w:val="650C0512"/>
    <w:rsid w:val="65154EAF"/>
    <w:rsid w:val="65167D25"/>
    <w:rsid w:val="651E0385"/>
    <w:rsid w:val="65265A34"/>
    <w:rsid w:val="6527620B"/>
    <w:rsid w:val="6529608A"/>
    <w:rsid w:val="652B494A"/>
    <w:rsid w:val="65313143"/>
    <w:rsid w:val="65325436"/>
    <w:rsid w:val="65377E20"/>
    <w:rsid w:val="653A31B9"/>
    <w:rsid w:val="653D1649"/>
    <w:rsid w:val="65494F78"/>
    <w:rsid w:val="6554084E"/>
    <w:rsid w:val="655518B2"/>
    <w:rsid w:val="655914AD"/>
    <w:rsid w:val="655A2308"/>
    <w:rsid w:val="655E06E5"/>
    <w:rsid w:val="655E362A"/>
    <w:rsid w:val="65600B9B"/>
    <w:rsid w:val="6566705C"/>
    <w:rsid w:val="65753F97"/>
    <w:rsid w:val="657641AB"/>
    <w:rsid w:val="657F60D3"/>
    <w:rsid w:val="6583757C"/>
    <w:rsid w:val="658D1617"/>
    <w:rsid w:val="658D4B8A"/>
    <w:rsid w:val="658D745A"/>
    <w:rsid w:val="658E1300"/>
    <w:rsid w:val="65963D36"/>
    <w:rsid w:val="65977B66"/>
    <w:rsid w:val="65993537"/>
    <w:rsid w:val="659D3AA7"/>
    <w:rsid w:val="659E3A44"/>
    <w:rsid w:val="65A26AF1"/>
    <w:rsid w:val="65A60C9F"/>
    <w:rsid w:val="65A877E9"/>
    <w:rsid w:val="65AF0874"/>
    <w:rsid w:val="65B5753E"/>
    <w:rsid w:val="65C40A7E"/>
    <w:rsid w:val="65C9490F"/>
    <w:rsid w:val="65D17E60"/>
    <w:rsid w:val="65DD1C0A"/>
    <w:rsid w:val="65E31E6B"/>
    <w:rsid w:val="65E3522B"/>
    <w:rsid w:val="65E417EE"/>
    <w:rsid w:val="65EB6051"/>
    <w:rsid w:val="65EC7ED8"/>
    <w:rsid w:val="65EE2027"/>
    <w:rsid w:val="65F067C8"/>
    <w:rsid w:val="65F13CDE"/>
    <w:rsid w:val="65F220C5"/>
    <w:rsid w:val="65F73063"/>
    <w:rsid w:val="65F91C24"/>
    <w:rsid w:val="65F973DE"/>
    <w:rsid w:val="65FE7AEC"/>
    <w:rsid w:val="66004DBD"/>
    <w:rsid w:val="661309D2"/>
    <w:rsid w:val="661574C2"/>
    <w:rsid w:val="66197204"/>
    <w:rsid w:val="6621310A"/>
    <w:rsid w:val="662206A3"/>
    <w:rsid w:val="66274C41"/>
    <w:rsid w:val="663743F7"/>
    <w:rsid w:val="663B2E86"/>
    <w:rsid w:val="663B4862"/>
    <w:rsid w:val="66400855"/>
    <w:rsid w:val="664764E3"/>
    <w:rsid w:val="664967B3"/>
    <w:rsid w:val="664C70EB"/>
    <w:rsid w:val="664F5327"/>
    <w:rsid w:val="664F6AE8"/>
    <w:rsid w:val="66515E97"/>
    <w:rsid w:val="66545DCD"/>
    <w:rsid w:val="66562D85"/>
    <w:rsid w:val="66567ECF"/>
    <w:rsid w:val="665D16F5"/>
    <w:rsid w:val="665F1D7E"/>
    <w:rsid w:val="66620612"/>
    <w:rsid w:val="66623B5E"/>
    <w:rsid w:val="66660838"/>
    <w:rsid w:val="666727F5"/>
    <w:rsid w:val="66707909"/>
    <w:rsid w:val="66742070"/>
    <w:rsid w:val="667B37CD"/>
    <w:rsid w:val="667C5800"/>
    <w:rsid w:val="667E4F50"/>
    <w:rsid w:val="668A36DC"/>
    <w:rsid w:val="668D4EF0"/>
    <w:rsid w:val="668E4EE1"/>
    <w:rsid w:val="668F11BD"/>
    <w:rsid w:val="66902D20"/>
    <w:rsid w:val="66943BF5"/>
    <w:rsid w:val="669B028A"/>
    <w:rsid w:val="669C3554"/>
    <w:rsid w:val="669F308B"/>
    <w:rsid w:val="66A16489"/>
    <w:rsid w:val="66A16CA0"/>
    <w:rsid w:val="66A21884"/>
    <w:rsid w:val="66A477E6"/>
    <w:rsid w:val="66A64758"/>
    <w:rsid w:val="66A80E51"/>
    <w:rsid w:val="66A83916"/>
    <w:rsid w:val="66AE4601"/>
    <w:rsid w:val="66B00E47"/>
    <w:rsid w:val="66B26920"/>
    <w:rsid w:val="66B4012B"/>
    <w:rsid w:val="66B42825"/>
    <w:rsid w:val="66B9590D"/>
    <w:rsid w:val="66BB23F5"/>
    <w:rsid w:val="66CC436D"/>
    <w:rsid w:val="66CE11E4"/>
    <w:rsid w:val="66D1438A"/>
    <w:rsid w:val="66E34605"/>
    <w:rsid w:val="66E852D4"/>
    <w:rsid w:val="66E957BD"/>
    <w:rsid w:val="66EA4073"/>
    <w:rsid w:val="66EA6899"/>
    <w:rsid w:val="66F04786"/>
    <w:rsid w:val="66F23C81"/>
    <w:rsid w:val="66F35AE8"/>
    <w:rsid w:val="66F43B8F"/>
    <w:rsid w:val="66F43CFB"/>
    <w:rsid w:val="66F934D1"/>
    <w:rsid w:val="66FB38E2"/>
    <w:rsid w:val="670157C0"/>
    <w:rsid w:val="67023E0D"/>
    <w:rsid w:val="67073CD6"/>
    <w:rsid w:val="67097921"/>
    <w:rsid w:val="670A0888"/>
    <w:rsid w:val="671129ED"/>
    <w:rsid w:val="67136A95"/>
    <w:rsid w:val="67136D57"/>
    <w:rsid w:val="67155478"/>
    <w:rsid w:val="67171305"/>
    <w:rsid w:val="671C39E6"/>
    <w:rsid w:val="671E7365"/>
    <w:rsid w:val="671F34E5"/>
    <w:rsid w:val="672114BE"/>
    <w:rsid w:val="6722511E"/>
    <w:rsid w:val="67290773"/>
    <w:rsid w:val="672D634D"/>
    <w:rsid w:val="672F53C8"/>
    <w:rsid w:val="673A6B06"/>
    <w:rsid w:val="673C2AC8"/>
    <w:rsid w:val="673E123C"/>
    <w:rsid w:val="67420E26"/>
    <w:rsid w:val="67444BAD"/>
    <w:rsid w:val="67450B84"/>
    <w:rsid w:val="67454701"/>
    <w:rsid w:val="67481D9E"/>
    <w:rsid w:val="674E6F28"/>
    <w:rsid w:val="675B7B90"/>
    <w:rsid w:val="675C3AB9"/>
    <w:rsid w:val="67621B83"/>
    <w:rsid w:val="67622084"/>
    <w:rsid w:val="67664E48"/>
    <w:rsid w:val="67685F76"/>
    <w:rsid w:val="676940E1"/>
    <w:rsid w:val="676E5F3A"/>
    <w:rsid w:val="676F079B"/>
    <w:rsid w:val="677707F2"/>
    <w:rsid w:val="67771DBD"/>
    <w:rsid w:val="677D0B2B"/>
    <w:rsid w:val="678324EC"/>
    <w:rsid w:val="67835C4F"/>
    <w:rsid w:val="67867F32"/>
    <w:rsid w:val="678B4F7C"/>
    <w:rsid w:val="678B5546"/>
    <w:rsid w:val="678F2304"/>
    <w:rsid w:val="6794593E"/>
    <w:rsid w:val="67962E34"/>
    <w:rsid w:val="679758D0"/>
    <w:rsid w:val="679B1B5B"/>
    <w:rsid w:val="67AB4FE2"/>
    <w:rsid w:val="67AF1031"/>
    <w:rsid w:val="67AF25FA"/>
    <w:rsid w:val="67B0620F"/>
    <w:rsid w:val="67B4159C"/>
    <w:rsid w:val="67B658B2"/>
    <w:rsid w:val="67B65F65"/>
    <w:rsid w:val="67B71CDF"/>
    <w:rsid w:val="67B735E3"/>
    <w:rsid w:val="67B74248"/>
    <w:rsid w:val="67BC7157"/>
    <w:rsid w:val="67C31B0B"/>
    <w:rsid w:val="67C41CBB"/>
    <w:rsid w:val="67C909B6"/>
    <w:rsid w:val="67CB5401"/>
    <w:rsid w:val="67CC3E5B"/>
    <w:rsid w:val="67CD45A6"/>
    <w:rsid w:val="67D0369C"/>
    <w:rsid w:val="67D143D7"/>
    <w:rsid w:val="67DA435C"/>
    <w:rsid w:val="67DC1E11"/>
    <w:rsid w:val="67E05A2B"/>
    <w:rsid w:val="67E10ABE"/>
    <w:rsid w:val="67E9707F"/>
    <w:rsid w:val="67F44371"/>
    <w:rsid w:val="68027EF8"/>
    <w:rsid w:val="68060499"/>
    <w:rsid w:val="6806607D"/>
    <w:rsid w:val="680A4FE7"/>
    <w:rsid w:val="680D211F"/>
    <w:rsid w:val="680E134C"/>
    <w:rsid w:val="680E6A60"/>
    <w:rsid w:val="6816074A"/>
    <w:rsid w:val="68161CFF"/>
    <w:rsid w:val="68167FCB"/>
    <w:rsid w:val="68254B93"/>
    <w:rsid w:val="682C3A9C"/>
    <w:rsid w:val="68354938"/>
    <w:rsid w:val="68354966"/>
    <w:rsid w:val="683562A7"/>
    <w:rsid w:val="68361986"/>
    <w:rsid w:val="68380F25"/>
    <w:rsid w:val="683D2166"/>
    <w:rsid w:val="683E429F"/>
    <w:rsid w:val="68547ACF"/>
    <w:rsid w:val="6855790E"/>
    <w:rsid w:val="686302D9"/>
    <w:rsid w:val="68631288"/>
    <w:rsid w:val="6863636E"/>
    <w:rsid w:val="686B682B"/>
    <w:rsid w:val="6873332F"/>
    <w:rsid w:val="687731D1"/>
    <w:rsid w:val="687922D2"/>
    <w:rsid w:val="687A0CCB"/>
    <w:rsid w:val="687A2147"/>
    <w:rsid w:val="687E25CA"/>
    <w:rsid w:val="68816CB6"/>
    <w:rsid w:val="68880627"/>
    <w:rsid w:val="68917B47"/>
    <w:rsid w:val="68921846"/>
    <w:rsid w:val="6892797D"/>
    <w:rsid w:val="68935EBF"/>
    <w:rsid w:val="689A4ACE"/>
    <w:rsid w:val="689B2850"/>
    <w:rsid w:val="689E02C7"/>
    <w:rsid w:val="68A04E9E"/>
    <w:rsid w:val="68A26A71"/>
    <w:rsid w:val="68A51664"/>
    <w:rsid w:val="68A723B7"/>
    <w:rsid w:val="68AA489D"/>
    <w:rsid w:val="68AA7102"/>
    <w:rsid w:val="68B114F8"/>
    <w:rsid w:val="68B13FF1"/>
    <w:rsid w:val="68B3607B"/>
    <w:rsid w:val="68B47F81"/>
    <w:rsid w:val="68B82894"/>
    <w:rsid w:val="68C81BE3"/>
    <w:rsid w:val="68CE71EA"/>
    <w:rsid w:val="68D21AAA"/>
    <w:rsid w:val="68D45E02"/>
    <w:rsid w:val="68D8502D"/>
    <w:rsid w:val="68E51779"/>
    <w:rsid w:val="68EB5BD8"/>
    <w:rsid w:val="68EB7817"/>
    <w:rsid w:val="68ED1A51"/>
    <w:rsid w:val="68ED4531"/>
    <w:rsid w:val="68ED6610"/>
    <w:rsid w:val="68F16A39"/>
    <w:rsid w:val="68F36E3A"/>
    <w:rsid w:val="68F76AF3"/>
    <w:rsid w:val="68F93E38"/>
    <w:rsid w:val="68FC6CDB"/>
    <w:rsid w:val="690032A3"/>
    <w:rsid w:val="6904051A"/>
    <w:rsid w:val="690A0F6A"/>
    <w:rsid w:val="69112FFC"/>
    <w:rsid w:val="69147893"/>
    <w:rsid w:val="69151CD8"/>
    <w:rsid w:val="6916020B"/>
    <w:rsid w:val="69176243"/>
    <w:rsid w:val="691933B2"/>
    <w:rsid w:val="69244BA3"/>
    <w:rsid w:val="692704CA"/>
    <w:rsid w:val="6927349B"/>
    <w:rsid w:val="69297275"/>
    <w:rsid w:val="692D4FF5"/>
    <w:rsid w:val="69347D64"/>
    <w:rsid w:val="693764E7"/>
    <w:rsid w:val="6940754C"/>
    <w:rsid w:val="694233C0"/>
    <w:rsid w:val="6942380E"/>
    <w:rsid w:val="694B18D0"/>
    <w:rsid w:val="694C640B"/>
    <w:rsid w:val="694D707E"/>
    <w:rsid w:val="694F4C5B"/>
    <w:rsid w:val="6950161F"/>
    <w:rsid w:val="695867E4"/>
    <w:rsid w:val="69595407"/>
    <w:rsid w:val="695C61C8"/>
    <w:rsid w:val="695F3908"/>
    <w:rsid w:val="69696A47"/>
    <w:rsid w:val="696A6892"/>
    <w:rsid w:val="696E160D"/>
    <w:rsid w:val="696F77A1"/>
    <w:rsid w:val="69711F80"/>
    <w:rsid w:val="69847BB1"/>
    <w:rsid w:val="698708F6"/>
    <w:rsid w:val="69873073"/>
    <w:rsid w:val="698F1806"/>
    <w:rsid w:val="698F3B91"/>
    <w:rsid w:val="69901906"/>
    <w:rsid w:val="699336EA"/>
    <w:rsid w:val="69941885"/>
    <w:rsid w:val="69947673"/>
    <w:rsid w:val="69950E6A"/>
    <w:rsid w:val="69956D29"/>
    <w:rsid w:val="699658D9"/>
    <w:rsid w:val="699770FD"/>
    <w:rsid w:val="699935C1"/>
    <w:rsid w:val="699A7AE3"/>
    <w:rsid w:val="69A03DED"/>
    <w:rsid w:val="69A9560C"/>
    <w:rsid w:val="69AA5856"/>
    <w:rsid w:val="69B343B3"/>
    <w:rsid w:val="69B53AE4"/>
    <w:rsid w:val="69B639E4"/>
    <w:rsid w:val="69C067EB"/>
    <w:rsid w:val="69C12D7E"/>
    <w:rsid w:val="69C23C95"/>
    <w:rsid w:val="69C431DE"/>
    <w:rsid w:val="69C757DE"/>
    <w:rsid w:val="69C97ECF"/>
    <w:rsid w:val="69CD539C"/>
    <w:rsid w:val="69CE4284"/>
    <w:rsid w:val="69D66020"/>
    <w:rsid w:val="69D900F5"/>
    <w:rsid w:val="69DA3116"/>
    <w:rsid w:val="69E35B22"/>
    <w:rsid w:val="69E82EAD"/>
    <w:rsid w:val="69EF4D79"/>
    <w:rsid w:val="69F62943"/>
    <w:rsid w:val="69FA2524"/>
    <w:rsid w:val="69FF56FA"/>
    <w:rsid w:val="6A05604F"/>
    <w:rsid w:val="6A061CFA"/>
    <w:rsid w:val="6A07106A"/>
    <w:rsid w:val="6A0C3B26"/>
    <w:rsid w:val="6A11092D"/>
    <w:rsid w:val="6A114391"/>
    <w:rsid w:val="6A1572D6"/>
    <w:rsid w:val="6A181CBB"/>
    <w:rsid w:val="6A1A161A"/>
    <w:rsid w:val="6A1B29D5"/>
    <w:rsid w:val="6A1C41E3"/>
    <w:rsid w:val="6A1D4754"/>
    <w:rsid w:val="6A1E6E36"/>
    <w:rsid w:val="6A20004D"/>
    <w:rsid w:val="6A213010"/>
    <w:rsid w:val="6A2662E2"/>
    <w:rsid w:val="6A2909D8"/>
    <w:rsid w:val="6A2F4CD8"/>
    <w:rsid w:val="6A3457F2"/>
    <w:rsid w:val="6A3568F0"/>
    <w:rsid w:val="6A36572E"/>
    <w:rsid w:val="6A386E24"/>
    <w:rsid w:val="6A3A650B"/>
    <w:rsid w:val="6A3C1716"/>
    <w:rsid w:val="6A445B61"/>
    <w:rsid w:val="6A4E1ECE"/>
    <w:rsid w:val="6A500C51"/>
    <w:rsid w:val="6A542FE4"/>
    <w:rsid w:val="6A567CD9"/>
    <w:rsid w:val="6A581706"/>
    <w:rsid w:val="6A587827"/>
    <w:rsid w:val="6A5A69E9"/>
    <w:rsid w:val="6A5F31CD"/>
    <w:rsid w:val="6A632D31"/>
    <w:rsid w:val="6A654314"/>
    <w:rsid w:val="6A655321"/>
    <w:rsid w:val="6A666190"/>
    <w:rsid w:val="6A674840"/>
    <w:rsid w:val="6A731AB8"/>
    <w:rsid w:val="6A7A6354"/>
    <w:rsid w:val="6A7B0761"/>
    <w:rsid w:val="6A8002D2"/>
    <w:rsid w:val="6A846CA1"/>
    <w:rsid w:val="6A854B18"/>
    <w:rsid w:val="6A900ADE"/>
    <w:rsid w:val="6A917AEB"/>
    <w:rsid w:val="6A931DF0"/>
    <w:rsid w:val="6A975AF6"/>
    <w:rsid w:val="6A9825A6"/>
    <w:rsid w:val="6A9A6EC2"/>
    <w:rsid w:val="6A9C4A86"/>
    <w:rsid w:val="6AA308A5"/>
    <w:rsid w:val="6AA311ED"/>
    <w:rsid w:val="6AA401E8"/>
    <w:rsid w:val="6AAA0808"/>
    <w:rsid w:val="6AAA3DE0"/>
    <w:rsid w:val="6AAB53B4"/>
    <w:rsid w:val="6AB525A4"/>
    <w:rsid w:val="6AB63D27"/>
    <w:rsid w:val="6AC63468"/>
    <w:rsid w:val="6AC7759C"/>
    <w:rsid w:val="6ACB3FCE"/>
    <w:rsid w:val="6ACE46AC"/>
    <w:rsid w:val="6ACF10A2"/>
    <w:rsid w:val="6ACF79CC"/>
    <w:rsid w:val="6AD052BB"/>
    <w:rsid w:val="6AD4145D"/>
    <w:rsid w:val="6ADC68B7"/>
    <w:rsid w:val="6ADE1871"/>
    <w:rsid w:val="6AE625B7"/>
    <w:rsid w:val="6AEA5EDC"/>
    <w:rsid w:val="6AEC0D78"/>
    <w:rsid w:val="6AF10CE3"/>
    <w:rsid w:val="6AF10D07"/>
    <w:rsid w:val="6AF4451C"/>
    <w:rsid w:val="6AF57F8A"/>
    <w:rsid w:val="6AFA7EC6"/>
    <w:rsid w:val="6AFE2190"/>
    <w:rsid w:val="6AFF4130"/>
    <w:rsid w:val="6B0024D3"/>
    <w:rsid w:val="6B03793C"/>
    <w:rsid w:val="6B064992"/>
    <w:rsid w:val="6B080915"/>
    <w:rsid w:val="6B0A5C12"/>
    <w:rsid w:val="6B100CDB"/>
    <w:rsid w:val="6B1128D6"/>
    <w:rsid w:val="6B122F73"/>
    <w:rsid w:val="6B1A62E8"/>
    <w:rsid w:val="6B1E4AB7"/>
    <w:rsid w:val="6B1E5742"/>
    <w:rsid w:val="6B1E5B86"/>
    <w:rsid w:val="6B2278E3"/>
    <w:rsid w:val="6B236BF5"/>
    <w:rsid w:val="6B276653"/>
    <w:rsid w:val="6B2B2BDF"/>
    <w:rsid w:val="6B2D63A2"/>
    <w:rsid w:val="6B3028CD"/>
    <w:rsid w:val="6B347E52"/>
    <w:rsid w:val="6B3B1B60"/>
    <w:rsid w:val="6B43085E"/>
    <w:rsid w:val="6B4527A9"/>
    <w:rsid w:val="6B4679E5"/>
    <w:rsid w:val="6B48185B"/>
    <w:rsid w:val="6B4D42B9"/>
    <w:rsid w:val="6B4E6554"/>
    <w:rsid w:val="6B4F53CD"/>
    <w:rsid w:val="6B570452"/>
    <w:rsid w:val="6B5A5824"/>
    <w:rsid w:val="6B5B101F"/>
    <w:rsid w:val="6B6036C6"/>
    <w:rsid w:val="6B652F06"/>
    <w:rsid w:val="6B65402C"/>
    <w:rsid w:val="6B67298B"/>
    <w:rsid w:val="6B710A6F"/>
    <w:rsid w:val="6B713583"/>
    <w:rsid w:val="6B730C8B"/>
    <w:rsid w:val="6B7875C4"/>
    <w:rsid w:val="6B7D3DA1"/>
    <w:rsid w:val="6B812AD7"/>
    <w:rsid w:val="6B950835"/>
    <w:rsid w:val="6B966214"/>
    <w:rsid w:val="6B9C7EE2"/>
    <w:rsid w:val="6B9D1B4B"/>
    <w:rsid w:val="6B9F1B88"/>
    <w:rsid w:val="6BA36E19"/>
    <w:rsid w:val="6BA36FA1"/>
    <w:rsid w:val="6BA37CE4"/>
    <w:rsid w:val="6BA86DB0"/>
    <w:rsid w:val="6BAF3F47"/>
    <w:rsid w:val="6BB003EC"/>
    <w:rsid w:val="6BB05654"/>
    <w:rsid w:val="6BB25CE9"/>
    <w:rsid w:val="6BB40298"/>
    <w:rsid w:val="6BB80517"/>
    <w:rsid w:val="6BBB2A7F"/>
    <w:rsid w:val="6BBD382E"/>
    <w:rsid w:val="6BBD7E4E"/>
    <w:rsid w:val="6BC12BC3"/>
    <w:rsid w:val="6BC255FB"/>
    <w:rsid w:val="6BC71A6B"/>
    <w:rsid w:val="6BCB759E"/>
    <w:rsid w:val="6BD6392E"/>
    <w:rsid w:val="6BD74A13"/>
    <w:rsid w:val="6BDA7198"/>
    <w:rsid w:val="6BDD32F6"/>
    <w:rsid w:val="6BDD611C"/>
    <w:rsid w:val="6BE0337B"/>
    <w:rsid w:val="6BE32FA2"/>
    <w:rsid w:val="6BE54DFB"/>
    <w:rsid w:val="6BEA2D0C"/>
    <w:rsid w:val="6BEB0FFD"/>
    <w:rsid w:val="6BEE1755"/>
    <w:rsid w:val="6BEE42AC"/>
    <w:rsid w:val="6BF6501D"/>
    <w:rsid w:val="6BFA5780"/>
    <w:rsid w:val="6BFF1FB4"/>
    <w:rsid w:val="6BFF7DA9"/>
    <w:rsid w:val="6C11340F"/>
    <w:rsid w:val="6C115C69"/>
    <w:rsid w:val="6C126732"/>
    <w:rsid w:val="6C182F5B"/>
    <w:rsid w:val="6C1B1C8D"/>
    <w:rsid w:val="6C1D7C66"/>
    <w:rsid w:val="6C210F99"/>
    <w:rsid w:val="6C2447D8"/>
    <w:rsid w:val="6C286F5B"/>
    <w:rsid w:val="6C293D29"/>
    <w:rsid w:val="6C2B0ACB"/>
    <w:rsid w:val="6C2D107A"/>
    <w:rsid w:val="6C2E4131"/>
    <w:rsid w:val="6C3070A1"/>
    <w:rsid w:val="6C340AD6"/>
    <w:rsid w:val="6C365799"/>
    <w:rsid w:val="6C3D62E9"/>
    <w:rsid w:val="6C3D714D"/>
    <w:rsid w:val="6C3F5323"/>
    <w:rsid w:val="6C426D80"/>
    <w:rsid w:val="6C485A2A"/>
    <w:rsid w:val="6C5035B0"/>
    <w:rsid w:val="6C515D11"/>
    <w:rsid w:val="6C543A21"/>
    <w:rsid w:val="6C592976"/>
    <w:rsid w:val="6C5B6323"/>
    <w:rsid w:val="6C6235A6"/>
    <w:rsid w:val="6C650B7C"/>
    <w:rsid w:val="6C676F99"/>
    <w:rsid w:val="6C691C4A"/>
    <w:rsid w:val="6C6D5AB3"/>
    <w:rsid w:val="6C731F16"/>
    <w:rsid w:val="6C737494"/>
    <w:rsid w:val="6C75651B"/>
    <w:rsid w:val="6C761490"/>
    <w:rsid w:val="6C7803FA"/>
    <w:rsid w:val="6C7C0DB6"/>
    <w:rsid w:val="6C814665"/>
    <w:rsid w:val="6C841A18"/>
    <w:rsid w:val="6C8423FE"/>
    <w:rsid w:val="6C8E200F"/>
    <w:rsid w:val="6C8F008A"/>
    <w:rsid w:val="6C9A5A5B"/>
    <w:rsid w:val="6C9D55CD"/>
    <w:rsid w:val="6CA064D6"/>
    <w:rsid w:val="6CA73430"/>
    <w:rsid w:val="6CA85655"/>
    <w:rsid w:val="6CB06CB1"/>
    <w:rsid w:val="6CB07024"/>
    <w:rsid w:val="6CB572D2"/>
    <w:rsid w:val="6CBA04EE"/>
    <w:rsid w:val="6CBB0582"/>
    <w:rsid w:val="6CBC1181"/>
    <w:rsid w:val="6CBE767C"/>
    <w:rsid w:val="6CC21048"/>
    <w:rsid w:val="6CCA40DC"/>
    <w:rsid w:val="6CCA64B6"/>
    <w:rsid w:val="6CCF39D0"/>
    <w:rsid w:val="6CCF6A0E"/>
    <w:rsid w:val="6CD1141C"/>
    <w:rsid w:val="6CD15DDA"/>
    <w:rsid w:val="6CD20E6D"/>
    <w:rsid w:val="6CD23CAF"/>
    <w:rsid w:val="6CD54B92"/>
    <w:rsid w:val="6CD5698D"/>
    <w:rsid w:val="6CD84D15"/>
    <w:rsid w:val="6CD94B7B"/>
    <w:rsid w:val="6CDA3BD8"/>
    <w:rsid w:val="6CE02D64"/>
    <w:rsid w:val="6CE83DFB"/>
    <w:rsid w:val="6CEA61E7"/>
    <w:rsid w:val="6CEC261D"/>
    <w:rsid w:val="6CEE2474"/>
    <w:rsid w:val="6CEE3AD6"/>
    <w:rsid w:val="6CFB2D66"/>
    <w:rsid w:val="6CFC1D76"/>
    <w:rsid w:val="6D074DAA"/>
    <w:rsid w:val="6D0C1551"/>
    <w:rsid w:val="6D0C2EF4"/>
    <w:rsid w:val="6D0C4181"/>
    <w:rsid w:val="6D0F1481"/>
    <w:rsid w:val="6D113B3A"/>
    <w:rsid w:val="6D1E1E6D"/>
    <w:rsid w:val="6D206BB4"/>
    <w:rsid w:val="6D2225B6"/>
    <w:rsid w:val="6D226CC2"/>
    <w:rsid w:val="6D2A0812"/>
    <w:rsid w:val="6D2E4E5F"/>
    <w:rsid w:val="6D2F7BD6"/>
    <w:rsid w:val="6D3D5B10"/>
    <w:rsid w:val="6D453D9B"/>
    <w:rsid w:val="6D471C06"/>
    <w:rsid w:val="6D4A7A12"/>
    <w:rsid w:val="6D4D353A"/>
    <w:rsid w:val="6D4E5C0F"/>
    <w:rsid w:val="6D4F4082"/>
    <w:rsid w:val="6D4F7FD3"/>
    <w:rsid w:val="6D54097D"/>
    <w:rsid w:val="6D545DD4"/>
    <w:rsid w:val="6D573C38"/>
    <w:rsid w:val="6D594CC1"/>
    <w:rsid w:val="6D5A20D2"/>
    <w:rsid w:val="6D5E19DE"/>
    <w:rsid w:val="6D606FA7"/>
    <w:rsid w:val="6D6467DB"/>
    <w:rsid w:val="6D6F0FA8"/>
    <w:rsid w:val="6D7157F8"/>
    <w:rsid w:val="6D72206F"/>
    <w:rsid w:val="6D8076BB"/>
    <w:rsid w:val="6D821F2F"/>
    <w:rsid w:val="6D831AD6"/>
    <w:rsid w:val="6D83706B"/>
    <w:rsid w:val="6D884A4B"/>
    <w:rsid w:val="6D8D3C33"/>
    <w:rsid w:val="6D90329E"/>
    <w:rsid w:val="6D907D41"/>
    <w:rsid w:val="6D952E30"/>
    <w:rsid w:val="6D9E4BE6"/>
    <w:rsid w:val="6D9F3272"/>
    <w:rsid w:val="6DA27E97"/>
    <w:rsid w:val="6DA91751"/>
    <w:rsid w:val="6DA95718"/>
    <w:rsid w:val="6DAD1EC9"/>
    <w:rsid w:val="6DAD51F8"/>
    <w:rsid w:val="6DB84EE2"/>
    <w:rsid w:val="6DBE28C7"/>
    <w:rsid w:val="6DC128FE"/>
    <w:rsid w:val="6DC20F14"/>
    <w:rsid w:val="6DC44326"/>
    <w:rsid w:val="6DC47752"/>
    <w:rsid w:val="6DC512ED"/>
    <w:rsid w:val="6DCA4847"/>
    <w:rsid w:val="6DCD1409"/>
    <w:rsid w:val="6DCE1692"/>
    <w:rsid w:val="6DD32BF2"/>
    <w:rsid w:val="6DD63F1B"/>
    <w:rsid w:val="6DDA2D93"/>
    <w:rsid w:val="6DDD59CA"/>
    <w:rsid w:val="6DE86308"/>
    <w:rsid w:val="6DED296D"/>
    <w:rsid w:val="6DF45878"/>
    <w:rsid w:val="6DF54BEC"/>
    <w:rsid w:val="6DF939BC"/>
    <w:rsid w:val="6E01455F"/>
    <w:rsid w:val="6E041950"/>
    <w:rsid w:val="6E042FA6"/>
    <w:rsid w:val="6E0A7F0E"/>
    <w:rsid w:val="6E0E2E01"/>
    <w:rsid w:val="6E106D60"/>
    <w:rsid w:val="6E1122E7"/>
    <w:rsid w:val="6E1244F2"/>
    <w:rsid w:val="6E147009"/>
    <w:rsid w:val="6E15187E"/>
    <w:rsid w:val="6E192020"/>
    <w:rsid w:val="6E1B0C61"/>
    <w:rsid w:val="6E1C2025"/>
    <w:rsid w:val="6E1E199B"/>
    <w:rsid w:val="6E202945"/>
    <w:rsid w:val="6E2E17AF"/>
    <w:rsid w:val="6E32768E"/>
    <w:rsid w:val="6E37072C"/>
    <w:rsid w:val="6E3C5DA9"/>
    <w:rsid w:val="6E3C7B9D"/>
    <w:rsid w:val="6E4D7C65"/>
    <w:rsid w:val="6E4F3A45"/>
    <w:rsid w:val="6E542B2E"/>
    <w:rsid w:val="6E5E7289"/>
    <w:rsid w:val="6E600037"/>
    <w:rsid w:val="6E643477"/>
    <w:rsid w:val="6E6B161E"/>
    <w:rsid w:val="6E6E21D1"/>
    <w:rsid w:val="6E7010CE"/>
    <w:rsid w:val="6E7377DF"/>
    <w:rsid w:val="6E766F97"/>
    <w:rsid w:val="6E7C49ED"/>
    <w:rsid w:val="6E7F40AB"/>
    <w:rsid w:val="6E81246E"/>
    <w:rsid w:val="6E8A201D"/>
    <w:rsid w:val="6E943CC4"/>
    <w:rsid w:val="6E964983"/>
    <w:rsid w:val="6E9754CB"/>
    <w:rsid w:val="6E9827DD"/>
    <w:rsid w:val="6EA3004B"/>
    <w:rsid w:val="6EA32F06"/>
    <w:rsid w:val="6EA92DBA"/>
    <w:rsid w:val="6EAD25F7"/>
    <w:rsid w:val="6EB16F7D"/>
    <w:rsid w:val="6EB34837"/>
    <w:rsid w:val="6EB60EEA"/>
    <w:rsid w:val="6EB645DF"/>
    <w:rsid w:val="6EBC7157"/>
    <w:rsid w:val="6EBF16A6"/>
    <w:rsid w:val="6EBF7CF3"/>
    <w:rsid w:val="6EC10D02"/>
    <w:rsid w:val="6EC57260"/>
    <w:rsid w:val="6EC74271"/>
    <w:rsid w:val="6EC9405A"/>
    <w:rsid w:val="6ECA1772"/>
    <w:rsid w:val="6ECE772E"/>
    <w:rsid w:val="6ED644AD"/>
    <w:rsid w:val="6ED7075E"/>
    <w:rsid w:val="6EDD328C"/>
    <w:rsid w:val="6EE1570A"/>
    <w:rsid w:val="6EE2046E"/>
    <w:rsid w:val="6EE21664"/>
    <w:rsid w:val="6EE9736C"/>
    <w:rsid w:val="6EF3357D"/>
    <w:rsid w:val="6EF4457E"/>
    <w:rsid w:val="6EF530A1"/>
    <w:rsid w:val="6EF61839"/>
    <w:rsid w:val="6EF867E4"/>
    <w:rsid w:val="6EFD5AB2"/>
    <w:rsid w:val="6EFF10D8"/>
    <w:rsid w:val="6F003DFE"/>
    <w:rsid w:val="6F0A4E9C"/>
    <w:rsid w:val="6F0A77A0"/>
    <w:rsid w:val="6F1C5F49"/>
    <w:rsid w:val="6F1D53CA"/>
    <w:rsid w:val="6F1F3C7A"/>
    <w:rsid w:val="6F225336"/>
    <w:rsid w:val="6F26245B"/>
    <w:rsid w:val="6F2B6AC3"/>
    <w:rsid w:val="6F2F0386"/>
    <w:rsid w:val="6F334171"/>
    <w:rsid w:val="6F351F13"/>
    <w:rsid w:val="6F35714B"/>
    <w:rsid w:val="6F3D2B42"/>
    <w:rsid w:val="6F3E4F0F"/>
    <w:rsid w:val="6F491166"/>
    <w:rsid w:val="6F4B6208"/>
    <w:rsid w:val="6F4D3531"/>
    <w:rsid w:val="6F4F0380"/>
    <w:rsid w:val="6F526446"/>
    <w:rsid w:val="6F586AE4"/>
    <w:rsid w:val="6F5E07F5"/>
    <w:rsid w:val="6F5E29F5"/>
    <w:rsid w:val="6F5F67D2"/>
    <w:rsid w:val="6F62636B"/>
    <w:rsid w:val="6F63625D"/>
    <w:rsid w:val="6F664FA5"/>
    <w:rsid w:val="6F69542C"/>
    <w:rsid w:val="6F6D4C9F"/>
    <w:rsid w:val="6F707EBA"/>
    <w:rsid w:val="6F765A09"/>
    <w:rsid w:val="6F78029A"/>
    <w:rsid w:val="6F7851F4"/>
    <w:rsid w:val="6F785B4B"/>
    <w:rsid w:val="6F7B4E62"/>
    <w:rsid w:val="6F7C7947"/>
    <w:rsid w:val="6F832A27"/>
    <w:rsid w:val="6F83591F"/>
    <w:rsid w:val="6F8433A5"/>
    <w:rsid w:val="6F855DF6"/>
    <w:rsid w:val="6F8C1F6F"/>
    <w:rsid w:val="6F8C3DAA"/>
    <w:rsid w:val="6F8C74B5"/>
    <w:rsid w:val="6F8D0FF2"/>
    <w:rsid w:val="6F8F521E"/>
    <w:rsid w:val="6F985883"/>
    <w:rsid w:val="6F9D4817"/>
    <w:rsid w:val="6FA227C1"/>
    <w:rsid w:val="6FA253B6"/>
    <w:rsid w:val="6FA837C8"/>
    <w:rsid w:val="6FAC6610"/>
    <w:rsid w:val="6FB2689C"/>
    <w:rsid w:val="6FB847FE"/>
    <w:rsid w:val="6FBA7BD6"/>
    <w:rsid w:val="6FC67FBA"/>
    <w:rsid w:val="6FC75DB3"/>
    <w:rsid w:val="6FC77EB2"/>
    <w:rsid w:val="6FC81620"/>
    <w:rsid w:val="6FC81BBE"/>
    <w:rsid w:val="6FC9683F"/>
    <w:rsid w:val="6FCF3587"/>
    <w:rsid w:val="6FD15D45"/>
    <w:rsid w:val="6FD30250"/>
    <w:rsid w:val="6FD52703"/>
    <w:rsid w:val="6FDD42E6"/>
    <w:rsid w:val="6FE36B28"/>
    <w:rsid w:val="6FE54F33"/>
    <w:rsid w:val="6FF4510E"/>
    <w:rsid w:val="6FF653F0"/>
    <w:rsid w:val="6FF6793D"/>
    <w:rsid w:val="6FF77C92"/>
    <w:rsid w:val="6FF86D8B"/>
    <w:rsid w:val="6FFA71B2"/>
    <w:rsid w:val="6FFB6ACD"/>
    <w:rsid w:val="6FFD3078"/>
    <w:rsid w:val="6FFD7DD4"/>
    <w:rsid w:val="700510C2"/>
    <w:rsid w:val="700D145E"/>
    <w:rsid w:val="700D32F2"/>
    <w:rsid w:val="700F4C47"/>
    <w:rsid w:val="70134CF8"/>
    <w:rsid w:val="701A40A3"/>
    <w:rsid w:val="701D6176"/>
    <w:rsid w:val="701E45B5"/>
    <w:rsid w:val="70247140"/>
    <w:rsid w:val="702A654D"/>
    <w:rsid w:val="702E7F70"/>
    <w:rsid w:val="70311EB7"/>
    <w:rsid w:val="703411AB"/>
    <w:rsid w:val="703546B9"/>
    <w:rsid w:val="70402D0C"/>
    <w:rsid w:val="70410790"/>
    <w:rsid w:val="704149D2"/>
    <w:rsid w:val="704C5088"/>
    <w:rsid w:val="704F62B7"/>
    <w:rsid w:val="705C2C33"/>
    <w:rsid w:val="705C3DF0"/>
    <w:rsid w:val="7061760C"/>
    <w:rsid w:val="70633012"/>
    <w:rsid w:val="706568E3"/>
    <w:rsid w:val="70657406"/>
    <w:rsid w:val="706A6FEB"/>
    <w:rsid w:val="706E4EB9"/>
    <w:rsid w:val="70705517"/>
    <w:rsid w:val="70746C4D"/>
    <w:rsid w:val="70797D1F"/>
    <w:rsid w:val="707E5068"/>
    <w:rsid w:val="707F5CB2"/>
    <w:rsid w:val="70800FE3"/>
    <w:rsid w:val="70813500"/>
    <w:rsid w:val="708B0A13"/>
    <w:rsid w:val="708E3F12"/>
    <w:rsid w:val="70944D11"/>
    <w:rsid w:val="70992325"/>
    <w:rsid w:val="70997E9D"/>
    <w:rsid w:val="709A1488"/>
    <w:rsid w:val="709B191B"/>
    <w:rsid w:val="709B28EA"/>
    <w:rsid w:val="709E767D"/>
    <w:rsid w:val="70A12499"/>
    <w:rsid w:val="70A539A4"/>
    <w:rsid w:val="70A56F39"/>
    <w:rsid w:val="70AB29FC"/>
    <w:rsid w:val="70B9039B"/>
    <w:rsid w:val="70C82EEC"/>
    <w:rsid w:val="70C834EE"/>
    <w:rsid w:val="70C848D6"/>
    <w:rsid w:val="70DA3F6C"/>
    <w:rsid w:val="70DD4950"/>
    <w:rsid w:val="70EB6B17"/>
    <w:rsid w:val="70F42453"/>
    <w:rsid w:val="70F67C4E"/>
    <w:rsid w:val="70FB7D38"/>
    <w:rsid w:val="70FC78C9"/>
    <w:rsid w:val="710359F9"/>
    <w:rsid w:val="71050C06"/>
    <w:rsid w:val="710D46D2"/>
    <w:rsid w:val="710F0A79"/>
    <w:rsid w:val="71126824"/>
    <w:rsid w:val="711464E6"/>
    <w:rsid w:val="71153511"/>
    <w:rsid w:val="712054A9"/>
    <w:rsid w:val="7123133D"/>
    <w:rsid w:val="71262A07"/>
    <w:rsid w:val="71334A7F"/>
    <w:rsid w:val="713D01E3"/>
    <w:rsid w:val="713D2C19"/>
    <w:rsid w:val="713F3BEF"/>
    <w:rsid w:val="71405F56"/>
    <w:rsid w:val="714B66CE"/>
    <w:rsid w:val="71546E15"/>
    <w:rsid w:val="71567D42"/>
    <w:rsid w:val="715857A3"/>
    <w:rsid w:val="7159115F"/>
    <w:rsid w:val="715E1524"/>
    <w:rsid w:val="715E3592"/>
    <w:rsid w:val="71600D1C"/>
    <w:rsid w:val="71684285"/>
    <w:rsid w:val="7169183D"/>
    <w:rsid w:val="716A0545"/>
    <w:rsid w:val="716A1ED0"/>
    <w:rsid w:val="716F7956"/>
    <w:rsid w:val="716F7D84"/>
    <w:rsid w:val="7172292F"/>
    <w:rsid w:val="71725FF4"/>
    <w:rsid w:val="71763D1A"/>
    <w:rsid w:val="717B5A74"/>
    <w:rsid w:val="717C2D80"/>
    <w:rsid w:val="717C53B4"/>
    <w:rsid w:val="717E37B5"/>
    <w:rsid w:val="717E5BA3"/>
    <w:rsid w:val="717F4EF4"/>
    <w:rsid w:val="71806C15"/>
    <w:rsid w:val="718161BD"/>
    <w:rsid w:val="71897764"/>
    <w:rsid w:val="718D654C"/>
    <w:rsid w:val="71907619"/>
    <w:rsid w:val="719146C4"/>
    <w:rsid w:val="71931A05"/>
    <w:rsid w:val="719851E0"/>
    <w:rsid w:val="719A1DAE"/>
    <w:rsid w:val="719F121A"/>
    <w:rsid w:val="71A4116F"/>
    <w:rsid w:val="71A650E9"/>
    <w:rsid w:val="71A97795"/>
    <w:rsid w:val="71AA1DD6"/>
    <w:rsid w:val="71AB0BB4"/>
    <w:rsid w:val="71AD4842"/>
    <w:rsid w:val="71AE2F46"/>
    <w:rsid w:val="71AF31FB"/>
    <w:rsid w:val="71B074C4"/>
    <w:rsid w:val="71B72208"/>
    <w:rsid w:val="71B903B6"/>
    <w:rsid w:val="71BC7EA6"/>
    <w:rsid w:val="71C414F5"/>
    <w:rsid w:val="71C84FF7"/>
    <w:rsid w:val="71CF584A"/>
    <w:rsid w:val="71D00D58"/>
    <w:rsid w:val="71D65BF3"/>
    <w:rsid w:val="71DA3A81"/>
    <w:rsid w:val="71E14A7B"/>
    <w:rsid w:val="71E668B9"/>
    <w:rsid w:val="71EB0E9C"/>
    <w:rsid w:val="71FA0310"/>
    <w:rsid w:val="71FA03A4"/>
    <w:rsid w:val="7203475A"/>
    <w:rsid w:val="72114682"/>
    <w:rsid w:val="721867C9"/>
    <w:rsid w:val="721F3F83"/>
    <w:rsid w:val="72231E79"/>
    <w:rsid w:val="72240784"/>
    <w:rsid w:val="72340E14"/>
    <w:rsid w:val="72367B34"/>
    <w:rsid w:val="723A3666"/>
    <w:rsid w:val="723E2270"/>
    <w:rsid w:val="724711A9"/>
    <w:rsid w:val="724B645E"/>
    <w:rsid w:val="724B6DCC"/>
    <w:rsid w:val="724C3092"/>
    <w:rsid w:val="724E6B5D"/>
    <w:rsid w:val="72552748"/>
    <w:rsid w:val="72566D1C"/>
    <w:rsid w:val="7257734C"/>
    <w:rsid w:val="725F43C2"/>
    <w:rsid w:val="72645DEC"/>
    <w:rsid w:val="726C3CB4"/>
    <w:rsid w:val="72710C91"/>
    <w:rsid w:val="7277713D"/>
    <w:rsid w:val="72801A25"/>
    <w:rsid w:val="7288268C"/>
    <w:rsid w:val="728B4196"/>
    <w:rsid w:val="728C0F4F"/>
    <w:rsid w:val="728F4E67"/>
    <w:rsid w:val="72923FE8"/>
    <w:rsid w:val="7294044B"/>
    <w:rsid w:val="729942E8"/>
    <w:rsid w:val="729B03C7"/>
    <w:rsid w:val="729F5065"/>
    <w:rsid w:val="72AD67F9"/>
    <w:rsid w:val="72AF7641"/>
    <w:rsid w:val="72B01483"/>
    <w:rsid w:val="72B62C80"/>
    <w:rsid w:val="72B7717D"/>
    <w:rsid w:val="72BA7244"/>
    <w:rsid w:val="72BC4C7D"/>
    <w:rsid w:val="72BC7B1C"/>
    <w:rsid w:val="72BD2F0C"/>
    <w:rsid w:val="72BE5FAD"/>
    <w:rsid w:val="72CC1981"/>
    <w:rsid w:val="72DA05E4"/>
    <w:rsid w:val="72DB7738"/>
    <w:rsid w:val="72E107B9"/>
    <w:rsid w:val="72E17E12"/>
    <w:rsid w:val="72E93268"/>
    <w:rsid w:val="72EE0601"/>
    <w:rsid w:val="72EF68FC"/>
    <w:rsid w:val="72F540C9"/>
    <w:rsid w:val="72F65229"/>
    <w:rsid w:val="72FE20BF"/>
    <w:rsid w:val="72FE2D24"/>
    <w:rsid w:val="73041AF1"/>
    <w:rsid w:val="7307279A"/>
    <w:rsid w:val="730B4688"/>
    <w:rsid w:val="7310150F"/>
    <w:rsid w:val="73132831"/>
    <w:rsid w:val="731659A5"/>
    <w:rsid w:val="7319287E"/>
    <w:rsid w:val="731C7819"/>
    <w:rsid w:val="73217A9C"/>
    <w:rsid w:val="732550C7"/>
    <w:rsid w:val="732742A2"/>
    <w:rsid w:val="73291FE6"/>
    <w:rsid w:val="733659EE"/>
    <w:rsid w:val="733769BD"/>
    <w:rsid w:val="733B441C"/>
    <w:rsid w:val="733B4D22"/>
    <w:rsid w:val="733B5346"/>
    <w:rsid w:val="733E2261"/>
    <w:rsid w:val="733F2EB7"/>
    <w:rsid w:val="733F37B2"/>
    <w:rsid w:val="73422ACE"/>
    <w:rsid w:val="734304FC"/>
    <w:rsid w:val="734575C6"/>
    <w:rsid w:val="73477D1C"/>
    <w:rsid w:val="73487792"/>
    <w:rsid w:val="734B0C60"/>
    <w:rsid w:val="734D0084"/>
    <w:rsid w:val="734F5013"/>
    <w:rsid w:val="735029F8"/>
    <w:rsid w:val="73565BA5"/>
    <w:rsid w:val="736507F6"/>
    <w:rsid w:val="73656511"/>
    <w:rsid w:val="736D4B5E"/>
    <w:rsid w:val="73705C26"/>
    <w:rsid w:val="737566AB"/>
    <w:rsid w:val="73797AB5"/>
    <w:rsid w:val="73797DAC"/>
    <w:rsid w:val="737E55AB"/>
    <w:rsid w:val="737F40FA"/>
    <w:rsid w:val="738B1C6D"/>
    <w:rsid w:val="738B2FC3"/>
    <w:rsid w:val="738B3884"/>
    <w:rsid w:val="738C6FDD"/>
    <w:rsid w:val="738F423B"/>
    <w:rsid w:val="739A38F1"/>
    <w:rsid w:val="739E6C22"/>
    <w:rsid w:val="73A47455"/>
    <w:rsid w:val="73AB2828"/>
    <w:rsid w:val="73AB598D"/>
    <w:rsid w:val="73AB72AD"/>
    <w:rsid w:val="73AE7E8F"/>
    <w:rsid w:val="73B205FF"/>
    <w:rsid w:val="73B337CB"/>
    <w:rsid w:val="73B65DB0"/>
    <w:rsid w:val="73B94D11"/>
    <w:rsid w:val="73BD5682"/>
    <w:rsid w:val="73BE3A62"/>
    <w:rsid w:val="73C1632C"/>
    <w:rsid w:val="73C204EA"/>
    <w:rsid w:val="73C2465C"/>
    <w:rsid w:val="73C64E21"/>
    <w:rsid w:val="73CC3C78"/>
    <w:rsid w:val="73CE373A"/>
    <w:rsid w:val="73D16EF8"/>
    <w:rsid w:val="73D627D9"/>
    <w:rsid w:val="73DF1C04"/>
    <w:rsid w:val="73E17EBC"/>
    <w:rsid w:val="73E26F26"/>
    <w:rsid w:val="73E57C39"/>
    <w:rsid w:val="73E62FB9"/>
    <w:rsid w:val="73EB1642"/>
    <w:rsid w:val="73EB5CC6"/>
    <w:rsid w:val="73EE3508"/>
    <w:rsid w:val="73F4154E"/>
    <w:rsid w:val="73F57948"/>
    <w:rsid w:val="73F73087"/>
    <w:rsid w:val="73FB2212"/>
    <w:rsid w:val="73FE0387"/>
    <w:rsid w:val="73FF2FE2"/>
    <w:rsid w:val="73FF566D"/>
    <w:rsid w:val="7400610E"/>
    <w:rsid w:val="740115FC"/>
    <w:rsid w:val="74056267"/>
    <w:rsid w:val="740B3B3C"/>
    <w:rsid w:val="74145F55"/>
    <w:rsid w:val="741A5BB2"/>
    <w:rsid w:val="741B54FE"/>
    <w:rsid w:val="741E6EC9"/>
    <w:rsid w:val="7423420D"/>
    <w:rsid w:val="74292FBE"/>
    <w:rsid w:val="742D396E"/>
    <w:rsid w:val="742E56A0"/>
    <w:rsid w:val="7430265E"/>
    <w:rsid w:val="74332096"/>
    <w:rsid w:val="74381571"/>
    <w:rsid w:val="743A7459"/>
    <w:rsid w:val="743B5ED5"/>
    <w:rsid w:val="7443040B"/>
    <w:rsid w:val="74440E49"/>
    <w:rsid w:val="744B1037"/>
    <w:rsid w:val="744F07C8"/>
    <w:rsid w:val="745447D5"/>
    <w:rsid w:val="74581E54"/>
    <w:rsid w:val="745F5DF2"/>
    <w:rsid w:val="746167EE"/>
    <w:rsid w:val="74677AF6"/>
    <w:rsid w:val="74681102"/>
    <w:rsid w:val="746E5488"/>
    <w:rsid w:val="746F0C65"/>
    <w:rsid w:val="747329FA"/>
    <w:rsid w:val="74747F7D"/>
    <w:rsid w:val="74770CC5"/>
    <w:rsid w:val="747B3895"/>
    <w:rsid w:val="747B4742"/>
    <w:rsid w:val="747E5A14"/>
    <w:rsid w:val="74803E68"/>
    <w:rsid w:val="74817139"/>
    <w:rsid w:val="7483256E"/>
    <w:rsid w:val="74856D6F"/>
    <w:rsid w:val="748F4686"/>
    <w:rsid w:val="749B4202"/>
    <w:rsid w:val="74A044FB"/>
    <w:rsid w:val="74A2465F"/>
    <w:rsid w:val="74A3779F"/>
    <w:rsid w:val="74A645AD"/>
    <w:rsid w:val="74B31877"/>
    <w:rsid w:val="74B40BE9"/>
    <w:rsid w:val="74B712E4"/>
    <w:rsid w:val="74B74464"/>
    <w:rsid w:val="74B8420A"/>
    <w:rsid w:val="74BE3559"/>
    <w:rsid w:val="74BF3F35"/>
    <w:rsid w:val="74C73E91"/>
    <w:rsid w:val="74CC2EEE"/>
    <w:rsid w:val="74D65BE1"/>
    <w:rsid w:val="74DA78F3"/>
    <w:rsid w:val="74DD5D90"/>
    <w:rsid w:val="74DD71DF"/>
    <w:rsid w:val="74DF77B7"/>
    <w:rsid w:val="74E55EE6"/>
    <w:rsid w:val="74E821C4"/>
    <w:rsid w:val="74F965B2"/>
    <w:rsid w:val="74FA2A27"/>
    <w:rsid w:val="75042F01"/>
    <w:rsid w:val="751469DB"/>
    <w:rsid w:val="75164D6C"/>
    <w:rsid w:val="75193A74"/>
    <w:rsid w:val="751C4EA9"/>
    <w:rsid w:val="751D432A"/>
    <w:rsid w:val="75246D3E"/>
    <w:rsid w:val="75276215"/>
    <w:rsid w:val="752B3379"/>
    <w:rsid w:val="752C15DF"/>
    <w:rsid w:val="75350948"/>
    <w:rsid w:val="753A4E60"/>
    <w:rsid w:val="753C6901"/>
    <w:rsid w:val="753E1815"/>
    <w:rsid w:val="75416B64"/>
    <w:rsid w:val="754271DC"/>
    <w:rsid w:val="754560B4"/>
    <w:rsid w:val="754D436C"/>
    <w:rsid w:val="754D7793"/>
    <w:rsid w:val="75581306"/>
    <w:rsid w:val="75583C85"/>
    <w:rsid w:val="7558690B"/>
    <w:rsid w:val="75591880"/>
    <w:rsid w:val="755F66A1"/>
    <w:rsid w:val="75644ADD"/>
    <w:rsid w:val="75654035"/>
    <w:rsid w:val="75670565"/>
    <w:rsid w:val="75690083"/>
    <w:rsid w:val="756A3EB0"/>
    <w:rsid w:val="756C13D9"/>
    <w:rsid w:val="756C4DFE"/>
    <w:rsid w:val="756C538B"/>
    <w:rsid w:val="75710D0E"/>
    <w:rsid w:val="75710D1F"/>
    <w:rsid w:val="75733756"/>
    <w:rsid w:val="757D0DB7"/>
    <w:rsid w:val="757D3E94"/>
    <w:rsid w:val="757F018E"/>
    <w:rsid w:val="757F6A05"/>
    <w:rsid w:val="75833968"/>
    <w:rsid w:val="7584647F"/>
    <w:rsid w:val="75867D0A"/>
    <w:rsid w:val="758D2721"/>
    <w:rsid w:val="758D33DD"/>
    <w:rsid w:val="75940013"/>
    <w:rsid w:val="759A405B"/>
    <w:rsid w:val="759F4E8F"/>
    <w:rsid w:val="75A235DA"/>
    <w:rsid w:val="75AC09D7"/>
    <w:rsid w:val="75B47DE6"/>
    <w:rsid w:val="75B545AA"/>
    <w:rsid w:val="75B71F84"/>
    <w:rsid w:val="75BA4742"/>
    <w:rsid w:val="75BD3BE2"/>
    <w:rsid w:val="75BE489D"/>
    <w:rsid w:val="75C04205"/>
    <w:rsid w:val="75C15EDE"/>
    <w:rsid w:val="75C72BED"/>
    <w:rsid w:val="75D633F7"/>
    <w:rsid w:val="75DF389B"/>
    <w:rsid w:val="75E10F48"/>
    <w:rsid w:val="75E31D2B"/>
    <w:rsid w:val="75EA5D09"/>
    <w:rsid w:val="75F03E87"/>
    <w:rsid w:val="75F3343E"/>
    <w:rsid w:val="75F34003"/>
    <w:rsid w:val="75F714AD"/>
    <w:rsid w:val="75F847AE"/>
    <w:rsid w:val="75FA5D2E"/>
    <w:rsid w:val="75FE1585"/>
    <w:rsid w:val="76033C84"/>
    <w:rsid w:val="76073BE5"/>
    <w:rsid w:val="760A4F76"/>
    <w:rsid w:val="760B3971"/>
    <w:rsid w:val="76144E73"/>
    <w:rsid w:val="7615397B"/>
    <w:rsid w:val="761546D9"/>
    <w:rsid w:val="76157947"/>
    <w:rsid w:val="76206D4D"/>
    <w:rsid w:val="76213A6C"/>
    <w:rsid w:val="762322A2"/>
    <w:rsid w:val="762D377B"/>
    <w:rsid w:val="764173DC"/>
    <w:rsid w:val="764517C8"/>
    <w:rsid w:val="7646071B"/>
    <w:rsid w:val="7646768D"/>
    <w:rsid w:val="76481FF9"/>
    <w:rsid w:val="76482C7A"/>
    <w:rsid w:val="76492816"/>
    <w:rsid w:val="764A52F9"/>
    <w:rsid w:val="7650151F"/>
    <w:rsid w:val="76553D39"/>
    <w:rsid w:val="76566038"/>
    <w:rsid w:val="765742AD"/>
    <w:rsid w:val="765A1F3C"/>
    <w:rsid w:val="76625742"/>
    <w:rsid w:val="76627E92"/>
    <w:rsid w:val="76662E87"/>
    <w:rsid w:val="76667A6D"/>
    <w:rsid w:val="766B671A"/>
    <w:rsid w:val="766C6BB2"/>
    <w:rsid w:val="766D05FF"/>
    <w:rsid w:val="76763D35"/>
    <w:rsid w:val="767B6647"/>
    <w:rsid w:val="76870533"/>
    <w:rsid w:val="768918F1"/>
    <w:rsid w:val="768A222D"/>
    <w:rsid w:val="768B14D4"/>
    <w:rsid w:val="76910BD3"/>
    <w:rsid w:val="76913341"/>
    <w:rsid w:val="769534B1"/>
    <w:rsid w:val="76A21419"/>
    <w:rsid w:val="76A36684"/>
    <w:rsid w:val="76A40C48"/>
    <w:rsid w:val="76A76B1F"/>
    <w:rsid w:val="76AB0677"/>
    <w:rsid w:val="76AC01D9"/>
    <w:rsid w:val="76AC7CAF"/>
    <w:rsid w:val="76AF007B"/>
    <w:rsid w:val="76AF081E"/>
    <w:rsid w:val="76B4258E"/>
    <w:rsid w:val="76B56589"/>
    <w:rsid w:val="76B9218B"/>
    <w:rsid w:val="76BC1A37"/>
    <w:rsid w:val="76BF09E8"/>
    <w:rsid w:val="76C50CE2"/>
    <w:rsid w:val="76C52A24"/>
    <w:rsid w:val="76CA0A5B"/>
    <w:rsid w:val="76CE1B68"/>
    <w:rsid w:val="76CF728D"/>
    <w:rsid w:val="76D22B74"/>
    <w:rsid w:val="76D31ADA"/>
    <w:rsid w:val="76D47F28"/>
    <w:rsid w:val="76D6511F"/>
    <w:rsid w:val="76D65870"/>
    <w:rsid w:val="76DC2944"/>
    <w:rsid w:val="76DC2C9B"/>
    <w:rsid w:val="76DE7A91"/>
    <w:rsid w:val="76E0158B"/>
    <w:rsid w:val="76E63B1C"/>
    <w:rsid w:val="76EC2492"/>
    <w:rsid w:val="76EE7037"/>
    <w:rsid w:val="76EF03D6"/>
    <w:rsid w:val="76EF132A"/>
    <w:rsid w:val="76EF366E"/>
    <w:rsid w:val="76F37EC6"/>
    <w:rsid w:val="76F459ED"/>
    <w:rsid w:val="76FA0759"/>
    <w:rsid w:val="76FA7D71"/>
    <w:rsid w:val="76FE1C68"/>
    <w:rsid w:val="7700323B"/>
    <w:rsid w:val="770B275E"/>
    <w:rsid w:val="770F495C"/>
    <w:rsid w:val="771262A9"/>
    <w:rsid w:val="77146149"/>
    <w:rsid w:val="77153ECA"/>
    <w:rsid w:val="771B19D9"/>
    <w:rsid w:val="771C0F7D"/>
    <w:rsid w:val="771D1941"/>
    <w:rsid w:val="771F3BDA"/>
    <w:rsid w:val="77212E31"/>
    <w:rsid w:val="77262DDE"/>
    <w:rsid w:val="77265713"/>
    <w:rsid w:val="772B29EC"/>
    <w:rsid w:val="772E2295"/>
    <w:rsid w:val="773109EF"/>
    <w:rsid w:val="7732100E"/>
    <w:rsid w:val="77331554"/>
    <w:rsid w:val="7737084C"/>
    <w:rsid w:val="773830F5"/>
    <w:rsid w:val="77387FCF"/>
    <w:rsid w:val="7747191E"/>
    <w:rsid w:val="77492BE0"/>
    <w:rsid w:val="774E16D7"/>
    <w:rsid w:val="77506C3F"/>
    <w:rsid w:val="7752759B"/>
    <w:rsid w:val="77582AC2"/>
    <w:rsid w:val="775A27C9"/>
    <w:rsid w:val="775B5DED"/>
    <w:rsid w:val="77686BE1"/>
    <w:rsid w:val="776920A5"/>
    <w:rsid w:val="776B6E52"/>
    <w:rsid w:val="776D0E49"/>
    <w:rsid w:val="776E252B"/>
    <w:rsid w:val="777A47C9"/>
    <w:rsid w:val="777A6424"/>
    <w:rsid w:val="777B241F"/>
    <w:rsid w:val="777B4DC0"/>
    <w:rsid w:val="777C13E6"/>
    <w:rsid w:val="77801906"/>
    <w:rsid w:val="77812AF2"/>
    <w:rsid w:val="7785756E"/>
    <w:rsid w:val="778601E9"/>
    <w:rsid w:val="778666FA"/>
    <w:rsid w:val="778D489B"/>
    <w:rsid w:val="77953D5C"/>
    <w:rsid w:val="77990964"/>
    <w:rsid w:val="77991457"/>
    <w:rsid w:val="77A0499A"/>
    <w:rsid w:val="77A7092E"/>
    <w:rsid w:val="77AE30AE"/>
    <w:rsid w:val="77AF1C62"/>
    <w:rsid w:val="77B6708C"/>
    <w:rsid w:val="77B73D31"/>
    <w:rsid w:val="77BC0BAA"/>
    <w:rsid w:val="77BE501F"/>
    <w:rsid w:val="77C410C1"/>
    <w:rsid w:val="77C47D82"/>
    <w:rsid w:val="77C655DB"/>
    <w:rsid w:val="77C91DA3"/>
    <w:rsid w:val="77CC31E3"/>
    <w:rsid w:val="77CE0F48"/>
    <w:rsid w:val="77D070DE"/>
    <w:rsid w:val="77D44371"/>
    <w:rsid w:val="77D8426A"/>
    <w:rsid w:val="77D84C40"/>
    <w:rsid w:val="77DE0391"/>
    <w:rsid w:val="77DF0DAE"/>
    <w:rsid w:val="77E06F50"/>
    <w:rsid w:val="77E12415"/>
    <w:rsid w:val="77E23AE2"/>
    <w:rsid w:val="77E411CD"/>
    <w:rsid w:val="77E44DD7"/>
    <w:rsid w:val="77E61830"/>
    <w:rsid w:val="77E8106F"/>
    <w:rsid w:val="77F0358F"/>
    <w:rsid w:val="77F4601E"/>
    <w:rsid w:val="77FB5518"/>
    <w:rsid w:val="7808613E"/>
    <w:rsid w:val="78092773"/>
    <w:rsid w:val="780A38F0"/>
    <w:rsid w:val="780C3A7E"/>
    <w:rsid w:val="78120E54"/>
    <w:rsid w:val="781458F1"/>
    <w:rsid w:val="781572EA"/>
    <w:rsid w:val="781A18B0"/>
    <w:rsid w:val="781C73F0"/>
    <w:rsid w:val="781F163F"/>
    <w:rsid w:val="781F178A"/>
    <w:rsid w:val="782942F2"/>
    <w:rsid w:val="782F3211"/>
    <w:rsid w:val="783129AD"/>
    <w:rsid w:val="78334775"/>
    <w:rsid w:val="784548FD"/>
    <w:rsid w:val="78477E1D"/>
    <w:rsid w:val="78484242"/>
    <w:rsid w:val="784C137E"/>
    <w:rsid w:val="784E5DC5"/>
    <w:rsid w:val="78561A75"/>
    <w:rsid w:val="78582901"/>
    <w:rsid w:val="78582DD1"/>
    <w:rsid w:val="78594907"/>
    <w:rsid w:val="785B7120"/>
    <w:rsid w:val="785D00FB"/>
    <w:rsid w:val="785E6B7A"/>
    <w:rsid w:val="78626792"/>
    <w:rsid w:val="78657301"/>
    <w:rsid w:val="786B615C"/>
    <w:rsid w:val="786F385F"/>
    <w:rsid w:val="786F664D"/>
    <w:rsid w:val="78756CB4"/>
    <w:rsid w:val="78762237"/>
    <w:rsid w:val="787C51E8"/>
    <w:rsid w:val="788003A8"/>
    <w:rsid w:val="78812179"/>
    <w:rsid w:val="78841742"/>
    <w:rsid w:val="788460C1"/>
    <w:rsid w:val="788818A2"/>
    <w:rsid w:val="788A6608"/>
    <w:rsid w:val="788B7C30"/>
    <w:rsid w:val="788F4D2E"/>
    <w:rsid w:val="78971BF2"/>
    <w:rsid w:val="78AA232E"/>
    <w:rsid w:val="78AB323F"/>
    <w:rsid w:val="78B452F9"/>
    <w:rsid w:val="78B950CC"/>
    <w:rsid w:val="78BC3B78"/>
    <w:rsid w:val="78BC4093"/>
    <w:rsid w:val="78C645BA"/>
    <w:rsid w:val="78CB23D0"/>
    <w:rsid w:val="78CD2AA6"/>
    <w:rsid w:val="78CF133C"/>
    <w:rsid w:val="78CF65C6"/>
    <w:rsid w:val="78D10508"/>
    <w:rsid w:val="78DD58A2"/>
    <w:rsid w:val="78DE6CB8"/>
    <w:rsid w:val="78E044E3"/>
    <w:rsid w:val="78E079A9"/>
    <w:rsid w:val="78E42F40"/>
    <w:rsid w:val="78E44605"/>
    <w:rsid w:val="78E75198"/>
    <w:rsid w:val="78EE2C07"/>
    <w:rsid w:val="78EF0A82"/>
    <w:rsid w:val="78F35CFF"/>
    <w:rsid w:val="78F647C2"/>
    <w:rsid w:val="78F72578"/>
    <w:rsid w:val="78F95E1B"/>
    <w:rsid w:val="790276D7"/>
    <w:rsid w:val="79040A96"/>
    <w:rsid w:val="79050385"/>
    <w:rsid w:val="790C7E49"/>
    <w:rsid w:val="79173E34"/>
    <w:rsid w:val="79174294"/>
    <w:rsid w:val="791A0145"/>
    <w:rsid w:val="791A2BFE"/>
    <w:rsid w:val="791E7FFE"/>
    <w:rsid w:val="79222611"/>
    <w:rsid w:val="7924372B"/>
    <w:rsid w:val="7926449E"/>
    <w:rsid w:val="792867F0"/>
    <w:rsid w:val="792B4828"/>
    <w:rsid w:val="792E53C8"/>
    <w:rsid w:val="79306B09"/>
    <w:rsid w:val="79313D25"/>
    <w:rsid w:val="7933487A"/>
    <w:rsid w:val="793452EB"/>
    <w:rsid w:val="79352A18"/>
    <w:rsid w:val="79376126"/>
    <w:rsid w:val="79393D00"/>
    <w:rsid w:val="794940A8"/>
    <w:rsid w:val="79497224"/>
    <w:rsid w:val="794E37C9"/>
    <w:rsid w:val="794E3E04"/>
    <w:rsid w:val="794F6637"/>
    <w:rsid w:val="7950018C"/>
    <w:rsid w:val="7951058E"/>
    <w:rsid w:val="7956593C"/>
    <w:rsid w:val="795875BC"/>
    <w:rsid w:val="795B1465"/>
    <w:rsid w:val="795F7726"/>
    <w:rsid w:val="796410B7"/>
    <w:rsid w:val="796E2607"/>
    <w:rsid w:val="79732EBC"/>
    <w:rsid w:val="79751197"/>
    <w:rsid w:val="797C0917"/>
    <w:rsid w:val="797D05D4"/>
    <w:rsid w:val="797F5554"/>
    <w:rsid w:val="79850083"/>
    <w:rsid w:val="79871188"/>
    <w:rsid w:val="798C52CF"/>
    <w:rsid w:val="7992074C"/>
    <w:rsid w:val="799D5D70"/>
    <w:rsid w:val="799E1438"/>
    <w:rsid w:val="79A0111D"/>
    <w:rsid w:val="79A25BD4"/>
    <w:rsid w:val="79A52EAE"/>
    <w:rsid w:val="79A70672"/>
    <w:rsid w:val="79A83616"/>
    <w:rsid w:val="79AA434A"/>
    <w:rsid w:val="79AE44F6"/>
    <w:rsid w:val="79B0053F"/>
    <w:rsid w:val="79B01766"/>
    <w:rsid w:val="79BB1073"/>
    <w:rsid w:val="79BF4539"/>
    <w:rsid w:val="79C31CBA"/>
    <w:rsid w:val="79CD47DF"/>
    <w:rsid w:val="79D0629D"/>
    <w:rsid w:val="79D242F0"/>
    <w:rsid w:val="79D40128"/>
    <w:rsid w:val="79D528A5"/>
    <w:rsid w:val="79D971BD"/>
    <w:rsid w:val="79DE6532"/>
    <w:rsid w:val="79E36C3A"/>
    <w:rsid w:val="79E53ADA"/>
    <w:rsid w:val="79E67672"/>
    <w:rsid w:val="79E80322"/>
    <w:rsid w:val="79EF2E64"/>
    <w:rsid w:val="79FC0095"/>
    <w:rsid w:val="79FD2C2C"/>
    <w:rsid w:val="79FE651B"/>
    <w:rsid w:val="79FE72AE"/>
    <w:rsid w:val="7A022823"/>
    <w:rsid w:val="7A027BB7"/>
    <w:rsid w:val="7A050A61"/>
    <w:rsid w:val="7A074534"/>
    <w:rsid w:val="7A081EDB"/>
    <w:rsid w:val="7A096696"/>
    <w:rsid w:val="7A0C0499"/>
    <w:rsid w:val="7A0C0DE0"/>
    <w:rsid w:val="7A0C200A"/>
    <w:rsid w:val="7A0C3E33"/>
    <w:rsid w:val="7A1317FB"/>
    <w:rsid w:val="7A19682C"/>
    <w:rsid w:val="7A1A4297"/>
    <w:rsid w:val="7A1B61F3"/>
    <w:rsid w:val="7A200161"/>
    <w:rsid w:val="7A21113F"/>
    <w:rsid w:val="7A213406"/>
    <w:rsid w:val="7A25614B"/>
    <w:rsid w:val="7A2675DF"/>
    <w:rsid w:val="7A296394"/>
    <w:rsid w:val="7A2A3E2D"/>
    <w:rsid w:val="7A2C45FD"/>
    <w:rsid w:val="7A2D07FD"/>
    <w:rsid w:val="7A2F0ECB"/>
    <w:rsid w:val="7A346654"/>
    <w:rsid w:val="7A3951D3"/>
    <w:rsid w:val="7A395E1D"/>
    <w:rsid w:val="7A3C0051"/>
    <w:rsid w:val="7A453268"/>
    <w:rsid w:val="7A486F99"/>
    <w:rsid w:val="7A4D3E3C"/>
    <w:rsid w:val="7A4F6072"/>
    <w:rsid w:val="7A4F78E1"/>
    <w:rsid w:val="7A5C1B12"/>
    <w:rsid w:val="7A604E8D"/>
    <w:rsid w:val="7A615624"/>
    <w:rsid w:val="7A6510DB"/>
    <w:rsid w:val="7A670209"/>
    <w:rsid w:val="7A6730A5"/>
    <w:rsid w:val="7A685FCD"/>
    <w:rsid w:val="7A6E2D6A"/>
    <w:rsid w:val="7A711BDD"/>
    <w:rsid w:val="7A721F7A"/>
    <w:rsid w:val="7A752196"/>
    <w:rsid w:val="7A802450"/>
    <w:rsid w:val="7A860683"/>
    <w:rsid w:val="7A867C9D"/>
    <w:rsid w:val="7A8F3CB8"/>
    <w:rsid w:val="7A9246DE"/>
    <w:rsid w:val="7A95371B"/>
    <w:rsid w:val="7A984841"/>
    <w:rsid w:val="7A9A2DC7"/>
    <w:rsid w:val="7A9C05FF"/>
    <w:rsid w:val="7AA60DF2"/>
    <w:rsid w:val="7AA61673"/>
    <w:rsid w:val="7AA96B50"/>
    <w:rsid w:val="7AAE7BBD"/>
    <w:rsid w:val="7AAF05A8"/>
    <w:rsid w:val="7AAF7E3C"/>
    <w:rsid w:val="7AB36F5E"/>
    <w:rsid w:val="7ABD7B1E"/>
    <w:rsid w:val="7AC0155D"/>
    <w:rsid w:val="7AC71D38"/>
    <w:rsid w:val="7AC96712"/>
    <w:rsid w:val="7ACD490D"/>
    <w:rsid w:val="7ACF32B3"/>
    <w:rsid w:val="7ACF4FC7"/>
    <w:rsid w:val="7AD868F2"/>
    <w:rsid w:val="7AD9320F"/>
    <w:rsid w:val="7AE014E8"/>
    <w:rsid w:val="7AE325D6"/>
    <w:rsid w:val="7AE35956"/>
    <w:rsid w:val="7AE56E96"/>
    <w:rsid w:val="7AE81AD9"/>
    <w:rsid w:val="7AEF3C15"/>
    <w:rsid w:val="7AF23CC8"/>
    <w:rsid w:val="7AF30918"/>
    <w:rsid w:val="7AF37FB3"/>
    <w:rsid w:val="7AF63A0D"/>
    <w:rsid w:val="7AF81370"/>
    <w:rsid w:val="7AFB37ED"/>
    <w:rsid w:val="7AFD1314"/>
    <w:rsid w:val="7AFF477E"/>
    <w:rsid w:val="7B092995"/>
    <w:rsid w:val="7B0F6E49"/>
    <w:rsid w:val="7B164F1B"/>
    <w:rsid w:val="7B182FCF"/>
    <w:rsid w:val="7B1B45F5"/>
    <w:rsid w:val="7B1B4C17"/>
    <w:rsid w:val="7B200809"/>
    <w:rsid w:val="7B251D5E"/>
    <w:rsid w:val="7B256DDF"/>
    <w:rsid w:val="7B2660A8"/>
    <w:rsid w:val="7B2B1A05"/>
    <w:rsid w:val="7B2C07EB"/>
    <w:rsid w:val="7B2C3522"/>
    <w:rsid w:val="7B30793B"/>
    <w:rsid w:val="7B345490"/>
    <w:rsid w:val="7B3B142B"/>
    <w:rsid w:val="7B411196"/>
    <w:rsid w:val="7B414013"/>
    <w:rsid w:val="7B472D44"/>
    <w:rsid w:val="7B4C229B"/>
    <w:rsid w:val="7B51696C"/>
    <w:rsid w:val="7B543440"/>
    <w:rsid w:val="7B561BC2"/>
    <w:rsid w:val="7B565550"/>
    <w:rsid w:val="7B577705"/>
    <w:rsid w:val="7B5A6766"/>
    <w:rsid w:val="7B5D174C"/>
    <w:rsid w:val="7B5D7AE1"/>
    <w:rsid w:val="7B600C5F"/>
    <w:rsid w:val="7B633641"/>
    <w:rsid w:val="7B66686D"/>
    <w:rsid w:val="7B6726B6"/>
    <w:rsid w:val="7B673088"/>
    <w:rsid w:val="7B681B49"/>
    <w:rsid w:val="7B6C4027"/>
    <w:rsid w:val="7B6F7A45"/>
    <w:rsid w:val="7B707F5B"/>
    <w:rsid w:val="7B747CBE"/>
    <w:rsid w:val="7B77686D"/>
    <w:rsid w:val="7B8115ED"/>
    <w:rsid w:val="7B8165B5"/>
    <w:rsid w:val="7B83180A"/>
    <w:rsid w:val="7B870D39"/>
    <w:rsid w:val="7B8B3801"/>
    <w:rsid w:val="7B9333AA"/>
    <w:rsid w:val="7B954398"/>
    <w:rsid w:val="7B97175E"/>
    <w:rsid w:val="7B9E1F3D"/>
    <w:rsid w:val="7BA20724"/>
    <w:rsid w:val="7BA52C97"/>
    <w:rsid w:val="7BAB48E3"/>
    <w:rsid w:val="7BAC47EF"/>
    <w:rsid w:val="7BAE30AA"/>
    <w:rsid w:val="7BB56246"/>
    <w:rsid w:val="7BBE2151"/>
    <w:rsid w:val="7BC24B21"/>
    <w:rsid w:val="7BC501CD"/>
    <w:rsid w:val="7BCC73E6"/>
    <w:rsid w:val="7BCF732F"/>
    <w:rsid w:val="7BD703C3"/>
    <w:rsid w:val="7BD85920"/>
    <w:rsid w:val="7BDA3E35"/>
    <w:rsid w:val="7BDA4EDD"/>
    <w:rsid w:val="7BDC58CD"/>
    <w:rsid w:val="7BDD5515"/>
    <w:rsid w:val="7BDD7B1D"/>
    <w:rsid w:val="7BDE0335"/>
    <w:rsid w:val="7BE159EA"/>
    <w:rsid w:val="7BE46975"/>
    <w:rsid w:val="7BE81962"/>
    <w:rsid w:val="7BEB7AB8"/>
    <w:rsid w:val="7BEF2F2F"/>
    <w:rsid w:val="7BF159E3"/>
    <w:rsid w:val="7BF27C14"/>
    <w:rsid w:val="7BF34B9D"/>
    <w:rsid w:val="7BF50252"/>
    <w:rsid w:val="7BF55CED"/>
    <w:rsid w:val="7BFA059B"/>
    <w:rsid w:val="7BFB3744"/>
    <w:rsid w:val="7BFC1E65"/>
    <w:rsid w:val="7C050785"/>
    <w:rsid w:val="7C142769"/>
    <w:rsid w:val="7C153D59"/>
    <w:rsid w:val="7C171845"/>
    <w:rsid w:val="7C1B4545"/>
    <w:rsid w:val="7C210FF5"/>
    <w:rsid w:val="7C267B04"/>
    <w:rsid w:val="7C291676"/>
    <w:rsid w:val="7C2950F5"/>
    <w:rsid w:val="7C2A6CD4"/>
    <w:rsid w:val="7C2D2E72"/>
    <w:rsid w:val="7C2D3E7B"/>
    <w:rsid w:val="7C300D66"/>
    <w:rsid w:val="7C32209B"/>
    <w:rsid w:val="7C356138"/>
    <w:rsid w:val="7C374AF8"/>
    <w:rsid w:val="7C387BE9"/>
    <w:rsid w:val="7C3D2071"/>
    <w:rsid w:val="7C3E5E53"/>
    <w:rsid w:val="7C413F62"/>
    <w:rsid w:val="7C493E7E"/>
    <w:rsid w:val="7C4B6D42"/>
    <w:rsid w:val="7C4D62CB"/>
    <w:rsid w:val="7C5814C3"/>
    <w:rsid w:val="7C5C3AB2"/>
    <w:rsid w:val="7C5F3C06"/>
    <w:rsid w:val="7C6007C4"/>
    <w:rsid w:val="7C62033D"/>
    <w:rsid w:val="7C632B35"/>
    <w:rsid w:val="7C646661"/>
    <w:rsid w:val="7C6E6ED6"/>
    <w:rsid w:val="7C6F7C26"/>
    <w:rsid w:val="7C734128"/>
    <w:rsid w:val="7C751082"/>
    <w:rsid w:val="7C76043B"/>
    <w:rsid w:val="7C7911A0"/>
    <w:rsid w:val="7C7B4686"/>
    <w:rsid w:val="7C7D0AA9"/>
    <w:rsid w:val="7C7E46D6"/>
    <w:rsid w:val="7C892FBF"/>
    <w:rsid w:val="7C8D1210"/>
    <w:rsid w:val="7C8D717B"/>
    <w:rsid w:val="7C9948C9"/>
    <w:rsid w:val="7C9A0E6C"/>
    <w:rsid w:val="7C9B46EA"/>
    <w:rsid w:val="7C9E2418"/>
    <w:rsid w:val="7CA24CEA"/>
    <w:rsid w:val="7CA31646"/>
    <w:rsid w:val="7CB11C3D"/>
    <w:rsid w:val="7CB2699D"/>
    <w:rsid w:val="7CB453F5"/>
    <w:rsid w:val="7CB87038"/>
    <w:rsid w:val="7CB92466"/>
    <w:rsid w:val="7CBC7964"/>
    <w:rsid w:val="7CC043D1"/>
    <w:rsid w:val="7CC0500D"/>
    <w:rsid w:val="7CC4616C"/>
    <w:rsid w:val="7CCE7013"/>
    <w:rsid w:val="7CCF4C20"/>
    <w:rsid w:val="7CD70682"/>
    <w:rsid w:val="7CDD3DB6"/>
    <w:rsid w:val="7CE56027"/>
    <w:rsid w:val="7CE6444B"/>
    <w:rsid w:val="7CEB1F9A"/>
    <w:rsid w:val="7CEB449C"/>
    <w:rsid w:val="7CF73AFE"/>
    <w:rsid w:val="7CFB6359"/>
    <w:rsid w:val="7D0843BE"/>
    <w:rsid w:val="7D0861B4"/>
    <w:rsid w:val="7D0A00B3"/>
    <w:rsid w:val="7D0C5BE7"/>
    <w:rsid w:val="7D0D4982"/>
    <w:rsid w:val="7D0E3C7F"/>
    <w:rsid w:val="7D0F17D2"/>
    <w:rsid w:val="7D10299D"/>
    <w:rsid w:val="7D113145"/>
    <w:rsid w:val="7D172E9B"/>
    <w:rsid w:val="7D1A3B5A"/>
    <w:rsid w:val="7D1F12D6"/>
    <w:rsid w:val="7D1F1737"/>
    <w:rsid w:val="7D20556C"/>
    <w:rsid w:val="7D234D47"/>
    <w:rsid w:val="7D2645AA"/>
    <w:rsid w:val="7D2667FC"/>
    <w:rsid w:val="7D28238E"/>
    <w:rsid w:val="7D286B39"/>
    <w:rsid w:val="7D2E1BDC"/>
    <w:rsid w:val="7D2F20AE"/>
    <w:rsid w:val="7D2F7723"/>
    <w:rsid w:val="7D411E3A"/>
    <w:rsid w:val="7D4C208C"/>
    <w:rsid w:val="7D56745F"/>
    <w:rsid w:val="7D5E34FA"/>
    <w:rsid w:val="7D6074DC"/>
    <w:rsid w:val="7D611D89"/>
    <w:rsid w:val="7D637899"/>
    <w:rsid w:val="7D667318"/>
    <w:rsid w:val="7D6715F0"/>
    <w:rsid w:val="7D6D1D3B"/>
    <w:rsid w:val="7D6F43D3"/>
    <w:rsid w:val="7D6F653F"/>
    <w:rsid w:val="7D6F7C9B"/>
    <w:rsid w:val="7D7168A8"/>
    <w:rsid w:val="7D77008D"/>
    <w:rsid w:val="7D7A262A"/>
    <w:rsid w:val="7D7B02FC"/>
    <w:rsid w:val="7D8109C3"/>
    <w:rsid w:val="7D826DFA"/>
    <w:rsid w:val="7D8455F2"/>
    <w:rsid w:val="7D854EA5"/>
    <w:rsid w:val="7D8857A8"/>
    <w:rsid w:val="7D8C1AA9"/>
    <w:rsid w:val="7D8C7512"/>
    <w:rsid w:val="7D942794"/>
    <w:rsid w:val="7D947959"/>
    <w:rsid w:val="7D97314F"/>
    <w:rsid w:val="7D9B662B"/>
    <w:rsid w:val="7D9E1144"/>
    <w:rsid w:val="7DA0773D"/>
    <w:rsid w:val="7DA12833"/>
    <w:rsid w:val="7DA22336"/>
    <w:rsid w:val="7DA3375D"/>
    <w:rsid w:val="7DA67A80"/>
    <w:rsid w:val="7DAD739F"/>
    <w:rsid w:val="7DB05381"/>
    <w:rsid w:val="7DB12689"/>
    <w:rsid w:val="7DB23C36"/>
    <w:rsid w:val="7DB3106F"/>
    <w:rsid w:val="7DB3215D"/>
    <w:rsid w:val="7DB64DD9"/>
    <w:rsid w:val="7DBD41E8"/>
    <w:rsid w:val="7DBD4D8A"/>
    <w:rsid w:val="7DC919DC"/>
    <w:rsid w:val="7DC92406"/>
    <w:rsid w:val="7DC94D99"/>
    <w:rsid w:val="7DD20E15"/>
    <w:rsid w:val="7DD33925"/>
    <w:rsid w:val="7DD35F75"/>
    <w:rsid w:val="7DD55531"/>
    <w:rsid w:val="7DD72BF5"/>
    <w:rsid w:val="7DD862D6"/>
    <w:rsid w:val="7DDA244B"/>
    <w:rsid w:val="7DE35507"/>
    <w:rsid w:val="7DE84DBF"/>
    <w:rsid w:val="7DEB18F7"/>
    <w:rsid w:val="7DED27D7"/>
    <w:rsid w:val="7DED4D65"/>
    <w:rsid w:val="7DF10341"/>
    <w:rsid w:val="7DF45329"/>
    <w:rsid w:val="7DF57FA0"/>
    <w:rsid w:val="7DF6754A"/>
    <w:rsid w:val="7DF714FE"/>
    <w:rsid w:val="7DF74740"/>
    <w:rsid w:val="7DF76FAB"/>
    <w:rsid w:val="7DFF2A4D"/>
    <w:rsid w:val="7E012BCB"/>
    <w:rsid w:val="7E047210"/>
    <w:rsid w:val="7E0656D1"/>
    <w:rsid w:val="7E0D2E06"/>
    <w:rsid w:val="7E0D732A"/>
    <w:rsid w:val="7E0F25B4"/>
    <w:rsid w:val="7E0F2BEE"/>
    <w:rsid w:val="7E0F7383"/>
    <w:rsid w:val="7E162F12"/>
    <w:rsid w:val="7E170211"/>
    <w:rsid w:val="7E176B90"/>
    <w:rsid w:val="7E1A37A0"/>
    <w:rsid w:val="7E1C1BFF"/>
    <w:rsid w:val="7E243A12"/>
    <w:rsid w:val="7E254484"/>
    <w:rsid w:val="7E2A7D6A"/>
    <w:rsid w:val="7E2B764B"/>
    <w:rsid w:val="7E335132"/>
    <w:rsid w:val="7E337AE4"/>
    <w:rsid w:val="7E383A21"/>
    <w:rsid w:val="7E392A59"/>
    <w:rsid w:val="7E3B0F4E"/>
    <w:rsid w:val="7E3D417B"/>
    <w:rsid w:val="7E3F622C"/>
    <w:rsid w:val="7E4039C6"/>
    <w:rsid w:val="7E4E3A6C"/>
    <w:rsid w:val="7E4F1A67"/>
    <w:rsid w:val="7E56237B"/>
    <w:rsid w:val="7E586F01"/>
    <w:rsid w:val="7E5A34F3"/>
    <w:rsid w:val="7E5B3EC3"/>
    <w:rsid w:val="7E5D6A41"/>
    <w:rsid w:val="7E5E656D"/>
    <w:rsid w:val="7E603056"/>
    <w:rsid w:val="7E631C04"/>
    <w:rsid w:val="7E68058B"/>
    <w:rsid w:val="7E6D35DA"/>
    <w:rsid w:val="7E6F1D2E"/>
    <w:rsid w:val="7E751149"/>
    <w:rsid w:val="7E7C17AC"/>
    <w:rsid w:val="7E7E1B20"/>
    <w:rsid w:val="7E7F1921"/>
    <w:rsid w:val="7E7F275C"/>
    <w:rsid w:val="7E7F2C81"/>
    <w:rsid w:val="7E7F5672"/>
    <w:rsid w:val="7E7F792D"/>
    <w:rsid w:val="7E8356F4"/>
    <w:rsid w:val="7E89173D"/>
    <w:rsid w:val="7E8E7BCD"/>
    <w:rsid w:val="7E936979"/>
    <w:rsid w:val="7E94213A"/>
    <w:rsid w:val="7E966B5D"/>
    <w:rsid w:val="7EA06C80"/>
    <w:rsid w:val="7EA80CC7"/>
    <w:rsid w:val="7EAA5923"/>
    <w:rsid w:val="7EAD335B"/>
    <w:rsid w:val="7EAE48B0"/>
    <w:rsid w:val="7EB14319"/>
    <w:rsid w:val="7EB53114"/>
    <w:rsid w:val="7EB73E95"/>
    <w:rsid w:val="7EB856E7"/>
    <w:rsid w:val="7EBC4A1F"/>
    <w:rsid w:val="7EBC70E6"/>
    <w:rsid w:val="7EBD45F5"/>
    <w:rsid w:val="7EC31832"/>
    <w:rsid w:val="7EC95F6F"/>
    <w:rsid w:val="7EDB7BBE"/>
    <w:rsid w:val="7EDC56E4"/>
    <w:rsid w:val="7EDE1578"/>
    <w:rsid w:val="7EE51B4B"/>
    <w:rsid w:val="7EE60A88"/>
    <w:rsid w:val="7EEC2838"/>
    <w:rsid w:val="7EED4A22"/>
    <w:rsid w:val="7EF02D00"/>
    <w:rsid w:val="7EF55F7E"/>
    <w:rsid w:val="7EF64F47"/>
    <w:rsid w:val="7EF72560"/>
    <w:rsid w:val="7EF8767E"/>
    <w:rsid w:val="7EF96C4D"/>
    <w:rsid w:val="7EFC39C0"/>
    <w:rsid w:val="7EFE5788"/>
    <w:rsid w:val="7F016582"/>
    <w:rsid w:val="7F023BBC"/>
    <w:rsid w:val="7F086613"/>
    <w:rsid w:val="7F0A156B"/>
    <w:rsid w:val="7F1E626D"/>
    <w:rsid w:val="7F1F01F7"/>
    <w:rsid w:val="7F201B66"/>
    <w:rsid w:val="7F2257ED"/>
    <w:rsid w:val="7F23019E"/>
    <w:rsid w:val="7F2313DA"/>
    <w:rsid w:val="7F237701"/>
    <w:rsid w:val="7F241BB2"/>
    <w:rsid w:val="7F2552DD"/>
    <w:rsid w:val="7F2D16BC"/>
    <w:rsid w:val="7F2F21D9"/>
    <w:rsid w:val="7F2F72FC"/>
    <w:rsid w:val="7F317AD7"/>
    <w:rsid w:val="7F3379FA"/>
    <w:rsid w:val="7F340318"/>
    <w:rsid w:val="7F345520"/>
    <w:rsid w:val="7F3A34A7"/>
    <w:rsid w:val="7F3A5ABD"/>
    <w:rsid w:val="7F3E0247"/>
    <w:rsid w:val="7F3E3325"/>
    <w:rsid w:val="7F3E4202"/>
    <w:rsid w:val="7F42746A"/>
    <w:rsid w:val="7F431343"/>
    <w:rsid w:val="7F48108A"/>
    <w:rsid w:val="7F484AB3"/>
    <w:rsid w:val="7F4A6626"/>
    <w:rsid w:val="7F5333A6"/>
    <w:rsid w:val="7F551DE9"/>
    <w:rsid w:val="7F566C11"/>
    <w:rsid w:val="7F58303C"/>
    <w:rsid w:val="7F593803"/>
    <w:rsid w:val="7F5961E6"/>
    <w:rsid w:val="7F5A3BC2"/>
    <w:rsid w:val="7F615561"/>
    <w:rsid w:val="7F6622EF"/>
    <w:rsid w:val="7F6D4D25"/>
    <w:rsid w:val="7F6D6F90"/>
    <w:rsid w:val="7F6E0DC1"/>
    <w:rsid w:val="7F6F02C8"/>
    <w:rsid w:val="7F7145BC"/>
    <w:rsid w:val="7F735F63"/>
    <w:rsid w:val="7F7440CE"/>
    <w:rsid w:val="7F7B314F"/>
    <w:rsid w:val="7F7D6EC7"/>
    <w:rsid w:val="7F7E2821"/>
    <w:rsid w:val="7F85187F"/>
    <w:rsid w:val="7F8C57E7"/>
    <w:rsid w:val="7F912385"/>
    <w:rsid w:val="7F983D64"/>
    <w:rsid w:val="7F9F6650"/>
    <w:rsid w:val="7FA10378"/>
    <w:rsid w:val="7FA2743A"/>
    <w:rsid w:val="7FA52767"/>
    <w:rsid w:val="7FA66D11"/>
    <w:rsid w:val="7FAC3D86"/>
    <w:rsid w:val="7FB31D8F"/>
    <w:rsid w:val="7FB72394"/>
    <w:rsid w:val="7FB86496"/>
    <w:rsid w:val="7FB9042E"/>
    <w:rsid w:val="7FBB3A71"/>
    <w:rsid w:val="7FC123FF"/>
    <w:rsid w:val="7FC30633"/>
    <w:rsid w:val="7FCD1F27"/>
    <w:rsid w:val="7FD30686"/>
    <w:rsid w:val="7FD44C2B"/>
    <w:rsid w:val="7FD949BD"/>
    <w:rsid w:val="7FDE0340"/>
    <w:rsid w:val="7FF129BB"/>
    <w:rsid w:val="7FF2723A"/>
    <w:rsid w:val="7FF369C0"/>
    <w:rsid w:val="7FF50E5E"/>
    <w:rsid w:val="7FF91C50"/>
    <w:rsid w:val="7FF947E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nhideWhenUsed="0" w:uiPriority="99" w:semiHidden="0" w:name="heading 3"/>
    <w:lsdException w:qFormat="1" w:unhideWhenUsed="0" w:uiPriority="0" w:semiHidden="0" w:name="heading 4" w:locked="1"/>
    <w:lsdException w:qFormat="1" w:unhideWhenUsed="0" w:uiPriority="0" w:semiHidden="0" w:name="heading 5" w:locked="1"/>
    <w:lsdException w:qFormat="1" w:unhideWhenUsed="0" w:uiPriority="99"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iPriority="39" w:semiHidden="0" w:name="toc 3"/>
    <w:lsdException w:qFormat="1" w:unhideWhenUsed="0" w:uiPriority="0" w:semiHidden="0" w:name="toc 4"/>
    <w:lsdException w:uiPriority="39" w:name="toc 5"/>
    <w:lsdException w:qFormat="1" w:unhideWhenUsed="0" w:uiPriority="39" w:semiHidden="0"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semiHidden="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qFormat="1" w:uiPriority="99" w:semiHidden="0" w:name="Body Text Indent 3"/>
    <w:lsdException w:qFormat="1"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01"/>
    <w:qFormat/>
    <w:locked/>
    <w:uiPriority w:val="0"/>
    <w:pPr>
      <w:spacing w:beforeAutospacing="1" w:afterAutospacing="1"/>
      <w:jc w:val="left"/>
      <w:outlineLvl w:val="0"/>
    </w:pPr>
    <w:rPr>
      <w:rFonts w:hint="eastAsia" w:ascii="宋体" w:hAnsi="宋体" w:cs="Times New Roman"/>
      <w:b/>
      <w:kern w:val="44"/>
      <w:sz w:val="48"/>
      <w:szCs w:val="48"/>
    </w:rPr>
  </w:style>
  <w:style w:type="paragraph" w:styleId="4">
    <w:name w:val="heading 2"/>
    <w:basedOn w:val="1"/>
    <w:next w:val="1"/>
    <w:link w:val="97"/>
    <w:unhideWhenUsed/>
    <w:qFormat/>
    <w:locked/>
    <w:uiPriority w:val="0"/>
    <w:pPr>
      <w:keepNext/>
      <w:keepLines/>
      <w:numPr>
        <w:ilvl w:val="1"/>
        <w:numId w:val="1"/>
      </w:numPr>
      <w:spacing w:before="260" w:after="260" w:line="415" w:lineRule="auto"/>
      <w:outlineLvl w:val="1"/>
    </w:pPr>
    <w:rPr>
      <w:rFonts w:ascii="Arial" w:hAnsi="Arial"/>
      <w:b/>
      <w:bCs/>
      <w:sz w:val="32"/>
      <w:szCs w:val="32"/>
    </w:rPr>
  </w:style>
  <w:style w:type="paragraph" w:styleId="5">
    <w:name w:val="heading 3"/>
    <w:basedOn w:val="1"/>
    <w:next w:val="1"/>
    <w:link w:val="64"/>
    <w:qFormat/>
    <w:uiPriority w:val="99"/>
    <w:pPr>
      <w:keepNext/>
      <w:keepLines/>
      <w:spacing w:line="416" w:lineRule="auto"/>
      <w:outlineLvl w:val="2"/>
    </w:pPr>
    <w:rPr>
      <w:b/>
      <w:bCs/>
      <w:sz w:val="32"/>
      <w:szCs w:val="32"/>
    </w:rPr>
  </w:style>
  <w:style w:type="paragraph" w:styleId="6">
    <w:name w:val="heading 4"/>
    <w:basedOn w:val="1"/>
    <w:next w:val="1"/>
    <w:qFormat/>
    <w:locked/>
    <w:uiPriority w:val="0"/>
    <w:pPr>
      <w:keepNext/>
      <w:keepLines/>
      <w:spacing w:line="360" w:lineRule="auto"/>
      <w:outlineLvl w:val="3"/>
    </w:pPr>
    <w:rPr>
      <w:rFonts w:ascii="Arial" w:hAnsi="Arial"/>
      <w:b/>
      <w:bCs/>
    </w:rPr>
  </w:style>
  <w:style w:type="paragraph" w:styleId="7">
    <w:name w:val="heading 5"/>
    <w:basedOn w:val="1"/>
    <w:next w:val="1"/>
    <w:qFormat/>
    <w:locked/>
    <w:uiPriority w:val="0"/>
    <w:pPr>
      <w:ind w:left="1400" w:hanging="400"/>
      <w:outlineLvl w:val="4"/>
    </w:pPr>
    <w:rPr>
      <w:b/>
      <w:bCs/>
      <w:sz w:val="28"/>
      <w:szCs w:val="28"/>
    </w:rPr>
  </w:style>
  <w:style w:type="paragraph" w:styleId="8">
    <w:name w:val="heading 6"/>
    <w:basedOn w:val="1"/>
    <w:next w:val="1"/>
    <w:link w:val="98"/>
    <w:qFormat/>
    <w:locked/>
    <w:uiPriority w:val="99"/>
    <w:pPr>
      <w:keepNext/>
      <w:keepLines/>
      <w:spacing w:line="320" w:lineRule="auto"/>
      <w:outlineLvl w:val="5"/>
    </w:pPr>
    <w:rPr>
      <w:rFonts w:ascii="Arial" w:hAnsi="Arial" w:eastAsia="黑体"/>
      <w:b/>
      <w:bCs/>
      <w:sz w:val="24"/>
    </w:rPr>
  </w:style>
  <w:style w:type="character" w:default="1" w:styleId="40">
    <w:name w:val="Default Paragraph Font"/>
    <w:semiHidden/>
    <w:unhideWhenUsed/>
    <w:qFormat/>
    <w:uiPriority w:val="1"/>
  </w:style>
  <w:style w:type="table" w:default="1" w:styleId="3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96"/>
    <w:qFormat/>
    <w:uiPriority w:val="0"/>
  </w:style>
  <w:style w:type="paragraph" w:styleId="9">
    <w:name w:val="table of authorities"/>
    <w:basedOn w:val="1"/>
    <w:next w:val="1"/>
    <w:qFormat/>
    <w:uiPriority w:val="99"/>
    <w:pPr>
      <w:ind w:left="420" w:leftChars="200"/>
    </w:pPr>
    <w:rPr>
      <w:rFonts w:ascii="Times New Roman" w:hAnsi="Times New Roman" w:cs="Times New Roman"/>
      <w:sz w:val="24"/>
      <w:szCs w:val="22"/>
    </w:rPr>
  </w:style>
  <w:style w:type="paragraph" w:styleId="10">
    <w:name w:val="Normal Indent"/>
    <w:basedOn w:val="1"/>
    <w:next w:val="11"/>
    <w:qFormat/>
    <w:uiPriority w:val="99"/>
    <w:pPr>
      <w:spacing w:line="440" w:lineRule="exact"/>
      <w:ind w:firstLine="420" w:firstLineChars="200"/>
    </w:pPr>
    <w:rPr>
      <w:sz w:val="24"/>
      <w:szCs w:val="24"/>
    </w:rPr>
  </w:style>
  <w:style w:type="paragraph" w:styleId="11">
    <w:name w:val="toc 2"/>
    <w:basedOn w:val="1"/>
    <w:next w:val="1"/>
    <w:semiHidden/>
    <w:qFormat/>
    <w:uiPriority w:val="99"/>
    <w:pPr>
      <w:ind w:left="420" w:leftChars="200"/>
    </w:pPr>
  </w:style>
  <w:style w:type="paragraph" w:styleId="12">
    <w:name w:val="caption"/>
    <w:basedOn w:val="1"/>
    <w:next w:val="1"/>
    <w:unhideWhenUsed/>
    <w:qFormat/>
    <w:locked/>
    <w:uiPriority w:val="0"/>
    <w:pPr>
      <w:spacing w:before="152" w:after="160"/>
    </w:pPr>
    <w:rPr>
      <w:rFonts w:ascii="Arial" w:hAnsi="Arial" w:eastAsia="黑体" w:cs="Arial"/>
      <w:sz w:val="20"/>
      <w:szCs w:val="20"/>
    </w:rPr>
  </w:style>
  <w:style w:type="paragraph" w:styleId="13">
    <w:name w:val="toa heading"/>
    <w:basedOn w:val="1"/>
    <w:next w:val="1"/>
    <w:qFormat/>
    <w:uiPriority w:val="0"/>
    <w:pPr>
      <w:spacing w:before="120"/>
    </w:pPr>
    <w:rPr>
      <w:rFonts w:ascii="Arial"/>
      <w:kern w:val="0"/>
      <w:sz w:val="24"/>
      <w:szCs w:val="20"/>
    </w:rPr>
  </w:style>
  <w:style w:type="paragraph" w:styleId="14">
    <w:name w:val="annotation text"/>
    <w:basedOn w:val="1"/>
    <w:link w:val="85"/>
    <w:semiHidden/>
    <w:qFormat/>
    <w:uiPriority w:val="99"/>
    <w:pPr>
      <w:jc w:val="left"/>
    </w:pPr>
  </w:style>
  <w:style w:type="paragraph" w:styleId="15">
    <w:name w:val="Body Text 3"/>
    <w:basedOn w:val="1"/>
    <w:unhideWhenUsed/>
    <w:qFormat/>
    <w:uiPriority w:val="99"/>
    <w:pPr>
      <w:spacing w:after="120"/>
    </w:pPr>
    <w:rPr>
      <w:sz w:val="16"/>
      <w:szCs w:val="16"/>
    </w:rPr>
  </w:style>
  <w:style w:type="paragraph" w:styleId="16">
    <w:name w:val="Body Text Indent"/>
    <w:basedOn w:val="1"/>
    <w:next w:val="1"/>
    <w:link w:val="65"/>
    <w:qFormat/>
    <w:uiPriority w:val="99"/>
    <w:pPr>
      <w:ind w:left="420" w:leftChars="200"/>
    </w:pPr>
  </w:style>
  <w:style w:type="paragraph" w:styleId="17">
    <w:name w:val="List 2"/>
    <w:basedOn w:val="1"/>
    <w:qFormat/>
    <w:uiPriority w:val="0"/>
    <w:pPr>
      <w:adjustRightInd/>
      <w:spacing w:line="360" w:lineRule="auto"/>
      <w:ind w:left="100" w:leftChars="200" w:hanging="200" w:hangingChars="200"/>
    </w:pPr>
    <w:rPr>
      <w:rFonts w:eastAsia="微软雅黑"/>
    </w:rPr>
  </w:style>
  <w:style w:type="paragraph" w:styleId="18">
    <w:name w:val="Block Text"/>
    <w:basedOn w:val="1"/>
    <w:unhideWhenUsed/>
    <w:qFormat/>
    <w:uiPriority w:val="0"/>
    <w:pPr>
      <w:spacing w:beforeLines="0" w:afterLines="0"/>
      <w:ind w:left="1200" w:right="-72" w:hanging="30"/>
    </w:pPr>
    <w:rPr>
      <w:rFonts w:hint="default" w:ascii="Arial" w:hAnsi="Arial" w:eastAsia="幼圆" w:cs="Arial"/>
      <w:sz w:val="22"/>
      <w:szCs w:val="20"/>
    </w:rPr>
  </w:style>
  <w:style w:type="paragraph" w:styleId="19">
    <w:name w:val="toc 3"/>
    <w:basedOn w:val="1"/>
    <w:next w:val="1"/>
    <w:unhideWhenUsed/>
    <w:qFormat/>
    <w:uiPriority w:val="39"/>
    <w:pPr>
      <w:ind w:left="840" w:leftChars="400"/>
    </w:pPr>
    <w:rPr>
      <w:rFonts w:ascii="Times New Roman" w:hAnsi="Times New Roman" w:cs="Times New Roman"/>
      <w:szCs w:val="24"/>
    </w:rPr>
  </w:style>
  <w:style w:type="paragraph" w:styleId="20">
    <w:name w:val="Plain Text"/>
    <w:basedOn w:val="1"/>
    <w:link w:val="66"/>
    <w:qFormat/>
    <w:uiPriority w:val="99"/>
    <w:rPr>
      <w:rFonts w:ascii="宋体" w:hAnsi="Courier New" w:cs="宋体"/>
    </w:rPr>
  </w:style>
  <w:style w:type="paragraph" w:styleId="21">
    <w:name w:val="Date"/>
    <w:basedOn w:val="1"/>
    <w:next w:val="1"/>
    <w:link w:val="100"/>
    <w:unhideWhenUsed/>
    <w:qFormat/>
    <w:uiPriority w:val="99"/>
    <w:pPr>
      <w:ind w:left="2500" w:leftChars="2500"/>
    </w:pPr>
    <w:rPr>
      <w:rFonts w:eastAsia="楷体_GB2312"/>
      <w:sz w:val="32"/>
      <w:szCs w:val="20"/>
    </w:rPr>
  </w:style>
  <w:style w:type="paragraph" w:styleId="22">
    <w:name w:val="Body Text Indent 2"/>
    <w:basedOn w:val="1"/>
    <w:link w:val="67"/>
    <w:qFormat/>
    <w:uiPriority w:val="99"/>
    <w:pPr>
      <w:spacing w:line="480" w:lineRule="auto"/>
      <w:ind w:left="420" w:leftChars="200"/>
    </w:pPr>
  </w:style>
  <w:style w:type="paragraph" w:styleId="23">
    <w:name w:val="Balloon Text"/>
    <w:basedOn w:val="1"/>
    <w:link w:val="87"/>
    <w:semiHidden/>
    <w:qFormat/>
    <w:uiPriority w:val="99"/>
    <w:rPr>
      <w:sz w:val="18"/>
      <w:szCs w:val="18"/>
    </w:rPr>
  </w:style>
  <w:style w:type="paragraph" w:styleId="24">
    <w:name w:val="footer"/>
    <w:basedOn w:val="1"/>
    <w:link w:val="68"/>
    <w:qFormat/>
    <w:uiPriority w:val="99"/>
    <w:pPr>
      <w:tabs>
        <w:tab w:val="center" w:pos="4153"/>
        <w:tab w:val="right" w:pos="8306"/>
      </w:tabs>
      <w:snapToGrid w:val="0"/>
      <w:jc w:val="left"/>
    </w:pPr>
    <w:rPr>
      <w:sz w:val="18"/>
      <w:szCs w:val="18"/>
    </w:rPr>
  </w:style>
  <w:style w:type="paragraph" w:styleId="25">
    <w:name w:val="header"/>
    <w:basedOn w:val="1"/>
    <w:link w:val="6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26">
    <w:name w:val="toc 1"/>
    <w:basedOn w:val="1"/>
    <w:next w:val="1"/>
    <w:semiHidden/>
    <w:qFormat/>
    <w:uiPriority w:val="99"/>
  </w:style>
  <w:style w:type="paragraph" w:styleId="27">
    <w:name w:val="toc 4"/>
    <w:basedOn w:val="1"/>
    <w:next w:val="1"/>
    <w:qFormat/>
    <w:uiPriority w:val="0"/>
    <w:pPr>
      <w:widowControl w:val="0"/>
      <w:spacing w:line="240" w:lineRule="auto"/>
      <w:ind w:leftChars="600"/>
      <w:textAlignment w:val="auto"/>
    </w:pPr>
    <w:rPr>
      <w:color w:val="auto"/>
      <w:kern w:val="2"/>
      <w:u w:val="none" w:color="auto"/>
    </w:rPr>
  </w:style>
  <w:style w:type="paragraph" w:styleId="28">
    <w:name w:val="Subtitle"/>
    <w:basedOn w:val="1"/>
    <w:next w:val="1"/>
    <w:qFormat/>
    <w:locked/>
    <w:uiPriority w:val="0"/>
    <w:pPr>
      <w:spacing w:before="240" w:beforeLines="0" w:after="60" w:afterLines="0" w:line="312" w:lineRule="auto"/>
      <w:jc w:val="center"/>
      <w:outlineLvl w:val="1"/>
    </w:pPr>
    <w:rPr>
      <w:rFonts w:ascii="Cambria" w:hAnsi="Cambria"/>
      <w:b/>
      <w:bCs/>
      <w:kern w:val="28"/>
      <w:sz w:val="32"/>
      <w:szCs w:val="32"/>
    </w:rPr>
  </w:style>
  <w:style w:type="paragraph" w:styleId="29">
    <w:name w:val="toc 6"/>
    <w:basedOn w:val="1"/>
    <w:next w:val="1"/>
    <w:qFormat/>
    <w:uiPriority w:val="39"/>
    <w:pPr>
      <w:ind w:left="2100" w:leftChars="1000"/>
    </w:pPr>
  </w:style>
  <w:style w:type="paragraph" w:styleId="30">
    <w:name w:val="Body Text Indent 3"/>
    <w:basedOn w:val="1"/>
    <w:unhideWhenUsed/>
    <w:qFormat/>
    <w:uiPriority w:val="99"/>
    <w:pPr>
      <w:ind w:firstLine="435"/>
    </w:pPr>
  </w:style>
  <w:style w:type="paragraph" w:styleId="3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32">
    <w:name w:val="Normal (Web)"/>
    <w:basedOn w:val="1"/>
    <w:qFormat/>
    <w:uiPriority w:val="99"/>
    <w:pPr>
      <w:widowControl/>
      <w:shd w:val="clear" w:color="auto" w:fill="FFFFFF"/>
      <w:spacing w:beforeAutospacing="1" w:afterAutospacing="1"/>
      <w:jc w:val="left"/>
    </w:pPr>
    <w:rPr>
      <w:rFonts w:ascii="_x000B__x000C_" w:hAnsi="_x000B__x000C_" w:cs="_x000B__x000C_"/>
      <w:kern w:val="0"/>
      <w:sz w:val="18"/>
      <w:szCs w:val="18"/>
    </w:rPr>
  </w:style>
  <w:style w:type="paragraph" w:styleId="33">
    <w:name w:val="Title"/>
    <w:basedOn w:val="1"/>
    <w:next w:val="1"/>
    <w:qFormat/>
    <w:locked/>
    <w:uiPriority w:val="10"/>
    <w:pPr>
      <w:jc w:val="center"/>
    </w:pPr>
    <w:rPr>
      <w:sz w:val="30"/>
    </w:rPr>
  </w:style>
  <w:style w:type="paragraph" w:styleId="34">
    <w:name w:val="annotation subject"/>
    <w:basedOn w:val="14"/>
    <w:next w:val="14"/>
    <w:link w:val="86"/>
    <w:semiHidden/>
    <w:qFormat/>
    <w:uiPriority w:val="99"/>
    <w:rPr>
      <w:b/>
      <w:bCs/>
    </w:rPr>
  </w:style>
  <w:style w:type="paragraph" w:styleId="35">
    <w:name w:val="Body Text First Indent"/>
    <w:basedOn w:val="2"/>
    <w:next w:val="29"/>
    <w:link w:val="95"/>
    <w:unhideWhenUsed/>
    <w:qFormat/>
    <w:uiPriority w:val="99"/>
    <w:pPr>
      <w:keepNext w:val="0"/>
      <w:keepLines w:val="0"/>
      <w:widowControl w:val="0"/>
      <w:suppressLineNumbers w:val="0"/>
      <w:spacing w:before="0" w:beforeAutospacing="0" w:after="0" w:afterAutospacing="0" w:line="360" w:lineRule="auto"/>
      <w:ind w:left="0" w:right="0" w:firstLine="200" w:firstLineChars="200"/>
      <w:jc w:val="both"/>
    </w:pPr>
    <w:rPr>
      <w:rFonts w:hint="default" w:ascii="仿宋_GB2312" w:hAnsi="宋体" w:eastAsia="仿宋_GB2312" w:cs="仿宋_GB2312"/>
      <w:bCs/>
      <w:kern w:val="2"/>
      <w:sz w:val="30"/>
      <w:szCs w:val="30"/>
      <w:lang w:val="en-US" w:eastAsia="zh-CN" w:bidi="ar"/>
    </w:rPr>
  </w:style>
  <w:style w:type="paragraph" w:styleId="36">
    <w:name w:val="Body Text First Indent 2"/>
    <w:basedOn w:val="16"/>
    <w:next w:val="37"/>
    <w:qFormat/>
    <w:uiPriority w:val="0"/>
    <w:pPr>
      <w:spacing w:after="120"/>
      <w:ind w:firstLine="420" w:firstLineChars="200"/>
    </w:pPr>
  </w:style>
  <w:style w:type="paragraph" w:customStyle="1" w:styleId="37">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locked/>
    <w:uiPriority w:val="0"/>
    <w:rPr>
      <w:bCs/>
    </w:rPr>
  </w:style>
  <w:style w:type="character" w:styleId="42">
    <w:name w:val="page number"/>
    <w:basedOn w:val="40"/>
    <w:qFormat/>
    <w:uiPriority w:val="0"/>
  </w:style>
  <w:style w:type="character" w:styleId="43">
    <w:name w:val="FollowedHyperlink"/>
    <w:basedOn w:val="40"/>
    <w:unhideWhenUsed/>
    <w:qFormat/>
    <w:uiPriority w:val="99"/>
    <w:rPr>
      <w:color w:val="800080"/>
      <w:u w:val="single"/>
    </w:rPr>
  </w:style>
  <w:style w:type="character" w:styleId="44">
    <w:name w:val="HTML Definition"/>
    <w:basedOn w:val="40"/>
    <w:semiHidden/>
    <w:unhideWhenUsed/>
    <w:qFormat/>
    <w:uiPriority w:val="99"/>
  </w:style>
  <w:style w:type="character" w:styleId="45">
    <w:name w:val="HTML Typewriter"/>
    <w:basedOn w:val="40"/>
    <w:semiHidden/>
    <w:unhideWhenUsed/>
    <w:qFormat/>
    <w:uiPriority w:val="99"/>
    <w:rPr>
      <w:rFonts w:hint="default" w:ascii="monospace" w:hAnsi="monospace" w:eastAsia="monospace" w:cs="monospace"/>
      <w:sz w:val="20"/>
    </w:rPr>
  </w:style>
  <w:style w:type="character" w:styleId="46">
    <w:name w:val="HTML Acronym"/>
    <w:basedOn w:val="40"/>
    <w:semiHidden/>
    <w:unhideWhenUsed/>
    <w:qFormat/>
    <w:uiPriority w:val="99"/>
  </w:style>
  <w:style w:type="character" w:styleId="47">
    <w:name w:val="HTML Variable"/>
    <w:basedOn w:val="40"/>
    <w:semiHidden/>
    <w:unhideWhenUsed/>
    <w:qFormat/>
    <w:uiPriority w:val="99"/>
  </w:style>
  <w:style w:type="character" w:styleId="48">
    <w:name w:val="Hyperlink"/>
    <w:basedOn w:val="40"/>
    <w:qFormat/>
    <w:uiPriority w:val="99"/>
    <w:rPr>
      <w:color w:val="auto"/>
      <w:u w:val="single"/>
    </w:rPr>
  </w:style>
  <w:style w:type="character" w:styleId="49">
    <w:name w:val="HTML Code"/>
    <w:basedOn w:val="40"/>
    <w:semiHidden/>
    <w:unhideWhenUsed/>
    <w:qFormat/>
    <w:uiPriority w:val="99"/>
    <w:rPr>
      <w:rFonts w:ascii="monospace" w:hAnsi="monospace" w:eastAsia="monospace" w:cs="monospace"/>
      <w:sz w:val="20"/>
    </w:rPr>
  </w:style>
  <w:style w:type="character" w:styleId="50">
    <w:name w:val="annotation reference"/>
    <w:basedOn w:val="40"/>
    <w:semiHidden/>
    <w:qFormat/>
    <w:uiPriority w:val="99"/>
    <w:rPr>
      <w:sz w:val="21"/>
      <w:szCs w:val="21"/>
    </w:rPr>
  </w:style>
  <w:style w:type="character" w:styleId="51">
    <w:name w:val="HTML Cite"/>
    <w:basedOn w:val="40"/>
    <w:semiHidden/>
    <w:unhideWhenUsed/>
    <w:qFormat/>
    <w:uiPriority w:val="99"/>
  </w:style>
  <w:style w:type="character" w:styleId="52">
    <w:name w:val="HTML Keyboard"/>
    <w:basedOn w:val="40"/>
    <w:semiHidden/>
    <w:unhideWhenUsed/>
    <w:qFormat/>
    <w:uiPriority w:val="99"/>
    <w:rPr>
      <w:rFonts w:hint="default" w:ascii="monospace" w:hAnsi="monospace" w:eastAsia="monospace" w:cs="monospace"/>
      <w:sz w:val="20"/>
    </w:rPr>
  </w:style>
  <w:style w:type="character" w:styleId="53">
    <w:name w:val="HTML Sample"/>
    <w:basedOn w:val="40"/>
    <w:semiHidden/>
    <w:unhideWhenUsed/>
    <w:qFormat/>
    <w:uiPriority w:val="99"/>
    <w:rPr>
      <w:rFonts w:hint="default" w:ascii="monospace" w:hAnsi="monospace" w:eastAsia="monospace" w:cs="monospace"/>
    </w:rPr>
  </w:style>
  <w:style w:type="paragraph" w:customStyle="1" w:styleId="5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5">
    <w:name w:val="toc 11"/>
    <w:next w:val="1"/>
    <w:qFormat/>
    <w:uiPriority w:val="0"/>
    <w:pPr>
      <w:wordWrap w:val="0"/>
      <w:jc w:val="both"/>
    </w:pPr>
    <w:rPr>
      <w:rFonts w:ascii="Times New Roman" w:hAnsi="Times New Roman" w:eastAsia="宋体" w:cs="Times New Roman"/>
      <w:sz w:val="21"/>
      <w:lang w:val="en-US" w:eastAsia="zh-CN" w:bidi="ar-SA"/>
    </w:rPr>
  </w:style>
  <w:style w:type="paragraph" w:customStyle="1" w:styleId="56">
    <w:name w:val="表格"/>
    <w:next w:val="2"/>
    <w:qFormat/>
    <w:uiPriority w:val="0"/>
    <w:pPr>
      <w:spacing w:line="360" w:lineRule="auto"/>
    </w:pPr>
    <w:rPr>
      <w:rFonts w:ascii="Times New Roman" w:hAnsi="Times New Roman" w:eastAsia="宋体" w:cs="Times New Roman"/>
      <w:sz w:val="24"/>
      <w:lang w:val="en-US" w:eastAsia="zh-CN" w:bidi="ar-SA"/>
    </w:rPr>
  </w:style>
  <w:style w:type="paragraph" w:customStyle="1" w:styleId="57">
    <w:name w:val="招标文件－标准正文"/>
    <w:basedOn w:val="20"/>
    <w:qFormat/>
    <w:uiPriority w:val="0"/>
    <w:pPr>
      <w:ind w:firstLine="0" w:firstLineChars="0"/>
      <w:jc w:val="both"/>
    </w:pPr>
    <w:rPr>
      <w:rFonts w:hAnsi="宋体" w:cs="Times New Roman"/>
      <w:color w:val="000000"/>
      <w:sz w:val="24"/>
    </w:rPr>
  </w:style>
  <w:style w:type="paragraph" w:customStyle="1" w:styleId="58">
    <w:name w:val="正文文本首行缩进 2"/>
    <w:basedOn w:val="16"/>
    <w:qFormat/>
    <w:uiPriority w:val="99"/>
    <w:pPr>
      <w:spacing w:line="200" w:lineRule="atLeast"/>
      <w:ind w:firstLine="420"/>
    </w:pPr>
    <w:rPr>
      <w:rFonts w:ascii="宋体" w:hAnsi="Courier New"/>
      <w:spacing w:val="-4"/>
      <w:sz w:val="18"/>
    </w:rPr>
  </w:style>
  <w:style w:type="paragraph" w:customStyle="1" w:styleId="59">
    <w:name w:val="章正文"/>
    <w:basedOn w:val="1"/>
    <w:qFormat/>
    <w:uiPriority w:val="0"/>
    <w:pPr>
      <w:spacing w:beforeLines="50" w:after="120" w:line="300" w:lineRule="auto"/>
      <w:ind w:firstLine="480" w:firstLineChars="200"/>
    </w:pPr>
    <w:rPr>
      <w:rFonts w:ascii="Helvetica" w:hAnsi="Helvetica"/>
      <w:kern w:val="0"/>
      <w:sz w:val="24"/>
    </w:rPr>
  </w:style>
  <w:style w:type="paragraph" w:customStyle="1" w:styleId="60">
    <w:name w:val="正文1"/>
    <w:basedOn w:val="1"/>
    <w:qFormat/>
    <w:uiPriority w:val="0"/>
    <w:pPr>
      <w:adjustRightInd w:val="0"/>
      <w:spacing w:line="318" w:lineRule="atLeast"/>
      <w:ind w:left="369" w:firstLine="369"/>
      <w:textAlignment w:val="baseline"/>
    </w:pPr>
    <w:rPr>
      <w:rFonts w:ascii="宋体"/>
      <w:szCs w:val="20"/>
    </w:rPr>
  </w:style>
  <w:style w:type="paragraph" w:customStyle="1" w:styleId="61">
    <w:name w:val="列出段落1"/>
    <w:basedOn w:val="1"/>
    <w:qFormat/>
    <w:uiPriority w:val="0"/>
    <w:pPr>
      <w:ind w:firstLine="420" w:firstLineChars="200"/>
    </w:pPr>
    <w:rPr>
      <w:rFonts w:cs="Times New Roman"/>
      <w:szCs w:val="22"/>
    </w:rPr>
  </w:style>
  <w:style w:type="paragraph" w:customStyle="1" w:styleId="62">
    <w:name w:val="TOC 标题1"/>
    <w:basedOn w:val="3"/>
    <w:next w:val="1"/>
    <w:qFormat/>
    <w:uiPriority w:val="39"/>
    <w:pPr>
      <w:tabs>
        <w:tab w:val="left" w:pos="1800"/>
      </w:tabs>
      <w:spacing w:before="480" w:line="276" w:lineRule="auto"/>
      <w:outlineLvl w:val="9"/>
    </w:pPr>
    <w:rPr>
      <w:rFonts w:ascii="仿宋" w:hAnsi="仿宋" w:eastAsia="仿宋"/>
      <w:color w:val="000000"/>
      <w:kern w:val="0"/>
      <w:sz w:val="32"/>
      <w:szCs w:val="32"/>
    </w:rPr>
  </w:style>
  <w:style w:type="paragraph" w:customStyle="1" w:styleId="63">
    <w:name w:val="Char"/>
    <w:basedOn w:val="1"/>
    <w:qFormat/>
    <w:uiPriority w:val="0"/>
    <w:rPr>
      <w:rFonts w:ascii="仿宋_GB2312" w:eastAsia="仿宋_GB2312"/>
      <w:b/>
      <w:sz w:val="32"/>
      <w:szCs w:val="32"/>
    </w:rPr>
  </w:style>
  <w:style w:type="character" w:customStyle="1" w:styleId="64">
    <w:name w:val="标题 3 Char"/>
    <w:basedOn w:val="40"/>
    <w:link w:val="5"/>
    <w:semiHidden/>
    <w:qFormat/>
    <w:uiPriority w:val="9"/>
    <w:rPr>
      <w:rFonts w:ascii="Calibri" w:hAnsi="Calibri" w:cs="Calibri"/>
      <w:bCs/>
      <w:sz w:val="32"/>
      <w:szCs w:val="32"/>
    </w:rPr>
  </w:style>
  <w:style w:type="character" w:customStyle="1" w:styleId="65">
    <w:name w:val="正文文本缩进 Char"/>
    <w:basedOn w:val="40"/>
    <w:link w:val="16"/>
    <w:semiHidden/>
    <w:qFormat/>
    <w:uiPriority w:val="99"/>
    <w:rPr>
      <w:rFonts w:ascii="Calibri" w:hAnsi="Calibri" w:cs="Calibri"/>
      <w:szCs w:val="21"/>
    </w:rPr>
  </w:style>
  <w:style w:type="character" w:customStyle="1" w:styleId="66">
    <w:name w:val="纯文本 Char"/>
    <w:basedOn w:val="40"/>
    <w:link w:val="20"/>
    <w:semiHidden/>
    <w:qFormat/>
    <w:uiPriority w:val="99"/>
    <w:rPr>
      <w:rFonts w:ascii="宋体" w:hAnsi="Courier New" w:cs="Courier New"/>
      <w:szCs w:val="21"/>
    </w:rPr>
  </w:style>
  <w:style w:type="character" w:customStyle="1" w:styleId="67">
    <w:name w:val="正文文本缩进 2 Char"/>
    <w:basedOn w:val="40"/>
    <w:link w:val="22"/>
    <w:semiHidden/>
    <w:qFormat/>
    <w:uiPriority w:val="99"/>
    <w:rPr>
      <w:rFonts w:ascii="Calibri" w:hAnsi="Calibri" w:cs="Calibri"/>
      <w:szCs w:val="21"/>
    </w:rPr>
  </w:style>
  <w:style w:type="character" w:customStyle="1" w:styleId="68">
    <w:name w:val="页脚 Char"/>
    <w:basedOn w:val="40"/>
    <w:link w:val="24"/>
    <w:semiHidden/>
    <w:qFormat/>
    <w:uiPriority w:val="99"/>
    <w:rPr>
      <w:rFonts w:ascii="Calibri" w:hAnsi="Calibri" w:cs="Calibri"/>
      <w:sz w:val="18"/>
      <w:szCs w:val="18"/>
    </w:rPr>
  </w:style>
  <w:style w:type="character" w:customStyle="1" w:styleId="69">
    <w:name w:val="页眉 Char"/>
    <w:basedOn w:val="40"/>
    <w:link w:val="25"/>
    <w:semiHidden/>
    <w:qFormat/>
    <w:uiPriority w:val="99"/>
    <w:rPr>
      <w:rFonts w:ascii="Calibri" w:hAnsi="Calibri" w:cs="Calibri"/>
      <w:sz w:val="18"/>
      <w:szCs w:val="18"/>
    </w:rPr>
  </w:style>
  <w:style w:type="paragraph" w:customStyle="1" w:styleId="70">
    <w:name w:val="正文文字"/>
    <w:basedOn w:val="1"/>
    <w:qFormat/>
    <w:uiPriority w:val="99"/>
    <w:pPr>
      <w:spacing w:line="351" w:lineRule="atLeast"/>
      <w:ind w:firstLine="419"/>
    </w:pPr>
  </w:style>
  <w:style w:type="paragraph" w:customStyle="1" w:styleId="71">
    <w:name w:val="p0"/>
    <w:basedOn w:val="1"/>
    <w:qFormat/>
    <w:uiPriority w:val="99"/>
    <w:pPr>
      <w:widowControl/>
    </w:pPr>
    <w:rPr>
      <w:kern w:val="0"/>
    </w:rPr>
  </w:style>
  <w:style w:type="paragraph" w:customStyle="1" w:styleId="72">
    <w:name w:val="p18"/>
    <w:basedOn w:val="1"/>
    <w:qFormat/>
    <w:uiPriority w:val="99"/>
    <w:pPr>
      <w:widowControl/>
      <w:spacing w:line="748" w:lineRule="atLeast"/>
      <w:ind w:left="-527" w:firstLine="527"/>
    </w:pPr>
    <w:rPr>
      <w:rFonts w:ascii="宋体" w:hAnsi="宋体" w:cs="宋体"/>
      <w:kern w:val="0"/>
      <w:sz w:val="24"/>
      <w:szCs w:val="24"/>
    </w:rPr>
  </w:style>
  <w:style w:type="character" w:customStyle="1" w:styleId="73">
    <w:name w:val="font21"/>
    <w:basedOn w:val="40"/>
    <w:qFormat/>
    <w:uiPriority w:val="99"/>
    <w:rPr>
      <w:rFonts w:ascii="宋体" w:hAnsi="宋体" w:eastAsia="宋体" w:cs="宋体"/>
      <w:color w:val="000000"/>
      <w:sz w:val="21"/>
      <w:szCs w:val="21"/>
      <w:u w:val="none"/>
    </w:rPr>
  </w:style>
  <w:style w:type="character" w:customStyle="1" w:styleId="74">
    <w:name w:val="font11"/>
    <w:basedOn w:val="40"/>
    <w:qFormat/>
    <w:uiPriority w:val="99"/>
    <w:rPr>
      <w:rFonts w:ascii="宋体" w:hAnsi="宋体" w:eastAsia="宋体" w:cs="宋体"/>
      <w:color w:val="000000"/>
      <w:sz w:val="24"/>
      <w:szCs w:val="24"/>
      <w:u w:val="none"/>
    </w:rPr>
  </w:style>
  <w:style w:type="character" w:customStyle="1" w:styleId="75">
    <w:name w:val="font41"/>
    <w:basedOn w:val="40"/>
    <w:qFormat/>
    <w:uiPriority w:val="99"/>
    <w:rPr>
      <w:rFonts w:ascii="宋体" w:hAnsi="宋体" w:eastAsia="宋体" w:cs="宋体"/>
      <w:color w:val="FF0000"/>
      <w:sz w:val="24"/>
      <w:szCs w:val="24"/>
      <w:u w:val="none"/>
    </w:rPr>
  </w:style>
  <w:style w:type="character" w:customStyle="1" w:styleId="76">
    <w:name w:val="font61"/>
    <w:qFormat/>
    <w:uiPriority w:val="99"/>
    <w:rPr>
      <w:rFonts w:ascii="宋体" w:hAnsi="宋体" w:eastAsia="宋体" w:cs="宋体"/>
      <w:b/>
      <w:bCs/>
      <w:color w:val="000000"/>
      <w:sz w:val="21"/>
      <w:szCs w:val="21"/>
      <w:u w:val="none"/>
    </w:rPr>
  </w:style>
  <w:style w:type="character" w:customStyle="1" w:styleId="77">
    <w:name w:val="font81"/>
    <w:qFormat/>
    <w:uiPriority w:val="99"/>
    <w:rPr>
      <w:rFonts w:ascii="宋体" w:hAnsi="宋体" w:eastAsia="宋体" w:cs="宋体"/>
      <w:color w:val="000000"/>
      <w:sz w:val="21"/>
      <w:szCs w:val="21"/>
      <w:u w:val="none"/>
    </w:rPr>
  </w:style>
  <w:style w:type="paragraph" w:customStyle="1" w:styleId="78">
    <w:name w:val="普通文字"/>
    <w:basedOn w:val="1"/>
    <w:qFormat/>
    <w:uiPriority w:val="99"/>
    <w:pPr>
      <w:widowControl/>
      <w:spacing w:line="351" w:lineRule="atLeast"/>
      <w:ind w:firstLine="419"/>
      <w:textAlignment w:val="baseline"/>
    </w:pPr>
    <w:rPr>
      <w:rFonts w:ascii="宋体" w:cs="宋体"/>
      <w:color w:val="000000"/>
      <w:kern w:val="0"/>
      <w:u w:color="000000"/>
    </w:rPr>
  </w:style>
  <w:style w:type="paragraph" w:customStyle="1" w:styleId="79">
    <w:name w:val="_Style 1"/>
    <w:basedOn w:val="1"/>
    <w:qFormat/>
    <w:uiPriority w:val="99"/>
    <w:pPr>
      <w:ind w:firstLine="420" w:firstLineChars="200"/>
    </w:pPr>
  </w:style>
  <w:style w:type="paragraph" w:customStyle="1" w:styleId="80">
    <w:name w:val="正文_3"/>
    <w:qFormat/>
    <w:uiPriority w:val="99"/>
    <w:pPr>
      <w:widowControl w:val="0"/>
      <w:jc w:val="both"/>
    </w:pPr>
    <w:rPr>
      <w:rFonts w:ascii="Calibri" w:hAnsi="Calibri" w:eastAsia="宋体" w:cs="Calibri"/>
      <w:kern w:val="2"/>
      <w:sz w:val="21"/>
      <w:szCs w:val="21"/>
      <w:lang w:val="en-US" w:eastAsia="zh-CN" w:bidi="ar-SA"/>
    </w:rPr>
  </w:style>
  <w:style w:type="paragraph" w:customStyle="1" w:styleId="81">
    <w:name w:val="Proposals body"/>
    <w:basedOn w:val="1"/>
    <w:next w:val="1"/>
    <w:qFormat/>
    <w:uiPriority w:val="99"/>
    <w:pPr>
      <w:widowControl/>
      <w:spacing w:line="360" w:lineRule="auto"/>
      <w:jc w:val="left"/>
    </w:pPr>
    <w:rPr>
      <w:rFonts w:ascii="宋体" w:eastAsia="仿宋_GB2312" w:cs="宋体"/>
      <w:color w:val="000000"/>
      <w:kern w:val="0"/>
      <w:sz w:val="24"/>
      <w:szCs w:val="24"/>
    </w:rPr>
  </w:style>
  <w:style w:type="paragraph" w:customStyle="1" w:styleId="82">
    <w:name w:val="正文_17"/>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正文段"/>
    <w:basedOn w:val="1"/>
    <w:qFormat/>
    <w:uiPriority w:val="99"/>
    <w:pPr>
      <w:widowControl/>
      <w:snapToGrid w:val="0"/>
      <w:spacing w:afterLines="50"/>
      <w:ind w:firstLine="200" w:firstLineChars="200"/>
    </w:pPr>
    <w:rPr>
      <w:kern w:val="0"/>
      <w:sz w:val="24"/>
      <w:szCs w:val="24"/>
    </w:rPr>
  </w:style>
  <w:style w:type="paragraph" w:customStyle="1" w:styleId="84">
    <w:name w:val="_Style 2"/>
    <w:basedOn w:val="1"/>
    <w:qFormat/>
    <w:uiPriority w:val="99"/>
    <w:pPr>
      <w:ind w:left="720"/>
    </w:pPr>
  </w:style>
  <w:style w:type="character" w:customStyle="1" w:styleId="85">
    <w:name w:val="批注文字 Char"/>
    <w:basedOn w:val="40"/>
    <w:link w:val="14"/>
    <w:semiHidden/>
    <w:qFormat/>
    <w:uiPriority w:val="99"/>
    <w:rPr>
      <w:rFonts w:ascii="Calibri" w:hAnsi="Calibri" w:cs="Calibri"/>
      <w:szCs w:val="21"/>
    </w:rPr>
  </w:style>
  <w:style w:type="character" w:customStyle="1" w:styleId="86">
    <w:name w:val="批注主题 Char"/>
    <w:basedOn w:val="85"/>
    <w:link w:val="34"/>
    <w:semiHidden/>
    <w:qFormat/>
    <w:uiPriority w:val="99"/>
    <w:rPr>
      <w:rFonts w:ascii="Calibri" w:hAnsi="Calibri" w:cs="Calibri"/>
      <w:bCs/>
      <w:szCs w:val="21"/>
    </w:rPr>
  </w:style>
  <w:style w:type="character" w:customStyle="1" w:styleId="87">
    <w:name w:val="批注框文本 Char"/>
    <w:basedOn w:val="40"/>
    <w:link w:val="23"/>
    <w:semiHidden/>
    <w:qFormat/>
    <w:uiPriority w:val="99"/>
    <w:rPr>
      <w:rFonts w:ascii="Calibri" w:hAnsi="Calibri" w:cs="Calibri"/>
      <w:sz w:val="0"/>
      <w:szCs w:val="0"/>
    </w:rPr>
  </w:style>
  <w:style w:type="paragraph" w:customStyle="1" w:styleId="88">
    <w:name w:val="p17"/>
    <w:basedOn w:val="1"/>
    <w:qFormat/>
    <w:uiPriority w:val="99"/>
    <w:pPr>
      <w:widowControl/>
    </w:pPr>
    <w:rPr>
      <w:rFonts w:ascii="宋体" w:hAnsi="宋体" w:cs="宋体"/>
      <w:kern w:val="0"/>
    </w:rPr>
  </w:style>
  <w:style w:type="paragraph" w:customStyle="1" w:styleId="89">
    <w:name w:val="List Paragraph1"/>
    <w:basedOn w:val="1"/>
    <w:qFormat/>
    <w:uiPriority w:val="99"/>
    <w:pPr>
      <w:ind w:firstLine="420" w:firstLineChars="200"/>
    </w:pPr>
    <w:rPr>
      <w:rFonts w:cs="Times New Roman"/>
      <w:szCs w:val="22"/>
    </w:rPr>
  </w:style>
  <w:style w:type="paragraph" w:customStyle="1" w:styleId="90">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1">
    <w:name w:val="表内文字"/>
    <w:basedOn w:val="1"/>
    <w:qFormat/>
    <w:uiPriority w:val="0"/>
    <w:pPr>
      <w:tabs>
        <w:tab w:val="left" w:pos="1418"/>
      </w:tabs>
      <w:spacing w:line="360" w:lineRule="auto"/>
      <w:jc w:val="center"/>
    </w:pPr>
    <w:rPr>
      <w:rFonts w:ascii="仿宋_GB2312" w:eastAsia="仿宋_GB2312"/>
      <w:spacing w:val="-20"/>
      <w:kern w:val="0"/>
      <w:sz w:val="24"/>
    </w:rPr>
  </w:style>
  <w:style w:type="character" w:customStyle="1" w:styleId="92">
    <w:name w:val="font31"/>
    <w:basedOn w:val="40"/>
    <w:qFormat/>
    <w:uiPriority w:val="0"/>
    <w:rPr>
      <w:rFonts w:hint="eastAsia" w:ascii="宋体" w:hAnsi="宋体" w:eastAsia="宋体" w:cs="宋体"/>
      <w:color w:val="000000"/>
      <w:sz w:val="24"/>
      <w:szCs w:val="24"/>
      <w:u w:val="none"/>
    </w:rPr>
  </w:style>
  <w:style w:type="paragraph" w:customStyle="1" w:styleId="93">
    <w:name w:val="*正文"/>
    <w:basedOn w:val="1"/>
    <w:qFormat/>
    <w:uiPriority w:val="0"/>
    <w:pPr>
      <w:spacing w:line="360" w:lineRule="auto"/>
      <w:ind w:firstLine="200" w:firstLineChars="200"/>
    </w:pPr>
    <w:rPr>
      <w:rFonts w:ascii="宋体" w:hAnsi="宋体"/>
      <w:sz w:val="22"/>
      <w:szCs w:val="20"/>
    </w:rPr>
  </w:style>
  <w:style w:type="paragraph" w:customStyle="1" w:styleId="94">
    <w:name w:val="列出段落2"/>
    <w:basedOn w:val="1"/>
    <w:qFormat/>
    <w:uiPriority w:val="0"/>
    <w:pPr>
      <w:autoSpaceDE w:val="0"/>
      <w:autoSpaceDN w:val="0"/>
      <w:adjustRightInd w:val="0"/>
      <w:spacing w:line="360" w:lineRule="auto"/>
      <w:ind w:left="140" w:hanging="140" w:hangingChars="50"/>
      <w:jc w:val="left"/>
    </w:pPr>
    <w:rPr>
      <w:rFonts w:ascii="微软雅黑" w:hAnsi="微软雅黑" w:eastAsia="微软雅黑"/>
      <w:kern w:val="0"/>
      <w:sz w:val="28"/>
      <w:szCs w:val="28"/>
      <w:lang w:bidi="th-TH"/>
    </w:rPr>
  </w:style>
  <w:style w:type="character" w:customStyle="1" w:styleId="95">
    <w:name w:val="正文首行缩进 Char"/>
    <w:basedOn w:val="96"/>
    <w:link w:val="35"/>
    <w:qFormat/>
    <w:uiPriority w:val="0"/>
    <w:rPr>
      <w:kern w:val="2"/>
      <w:sz w:val="21"/>
      <w:szCs w:val="24"/>
    </w:rPr>
  </w:style>
  <w:style w:type="character" w:customStyle="1" w:styleId="96">
    <w:name w:val="正文文本 Char"/>
    <w:basedOn w:val="40"/>
    <w:link w:val="2"/>
    <w:qFormat/>
    <w:uiPriority w:val="0"/>
    <w:rPr>
      <w:kern w:val="2"/>
      <w:sz w:val="21"/>
      <w:szCs w:val="24"/>
    </w:rPr>
  </w:style>
  <w:style w:type="character" w:customStyle="1" w:styleId="97">
    <w:name w:val="标题 2 Char"/>
    <w:basedOn w:val="40"/>
    <w:link w:val="4"/>
    <w:qFormat/>
    <w:uiPriority w:val="0"/>
    <w:rPr>
      <w:rFonts w:ascii="Cambria" w:hAnsi="Cambria" w:eastAsia="宋体" w:cs="Times New Roman"/>
      <w:kern w:val="2"/>
      <w:sz w:val="32"/>
      <w:szCs w:val="32"/>
    </w:rPr>
  </w:style>
  <w:style w:type="character" w:customStyle="1" w:styleId="98">
    <w:name w:val="标题 6 Char"/>
    <w:basedOn w:val="40"/>
    <w:link w:val="8"/>
    <w:qFormat/>
    <w:uiPriority w:val="0"/>
    <w:rPr>
      <w:rFonts w:ascii="Cambria" w:hAnsi="Cambria" w:eastAsia="宋体" w:cs="Times New Roman"/>
      <w:kern w:val="2"/>
      <w:sz w:val="24"/>
      <w:szCs w:val="24"/>
    </w:rPr>
  </w:style>
  <w:style w:type="character" w:customStyle="1" w:styleId="99">
    <w:name w:val="日期 Char"/>
    <w:basedOn w:val="40"/>
    <w:qFormat/>
    <w:uiPriority w:val="0"/>
    <w:rPr>
      <w:rFonts w:hint="eastAsia" w:ascii="宋体" w:hAnsi="宋体" w:eastAsia="宋体" w:cs="宋体"/>
      <w:color w:val="000000"/>
      <w:spacing w:val="-14"/>
      <w:sz w:val="28"/>
      <w:szCs w:val="18"/>
    </w:rPr>
  </w:style>
  <w:style w:type="character" w:customStyle="1" w:styleId="100">
    <w:name w:val="日期 Char1"/>
    <w:basedOn w:val="40"/>
    <w:link w:val="21"/>
    <w:qFormat/>
    <w:uiPriority w:val="0"/>
    <w:rPr>
      <w:kern w:val="2"/>
      <w:sz w:val="21"/>
      <w:szCs w:val="24"/>
    </w:rPr>
  </w:style>
  <w:style w:type="character" w:customStyle="1" w:styleId="101">
    <w:name w:val="标题 1 Char"/>
    <w:basedOn w:val="40"/>
    <w:link w:val="3"/>
    <w:qFormat/>
    <w:uiPriority w:val="0"/>
    <w:rPr>
      <w:kern w:val="44"/>
      <w:sz w:val="44"/>
      <w:szCs w:val="44"/>
    </w:rPr>
  </w:style>
  <w:style w:type="character" w:customStyle="1" w:styleId="102">
    <w:name w:val="large1"/>
    <w:qFormat/>
    <w:uiPriority w:val="0"/>
    <w:rPr>
      <w:rFonts w:hint="eastAsia" w:ascii="宋体" w:hAnsi="宋体" w:eastAsia="宋体"/>
      <w:sz w:val="21"/>
      <w:szCs w:val="21"/>
    </w:rPr>
  </w:style>
  <w:style w:type="paragraph" w:styleId="103">
    <w:name w:val="List Paragraph"/>
    <w:basedOn w:val="1"/>
    <w:unhideWhenUsed/>
    <w:qFormat/>
    <w:uiPriority w:val="34"/>
    <w:pPr>
      <w:ind w:firstLine="420" w:firstLineChars="200"/>
    </w:pPr>
  </w:style>
  <w:style w:type="paragraph" w:customStyle="1" w:styleId="104">
    <w:name w:val="表格文字"/>
    <w:basedOn w:val="20"/>
    <w:next w:val="2"/>
    <w:qFormat/>
    <w:uiPriority w:val="0"/>
    <w:pPr>
      <w:adjustRightInd w:val="0"/>
      <w:spacing w:line="420" w:lineRule="atLeast"/>
      <w:jc w:val="left"/>
      <w:textAlignment w:val="baseline"/>
    </w:pPr>
    <w:rPr>
      <w:kern w:val="0"/>
      <w:szCs w:val="20"/>
    </w:rPr>
  </w:style>
  <w:style w:type="paragraph" w:customStyle="1" w:styleId="105">
    <w:name w:val="无间距1"/>
    <w:qFormat/>
    <w:uiPriority w:val="0"/>
    <w:pPr>
      <w:widowControl w:val="0"/>
      <w:jc w:val="both"/>
    </w:pPr>
    <w:rPr>
      <w:rFonts w:ascii="Times New Roman" w:hAnsi="Times New Roman" w:eastAsia="微软雅黑 Light" w:cs="Times New Roman"/>
      <w:kern w:val="2"/>
      <w:sz w:val="24"/>
      <w:szCs w:val="22"/>
      <w:lang w:val="en-US" w:eastAsia="zh-CN" w:bidi="ar-SA"/>
    </w:rPr>
  </w:style>
  <w:style w:type="paragraph" w:customStyle="1" w:styleId="106">
    <w:name w:val="aa"/>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8">
    <w:name w:val="Body text|1"/>
    <w:basedOn w:val="1"/>
    <w:qFormat/>
    <w:uiPriority w:val="0"/>
    <w:pPr>
      <w:spacing w:line="360" w:lineRule="auto"/>
      <w:ind w:firstLine="400"/>
    </w:pPr>
    <w:rPr>
      <w:rFonts w:ascii="宋体" w:hAnsi="宋体" w:cs="宋体"/>
      <w:sz w:val="22"/>
      <w:szCs w:val="22"/>
      <w:lang w:val="zh-TW" w:eastAsia="zh-TW" w:bidi="zh-TW"/>
    </w:rPr>
  </w:style>
  <w:style w:type="paragraph" w:customStyle="1" w:styleId="109">
    <w:name w:val="_Style 3"/>
    <w:basedOn w:val="1"/>
    <w:unhideWhenUsed/>
    <w:qFormat/>
    <w:uiPriority w:val="0"/>
    <w:pPr>
      <w:spacing w:beforeLines="0" w:afterLines="0"/>
      <w:ind w:firstLine="420" w:firstLineChars="200"/>
    </w:pPr>
    <w:rPr>
      <w:rFonts w:hint="default" w:ascii="Calibri" w:hAnsi="Calibri" w:eastAsia="宋体"/>
      <w:sz w:val="21"/>
      <w:szCs w:val="24"/>
    </w:rPr>
  </w:style>
  <w:style w:type="table" w:customStyle="1" w:styleId="110">
    <w:name w:val="Table Normal"/>
    <w:semiHidden/>
    <w:unhideWhenUsed/>
    <w:qFormat/>
    <w:uiPriority w:val="0"/>
    <w:tblPr>
      <w:tblCellMar>
        <w:top w:w="0" w:type="dxa"/>
        <w:left w:w="0" w:type="dxa"/>
        <w:bottom w:w="0" w:type="dxa"/>
        <w:right w:w="0" w:type="dxa"/>
      </w:tblCellMar>
    </w:tblPr>
  </w:style>
  <w:style w:type="paragraph" w:customStyle="1" w:styleId="111">
    <w:name w:val="Table Text"/>
    <w:basedOn w:val="1"/>
    <w:semiHidden/>
    <w:qFormat/>
    <w:uiPriority w:val="0"/>
    <w:rPr>
      <w:rFonts w:ascii="宋体" w:hAnsi="宋体" w:eastAsia="宋体" w:cs="宋体"/>
      <w:sz w:val="24"/>
      <w:szCs w:val="24"/>
      <w:lang w:val="en-US" w:eastAsia="en-US" w:bidi="ar-SA"/>
    </w:rPr>
  </w:style>
  <w:style w:type="paragraph" w:customStyle="1" w:styleId="112">
    <w:name w:val="正文空2字"/>
    <w:basedOn w:val="113"/>
    <w:qFormat/>
    <w:uiPriority w:val="0"/>
    <w:pPr>
      <w:widowControl w:val="0"/>
      <w:snapToGrid w:val="0"/>
      <w:spacing w:line="560" w:lineRule="exact"/>
      <w:ind w:firstLine="640" w:firstLineChars="200"/>
    </w:pPr>
    <w:rPr>
      <w:rFonts w:ascii="仿宋_GB2312" w:hAnsi="仿宋_GB2312" w:cs="仿宋_GB2312"/>
      <w:lang w:val="zh-TW"/>
    </w:rPr>
  </w:style>
  <w:style w:type="paragraph" w:customStyle="1" w:styleId="113">
    <w:name w:val="左对齐正文"/>
    <w:qFormat/>
    <w:uiPriority w:val="0"/>
    <w:rPr>
      <w:rFonts w:ascii="Calibri" w:hAnsi="Calibri" w:eastAsia="仿宋_GB2312" w:cs="Calibri"/>
      <w:kern w:val="2"/>
      <w:sz w:val="32"/>
      <w:szCs w:val="32"/>
      <w:lang w:val="en-US" w:eastAsia="zh-CN" w:bidi="ar-SA"/>
    </w:rPr>
  </w:style>
  <w:style w:type="paragraph" w:customStyle="1" w:styleId="11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15">
    <w:name w:val="[Normal]"/>
    <w:qFormat/>
    <w:uiPriority w:val="0"/>
    <w:rPr>
      <w:rFonts w:ascii="宋体" w:hAnsi="宋体" w:eastAsia="宋体" w:cs="Times New Roman"/>
      <w:sz w:val="24"/>
      <w:lang w:val="en-US" w:eastAsia="en-US" w:bidi="ar-SA"/>
    </w:rPr>
  </w:style>
  <w:style w:type="paragraph" w:customStyle="1" w:styleId="116">
    <w:name w:val="首行缩进"/>
    <w:basedOn w:val="1"/>
    <w:qFormat/>
    <w:uiPriority w:val="0"/>
    <w:pPr>
      <w:spacing w:line="360" w:lineRule="auto"/>
      <w:ind w:firstLine="480" w:firstLineChars="200"/>
    </w:pPr>
    <w:rPr>
      <w:sz w:val="24"/>
      <w:lang w:val="zh-CN"/>
    </w:rPr>
  </w:style>
  <w:style w:type="character" w:customStyle="1" w:styleId="117">
    <w:name w:val="font01"/>
    <w:basedOn w:val="40"/>
    <w:qFormat/>
    <w:uiPriority w:val="0"/>
    <w:rPr>
      <w:rFonts w:hint="eastAsia" w:ascii="微软雅黑" w:hAnsi="微软雅黑" w:eastAsia="微软雅黑" w:cs="微软雅黑"/>
      <w:color w:val="000000"/>
      <w:sz w:val="20"/>
      <w:szCs w:val="20"/>
      <w:u w:val="none"/>
    </w:rPr>
  </w:style>
  <w:style w:type="paragraph" w:customStyle="1" w:styleId="118">
    <w:name w:val="样式6"/>
    <w:basedOn w:val="12"/>
    <w:qFormat/>
    <w:uiPriority w:val="99"/>
    <w:pPr>
      <w:spacing w:line="360" w:lineRule="auto"/>
      <w:ind w:firstLine="200" w:firstLineChars="200"/>
      <w:jc w:val="left"/>
    </w:pPr>
    <w:rPr>
      <w:sz w:val="24"/>
    </w:rPr>
  </w:style>
  <w:style w:type="character" w:customStyle="1" w:styleId="119">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76</Pages>
  <Words>17005</Words>
  <Characters>18665</Characters>
  <Lines>1</Lines>
  <Paragraphs>1</Paragraphs>
  <TotalTime>13</TotalTime>
  <ScaleCrop>false</ScaleCrop>
  <LinksUpToDate>false</LinksUpToDate>
  <CharactersWithSpaces>18918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2023-02-03T08:05:00Z</dcterms:created>
  <dc:creator>Administrator</dc:creator>
  <cp:lastModifiedBy>菲儿</cp:lastModifiedBy>
  <cp:lastPrinted>2026-02-26T02:39:00Z</cp:lastPrinted>
  <dcterms:modified xsi:type="dcterms:W3CDTF">2026-04-23T02:36:40Z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B242C0022FA843569619E705BA33C5B8_13</vt:lpwstr>
  </property>
  <property fmtid="{D5CDD505-2E9C-101B-9397-08002B2CF9AE}" pid="4" name="KSOTemplateDocerSaveRecord">
    <vt:lpwstr>eyJoZGlkIjoiMTM2MDJjNDkzYjA4YWRiZDJlOGVkZWMzNmEwZmIwYjAiLCJ1c2VySWQiOiI0NzQ0NjI4MzMifQ==</vt:lpwstr>
  </property>
</Properties>
</file>