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ind w:firstLine="300"/>
        <w:spacing w:line="360" w:lineRule="auto"/>
        <w:rPr>
          <w:sz w:val="60"/>
          <w:szCs w:val="60"/>
        </w:rPr>
      </w:pPr>
      <w:r>
        <w:rPr>
          <w:sz w:val="60"/>
          <w:szCs w:val="60"/>
        </w:rPr>
      </w:r>
      <w:r/>
    </w:p>
    <w:p>
      <w:pPr>
        <w:pStyle w:val="866"/>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r/>
    </w:p>
    <w:p>
      <w:pPr>
        <w:pStyle w:val="866"/>
        <w:jc w:val="center"/>
        <w:rPr>
          <w:b/>
          <w:bCs/>
          <w:color w:val="000000" w:themeColor="text1"/>
          <w:sz w:val="60"/>
          <w:szCs w:val="60"/>
        </w:rPr>
      </w:pPr>
      <w:r>
        <w:rPr>
          <w:rFonts w:hint="eastAsia"/>
          <w:b/>
          <w:bCs/>
          <w:color w:val="000000" w:themeColor="text1"/>
          <w:sz w:val="60"/>
          <w:szCs w:val="60"/>
        </w:rPr>
        <w:t xml:space="preserve">公开</w:t>
      </w:r>
      <w:r>
        <w:rPr>
          <w:b/>
          <w:bCs/>
          <w:color w:val="000000" w:themeColor="text1"/>
          <w:sz w:val="60"/>
          <w:szCs w:val="60"/>
        </w:rPr>
        <w:t xml:space="preserve">招标文件</w:t>
      </w:r>
      <w:r>
        <w:rPr>
          <w:color w:val="000000" w:themeColor="text1"/>
        </w:rPr>
      </w:r>
      <w:r/>
    </w:p>
    <w:p>
      <w:pPr>
        <w:pStyle w:val="866"/>
        <w:jc w:val="center"/>
        <w:rPr>
          <w:b/>
          <w:bCs/>
          <w:color w:val="000000" w:themeColor="text1"/>
          <w:sz w:val="60"/>
          <w:szCs w:val="60"/>
        </w:rPr>
      </w:pPr>
      <w:r>
        <w:rPr>
          <w:b/>
          <w:bCs/>
          <w:color w:val="000000" w:themeColor="text1"/>
          <w:sz w:val="60"/>
          <w:szCs w:val="60"/>
        </w:rPr>
      </w:r>
      <w:r>
        <w:rPr>
          <w:color w:val="000000" w:themeColor="text1"/>
        </w:rPr>
      </w:r>
      <w:r/>
    </w:p>
    <w:p>
      <w:pPr>
        <w:pStyle w:val="866"/>
        <w:jc w:val="center"/>
        <w:spacing w:line="360" w:lineRule="auto"/>
        <w:rPr>
          <w:rFonts w:hint="eastAsia" w:eastAsia="宋体"/>
          <w:color w:val="000000" w:themeColor="text1"/>
          <w:sz w:val="60"/>
          <w:szCs w:val="60"/>
        </w:rPr>
      </w:pPr>
      <w:r>
        <w:rPr>
          <w:rFonts w:hint="eastAsia" w:eastAsia="宋体"/>
          <w:color w:val="000000" w:themeColor="text1"/>
          <w:sz w:val="60"/>
          <w:szCs w:val="60"/>
          <w:lang w:eastAsia="zh-CN"/>
        </w:rPr>
      </w:r>
      <w:r>
        <w:rPr>
          <w:color w:val="000000" w:themeColor="text1"/>
        </w:rPr>
      </w:r>
      <w:r/>
    </w:p>
    <w:p>
      <w:pPr>
        <w:pStyle w:val="866"/>
        <w:ind w:left="2832" w:hanging="1900"/>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lang w:eastAsia="zh-CN"/>
        </w:rPr>
        <w:t xml:space="preserve">等级医院评审指标和重点专科指标管理服务项目</w:t>
      </w:r>
      <w:r>
        <w:rPr>
          <w:color w:val="000000" w:themeColor="text1"/>
        </w:rPr>
      </w:r>
      <w:r/>
    </w:p>
    <w:p>
      <w:pPr>
        <w:pStyle w:val="866"/>
        <w:ind w:left="2832" w:hanging="1900"/>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项目编号/包号：</w:t>
      </w:r>
      <w:r>
        <w:rPr>
          <w:rFonts w:hint="eastAsia"/>
          <w:bCs/>
          <w:color w:val="000000" w:themeColor="text1"/>
          <w:sz w:val="36"/>
          <w:szCs w:val="36"/>
          <w:lang w:eastAsia="zh-CN"/>
        </w:rPr>
        <w:t xml:space="preserve">JSZC-320413-JTMS-G2026-0012</w:t>
      </w:r>
      <w:r>
        <w:rPr>
          <w:color w:val="000000" w:themeColor="text1"/>
        </w:rPr>
      </w:r>
      <w:r/>
    </w:p>
    <w:p>
      <w:pPr>
        <w:pStyle w:val="866"/>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lang w:eastAsia="zh-CN"/>
        </w:rPr>
        <w:t xml:space="preserve">常州市金坛第一人民医院</w:t>
      </w:r>
      <w:r>
        <w:rPr>
          <w:color w:val="000000" w:themeColor="text1"/>
        </w:rPr>
      </w:r>
      <w:r/>
    </w:p>
    <w:p>
      <w:pPr>
        <w:pStyle w:val="866"/>
        <w:ind w:left="2832" w:hanging="1900"/>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lang w:eastAsia="zh-CN"/>
        </w:rPr>
        <w:t xml:space="preserve">江苏铭硕全过程项目管理有限公司</w:t>
      </w:r>
      <w:r>
        <w:rPr>
          <w:bCs/>
          <w:color w:val="000000" w:themeColor="text1"/>
          <w:sz w:val="36"/>
          <w:szCs w:val="36"/>
        </w:rPr>
        <w:t xml:space="preserve"> </w:t>
      </w:r>
      <w:r>
        <w:rPr>
          <w:color w:val="000000" w:themeColor="text1"/>
        </w:rPr>
      </w:r>
      <w:r/>
    </w:p>
    <w:p>
      <w:pPr>
        <w:pStyle w:val="866"/>
        <w:jc w:val="left"/>
        <w:widowControl/>
        <w:rPr>
          <w:b/>
          <w:bCs/>
          <w:color w:val="000000" w:themeColor="text1"/>
          <w:sz w:val="44"/>
        </w:rPr>
      </w:pPr>
      <w:r>
        <w:rPr>
          <w:b/>
          <w:bCs/>
          <w:color w:val="000000" w:themeColor="text1"/>
          <w:sz w:val="44"/>
        </w:rPr>
        <w:br w:type="page" w:clear="all"/>
      </w:r>
      <w:r>
        <w:rPr>
          <w:color w:val="000000" w:themeColor="text1"/>
        </w:rPr>
      </w:r>
      <w:r/>
    </w:p>
    <w:p>
      <w:pPr>
        <w:pStyle w:val="866"/>
        <w:jc w:val="center"/>
        <w:spacing w:line="360" w:lineRule="auto"/>
        <w:rPr>
          <w:color w:val="000000" w:themeColor="text1"/>
        </w:rPr>
        <w:outlineLvl w:val="0"/>
      </w:pPr>
      <w:r>
        <w:rPr>
          <w:color w:val="000000" w:themeColor="text1"/>
        </w:rPr>
      </w:r>
      <w:bookmarkStart w:id="0" w:name="_Toc99301418"/>
      <w:r>
        <w:rPr>
          <w:b/>
          <w:color w:val="000000" w:themeColor="text1"/>
          <w:sz w:val="36"/>
          <w:szCs w:val="36"/>
        </w:rPr>
        <w:t xml:space="preserve">目      录</w:t>
      </w:r>
      <w:bookmarkEnd w:id="0"/>
      <w:r>
        <w:rPr>
          <w:color w:val="000000" w:themeColor="text1"/>
        </w:rPr>
      </w:r>
      <w:r/>
    </w:p>
    <w:p>
      <w:pPr>
        <w:pStyle w:val="866"/>
        <w:rPr>
          <w:color w:val="000000" w:themeColor="text1"/>
        </w:rPr>
      </w:pPr>
      <w:r>
        <w:rPr>
          <w:color w:val="000000" w:themeColor="text1"/>
        </w:rPr>
      </w:r>
      <w:r>
        <w:rPr>
          <w:color w:val="000000" w:themeColor="text1"/>
        </w:rPr>
      </w:r>
      <w:r/>
    </w:p>
    <w:p>
      <w:pPr>
        <w:pStyle w:val="919"/>
        <w:tabs>
          <w:tab w:val="left" w:pos="1050" w:leader="none"/>
          <w:tab w:val="right" w:pos="8937" w:leader="dot"/>
        </w:tabs>
        <w:rPr>
          <w:rFonts w:ascii="Calibri" w:hAnsi="Calibri"/>
          <w:b w:val="0"/>
          <w:color w:val="000000" w:themeColor="text1"/>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"_Toc99301419"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第一章   投标邀请</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_Toc99301419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3</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"_Toc99301420"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第二章   投标人须知</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_Toc99301420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6</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"_Toc99301421"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第三章   资</w:t>
      </w:r>
      <w:bookmarkStart w:id="1" w:name="_Hlt100754117"/>
      <w:r>
        <w:rPr>
          <w:rStyle w:val="943"/>
          <w:rFonts w:hint="eastAsia" w:ascii="宋体" w:hAnsi="宋体" w:eastAsia="宋体" w:cs="宋体"/>
          <w:b w:val="0"/>
          <w:bCs/>
          <w:color w:val="000000" w:themeColor="text1"/>
          <w:sz w:val="28"/>
          <w:szCs w:val="28"/>
        </w:rPr>
        <w:t xml:space="preserve">格</w:t>
      </w:r>
      <w:bookmarkEnd w:id="1"/>
      <w:r>
        <w:rPr>
          <w:rStyle w:val="943"/>
          <w:rFonts w:hint="eastAsia" w:ascii="宋体" w:hAnsi="宋体" w:eastAsia="宋体" w:cs="宋体"/>
          <w:b w:val="0"/>
          <w:bCs/>
          <w:color w:val="000000" w:themeColor="text1"/>
          <w:sz w:val="28"/>
          <w:szCs w:val="28"/>
        </w:rPr>
        <w:t xml:space="preserve">审查</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_Toc99301421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18</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"_Toc99301423"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第四章   评标程序、评标方法和评标标准</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_Toc99301423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19</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"_Toc99301424"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第五章   采购</w:t>
      </w:r>
      <w:bookmarkStart w:id="2" w:name="_Hlt100754103"/>
      <w:r>
        <w:rPr>
          <w:color w:val="000000" w:themeColor="text1"/>
        </w:rPr>
      </w:r>
      <w:bookmarkStart w:id="3" w:name="_Hlt100754102"/>
      <w:r>
        <w:rPr>
          <w:rStyle w:val="943"/>
          <w:rFonts w:hint="eastAsia" w:ascii="宋体" w:hAnsi="宋体" w:eastAsia="宋体" w:cs="宋体"/>
          <w:b w:val="0"/>
          <w:bCs/>
          <w:color w:val="000000" w:themeColor="text1"/>
          <w:sz w:val="28"/>
          <w:szCs w:val="28"/>
        </w:rPr>
        <w:t xml:space="preserve">需</w:t>
      </w:r>
      <w:bookmarkEnd w:id="2"/>
      <w:r>
        <w:rPr>
          <w:color w:val="000000" w:themeColor="text1"/>
        </w:rPr>
      </w:r>
      <w:bookmarkEnd w:id="3"/>
      <w:r>
        <w:rPr>
          <w:rStyle w:val="943"/>
          <w:rFonts w:hint="eastAsia" w:ascii="宋体" w:hAnsi="宋体" w:eastAsia="宋体" w:cs="宋体"/>
          <w:b w:val="0"/>
          <w:bCs/>
          <w:color w:val="000000" w:themeColor="text1"/>
          <w:sz w:val="28"/>
          <w:szCs w:val="28"/>
        </w:rPr>
        <w:t xml:space="preserve">求</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_Toc99301424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24</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hint="eastAsia" w:ascii="宋体" w:hAnsi="宋体" w:eastAsia="宋体" w:cs="宋体"/>
          <w:b w:val="0"/>
          <w:bCs/>
          <w:color w:val="000000" w:themeColor="text1"/>
          <w:sz w:val="28"/>
          <w:szCs w:val="28"/>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"_Toc99301425"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第六章   拟签订的合同文本</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_Toc99301425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27</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HYPERLINK \l "_Toc99301426" </w:instrText>
      </w:r>
      <w:r>
        <w:rPr>
          <w:rFonts w:hint="eastAsia" w:ascii="宋体" w:hAnsi="宋体" w:eastAsia="宋体" w:cs="宋体"/>
          <w:b w:val="0"/>
          <w:bCs/>
          <w:color w:val="000000" w:themeColor="text1"/>
          <w:sz w:val="28"/>
          <w:szCs w:val="28"/>
        </w:rPr>
        <w:fldChar w:fldCharType="separate"/>
      </w:r>
      <w:r>
        <w:rPr>
          <w:rStyle w:val="943"/>
          <w:rFonts w:hint="eastAsia" w:ascii="宋体" w:hAnsi="宋体" w:eastAsia="宋体" w:cs="宋体"/>
          <w:b w:val="0"/>
          <w:bCs/>
          <w:color w:val="000000" w:themeColor="text1"/>
          <w:sz w:val="28"/>
          <w:szCs w:val="28"/>
        </w:rPr>
        <w:t xml:space="preserve">第七章   投标文件格式</w:t>
      </w:r>
      <w:r>
        <w:rPr>
          <w:rFonts w:hint="eastAsia" w:ascii="宋体" w:hAnsi="宋体" w:eastAsia="宋体" w:cs="宋体"/>
          <w:b w:val="0"/>
          <w:bCs/>
          <w:color w:val="000000" w:themeColor="text1"/>
          <w:sz w:val="28"/>
          <w:szCs w:val="28"/>
        </w:rPr>
        <w:tab/>
      </w:r>
      <w:r>
        <w:rPr>
          <w:rFonts w:hint="eastAsia" w:ascii="宋体" w:hAnsi="宋体" w:eastAsia="宋体" w:cs="宋体"/>
          <w:b w:val="0"/>
          <w:bCs/>
          <w:color w:val="000000" w:themeColor="text1"/>
          <w:sz w:val="28"/>
          <w:szCs w:val="28"/>
        </w:rPr>
        <w:fldChar w:fldCharType="begin"/>
      </w:r>
      <w:r>
        <w:rPr>
          <w:rFonts w:hint="eastAsia" w:ascii="宋体" w:hAnsi="宋体" w:eastAsia="宋体" w:cs="宋体"/>
          <w:b w:val="0"/>
          <w:bCs/>
          <w:color w:val="000000" w:themeColor="text1"/>
          <w:sz w:val="28"/>
          <w:szCs w:val="28"/>
        </w:rPr>
        <w:instrText xml:space="preserve"> PAGEREF _Toc99301426 \h </w:instrText>
      </w:r>
      <w:r>
        <w:rPr>
          <w:rFonts w:hint="eastAsia" w:ascii="宋体" w:hAnsi="宋体" w:eastAsia="宋体" w:cs="宋体"/>
          <w:b w:val="0"/>
          <w:bCs/>
          <w:color w:val="000000" w:themeColor="text1"/>
          <w:sz w:val="28"/>
          <w:szCs w:val="28"/>
        </w:rPr>
        <w:fldChar w:fldCharType="separate"/>
      </w:r>
      <w:r>
        <w:rPr>
          <w:rFonts w:hint="eastAsia" w:ascii="宋体" w:hAnsi="宋体" w:eastAsia="宋体" w:cs="宋体"/>
          <w:b w:val="0"/>
          <w:bCs/>
          <w:color w:val="000000" w:themeColor="text1"/>
          <w:sz w:val="28"/>
          <w:szCs w:val="28"/>
        </w:rPr>
        <w:t xml:space="preserve">32</w:t>
      </w:r>
      <w:r>
        <w:rPr>
          <w:rFonts w:hint="eastAsia" w:ascii="宋体" w:hAnsi="宋体" w:eastAsia="宋体" w:cs="宋体"/>
          <w:b w:val="0"/>
          <w:bCs/>
          <w:color w:val="000000" w:themeColor="text1"/>
          <w:sz w:val="28"/>
          <w:szCs w:val="28"/>
        </w:rPr>
        <w:fldChar w:fldCharType="end"/>
      </w:r>
      <w:r>
        <w:rPr>
          <w:rFonts w:hint="eastAsia" w:ascii="宋体" w:hAnsi="宋体" w:eastAsia="宋体" w:cs="宋体"/>
          <w:b w:val="0"/>
          <w:bCs/>
          <w:color w:val="000000" w:themeColor="text1"/>
          <w:sz w:val="28"/>
          <w:szCs w:val="28"/>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color w:val="000000" w:themeColor="text1"/>
        </w:rPr>
      </w:r>
      <w:r/>
    </w:p>
    <w:p>
      <w:pPr>
        <w:pStyle w:val="866"/>
        <w:jc w:val="center"/>
        <w:keepLines w:val="0"/>
        <w:keepNext w:val="0"/>
        <w:pageBreakBefore w:val="0"/>
        <w:spacing w:line="400" w:lineRule="exact"/>
        <w:widowControl w:val="off"/>
        <w:rPr>
          <w:color w:val="000000" w:themeColor="text1"/>
          <w:sz w:val="32"/>
          <w:szCs w:val="32"/>
        </w:rPr>
        <w:outlineLvl w:val="0"/>
      </w:pPr>
      <w:r>
        <w:rPr>
          <w:color w:val="000000" w:themeColor="text1"/>
          <w:sz w:val="24"/>
        </w:rPr>
        <w:br w:type="page" w:clear="all"/>
      </w:r>
      <w:bookmarkStart w:id="4" w:name="_Toc99301419"/>
      <w:r>
        <w:rPr>
          <w:b/>
          <w:color w:val="000000" w:themeColor="text1"/>
          <w:sz w:val="36"/>
          <w:szCs w:val="36"/>
        </w:rPr>
        <w:t xml:space="preserve">第一章   投标邀请</w:t>
      </w:r>
      <w:bookmarkEnd w:id="4"/>
      <w:r>
        <w:rPr>
          <w:color w:val="000000" w:themeColor="text1"/>
        </w:rPr>
      </w:r>
      <w:r/>
    </w:p>
    <w:p>
      <w:pPr>
        <w:pStyle w:val="866"/>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5" w:name="_Toc28359079"/>
      <w:r>
        <w:rPr>
          <w:color w:val="000000" w:themeColor="text1"/>
        </w:rPr>
      </w:r>
      <w:bookmarkStart w:id="6" w:name="_Toc35393621"/>
      <w:r>
        <w:rPr>
          <w:color w:val="000000" w:themeColor="text1"/>
        </w:rPr>
      </w:r>
      <w:bookmarkStart w:id="7" w:name="_Toc28359002"/>
      <w:r>
        <w:rPr>
          <w:color w:val="000000" w:themeColor="text1"/>
        </w:rPr>
      </w:r>
      <w:bookmarkStart w:id="8" w:name="_Toc35393790"/>
      <w:r>
        <w:rPr>
          <w:color w:val="000000" w:themeColor="text1"/>
        </w:rPr>
      </w:r>
      <w:bookmarkStart w:id="9" w:name="_Hlk24379207"/>
      <w:r>
        <w:rPr>
          <w:rFonts w:hint="eastAsia" w:ascii="宋体" w:hAnsi="宋体" w:eastAsia="宋体" w:cs="宋体"/>
          <w:b/>
          <w:bCs/>
          <w:color w:val="000000" w:themeColor="text1"/>
          <w:sz w:val="24"/>
          <w:szCs w:val="24"/>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rFonts w:hint="eastAsia" w:ascii="宋体" w:hAnsi="宋体" w:eastAsia="宋体" w:cs="宋体"/>
          <w:b/>
          <w:bCs/>
          <w:color w:val="000000" w:themeColor="text1"/>
          <w:sz w:val="24"/>
          <w:szCs w:val="24"/>
          <w:lang w:val="en-US" w:eastAsia="zh-CN"/>
        </w:rPr>
        <w:t xml:space="preserve"> </w:t>
      </w:r>
      <w:r>
        <w:rPr>
          <w:color w:val="000000" w:themeColor="text1"/>
        </w:rPr>
      </w:r>
      <w:r/>
    </w:p>
    <w:p>
      <w:pPr>
        <w:pStyle w:val="866"/>
        <w:ind w:left="0" w:firstLine="24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lang w:eastAsia="zh-CN"/>
        </w:rPr>
        <w:t xml:space="preserve">JSZC-320413-JTMS-G2026-0012</w:t>
      </w:r>
      <w:r>
        <w:rPr>
          <w:color w:val="000000" w:themeColor="text1"/>
        </w:rPr>
      </w:r>
      <w:r/>
    </w:p>
    <w:p>
      <w:pPr>
        <w:pStyle w:val="866"/>
        <w:ind w:left="0" w:firstLine="24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等级医院评审指标和重点专科指标管理服务项目</w:t>
      </w:r>
      <w:r>
        <w:rPr>
          <w:color w:val="000000" w:themeColor="text1"/>
        </w:rPr>
      </w:r>
      <w:r/>
    </w:p>
    <w:p>
      <w:pPr>
        <w:pStyle w:val="866"/>
        <w:ind w:left="0" w:firstLine="240"/>
        <w:pageBreakBefore w:val="0"/>
        <w:spacing w:line="400" w:lineRule="exact"/>
        <w:rPr>
          <w:rFonts w:hint="eastAsia" w:ascii="宋体" w:hAnsi="宋体" w:eastAsia="宋体" w:cs="宋体"/>
          <w:color w:val="000000" w:themeColor="text1"/>
          <w:sz w:val="24"/>
          <w:szCs w:val="24"/>
        </w:rPr>
        <w:outlineLvl w:val="9"/>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lang w:val="en-US" w:eastAsia="zh-CN"/>
        </w:rPr>
        <w:t xml:space="preserve">180万元</w:t>
      </w:r>
      <w:r>
        <w:rPr>
          <w:rFonts w:hint="eastAsia" w:ascii="宋体" w:hAnsi="宋体" w:eastAsia="宋体" w:cs="宋体"/>
          <w:color w:val="000000" w:themeColor="text1"/>
          <w:sz w:val="24"/>
          <w:szCs w:val="24"/>
        </w:rPr>
        <w:t xml:space="preserve">、项目最高限价：</w:t>
      </w:r>
      <w:r>
        <w:rPr>
          <w:rFonts w:hint="eastAsia" w:ascii="宋体" w:hAnsi="宋体" w:eastAsia="宋体" w:cs="宋体"/>
          <w:bCs/>
          <w:color w:val="000000" w:themeColor="text1"/>
          <w:sz w:val="24"/>
          <w:szCs w:val="24"/>
          <w:highlight w:val="none"/>
          <w:u w:val="single"/>
          <w:lang w:val="en-US" w:eastAsia="zh-CN"/>
        </w:rPr>
        <w:t xml:space="preserve">1800000</w:t>
      </w:r>
      <w:r>
        <w:rPr>
          <w:rFonts w:hint="eastAsia" w:ascii="宋体" w:hAnsi="宋体" w:eastAsia="宋体" w:cs="宋体"/>
          <w:color w:val="000000" w:themeColor="text1"/>
          <w:sz w:val="24"/>
          <w:szCs w:val="24"/>
          <w:highlight w:val="none"/>
          <w:u w:val="single"/>
          <w:lang w:val="en-US" w:eastAsia="zh-CN"/>
        </w:rPr>
        <w:t xml:space="preserve">元</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color w:val="000000" w:themeColor="text1"/>
          <w:sz w:val="24"/>
          <w:szCs w:val="24"/>
          <w:lang w:eastAsia="zh-CN"/>
        </w:rPr>
        <w:t xml:space="preserve">。</w:t>
      </w:r>
      <w:r>
        <w:rPr>
          <w:color w:val="000000" w:themeColor="text1"/>
        </w:rPr>
      </w:r>
      <w:r/>
    </w:p>
    <w:p>
      <w:pPr>
        <w:pStyle w:val="866"/>
        <w:ind w:left="0" w:firstLine="24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4.采购需求：</w:t>
      </w:r>
      <w:r>
        <w:rPr>
          <w:color w:val="000000" w:themeColor="text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921"/>
        <w:gridCol w:w="2163"/>
        <w:gridCol w:w="911"/>
        <w:gridCol w:w="3080"/>
      </w:tblGrid>
      <w:tr>
        <w:trPr>
          <w:trHeight w:val="590"/>
        </w:trPr>
        <w:tc>
          <w:tcPr>
            <w:tcW w:w="378" w:type="dxa"/>
            <w:vAlign w:val="center"/>
            <w:textDirection w:val="lrTb"/>
            <w:noWrap w:val="false"/>
          </w:tcPr>
          <w:p>
            <w:pPr>
              <w:pStyle w:val="866"/>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包号</w:t>
            </w:r>
            <w:r>
              <w:rPr>
                <w:color w:val="000000" w:themeColor="text1"/>
              </w:rPr>
            </w:r>
            <w:r/>
          </w:p>
        </w:tc>
        <w:tc>
          <w:tcPr>
            <w:tcW w:w="1487" w:type="dxa"/>
            <w:vAlign w:val="center"/>
            <w:textDirection w:val="lrTb"/>
            <w:noWrap w:val="false"/>
          </w:tcPr>
          <w:p>
            <w:pPr>
              <w:pStyle w:val="866"/>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101" w:type="dxa"/>
            <w:vAlign w:val="center"/>
            <w:textDirection w:val="lrTb"/>
            <w:noWrap w:val="false"/>
          </w:tcPr>
          <w:p>
            <w:pPr>
              <w:pStyle w:val="866"/>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采购包预算金额</w:t>
            </w:r>
            <w:r>
              <w:rPr>
                <w:color w:val="000000" w:themeColor="text1"/>
              </w:rPr>
            </w:r>
            <w:r/>
          </w:p>
        </w:tc>
        <w:tc>
          <w:tcPr>
            <w:tcW w:w="464" w:type="dxa"/>
            <w:vAlign w:val="center"/>
            <w:textDirection w:val="lrTb"/>
            <w:noWrap w:val="false"/>
          </w:tcPr>
          <w:p>
            <w:pPr>
              <w:pStyle w:val="866"/>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数量</w:t>
            </w:r>
            <w:r>
              <w:rPr>
                <w:color w:val="000000" w:themeColor="text1"/>
              </w:rPr>
            </w:r>
            <w:r/>
          </w:p>
        </w:tc>
        <w:tc>
          <w:tcPr>
            <w:tcW w:w="1568" w:type="dxa"/>
            <w:vAlign w:val="center"/>
            <w:textDirection w:val="lrTb"/>
            <w:noWrap w:val="false"/>
          </w:tcPr>
          <w:p>
            <w:pPr>
              <w:pStyle w:val="866"/>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810"/>
        </w:trPr>
        <w:tc>
          <w:tcPr>
            <w:tcW w:w="378" w:type="dxa"/>
            <w:vAlign w:val="center"/>
            <w:textDirection w:val="lrTb"/>
            <w:noWrap w:val="false"/>
          </w:tcPr>
          <w:p>
            <w:pPr>
              <w:pStyle w:val="866"/>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rPr>
              <w:t xml:space="preserve">01</w:t>
            </w:r>
            <w:r>
              <w:rPr>
                <w:color w:val="000000" w:themeColor="text1"/>
              </w:rPr>
            </w:r>
            <w:r/>
          </w:p>
        </w:tc>
        <w:tc>
          <w:tcPr>
            <w:tcW w:w="1487" w:type="dxa"/>
            <w:vAlign w:val="center"/>
            <w:textDirection w:val="lrTb"/>
            <w:noWrap w:val="false"/>
          </w:tcPr>
          <w:p>
            <w:pPr>
              <w:pStyle w:val="866"/>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eastAsia="zh-CN"/>
              </w:rPr>
              <w:t xml:space="preserve">等级医院评审指标和重点专科指标管理服务项目</w:t>
            </w:r>
            <w:r>
              <w:rPr>
                <w:color w:val="000000" w:themeColor="text1"/>
              </w:rPr>
            </w:r>
            <w:r/>
          </w:p>
        </w:tc>
        <w:tc>
          <w:tcPr>
            <w:tcW w:w="1101" w:type="dxa"/>
            <w:vAlign w:val="center"/>
            <w:textDirection w:val="lrTb"/>
            <w:noWrap w:val="false"/>
          </w:tcPr>
          <w:p>
            <w:pPr>
              <w:pStyle w:val="866"/>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180万元</w:t>
            </w:r>
            <w:r>
              <w:rPr>
                <w:color w:val="000000" w:themeColor="text1"/>
              </w:rPr>
            </w:r>
            <w:r/>
          </w:p>
        </w:tc>
        <w:tc>
          <w:tcPr>
            <w:tcW w:w="464" w:type="dxa"/>
            <w:vAlign w:val="center"/>
            <w:textDirection w:val="lrTb"/>
            <w:noWrap w:val="false"/>
          </w:tcPr>
          <w:p>
            <w:pPr>
              <w:pStyle w:val="866"/>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1项</w:t>
            </w:r>
            <w:r>
              <w:rPr>
                <w:color w:val="000000" w:themeColor="text1"/>
              </w:rPr>
            </w:r>
            <w:r/>
          </w:p>
        </w:tc>
        <w:tc>
          <w:tcPr>
            <w:tcW w:w="1568" w:type="dxa"/>
            <w:vAlign w:val="center"/>
            <w:textDirection w:val="lrTb"/>
            <w:noWrap w:val="false"/>
          </w:tcPr>
          <w:p>
            <w:pPr>
              <w:pStyle w:val="866"/>
              <w:ind w:left="0"/>
              <w:jc w:val="center"/>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866"/>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5.合同履行期限：</w:t>
      </w:r>
      <w:r>
        <w:rPr>
          <w:rFonts w:hint="eastAsia" w:ascii="宋体" w:hAnsi="宋体" w:eastAsia="宋体" w:cs="宋体"/>
          <w:bCs/>
          <w:color w:val="000000" w:themeColor="text1"/>
          <w:sz w:val="24"/>
          <w:szCs w:val="24"/>
          <w:highlight w:val="none"/>
          <w:u w:val="single"/>
          <w:lang w:val="en-US" w:eastAsia="zh-CN"/>
        </w:rPr>
        <w:t xml:space="preserve">自合同签订之日起至2027年6月30日前，实现初步评审条件；整体项目需在2027年12月31日前完成交付。</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10" w:name="_Toc35393622"/>
      <w:r>
        <w:rPr>
          <w:color w:val="000000" w:themeColor="text1"/>
        </w:rPr>
      </w:r>
      <w:bookmarkStart w:id="11" w:name="_Toc35393791"/>
      <w:r>
        <w:rPr>
          <w:color w:val="000000" w:themeColor="text1"/>
        </w:rPr>
      </w:r>
      <w:bookmarkStart w:id="12" w:name="_Toc28359080"/>
      <w:r>
        <w:rPr>
          <w:color w:val="000000" w:themeColor="text1"/>
        </w:rPr>
      </w:r>
      <w:bookmarkStart w:id="13" w:name="_Toc28359003"/>
      <w:r>
        <w:rPr>
          <w:rFonts w:hint="eastAsia" w:ascii="宋体" w:hAnsi="宋体" w:eastAsia="宋体" w:cs="宋体"/>
          <w:b/>
          <w:bCs/>
          <w:color w:val="000000" w:themeColor="text1"/>
          <w:sz w:val="24"/>
          <w:szCs w:val="24"/>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color w:val="000000" w:themeColor="text1"/>
        </w:rPr>
      </w:r>
      <w:bookmarkStart w:id="14" w:name="_Toc28359004"/>
      <w:r>
        <w:rPr>
          <w:color w:val="000000" w:themeColor="text1"/>
        </w:rPr>
      </w:r>
      <w:bookmarkStart w:id="15" w:name="_Toc28359081"/>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2.1 中小企业政策</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 □小微企业  采购。即：提供的货物全部由符合政策要求的中小/小微企业制造、服务全部由符合政策要求的中小/小微企业承接。</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2.2 其它落实政府采购政策的资格要求（如有）：</w:t>
      </w:r>
      <w:r>
        <w:rPr>
          <w:rFonts w:hint="eastAsia" w:ascii="宋体" w:hAnsi="宋体" w:eastAsia="宋体" w:cs="宋体"/>
          <w:color w:val="000000" w:themeColor="text1"/>
          <w:sz w:val="24"/>
          <w:szCs w:val="24"/>
          <w:u w:val="single"/>
          <w:lang w:val="en-US" w:eastAsia="zh-CN"/>
        </w:rPr>
        <w:t xml:space="preserve">   /   </w:t>
      </w:r>
      <w:r>
        <w:rPr>
          <w:rFonts w:hint="eastAsia" w:ascii="宋体" w:hAnsi="宋体" w:eastAsia="宋体" w:cs="宋体"/>
          <w:color w:val="000000" w:themeColor="text1"/>
          <w:sz w:val="24"/>
          <w:szCs w:val="24"/>
        </w:rPr>
        <w:t xml:space="preserve">。</w:t>
      </w:r>
      <w:r>
        <w:rPr>
          <w:color w:val="000000" w:themeColor="text1"/>
        </w:rPr>
      </w:r>
      <w:r/>
    </w:p>
    <w:p>
      <w:pPr>
        <w:pStyle w:val="866"/>
        <w:ind w:left="0" w:firstLine="480"/>
        <w:pageBreakBefore w:val="0"/>
        <w:spacing w:line="400" w:lineRule="exact"/>
        <w:rPr>
          <w:rFonts w:hint="eastAsia" w:ascii="宋体" w:hAnsi="宋体" w:eastAsia="宋体" w:cs="宋体"/>
          <w:i/>
          <w:iCs/>
          <w:color w:val="000000" w:themeColor="text1"/>
          <w:sz w:val="24"/>
          <w:szCs w:val="24"/>
          <w:u w:val="single"/>
        </w:rPr>
        <w:outlineLvl w:val="9"/>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866"/>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3.1本项目是否接受分支机构参与投标：</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866"/>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866"/>
        <w:ind w:firstLine="480"/>
        <w:keepLines w:val="0"/>
        <w:keepNext w:val="0"/>
        <w:pageBreakBefore w:val="0"/>
        <w:spacing w:line="400" w:lineRule="exact"/>
        <w:shd w:val="clear" w:color="auto" w:fill="ffffff"/>
        <w:widowControl/>
        <w:rPr>
          <w:rFonts w:hint="eastAsia" w:ascii="宋体" w:hAnsi="宋体" w:eastAsia="宋体" w:cs="宋体"/>
          <w:color w:val="000000" w:themeColor="text1"/>
          <w:sz w:val="24"/>
          <w:szCs w:val="24"/>
          <w:highlight w:val="yellow"/>
          <w:u w:val="single"/>
        </w:rPr>
        <w:outlineLvl w:val="9"/>
      </w:pPr>
      <w:r>
        <w:rPr>
          <w:rFonts w:hint="eastAsia" w:ascii="宋体" w:hAnsi="宋体" w:eastAsia="宋体" w:cs="宋体"/>
          <w:color w:val="000000" w:themeColor="text1"/>
          <w:sz w:val="24"/>
          <w:szCs w:val="24"/>
          <w:highlight w:val="none"/>
        </w:rPr>
        <w:t xml:space="preserve">3.3其他特定资格要求：</w:t>
      </w:r>
      <w:r>
        <w:rPr>
          <w:rFonts w:hint="eastAsia" w:ascii="宋体" w:hAnsi="宋体" w:eastAsia="宋体" w:cs="宋体"/>
          <w:color w:val="000000" w:themeColor="text1"/>
          <w:sz w:val="24"/>
          <w:szCs w:val="24"/>
          <w:highlight w:val="none"/>
          <w:u w:val="single"/>
          <w:lang w:eastAsia="zh-CN"/>
        </w:rPr>
        <w:t xml:space="preserve">无</w:t>
      </w:r>
      <w:r>
        <w:rPr>
          <w:color w:val="000000" w:themeColor="text1"/>
        </w:rPr>
      </w:r>
      <w:r/>
    </w:p>
    <w:p>
      <w:pPr>
        <w:pStyle w:val="866"/>
        <w:ind w:left="0"/>
        <w:jc w:val="left"/>
        <w:pageBreakBefore w:val="0"/>
        <w:spacing w:before="0" w:line="400" w:lineRule="exact"/>
        <w:widowControl/>
        <w:rPr>
          <w:rFonts w:hint="eastAsia" w:ascii="宋体" w:hAnsi="宋体" w:eastAsia="宋体" w:cs="宋体"/>
          <w:color w:val="000000" w:themeColor="text1"/>
          <w:sz w:val="24"/>
          <w:szCs w:val="24"/>
        </w:rPr>
        <w:outlineLvl w:val="9"/>
      </w:pPr>
      <w:r>
        <w:rPr>
          <w:color w:val="000000" w:themeColor="text1"/>
        </w:rPr>
      </w:r>
      <w:bookmarkEnd w:id="14"/>
      <w:r>
        <w:rPr>
          <w:color w:val="000000" w:themeColor="text1"/>
        </w:rPr>
      </w:r>
      <w:bookmarkEnd w:id="15"/>
      <w:r>
        <w:rPr>
          <w:color w:val="000000" w:themeColor="text1"/>
        </w:rPr>
      </w:r>
      <w:bookmarkStart w:id="16" w:name="_Toc35393623"/>
      <w:r>
        <w:rPr>
          <w:color w:val="000000" w:themeColor="text1"/>
        </w:rPr>
      </w:r>
      <w:bookmarkStart w:id="17" w:name="_Toc35393792"/>
      <w:r>
        <w:rPr>
          <w:rFonts w:hint="eastAsia" w:ascii="宋体" w:hAnsi="宋体" w:eastAsia="宋体" w:cs="宋体"/>
          <w:b/>
          <w:bCs/>
          <w:color w:val="000000" w:themeColor="text1"/>
          <w:sz w:val="24"/>
          <w:szCs w:val="24"/>
        </w:rPr>
        <w:t xml:space="preserve">三、获取招标文件</w:t>
      </w:r>
      <w:bookmarkEnd w:id="16"/>
      <w:r>
        <w:rPr>
          <w:color w:val="000000" w:themeColor="text1"/>
        </w:rPr>
      </w:r>
      <w:bookmarkEnd w:id="17"/>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w:t>
      </w:r>
      <w:r>
        <w:rPr>
          <w:rFonts w:hint="eastAsia" w:ascii="宋体" w:hAnsi="宋体" w:eastAsia="宋体" w:cs="宋体"/>
          <w:color w:val="000000" w:themeColor="text1"/>
          <w:sz w:val="24"/>
          <w:szCs w:val="24"/>
          <w:u w:val="single"/>
          <w:lang w:val="en-US" w:eastAsia="zh-CN" w:bidi="ar"/>
        </w:rPr>
        <w:t xml:space="preserve">5个工作日</w:t>
      </w:r>
      <w:r>
        <w:rPr>
          <w:rFonts w:hint="eastAsia" w:ascii="宋体" w:hAnsi="宋体" w:eastAsia="宋体" w:cs="宋体"/>
          <w:color w:val="000000" w:themeColor="text1"/>
          <w:sz w:val="24"/>
          <w:szCs w:val="24"/>
          <w:u w:val="single"/>
          <w:lang w:eastAsia="zh-CN" w:bidi="ar"/>
        </w:rPr>
        <w:t xml:space="preserve">。</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4.售价：0元。</w:t>
      </w:r>
      <w:r>
        <w:rPr>
          <w:color w:val="000000" w:themeColor="text1"/>
        </w:rPr>
      </w:r>
      <w:r/>
    </w:p>
    <w:p>
      <w:pPr>
        <w:pStyle w:val="866"/>
        <w:ind w:left="0"/>
        <w:jc w:val="left"/>
        <w:pageBreakBefore w:val="0"/>
        <w:spacing w:before="0" w:line="400" w:lineRule="exact"/>
        <w:widowControl/>
        <w:rPr>
          <w:rFonts w:hint="eastAsia" w:ascii="宋体" w:hAnsi="宋体" w:eastAsia="宋体" w:cs="宋体"/>
          <w:b/>
          <w:bCs/>
          <w:color w:val="000000" w:themeColor="text1"/>
          <w:sz w:val="24"/>
          <w:szCs w:val="24"/>
        </w:rPr>
        <w:outlineLvl w:val="9"/>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rFonts w:hint="eastAsia" w:ascii="宋体" w:hAnsi="宋体" w:eastAsia="宋体" w:cs="宋体"/>
          <w:b/>
          <w:bCs/>
          <w:color w:val="000000" w:themeColor="text1"/>
          <w:sz w:val="24"/>
          <w:szCs w:val="24"/>
        </w:rPr>
        <w:t xml:space="preserve">四、提交投标文件</w:t>
      </w:r>
      <w:bookmarkEnd w:id="18"/>
      <w:r>
        <w:rPr>
          <w:color w:val="000000" w:themeColor="text1"/>
        </w:rPr>
      </w:r>
      <w:bookmarkEnd w:id="19"/>
      <w:r>
        <w:rPr>
          <w:rFonts w:hint="eastAsia" w:ascii="宋体" w:hAnsi="宋体" w:eastAsia="宋体" w:cs="宋体"/>
          <w:b/>
          <w:bCs/>
          <w:color w:val="000000" w:themeColor="text1"/>
          <w:sz w:val="24"/>
          <w:szCs w:val="24"/>
        </w:rPr>
        <w:t xml:space="preserve">截止时间、开标时间和地点</w:t>
      </w:r>
      <w:bookmarkEnd w:id="20"/>
      <w:r>
        <w:rPr>
          <w:color w:val="000000" w:themeColor="text1"/>
        </w:rPr>
      </w:r>
      <w:bookmarkEnd w:id="21"/>
      <w:r>
        <w:rPr>
          <w:color w:val="000000" w:themeColor="text1"/>
        </w:rPr>
      </w:r>
      <w:r/>
    </w:p>
    <w:p>
      <w:pPr>
        <w:pStyle w:val="866"/>
        <w:ind w:left="0" w:firstLine="480"/>
        <w:pageBreakBefore w:val="0"/>
        <w:spacing w:line="400" w:lineRule="exact"/>
        <w:rPr>
          <w:rFonts w:hint="eastAsia" w:ascii="宋体" w:hAnsi="宋体" w:eastAsia="宋体" w:cs="宋体"/>
          <w:iCs/>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2026年6月15</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14</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30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866"/>
        <w:ind w:left="0" w:firstLine="480"/>
        <w:jc w:val="left"/>
        <w:pageBreakBefore w:val="0"/>
        <w:spacing w:before="0" w:line="400" w:lineRule="exact"/>
        <w:rPr>
          <w:rFonts w:hint="eastAsia" w:ascii="宋体" w:hAnsi="宋体" w:eastAsia="宋体" w:cs="宋体"/>
          <w:b w:val="0"/>
          <w:color w:val="000000" w:themeColor="text1"/>
          <w:sz w:val="24"/>
          <w:szCs w:val="24"/>
        </w:rPr>
        <w:outlineLvl w:val="9"/>
      </w:pPr>
      <w:r>
        <w:rPr>
          <w:rFonts w:hint="eastAsia" w:ascii="宋体" w:hAnsi="宋体" w:eastAsia="宋体" w:cs="宋体"/>
          <w:b w:val="0"/>
          <w:color w:val="000000" w:themeColor="text1"/>
          <w:sz w:val="24"/>
          <w:szCs w:val="24"/>
          <w:lang w:val="en-US" w:eastAsia="zh-CN" w:bidi="ar"/>
        </w:rPr>
        <w:t xml:space="preserve">2.地点：</w:t>
      </w:r>
      <w:bookmarkStart w:id="22" w:name="_Toc35393625"/>
      <w:r>
        <w:rPr>
          <w:color w:val="000000" w:themeColor="text1"/>
        </w:rPr>
      </w:r>
      <w:bookmarkStart w:id="23" w:name="_Toc35393794"/>
      <w:r>
        <w:rPr>
          <w:color w:val="000000" w:themeColor="text1"/>
        </w:rPr>
      </w:r>
      <w:bookmarkStart w:id="24" w:name="_Toc28359084"/>
      <w:r>
        <w:rPr>
          <w:color w:val="000000" w:themeColor="text1"/>
        </w:rPr>
      </w:r>
      <w:bookmarkStart w:id="25" w:name="_Toc28359007"/>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866"/>
        <w:ind w:left="0"/>
        <w:jc w:val="left"/>
        <w:pageBreakBefore w:val="0"/>
        <w:spacing w:before="0" w:line="400" w:lineRule="exact"/>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866"/>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26" w:name="_Toc35393795"/>
      <w:r>
        <w:rPr>
          <w:color w:val="000000" w:themeColor="text1"/>
        </w:rPr>
      </w:r>
      <w:bookmarkStart w:id="27" w:name="_Toc35393626"/>
      <w:r>
        <w:rPr>
          <w:rFonts w:hint="eastAsia" w:ascii="宋体" w:hAnsi="宋体" w:eastAsia="宋体" w:cs="宋体"/>
          <w:b/>
          <w:bCs/>
          <w:color w:val="000000" w:themeColor="text1"/>
          <w:sz w:val="24"/>
          <w:szCs w:val="24"/>
        </w:rPr>
        <w:t xml:space="preserve">六、其他补充事宜</w:t>
      </w:r>
      <w:bookmarkEnd w:id="26"/>
      <w:r>
        <w:rPr>
          <w:color w:val="000000" w:themeColor="text1"/>
        </w:rPr>
      </w:r>
      <w:bookmarkEnd w:id="27"/>
      <w:r>
        <w:rPr>
          <w:color w:val="000000" w:themeColor="text1"/>
        </w:rPr>
      </w:r>
      <w:r/>
    </w:p>
    <w:p>
      <w:pPr>
        <w:pStyle w:val="866"/>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2.1办理CA认证证书</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2.2注册</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2.3控件、客户端下载</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2.7电子开标</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2.8注意事项</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color w:val="000000" w:themeColor="text1"/>
        </w:rPr>
      </w:r>
      <w:r/>
    </w:p>
    <w:p>
      <w:pPr>
        <w:pStyle w:val="866"/>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866"/>
        <w:ind w:left="0"/>
        <w:jc w:val="left"/>
        <w:pageBreakBefore w:val="0"/>
        <w:spacing w:before="0" w:line="400" w:lineRule="exact"/>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rPr>
        <w:t xml:space="preserve">七、对本次采购提出询问，请按以下方式联系。</w:t>
      </w:r>
      <w:r>
        <w:rPr>
          <w:color w:val="000000" w:themeColor="text1"/>
        </w:rPr>
      </w:r>
      <w:r/>
    </w:p>
    <w:p>
      <w:pPr>
        <w:pStyle w:val="866"/>
        <w:ind w:left="0"/>
        <w:jc w:val="left"/>
        <w:pageBreakBefore w:val="0"/>
        <w:spacing w:line="400" w:lineRule="exact"/>
        <w:widowControl/>
        <w:rPr>
          <w:rFonts w:hint="eastAsia" w:ascii="宋体" w:hAnsi="宋体" w:eastAsia="宋体" w:cs="宋体"/>
          <w:b/>
          <w:color w:val="000000" w:themeColor="text1"/>
          <w:sz w:val="24"/>
          <w:szCs w:val="24"/>
        </w:rPr>
        <w:outlineLvl w:val="9"/>
      </w:pPr>
      <w:r>
        <w:rPr>
          <w:rFonts w:hint="eastAsia" w:ascii="宋体" w:hAnsi="宋体" w:eastAsia="宋体" w:cs="宋体"/>
          <w:color w:val="000000" w:themeColor="text1"/>
          <w:sz w:val="24"/>
          <w:szCs w:val="24"/>
        </w:rPr>
        <w:t xml:space="preserve">　　　</w:t>
      </w:r>
      <w:r>
        <w:rPr>
          <w:rFonts w:hint="eastAsia" w:ascii="宋体" w:hAnsi="宋体" w:eastAsia="宋体" w:cs="宋体"/>
          <w:b/>
          <w:color w:val="000000" w:themeColor="text1"/>
          <w:sz w:val="24"/>
          <w:szCs w:val="24"/>
        </w:rPr>
        <w:t xml:space="preserve">1.采购人信息</w:t>
      </w:r>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color w:val="000000" w:themeColor="text1"/>
        </w:rPr>
      </w:r>
      <w:bookmarkStart w:id="28" w:name="_Toc28359086"/>
      <w:r>
        <w:rPr>
          <w:color w:val="000000" w:themeColor="text1"/>
        </w:rPr>
      </w:r>
      <w:bookmarkStart w:id="29" w:name="_Toc28359009"/>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常州市金坛第一人民医院</w:t>
      </w:r>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val="zh-TW" w:eastAsia="zh-CN"/>
        </w:rPr>
        <w:t xml:space="preserve">常州市金坛区金坛大道500号</w:t>
      </w:r>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0519-82885505</w:t>
      </w:r>
      <w:r>
        <w:rPr>
          <w:color w:val="000000" w:themeColor="text1"/>
        </w:rPr>
      </w:r>
      <w:r/>
    </w:p>
    <w:p>
      <w:pPr>
        <w:pStyle w:val="866"/>
        <w:ind w:left="479" w:firstLine="181"/>
        <w:jc w:val="left"/>
        <w:pageBreakBefore w:val="0"/>
        <w:spacing w:line="400" w:lineRule="exact"/>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rPr>
        <w:t xml:space="preserve">2.采购代理机构信息</w:t>
      </w:r>
      <w:bookmarkEnd w:id="28"/>
      <w:r>
        <w:rPr>
          <w:color w:val="000000" w:themeColor="text1"/>
        </w:rPr>
      </w:r>
      <w:bookmarkEnd w:id="29"/>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color w:val="000000" w:themeColor="text1"/>
        </w:rPr>
      </w:r>
      <w:bookmarkStart w:id="30" w:name="_Toc28359010"/>
      <w:r>
        <w:rPr>
          <w:color w:val="000000" w:themeColor="text1"/>
        </w:rPr>
      </w:r>
      <w:bookmarkStart w:id="31" w:name="_Toc28359087"/>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江苏铭硕全过程项目管理有限公司</w:t>
      </w:r>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常州市金坛区金鑫路165号中景A座8楼809室</w:t>
      </w:r>
      <w:r>
        <w:rPr>
          <w:color w:val="000000" w:themeColor="text1"/>
        </w:rPr>
      </w:r>
      <w:r/>
    </w:p>
    <w:p>
      <w:pPr>
        <w:pStyle w:val="866"/>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0519-82618969</w:t>
      </w:r>
      <w:r>
        <w:rPr>
          <w:color w:val="000000" w:themeColor="text1"/>
        </w:rPr>
      </w:r>
      <w:r/>
    </w:p>
    <w:p>
      <w:pPr>
        <w:pStyle w:val="866"/>
        <w:ind w:left="0" w:firstLine="723"/>
        <w:pageBreakBefore w:val="0"/>
        <w:spacing w:line="400" w:lineRule="exact"/>
        <w:rPr>
          <w:rFonts w:hint="eastAsia" w:ascii="宋体" w:hAnsi="宋体" w:eastAsia="宋体" w:cs="宋体"/>
          <w:b/>
          <w:color w:val="000000" w:themeColor="text1"/>
          <w:sz w:val="24"/>
          <w:szCs w:val="24"/>
          <w:u w:val="single"/>
        </w:rPr>
        <w:outlineLvl w:val="9"/>
      </w:pPr>
      <w:r>
        <w:rPr>
          <w:rFonts w:hint="eastAsia" w:ascii="宋体" w:hAnsi="宋体" w:eastAsia="宋体" w:cs="宋体"/>
          <w:b/>
          <w:color w:val="000000" w:themeColor="text1"/>
          <w:sz w:val="24"/>
          <w:szCs w:val="24"/>
        </w:rPr>
        <w:t xml:space="preserve">3.项目联系方式</w:t>
      </w:r>
      <w:bookmarkEnd w:id="30"/>
      <w:r>
        <w:rPr>
          <w:color w:val="000000" w:themeColor="text1"/>
        </w:rPr>
      </w:r>
      <w:bookmarkEnd w:id="31"/>
      <w:r>
        <w:rPr>
          <w:color w:val="000000" w:themeColor="text1"/>
        </w:rPr>
      </w:r>
      <w:r/>
    </w:p>
    <w:p>
      <w:pPr>
        <w:pStyle w:val="906"/>
        <w:ind w:left="0" w:firstLine="720"/>
        <w:pageBreakBefore w:val="0"/>
        <w:spacing w:line="400" w:lineRule="exact"/>
        <w:rPr>
          <w:rFonts w:hint="eastAsia" w:hAnsi="宋体" w:eastAsia="宋体" w:cs="宋体"/>
          <w:color w:val="000000" w:themeColor="text1"/>
          <w:sz w:val="24"/>
          <w:szCs w:val="24"/>
          <w:u w:val="none"/>
        </w:rPr>
        <w:outlineLvl w:val="9"/>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lang w:eastAsia="zh-CN"/>
        </w:rPr>
        <w:t xml:space="preserve">华女士</w:t>
      </w:r>
      <w:r>
        <w:rPr>
          <w:rFonts w:hint="eastAsia" w:hAnsi="宋体" w:eastAsia="宋体" w:cs="宋体"/>
          <w:color w:val="000000" w:themeColor="text1"/>
          <w:sz w:val="24"/>
          <w:szCs w:val="24"/>
          <w:u w:val="single"/>
          <w:lang w:val="en-US" w:eastAsia="zh-CN"/>
        </w:rPr>
        <w:t xml:space="preserve">  </w:t>
      </w:r>
      <w:r>
        <w:rPr>
          <w:rFonts w:hint="eastAsia" w:hAnsi="宋体" w:eastAsia="宋体" w:cs="宋体"/>
          <w:color w:val="000000" w:themeColor="text1"/>
          <w:sz w:val="24"/>
          <w:szCs w:val="24"/>
          <w:u w:val="none"/>
          <w:lang w:val="en-US" w:eastAsia="zh-CN"/>
        </w:rPr>
        <w:t xml:space="preserve">    </w:t>
      </w:r>
      <w:r>
        <w:rPr>
          <w:color w:val="000000" w:themeColor="text1"/>
        </w:rPr>
      </w:r>
      <w:r/>
    </w:p>
    <w:p>
      <w:pPr>
        <w:pStyle w:val="906"/>
        <w:ind w:left="0" w:firstLine="72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0519-82618969</w:t>
      </w:r>
      <w:r>
        <w:rPr>
          <w:color w:val="000000" w:themeColor="text1"/>
        </w:rPr>
      </w:r>
      <w:r/>
    </w:p>
    <w:p>
      <w:pPr>
        <w:pStyle w:val="866"/>
        <w:jc w:val="center"/>
        <w:keepLines w:val="0"/>
        <w:keepNext w:val="0"/>
        <w:pageBreakBefore w:val="0"/>
        <w:spacing w:line="400" w:lineRule="exact"/>
        <w:widowControl w:val="off"/>
        <w:rPr>
          <w:rFonts w:ascii="Times New Roman" w:hAnsi="Times New Roman" w:eastAsia="宋体" w:cs="Times New Roman"/>
          <w:b/>
          <w:color w:val="000000" w:themeColor="text1"/>
          <w:sz w:val="36"/>
          <w:szCs w:val="36"/>
        </w:rPr>
        <w:outlineLvl w:val="0"/>
      </w:pPr>
      <w:r>
        <w:rPr>
          <w:rFonts w:hint="eastAsia" w:ascii="宋体" w:hAnsi="宋体" w:eastAsia="宋体" w:cs="宋体"/>
          <w:color w:val="000000" w:themeColor="text1"/>
          <w:sz w:val="24"/>
          <w:szCs w:val="24"/>
        </w:rPr>
        <w:br w:type="page" w:clear="all"/>
      </w:r>
      <w:bookmarkStart w:id="32" w:name="_Toc353825548"/>
      <w:r>
        <w:rPr>
          <w:color w:val="000000" w:themeColor="text1"/>
        </w:rPr>
      </w:r>
      <w:bookmarkStart w:id="33" w:name="_Toc512937850"/>
      <w:r>
        <w:rPr>
          <w:color w:val="000000" w:themeColor="text1"/>
        </w:rPr>
      </w:r>
      <w:bookmarkStart w:id="34" w:name="_Toc99301420"/>
      <w:r>
        <w:rPr>
          <w:color w:val="000000" w:themeColor="text1"/>
        </w:rPr>
      </w:r>
      <w:bookmarkStart w:id="35" w:name="_Toc195842950"/>
      <w:r>
        <w:rPr>
          <w:color w:val="000000" w:themeColor="text1"/>
        </w:rPr>
      </w:r>
      <w:bookmarkStart w:id="36" w:name="_Toc127161488"/>
      <w:r>
        <w:rPr>
          <w:color w:val="000000" w:themeColor="text1"/>
        </w:rPr>
      </w:r>
      <w:bookmarkStart w:id="37" w:name="_Toc264969275"/>
      <w:r>
        <w:rPr>
          <w:color w:val="000000" w:themeColor="text1"/>
        </w:rPr>
      </w:r>
      <w:bookmarkStart w:id="38" w:name="_Toc305158854"/>
      <w:r>
        <w:rPr>
          <w:color w:val="000000" w:themeColor="text1"/>
        </w:rPr>
      </w:r>
      <w:bookmarkStart w:id="39" w:name="_Toc265228423"/>
      <w:r>
        <w:rPr>
          <w:color w:val="000000" w:themeColor="text1"/>
        </w:rPr>
      </w:r>
      <w:bookmarkStart w:id="40" w:name="_Toc353873938"/>
      <w:r>
        <w:rPr>
          <w:color w:val="000000" w:themeColor="text1"/>
        </w:rPr>
      </w:r>
      <w:bookmarkStart w:id="41" w:name="_Toc127151777"/>
      <w:r>
        <w:rPr>
          <w:color w:val="000000" w:themeColor="text1"/>
        </w:rPr>
      </w:r>
      <w:bookmarkStart w:id="42" w:name="_Toc305158928"/>
      <w:r>
        <w:rPr>
          <w:color w:val="000000" w:themeColor="text1"/>
        </w:rPr>
      </w:r>
      <w:bookmarkStart w:id="43" w:name="_Toc150774783"/>
      <w:r>
        <w:rPr>
          <w:color w:val="000000" w:themeColor="text1"/>
        </w:rPr>
      </w:r>
      <w:bookmarkStart w:id="44" w:name="_Toc226965856"/>
      <w:r>
        <w:rPr>
          <w:rFonts w:ascii="Times New Roman" w:hAnsi="Times New Roman" w:eastAsia="宋体" w:cs="Times New Roman"/>
          <w:b/>
          <w:color w:val="000000" w:themeColor="text1"/>
          <w:sz w:val="36"/>
          <w:szCs w:val="36"/>
        </w:rPr>
        <w:t xml:space="preserve">第二章   投标人须知</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869"/>
        <w:jc w:val="center"/>
        <w:pageBreakBefore w:val="0"/>
        <w:spacing w:before="0" w:line="400" w:lineRule="exact"/>
        <w:widowControl w:val="off"/>
        <w:tabs>
          <w:tab w:val="center" w:pos="4592" w:leader="none"/>
          <w:tab w:val="left" w:pos="7860" w:leader="none"/>
        </w:tabs>
        <w:rPr>
          <w:b w:val="0"/>
          <w:color w:val="000000" w:themeColor="text1"/>
          <w:sz w:val="24"/>
          <w:szCs w:val="24"/>
        </w:rPr>
      </w:pPr>
      <w:r>
        <w:rPr>
          <w:color w:val="000000" w:themeColor="text1"/>
        </w:rPr>
      </w:r>
      <w:bookmarkStart w:id="45" w:name="_Toc150480757"/>
      <w:r>
        <w:rPr>
          <w:color w:val="000000" w:themeColor="text1"/>
        </w:rPr>
      </w:r>
      <w:bookmarkStart w:id="46" w:name="_Toc151193689"/>
      <w:r>
        <w:rPr>
          <w:color w:val="000000" w:themeColor="text1"/>
        </w:rPr>
      </w:r>
      <w:bookmarkStart w:id="47" w:name="_Toc127151720"/>
      <w:r>
        <w:rPr>
          <w:color w:val="000000" w:themeColor="text1"/>
        </w:rPr>
      </w:r>
      <w:bookmarkStart w:id="48" w:name="_Toc195842884"/>
      <w:r>
        <w:rPr>
          <w:color w:val="000000" w:themeColor="text1"/>
        </w:rPr>
      </w:r>
      <w:bookmarkStart w:id="49" w:name="_Toc164608788"/>
      <w:r>
        <w:rPr>
          <w:color w:val="000000" w:themeColor="text1"/>
        </w:rPr>
      </w:r>
      <w:bookmarkStart w:id="50" w:name="_Toc149720812"/>
      <w:r>
        <w:rPr>
          <w:color w:val="000000" w:themeColor="text1"/>
        </w:rPr>
      </w:r>
      <w:bookmarkStart w:id="51" w:name="_Toc150774724"/>
      <w:r>
        <w:rPr>
          <w:color w:val="000000" w:themeColor="text1"/>
        </w:rPr>
      </w:r>
      <w:bookmarkStart w:id="52" w:name="_Toc150774619"/>
      <w:r>
        <w:rPr>
          <w:color w:val="000000" w:themeColor="text1"/>
        </w:rPr>
      </w:r>
      <w:bookmarkStart w:id="53" w:name="_Toc164351613"/>
      <w:r>
        <w:rPr>
          <w:color w:val="000000" w:themeColor="text1"/>
        </w:rPr>
      </w:r>
      <w:bookmarkStart w:id="54" w:name="_Toc226965792"/>
      <w:r>
        <w:rPr>
          <w:color w:val="000000" w:themeColor="text1"/>
        </w:rPr>
      </w:r>
      <w:bookmarkStart w:id="55" w:name="_Toc164608633"/>
      <w:r>
        <w:rPr>
          <w:color w:val="000000" w:themeColor="text1"/>
        </w:rPr>
      </w:r>
      <w:bookmarkStart w:id="56" w:name="_Toc142311021"/>
      <w:r>
        <w:rPr>
          <w:color w:val="000000" w:themeColor="text1"/>
        </w:rPr>
      </w:r>
      <w:bookmarkStart w:id="57" w:name="_Toc226965709"/>
      <w:r>
        <w:rPr>
          <w:color w:val="000000" w:themeColor="text1"/>
        </w:rPr>
      </w:r>
      <w:bookmarkStart w:id="58" w:name="_Toc127151519"/>
      <w:r>
        <w:rPr>
          <w:color w:val="000000" w:themeColor="text1"/>
        </w:rPr>
      </w:r>
      <w:bookmarkStart w:id="59" w:name="_Toc151193761"/>
      <w:r>
        <w:rPr>
          <w:color w:val="000000" w:themeColor="text1"/>
        </w:rPr>
      </w:r>
      <w:bookmarkStart w:id="60" w:name="_Toc151193907"/>
      <w:r>
        <w:rPr>
          <w:color w:val="000000" w:themeColor="text1"/>
        </w:rPr>
      </w:r>
      <w:bookmarkStart w:id="61" w:name="_Toc151193833"/>
      <w:r>
        <w:rPr>
          <w:color w:val="000000" w:themeColor="text1"/>
        </w:rPr>
      </w:r>
      <w:bookmarkStart w:id="62" w:name="_Toc520356144"/>
      <w:r>
        <w:rPr>
          <w:color w:val="000000" w:themeColor="text1"/>
        </w:rPr>
      </w:r>
      <w:bookmarkStart w:id="63" w:name="_Toc127161433"/>
      <w:r>
        <w:rPr>
          <w:color w:val="000000" w:themeColor="text1"/>
        </w:rPr>
      </w:r>
      <w:bookmarkStart w:id="64" w:name="_Toc164229214"/>
      <w:r>
        <w:rPr>
          <w:color w:val="000000" w:themeColor="text1"/>
        </w:rPr>
      </w:r>
      <w:bookmarkStart w:id="65" w:name="_Toc226309763"/>
      <w:r>
        <w:rPr>
          <w:color w:val="000000" w:themeColor="text1"/>
        </w:rPr>
      </w:r>
      <w:bookmarkStart w:id="66" w:name="_Toc151193617"/>
      <w:r>
        <w:rPr>
          <w:color w:val="000000" w:themeColor="text1"/>
        </w:rPr>
      </w:r>
      <w:bookmarkStart w:id="67" w:name="_Toc150509270"/>
      <w:r>
        <w:rPr>
          <w:color w:val="000000" w:themeColor="text1"/>
        </w:rPr>
      </w:r>
      <w:bookmarkStart w:id="68" w:name="_Toc151190146"/>
      <w:r>
        <w:rPr>
          <w:color w:val="000000" w:themeColor="text1"/>
        </w:rPr>
      </w:r>
      <w:bookmarkStart w:id="69" w:name="_Toc226337215"/>
      <w:r>
        <w:rPr>
          <w:color w:val="000000" w:themeColor="text1"/>
        </w:rPr>
      </w:r>
      <w:bookmarkStart w:id="70" w:name="_Toc164229360"/>
      <w:r>
        <w:rPr>
          <w:rFonts w:ascii="Times New Roman" w:hAnsi="Times New Roman" w:eastAsia="宋体"/>
          <w:color w:val="000000" w:themeColor="text1"/>
          <w:sz w:val="24"/>
          <w:szCs w:val="24"/>
        </w:rPr>
        <w:t xml:space="preserve">投标人须知资料表</w:t>
      </w:r>
      <w:r>
        <w:rPr>
          <w:color w:val="000000" w:themeColor="text1"/>
        </w:rPr>
      </w:r>
      <w:r/>
    </w:p>
    <w:p>
      <w:pPr>
        <w:pStyle w:val="866"/>
        <w:ind w:firstLine="480"/>
        <w:pageBreakBefore w:val="0"/>
        <w:spacing w:line="400" w:lineRule="exact"/>
        <w:widowControl w:val="off"/>
        <w:rPr>
          <w:rFonts w:hint="eastAsia"/>
          <w:color w:val="000000" w:themeColor="text1"/>
          <w:sz w:val="24"/>
          <w:szCs w:val="24"/>
        </w:rPr>
      </w:pPr>
      <w:r>
        <w:rPr>
          <w:color w:val="000000" w:themeColor="text1"/>
          <w:sz w:val="24"/>
          <w:szCs w:val="24"/>
        </w:rPr>
        <w:t xml:space="preserve">本表是对投标人须知的具体补充和修改，如有矛盾，均以本资料表为准。</w:t>
      </w:r>
      <w:r>
        <w:rPr>
          <w:color w:val="000000" w:themeColor="text1"/>
        </w:rPr>
      </w:r>
      <w:r/>
    </w:p>
    <w:p>
      <w:pPr>
        <w:pStyle w:val="866"/>
        <w:ind w:firstLine="480"/>
        <w:pageBreakBefore w:val="0"/>
        <w:spacing w:line="400" w:lineRule="exact"/>
        <w:widowControl w:val="off"/>
        <w:rPr>
          <w:color w:val="000000" w:themeColor="text1"/>
          <w:sz w:val="24"/>
          <w:szCs w:val="24"/>
        </w:rPr>
      </w:pPr>
      <w:r>
        <w:rPr>
          <w:color w:val="000000" w:themeColor="text1"/>
          <w:sz w:val="24"/>
          <w:szCs w:val="24"/>
        </w:rPr>
        <w:t xml:space="preserve">标记</w:t>
      </w:r>
      <w:r>
        <w:rPr>
          <w:color w:val="000000" w:themeColor="text1"/>
          <w:sz w:val="24"/>
          <w:szCs w:val="24"/>
        </w:rPr>
        <w:t xml:space="preserve">“</w:t>
      </w:r>
      <w:r>
        <w:rPr>
          <w:b/>
          <w:color w:val="000000" w:themeColor="text1"/>
          <w:sz w:val="24"/>
          <w:szCs w:val="24"/>
        </w:rPr>
        <w:t xml:space="preserve">■</w:t>
      </w:r>
      <w:r>
        <w:rPr>
          <w:color w:val="000000" w:themeColor="text1"/>
          <w:sz w:val="24"/>
          <w:szCs w:val="24"/>
        </w:rPr>
        <w:t xml:space="preserve">”</w:t>
      </w:r>
      <w:r>
        <w:rPr>
          <w:color w:val="000000" w:themeColor="text1"/>
          <w:sz w:val="24"/>
          <w:szCs w:val="24"/>
        </w:rPr>
        <w:t xml:space="preserve">的选项意为适用于本项目，标记“□”的选项意为不适用于本项目。</w:t>
      </w:r>
      <w:r>
        <w:rPr>
          <w:color w:val="000000" w:themeColor="text1"/>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866"/>
              <w:jc w:val="center"/>
              <w:pageBreakBefore w:val="0"/>
              <w:spacing w:line="400" w:lineRule="exact"/>
              <w:widowControl w:val="off"/>
              <w:rPr>
                <w:b/>
                <w:bCs/>
                <w:color w:val="000000" w:themeColor="text1"/>
                <w:sz w:val="24"/>
                <w:szCs w:val="24"/>
              </w:rPr>
            </w:pPr>
            <w:r>
              <w:rPr>
                <w:b/>
                <w:color w:val="000000" w:themeColor="text1"/>
                <w:sz w:val="24"/>
                <w:szCs w:val="24"/>
              </w:rPr>
              <w:t xml:space="preserve">条款号</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b/>
                <w:bCs/>
                <w:color w:val="000000" w:themeColor="text1"/>
                <w:sz w:val="24"/>
                <w:szCs w:val="24"/>
              </w:rPr>
            </w:pPr>
            <w:r>
              <w:rPr>
                <w:b/>
                <w:bCs/>
                <w:color w:val="000000" w:themeColor="text1"/>
                <w:sz w:val="24"/>
                <w:szCs w:val="24"/>
              </w:rPr>
              <w:t xml:space="preserve">条目</w:t>
            </w:r>
            <w:r>
              <w:rPr>
                <w:color w:val="000000" w:themeColor="text1"/>
              </w:rPr>
            </w:r>
            <w:r/>
          </w:p>
        </w:tc>
        <w:tc>
          <w:tcPr>
            <w:tcW w:w="7145" w:type="dxa"/>
            <w:vAlign w:val="center"/>
            <w:textDirection w:val="lrTb"/>
            <w:noWrap w:val="false"/>
          </w:tcPr>
          <w:p>
            <w:pPr>
              <w:pStyle w:val="866"/>
              <w:jc w:val="center"/>
              <w:pageBreakBefore w:val="0"/>
              <w:spacing w:line="400" w:lineRule="exact"/>
              <w:widowControl w:val="off"/>
              <w:rPr>
                <w:b/>
                <w:bCs/>
                <w:color w:val="000000" w:themeColor="text1"/>
                <w:sz w:val="24"/>
                <w:szCs w:val="24"/>
              </w:rPr>
            </w:pPr>
            <w:r>
              <w:rPr>
                <w:b/>
                <w:bCs/>
                <w:color w:val="000000" w:themeColor="text1"/>
                <w:sz w:val="24"/>
                <w:szCs w:val="24"/>
              </w:rPr>
              <w:t xml:space="preserve">内容</w:t>
            </w:r>
            <w:r>
              <w:rPr>
                <w:color w:val="000000" w:themeColor="text1"/>
              </w:rPr>
            </w:r>
            <w:r/>
          </w:p>
        </w:tc>
      </w:tr>
      <w:tr>
        <w:trPr>
          <w:trHeight w:val="526"/>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项目属性</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eastAsia="宋体"/>
                <w:color w:val="000000" w:themeColor="text1"/>
                <w:sz w:val="24"/>
                <w:szCs w:val="24"/>
                <w:u w:val="single"/>
              </w:rPr>
            </w:pPr>
            <w:r>
              <w:rPr>
                <w:color w:val="000000" w:themeColor="text1"/>
                <w:sz w:val="24"/>
                <w:szCs w:val="24"/>
              </w:rPr>
              <w:t xml:space="preserve">项目属性：</w:t>
            </w: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服务</w:t>
            </w:r>
            <w:r>
              <w:rPr>
                <w:color w:val="000000" w:themeColor="text1"/>
              </w:rPr>
            </w:r>
            <w:r/>
          </w:p>
        </w:tc>
      </w:tr>
      <w:tr>
        <w:trPr>
          <w:trHeight w:val="591"/>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2</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科研仪器设备</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是否属于科研仪器设备采购项目：</w:t>
            </w:r>
            <w:r>
              <w:rPr>
                <w:rFonts w:hint="eastAsia"/>
                <w:color w:val="000000" w:themeColor="text1"/>
                <w:sz w:val="24"/>
                <w:szCs w:val="24"/>
                <w:lang w:eastAsia="zh-CN"/>
              </w:rPr>
              <w:t xml:space="preserve">☑</w:t>
            </w:r>
            <w:r>
              <w:rPr>
                <w:color w:val="000000" w:themeColor="text1"/>
                <w:sz w:val="24"/>
                <w:szCs w:val="24"/>
              </w:rPr>
              <w:t xml:space="preserve">否</w:t>
            </w:r>
            <w:r>
              <w:rPr>
                <w:color w:val="000000" w:themeColor="text1"/>
              </w:rPr>
            </w:r>
            <w:r/>
          </w:p>
        </w:tc>
      </w:tr>
      <w:tr>
        <w:trPr>
          <w:trHeight w:val="511"/>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3</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核心产品</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rFonts w:hint="eastAsia" w:eastAsia="宋体"/>
                <w:color w:val="000000" w:themeColor="text1"/>
                <w:sz w:val="24"/>
                <w:szCs w:val="24"/>
                <w:lang w:eastAsia="zh-CN"/>
              </w:rPr>
              <w:t xml:space="preserve">☑</w:t>
            </w:r>
            <w:r>
              <w:rPr>
                <w:color w:val="000000" w:themeColor="text1"/>
                <w:sz w:val="24"/>
                <w:szCs w:val="24"/>
              </w:rPr>
              <w:t xml:space="preserve">关于核心产品本项目</w:t>
            </w:r>
            <w:r>
              <w:rPr>
                <w:rFonts w:hint="eastAsia"/>
                <w:color w:val="000000" w:themeColor="text1"/>
                <w:sz w:val="24"/>
                <w:szCs w:val="24"/>
                <w:u w:val="single"/>
                <w:lang w:val="en-US" w:eastAsia="zh-CN"/>
              </w:rPr>
              <w:t xml:space="preserve"> / </w:t>
            </w:r>
            <w:r>
              <w:rPr>
                <w:color w:val="000000" w:themeColor="text1"/>
                <w:sz w:val="24"/>
                <w:szCs w:val="24"/>
              </w:rPr>
              <w:t xml:space="preserve">包不适用。</w:t>
            </w:r>
            <w:r>
              <w:rPr>
                <w:color w:val="000000" w:themeColor="text1"/>
              </w:rPr>
            </w:r>
            <w:r/>
          </w:p>
        </w:tc>
      </w:tr>
      <w:tr>
        <w:trPr>
          <w:trHeight w:val="860"/>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4</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rFonts w:ascii="宋体" w:hAnsi="宋体"/>
                <w:color w:val="000000" w:themeColor="text1"/>
                <w:sz w:val="24"/>
                <w:szCs w:val="24"/>
              </w:rPr>
            </w:pPr>
            <w:r>
              <w:rPr>
                <w:rFonts w:ascii="宋体" w:hAnsi="宋体"/>
                <w:color w:val="000000" w:themeColor="text1"/>
                <w:sz w:val="24"/>
                <w:szCs w:val="24"/>
              </w:rPr>
              <w:t xml:space="preserve">是否专门面向中小企业</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ascii="宋体" w:hAnsi="宋体"/>
                <w:color w:val="000000" w:themeColor="text1"/>
                <w:sz w:val="24"/>
                <w:szCs w:val="24"/>
              </w:rPr>
            </w:pPr>
            <w:r>
              <w:rPr>
                <w:rFonts w:hint="eastAsia" w:eastAsia="宋体"/>
                <w:color w:val="000000" w:themeColor="text1"/>
                <w:sz w:val="24"/>
                <w:szCs w:val="24"/>
                <w:lang w:eastAsia="zh-CN"/>
              </w:rPr>
              <w:t xml:space="preserve">□</w:t>
            </w:r>
            <w:r>
              <w:rPr>
                <w:rFonts w:hint="eastAsia" w:ascii="宋体" w:hAnsi="宋体"/>
                <w:color w:val="000000" w:themeColor="text1"/>
                <w:sz w:val="24"/>
                <w:szCs w:val="24"/>
              </w:rPr>
              <w:t xml:space="preserve">本项目非专门面向中小企业采购，对于符合规定的小微企业报价给予</w:t>
            </w:r>
            <w:r>
              <w:rPr>
                <w:rFonts w:hint="eastAsia" w:ascii="宋体" w:hAnsi="宋体"/>
                <w:color w:val="000000" w:themeColor="text1"/>
                <w:sz w:val="24"/>
                <w:szCs w:val="24"/>
                <w:highlight w:val="yellow"/>
                <w:u w:val="single"/>
                <w:lang w:val="en-US" w:eastAsia="zh-CN"/>
              </w:rPr>
              <w:t xml:space="preserve">10</w:t>
            </w:r>
            <w:r>
              <w:rPr>
                <w:rFonts w:hint="eastAsia" w:ascii="宋体" w:hAnsi="宋体"/>
                <w:color w:val="000000" w:themeColor="text1"/>
                <w:sz w:val="24"/>
                <w:szCs w:val="24"/>
                <w:highlight w:val="yellow"/>
                <w:u w:val="single"/>
              </w:rPr>
              <w:t xml:space="preserve">%</w:t>
            </w:r>
            <w:r>
              <w:rPr>
                <w:rFonts w:hint="eastAsia" w:ascii="宋体" w:hAnsi="宋体"/>
                <w:color w:val="000000" w:themeColor="text1"/>
                <w:sz w:val="24"/>
                <w:szCs w:val="24"/>
              </w:rPr>
              <w:t xml:space="preserve">的扣除，用扣除后的价格参与评审。</w:t>
            </w:r>
            <w:r>
              <w:rPr>
                <w:color w:val="000000" w:themeColor="text1"/>
              </w:rPr>
            </w:r>
            <w:r/>
          </w:p>
          <w:p>
            <w:pPr>
              <w:pStyle w:val="866"/>
              <w:jc w:val="left"/>
              <w:pageBreakBefore w:val="0"/>
              <w:spacing w:line="400" w:lineRule="exact"/>
              <w:widowControl w:val="off"/>
              <w:rPr>
                <w:rFonts w:ascii="宋体" w:hAnsi="宋体"/>
                <w:color w:val="000000" w:themeColor="text1"/>
                <w:sz w:val="24"/>
                <w:szCs w:val="24"/>
              </w:rPr>
            </w:pPr>
            <w:r>
              <w:rPr>
                <w:rFonts w:ascii="Wingdings 2" w:hAnsi="Wingdings 2" w:eastAsia="Wingdings 2" w:cs="Wingdings 2"/>
                <w:color w:val="000000" w:themeColor="text1"/>
                <w:sz w:val="24"/>
                <w:szCs w:val="24"/>
              </w:rPr>
              <w:t xml:space="preserve">R</w:t>
            </w:r>
            <w:r>
              <w:rPr>
                <w:rFonts w:hint="eastAsia" w:ascii="宋体" w:hAnsi="宋体"/>
                <w:color w:val="000000" w:themeColor="text1"/>
                <w:sz w:val="24"/>
                <w:szCs w:val="24"/>
              </w:rPr>
              <w:t xml:space="preserve">本项目专门面向小微企业采购，在评审时不再对小微企业执行价格评审优惠政策。</w:t>
            </w:r>
            <w:r>
              <w:rPr>
                <w:color w:val="000000" w:themeColor="text1"/>
              </w:rPr>
            </w:r>
            <w:r/>
          </w:p>
        </w:tc>
      </w:tr>
      <w:tr>
        <w:trPr>
          <w:trHeight w:val="521"/>
        </w:trPr>
        <w:tc>
          <w:tcPr>
            <w:tcW w:w="1011" w:type="dxa"/>
            <w:vAlign w:val="center"/>
            <w:vMerge w:val="restart"/>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5</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现场考察</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ascii="Times New Roman" w:hAnsi="Times New Roman"/>
                <w:color w:val="000000" w:themeColor="text1"/>
                <w:sz w:val="24"/>
                <w:szCs w:val="24"/>
              </w:rPr>
            </w:pPr>
            <w:r>
              <w:rPr>
                <w:color w:val="000000" w:themeColor="text1"/>
                <w:sz w:val="24"/>
                <w:szCs w:val="24"/>
              </w:rPr>
              <w:t xml:space="preserve">不组织</w:t>
            </w:r>
            <w:r>
              <w:rPr>
                <w:color w:val="000000" w:themeColor="text1"/>
              </w:rPr>
            </w:r>
            <w:r/>
          </w:p>
        </w:tc>
      </w:tr>
      <w:tr>
        <w:trPr>
          <w:trHeight w:val="491"/>
        </w:trPr>
        <w:tc>
          <w:tcPr>
            <w:tcW w:w="1011" w:type="dxa"/>
            <w:vAlign w:val="center"/>
            <w:vMerge w:val="continue"/>
            <w:textDirection w:val="lrTb"/>
            <w:noWrap w:val="false"/>
          </w:tcPr>
          <w:p>
            <w:pPr>
              <w:pStyle w:val="906"/>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开标前答疑会</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eastAsia="宋体"/>
                <w:color w:val="000000" w:themeColor="text1"/>
                <w:sz w:val="24"/>
                <w:szCs w:val="24"/>
              </w:rPr>
            </w:pPr>
            <w:r>
              <w:rPr>
                <w:rFonts w:hint="eastAsia"/>
                <w:color w:val="000000" w:themeColor="text1"/>
                <w:sz w:val="24"/>
                <w:szCs w:val="24"/>
                <w:lang w:eastAsia="zh-CN"/>
              </w:rPr>
              <w:t xml:space="preserve">☑</w:t>
            </w:r>
            <w:r>
              <w:rPr>
                <w:color w:val="000000" w:themeColor="text1"/>
                <w:sz w:val="24"/>
                <w:szCs w:val="24"/>
              </w:rPr>
              <w:t xml:space="preserve">不召开</w:t>
            </w:r>
            <w:r>
              <w:rPr>
                <w:color w:val="000000" w:themeColor="text1"/>
              </w:rPr>
            </w:r>
            <w:r/>
          </w:p>
        </w:tc>
      </w:tr>
      <w:tr>
        <w:trPr>
          <w:trHeight w:val="511"/>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6</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样品</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投标样品递交：</w:t>
            </w:r>
            <w:r>
              <w:rPr>
                <w:rFonts w:hint="eastAsia"/>
                <w:color w:val="000000" w:themeColor="text1"/>
                <w:sz w:val="24"/>
                <w:szCs w:val="24"/>
                <w:lang w:val="en-US" w:eastAsia="zh-CN"/>
              </w:rPr>
              <w:t xml:space="preserve"> </w:t>
            </w:r>
            <w:r>
              <w:rPr>
                <w:rFonts w:hint="eastAsia"/>
                <w:color w:val="000000" w:themeColor="text1"/>
                <w:sz w:val="24"/>
                <w:szCs w:val="24"/>
                <w:lang w:eastAsia="zh-CN"/>
              </w:rPr>
              <w:t xml:space="preserve">☑</w:t>
            </w:r>
            <w:r>
              <w:rPr>
                <w:color w:val="000000" w:themeColor="text1"/>
                <w:sz w:val="24"/>
                <w:szCs w:val="24"/>
              </w:rPr>
              <w:t xml:space="preserve">不需要</w:t>
            </w:r>
            <w:r>
              <w:rPr>
                <w:color w:val="000000" w:themeColor="text1"/>
              </w:rPr>
            </w:r>
            <w:r/>
          </w:p>
        </w:tc>
      </w:tr>
      <w:tr>
        <w:trPr>
          <w:trHeight w:val="1651"/>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7</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标的所属行业</w:t>
            </w:r>
            <w:r>
              <w:rPr>
                <w:color w:val="000000" w:themeColor="text1"/>
              </w:rPr>
            </w:r>
            <w:r/>
          </w:p>
        </w:tc>
        <w:tc>
          <w:tcPr>
            <w:tcW w:w="7145" w:type="dxa"/>
            <w:vAlign w:val="center"/>
            <w:textDirection w:val="lrTb"/>
            <w:noWrap w:val="false"/>
          </w:tcPr>
          <w:p>
            <w:pPr>
              <w:pStyle w:val="866"/>
              <w:jc w:val="both"/>
              <w:pageBreakBefore w:val="0"/>
              <w:spacing w:line="400" w:lineRule="exact"/>
              <w:widowControl w:val="off"/>
              <w:rPr>
                <w:color w:val="000000" w:themeColor="text1"/>
                <w:sz w:val="24"/>
                <w:szCs w:val="24"/>
              </w:rPr>
            </w:pPr>
            <w:r>
              <w:rPr>
                <w:rFonts w:hint="eastAsia" w:ascii="宋体" w:hAnsi="宋体" w:eastAsia="宋体" w:cs="Times New Roman"/>
                <w:color w:val="000000" w:themeColor="text1"/>
                <w:sz w:val="24"/>
                <w:szCs w:val="24"/>
                <w:lang w:val="zh-TW" w:eastAsia="zh-CN"/>
              </w:rPr>
              <w:t xml:space="preserve">本项</w:t>
            </w:r>
            <w:r>
              <w:rPr>
                <w:rFonts w:hint="eastAsia" w:ascii="宋体" w:hAnsi="宋体" w:eastAsia="宋体" w:cs="Times New Roman"/>
                <w:color w:val="000000" w:themeColor="text1"/>
                <w:sz w:val="24"/>
                <w:szCs w:val="24"/>
                <w:lang w:val="zh-TW" w:eastAsia="zh-CN"/>
              </w:rPr>
              <w:t xml:space="preserve">目属于</w:t>
            </w:r>
            <w:r>
              <w:rPr>
                <w:rFonts w:hint="eastAsia" w:ascii="宋体" w:hAnsi="宋体" w:eastAsia="宋体" w:cs="Times New Roman"/>
                <w:b/>
                <w:bCs/>
                <w:color w:val="000000" w:themeColor="text1"/>
                <w:sz w:val="24"/>
                <w:szCs w:val="24"/>
                <w:u w:val="single"/>
                <w:lang w:val="en-US" w:eastAsia="zh-CN"/>
              </w:rPr>
              <w:t xml:space="preserve">服务</w:t>
            </w:r>
            <w:r>
              <w:rPr>
                <w:rFonts w:hint="eastAsia" w:ascii="宋体" w:hAnsi="宋体" w:eastAsia="宋体" w:cs="Times New Roman"/>
                <w:b/>
                <w:bCs/>
                <w:color w:val="000000" w:themeColor="text1"/>
                <w:sz w:val="24"/>
                <w:szCs w:val="24"/>
                <w:u w:val="single"/>
                <w:lang w:val="zh-TW" w:eastAsia="zh-CN"/>
              </w:rPr>
              <w:t xml:space="preserve">类</w:t>
            </w:r>
            <w:r>
              <w:rPr>
                <w:rFonts w:hint="eastAsia" w:ascii="宋体" w:hAnsi="宋体" w:eastAsia="宋体" w:cs="Times New Roman"/>
                <w:color w:val="000000" w:themeColor="text1"/>
                <w:sz w:val="24"/>
                <w:szCs w:val="24"/>
                <w:lang w:val="zh-TW" w:eastAsia="zh-CN"/>
              </w:rPr>
              <w:t xml:space="preserve">，采购标的对应的中小企业划分标准所属行业：</w:t>
            </w:r>
            <w:r>
              <w:rPr>
                <w:rFonts w:hint="eastAsia"/>
                <w:b/>
                <w:bCs/>
                <w:color w:val="000000" w:themeColor="text1"/>
                <w:sz w:val="24"/>
                <w:szCs w:val="24"/>
                <w:u w:val="single"/>
              </w:rPr>
              <w:t xml:space="preserve">其他未列明行业</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关于印发中小企业划型标准规定的通知》工信部联企业</w:t>
            </w:r>
            <w:r>
              <w:rPr>
                <w:rFonts w:hint="eastAsia" w:ascii="宋体" w:hAnsi="宋体"/>
                <w:color w:val="000000" w:themeColor="text1"/>
                <w:sz w:val="24"/>
                <w:szCs w:val="24"/>
                <w:lang w:eastAsia="zh-CN"/>
              </w:rPr>
              <w:t xml:space="preserve">〔2011〕300号</w:t>
            </w:r>
            <w:r>
              <w:rPr>
                <w:rFonts w:hint="eastAsia" w:ascii="宋体" w:hAnsi="宋体"/>
                <w:color w:val="000000" w:themeColor="text1"/>
                <w:sz w:val="24"/>
                <w:szCs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r>
        <w:trPr>
          <w:trHeight w:val="1651"/>
        </w:trPr>
        <w:tc>
          <w:tcPr>
            <w:tcW w:w="1011" w:type="dxa"/>
            <w:vAlign w:val="center"/>
            <w:textDirection w:val="lrTb"/>
            <w:noWrap w:val="false"/>
          </w:tcPr>
          <w:p>
            <w:pPr>
              <w:pStyle w:val="906"/>
              <w:jc w:val="center"/>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1680" w:type="dxa"/>
            <w:vAlign w:val="center"/>
            <w:textDirection w:val="lrTb"/>
            <w:noWrap w:val="false"/>
          </w:tcPr>
          <w:p>
            <w:pPr>
              <w:pStyle w:val="866"/>
              <w:jc w:val="center"/>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本国产品政策支持</w:t>
            </w:r>
            <w:r>
              <w:rPr>
                <w:color w:val="000000" w:themeColor="text1"/>
              </w:rPr>
            </w:r>
            <w:r/>
          </w:p>
        </w:tc>
        <w:tc>
          <w:tcPr>
            <w:tcW w:w="7145" w:type="dxa"/>
            <w:vAlign w:val="center"/>
            <w:textDirection w:val="lrTb"/>
            <w:noWrap w:val="false"/>
          </w:tcPr>
          <w:p>
            <w:pPr>
              <w:pStyle w:val="866"/>
              <w:jc w:val="left"/>
              <w:keepLines w:val="0"/>
              <w:keepNext w:val="0"/>
              <w:pageBreakBefore w:val="0"/>
              <w:spacing w:after="0"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eq \o \ac(</w:instrText>
            </w:r>
            <w:r>
              <w:rPr>
                <w:rFonts w:hint="eastAsia" w:ascii="宋体" w:hAnsi="宋体" w:eastAsia="宋体" w:cs="宋体"/>
                <w:color w:val="000000" w:themeColor="text1"/>
                <w:position w:val="-4"/>
                <w:sz w:val="36"/>
                <w:szCs w:val="24"/>
                <w:highlight w:val="none"/>
              </w:rPr>
              <w:instrText xml:space="preserve">□</w:instrText>
            </w:r>
            <w:r>
              <w:rPr>
                <w:rFonts w:hint="eastAsia" w:ascii="宋体" w:hAnsi="宋体" w:eastAsia="宋体" w:cs="宋体"/>
                <w:color w:val="000000" w:themeColor="text1"/>
                <w:position w:val="0"/>
                <w:sz w:val="24"/>
                <w:szCs w:val="24"/>
                <w:highlight w:val="none"/>
              </w:rPr>
              <w:instrText xml:space="preserve">)</w:instrTex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val="en-US" w:eastAsia="zh-CN"/>
              </w:rPr>
              <w:t xml:space="preserve">适用</w:t>
            </w: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rPr>
              <w:fldChar w:fldCharType="begin"/>
            </w:r>
            <w:r>
              <w:rPr>
                <w:rFonts w:hint="eastAsia" w:ascii="宋体" w:hAnsi="宋体" w:eastAsia="宋体" w:cs="宋体"/>
                <w:b/>
                <w:bCs/>
                <w:color w:val="000000" w:themeColor="text1"/>
                <w:sz w:val="24"/>
                <w:szCs w:val="24"/>
                <w:highlight w:val="none"/>
              </w:rPr>
              <w:instrText xml:space="preserve"> eq \o \ac(</w:instrText>
            </w:r>
            <w:r>
              <w:rPr>
                <w:rFonts w:hint="eastAsia" w:ascii="宋体" w:hAnsi="宋体" w:eastAsia="宋体" w:cs="宋体"/>
                <w:b/>
                <w:bCs/>
                <w:color w:val="000000" w:themeColor="text1"/>
                <w:position w:val="-4"/>
                <w:sz w:val="36"/>
                <w:szCs w:val="24"/>
                <w:highlight w:val="none"/>
              </w:rPr>
              <w:instrText xml:space="preserve">□</w:instrText>
            </w:r>
            <w:r>
              <w:rPr>
                <w:rFonts w:hint="eastAsia" w:ascii="宋体" w:hAnsi="宋体" w:eastAsia="宋体" w:cs="宋体"/>
                <w:b/>
                <w:bCs/>
                <w:color w:val="000000" w:themeColor="text1"/>
                <w:position w:val="0"/>
                <w:sz w:val="24"/>
                <w:szCs w:val="24"/>
                <w:highlight w:val="none"/>
                <w:lang w:eastAsia="zh-CN"/>
              </w:rPr>
              <w:instrText xml:space="preserve">,√</w:instrText>
            </w:r>
            <w:r>
              <w:rPr>
                <w:rFonts w:hint="eastAsia" w:ascii="宋体" w:hAnsi="宋体" w:eastAsia="宋体" w:cs="宋体"/>
                <w:b/>
                <w:bCs/>
                <w:color w:val="000000" w:themeColor="text1"/>
                <w:position w:val="0"/>
                <w:sz w:val="24"/>
                <w:szCs w:val="24"/>
                <w:highlight w:val="none"/>
              </w:rPr>
              <w:instrText xml:space="preserve">)</w:instrText>
            </w:r>
            <w:r>
              <w:rPr>
                <w:rFonts w:hint="eastAsia" w:ascii="宋体" w:hAnsi="宋体" w:eastAsia="宋体" w:cs="宋体"/>
                <w:b/>
                <w:bCs/>
                <w:color w:val="000000" w:themeColor="text1"/>
                <w:sz w:val="24"/>
                <w:szCs w:val="24"/>
                <w:highlight w:val="none"/>
              </w:rPr>
              <w:fldChar w:fldCharType="end"/>
            </w:r>
            <w:r>
              <w:rPr>
                <w:rFonts w:hint="eastAsia" w:ascii="宋体" w:hAnsi="宋体" w:eastAsia="宋体" w:cs="宋体"/>
                <w:b/>
                <w:bCs/>
                <w:color w:val="000000" w:themeColor="text1"/>
                <w:sz w:val="24"/>
                <w:szCs w:val="24"/>
                <w:highlight w:val="none"/>
                <w:lang w:val="en-US" w:eastAsia="zh-CN"/>
              </w:rPr>
              <w:t xml:space="preserve">不适用</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134"/>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themeColor="text1"/>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9</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rFonts w:hint="eastAsia"/>
                <w:color w:val="000000" w:themeColor="text1"/>
                <w:sz w:val="24"/>
                <w:szCs w:val="24"/>
              </w:rPr>
              <w:t xml:space="preserve">投标报价</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rFonts w:hint="eastAsia"/>
                <w:color w:val="000000" w:themeColor="text1"/>
                <w:sz w:val="24"/>
                <w:szCs w:val="24"/>
              </w:rPr>
              <w:t xml:space="preserve">投标报价的特殊规定：</w:t>
            </w:r>
            <w:r>
              <w:rPr>
                <w:rFonts w:hint="eastAsia"/>
                <w:color w:val="000000" w:themeColor="text1"/>
                <w:sz w:val="24"/>
                <w:szCs w:val="24"/>
                <w:lang w:eastAsia="zh-CN"/>
              </w:rPr>
              <w:t xml:space="preserve">☑</w:t>
            </w:r>
            <w:r>
              <w:rPr>
                <w:color w:val="000000" w:themeColor="text1"/>
                <w:sz w:val="24"/>
                <w:szCs w:val="24"/>
              </w:rPr>
              <w:t xml:space="preserve">无</w:t>
            </w:r>
            <w:r>
              <w:rPr>
                <w:color w:val="000000" w:themeColor="text1"/>
              </w:rPr>
            </w:r>
            <w:r/>
          </w:p>
        </w:tc>
      </w:tr>
      <w:tr>
        <w:trPr>
          <w:trHeight w:val="430"/>
        </w:trPr>
        <w:tc>
          <w:tcPr>
            <w:tcW w:w="1011" w:type="dxa"/>
            <w:vAlign w:val="center"/>
            <w:textDirection w:val="lrTb"/>
            <w:noWrap w:val="false"/>
          </w:tcPr>
          <w:p>
            <w:pPr>
              <w:pStyle w:val="906"/>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10</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投标保证金</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免收</w:t>
            </w:r>
            <w:r>
              <w:rPr>
                <w:color w:val="000000" w:themeColor="text1"/>
              </w:rPr>
            </w:r>
            <w:r/>
          </w:p>
        </w:tc>
      </w:tr>
      <w:tr>
        <w:trPr>
          <w:trHeight w:val="430"/>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11</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rFonts w:eastAsia="宋体"/>
                <w:color w:val="000000" w:themeColor="text1"/>
                <w:sz w:val="24"/>
                <w:szCs w:val="24"/>
                <w:highlight w:val="none"/>
              </w:rPr>
            </w:pPr>
            <w:r>
              <w:rPr>
                <w:rFonts w:hint="eastAsia"/>
                <w:color w:val="000000" w:themeColor="text1"/>
                <w:sz w:val="24"/>
                <w:szCs w:val="24"/>
                <w:highlight w:val="none"/>
                <w:lang w:val="en-US" w:eastAsia="zh-CN"/>
              </w:rPr>
              <w:t xml:space="preserve">履约保证金</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color w:val="000000" w:themeColor="text1"/>
                <w:sz w:val="24"/>
                <w:szCs w:val="24"/>
                <w:highlight w:val="none"/>
              </w:rPr>
            </w:pP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向</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提供相当于合同总价</w:t>
            </w:r>
            <w:r>
              <w:rPr>
                <w:rFonts w:hint="eastAsia" w:ascii="Times New Roman" w:eastAsia="宋体"/>
                <w:color w:val="000000" w:themeColor="text1"/>
                <w:sz w:val="24"/>
                <w:highlight w:val="none"/>
                <w:u w:val="single"/>
                <w:lang w:val="en-US" w:eastAsia="zh-CN"/>
              </w:rPr>
              <w:t xml:space="preserve">5</w:t>
            </w:r>
            <w:r>
              <w:rPr>
                <w:rFonts w:hint="eastAsia" w:ascii="Times New Roman" w:eastAsia="宋体"/>
                <w:color w:val="000000" w:themeColor="text1"/>
                <w:sz w:val="24"/>
                <w:highlight w:val="none"/>
                <w:u w:val="single"/>
                <w:lang w:val="zh-TW" w:eastAsia="zh-CN"/>
              </w:rPr>
              <w:t xml:space="preserve">%</w:t>
            </w:r>
            <w:r>
              <w:rPr>
                <w:rFonts w:hint="eastAsia" w:ascii="Times New Roman" w:eastAsia="宋体"/>
                <w:color w:val="000000" w:themeColor="text1"/>
                <w:sz w:val="24"/>
                <w:highlight w:val="none"/>
                <w:u w:val="single"/>
                <w:lang w:val="en-US" w:eastAsia="zh-CN"/>
              </w:rPr>
              <w:t xml:space="preserve"> </w:t>
            </w:r>
            <w:r>
              <w:rPr>
                <w:rFonts w:hint="eastAsia" w:ascii="Times New Roman" w:eastAsia="宋体"/>
                <w:color w:val="000000" w:themeColor="text1"/>
                <w:sz w:val="24"/>
                <w:highlight w:val="none"/>
                <w:lang w:val="zh-TW" w:eastAsia="zh-CN"/>
              </w:rPr>
              <w:t xml:space="preserve">的履约保证金（</w:t>
            </w: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自主选择以</w:t>
            </w:r>
            <w:r>
              <w:rPr>
                <w:rFonts w:hint="eastAsia" w:ascii="Times New Roman" w:eastAsia="宋体"/>
                <w:color w:val="000000" w:themeColor="text1"/>
                <w:sz w:val="24"/>
                <w:highlight w:val="none"/>
                <w:lang w:val="en-US" w:eastAsia="zh-CN"/>
              </w:rPr>
              <w:t xml:space="preserve">现金或银行保函</w:t>
            </w:r>
            <w:r>
              <w:rPr>
                <w:rFonts w:hint="eastAsia" w:ascii="Times New Roman" w:eastAsia="宋体"/>
                <w:color w:val="000000" w:themeColor="text1"/>
                <w:sz w:val="24"/>
                <w:highlight w:val="none"/>
                <w:lang w:val="zh-TW" w:eastAsia="zh-CN"/>
              </w:rPr>
              <w:t xml:space="preserve">等形式缴纳或递交），按照省市有关文件精神，鼓励优先采用电子履约保函（保险）形式。</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将在终验完毕后返还乙方履约保证金。</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12</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rFonts w:hint="eastAsia"/>
                <w:color w:val="000000" w:themeColor="text1"/>
                <w:sz w:val="24"/>
                <w:szCs w:val="24"/>
              </w:rPr>
            </w:pPr>
            <w:r>
              <w:rPr>
                <w:color w:val="000000" w:themeColor="text1"/>
                <w:sz w:val="24"/>
                <w:szCs w:val="24"/>
              </w:rPr>
              <w:t xml:space="preserve">投标有效期</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color w:val="000000" w:themeColor="text1"/>
                <w:sz w:val="24"/>
                <w:szCs w:val="24"/>
              </w:rPr>
            </w:pPr>
            <w:r>
              <w:rPr>
                <w:color w:val="000000" w:themeColor="text1"/>
                <w:sz w:val="24"/>
                <w:szCs w:val="24"/>
              </w:rPr>
              <w:t xml:space="preserve">自提交投标文件的截止之日起算</w:t>
            </w:r>
            <w:r>
              <w:rPr>
                <w:rFonts w:hint="eastAsia"/>
                <w:color w:val="000000" w:themeColor="text1"/>
                <w:sz w:val="24"/>
                <w:szCs w:val="24"/>
                <w:u w:val="single"/>
                <w:lang w:val="en-US" w:eastAsia="zh-CN"/>
              </w:rPr>
              <w:t xml:space="preserve">120</w:t>
            </w:r>
            <w:r>
              <w:rPr>
                <w:color w:val="000000" w:themeColor="text1"/>
                <w:sz w:val="24"/>
                <w:szCs w:val="24"/>
              </w:rPr>
              <w:t xml:space="preserve">日历天。</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13</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份数</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无需提供纸质</w:t>
            </w: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w:t>
            </w:r>
            <w:r>
              <w:rPr>
                <w:color w:val="000000" w:themeColor="text1"/>
              </w:rPr>
            </w:r>
            <w:r/>
          </w:p>
          <w:p>
            <w:pPr>
              <w:pStyle w:val="866"/>
              <w:jc w:val="left"/>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中标供应商</w:t>
            </w:r>
            <w:r>
              <w:rPr>
                <w:rFonts w:hint="eastAsia" w:ascii="Times New Roman" w:hAnsi="Times New Roman" w:eastAsia="宋体" w:cs="Times New Roman"/>
                <w:color w:val="000000" w:themeColor="text1"/>
                <w:sz w:val="24"/>
                <w:szCs w:val="24"/>
              </w:rPr>
              <w:t xml:space="preserve">在领取中标通知书前须向</w:t>
            </w:r>
            <w:r>
              <w:rPr>
                <w:rFonts w:hint="eastAsia" w:ascii="Times New Roman" w:hAnsi="Times New Roman" w:eastAsia="宋体" w:cs="Times New Roman"/>
                <w:color w:val="000000" w:themeColor="text1"/>
                <w:sz w:val="24"/>
                <w:szCs w:val="24"/>
                <w:lang w:eastAsia="zh-CN"/>
              </w:rPr>
              <w:t xml:space="preserve">采购人</w:t>
            </w:r>
            <w:r>
              <w:rPr>
                <w:rFonts w:hint="eastAsia" w:ascii="Times New Roman" w:hAnsi="Times New Roman" w:eastAsia="宋体" w:cs="Times New Roman"/>
                <w:color w:val="000000" w:themeColor="text1"/>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themeColor="text1"/>
                <w:sz w:val="24"/>
                <w:szCs w:val="24"/>
                <w:u w:val="single"/>
                <w:lang w:val="en-US" w:eastAsia="zh-CN"/>
              </w:rPr>
              <w:t xml:space="preserve"> 3 </w:t>
            </w:r>
            <w:r>
              <w:rPr>
                <w:rFonts w:hint="eastAsia" w:ascii="Times New Roman" w:hAnsi="Times New Roman" w:eastAsia="宋体" w:cs="Times New Roman"/>
                <w:color w:val="000000" w:themeColor="text1"/>
                <w:sz w:val="24"/>
                <w:szCs w:val="24"/>
              </w:rPr>
              <w:t xml:space="preserve">份，并按要求签字盖章，纸质投标书需胶装。</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14</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解密地点</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地点：</w:t>
            </w:r>
            <w:r>
              <w:rPr>
                <w:rFonts w:hint="eastAsia"/>
                <w:color w:val="000000" w:themeColor="text1"/>
                <w:sz w:val="24"/>
                <w:szCs w:val="24"/>
                <w:u w:val="single"/>
                <w:lang w:val="en-US" w:eastAsia="zh-CN"/>
              </w:rPr>
              <w:t xml:space="preserve">通过系统在线解密</w:t>
            </w:r>
            <w:r>
              <w:rPr>
                <w:color w:val="000000" w:themeColor="text1"/>
                <w:sz w:val="24"/>
                <w:szCs w:val="24"/>
              </w:rPr>
              <w:t xml:space="preserve">。</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15</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分包</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u w:val="single"/>
              </w:rPr>
            </w:pPr>
            <w:r>
              <w:rPr>
                <w:color w:val="000000" w:themeColor="text1"/>
                <w:sz w:val="24"/>
                <w:szCs w:val="24"/>
              </w:rPr>
              <w:t xml:space="preserve">本项目的非主体、非关键性工作是否允许分包： </w:t>
            </w:r>
            <w:r>
              <w:rPr>
                <w:rFonts w:hint="eastAsia"/>
                <w:color w:val="000000" w:themeColor="text1"/>
                <w:sz w:val="24"/>
                <w:szCs w:val="24"/>
                <w:lang w:eastAsia="zh-CN"/>
              </w:rPr>
              <w:t xml:space="preserve">☑</w:t>
            </w:r>
            <w:r>
              <w:rPr>
                <w:color w:val="000000" w:themeColor="text1"/>
                <w:sz w:val="24"/>
                <w:szCs w:val="24"/>
              </w:rPr>
              <w:t xml:space="preserve">不允许</w:t>
            </w:r>
            <w:r>
              <w:rPr>
                <w:color w:val="000000" w:themeColor="text1"/>
              </w:rPr>
            </w:r>
            <w:r/>
          </w:p>
        </w:tc>
      </w:tr>
      <w:tr>
        <w:trPr>
          <w:trHeight w:val="54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16</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询问</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color w:val="000000" w:themeColor="text1"/>
                <w:sz w:val="24"/>
                <w:szCs w:val="24"/>
              </w:rPr>
            </w:pPr>
            <w:r>
              <w:rPr>
                <w:rFonts w:hint="eastAsia"/>
                <w:color w:val="000000" w:themeColor="text1"/>
                <w:sz w:val="24"/>
                <w:szCs w:val="24"/>
                <w:lang w:val="en-US" w:eastAsia="zh-CN" w:bidi="ar-SA"/>
              </w:rPr>
              <w:t xml:space="preserve">已登记参加本项目的投标人对招标文件如有疑问，</w:t>
            </w:r>
            <w:r>
              <w:rPr>
                <w:rFonts w:hint="eastAsia" w:ascii="Times New Roman" w:hAnsi="Times New Roman" w:eastAsia="宋体" w:cs="Times New Roman"/>
                <w:color w:val="000000" w:themeColor="text1"/>
                <w:sz w:val="24"/>
                <w:szCs w:val="24"/>
                <w:lang w:val="en-US" w:eastAsia="zh-CN" w:bidi="ar-SA"/>
              </w:rPr>
              <w:t xml:space="preserve">可于</w:t>
            </w:r>
            <w:r>
              <w:rPr>
                <w:rFonts w:hint="eastAsia" w:ascii="Times New Roman" w:hAnsi="Times New Roman" w:eastAsia="宋体" w:cs="Times New Roman"/>
                <w:color w:val="000000" w:themeColor="text1"/>
                <w:sz w:val="24"/>
                <w:szCs w:val="24"/>
                <w:u w:val="single"/>
                <w:lang w:val="en-US" w:eastAsia="zh-CN" w:bidi="ar-SA"/>
              </w:rPr>
              <w:t xml:space="preserve">2026年5月29</w:t>
            </w:r>
            <w:r>
              <w:rPr>
                <w:rFonts w:hint="eastAsia" w:ascii="Times New Roman" w:hAnsi="Times New Roman" w:eastAsia="宋体" w:cs="Times New Roman"/>
                <w:color w:val="000000" w:themeColor="text1"/>
                <w:sz w:val="24"/>
                <w:szCs w:val="24"/>
                <w:lang w:val="en-US" w:eastAsia="zh-CN" w:bidi="ar-SA"/>
              </w:rPr>
              <w:fldChar w:fldCharType="begin"/>
            </w:r>
            <w:r>
              <w:rPr>
                <w:rFonts w:hint="eastAsia" w:ascii="Times New Roman" w:hAnsi="Times New Roman" w:eastAsia="宋体" w:cs="Times New Roman"/>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themeColor="text1"/>
                <w:sz w:val="24"/>
                <w:szCs w:val="24"/>
                <w:lang w:val="en-US" w:eastAsia="zh-CN" w:bidi="ar-SA"/>
              </w:rPr>
              <w:fldChar w:fldCharType="separate"/>
            </w:r>
            <w:r>
              <w:rPr>
                <w:rFonts w:hint="eastAsia" w:ascii="Times New Roman" w:hAnsi="Times New Roman" w:eastAsia="宋体" w:cs="Times New Roman"/>
                <w:color w:val="000000" w:themeColor="text1"/>
                <w:sz w:val="24"/>
                <w:szCs w:val="24"/>
                <w:u w:val="single"/>
                <w:lang w:val="en-US" w:eastAsia="zh-CN" w:bidi="ar-SA"/>
              </w:rPr>
              <w:t xml:space="preserve">日17时00分前</w:t>
            </w:r>
            <w:r>
              <w:rPr>
                <w:rFonts w:hint="eastAsia" w:ascii="Times New Roman" w:hAnsi="Times New Roman" w:eastAsia="宋体" w:cs="Times New Roman"/>
                <w:color w:val="000000" w:themeColor="text1"/>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color w:val="000000" w:themeColor="text1"/>
                <w:sz w:val="24"/>
                <w:szCs w:val="24"/>
                <w:lang w:val="en-US" w:eastAsia="zh-CN" w:bidi="ar-SA"/>
              </w:rPr>
              <w:fldChar w:fldCharType="end"/>
            </w:r>
            <w:r>
              <w:rPr>
                <w:color w:val="000000" w:themeColor="text1"/>
              </w:rPr>
            </w:r>
            <w:r/>
          </w:p>
          <w:p>
            <w:pPr>
              <w:pStyle w:val="866"/>
              <w:jc w:val="left"/>
              <w:pageBreakBefore w:val="0"/>
              <w:spacing w:line="400" w:lineRule="exact"/>
              <w:widowControl w:val="off"/>
              <w:rPr>
                <w:color w:val="000000" w:themeColor="text1"/>
                <w:sz w:val="24"/>
                <w:szCs w:val="24"/>
              </w:rPr>
            </w:pPr>
            <w:r>
              <w:rPr>
                <w:rFonts w:hint="eastAsia"/>
                <w:color w:val="000000" w:themeColor="text1"/>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themeColor="text1"/>
              </w:rPr>
            </w:r>
            <w:r/>
          </w:p>
        </w:tc>
      </w:tr>
      <w:tr>
        <w:trPr>
          <w:trHeight w:val="1775"/>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17</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联系方式</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接收询问和质疑的联系方式：</w:t>
            </w:r>
            <w:r>
              <w:rPr>
                <w:color w:val="000000" w:themeColor="text1"/>
              </w:rPr>
            </w:r>
            <w:r/>
          </w:p>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联系部门：</w:t>
            </w:r>
            <w:r>
              <w:rPr>
                <w:rFonts w:hint="eastAsia"/>
                <w:color w:val="000000" w:themeColor="text1"/>
                <w:sz w:val="24"/>
                <w:szCs w:val="24"/>
                <w:u w:val="single"/>
                <w:lang w:eastAsia="zh-CN"/>
              </w:rPr>
              <w:t xml:space="preserve">江苏铭硕全过程项目管理有限公司</w:t>
            </w:r>
            <w:r>
              <w:rPr>
                <w:color w:val="000000" w:themeColor="text1"/>
                <w:sz w:val="24"/>
                <w:szCs w:val="24"/>
              </w:rPr>
              <w:t xml:space="preserve">；</w:t>
            </w:r>
            <w:r>
              <w:rPr>
                <w:color w:val="000000" w:themeColor="text1"/>
              </w:rPr>
            </w:r>
            <w:r/>
          </w:p>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联系电话：</w:t>
            </w:r>
            <w:r>
              <w:rPr>
                <w:rFonts w:hint="eastAsia"/>
                <w:color w:val="000000" w:themeColor="text1"/>
                <w:sz w:val="24"/>
                <w:szCs w:val="24"/>
                <w:u w:val="single"/>
                <w:lang w:val="en-US" w:eastAsia="zh-CN"/>
              </w:rPr>
              <w:t xml:space="preserve">0519-82618969</w:t>
            </w:r>
            <w:r>
              <w:rPr>
                <w:color w:val="000000" w:themeColor="text1"/>
                <w:sz w:val="24"/>
                <w:szCs w:val="24"/>
              </w:rPr>
              <w:t xml:space="preserve">；</w:t>
            </w:r>
            <w:r>
              <w:rPr>
                <w:color w:val="000000" w:themeColor="text1"/>
              </w:rPr>
            </w:r>
            <w:r/>
          </w:p>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通讯地址：</w:t>
            </w:r>
            <w:r>
              <w:rPr>
                <w:rFonts w:hint="eastAsia"/>
                <w:color w:val="000000" w:themeColor="text1"/>
                <w:sz w:val="24"/>
                <w:szCs w:val="24"/>
                <w:u w:val="single"/>
              </w:rPr>
              <w:t xml:space="preserve">常州市金坛区金鑫路165号中景商务楼A座8楼809室</w:t>
            </w:r>
            <w:r>
              <w:rPr>
                <w:color w:val="000000" w:themeColor="text1"/>
                <w:sz w:val="24"/>
                <w:szCs w:val="24"/>
                <w:u w:val="single"/>
              </w:rPr>
              <w:t xml:space="preserve">。</w:t>
            </w:r>
            <w:r>
              <w:rPr>
                <w:color w:val="000000" w:themeColor="text1"/>
              </w:rPr>
            </w:r>
            <w:r/>
          </w:p>
        </w:tc>
      </w:tr>
      <w:tr>
        <w:trPr>
          <w:trHeight w:val="1780"/>
        </w:trPr>
        <w:tc>
          <w:tcPr>
            <w:tcW w:w="1011" w:type="dxa"/>
            <w:vAlign w:val="center"/>
            <w:textDirection w:val="lrTb"/>
            <w:noWrap w:val="false"/>
          </w:tcPr>
          <w:p>
            <w:pPr>
              <w:pStyle w:val="906"/>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18</w:t>
            </w:r>
            <w:r>
              <w:rPr>
                <w:color w:val="000000" w:themeColor="text1"/>
              </w:rPr>
            </w:r>
            <w:r/>
          </w:p>
        </w:tc>
        <w:tc>
          <w:tcPr>
            <w:tcW w:w="1680" w:type="dxa"/>
            <w:vAlign w:val="center"/>
            <w:textDirection w:val="lrTb"/>
            <w:noWrap w:val="false"/>
          </w:tcPr>
          <w:p>
            <w:pPr>
              <w:pStyle w:val="866"/>
              <w:jc w:val="center"/>
              <w:pageBreakBefore w:val="0"/>
              <w:spacing w:line="400" w:lineRule="exact"/>
              <w:widowControl w:val="off"/>
              <w:rPr>
                <w:color w:val="000000" w:themeColor="text1"/>
                <w:sz w:val="24"/>
                <w:szCs w:val="24"/>
              </w:rPr>
            </w:pPr>
            <w:r>
              <w:rPr>
                <w:color w:val="000000" w:themeColor="text1"/>
                <w:sz w:val="24"/>
                <w:szCs w:val="24"/>
              </w:rPr>
              <w:t xml:space="preserve">代理费</w:t>
            </w:r>
            <w:r>
              <w:rPr>
                <w:color w:val="000000" w:themeColor="text1"/>
              </w:rPr>
            </w:r>
            <w:r/>
          </w:p>
        </w:tc>
        <w:tc>
          <w:tcPr>
            <w:tcW w:w="7145" w:type="dxa"/>
            <w:vAlign w:val="center"/>
            <w:textDirection w:val="lrTb"/>
            <w:noWrap w:val="false"/>
          </w:tcPr>
          <w:p>
            <w:pPr>
              <w:pStyle w:val="866"/>
              <w:jc w:val="left"/>
              <w:pageBreakBefore w:val="0"/>
              <w:spacing w:line="400" w:lineRule="exact"/>
              <w:widowControl w:val="off"/>
              <w:rPr>
                <w:rFonts w:hint="eastAsia" w:eastAsia="宋体"/>
                <w:color w:val="000000" w:themeColor="text1"/>
                <w:sz w:val="24"/>
                <w:szCs w:val="24"/>
              </w:rPr>
            </w:pPr>
            <w:r>
              <w:rPr>
                <w:color w:val="000000" w:themeColor="text1"/>
                <w:sz w:val="24"/>
                <w:szCs w:val="24"/>
              </w:rPr>
              <w:t xml:space="preserve">收费对象：</w:t>
            </w:r>
            <w:r>
              <w:rPr>
                <w:rFonts w:ascii="Wingdings 2" w:hAnsi="Wingdings 2" w:eastAsia="Wingdings 2" w:cs="Wingdings 2"/>
                <w:color w:val="000000" w:themeColor="text1"/>
                <w:sz w:val="24"/>
                <w:szCs w:val="24"/>
              </w:rPr>
              <w:t xml:space="preserve">£</w:t>
            </w:r>
            <w:r>
              <w:rPr>
                <w:color w:val="000000" w:themeColor="text1"/>
                <w:sz w:val="24"/>
                <w:szCs w:val="24"/>
              </w:rPr>
              <w:t xml:space="preserve">采购人</w:t>
            </w:r>
            <w:r>
              <w:rPr>
                <w:rFonts w:hint="eastAsia"/>
                <w:color w:val="000000" w:themeColor="text1"/>
                <w:sz w:val="24"/>
                <w:szCs w:val="24"/>
                <w:lang w:val="en-US" w:eastAsia="zh-CN"/>
              </w:rPr>
              <w:t xml:space="preserve">    </w:t>
            </w:r>
            <w:r>
              <w:rPr>
                <w:rFonts w:ascii="Wingdings 2" w:hAnsi="Wingdings 2" w:eastAsia="Wingdings 2" w:cs="Wingdings 2"/>
                <w:color w:val="000000" w:themeColor="text1"/>
                <w:sz w:val="24"/>
                <w:szCs w:val="24"/>
              </w:rPr>
              <w:t xml:space="preserve">R</w:t>
            </w:r>
            <w:r>
              <w:rPr>
                <w:rFonts w:hint="eastAsia"/>
                <w:color w:val="000000" w:themeColor="text1"/>
                <w:sz w:val="24"/>
                <w:szCs w:val="24"/>
                <w:lang w:eastAsia="zh-CN"/>
              </w:rPr>
              <w:t xml:space="preserve">中标人</w:t>
            </w:r>
            <w:r>
              <w:rPr>
                <w:color w:val="000000" w:themeColor="text1"/>
              </w:rPr>
            </w:r>
            <w:r/>
          </w:p>
          <w:p>
            <w:pPr>
              <w:pStyle w:val="866"/>
              <w:jc w:val="left"/>
              <w:pageBreakBefore w:val="0"/>
              <w:spacing w:line="400" w:lineRule="exact"/>
              <w:widowControl w:val="off"/>
              <w:rPr>
                <w:rFonts w:ascii="Times New Roman" w:hAnsi="Times New Roman" w:eastAsia="宋体" w:cs="Times New Roman"/>
                <w:color w:val="000000" w:themeColor="text1"/>
                <w:sz w:val="24"/>
                <w:szCs w:val="24"/>
                <w:u w:val="single"/>
              </w:rPr>
            </w:pPr>
            <w:r>
              <w:rPr>
                <w:color w:val="000000" w:themeColor="text1"/>
                <w:sz w:val="24"/>
                <w:szCs w:val="24"/>
              </w:rPr>
              <w:t xml:space="preserve">收费标准：</w:t>
            </w:r>
            <w:r>
              <w:rPr>
                <w:rFonts w:hint="eastAsia"/>
                <w:color w:val="000000" w:themeColor="text1"/>
                <w:sz w:val="24"/>
                <w:szCs w:val="24"/>
                <w:u w:val="single"/>
              </w:rPr>
              <w:t xml:space="preserve">成交供应商须按其</w:t>
            </w:r>
            <w:r>
              <w:rPr>
                <w:rFonts w:hint="eastAsia"/>
                <w:color w:val="000000" w:themeColor="text1"/>
                <w:sz w:val="24"/>
                <w:szCs w:val="24"/>
                <w:u w:val="single"/>
                <w:lang w:val="en-US" w:eastAsia="zh-CN"/>
              </w:rPr>
              <w:t xml:space="preserve">中标价</w:t>
            </w:r>
            <w:r>
              <w:rPr>
                <w:rFonts w:hint="eastAsia"/>
                <w:color w:val="000000" w:themeColor="text1"/>
                <w:sz w:val="24"/>
                <w:szCs w:val="24"/>
                <w:u w:val="single"/>
              </w:rPr>
              <w:t xml:space="preserve">的</w:t>
            </w:r>
            <w:r>
              <w:rPr>
                <w:rFonts w:hint="eastAsia" w:ascii="Times New Roman" w:hAnsi="Times New Roman" w:eastAsia="宋体" w:cs="Times New Roman"/>
                <w:color w:val="000000" w:themeColor="text1"/>
                <w:sz w:val="24"/>
                <w:szCs w:val="24"/>
                <w:u w:val="single"/>
                <w:lang w:val="en-US" w:eastAsia="zh-CN"/>
              </w:rPr>
              <w:t xml:space="preserve">0.8</w:t>
            </w:r>
            <w:r>
              <w:rPr>
                <w:rFonts w:hint="eastAsia" w:ascii="Times New Roman" w:hAnsi="Times New Roman" w:eastAsia="宋体" w:cs="Times New Roman"/>
                <w:color w:val="000000" w:themeColor="text1"/>
                <w:sz w:val="24"/>
                <w:szCs w:val="24"/>
                <w:u w:val="single"/>
              </w:rPr>
              <w:t xml:space="preserve">%计</w:t>
            </w:r>
            <w:r>
              <w:rPr>
                <w:rFonts w:hint="eastAsia"/>
                <w:color w:val="000000" w:themeColor="text1"/>
                <w:sz w:val="24"/>
                <w:szCs w:val="24"/>
                <w:u w:val="single"/>
              </w:rPr>
              <w:t xml:space="preserve">算并支付代理费</w:t>
            </w:r>
            <w:r>
              <w:rPr>
                <w:rFonts w:hint="eastAsia" w:ascii="Times New Roman" w:hAnsi="Times New Roman" w:eastAsia="宋体" w:cs="Times New Roman"/>
                <w:color w:val="000000" w:themeColor="text1"/>
                <w:sz w:val="24"/>
                <w:szCs w:val="24"/>
                <w:u w:val="single"/>
                <w:lang w:eastAsia="zh-CN"/>
              </w:rPr>
              <w:t xml:space="preserve">；</w:t>
            </w:r>
            <w:r>
              <w:rPr>
                <w:color w:val="000000" w:themeColor="text1"/>
              </w:rPr>
            </w:r>
            <w:r/>
          </w:p>
          <w:p>
            <w:pPr>
              <w:pStyle w:val="866"/>
              <w:jc w:val="left"/>
              <w:pageBreakBefore w:val="0"/>
              <w:spacing w:line="400" w:lineRule="exact"/>
              <w:widowControl w:val="off"/>
              <w:rPr>
                <w:color w:val="000000" w:themeColor="text1"/>
                <w:sz w:val="24"/>
                <w:szCs w:val="24"/>
              </w:rPr>
            </w:pPr>
            <w:r>
              <w:rPr>
                <w:color w:val="000000" w:themeColor="text1"/>
                <w:sz w:val="24"/>
                <w:szCs w:val="24"/>
              </w:rPr>
              <w:t xml:space="preserve">时间：</w:t>
            </w:r>
            <w:r>
              <w:rPr>
                <w:rFonts w:hint="eastAsia"/>
                <w:color w:val="000000" w:themeColor="text1"/>
                <w:sz w:val="24"/>
                <w:szCs w:val="24"/>
                <w:u w:val="single"/>
                <w:lang w:val="en-US" w:eastAsia="zh-CN"/>
              </w:rPr>
              <w:t xml:space="preserve">由中标人在领取中标通知书时支付代理费，请投标单位综合考虑</w:t>
            </w:r>
            <w:r>
              <w:rPr>
                <w:color w:val="000000" w:themeColor="text1"/>
                <w:sz w:val="24"/>
                <w:szCs w:val="24"/>
                <w:u w:val="none"/>
              </w:rPr>
              <w:t xml:space="preserve">。</w:t>
            </w:r>
            <w:r>
              <w:rPr>
                <w:color w:val="000000" w:themeColor="text1"/>
              </w:rPr>
            </w:r>
            <w:r/>
          </w:p>
        </w:tc>
      </w:tr>
    </w:tbl>
    <w:p>
      <w:pPr>
        <w:pStyle w:val="866"/>
        <w:jc w:val="center"/>
        <w:keepLines w:val="0"/>
        <w:keepNext w:val="0"/>
        <w:pageBreakBefore w:val="0"/>
        <w:spacing w:before="240" w:after="240" w:line="380" w:lineRule="exact"/>
        <w:widowControl w:val="off"/>
        <w:rPr>
          <w:b/>
          <w:color w:val="000000" w:themeColor="text1"/>
          <w:sz w:val="28"/>
          <w:szCs w:val="28"/>
        </w:rPr>
        <w:outlineLvl w:val="2"/>
      </w:pPr>
      <w:r>
        <w:rPr>
          <w:color w:val="000000" w:themeColor="text1"/>
        </w:rPr>
        <w:br w:type="page" w:clear="all"/>
      </w:r>
      <w:bookmarkStart w:id="71" w:name="_Toc127151517"/>
      <w:r>
        <w:rPr>
          <w:color w:val="000000" w:themeColor="text1"/>
        </w:rPr>
      </w:r>
      <w:bookmarkStart w:id="72" w:name="_Toc150774722"/>
      <w:r>
        <w:rPr>
          <w:color w:val="000000" w:themeColor="text1"/>
        </w:rPr>
      </w:r>
      <w:bookmarkStart w:id="73" w:name="_Toc195842882"/>
      <w:r>
        <w:rPr>
          <w:color w:val="000000" w:themeColor="text1"/>
        </w:rPr>
      </w:r>
      <w:bookmarkStart w:id="74" w:name="_Toc150480755"/>
      <w:r>
        <w:rPr>
          <w:color w:val="000000" w:themeColor="text1"/>
        </w:rPr>
      </w:r>
      <w:bookmarkStart w:id="75" w:name="_Toc265228355"/>
      <w:r>
        <w:rPr>
          <w:color w:val="000000" w:themeColor="text1"/>
        </w:rPr>
      </w:r>
      <w:bookmarkStart w:id="76" w:name="_Toc353873932"/>
      <w:r>
        <w:rPr>
          <w:color w:val="000000" w:themeColor="text1"/>
        </w:rPr>
      </w:r>
      <w:bookmarkStart w:id="77" w:name="_Toc226337213"/>
      <w:r>
        <w:rPr>
          <w:color w:val="000000" w:themeColor="text1"/>
        </w:rPr>
      </w:r>
      <w:bookmarkStart w:id="78" w:name="_Toc142311019"/>
      <w:r>
        <w:rPr>
          <w:color w:val="000000" w:themeColor="text1"/>
        </w:rPr>
      </w:r>
      <w:bookmarkStart w:id="79" w:name="_Toc264969207"/>
      <w:r>
        <w:rPr>
          <w:color w:val="000000" w:themeColor="text1"/>
        </w:rPr>
      </w:r>
      <w:bookmarkStart w:id="80" w:name="_Toc226965790"/>
      <w:r>
        <w:rPr>
          <w:color w:val="000000" w:themeColor="text1"/>
        </w:rPr>
      </w:r>
      <w:bookmarkStart w:id="81" w:name="_Toc353825542"/>
      <w:r>
        <w:rPr>
          <w:color w:val="000000" w:themeColor="text1"/>
        </w:rPr>
      </w:r>
      <w:bookmarkStart w:id="82" w:name="_Toc353873662"/>
      <w:r>
        <w:rPr>
          <w:color w:val="000000" w:themeColor="text1"/>
        </w:rPr>
      </w:r>
      <w:bookmarkStart w:id="83" w:name="_Toc305158785"/>
      <w:r>
        <w:rPr>
          <w:color w:val="000000" w:themeColor="text1"/>
        </w:rPr>
      </w:r>
      <w:bookmarkStart w:id="84" w:name="_Toc305158859"/>
      <w:r>
        <w:rPr>
          <w:b/>
          <w:color w:val="000000" w:themeColor="text1"/>
          <w:sz w:val="28"/>
          <w:szCs w:val="28"/>
        </w:rPr>
        <w:t xml:space="preserve">投标人须知</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pStyle w:val="868"/>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5" w:name="_Toc520356143"/>
      <w:r>
        <w:rPr>
          <w:color w:val="000000" w:themeColor="text1"/>
        </w:rPr>
      </w:r>
      <w:bookmarkStart w:id="86" w:name="_Toc127151518"/>
      <w:r>
        <w:rPr>
          <w:rFonts w:ascii="Times New Roman" w:hAnsi="Times New Roman" w:eastAsia="宋体"/>
          <w:color w:val="000000" w:themeColor="text1"/>
          <w:sz w:val="28"/>
        </w:rPr>
        <w:tab/>
      </w:r>
      <w:bookmarkStart w:id="87" w:name="_Toc195842883"/>
      <w:r>
        <w:rPr>
          <w:color w:val="000000" w:themeColor="text1"/>
        </w:rPr>
      </w:r>
      <w:bookmarkStart w:id="88" w:name="_Toc150480756"/>
      <w:r>
        <w:rPr>
          <w:color w:val="000000" w:themeColor="text1"/>
        </w:rPr>
      </w:r>
      <w:bookmarkStart w:id="89" w:name="_Toc142311020"/>
      <w:r>
        <w:rPr>
          <w:color w:val="000000" w:themeColor="text1"/>
        </w:rPr>
      </w:r>
      <w:bookmarkStart w:id="90" w:name="_Toc226337214"/>
      <w:r>
        <w:rPr>
          <w:color w:val="000000" w:themeColor="text1"/>
        </w:rPr>
      </w:r>
      <w:bookmarkStart w:id="91" w:name="_Toc151193616"/>
      <w:r>
        <w:rPr>
          <w:color w:val="000000" w:themeColor="text1"/>
        </w:rPr>
      </w:r>
      <w:bookmarkStart w:id="92" w:name="_Toc226965791"/>
      <w:r>
        <w:rPr>
          <w:color w:val="000000" w:themeColor="text1"/>
        </w:rPr>
      </w:r>
      <w:bookmarkStart w:id="93" w:name="_Toc305158860"/>
      <w:r>
        <w:rPr>
          <w:color w:val="000000" w:themeColor="text1"/>
        </w:rPr>
      </w:r>
      <w:bookmarkStart w:id="94" w:name="_Toc265228356"/>
      <w:r>
        <w:rPr>
          <w:color w:val="000000" w:themeColor="text1"/>
        </w:rPr>
      </w:r>
      <w:bookmarkStart w:id="95" w:name="_Toc226965708"/>
      <w:r>
        <w:rPr>
          <w:color w:val="000000" w:themeColor="text1"/>
        </w:rPr>
      </w:r>
      <w:bookmarkStart w:id="96" w:name="_Toc305158786"/>
      <w:r>
        <w:rPr>
          <w:color w:val="000000" w:themeColor="text1"/>
        </w:rPr>
      </w:r>
      <w:bookmarkStart w:id="97" w:name="_Toc264969208"/>
      <w:r>
        <w:rPr>
          <w:color w:val="000000" w:themeColor="text1"/>
        </w:rPr>
      </w:r>
      <w:bookmarkStart w:id="98" w:name="_Toc226309762"/>
      <w:r>
        <w:rPr>
          <w:color w:val="000000" w:themeColor="text1"/>
        </w:rPr>
      </w:r>
      <w:bookmarkStart w:id="99" w:name="_Toc151190145"/>
      <w:r>
        <w:rPr>
          <w:color w:val="000000" w:themeColor="text1"/>
        </w:rPr>
      </w:r>
      <w:bookmarkStart w:id="100" w:name="_Toc150509269"/>
      <w:r>
        <w:rPr>
          <w:color w:val="000000" w:themeColor="text1"/>
        </w:rPr>
      </w:r>
      <w:bookmarkStart w:id="101" w:name="_Toc151193760"/>
      <w:r>
        <w:rPr>
          <w:color w:val="000000" w:themeColor="text1"/>
        </w:rPr>
      </w:r>
      <w:bookmarkStart w:id="102" w:name="_Toc151193832"/>
      <w:r>
        <w:rPr>
          <w:color w:val="000000" w:themeColor="text1"/>
        </w:rPr>
      </w:r>
      <w:bookmarkStart w:id="103" w:name="_Toc150774618"/>
      <w:r>
        <w:rPr>
          <w:color w:val="000000" w:themeColor="text1"/>
        </w:rPr>
      </w:r>
      <w:bookmarkStart w:id="104" w:name="_Toc151193688"/>
      <w:r>
        <w:rPr>
          <w:color w:val="000000" w:themeColor="text1"/>
        </w:rPr>
      </w:r>
      <w:bookmarkStart w:id="105" w:name="_Toc151193906"/>
      <w:r>
        <w:rPr>
          <w:color w:val="000000" w:themeColor="text1"/>
        </w:rPr>
      </w:r>
      <w:bookmarkStart w:id="106" w:name="_Toc150774723"/>
      <w:r>
        <w:rPr>
          <w:rFonts w:ascii="Times New Roman" w:hAnsi="Times New Roman" w:eastAsia="宋体"/>
          <w:color w:val="000000" w:themeColor="text1"/>
          <w:sz w:val="28"/>
        </w:rPr>
        <w:t xml:space="preserve">一   说  明</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rFonts w:ascii="Times New Roman" w:hAnsi="Times New Roman" w:eastAsia="宋体"/>
          <w:color w:val="000000" w:themeColor="text1"/>
          <w:sz w:val="28"/>
        </w:rPr>
        <w:tab/>
      </w:r>
      <w:r>
        <w:rPr>
          <w:color w:val="000000" w:themeColor="text1"/>
        </w:rPr>
      </w:r>
      <w:r/>
    </w:p>
    <w:p>
      <w:pPr>
        <w:pStyle w:val="866"/>
        <w:numPr>
          <w:ilvl w:val="0"/>
          <w:numId w:val="9"/>
        </w:numPr>
        <w:ind w:left="357" w:hanging="357"/>
        <w:pageBreakBefore w:val="0"/>
        <w:spacing w:line="380" w:lineRule="exact"/>
        <w:widowControl w:val="off"/>
        <w:tabs>
          <w:tab w:val="left" w:pos="360" w:leader="none"/>
        </w:tabs>
        <w:rPr>
          <w:color w:val="000000" w:themeColor="text1"/>
          <w:sz w:val="24"/>
        </w:rPr>
        <w:outlineLvl w:val="2"/>
      </w:pPr>
      <w:r>
        <w:rPr>
          <w:color w:val="000000" w:themeColor="text1"/>
        </w:rPr>
      </w:r>
      <w:bookmarkStart w:id="107" w:name="_Toc305158787"/>
      <w:r>
        <w:rPr>
          <w:color w:val="000000" w:themeColor="text1"/>
        </w:rPr>
      </w:r>
      <w:bookmarkStart w:id="108" w:name="_Toc265228357"/>
      <w:r>
        <w:rPr>
          <w:color w:val="000000" w:themeColor="text1"/>
        </w:rPr>
      </w:r>
      <w:bookmarkStart w:id="109" w:name="_Toc264969209"/>
      <w:r>
        <w:rPr>
          <w:color w:val="000000" w:themeColor="text1"/>
        </w:rPr>
      </w:r>
      <w:bookmarkStart w:id="110" w:name="_Toc305158861"/>
      <w:r>
        <w:rPr>
          <w:color w:val="000000" w:themeColor="text1"/>
          <w:sz w:val="24"/>
        </w:rPr>
        <w:t xml:space="preserve">采购人、采购代理机构、投标人</w:t>
      </w:r>
      <w:bookmarkEnd w:id="107"/>
      <w:r>
        <w:rPr>
          <w:color w:val="000000" w:themeColor="text1"/>
        </w:rPr>
      </w:r>
      <w:bookmarkEnd w:id="108"/>
      <w:r>
        <w:rPr>
          <w:color w:val="000000" w:themeColor="text1"/>
        </w:rPr>
      </w:r>
      <w:bookmarkEnd w:id="109"/>
      <w:r>
        <w:rPr>
          <w:color w:val="000000" w:themeColor="text1"/>
        </w:rPr>
      </w:r>
      <w:bookmarkEnd w:id="110"/>
      <w:r>
        <w:rPr>
          <w:rFonts w:hint="eastAsia"/>
          <w:color w:val="000000" w:themeColor="text1"/>
          <w:sz w:val="24"/>
        </w:rPr>
        <w:t xml:space="preserve">、联合体</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投标人（也称</w:t>
      </w:r>
      <w:r>
        <w:rPr>
          <w:rFonts w:hint="eastAsia"/>
          <w:color w:val="000000" w:themeColor="text1"/>
          <w:sz w:val="24"/>
        </w:rPr>
        <w:t xml:space="preserve">“供应商”、“</w:t>
      </w:r>
      <w:r>
        <w:rPr>
          <w:color w:val="000000" w:themeColor="text1"/>
          <w:sz w:val="24"/>
        </w:rPr>
        <w:t xml:space="preserve">申请人</w:t>
      </w:r>
      <w:r>
        <w:rPr>
          <w:rFonts w:hint="eastAsia"/>
          <w:color w:val="000000" w:themeColor="text1"/>
          <w:sz w:val="24"/>
        </w:rPr>
        <w:t xml:space="preserve">”</w:t>
      </w:r>
      <w:r>
        <w:rPr>
          <w:color w:val="000000" w:themeColor="text1"/>
          <w:sz w:val="24"/>
        </w:rPr>
        <w:t xml:space="preserve">）：指向采购人提供货物、工程或者服务的法人、其他组织或者自然人。</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rFonts w:hint="eastAsia"/>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866"/>
        <w:numPr>
          <w:ilvl w:val="0"/>
          <w:numId w:val="9"/>
        </w:numPr>
        <w:ind w:left="357" w:hanging="357"/>
        <w:pageBreakBefore w:val="0"/>
        <w:spacing w:line="380" w:lineRule="exact"/>
        <w:widowControl w:val="off"/>
        <w:tabs>
          <w:tab w:val="left" w:pos="360" w:leader="none"/>
        </w:tabs>
        <w:rPr>
          <w:color w:val="000000" w:themeColor="text1"/>
          <w:sz w:val="24"/>
        </w:rPr>
        <w:outlineLvl w:val="2"/>
      </w:pPr>
      <w:r>
        <w:rPr>
          <w:color w:val="000000" w:themeColor="text1"/>
        </w:rPr>
      </w:r>
      <w:bookmarkStart w:id="111" w:name="_Toc150480758"/>
      <w:r>
        <w:rPr>
          <w:color w:val="000000" w:themeColor="text1"/>
        </w:rPr>
      </w:r>
      <w:bookmarkStart w:id="112" w:name="_Toc264969210"/>
      <w:r>
        <w:rPr>
          <w:color w:val="000000" w:themeColor="text1"/>
        </w:rPr>
      </w:r>
      <w:bookmarkStart w:id="113" w:name="_Toc127161434"/>
      <w:r>
        <w:rPr>
          <w:color w:val="000000" w:themeColor="text1"/>
        </w:rPr>
      </w:r>
      <w:bookmarkStart w:id="114" w:name="_Toc305158862"/>
      <w:r>
        <w:rPr>
          <w:color w:val="000000" w:themeColor="text1"/>
        </w:rPr>
      </w:r>
      <w:bookmarkStart w:id="115" w:name="_Toc151193690"/>
      <w:r>
        <w:rPr>
          <w:color w:val="000000" w:themeColor="text1"/>
        </w:rPr>
      </w:r>
      <w:bookmarkStart w:id="116" w:name="_Toc127151721"/>
      <w:r>
        <w:rPr>
          <w:color w:val="000000" w:themeColor="text1"/>
        </w:rPr>
      </w:r>
      <w:bookmarkStart w:id="117" w:name="_Toc164229361"/>
      <w:r>
        <w:rPr>
          <w:color w:val="000000" w:themeColor="text1"/>
        </w:rPr>
      </w:r>
      <w:bookmarkStart w:id="118" w:name="_Toc151193834"/>
      <w:r>
        <w:rPr>
          <w:color w:val="000000" w:themeColor="text1"/>
        </w:rPr>
      </w:r>
      <w:bookmarkStart w:id="119" w:name="_Toc150509271"/>
      <w:r>
        <w:rPr>
          <w:color w:val="000000" w:themeColor="text1"/>
        </w:rPr>
      </w:r>
      <w:bookmarkStart w:id="120" w:name="_Toc142311022"/>
      <w:r>
        <w:rPr>
          <w:color w:val="000000" w:themeColor="text1"/>
        </w:rPr>
      </w:r>
      <w:bookmarkStart w:id="121" w:name="_Toc305158788"/>
      <w:r>
        <w:rPr>
          <w:color w:val="000000" w:themeColor="text1"/>
        </w:rPr>
      </w:r>
      <w:bookmarkStart w:id="122" w:name="_Toc127151520"/>
      <w:r>
        <w:rPr>
          <w:color w:val="000000" w:themeColor="text1"/>
        </w:rPr>
      </w:r>
      <w:bookmarkStart w:id="123" w:name="_Toc164351614"/>
      <w:r>
        <w:rPr>
          <w:color w:val="000000" w:themeColor="text1"/>
        </w:rPr>
      </w:r>
      <w:bookmarkStart w:id="124" w:name="_Toc151193618"/>
      <w:r>
        <w:rPr>
          <w:color w:val="000000" w:themeColor="text1"/>
        </w:rPr>
      </w:r>
      <w:bookmarkStart w:id="125" w:name="_Toc151193762"/>
      <w:r>
        <w:rPr>
          <w:color w:val="000000" w:themeColor="text1"/>
        </w:rPr>
      </w:r>
      <w:bookmarkStart w:id="126" w:name="_Toc164229215"/>
      <w:r>
        <w:rPr>
          <w:color w:val="000000" w:themeColor="text1"/>
        </w:rPr>
      </w:r>
      <w:bookmarkStart w:id="127" w:name="_Toc226309764"/>
      <w:r>
        <w:rPr>
          <w:color w:val="000000" w:themeColor="text1"/>
        </w:rPr>
      </w:r>
      <w:bookmarkStart w:id="128" w:name="_Toc226965793"/>
      <w:r>
        <w:rPr>
          <w:color w:val="000000" w:themeColor="text1"/>
        </w:rPr>
      </w:r>
      <w:bookmarkStart w:id="129" w:name="_Toc195842885"/>
      <w:r>
        <w:rPr>
          <w:color w:val="000000" w:themeColor="text1"/>
        </w:rPr>
      </w:r>
      <w:bookmarkStart w:id="130" w:name="_Toc265228358"/>
      <w:r>
        <w:rPr>
          <w:color w:val="000000" w:themeColor="text1"/>
        </w:rPr>
      </w:r>
      <w:bookmarkStart w:id="131" w:name="_Toc151193908"/>
      <w:r>
        <w:rPr>
          <w:color w:val="000000" w:themeColor="text1"/>
        </w:rPr>
      </w:r>
      <w:bookmarkStart w:id="132" w:name="_Toc226965710"/>
      <w:r>
        <w:rPr>
          <w:color w:val="000000" w:themeColor="text1"/>
        </w:rPr>
      </w:r>
      <w:bookmarkStart w:id="133" w:name="_Toc164608634"/>
      <w:r>
        <w:rPr>
          <w:color w:val="000000" w:themeColor="text1"/>
        </w:rPr>
      </w:r>
      <w:bookmarkStart w:id="134" w:name="_Toc150774725"/>
      <w:r>
        <w:rPr>
          <w:color w:val="000000" w:themeColor="text1"/>
        </w:rPr>
      </w:r>
      <w:bookmarkStart w:id="135" w:name="_Toc151190147"/>
      <w:r>
        <w:rPr>
          <w:color w:val="000000" w:themeColor="text1"/>
        </w:rPr>
      </w:r>
      <w:bookmarkStart w:id="136" w:name="_Toc149720813"/>
      <w:r>
        <w:rPr>
          <w:color w:val="000000" w:themeColor="text1"/>
        </w:rPr>
      </w:r>
      <w:bookmarkStart w:id="137" w:name="_Toc164608789"/>
      <w:r>
        <w:rPr>
          <w:color w:val="000000" w:themeColor="text1"/>
        </w:rPr>
      </w:r>
      <w:bookmarkStart w:id="138" w:name="_Toc150774620"/>
      <w:r>
        <w:rPr>
          <w:color w:val="000000" w:themeColor="text1"/>
        </w:rPr>
      </w:r>
      <w:bookmarkStart w:id="139" w:name="_Toc226337216"/>
      <w:r>
        <w:rPr>
          <w:color w:val="000000" w:themeColor="text1"/>
          <w:sz w:val="24"/>
        </w:rPr>
        <w:t xml:space="preserve">资金来源</w:t>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sz w:val="24"/>
        </w:rPr>
        <w:t xml:space="preserve">、项目属性、科研仪器设备采购、核心产品</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项目属性见《投标人须知资料表》。</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是否属于科研仪器设备采购见《投标人须知资料表》。</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核心产品见《投标人须知资料表》。</w:t>
      </w:r>
      <w:r>
        <w:rPr>
          <w:color w:val="000000" w:themeColor="text1"/>
        </w:rPr>
      </w:r>
      <w:r/>
    </w:p>
    <w:p>
      <w:pPr>
        <w:pStyle w:val="866"/>
        <w:numPr>
          <w:ilvl w:val="0"/>
          <w:numId w:val="9"/>
        </w:numPr>
        <w:ind w:left="357" w:hanging="357"/>
        <w:pageBreakBefore w:val="0"/>
        <w:spacing w:line="380" w:lineRule="exact"/>
        <w:widowControl w:val="off"/>
        <w:tabs>
          <w:tab w:val="left" w:pos="360" w:leader="none"/>
          <w:tab w:val="left" w:pos="900" w:leader="none"/>
        </w:tabs>
        <w:rPr>
          <w:color w:val="000000" w:themeColor="text1"/>
          <w:sz w:val="24"/>
        </w:rPr>
        <w:outlineLvl w:val="2"/>
      </w:pPr>
      <w:r>
        <w:rPr>
          <w:color w:val="000000" w:themeColor="text1"/>
          <w:sz w:val="24"/>
        </w:rPr>
        <w:t xml:space="preserve">现场考察、开标前答疑会</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8"/>
        </w:rPr>
      </w:pPr>
      <w:r>
        <w:rPr>
          <w:color w:val="000000" w:themeColor="text1"/>
          <w:sz w:val="24"/>
        </w:rPr>
        <w:t xml:space="preserve">若《投标人须知资料表》中规定了组织现场考察、召开开标前答疑会，则投标人应按要求在规定的时间和地点参加。</w:t>
      </w:r>
      <w:bookmarkStart w:id="140" w:name="_Toc226337218"/>
      <w:r>
        <w:rPr>
          <w:color w:val="000000" w:themeColor="text1"/>
        </w:rPr>
      </w:r>
      <w:bookmarkStart w:id="141" w:name="_Toc150774622"/>
      <w:r>
        <w:rPr>
          <w:color w:val="000000" w:themeColor="text1"/>
        </w:rPr>
      </w:r>
      <w:bookmarkStart w:id="142" w:name="_Toc195842887"/>
      <w:r>
        <w:rPr>
          <w:color w:val="000000" w:themeColor="text1"/>
        </w:rPr>
      </w:r>
      <w:bookmarkStart w:id="143" w:name="_Toc150480760"/>
      <w:r>
        <w:rPr>
          <w:color w:val="000000" w:themeColor="text1"/>
        </w:rPr>
      </w:r>
      <w:bookmarkStart w:id="144" w:name="_Toc226965795"/>
      <w:r>
        <w:rPr>
          <w:color w:val="000000" w:themeColor="text1"/>
        </w:rPr>
      </w:r>
      <w:bookmarkStart w:id="145" w:name="_Toc305158790"/>
      <w:r>
        <w:rPr>
          <w:color w:val="000000" w:themeColor="text1"/>
        </w:rPr>
      </w:r>
      <w:bookmarkStart w:id="146" w:name="_Toc150774727"/>
      <w:r>
        <w:rPr>
          <w:color w:val="000000" w:themeColor="text1"/>
        </w:rPr>
      </w:r>
      <w:bookmarkStart w:id="147" w:name="_Toc150509273"/>
      <w:r>
        <w:rPr>
          <w:color w:val="000000" w:themeColor="text1"/>
        </w:rPr>
      </w:r>
      <w:bookmarkStart w:id="148" w:name="_Toc265228360"/>
      <w:r>
        <w:rPr>
          <w:color w:val="000000" w:themeColor="text1"/>
        </w:rPr>
      </w:r>
      <w:bookmarkStart w:id="149" w:name="_Toc151193836"/>
      <w:r>
        <w:rPr>
          <w:color w:val="000000" w:themeColor="text1"/>
        </w:rPr>
      </w:r>
      <w:bookmarkStart w:id="150" w:name="_Toc226965712"/>
      <w:r>
        <w:rPr>
          <w:color w:val="000000" w:themeColor="text1"/>
        </w:rPr>
      </w:r>
      <w:bookmarkStart w:id="151" w:name="_Toc151193620"/>
      <w:r>
        <w:rPr>
          <w:color w:val="000000" w:themeColor="text1"/>
        </w:rPr>
      </w:r>
      <w:bookmarkStart w:id="152" w:name="_Toc264969212"/>
      <w:r>
        <w:rPr>
          <w:color w:val="000000" w:themeColor="text1"/>
        </w:rPr>
      </w:r>
      <w:bookmarkStart w:id="153" w:name="_Toc151193910"/>
      <w:r>
        <w:rPr>
          <w:color w:val="000000" w:themeColor="text1"/>
        </w:rPr>
      </w:r>
      <w:bookmarkStart w:id="154" w:name="_Toc127151522"/>
      <w:r>
        <w:rPr>
          <w:color w:val="000000" w:themeColor="text1"/>
        </w:rPr>
      </w:r>
      <w:bookmarkStart w:id="155" w:name="_Toc151193692"/>
      <w:r>
        <w:rPr>
          <w:color w:val="000000" w:themeColor="text1"/>
        </w:rPr>
      </w:r>
      <w:bookmarkStart w:id="156" w:name="_Toc151190149"/>
      <w:r>
        <w:rPr>
          <w:color w:val="000000" w:themeColor="text1"/>
        </w:rPr>
      </w:r>
      <w:bookmarkStart w:id="157" w:name="_Toc305158864"/>
      <w:r>
        <w:rPr>
          <w:color w:val="000000" w:themeColor="text1"/>
        </w:rPr>
      </w:r>
      <w:bookmarkStart w:id="158" w:name="_Toc226309766"/>
      <w:r>
        <w:rPr>
          <w:color w:val="000000" w:themeColor="text1"/>
        </w:rPr>
      </w:r>
      <w:bookmarkStart w:id="159" w:name="_Toc151193764"/>
      <w:r>
        <w:rPr>
          <w:color w:val="000000" w:themeColor="text1"/>
        </w:rPr>
      </w:r>
      <w:bookmarkStart w:id="160" w:name="_Toc142311024"/>
      <w:r>
        <w:rPr>
          <w:color w:val="000000" w:themeColor="text1"/>
        </w:rPr>
      </w:r>
      <w:bookmarkStart w:id="161" w:name="_Toc520356146"/>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866"/>
        <w:numPr>
          <w:ilvl w:val="0"/>
          <w:numId w:val="9"/>
        </w:numPr>
        <w:ind w:left="357" w:hanging="357"/>
        <w:pageBreakBefore w:val="0"/>
        <w:spacing w:line="380" w:lineRule="exact"/>
        <w:widowControl w:val="off"/>
        <w:tabs>
          <w:tab w:val="left" w:pos="360" w:leader="none"/>
          <w:tab w:val="left" w:pos="900" w:leader="none"/>
        </w:tabs>
        <w:rPr>
          <w:color w:val="000000" w:themeColor="text1"/>
          <w:sz w:val="24"/>
        </w:rPr>
        <w:outlineLvl w:val="2"/>
      </w:pPr>
      <w:r>
        <w:rPr>
          <w:color w:val="000000" w:themeColor="text1"/>
          <w:sz w:val="24"/>
        </w:rPr>
        <w:t xml:space="preserve">样品</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color w:val="000000" w:themeColor="text1"/>
          <w:sz w:val="24"/>
        </w:rPr>
        <w:t xml:space="preserve">。</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样品的评审方法以及评审标准等内容见第四章《评标方法和评标标准》。</w:t>
      </w:r>
      <w:r>
        <w:rPr>
          <w:color w:val="000000" w:themeColor="text1"/>
        </w:rPr>
      </w:r>
      <w:r/>
    </w:p>
    <w:p>
      <w:pPr>
        <w:pStyle w:val="866"/>
        <w:numPr>
          <w:ilvl w:val="0"/>
          <w:numId w:val="9"/>
        </w:numPr>
        <w:ind w:left="357" w:hanging="357"/>
        <w:pageBreakBefore w:val="0"/>
        <w:spacing w:line="380" w:lineRule="exact"/>
        <w:widowControl w:val="off"/>
        <w:tabs>
          <w:tab w:val="left" w:pos="360" w:leader="none"/>
        </w:tabs>
        <w:rPr>
          <w:color w:val="000000" w:themeColor="text1"/>
          <w:sz w:val="24"/>
        </w:rPr>
        <w:outlineLvl w:val="2"/>
      </w:pPr>
      <w:r>
        <w:rPr>
          <w:color w:val="000000" w:themeColor="text1"/>
          <w:sz w:val="24"/>
        </w:rPr>
        <w:t xml:space="preserve">政府采购政策（包括但不限于下列具体政策要求）</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rPr>
      </w:r>
      <w:r/>
    </w:p>
    <w:p>
      <w:pPr>
        <w:pStyle w:val="866"/>
        <w:numPr>
          <w:ilvl w:val="2"/>
          <w:numId w:val="9"/>
        </w:numPr>
        <w:pageBreakBefore w:val="0"/>
        <w:spacing w:line="380" w:lineRule="exact"/>
        <w:widowControl w:val="off"/>
        <w:tabs>
          <w:tab w:val="left" w:pos="1980" w:leader="none"/>
          <w:tab w:val="left" w:pos="2014" w:leader="none"/>
        </w:tabs>
        <w:rPr>
          <w:color w:val="000000" w:themeColor="text1"/>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中小企业、监狱企业及残疾人福利性单位</w:t>
      </w:r>
      <w:r>
        <w:rPr>
          <w:color w:val="000000" w:themeColor="text1"/>
        </w:rPr>
      </w:r>
      <w:r/>
    </w:p>
    <w:p>
      <w:pPr>
        <w:pStyle w:val="866"/>
        <w:numPr>
          <w:ilvl w:val="2"/>
          <w:numId w:val="9"/>
        </w:numPr>
        <w:pageBreakBefore w:val="0"/>
        <w:spacing w:line="380" w:lineRule="exact"/>
        <w:widowControl w:val="off"/>
        <w:tabs>
          <w:tab w:val="left" w:pos="1980" w:leader="none"/>
        </w:tabs>
        <w:rPr>
          <w:color w:val="000000" w:themeColor="text1"/>
          <w:sz w:val="24"/>
        </w:rPr>
      </w:pPr>
      <w:r>
        <w:rPr>
          <w:color w:val="000000" w:themeColor="text1"/>
          <w:sz w:val="24"/>
        </w:rPr>
        <w:t xml:space="preserve">中小企业定义：</w:t>
      </w:r>
      <w:r>
        <w:rPr>
          <w:color w:val="000000" w:themeColor="text1"/>
        </w:rPr>
      </w:r>
      <w:r/>
    </w:p>
    <w:p>
      <w:pPr>
        <w:pStyle w:val="967"/>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7"/>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7"/>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7"/>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7"/>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7"/>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7"/>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7"/>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66"/>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66"/>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66"/>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67"/>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7"/>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6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66"/>
        <w:numPr>
          <w:ilvl w:val="2"/>
          <w:numId w:val="9"/>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66"/>
        <w:numPr>
          <w:ilvl w:val="2"/>
          <w:numId w:val="9"/>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866"/>
        <w:numPr>
          <w:ilvl w:val="2"/>
          <w:numId w:val="9"/>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66"/>
        <w:numPr>
          <w:ilvl w:val="2"/>
          <w:numId w:val="9"/>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66"/>
        <w:ind w:firstLine="120"/>
        <w:pageBreakBefore w:val="0"/>
        <w:spacing w:line="380" w:lineRule="exact"/>
        <w:widowControl w:val="off"/>
        <w:rPr>
          <w:sz w:val="24"/>
        </w:rPr>
      </w:pPr>
      <w:r>
        <w:rPr>
          <w:rFonts w:hint="eastAsia"/>
          <w:sz w:val="24"/>
        </w:rPr>
        <w:t xml:space="preserve"> 5.8     绿色采购政策</w:t>
      </w:r>
      <w:r>
        <w:rPr>
          <w:sz w:val="24"/>
        </w:rPr>
      </w:r>
      <w:r/>
    </w:p>
    <w:p>
      <w:pPr>
        <w:pStyle w:val="866"/>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866"/>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66"/>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866"/>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6"/>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866"/>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66"/>
        <w:pageBreakBefore w:val="0"/>
        <w:spacing w:line="380" w:lineRule="exact"/>
        <w:widowControl w:val="off"/>
        <w:rPr>
          <w:rFonts w:hint="eastAsia" w:ascii="宋体" w:hAnsi="宋体"/>
          <w:b/>
          <w:bCs/>
          <w:sz w:val="24"/>
          <w:lang w:val="en-US" w:eastAsia="zh-CN"/>
        </w:rPr>
      </w:pPr>
      <w:r>
        <w:rPr>
          <w:rFonts w:hint="eastAsia" w:ascii="宋体" w:hAnsi="宋体"/>
          <w:b/>
          <w:bCs/>
          <w:sz w:val="24"/>
          <w:lang w:val="en-US" w:eastAsia="zh-CN"/>
        </w:rPr>
        <w:t xml:space="preserve">5.9      采购本国产品的支持政策</w:t>
      </w:r>
      <w:r>
        <w:rPr>
          <w:rFonts w:hint="eastAsia" w:ascii="宋体" w:hAnsi="宋体"/>
          <w:b/>
          <w:bCs/>
          <w:sz w:val="24"/>
          <w:lang w:val="en-US" w:eastAsia="zh-CN"/>
        </w:rPr>
      </w:r>
      <w:r/>
    </w:p>
    <w:p>
      <w:pPr>
        <w:pStyle w:val="866"/>
        <w:ind w:left="1197" w:firstLine="0"/>
        <w:pageBreakBefore w:val="0"/>
        <w:spacing w:line="380" w:lineRule="exact"/>
        <w:widowControl w:val="off"/>
        <w:rPr>
          <w:rFonts w:ascii="宋体" w:hAnsi="宋体" w:eastAsia="宋体"/>
          <w:sz w:val="24"/>
          <w:lang w:val="en-US" w:eastAsia="zh-CN"/>
        </w:rPr>
      </w:pPr>
      <w:r>
        <w:rPr>
          <w:rFonts w:hint="eastAsia" w:ascii="宋体" w:hAnsi="宋体"/>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sz w:val="24"/>
          <w:lang w:val="en-US" w:eastAsia="zh-CN"/>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投标费用</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66"/>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86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163" w:name="_Toc151193693"/>
      <w:r/>
      <w:bookmarkStart w:id="164" w:name="_Toc151193837"/>
      <w:r/>
      <w:bookmarkStart w:id="165" w:name="_Toc164608637"/>
      <w:r/>
      <w:bookmarkStart w:id="166" w:name="_Toc164351617"/>
      <w:r/>
      <w:bookmarkStart w:id="167" w:name="_Toc150480761"/>
      <w:r/>
      <w:bookmarkStart w:id="168" w:name="_Toc195842888"/>
      <w:r/>
      <w:bookmarkStart w:id="169" w:name="_Toc151190150"/>
      <w:r/>
      <w:bookmarkStart w:id="170" w:name="_Toc151193911"/>
      <w:r/>
      <w:bookmarkStart w:id="171" w:name="_Toc226965796"/>
      <w:r/>
      <w:bookmarkStart w:id="172" w:name="_Toc305158791"/>
      <w:r/>
      <w:bookmarkStart w:id="173" w:name="_Toc127151724"/>
      <w:r/>
      <w:bookmarkStart w:id="174" w:name="_Toc265228361"/>
      <w:r/>
      <w:bookmarkStart w:id="175" w:name="_Toc142311025"/>
      <w:r/>
      <w:bookmarkStart w:id="176" w:name="_Toc226309767"/>
      <w:r/>
      <w:bookmarkStart w:id="177" w:name="_Toc150509274"/>
      <w:r/>
      <w:bookmarkStart w:id="178" w:name="_Toc164229218"/>
      <w:r/>
      <w:bookmarkStart w:id="179" w:name="_Toc151193621"/>
      <w:r/>
      <w:bookmarkStart w:id="180" w:name="_Toc150774623"/>
      <w:r/>
      <w:bookmarkStart w:id="181" w:name="_Toc226965713"/>
      <w:r/>
      <w:bookmarkStart w:id="182" w:name="_Toc164608792"/>
      <w:r/>
      <w:bookmarkStart w:id="183" w:name="_Toc164229364"/>
      <w:r/>
      <w:bookmarkStart w:id="184" w:name="_Toc151193765"/>
      <w:r/>
      <w:bookmarkStart w:id="185" w:name="_Toc150774728"/>
      <w:r/>
      <w:bookmarkStart w:id="186" w:name="_Toc149720816"/>
      <w:r/>
      <w:bookmarkStart w:id="187" w:name="_Toc264969213"/>
      <w:r/>
      <w:bookmarkStart w:id="188" w:name="_Toc226337219"/>
      <w:r/>
      <w:bookmarkStart w:id="189" w:name="_Toc127161437"/>
      <w:r/>
      <w:bookmarkStart w:id="190" w:name="_Toc305158865"/>
      <w:r/>
      <w:bookmarkStart w:id="191" w:name="_Toc127151523"/>
      <w:r/>
      <w:bookmarkStart w:id="192" w:name="_Toc520356147"/>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866"/>
        <w:numPr>
          <w:ilvl w:val="0"/>
          <w:numId w:val="11"/>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66"/>
        <w:numPr>
          <w:ilvl w:val="0"/>
          <w:numId w:val="9"/>
        </w:numPr>
        <w:ind w:left="357" w:hanging="357"/>
        <w:pageBreakBefore w:val="0"/>
        <w:spacing w:line="380" w:lineRule="exact"/>
        <w:widowControl w:val="off"/>
        <w:tabs>
          <w:tab w:val="left" w:pos="900" w:leader="none"/>
          <w:tab w:val="left" w:pos="1080" w:leader="none"/>
          <w:tab w:val="left" w:pos="2014" w:leader="none"/>
        </w:tabs>
        <w:rPr>
          <w:sz w:val="24"/>
        </w:rPr>
        <w:outlineLvl w:val="2"/>
      </w:pPr>
      <w:r>
        <w:rPr>
          <w:sz w:val="24"/>
        </w:rPr>
        <w:t xml:space="preserve">对招标文件的澄清或修改</w:t>
      </w:r>
      <w:r>
        <w:rPr>
          <w:sz w:val="24"/>
        </w:rPr>
      </w:r>
      <w:r/>
    </w:p>
    <w:p>
      <w:pPr>
        <w:pStyle w:val="866"/>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66"/>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66"/>
        <w:ind w:left="1080"/>
        <w:pageBreakBefore w:val="0"/>
        <w:spacing w:line="380" w:lineRule="exact"/>
        <w:widowControl w:val="off"/>
        <w:tabs>
          <w:tab w:val="left" w:pos="1080" w:leader="none"/>
          <w:tab w:val="left" w:pos="1561" w:leader="none"/>
        </w:tabs>
        <w:rPr>
          <w:sz w:val="28"/>
        </w:rPr>
      </w:pPr>
      <w:r/>
      <w:bookmarkStart w:id="193" w:name="_Toc226337222"/>
      <w:r/>
      <w:bookmarkStart w:id="194" w:name="_Toc142311028"/>
      <w:r/>
      <w:bookmarkStart w:id="195" w:name="_Toc150774626"/>
      <w:r/>
      <w:bookmarkStart w:id="196" w:name="_Toc150509277"/>
      <w:r/>
      <w:bookmarkStart w:id="197" w:name="_Toc264969216"/>
      <w:r/>
      <w:bookmarkStart w:id="198" w:name="_Toc151193696"/>
      <w:r/>
      <w:bookmarkStart w:id="199" w:name="_Toc305158794"/>
      <w:r/>
      <w:bookmarkStart w:id="200" w:name="_Toc520356150"/>
      <w:r/>
      <w:bookmarkStart w:id="201" w:name="_Toc151193914"/>
      <w:r/>
      <w:bookmarkStart w:id="202" w:name="_Toc265228364"/>
      <w:r/>
      <w:bookmarkStart w:id="203" w:name="_Toc150480764"/>
      <w:r/>
      <w:bookmarkStart w:id="204" w:name="_Toc305158868"/>
      <w:r/>
      <w:bookmarkStart w:id="205" w:name="_Toc151190153"/>
      <w:r/>
      <w:bookmarkStart w:id="206" w:name="_Toc516367020"/>
      <w:r/>
      <w:bookmarkStart w:id="207" w:name="_Toc226309770"/>
      <w:r/>
      <w:bookmarkStart w:id="208" w:name="_Toc195842891"/>
      <w:r/>
      <w:bookmarkStart w:id="209" w:name="_Toc226965716"/>
      <w:r/>
      <w:bookmarkStart w:id="210" w:name="_Toc151193840"/>
      <w:r/>
      <w:bookmarkStart w:id="211" w:name="_Toc151193768"/>
      <w:r/>
      <w:bookmarkStart w:id="212" w:name="_Toc226965799"/>
      <w:r/>
      <w:bookmarkStart w:id="213" w:name="_Toc127151526"/>
      <w:r/>
      <w:bookmarkStart w:id="214" w:name="_Toc150774731"/>
      <w:r/>
      <w:bookmarkStart w:id="215" w:name="_Toc151193624"/>
      <w:r>
        <w:rPr>
          <w:sz w:val="28"/>
        </w:rPr>
      </w:r>
      <w:r/>
    </w:p>
    <w:p>
      <w:pPr>
        <w:pStyle w:val="86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16" w:name="_Toc305158795"/>
      <w:r/>
      <w:bookmarkStart w:id="217" w:name="_Toc150774732"/>
      <w:r/>
      <w:bookmarkStart w:id="218" w:name="_Toc164608641"/>
      <w:r/>
      <w:bookmarkStart w:id="219" w:name="_Toc226337223"/>
      <w:r/>
      <w:bookmarkStart w:id="220" w:name="_Toc265228365"/>
      <w:r/>
      <w:bookmarkStart w:id="221" w:name="_Toc151190154"/>
      <w:r/>
      <w:bookmarkStart w:id="222" w:name="_Toc226309771"/>
      <w:r/>
      <w:bookmarkStart w:id="223" w:name="_Toc151193697"/>
      <w:r/>
      <w:bookmarkStart w:id="224" w:name="_Toc127151728"/>
      <w:r/>
      <w:bookmarkStart w:id="225" w:name="_Toc151193625"/>
      <w:r/>
      <w:bookmarkStart w:id="226" w:name="_Toc195842892"/>
      <w:r/>
      <w:bookmarkStart w:id="227" w:name="_Toc516367021"/>
      <w:r/>
      <w:bookmarkStart w:id="228" w:name="_Toc149720820"/>
      <w:r/>
      <w:bookmarkStart w:id="229" w:name="_Toc142311029"/>
      <w:r/>
      <w:bookmarkStart w:id="230" w:name="_Toc150774627"/>
      <w:r/>
      <w:bookmarkStart w:id="231" w:name="_Toc520356151"/>
      <w:r/>
      <w:bookmarkStart w:id="232" w:name="_Toc151193841"/>
      <w:r/>
      <w:bookmarkStart w:id="233" w:name="_Toc127161441"/>
      <w:r/>
      <w:bookmarkStart w:id="234" w:name="_Toc150509278"/>
      <w:r/>
      <w:bookmarkStart w:id="235" w:name="_Toc264969217"/>
      <w:r/>
      <w:bookmarkStart w:id="236" w:name="_Toc164229222"/>
      <w:r/>
      <w:bookmarkStart w:id="237" w:name="_Toc150480765"/>
      <w:r/>
      <w:bookmarkStart w:id="238" w:name="_Toc164351621"/>
      <w:r/>
      <w:bookmarkStart w:id="239" w:name="_Toc305158869"/>
      <w:r/>
      <w:bookmarkStart w:id="240" w:name="_Toc151193915"/>
      <w:r/>
      <w:bookmarkStart w:id="241" w:name="_Toc164608796"/>
      <w:r/>
      <w:bookmarkStart w:id="242" w:name="_Toc151193769"/>
      <w:r/>
      <w:bookmarkStart w:id="243" w:name="_Toc226965717"/>
      <w:r/>
      <w:bookmarkStart w:id="244" w:name="_Toc127151527"/>
      <w:r/>
      <w:bookmarkStart w:id="245" w:name="_Toc164229368"/>
      <w:r/>
      <w:bookmarkStart w:id="246" w:name="_Toc226965800"/>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47" w:name="_Toc151190155"/>
      <w:r/>
      <w:bookmarkStart w:id="248" w:name="_Toc150774628"/>
      <w:r/>
      <w:bookmarkStart w:id="249" w:name="_Toc305158796"/>
      <w:r/>
      <w:bookmarkStart w:id="250" w:name="_Toc150480766"/>
      <w:r/>
      <w:bookmarkStart w:id="251" w:name="_Toc142311030"/>
      <w:r/>
      <w:bookmarkStart w:id="252" w:name="_Toc520356152"/>
      <w:r/>
      <w:bookmarkStart w:id="253" w:name="_Toc127161442"/>
      <w:r/>
      <w:bookmarkStart w:id="254" w:name="_Toc516367022"/>
      <w:r/>
      <w:bookmarkStart w:id="255" w:name="_Ref467306195"/>
      <w:r/>
      <w:bookmarkStart w:id="256" w:name="_Ref467306676"/>
      <w:r/>
      <w:bookmarkStart w:id="257" w:name="_Toc264969218"/>
      <w:r/>
      <w:bookmarkStart w:id="258" w:name="_Toc226309772"/>
      <w:r/>
      <w:bookmarkStart w:id="259" w:name="_Toc164608642"/>
      <w:r/>
      <w:bookmarkStart w:id="260" w:name="_Toc127151729"/>
      <w:r/>
      <w:bookmarkStart w:id="261" w:name="_Toc164351622"/>
      <w:r/>
      <w:bookmarkStart w:id="262" w:name="_Toc151193842"/>
      <w:r/>
      <w:bookmarkStart w:id="263" w:name="_Toc151193698"/>
      <w:r/>
      <w:bookmarkStart w:id="264" w:name="_Toc265228366"/>
      <w:r/>
      <w:bookmarkStart w:id="265" w:name="_Toc226965801"/>
      <w:r/>
      <w:bookmarkStart w:id="266" w:name="_Toc164229223"/>
      <w:r/>
      <w:bookmarkStart w:id="267" w:name="_Toc151193770"/>
      <w:r/>
      <w:bookmarkStart w:id="268" w:name="_Toc150509279"/>
      <w:r/>
      <w:bookmarkStart w:id="269" w:name="_Toc226965718"/>
      <w:r/>
      <w:bookmarkStart w:id="270" w:name="_Toc151193626"/>
      <w:r/>
      <w:bookmarkStart w:id="271" w:name="_Toc150774733"/>
      <w:r/>
      <w:bookmarkStart w:id="272" w:name="_Toc151193916"/>
      <w:r/>
      <w:bookmarkStart w:id="273" w:name="_Toc226337224"/>
      <w:r/>
      <w:bookmarkStart w:id="274" w:name="_Toc149720821"/>
      <w:r/>
      <w:bookmarkStart w:id="275" w:name="_Toc127151528"/>
      <w:r/>
      <w:bookmarkStart w:id="276" w:name="_Toc305158870"/>
      <w:r/>
      <w:bookmarkStart w:id="277" w:name="_Toc164229369"/>
      <w:r/>
      <w:bookmarkStart w:id="278" w:name="_Toc195842893"/>
      <w:r/>
      <w:bookmarkStart w:id="279" w:name="_Toc164608797"/>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281" w:name="_Toc164229371"/>
      <w:r/>
      <w:bookmarkStart w:id="282" w:name="_Toc150774630"/>
      <w:r/>
      <w:bookmarkStart w:id="283" w:name="_Toc164351624"/>
      <w:r/>
      <w:bookmarkStart w:id="284" w:name="_Toc127151731"/>
      <w:r/>
      <w:bookmarkStart w:id="285" w:name="_Toc195842895"/>
      <w:r/>
      <w:bookmarkStart w:id="286" w:name="_Toc151193628"/>
      <w:r/>
      <w:bookmarkStart w:id="287" w:name="_Toc164608799"/>
      <w:r/>
      <w:bookmarkStart w:id="288" w:name="_Toc127151530"/>
      <w:r/>
      <w:bookmarkStart w:id="289" w:name="_Toc164229225"/>
      <w:r/>
      <w:bookmarkStart w:id="290" w:name="_Toc151193700"/>
      <w:r/>
      <w:bookmarkStart w:id="291" w:name="_Toc151193772"/>
      <w:r/>
      <w:bookmarkStart w:id="292" w:name="_Toc127161444"/>
      <w:r/>
      <w:bookmarkStart w:id="293" w:name="_Toc150774735"/>
      <w:r/>
      <w:bookmarkStart w:id="294" w:name="_Toc164608644"/>
      <w:r/>
      <w:bookmarkStart w:id="295" w:name="_Toc151190157"/>
      <w:r/>
      <w:bookmarkStart w:id="296" w:name="_Toc150480768"/>
      <w:r/>
      <w:bookmarkStart w:id="297" w:name="_Toc151193918"/>
      <w:r/>
      <w:bookmarkStart w:id="298" w:name="_Toc151193844"/>
      <w:r/>
      <w:bookmarkStart w:id="299" w:name="_Toc520356155"/>
      <w:r/>
      <w:bookmarkStart w:id="300" w:name="_Toc142311032"/>
      <w:r/>
      <w:bookmarkStart w:id="301" w:name="_Toc150509281"/>
      <w:r/>
      <w:bookmarkStart w:id="302" w:name="_Toc149720823"/>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6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rFonts w:hint="eastAsia"/>
          <w:sz w:val="24"/>
        </w:rPr>
        <w:outlineLvl w:val="2"/>
      </w:pPr>
      <w:r/>
      <w:bookmarkStart w:id="303" w:name="_Toc305158873"/>
      <w:r/>
      <w:bookmarkStart w:id="304" w:name="_Toc164608645"/>
      <w:r/>
      <w:bookmarkStart w:id="305" w:name="_Toc305158799"/>
      <w:r/>
      <w:bookmarkStart w:id="306" w:name="_Toc164351625"/>
      <w:r/>
      <w:bookmarkStart w:id="307" w:name="_Toc265228369"/>
      <w:r/>
      <w:bookmarkStart w:id="308" w:name="_Toc149720824"/>
      <w:r/>
      <w:bookmarkStart w:id="309" w:name="_Toc127151531"/>
      <w:r/>
      <w:bookmarkStart w:id="310" w:name="_Toc164229226"/>
      <w:r/>
      <w:bookmarkStart w:id="311" w:name="_Toc151193845"/>
      <w:r/>
      <w:bookmarkStart w:id="312" w:name="_Toc226309775"/>
      <w:r/>
      <w:bookmarkStart w:id="313" w:name="_Toc150774631"/>
      <w:r/>
      <w:bookmarkStart w:id="314" w:name="_Toc151190158"/>
      <w:r/>
      <w:bookmarkStart w:id="315" w:name="_Toc151193629"/>
      <w:r/>
      <w:bookmarkStart w:id="316" w:name="_Toc127151732"/>
      <w:r/>
      <w:bookmarkStart w:id="317" w:name="_Toc264969221"/>
      <w:r/>
      <w:bookmarkStart w:id="318" w:name="_Toc226965721"/>
      <w:r/>
      <w:bookmarkStart w:id="319" w:name="_Toc127161445"/>
      <w:r/>
      <w:bookmarkStart w:id="320" w:name="_Toc151193919"/>
      <w:r/>
      <w:bookmarkStart w:id="321" w:name="_Toc150509282"/>
      <w:r/>
      <w:bookmarkStart w:id="322" w:name="_Toc226337227"/>
      <w:r/>
      <w:bookmarkStart w:id="323" w:name="_Ref467306513"/>
      <w:r/>
      <w:bookmarkStart w:id="324" w:name="_Toc151193701"/>
      <w:r/>
      <w:bookmarkStart w:id="325" w:name="_Toc151193773"/>
      <w:r/>
      <w:bookmarkStart w:id="326" w:name="_Toc150480769"/>
      <w:r/>
      <w:bookmarkStart w:id="327" w:name="_Toc195842896"/>
      <w:r/>
      <w:bookmarkStart w:id="328" w:name="_Toc164229372"/>
      <w:r/>
      <w:bookmarkStart w:id="329" w:name="_Toc226965804"/>
      <w:r/>
      <w:bookmarkStart w:id="330" w:name="_Toc142311033"/>
      <w:r/>
      <w:bookmarkStart w:id="331" w:name="_Toc150774736"/>
      <w:r/>
      <w:bookmarkStart w:id="332" w:name="_Toc164608800"/>
      <w:r/>
      <w:bookmarkStart w:id="333" w:name="_Toc520356156"/>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866"/>
        <w:ind w:left="357"/>
        <w:pageBreakBefore w:val="0"/>
        <w:spacing w:line="380" w:lineRule="exact"/>
        <w:widowControl w:val="off"/>
        <w:tabs>
          <w:tab w:val="left" w:pos="360" w:leader="none"/>
        </w:tabs>
        <w:rPr>
          <w:sz w:val="24"/>
        </w:rPr>
        <w:outlineLvl w:val="2"/>
      </w:pPr>
      <w:r>
        <w:rPr>
          <w:rFonts w:hint="eastAsia"/>
          <w:sz w:val="24"/>
        </w:rPr>
        <w:t xml:space="preserve">根据江苏省和常州市的相关文件规定，免收投标保证金。</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334" w:name="_Toc264969222"/>
      <w:r/>
      <w:bookmarkStart w:id="335" w:name="_Toc150509283"/>
      <w:r/>
      <w:bookmarkStart w:id="336" w:name="_Toc150480770"/>
      <w:r/>
      <w:bookmarkStart w:id="337" w:name="_Toc151193630"/>
      <w:r/>
      <w:bookmarkStart w:id="338" w:name="_Toc151193846"/>
      <w:r/>
      <w:bookmarkStart w:id="339" w:name="_Toc226309776"/>
      <w:r/>
      <w:bookmarkStart w:id="340" w:name="_Toc164351626"/>
      <w:r/>
      <w:bookmarkStart w:id="341" w:name="_Toc226965805"/>
      <w:r/>
      <w:bookmarkStart w:id="342" w:name="_Toc142311034"/>
      <w:r/>
      <w:bookmarkStart w:id="343" w:name="_Toc151193920"/>
      <w:r/>
      <w:bookmarkStart w:id="344" w:name="_Toc151190159"/>
      <w:r/>
      <w:bookmarkStart w:id="345" w:name="_Toc151193702"/>
      <w:r/>
      <w:bookmarkStart w:id="346" w:name="_Toc127151532"/>
      <w:r/>
      <w:bookmarkStart w:id="347" w:name="_Toc305158874"/>
      <w:r/>
      <w:bookmarkStart w:id="348" w:name="_Toc226337228"/>
      <w:r/>
      <w:bookmarkStart w:id="349" w:name="_Toc305158800"/>
      <w:r/>
      <w:bookmarkStart w:id="350" w:name="_Toc150774632"/>
      <w:r/>
      <w:bookmarkStart w:id="351" w:name="_Toc226965722"/>
      <w:r/>
      <w:bookmarkStart w:id="352" w:name="_Toc164229227"/>
      <w:r/>
      <w:bookmarkStart w:id="353" w:name="_Toc195842897"/>
      <w:r/>
      <w:bookmarkStart w:id="354" w:name="_Toc265228370"/>
      <w:r/>
      <w:bookmarkStart w:id="355" w:name="_Toc127161446"/>
      <w:r/>
      <w:bookmarkStart w:id="356" w:name="_Toc164229373"/>
      <w:r/>
      <w:bookmarkStart w:id="357" w:name="_Toc127151733"/>
      <w:r/>
      <w:bookmarkStart w:id="358" w:name="_Toc149720825"/>
      <w:r/>
      <w:bookmarkStart w:id="359" w:name="_Toc151193774"/>
      <w:r/>
      <w:bookmarkStart w:id="360" w:name="_Toc164608801"/>
      <w:r/>
      <w:bookmarkStart w:id="361" w:name="_Toc520356157"/>
      <w:r/>
      <w:bookmarkStart w:id="362" w:name="_Toc164608646"/>
      <w:r/>
      <w:bookmarkStart w:id="363" w:name="_Toc150774737"/>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364" w:name="_Toc265228371"/>
      <w:r/>
      <w:bookmarkStart w:id="365" w:name="_Toc151190160"/>
      <w:r/>
      <w:bookmarkStart w:id="366" w:name="_Toc164229374"/>
      <w:r/>
      <w:bookmarkStart w:id="367" w:name="_Toc164351627"/>
      <w:r/>
      <w:bookmarkStart w:id="368" w:name="_Toc127151533"/>
      <w:r/>
      <w:bookmarkStart w:id="369" w:name="_Toc150480771"/>
      <w:r/>
      <w:bookmarkStart w:id="370" w:name="_Toc195842898"/>
      <w:r/>
      <w:bookmarkStart w:id="371" w:name="_Toc127161447"/>
      <w:r/>
      <w:bookmarkStart w:id="372" w:name="_Toc164608647"/>
      <w:r/>
      <w:bookmarkStart w:id="373" w:name="_Toc151193631"/>
      <w:r/>
      <w:bookmarkStart w:id="374" w:name="_Toc520356158"/>
      <w:r/>
      <w:bookmarkStart w:id="375" w:name="_Toc305158875"/>
      <w:r/>
      <w:bookmarkStart w:id="376" w:name="_Toc226309777"/>
      <w:r/>
      <w:bookmarkStart w:id="377" w:name="_Toc164608802"/>
      <w:r/>
      <w:bookmarkStart w:id="378" w:name="_Toc151193847"/>
      <w:r/>
      <w:bookmarkStart w:id="379" w:name="_Toc151193775"/>
      <w:r/>
      <w:bookmarkStart w:id="380" w:name="_Toc226965723"/>
      <w:r/>
      <w:bookmarkStart w:id="381" w:name="_Toc151193703"/>
      <w:r/>
      <w:bookmarkStart w:id="382" w:name="_Toc150509284"/>
      <w:r/>
      <w:bookmarkStart w:id="383" w:name="_Toc264969223"/>
      <w:r/>
      <w:bookmarkStart w:id="384" w:name="_Toc305158801"/>
      <w:r/>
      <w:bookmarkStart w:id="385" w:name="_Toc226965806"/>
      <w:r/>
      <w:bookmarkStart w:id="386" w:name="_Toc150774738"/>
      <w:r/>
      <w:bookmarkStart w:id="387" w:name="_Toc164229228"/>
      <w:r/>
      <w:bookmarkStart w:id="388" w:name="_Toc226337229"/>
      <w:r/>
      <w:bookmarkStart w:id="389" w:name="_Toc149720826"/>
      <w:r/>
      <w:bookmarkStart w:id="390" w:name="_Toc127151734"/>
      <w:r/>
      <w:bookmarkStart w:id="391" w:name="_Toc150774633"/>
      <w:r/>
      <w:bookmarkStart w:id="392" w:name="_Toc142311035"/>
      <w:r/>
      <w:bookmarkStart w:id="393" w:name="_Toc151193921"/>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807"/>
      <w:r/>
      <w:bookmarkStart w:id="395" w:name="_Toc150480772"/>
      <w:r/>
      <w:bookmarkStart w:id="396" w:name="_Toc264969224"/>
      <w:r/>
      <w:bookmarkStart w:id="397" w:name="_Toc520356159"/>
      <w:r/>
      <w:bookmarkStart w:id="398" w:name="_Toc150774634"/>
      <w:r/>
      <w:bookmarkStart w:id="399" w:name="_Toc150774739"/>
      <w:r/>
      <w:bookmarkStart w:id="400" w:name="_Toc305158802"/>
      <w:r/>
      <w:bookmarkStart w:id="401" w:name="_Toc151193704"/>
      <w:r/>
      <w:bookmarkStart w:id="402" w:name="_Toc151193776"/>
      <w:r/>
      <w:bookmarkStart w:id="403" w:name="_Toc226309778"/>
      <w:r/>
      <w:bookmarkStart w:id="404" w:name="_Toc226337230"/>
      <w:r/>
      <w:bookmarkStart w:id="405" w:name="_Toc305158876"/>
      <w:r/>
      <w:bookmarkStart w:id="406" w:name="_Toc151193848"/>
      <w:r/>
      <w:bookmarkStart w:id="407" w:name="_Toc151193922"/>
      <w:r/>
      <w:bookmarkStart w:id="408" w:name="_Toc150509285"/>
      <w:r/>
      <w:bookmarkStart w:id="409" w:name="_Toc151190161"/>
      <w:r/>
      <w:bookmarkStart w:id="410" w:name="_Toc265228372"/>
      <w:r/>
      <w:bookmarkStart w:id="411" w:name="_Toc142311036"/>
      <w:r/>
      <w:bookmarkStart w:id="412" w:name="_Toc226965724"/>
      <w:r/>
      <w:bookmarkStart w:id="413" w:name="_Toc127151534"/>
      <w:r/>
      <w:bookmarkStart w:id="414" w:name="_Toc195842899"/>
      <w:r/>
      <w:bookmarkStart w:id="415" w:name="_Toc15119363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66"/>
        <w:ind w:left="357"/>
        <w:pageBreakBefore w:val="0"/>
        <w:spacing w:line="380" w:lineRule="exact"/>
        <w:widowControl w:val="off"/>
        <w:tabs>
          <w:tab w:val="left" w:pos="900" w:leader="none"/>
          <w:tab w:val="left" w:pos="1080" w:leader="none"/>
        </w:tabs>
      </w:pPr>
      <w:r/>
      <w:r/>
    </w:p>
    <w:p>
      <w:pPr>
        <w:pStyle w:val="86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16" w:name="_Toc151193705"/>
      <w:r/>
      <w:bookmarkStart w:id="417" w:name="_Toc264969225"/>
      <w:r/>
      <w:bookmarkStart w:id="418" w:name="_Toc151190162"/>
      <w:r/>
      <w:bookmarkStart w:id="419" w:name="_Toc150774740"/>
      <w:r/>
      <w:bookmarkStart w:id="420" w:name="_Toc226965725"/>
      <w:r/>
      <w:bookmarkStart w:id="421" w:name="_Toc265228373"/>
      <w:r/>
      <w:bookmarkStart w:id="422" w:name="_Toc151193777"/>
      <w:r/>
      <w:bookmarkStart w:id="423" w:name="_Toc150480773"/>
      <w:r/>
      <w:bookmarkStart w:id="424" w:name="_Toc226965808"/>
      <w:r/>
      <w:bookmarkStart w:id="425" w:name="_Toc150774635"/>
      <w:r/>
      <w:bookmarkStart w:id="426" w:name="_Toc305158877"/>
      <w:r/>
      <w:bookmarkStart w:id="427" w:name="_Toc305158803"/>
      <w:r/>
      <w:bookmarkStart w:id="428" w:name="_Toc195842900"/>
      <w:r/>
      <w:bookmarkStart w:id="429" w:name="_Toc164229376"/>
      <w:r/>
      <w:bookmarkStart w:id="430" w:name="_Toc164351629"/>
      <w:r/>
      <w:bookmarkStart w:id="431" w:name="_Toc164608804"/>
      <w:r/>
      <w:bookmarkStart w:id="432" w:name="_Toc520356160"/>
      <w:r/>
      <w:bookmarkStart w:id="433" w:name="_Toc151193849"/>
      <w:r/>
      <w:bookmarkStart w:id="434" w:name="_Toc151193923"/>
      <w:r/>
      <w:bookmarkStart w:id="435" w:name="_Toc127151736"/>
      <w:r/>
      <w:bookmarkStart w:id="436" w:name="_Toc127151535"/>
      <w:r/>
      <w:bookmarkStart w:id="437" w:name="_Toc226337231"/>
      <w:r/>
      <w:bookmarkStart w:id="438" w:name="_Toc164608649"/>
      <w:r/>
      <w:bookmarkStart w:id="439" w:name="_Toc142311037"/>
      <w:r/>
      <w:bookmarkStart w:id="440" w:name="_Toc127161449"/>
      <w:r/>
      <w:bookmarkStart w:id="441" w:name="_Toc150509286"/>
      <w:r/>
      <w:bookmarkStart w:id="442" w:name="_Toc149720828"/>
      <w:r/>
      <w:bookmarkStart w:id="443" w:name="_Toc151193633"/>
      <w:r/>
      <w:bookmarkStart w:id="444" w:name="_Toc164229230"/>
      <w:r/>
      <w:bookmarkStart w:id="445" w:name="_Toc226309779"/>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46" w:name="_Toc520356161"/>
      <w:r/>
      <w:bookmarkStart w:id="447" w:name="_Toc151193850"/>
      <w:r/>
      <w:bookmarkStart w:id="448" w:name="_Toc151193778"/>
      <w:r/>
      <w:bookmarkStart w:id="449" w:name="_Toc127161450"/>
      <w:r/>
      <w:bookmarkStart w:id="450" w:name="_Toc150509287"/>
      <w:r/>
      <w:bookmarkStart w:id="451" w:name="_Toc226337232"/>
      <w:r/>
      <w:bookmarkStart w:id="452" w:name="_Toc142311038"/>
      <w:r/>
      <w:bookmarkStart w:id="453" w:name="_Toc151190163"/>
      <w:r/>
      <w:bookmarkStart w:id="454" w:name="_Toc164351630"/>
      <w:r/>
      <w:bookmarkStart w:id="455" w:name="_Toc151193634"/>
      <w:r/>
      <w:bookmarkStart w:id="456" w:name="_Toc151193706"/>
      <w:r/>
      <w:bookmarkStart w:id="457" w:name="_Toc151193924"/>
      <w:r/>
      <w:bookmarkStart w:id="458" w:name="_Toc264969226"/>
      <w:r/>
      <w:bookmarkStart w:id="459" w:name="_Toc164608805"/>
      <w:r/>
      <w:bookmarkStart w:id="460" w:name="_Toc226965809"/>
      <w:r/>
      <w:bookmarkStart w:id="461" w:name="_Toc164229377"/>
      <w:r/>
      <w:bookmarkStart w:id="462" w:name="_Toc305158878"/>
      <w:r/>
      <w:bookmarkStart w:id="463" w:name="_Toc226309780"/>
      <w:r/>
      <w:bookmarkStart w:id="464" w:name="_Toc149720829"/>
      <w:r/>
      <w:bookmarkStart w:id="465" w:name="_Toc226965726"/>
      <w:r/>
      <w:bookmarkStart w:id="466" w:name="_Toc127151737"/>
      <w:r/>
      <w:bookmarkStart w:id="467" w:name="_Toc150774636"/>
      <w:r/>
      <w:bookmarkStart w:id="468" w:name="_Toc265228374"/>
      <w:r/>
      <w:bookmarkStart w:id="469" w:name="_Toc150480774"/>
      <w:r/>
      <w:bookmarkStart w:id="470" w:name="_Toc164229231"/>
      <w:r/>
      <w:bookmarkStart w:id="471" w:name="_Toc150774741"/>
      <w:r/>
      <w:bookmarkStart w:id="472" w:name="_Toc127151536"/>
      <w:r/>
      <w:bookmarkStart w:id="473" w:name="_Toc305158804"/>
      <w:r/>
      <w:bookmarkStart w:id="474" w:name="_Toc164608650"/>
      <w:r/>
      <w:bookmarkStart w:id="475" w:name="_Toc195842901"/>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476" w:name="_Toc226309781"/>
      <w:r/>
      <w:bookmarkStart w:id="477" w:name="_Toc151193779"/>
      <w:r/>
      <w:bookmarkStart w:id="478" w:name="_Toc164229232"/>
      <w:r/>
      <w:bookmarkStart w:id="479" w:name="_Toc164608651"/>
      <w:r/>
      <w:bookmarkStart w:id="480" w:name="_Toc520356162"/>
      <w:r/>
      <w:bookmarkStart w:id="481" w:name="_Toc264969227"/>
      <w:r/>
      <w:bookmarkStart w:id="482" w:name="_Toc150774742"/>
      <w:r/>
      <w:bookmarkStart w:id="483" w:name="_Toc151190164"/>
      <w:r/>
      <w:bookmarkStart w:id="484" w:name="_Toc226965727"/>
      <w:r/>
      <w:bookmarkStart w:id="485" w:name="_Toc164229378"/>
      <w:r/>
      <w:bookmarkStart w:id="486" w:name="_Toc151193707"/>
      <w:r/>
      <w:bookmarkStart w:id="487" w:name="_Toc142311039"/>
      <w:r/>
      <w:bookmarkStart w:id="488" w:name="_Toc226965810"/>
      <w:r/>
      <w:bookmarkStart w:id="489" w:name="_Toc127151537"/>
      <w:r/>
      <w:bookmarkStart w:id="490" w:name="_Toc305158879"/>
      <w:r/>
      <w:bookmarkStart w:id="491" w:name="_Toc305158805"/>
      <w:r/>
      <w:bookmarkStart w:id="492" w:name="_Toc150480775"/>
      <w:r/>
      <w:bookmarkStart w:id="493" w:name="_Toc164351631"/>
      <w:r/>
      <w:bookmarkStart w:id="494" w:name="_Toc149720830"/>
      <w:r/>
      <w:bookmarkStart w:id="495" w:name="_Toc195842902"/>
      <w:r/>
      <w:bookmarkStart w:id="496" w:name="_Toc226337233"/>
      <w:r/>
      <w:bookmarkStart w:id="497" w:name="_Toc265228375"/>
      <w:r/>
      <w:bookmarkStart w:id="498" w:name="_Toc127161451"/>
      <w:r/>
      <w:bookmarkStart w:id="499" w:name="_Toc151193851"/>
      <w:r/>
      <w:bookmarkStart w:id="500" w:name="_Toc127151738"/>
      <w:r/>
      <w:bookmarkStart w:id="501" w:name="_Toc150509288"/>
      <w:r/>
      <w:bookmarkStart w:id="502" w:name="_Toc151193925"/>
      <w:r/>
      <w:bookmarkStart w:id="503" w:name="_Toc150774637"/>
      <w:r/>
      <w:bookmarkStart w:id="504" w:name="_Toc151193635"/>
      <w:r/>
      <w:bookmarkStart w:id="505" w:name="_Toc164608806"/>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66"/>
        <w:pageBreakBefore w:val="0"/>
        <w:spacing w:line="380" w:lineRule="exact"/>
        <w:widowControl w:val="off"/>
        <w:rPr>
          <w:sz w:val="24"/>
        </w:rPr>
      </w:pPr>
      <w:r>
        <w:rPr>
          <w:sz w:val="24"/>
        </w:rPr>
      </w:r>
      <w:r/>
    </w:p>
    <w:p>
      <w:pPr>
        <w:pStyle w:val="868"/>
        <w:pageBreakBefore w:val="0"/>
        <w:spacing w:before="0" w:line="380" w:lineRule="exact"/>
        <w:widowControl w:val="off"/>
        <w:rPr>
          <w:rFonts w:ascii="Times New Roman" w:hAnsi="Times New Roman" w:eastAsia="宋体"/>
          <w:sz w:val="28"/>
        </w:rPr>
      </w:pPr>
      <w:r/>
      <w:bookmarkStart w:id="506" w:name="_Toc150480776"/>
      <w:r/>
      <w:bookmarkStart w:id="507" w:name="_Toc264969228"/>
      <w:r/>
      <w:bookmarkStart w:id="508" w:name="_Toc226965728"/>
      <w:r/>
      <w:bookmarkStart w:id="509" w:name="_Toc150509289"/>
      <w:r/>
      <w:bookmarkStart w:id="510" w:name="_Toc150774638"/>
      <w:r/>
      <w:bookmarkStart w:id="511" w:name="_Toc142311040"/>
      <w:r/>
      <w:bookmarkStart w:id="512" w:name="_Toc150774743"/>
      <w:r/>
      <w:bookmarkStart w:id="513" w:name="_Toc151190165"/>
      <w:r/>
      <w:bookmarkStart w:id="514" w:name="_Toc127151538"/>
      <w:r/>
      <w:bookmarkStart w:id="515" w:name="_Toc265228376"/>
      <w:r/>
      <w:bookmarkStart w:id="516" w:name="_Toc151193926"/>
      <w:r/>
      <w:bookmarkStart w:id="517" w:name="_Toc520356163"/>
      <w:r/>
      <w:bookmarkStart w:id="518" w:name="_Toc195842903"/>
      <w:r/>
      <w:bookmarkStart w:id="519" w:name="_Toc305158806"/>
      <w:r/>
      <w:bookmarkStart w:id="520" w:name="_Toc151193636"/>
      <w:r/>
      <w:bookmarkStart w:id="521" w:name="_Toc226965811"/>
      <w:r/>
      <w:bookmarkStart w:id="522" w:name="_Toc151193780"/>
      <w:r/>
      <w:bookmarkStart w:id="523" w:name="_Toc305158880"/>
      <w:r/>
      <w:bookmarkStart w:id="524" w:name="_Toc226337234"/>
      <w:r/>
      <w:bookmarkStart w:id="525" w:name="_Toc151193708"/>
      <w:r/>
      <w:bookmarkStart w:id="526" w:name="_Toc151193852"/>
      <w:r/>
      <w:bookmarkStart w:id="527" w:name="_Toc226309782"/>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528" w:name="_Toc226309783"/>
      <w:r/>
      <w:bookmarkStart w:id="529" w:name="_Toc150480777"/>
      <w:r/>
      <w:bookmarkStart w:id="530" w:name="_Toc226965729"/>
      <w:r/>
      <w:bookmarkStart w:id="531" w:name="_Toc195842904"/>
      <w:r/>
      <w:bookmarkStart w:id="532" w:name="_Toc149720832"/>
      <w:r/>
      <w:bookmarkStart w:id="533" w:name="_Toc265228377"/>
      <w:r/>
      <w:bookmarkStart w:id="534" w:name="_Toc151190166"/>
      <w:r/>
      <w:bookmarkStart w:id="535" w:name="_Toc226337235"/>
      <w:r/>
      <w:bookmarkStart w:id="536" w:name="_Toc264969229"/>
      <w:r/>
      <w:bookmarkStart w:id="537" w:name="_Toc151193927"/>
      <w:r/>
      <w:bookmarkStart w:id="538" w:name="_Toc305158807"/>
      <w:r/>
      <w:bookmarkStart w:id="539" w:name="_Toc150774639"/>
      <w:r/>
      <w:bookmarkStart w:id="540" w:name="_Toc151193781"/>
      <w:r/>
      <w:bookmarkStart w:id="541" w:name="_Toc127151539"/>
      <w:r/>
      <w:bookmarkStart w:id="542" w:name="_Toc164351633"/>
      <w:r/>
      <w:bookmarkStart w:id="543" w:name="_Toc127151740"/>
      <w:r/>
      <w:bookmarkStart w:id="544" w:name="_Toc164229234"/>
      <w:r/>
      <w:bookmarkStart w:id="545" w:name="_Toc164608653"/>
      <w:r/>
      <w:bookmarkStart w:id="546" w:name="_Toc127161453"/>
      <w:r/>
      <w:bookmarkStart w:id="547" w:name="_Toc150509290"/>
      <w:r/>
      <w:bookmarkStart w:id="548" w:name="_Toc151193637"/>
      <w:r/>
      <w:bookmarkStart w:id="549" w:name="_Toc164229380"/>
      <w:r/>
      <w:bookmarkStart w:id="550" w:name="_Toc164608808"/>
      <w:r/>
      <w:bookmarkStart w:id="551" w:name="_Toc151193853"/>
      <w:r/>
      <w:bookmarkStart w:id="552" w:name="_Toc226965812"/>
      <w:r/>
      <w:bookmarkStart w:id="553" w:name="_Toc520356164"/>
      <w:r/>
      <w:bookmarkStart w:id="554" w:name="_Toc151193709"/>
      <w:r/>
      <w:bookmarkStart w:id="555" w:name="_Toc142311041"/>
      <w:r/>
      <w:bookmarkStart w:id="556" w:name="_Toc305158881"/>
      <w:r/>
      <w:bookmarkStart w:id="557" w:name="_Toc150774744"/>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6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6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6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66"/>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6"/>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资格审查</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866"/>
        <w:numPr>
          <w:ilvl w:val="0"/>
          <w:numId w:val="9"/>
        </w:numPr>
        <w:ind w:left="357" w:hanging="357"/>
        <w:keepLines w:val="0"/>
        <w:keepNext w:val="0"/>
        <w:pageBreakBefore w:val="0"/>
        <w:spacing w:line="380" w:lineRule="exact"/>
        <w:widowControl w:val="off"/>
        <w:tabs>
          <w:tab w:val="left" w:pos="360" w:leader="none"/>
          <w:tab w:val="left" w:pos="900" w:leader="none"/>
        </w:tabs>
        <w:rPr>
          <w:sz w:val="24"/>
        </w:rPr>
        <w:outlineLvl w:val="9"/>
      </w:pPr>
      <w:r/>
      <w:bookmarkEnd w:id="558"/>
      <w:r/>
      <w:bookmarkStart w:id="559" w:name="_Toc264969230"/>
      <w:r/>
      <w:bookmarkStart w:id="560" w:name="_Toc151190167"/>
      <w:r/>
      <w:bookmarkStart w:id="561" w:name="_Toc164229381"/>
      <w:r/>
      <w:bookmarkStart w:id="562" w:name="_Toc164351634"/>
      <w:r/>
      <w:bookmarkStart w:id="563" w:name="_Toc149720833"/>
      <w:r/>
      <w:bookmarkStart w:id="564" w:name="_Toc226309784"/>
      <w:r/>
      <w:bookmarkStart w:id="565" w:name="_Toc226337236"/>
      <w:r/>
      <w:bookmarkStart w:id="566" w:name="_Toc226965730"/>
      <w:r/>
      <w:bookmarkStart w:id="567" w:name="_Toc151193928"/>
      <w:r/>
      <w:bookmarkStart w:id="568" w:name="_Toc226965813"/>
      <w:r/>
      <w:bookmarkStart w:id="569" w:name="_Toc151193782"/>
      <w:r/>
      <w:bookmarkStart w:id="570" w:name="_Toc150509291"/>
      <w:r/>
      <w:bookmarkStart w:id="571" w:name="_Toc151193854"/>
      <w:r/>
      <w:bookmarkStart w:id="572" w:name="_Toc127161454"/>
      <w:r/>
      <w:bookmarkStart w:id="573" w:name="_Toc305158808"/>
      <w:r/>
      <w:bookmarkStart w:id="574" w:name="_Toc164608809"/>
      <w:r/>
      <w:bookmarkStart w:id="575" w:name="_Toc150774640"/>
      <w:r/>
      <w:bookmarkStart w:id="576" w:name="_Toc164229235"/>
      <w:r/>
      <w:bookmarkStart w:id="577" w:name="_Toc164608654"/>
      <w:r/>
      <w:bookmarkStart w:id="578" w:name="_Toc151193638"/>
      <w:r/>
      <w:bookmarkStart w:id="579" w:name="_Toc127151741"/>
      <w:r/>
      <w:bookmarkStart w:id="580" w:name="_Toc127151540"/>
      <w:r/>
      <w:bookmarkStart w:id="581" w:name="_Toc265228378"/>
      <w:r/>
      <w:bookmarkStart w:id="582" w:name="_Toc151193710"/>
      <w:r/>
      <w:bookmarkStart w:id="583" w:name="_Toc150480778"/>
      <w:r/>
      <w:bookmarkStart w:id="584" w:name="_Toc150774745"/>
      <w:r/>
      <w:bookmarkStart w:id="585" w:name="_Toc305158882"/>
      <w:r/>
      <w:bookmarkStart w:id="586" w:name="_Toc142311042"/>
      <w:r/>
      <w:bookmarkStart w:id="587" w:name="_Toc195842905"/>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866"/>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866"/>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866"/>
        <w:numPr>
          <w:ilvl w:val="0"/>
          <w:numId w:val="9"/>
        </w:numPr>
        <w:ind w:left="357" w:hanging="357"/>
        <w:keepLines w:val="0"/>
        <w:keepNext w:val="0"/>
        <w:pageBreakBefore w:val="0"/>
        <w:spacing w:line="380" w:lineRule="exact"/>
        <w:widowControl w:val="off"/>
        <w:tabs>
          <w:tab w:val="left" w:pos="360" w:leader="none"/>
          <w:tab w:val="left" w:pos="900" w:leader="none"/>
        </w:tabs>
        <w:rPr>
          <w:sz w:val="24"/>
        </w:rPr>
        <w:outlineLvl w:val="9"/>
      </w:pPr>
      <w:r>
        <w:rPr>
          <w:sz w:val="24"/>
        </w:rPr>
        <w:t xml:space="preserve">评标程序、评标方法和评标标准</w:t>
      </w:r>
      <w:r>
        <w:rPr>
          <w:sz w:val="24"/>
        </w:rPr>
      </w:r>
      <w:r/>
    </w:p>
    <w:p>
      <w:pPr>
        <w:pStyle w:val="866"/>
        <w:numPr>
          <w:ilvl w:val="1"/>
          <w:numId w:val="9"/>
        </w:numPr>
        <w:ind w:left="1077" w:hanging="720"/>
        <w:keepLines w:val="0"/>
        <w:keepNext w:val="0"/>
        <w:pageBreakBefore w:val="0"/>
        <w:spacing w:line="380" w:lineRule="exact"/>
        <w:widowControl w:val="off"/>
        <w:tabs>
          <w:tab w:val="left" w:pos="1080" w:leader="none"/>
          <w:tab w:val="left" w:pos="1589" w:leader="none"/>
          <w:tab w:val="left" w:pos="2014" w:leader="none"/>
        </w:tabs>
        <w:rPr>
          <w:sz w:val="24"/>
        </w:rPr>
        <w:outlineLvl w:val="9"/>
      </w:pPr>
      <w:r>
        <w:rPr>
          <w:sz w:val="24"/>
        </w:rPr>
        <w:t xml:space="preserve">见第四章《评标程序、评标方法和评标标准》。</w:t>
      </w:r>
      <w:r>
        <w:rPr>
          <w:sz w:val="24"/>
        </w:rPr>
      </w:r>
      <w:r/>
    </w:p>
    <w:p>
      <w:pPr>
        <w:pStyle w:val="866"/>
        <w:ind w:left="1080"/>
        <w:keepLines w:val="0"/>
        <w:keepNext w:val="0"/>
        <w:pageBreakBefore w:val="0"/>
        <w:spacing w:line="380" w:lineRule="exact"/>
        <w:widowControl w:val="off"/>
        <w:tabs>
          <w:tab w:val="left" w:pos="360" w:leader="none"/>
          <w:tab w:val="left" w:pos="1080" w:leader="none"/>
        </w:tabs>
        <w:rPr>
          <w:sz w:val="24"/>
        </w:rPr>
        <w:outlineLvl w:val="9"/>
      </w:pPr>
      <w:r>
        <w:rPr>
          <w:sz w:val="24"/>
        </w:rPr>
      </w:r>
      <w:r/>
    </w:p>
    <w:p>
      <w:pPr>
        <w:pStyle w:val="868"/>
        <w:pageBreakBefore w:val="0"/>
        <w:spacing w:before="0" w:line="380" w:lineRule="exact"/>
        <w:widowControl w:val="off"/>
        <w:rPr>
          <w:rFonts w:ascii="Times New Roman" w:hAnsi="Times New Roman" w:eastAsia="宋体"/>
          <w:sz w:val="28"/>
        </w:rPr>
      </w:pPr>
      <w:r/>
      <w:bookmarkStart w:id="590" w:name="_Toc305158813"/>
      <w:r/>
      <w:bookmarkStart w:id="591" w:name="_Toc150774645"/>
      <w:r/>
      <w:bookmarkStart w:id="592" w:name="_Toc151193933"/>
      <w:r/>
      <w:bookmarkStart w:id="593" w:name="_Toc226337241"/>
      <w:r/>
      <w:bookmarkStart w:id="594" w:name="_Toc265228383"/>
      <w:r/>
      <w:bookmarkStart w:id="595" w:name="_Toc150774750"/>
      <w:r/>
      <w:bookmarkStart w:id="596" w:name="_Toc150509296"/>
      <w:r/>
      <w:bookmarkStart w:id="597" w:name="_Toc264969235"/>
      <w:r/>
      <w:bookmarkStart w:id="598" w:name="_Toc151190172"/>
      <w:r/>
      <w:bookmarkStart w:id="599" w:name="_Toc142311047"/>
      <w:r/>
      <w:bookmarkStart w:id="600" w:name="_Toc151193859"/>
      <w:r/>
      <w:bookmarkStart w:id="601" w:name="_Toc151193787"/>
      <w:r/>
      <w:bookmarkStart w:id="602" w:name="_Toc305158887"/>
      <w:r/>
      <w:bookmarkStart w:id="603" w:name="_Toc150480783"/>
      <w:r/>
      <w:bookmarkStart w:id="604" w:name="_Toc226965818"/>
      <w:r/>
      <w:bookmarkStart w:id="605" w:name="_Toc151193643"/>
      <w:r/>
      <w:bookmarkStart w:id="606" w:name="_Toc226309789"/>
      <w:r/>
      <w:bookmarkStart w:id="607" w:name="_Toc226965735"/>
      <w:r/>
      <w:bookmarkStart w:id="608" w:name="_Toc151193715"/>
      <w:r/>
      <w:bookmarkStart w:id="609" w:name="_Toc195842910"/>
      <w:r/>
      <w:bookmarkStart w:id="610" w:name="_Toc12715154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65228385"/>
      <w:r/>
      <w:bookmarkStart w:id="612" w:name="_Toc127151748"/>
      <w:r/>
      <w:bookmarkStart w:id="613" w:name="_Toc164608816"/>
      <w:r/>
      <w:bookmarkStart w:id="614" w:name="_Toc151193717"/>
      <w:r/>
      <w:bookmarkStart w:id="615" w:name="_Toc164229388"/>
      <w:r/>
      <w:bookmarkStart w:id="616" w:name="_Toc164229242"/>
      <w:r/>
      <w:bookmarkStart w:id="617" w:name="_Toc127151547"/>
      <w:r/>
      <w:bookmarkStart w:id="618" w:name="_Toc151193935"/>
      <w:r/>
      <w:bookmarkStart w:id="619" w:name="_Toc150480785"/>
      <w:r/>
      <w:bookmarkStart w:id="620" w:name="_Toc150774647"/>
      <w:r/>
      <w:bookmarkStart w:id="621" w:name="_Toc149720840"/>
      <w:r/>
      <w:bookmarkStart w:id="622" w:name="_Toc264969237"/>
      <w:r/>
      <w:bookmarkStart w:id="623" w:name="_Toc226965737"/>
      <w:r/>
      <w:bookmarkStart w:id="624" w:name="_Toc305158815"/>
      <w:r/>
      <w:bookmarkStart w:id="625" w:name="_Toc142311049"/>
      <w:r/>
      <w:bookmarkStart w:id="626" w:name="_Toc150774752"/>
      <w:r/>
      <w:bookmarkStart w:id="627" w:name="_Toc305158889"/>
      <w:r/>
      <w:bookmarkStart w:id="628" w:name="_Toc164351641"/>
      <w:r/>
      <w:bookmarkStart w:id="629" w:name="_Toc151190174"/>
      <w:r/>
      <w:bookmarkStart w:id="630" w:name="_Toc195842912"/>
      <w:r/>
      <w:bookmarkStart w:id="631" w:name="_Toc226309791"/>
      <w:r/>
      <w:bookmarkStart w:id="632" w:name="_Toc164608661"/>
      <w:r/>
      <w:bookmarkStart w:id="633" w:name="_Toc151193645"/>
      <w:r/>
      <w:bookmarkStart w:id="634" w:name="_Toc226965820"/>
      <w:r/>
      <w:bookmarkStart w:id="635" w:name="_Toc226337243"/>
      <w:r/>
      <w:bookmarkStart w:id="636" w:name="_Toc151193789"/>
      <w:r/>
      <w:bookmarkStart w:id="637" w:name="_Toc150509298"/>
      <w:r/>
      <w:bookmarkStart w:id="638" w:name="_Toc127161461"/>
      <w:r/>
      <w:bookmarkStart w:id="639" w:name="_Toc151193861"/>
      <w:r>
        <w:rPr>
          <w:rFonts w:ascii="Times New Roman" w:hAnsi="Times New Roman" w:eastAsia="宋体"/>
          <w:sz w:val="28"/>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Start w:id="640" w:name="_Toc164351643"/>
      <w:r/>
      <w:bookmarkStart w:id="641" w:name="_Toc164229244"/>
      <w:r/>
      <w:bookmarkStart w:id="642" w:name="_Toc151193647"/>
      <w:r/>
      <w:bookmarkStart w:id="643" w:name="_Toc265228387"/>
      <w:r/>
      <w:bookmarkStart w:id="644" w:name="_Toc226309793"/>
      <w:r/>
      <w:bookmarkStart w:id="645" w:name="_Toc264969239"/>
      <w:r/>
      <w:bookmarkStart w:id="646" w:name="_Toc305158817"/>
      <w:r/>
      <w:bookmarkStart w:id="647" w:name="_Toc151193863"/>
      <w:r/>
      <w:bookmarkStart w:id="648" w:name="_Toc520356176"/>
      <w:r/>
      <w:bookmarkStart w:id="649" w:name="_Ref467306425"/>
      <w:r/>
      <w:bookmarkStart w:id="650" w:name="_Ref467307090"/>
      <w:r/>
      <w:bookmarkStart w:id="651" w:name="_Toc150480787"/>
      <w:r/>
      <w:bookmarkStart w:id="652" w:name="_Toc150774649"/>
      <w:r/>
      <w:bookmarkStart w:id="653" w:name="_Toc164608818"/>
      <w:r/>
      <w:bookmarkStart w:id="654" w:name="_Toc127161463"/>
      <w:r/>
      <w:bookmarkStart w:id="655" w:name="_Toc151193937"/>
      <w:r/>
      <w:bookmarkStart w:id="656" w:name="_Toc164229390"/>
      <w:r/>
      <w:bookmarkStart w:id="657" w:name="_Toc305158891"/>
      <w:r/>
      <w:bookmarkStart w:id="658" w:name="_Toc151190176"/>
      <w:r/>
      <w:bookmarkStart w:id="659" w:name="_Toc150509300"/>
      <w:r/>
      <w:bookmarkStart w:id="660" w:name="_Toc226965822"/>
      <w:r/>
      <w:bookmarkStart w:id="661" w:name="_Toc127151549"/>
      <w:r/>
      <w:bookmarkStart w:id="662" w:name="_Toc142311051"/>
      <w:r/>
      <w:bookmarkStart w:id="663" w:name="_Toc226965739"/>
      <w:r/>
      <w:bookmarkStart w:id="664" w:name="_Toc150774754"/>
      <w:r/>
      <w:bookmarkStart w:id="665" w:name="_Toc149720842"/>
      <w:r/>
      <w:bookmarkStart w:id="666" w:name="_Toc127151750"/>
      <w:r/>
      <w:bookmarkStart w:id="667" w:name="_Toc164608663"/>
      <w:r/>
      <w:bookmarkStart w:id="668" w:name="_Toc151193791"/>
      <w:r/>
      <w:bookmarkStart w:id="669" w:name="_Toc226337245"/>
      <w:r/>
      <w:bookmarkStart w:id="670" w:name="_Toc195842914"/>
      <w:r/>
      <w:bookmarkStart w:id="671" w:name="_Toc151193719"/>
      <w:r>
        <w:rPr>
          <w:sz w:val="24"/>
        </w:rPr>
        <w:t xml:space="preserve">中标公告与中标通知书</w:t>
      </w:r>
      <w:bookmarkEnd w:id="646"/>
      <w:r/>
      <w:bookmarkEnd w:id="657"/>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废标</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866"/>
        <w:numPr>
          <w:ilvl w:val="2"/>
          <w:numId w:val="9"/>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866"/>
        <w:numPr>
          <w:ilvl w:val="2"/>
          <w:numId w:val="9"/>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End w:id="640"/>
      <w:r/>
      <w:bookmarkEnd w:id="641"/>
      <w:r/>
      <w:bookmarkEnd w:id="642"/>
      <w:r/>
      <w:bookmarkEnd w:id="643"/>
      <w:r/>
      <w:bookmarkEnd w:id="644"/>
      <w:r/>
      <w:bookmarkEnd w:id="645"/>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65228388"/>
      <w:r/>
      <w:bookmarkStart w:id="673" w:name="_Toc142311052"/>
      <w:r/>
      <w:bookmarkStart w:id="674" w:name="_Toc164608819"/>
      <w:r/>
      <w:bookmarkStart w:id="675" w:name="_Toc127151751"/>
      <w:r/>
      <w:bookmarkStart w:id="676" w:name="_Toc149720843"/>
      <w:r/>
      <w:bookmarkStart w:id="677" w:name="_Toc264969240"/>
      <w:r/>
      <w:bookmarkStart w:id="678" w:name="_Toc164229391"/>
      <w:r/>
      <w:bookmarkStart w:id="679" w:name="_Toc151193792"/>
      <w:r/>
      <w:bookmarkStart w:id="680" w:name="_Toc151193864"/>
      <w:r/>
      <w:bookmarkStart w:id="681" w:name="_Toc164351644"/>
      <w:r/>
      <w:bookmarkStart w:id="682" w:name="_Toc150509301"/>
      <w:r/>
      <w:bookmarkStart w:id="683" w:name="_Toc226965823"/>
      <w:r/>
      <w:bookmarkStart w:id="684" w:name="_Toc305158818"/>
      <w:r/>
      <w:bookmarkStart w:id="685" w:name="_Toc164608664"/>
      <w:r/>
      <w:bookmarkStart w:id="686" w:name="_Toc226965740"/>
      <w:r/>
      <w:bookmarkStart w:id="687" w:name="_Toc127151550"/>
      <w:r/>
      <w:bookmarkStart w:id="688" w:name="_Toc150480788"/>
      <w:r/>
      <w:bookmarkStart w:id="689" w:name="_Toc520356175"/>
      <w:r/>
      <w:bookmarkStart w:id="690" w:name="_Toc150774650"/>
      <w:r/>
      <w:bookmarkStart w:id="691" w:name="_Ref467307204"/>
      <w:r/>
      <w:bookmarkStart w:id="692" w:name="_Toc305158892"/>
      <w:r/>
      <w:bookmarkStart w:id="693" w:name="_Toc226337246"/>
      <w:r/>
      <w:bookmarkStart w:id="694" w:name="_Toc151193648"/>
      <w:r/>
      <w:bookmarkStart w:id="695" w:name="_Toc151193938"/>
      <w:r/>
      <w:bookmarkStart w:id="696" w:name="_Toc195842915"/>
      <w:r/>
      <w:bookmarkStart w:id="697" w:name="_Toc151190177"/>
      <w:r/>
      <w:bookmarkStart w:id="698" w:name="_Toc151193720"/>
      <w:r/>
      <w:bookmarkStart w:id="699" w:name="_Ref467307062"/>
      <w:r/>
      <w:bookmarkStart w:id="700" w:name="_Ref467306377"/>
      <w:r/>
      <w:bookmarkStart w:id="701" w:name="_Toc127161464"/>
      <w:r/>
      <w:bookmarkStart w:id="702" w:name="_Toc164229245"/>
      <w:r/>
      <w:bookmarkStart w:id="703" w:name="_Toc150774755"/>
      <w:r/>
      <w:bookmarkStart w:id="704" w:name="_Toc226309794"/>
      <w:r/>
      <w:bookmarkStart w:id="705" w:name="_Ref467306978"/>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bookmarkEnd w:id="648"/>
      <w:r/>
      <w:bookmarkEnd w:id="649"/>
      <w:r/>
      <w:bookmarkEnd w:id="650"/>
      <w:r>
        <w:rPr>
          <w:sz w:val="24"/>
        </w:rPr>
        <w:t xml:space="preserve">询问与质疑</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866"/>
        <w:numPr>
          <w:ilvl w:val="2"/>
          <w:numId w:val="9"/>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66"/>
        <w:numPr>
          <w:ilvl w:val="2"/>
          <w:numId w:val="9"/>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3"/>
        </w:rPr>
        <w:t xml:space="preserve">http://gk</w:t>
      </w:r>
      <w:bookmarkStart w:id="706" w:name="_Hlt100654014"/>
      <w:r>
        <w:rPr>
          <w:rStyle w:val="943"/>
        </w:rPr>
        <w:t xml:space="preserve">s</w:t>
      </w:r>
      <w:bookmarkEnd w:id="706"/>
      <w:r>
        <w:rPr>
          <w:rStyle w:val="943"/>
        </w:rPr>
        <w:t xml:space="preserve">.m</w:t>
      </w:r>
      <w:bookmarkStart w:id="707" w:name="_Hlt100653993"/>
      <w:r/>
      <w:bookmarkStart w:id="708" w:name="_Hlt100653994"/>
      <w:r>
        <w:rPr>
          <w:rStyle w:val="943"/>
        </w:rPr>
        <w:t xml:space="preserve">o</w:t>
      </w:r>
      <w:bookmarkEnd w:id="707"/>
      <w:r/>
      <w:bookmarkEnd w:id="708"/>
      <w:r>
        <w:rPr>
          <w:rStyle w:val="943"/>
        </w:rPr>
        <w:t xml:space="preserve">f.gov.cn/ztztz/zhengfucaigouguanli/201802/t20180201_2804589.htm</w:t>
      </w:r>
      <w:r>
        <w:fldChar w:fldCharType="end"/>
      </w:r>
      <w:r>
        <w:rPr>
          <w:rFonts w:hint="eastAsia"/>
        </w:rPr>
        <w:t xml:space="preserve">）</w:t>
      </w:r>
      <w:r>
        <w:rPr>
          <w:sz w:val="24"/>
        </w:rPr>
      </w:r>
      <w:r/>
    </w:p>
    <w:p>
      <w:pPr>
        <w:pStyle w:val="866"/>
        <w:numPr>
          <w:ilvl w:val="2"/>
          <w:numId w:val="9"/>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66"/>
        <w:numPr>
          <w:ilvl w:val="2"/>
          <w:numId w:val="9"/>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66"/>
        <w:numPr>
          <w:ilvl w:val="0"/>
          <w:numId w:val="9"/>
        </w:numPr>
        <w:ind w:left="357" w:hanging="357"/>
        <w:pageBreakBefore w:val="0"/>
        <w:spacing w:line="380" w:lineRule="exact"/>
        <w:widowControl w:val="off"/>
        <w:tabs>
          <w:tab w:val="left" w:pos="360" w:leader="none"/>
          <w:tab w:val="left" w:pos="900" w:leader="none"/>
        </w:tabs>
        <w:rPr>
          <w:sz w:val="24"/>
        </w:rPr>
        <w:outlineLvl w:val="2"/>
      </w:pPr>
      <w:r>
        <w:rPr>
          <w:sz w:val="24"/>
        </w:rPr>
        <w:t xml:space="preserve">代理费</w:t>
      </w:r>
      <w:r>
        <w:rPr>
          <w:sz w:val="24"/>
        </w:rPr>
      </w:r>
      <w:r/>
    </w:p>
    <w:p>
      <w:pPr>
        <w:pStyle w:val="86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866"/>
        <w:ind w:left="360"/>
        <w:spacing w:line="360" w:lineRule="auto"/>
        <w:tabs>
          <w:tab w:val="left" w:pos="360" w:leader="none"/>
          <w:tab w:val="left" w:pos="1080" w:leader="none"/>
        </w:tabs>
        <w:rPr>
          <w:sz w:val="24"/>
        </w:rPr>
      </w:pPr>
      <w:r>
        <w:rPr>
          <w:sz w:val="24"/>
        </w:rPr>
      </w:r>
      <w:r/>
    </w:p>
    <w:p>
      <w:pPr>
        <w:pStyle w:val="866"/>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1"/>
      </w:pPr>
      <w:r/>
      <w:bookmarkStart w:id="709" w:name="_Toc99301421"/>
      <w:r/>
      <w:bookmarkStart w:id="710" w:name="_Toc226337250"/>
      <w:r/>
      <w:bookmarkStart w:id="711" w:name="_Toc226965827"/>
      <w:r/>
      <w:bookmarkStart w:id="712" w:name="_Toc150774759"/>
      <w:r/>
      <w:bookmarkStart w:id="713" w:name="_Toc150480792"/>
      <w:r/>
      <w:bookmarkStart w:id="714" w:name="_Toc142311056"/>
      <w:r/>
      <w:bookmarkStart w:id="715" w:name="_Toc265228392"/>
      <w:r/>
      <w:bookmarkStart w:id="716" w:name="_Toc353873934"/>
      <w:r/>
      <w:bookmarkStart w:id="717" w:name="_Toc305158822"/>
      <w:r/>
      <w:bookmarkStart w:id="718" w:name="_Toc127151554"/>
      <w:r/>
      <w:bookmarkStart w:id="719" w:name="_Toc264969244"/>
      <w:r/>
      <w:bookmarkStart w:id="720" w:name="_Toc353825544"/>
      <w:r/>
      <w:bookmarkStart w:id="721" w:name="_Toc305158896"/>
      <w:r/>
      <w:bookmarkStart w:id="722" w:name="_Toc353873664"/>
      <w:r>
        <w:rPr>
          <w:b/>
          <w:sz w:val="36"/>
          <w:szCs w:val="36"/>
        </w:rPr>
      </w:r>
      <w:r/>
    </w:p>
    <w:p>
      <w:pPr>
        <w:pStyle w:val="866"/>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ascii="Times New Roman" w:hAnsi="Times New Roman" w:eastAsia="宋体" w:cs="Times New Roman"/>
          <w:b/>
          <w:sz w:val="36"/>
          <w:szCs w:val="36"/>
        </w:rPr>
        <w:t xml:space="preserve">资格审查</w:t>
      </w:r>
      <w:bookmarkEnd w:id="709"/>
      <w:r/>
      <w:bookmarkStart w:id="723" w:name="_Toc487900382"/>
      <w:r>
        <w:rPr>
          <w:b/>
          <w:sz w:val="36"/>
          <w:szCs w:val="36"/>
        </w:rPr>
      </w:r>
      <w:r/>
    </w:p>
    <w:p>
      <w:pPr>
        <w:pStyle w:val="866"/>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2"/>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b/>
          <w:sz w:val="24"/>
        </w:rPr>
        <w:outlineLvl w:val="2"/>
      </w:pPr>
      <w:r>
        <w:rPr>
          <w:rFonts w:hint="eastAsia"/>
          <w:sz w:val="24"/>
          <w:lang w:val="en-US" w:eastAsia="zh-CN"/>
        </w:rPr>
        <w:t xml:space="preserve">3、</w:t>
      </w:r>
      <w:r>
        <w:rPr>
          <w:sz w:val="24"/>
        </w:rPr>
        <w:t xml:space="preserve">资格审查合格的投标人不足3家的，不进行评标。</w:t>
      </w:r>
      <w:r>
        <w:rPr>
          <w:b/>
          <w:sz w:val="24"/>
        </w:rPr>
      </w:r>
      <w:r/>
    </w:p>
    <w:p>
      <w:pPr>
        <w:pStyle w:val="866"/>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866"/>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866"/>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rFonts w:eastAsia="宋体"/>
                <w:sz w:val="24"/>
                <w:szCs w:val="24"/>
                <w:lang w:val="en-US" w:eastAsia="zh-CN"/>
              </w:rPr>
            </w:pPr>
            <w:r>
              <w:rPr>
                <w:rFonts w:hint="eastAsia"/>
                <w:sz w:val="24"/>
                <w:szCs w:val="24"/>
                <w:lang w:val="en-US" w:eastAsia="zh-CN"/>
              </w:rPr>
              <w:t xml:space="preserve">2-1</w:t>
            </w:r>
            <w:r>
              <w:rPr>
                <w:rFonts w:eastAsia="宋体"/>
                <w:sz w:val="24"/>
                <w:szCs w:val="24"/>
                <w:lang w:val="en-US" w:eastAsia="zh-CN"/>
              </w:rPr>
            </w:r>
            <w:r/>
          </w:p>
        </w:tc>
        <w:tc>
          <w:tcPr>
            <w:tcW w:w="2452" w:type="dxa"/>
            <w:vAlign w:val="center"/>
            <w:textDirection w:val="lrTb"/>
            <w:noWrap w:val="false"/>
          </w:tcPr>
          <w:p>
            <w:pPr>
              <w:pStyle w:val="866"/>
              <w:tabs>
                <w:tab w:val="left" w:pos="1080" w:leader="none"/>
              </w:tabs>
              <w:rPr>
                <w:sz w:val="24"/>
                <w:szCs w:val="24"/>
              </w:rPr>
            </w:pPr>
            <w:r>
              <w:rPr>
                <w:sz w:val="24"/>
              </w:rPr>
              <w:t xml:space="preserve">中小企业声明函</w:t>
            </w:r>
            <w:r>
              <w:rPr>
                <w:sz w:val="24"/>
                <w:szCs w:val="24"/>
              </w:rPr>
            </w:r>
            <w:r/>
          </w:p>
        </w:tc>
        <w:tc>
          <w:tcPr>
            <w:tcW w:w="4919" w:type="dxa"/>
            <w:vAlign w:val="center"/>
            <w:textDirection w:val="lrTb"/>
            <w:noWrap w:val="false"/>
          </w:tcPr>
          <w:p>
            <w:pPr>
              <w:pStyle w:val="866"/>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6"/>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866"/>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66"/>
              <w:tabs>
                <w:tab w:val="left" w:pos="1080" w:leader="none"/>
              </w:tabs>
              <w:rPr>
                <w:sz w:val="24"/>
                <w:szCs w:val="24"/>
              </w:rPr>
            </w:pPr>
            <w:r>
              <w:rPr>
                <w:rFonts w:hint="eastAsia"/>
                <w:sz w:val="24"/>
              </w:rPr>
              <w:t xml:space="preserve">注2：</w:t>
            </w:r>
            <w:r>
              <w:rPr>
                <w:sz w:val="24"/>
              </w:rPr>
              <w:t xml:space="preserve">残疾人福利性单位须按招标文件要求提供《残疾人福利性单位声明函》。</w:t>
            </w:r>
            <w:r>
              <w:rPr>
                <w:sz w:val="24"/>
                <w:szCs w:val="24"/>
              </w:rPr>
            </w:r>
            <w:r/>
          </w:p>
        </w:tc>
        <w:tc>
          <w:tcPr>
            <w:tcW w:w="1865" w:type="dxa"/>
            <w:vAlign w:val="center"/>
            <w:textDirection w:val="lrTb"/>
            <w:noWrap w:val="false"/>
          </w:tcPr>
          <w:p>
            <w:pPr>
              <w:pStyle w:val="866"/>
              <w:tabs>
                <w:tab w:val="left" w:pos="1080" w:leader="none"/>
              </w:tabs>
              <w:rPr>
                <w:sz w:val="24"/>
                <w:szCs w:val="24"/>
              </w:rPr>
            </w:pPr>
            <w:r>
              <w:rPr>
                <w:sz w:val="24"/>
              </w:rPr>
              <w:t xml:space="preserve">格式见《投标文件格式》</w:t>
            </w:r>
            <w:r>
              <w:rPr>
                <w:sz w:val="24"/>
                <w:szCs w:val="24"/>
              </w:rPr>
            </w:r>
            <w:r/>
          </w:p>
        </w:tc>
      </w:tr>
      <w:tr>
        <w:trPr>
          <w:trHeight w:val="845"/>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866"/>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51779"/>
      <w:r/>
      <w:bookmarkStart w:id="727" w:name="_Toc353825550"/>
      <w:r/>
      <w:bookmarkStart w:id="728" w:name="_Toc226965858"/>
      <w:r/>
      <w:bookmarkStart w:id="729" w:name="_Toc127161490"/>
      <w:r/>
      <w:bookmarkStart w:id="730" w:name="_Toc353873940"/>
      <w:r/>
      <w:bookmarkStart w:id="731" w:name="_Toc99301423"/>
      <w:r>
        <w:rPr>
          <w:b/>
          <w:sz w:val="36"/>
          <w:szCs w:val="36"/>
        </w:rPr>
      </w:r>
      <w:r/>
    </w:p>
    <w:p>
      <w:pPr>
        <w:pStyle w:val="866"/>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第四章   </w:t>
      </w:r>
      <w:bookmarkEnd w:id="726"/>
      <w:r/>
      <w:bookmarkEnd w:id="727"/>
      <w:r/>
      <w:bookmarkEnd w:id="728"/>
      <w:r/>
      <w:bookmarkEnd w:id="729"/>
      <w:r/>
      <w:bookmarkEnd w:id="730"/>
      <w:r/>
      <w:bookmarkStart w:id="732" w:name="_Hlt164229061"/>
      <w:r/>
      <w:bookmarkEnd w:id="732"/>
      <w:r>
        <w:rPr>
          <w:rFonts w:ascii="Times New Roman" w:hAnsi="Times New Roman" w:eastAsia="宋体" w:cs="Times New Roman"/>
          <w:b/>
          <w:sz w:val="36"/>
          <w:szCs w:val="36"/>
        </w:rPr>
        <w:t xml:space="preserve">评标程序、评标方法和评标标准</w:t>
      </w:r>
      <w:bookmarkEnd w:id="731"/>
      <w:r>
        <w:rPr>
          <w:b/>
          <w:sz w:val="36"/>
          <w:szCs w:val="36"/>
        </w:rPr>
      </w:r>
      <w:r/>
    </w:p>
    <w:p>
      <w:pPr>
        <w:pStyle w:val="866"/>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66"/>
        <w:numPr>
          <w:ilvl w:val="0"/>
          <w:numId w:val="12"/>
        </w:numPr>
        <w:keepLines w:val="0"/>
        <w:keepNext w:val="0"/>
        <w:pageBreakBefore w:val="0"/>
        <w:spacing w:line="360" w:lineRule="exact"/>
        <w:widowControl w:val="off"/>
        <w:tabs>
          <w:tab w:val="left" w:pos="360" w:leader="none"/>
          <w:tab w:val="left" w:pos="900" w:leader="none"/>
        </w:tabs>
        <w:rPr>
          <w:sz w:val="24"/>
        </w:rPr>
        <w:outlineLvl w:val="2"/>
      </w:pPr>
      <w:r/>
      <w:bookmarkStart w:id="733" w:name="_Toc305158809"/>
      <w:r/>
      <w:bookmarkStart w:id="734" w:name="_Toc164229236"/>
      <w:r/>
      <w:bookmarkStart w:id="735" w:name="_Toc264969231"/>
      <w:r/>
      <w:bookmarkStart w:id="736" w:name="_Toc226337237"/>
      <w:r/>
      <w:bookmarkStart w:id="737" w:name="_Toc150509292"/>
      <w:r/>
      <w:bookmarkStart w:id="738" w:name="_Toc149720834"/>
      <w:r/>
      <w:bookmarkStart w:id="739" w:name="_Toc150774746"/>
      <w:r/>
      <w:bookmarkStart w:id="740" w:name="_Toc164608655"/>
      <w:r/>
      <w:bookmarkStart w:id="741" w:name="_Toc150774641"/>
      <w:r/>
      <w:bookmarkStart w:id="742" w:name="_Toc305158883"/>
      <w:r/>
      <w:bookmarkStart w:id="743" w:name="_Toc151190168"/>
      <w:r/>
      <w:bookmarkStart w:id="744" w:name="_Toc151193783"/>
      <w:r/>
      <w:bookmarkStart w:id="745" w:name="_Toc127151742"/>
      <w:r/>
      <w:bookmarkStart w:id="746" w:name="_Toc151193929"/>
      <w:r/>
      <w:bookmarkStart w:id="747" w:name="_Toc164351635"/>
      <w:r/>
      <w:bookmarkStart w:id="748" w:name="_Toc226965814"/>
      <w:r/>
      <w:bookmarkStart w:id="749" w:name="_Toc151193639"/>
      <w:r/>
      <w:bookmarkStart w:id="750" w:name="_Toc127161455"/>
      <w:r/>
      <w:bookmarkStart w:id="751" w:name="_Toc151193711"/>
      <w:r/>
      <w:bookmarkStart w:id="752" w:name="_Toc150480779"/>
      <w:r/>
      <w:bookmarkStart w:id="753" w:name="_Toc164229382"/>
      <w:r/>
      <w:bookmarkStart w:id="754" w:name="_Toc226965731"/>
      <w:r/>
      <w:bookmarkStart w:id="755" w:name="_Toc195842906"/>
      <w:r/>
      <w:bookmarkStart w:id="756" w:name="_Toc164608810"/>
      <w:r/>
      <w:bookmarkStart w:id="757" w:name="_Toc151193855"/>
      <w:r/>
      <w:bookmarkStart w:id="758" w:name="_Toc127151541"/>
      <w:r/>
      <w:bookmarkStart w:id="759" w:name="_Toc265228379"/>
      <w:r/>
      <w:bookmarkStart w:id="760" w:name="_Toc226309785"/>
      <w:r/>
      <w:bookmarkStart w:id="761" w:name="_Toc142311043"/>
      <w:r/>
      <w:bookmarkStart w:id="762" w:name="_Toc353873941"/>
      <w:r/>
      <w:bookmarkStart w:id="763" w:name="_Toc353825551"/>
      <w:r/>
      <w:bookmarkStart w:id="764" w:name="_Toc353825545"/>
      <w:r/>
      <w:bookmarkStart w:id="765" w:name="_Toc353873935"/>
      <w:r/>
      <w:bookmarkStart w:id="766" w:name="_Toc226337251"/>
      <w:r/>
      <w:bookmarkStart w:id="767" w:name="_Toc305158897"/>
      <w:r/>
      <w:bookmarkStart w:id="768" w:name="_Toc150480793"/>
      <w:r/>
      <w:bookmarkStart w:id="769" w:name="_Toc142311057"/>
      <w:r/>
      <w:bookmarkStart w:id="770" w:name="_Toc226965828"/>
      <w:r/>
      <w:bookmarkStart w:id="771" w:name="_Toc264969245"/>
      <w:r/>
      <w:bookmarkStart w:id="772" w:name="_Toc127151555"/>
      <w:r/>
      <w:bookmarkStart w:id="773" w:name="_Toc305158823"/>
      <w:r/>
      <w:bookmarkStart w:id="774" w:name="_Toc353873665"/>
      <w:r/>
      <w:bookmarkStart w:id="775" w:name="_Toc150774760"/>
      <w:r/>
      <w:bookmarkStart w:id="776" w:name="_Toc265228393"/>
      <w:r/>
      <w:bookmarkStart w:id="777" w:name="_Toc195842920"/>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866"/>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866"/>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66"/>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866"/>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866"/>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866"/>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866"/>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866"/>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866"/>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866"/>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866"/>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866"/>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866"/>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866"/>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866"/>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866"/>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866"/>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866"/>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分包意向协议</w:t>
            </w:r>
            <w:r>
              <w:rPr>
                <w:color w:val="000000"/>
                <w:sz w:val="24"/>
              </w:rPr>
            </w:r>
            <w:r/>
          </w:p>
          <w:p>
            <w:pPr>
              <w:pStyle w:val="866"/>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866"/>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66"/>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866"/>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66"/>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66"/>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866"/>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866"/>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866"/>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866"/>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866"/>
        <w:numPr>
          <w:ilvl w:val="0"/>
          <w:numId w:val="13"/>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6"/>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投标文件有关事项的澄清或者说明</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66"/>
        <w:numPr>
          <w:ilvl w:val="1"/>
          <w:numId w:val="12"/>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86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6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6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6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6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落实政府采购政策的价格调整：</w:t>
      </w:r>
      <w:r>
        <w:rPr>
          <w:b/>
          <w:bCs/>
          <w:sz w:val="24"/>
        </w:rPr>
        <w:t xml:space="preserve">只有符合第二章《投标人须知</w:t>
      </w:r>
      <w:r>
        <w:rPr>
          <w:rFonts w:hint="eastAsia"/>
          <w:b/>
          <w:bCs/>
          <w:sz w:val="24"/>
          <w:lang w:eastAsia="zh-CN"/>
        </w:rPr>
        <w:t xml:space="preserve">》第</w:t>
      </w:r>
      <w:r>
        <w:rPr>
          <w:b/>
          <w:bCs/>
          <w:sz w:val="24"/>
        </w:rPr>
        <w:t xml:space="preserve">5.2条规定情形的，可以享受中小企业扶持政策，用扣除后的价格参加评审；否则，评标时价格不予扣除。</w:t>
      </w:r>
      <w:r>
        <w:rPr>
          <w:b/>
          <w:bCs/>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bCs w:val="0"/>
          <w:sz w:val="24"/>
          <w:highlight w:val="none"/>
        </w:rPr>
        <w:t xml:space="preserve">小微企业的报价</w:t>
      </w:r>
      <w:r>
        <w:rPr>
          <w:b/>
          <w:bCs/>
          <w:sz w:val="24"/>
        </w:rPr>
        <w:t xml:space="preserve">扣除</w:t>
      </w:r>
      <w:r>
        <w:rPr>
          <w:rFonts w:hint="eastAsia"/>
          <w:b/>
          <w:bCs w:val="0"/>
          <w:sz w:val="24"/>
          <w:highlight w:val="none"/>
          <w:lang w:eastAsia="zh-CN"/>
        </w:rPr>
        <w:t xml:space="preserve">（</w:t>
      </w:r>
      <w:r>
        <w:rPr>
          <w:rFonts w:hint="eastAsia"/>
          <w:b/>
          <w:bCs w:val="0"/>
          <w:sz w:val="24"/>
          <w:highlight w:val="none"/>
          <w:lang w:val="en-US" w:eastAsia="zh-CN"/>
        </w:rPr>
        <w:t xml:space="preserve">扣除比例详见前附表</w:t>
      </w:r>
      <w:r>
        <w:rPr>
          <w:rFonts w:hint="eastAsia"/>
          <w:b/>
          <w:bCs w:val="0"/>
          <w:sz w:val="24"/>
          <w:highlight w:val="none"/>
          <w:lang w:eastAsia="zh-CN"/>
        </w:rPr>
        <w:t xml:space="preserve">）</w:t>
      </w:r>
      <w:r>
        <w:rPr>
          <w:sz w:val="24"/>
        </w:rPr>
        <w:t xml:space="preserve">，用扣除后的价格参加评审。</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rFonts w:eastAsia="宋体"/>
          <w:sz w:val="24"/>
          <w:lang w:val="en-US" w:eastAsia="zh-CN"/>
        </w:rPr>
      </w:pPr>
      <w:r>
        <w:rPr>
          <w:sz w:val="24"/>
        </w:rPr>
        <w:t xml:space="preserve">若投标人同时属于小型或微型企业、监狱企业、残疾人福利性单位中的两种及以上，将不重复享受小微企业价格扣减的优惠政策。</w:t>
      </w:r>
      <w:r>
        <w:rPr>
          <w:rFonts w:eastAsia="宋体"/>
          <w:sz w:val="24"/>
          <w:lang w:val="en-US" w:eastAsia="zh-CN"/>
        </w:rPr>
      </w:r>
      <w:r/>
    </w:p>
    <w:p>
      <w:pPr>
        <w:pStyle w:val="866"/>
        <w:numPr>
          <w:ilvl w:val="0"/>
          <w:numId w:val="0"/>
        </w:numPr>
        <w:ind w:firstLine="241"/>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1.</w:t>
      </w:r>
      <w:r>
        <w:rPr>
          <w:rFonts w:hint="eastAsia" w:ascii="宋体" w:hAnsi="宋体" w:eastAsia="宋体" w:cs="Times New Roman"/>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color w:val="000000"/>
          <w:sz w:val="24"/>
          <w:highlight w:val="none"/>
          <w:u w:val="single"/>
        </w:rPr>
        <w:t xml:space="preserve">的价格扣除，用扣除后的价格参与评审。</w:t>
      </w:r>
      <w:r>
        <w:rPr>
          <w:rFonts w:hint="eastAsia" w:ascii="宋体" w:hAnsi="宋体" w:eastAsia="宋体" w:cs="Times New Roman"/>
          <w:color w:val="000000"/>
          <w:sz w:val="24"/>
          <w:highlight w:val="none"/>
          <w:u w:val="single"/>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2.</w:t>
      </w:r>
      <w:r>
        <w:rPr>
          <w:rFonts w:hint="eastAsia" w:ascii="宋体" w:hAnsi="宋体" w:eastAsia="宋体" w:cs="Times New Roman"/>
          <w:color w:val="000000"/>
          <w:sz w:val="24"/>
          <w:highlight w:val="none"/>
          <w:u w:val="single"/>
        </w:rPr>
        <w:t xml:space="preserve">当采购项目或者采购包中含有多种产品，</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为该采购项目或者采购包提供的符合本国产品标准的产品成本之和占该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提供的全部产品成本之和的比例达到80%以上时（</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需在“第七章 投标文件格式”的“</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color w:val="000000"/>
          <w:sz w:val="24"/>
          <w:highlight w:val="none"/>
          <w:u w:val="single"/>
        </w:rPr>
        <w:t xml:space="preserve">投标分项报价表”中填写比例数值），依法对该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提供的全部产品给予价格评审优惠，即对该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提供的全部产品的总报价给予20%的价格扣除，用扣除后的价格参与评审。</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未填写比例数值，或比例数值未达到80%的，将不享受本国产品价格评审优惠。</w:t>
      </w:r>
      <w:r>
        <w:rPr>
          <w:rFonts w:hint="eastAsia" w:ascii="宋体" w:hAnsi="宋体" w:eastAsia="宋体" w:cs="Times New Roman"/>
          <w:color w:val="000000"/>
          <w:sz w:val="24"/>
          <w:highlight w:val="none"/>
          <w:u w:val="single"/>
          <w:lang w:val="en-US" w:eastAsia="zh-CN"/>
        </w:rPr>
        <w:t xml:space="preserve">3.</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00"/>
          <w:sz w:val="24"/>
          <w:highlight w:val="none"/>
          <w:u w:val="single"/>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4.</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4"/>
          <w:highlight w:val="none"/>
          <w:u w:val="single"/>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color w:val="000000"/>
          <w:sz w:val="24"/>
          <w:u w:val="single"/>
          <w:lang w:val="en-US" w:eastAsia="zh-CN"/>
        </w:rPr>
      </w:pPr>
      <w:r>
        <w:rPr>
          <w:rFonts w:hint="eastAsia" w:ascii="宋体" w:hAnsi="宋体" w:eastAsia="宋体" w:cs="Times New Roman"/>
          <w:color w:val="000000"/>
          <w:sz w:val="24"/>
          <w:highlight w:val="none"/>
          <w:u w:val="single"/>
          <w:lang w:val="en-US" w:eastAsia="zh-CN"/>
        </w:rPr>
        <w:t xml:space="preserve">5.</w:t>
      </w:r>
      <w:r>
        <w:rPr>
          <w:rFonts w:hint="eastAsia" w:ascii="宋体" w:hAnsi="宋体" w:eastAsia="宋体" w:cs="Times New Roman"/>
          <w:color w:val="000000"/>
          <w:sz w:val="24"/>
          <w:highlight w:val="none"/>
          <w:u w:val="single"/>
        </w:rPr>
        <w:t xml:space="preserve">评标过程中，如发现</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提供的相关产品视为不符合本国产品标准</w:t>
      </w:r>
      <w:r>
        <w:rPr>
          <w:rFonts w:eastAsia="宋体"/>
          <w:color w:val="000000"/>
          <w:sz w:val="24"/>
          <w:u w:val="single"/>
          <w:lang w:val="en-US" w:eastAsia="zh-CN"/>
        </w:rPr>
      </w:r>
      <w:r/>
    </w:p>
    <w:p>
      <w:pPr>
        <w:pStyle w:val="866"/>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投标文件的比较和评价</w:t>
      </w:r>
      <w:bookmarkEnd w:id="762"/>
      <w:r/>
      <w:bookmarkEnd w:id="763"/>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66"/>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66"/>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6"/>
        <w:numPr>
          <w:ilvl w:val="0"/>
          <w:numId w:val="12"/>
        </w:numPr>
        <w:keepLines w:val="0"/>
        <w:keepNext w:val="0"/>
        <w:pageBreakBefore w:val="0"/>
        <w:spacing w:line="400" w:lineRule="exact"/>
        <w:widowControl w:val="off"/>
        <w:tabs>
          <w:tab w:val="left" w:pos="360" w:leader="none"/>
          <w:tab w:val="left" w:pos="900" w:leader="none"/>
        </w:tabs>
        <w:rPr>
          <w:sz w:val="24"/>
        </w:rPr>
        <w:outlineLvl w:val="2"/>
      </w:pPr>
      <w:r>
        <w:rPr>
          <w:sz w:val="24"/>
        </w:rPr>
        <w:t xml:space="preserve">确定</w:t>
      </w:r>
      <w:bookmarkStart w:id="779" w:name="_Toc226965819"/>
      <w:r/>
      <w:bookmarkStart w:id="780" w:name="_Toc151193860"/>
      <w:r/>
      <w:bookmarkStart w:id="781" w:name="_Toc226965736"/>
      <w:r/>
      <w:bookmarkStart w:id="782" w:name="_Toc150480784"/>
      <w:r/>
      <w:bookmarkStart w:id="783" w:name="_Toc164229387"/>
      <w:r/>
      <w:bookmarkStart w:id="784" w:name="_Toc226309790"/>
      <w:r/>
      <w:bookmarkStart w:id="785" w:name="_Toc151193644"/>
      <w:r/>
      <w:bookmarkStart w:id="786" w:name="_Toc150774646"/>
      <w:r/>
      <w:bookmarkStart w:id="787" w:name="_Toc164351640"/>
      <w:r/>
      <w:bookmarkStart w:id="788" w:name="_Toc127151747"/>
      <w:r/>
      <w:bookmarkStart w:id="789" w:name="_Toc264969236"/>
      <w:r/>
      <w:bookmarkStart w:id="790" w:name="_Toc151190173"/>
      <w:r/>
      <w:bookmarkStart w:id="791" w:name="_Toc164229241"/>
      <w:r/>
      <w:bookmarkStart w:id="792" w:name="_Toc265228384"/>
      <w:r/>
      <w:bookmarkStart w:id="793" w:name="_Toc127161460"/>
      <w:r/>
      <w:bookmarkStart w:id="794" w:name="_Toc150509297"/>
      <w:r/>
      <w:bookmarkStart w:id="795" w:name="_Toc149720839"/>
      <w:r/>
      <w:bookmarkStart w:id="796" w:name="_Ref467307010"/>
      <w:r/>
      <w:bookmarkStart w:id="797" w:name="_Toc142311048"/>
      <w:r/>
      <w:bookmarkStart w:id="798" w:name="_Toc164608815"/>
      <w:r/>
      <w:bookmarkStart w:id="799" w:name="_Toc151193788"/>
      <w:r/>
      <w:bookmarkStart w:id="800" w:name="_Toc151193716"/>
      <w:r/>
      <w:bookmarkStart w:id="801" w:name="_Toc151193934"/>
      <w:r/>
      <w:bookmarkStart w:id="802" w:name="_Toc305158888"/>
      <w:r/>
      <w:bookmarkStart w:id="803" w:name="_Toc195842911"/>
      <w:r/>
      <w:bookmarkStart w:id="804" w:name="_Toc164608660"/>
      <w:r/>
      <w:bookmarkStart w:id="805" w:name="_Toc127151546"/>
      <w:r/>
      <w:bookmarkStart w:id="806" w:name="_Toc305158814"/>
      <w:r/>
      <w:bookmarkStart w:id="807" w:name="_Toc226337242"/>
      <w:r/>
      <w:bookmarkStart w:id="808" w:name="_Toc150774751"/>
      <w:r/>
      <w:bookmarkStart w:id="809" w:name="_Toc52035617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0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0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66"/>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66"/>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866"/>
        <w:numPr>
          <w:ilvl w:val="1"/>
          <w:numId w:val="12"/>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eastAsia="宋体" w:cs="Times New Roman"/>
          <w:sz w:val="24"/>
        </w:rPr>
      </w:r>
      <w:r/>
    </w:p>
    <w:p>
      <w:pPr>
        <w:pStyle w:val="866"/>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561" w:type="dxa"/>
        <w:jc w:val="center"/>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51"/>
        <w:gridCol w:w="1154"/>
        <w:gridCol w:w="780"/>
        <w:gridCol w:w="7112"/>
        <w:gridCol w:w="764"/>
      </w:tblGrid>
      <w:tr>
        <w:trPr>
          <w:trHeight w:val="615"/>
        </w:trPr>
        <w:tc>
          <w:tcPr>
            <w:tcW w:w="751" w:type="dxa"/>
            <w:vAlign w:val="center"/>
            <w:textDirection w:val="lrTb"/>
            <w:noWrap w:val="false"/>
          </w:tcPr>
          <w:p>
            <w:pPr>
              <w:pStyle w:val="866"/>
              <w:ind w:left="0" w:right="0" w:firstLine="28"/>
              <w:jc w:val="center"/>
              <w:keepLines w:val="0"/>
              <w:keepNext w:val="0"/>
              <w:pageBreakBefore w:val="0"/>
              <w:spacing w:line="40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4" w:type="dxa"/>
            <w:vAlign w:val="center"/>
            <w:textDirection w:val="lrTb"/>
            <w:noWrap w:val="false"/>
          </w:tcPr>
          <w:p>
            <w:pPr>
              <w:pStyle w:val="866"/>
              <w:ind w:left="0" w:right="0" w:firstLine="2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866"/>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2" w:type="dxa"/>
            <w:vAlign w:val="center"/>
            <w:textDirection w:val="lrTb"/>
            <w:noWrap w:val="false"/>
          </w:tcPr>
          <w:p>
            <w:pPr>
              <w:pStyle w:val="866"/>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4" w:type="dxa"/>
            <w:vAlign w:val="center"/>
            <w:textDirection w:val="lrTb"/>
            <w:noWrap w:val="false"/>
          </w:tcPr>
          <w:p>
            <w:pPr>
              <w:pStyle w:val="1115"/>
              <w:ind w:left="0" w:right="0"/>
              <w:keepLines w:val="0"/>
              <w:keepNext w:val="0"/>
              <w:pageBreakBefore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sz w:val="24"/>
                <w:szCs w:val="24"/>
                <w:lang w:val="en-US" w:eastAsia="zh-CN"/>
              </w:rPr>
            </w:pPr>
            <w:r>
              <w:rPr>
                <w:rStyle w:val="1126"/>
                <w:rFonts w:hint="eastAsia" w:ascii="宋体" w:hAnsi="宋体" w:eastAsia="宋体" w:cs="宋体"/>
                <w:sz w:val="24"/>
                <w:szCs w:val="24"/>
                <w:highlight w:val="none"/>
                <w:lang w:val="en-US" w:eastAsia="zh-CN"/>
              </w:rPr>
              <w:t xml:space="preserve">20</w:t>
            </w:r>
            <w:r>
              <w:rPr>
                <w:rFonts w:ascii="宋体" w:hAnsi="宋体" w:eastAsia="宋体" w:cs="宋体"/>
                <w:sz w:val="24"/>
                <w:szCs w:val="24"/>
                <w:lang w:val="en-US" w:eastAsia="zh-CN"/>
              </w:rPr>
            </w:r>
            <w:r/>
          </w:p>
        </w:tc>
        <w:tc>
          <w:tcPr>
            <w:tcW w:w="7112" w:type="dxa"/>
            <w:vAlign w:val="center"/>
            <w:textDirection w:val="lrTb"/>
            <w:noWrap w:val="false"/>
          </w:tcPr>
          <w:p>
            <w:pPr>
              <w:pStyle w:val="866"/>
              <w:ind w:left="0"/>
              <w:keepLines w:val="0"/>
              <w:keepNext w:val="0"/>
              <w:pageBreakBefore w:val="0"/>
              <w:spacing w:line="400" w:lineRule="exact"/>
              <w:widowControl/>
              <w:rPr>
                <w:rStyle w:val="1126"/>
                <w:rFonts w:hint="eastAsia" w:ascii="宋体" w:hAnsi="宋体" w:eastAsia="宋体" w:cs="宋体"/>
                <w:sz w:val="24"/>
                <w:szCs w:val="24"/>
                <w:highlight w:val="none"/>
              </w:rPr>
            </w:pPr>
            <w:r>
              <w:rPr>
                <w:rStyle w:val="1126"/>
                <w:rFonts w:hint="eastAsia" w:ascii="宋体" w:hAnsi="宋体" w:eastAsia="宋体" w:cs="宋体"/>
                <w:sz w:val="24"/>
                <w:szCs w:val="24"/>
                <w:highlight w:val="none"/>
              </w:rPr>
              <w:t xml:space="preserve">采用低价优先法计算，即满足</w:t>
            </w:r>
            <w:r>
              <w:rPr>
                <w:rStyle w:val="1126"/>
                <w:rFonts w:hint="eastAsia" w:ascii="宋体" w:hAnsi="宋体" w:eastAsia="宋体" w:cs="宋体"/>
                <w:sz w:val="24"/>
                <w:szCs w:val="24"/>
                <w:highlight w:val="none"/>
                <w:lang w:eastAsia="zh-CN"/>
              </w:rPr>
              <w:t xml:space="preserve">招标文件</w:t>
            </w:r>
            <w:r>
              <w:rPr>
                <w:rStyle w:val="1126"/>
                <w:rFonts w:hint="eastAsia" w:ascii="宋体" w:hAnsi="宋体" w:eastAsia="宋体" w:cs="宋体"/>
                <w:sz w:val="24"/>
                <w:szCs w:val="24"/>
                <w:highlight w:val="none"/>
              </w:rPr>
              <w:t xml:space="preserve">要求且投标最</w:t>
            </w:r>
            <w:r>
              <w:rPr>
                <w:rStyle w:val="1126"/>
                <w:rFonts w:hint="eastAsia" w:ascii="宋体" w:hAnsi="宋体" w:eastAsia="宋体" w:cs="宋体"/>
                <w:sz w:val="24"/>
                <w:szCs w:val="24"/>
                <w:highlight w:val="none"/>
                <w:lang w:val="en-US" w:eastAsia="zh-CN"/>
              </w:rPr>
              <w:t xml:space="preserve">低</w:t>
            </w:r>
            <w:r>
              <w:rPr>
                <w:rStyle w:val="1126"/>
                <w:rFonts w:hint="eastAsia" w:ascii="宋体" w:hAnsi="宋体" w:eastAsia="宋体" w:cs="宋体"/>
                <w:sz w:val="24"/>
                <w:szCs w:val="24"/>
                <w:highlight w:val="none"/>
              </w:rPr>
              <w:t xml:space="preserve">的投标</w:t>
            </w:r>
            <w:r>
              <w:rPr>
                <w:rStyle w:val="1126"/>
                <w:rFonts w:hint="eastAsia" w:ascii="宋体" w:hAnsi="宋体" w:eastAsia="宋体" w:cs="宋体"/>
                <w:sz w:val="24"/>
                <w:szCs w:val="24"/>
                <w:highlight w:val="none"/>
                <w:lang w:val="en-US" w:eastAsia="zh-CN"/>
              </w:rPr>
              <w:t xml:space="preserve">报价</w:t>
            </w:r>
            <w:r>
              <w:rPr>
                <w:rStyle w:val="1126"/>
                <w:rFonts w:hint="eastAsia" w:ascii="宋体" w:hAnsi="宋体" w:eastAsia="宋体" w:cs="宋体"/>
                <w:sz w:val="24"/>
                <w:szCs w:val="24"/>
                <w:highlight w:val="none"/>
              </w:rPr>
              <w:t xml:space="preserve">为评标基准</w:t>
            </w:r>
            <w:r>
              <w:rPr>
                <w:rStyle w:val="1126"/>
                <w:rFonts w:hint="eastAsia" w:ascii="宋体" w:hAnsi="宋体" w:eastAsia="宋体" w:cs="宋体"/>
                <w:sz w:val="24"/>
                <w:szCs w:val="24"/>
                <w:highlight w:val="none"/>
                <w:lang w:val="en-US" w:eastAsia="zh-CN"/>
              </w:rPr>
              <w:t xml:space="preserve">价</w:t>
            </w:r>
            <w:r>
              <w:rPr>
                <w:rStyle w:val="1126"/>
                <w:rFonts w:hint="eastAsia" w:ascii="宋体" w:hAnsi="宋体" w:eastAsia="宋体" w:cs="宋体"/>
                <w:sz w:val="24"/>
                <w:szCs w:val="24"/>
                <w:highlight w:val="none"/>
              </w:rPr>
              <w:t xml:space="preserve">，其价格得分为满分。</w:t>
            </w:r>
            <w:r>
              <w:rPr>
                <w:rStyle w:val="1126"/>
                <w:rFonts w:hint="eastAsia" w:ascii="宋体" w:hAnsi="宋体" w:eastAsia="宋体" w:cs="宋体"/>
                <w:sz w:val="24"/>
                <w:szCs w:val="24"/>
                <w:highlight w:val="none"/>
              </w:rPr>
            </w:r>
            <w:r/>
          </w:p>
          <w:p>
            <w:pPr>
              <w:pStyle w:val="866"/>
              <w:ind w:left="0"/>
              <w:keepLines w:val="0"/>
              <w:keepNext w:val="0"/>
              <w:pageBreakBefore w:val="0"/>
              <w:spacing w:line="400" w:lineRule="exact"/>
              <w:widowControl/>
              <w:rPr>
                <w:rStyle w:val="1126"/>
                <w:rFonts w:hint="eastAsia" w:ascii="宋体" w:hAnsi="宋体" w:eastAsia="宋体" w:cs="宋体"/>
                <w:sz w:val="24"/>
                <w:szCs w:val="24"/>
                <w:highlight w:val="none"/>
                <w:lang w:val="en-US" w:eastAsia="zh-CN"/>
              </w:rPr>
            </w:pPr>
            <w:r>
              <w:rPr>
                <w:rStyle w:val="1126"/>
                <w:rFonts w:hint="eastAsia" w:ascii="宋体" w:hAnsi="宋体" w:eastAsia="宋体" w:cs="宋体"/>
                <w:sz w:val="24"/>
                <w:szCs w:val="24"/>
                <w:highlight w:val="none"/>
                <w:lang w:val="en-US" w:eastAsia="zh-CN"/>
              </w:rPr>
              <w:t xml:space="preserve">投标报价得分＝（评标基准价/投标报价）×分值。</w:t>
            </w:r>
            <w:r>
              <w:rPr>
                <w:rStyle w:val="1126"/>
                <w:rFonts w:hint="eastAsia" w:ascii="宋体" w:hAnsi="宋体" w:eastAsia="宋体" w:cs="宋体"/>
                <w:sz w:val="24"/>
                <w:szCs w:val="24"/>
                <w:highlight w:val="none"/>
                <w:lang w:val="en-US" w:eastAsia="zh-CN"/>
              </w:rPr>
            </w:r>
            <w:r/>
          </w:p>
          <w:p>
            <w:pPr>
              <w:pStyle w:val="866"/>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注：此处最终报价指经过报价修正及因落实政府采购政策进行价格调整后的最终报价。</w:t>
            </w:r>
            <w:r>
              <w:rPr>
                <w:rFonts w:hint="eastAsia" w:ascii="宋体" w:hAnsi="宋体" w:eastAsia="宋体" w:cs="宋体"/>
                <w:color w:val="000000"/>
                <w:sz w:val="24"/>
                <w:szCs w:val="24"/>
                <w:highlight w:val="none"/>
                <w:lang w:val="en-US" w:eastAsia="zh-CN"/>
              </w:rPr>
            </w:r>
            <w:r/>
          </w:p>
        </w:tc>
        <w:tc>
          <w:tcPr>
            <w:tcW w:w="764" w:type="dxa"/>
            <w:vAlign w:val="center"/>
            <w:textDirection w:val="lrTb"/>
            <w:noWrap w:val="false"/>
          </w:tcPr>
          <w:p>
            <w:pPr>
              <w:pStyle w:val="866"/>
              <w:ind w:left="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ascii="宋体" w:hAnsi="宋体" w:eastAsia="宋体" w:cs="宋体"/>
                <w:sz w:val="24"/>
                <w:szCs w:val="24"/>
                <w:lang w:val="en-US" w:eastAsia="zh-CN"/>
              </w:rPr>
            </w:r>
            <w:r/>
          </w:p>
        </w:tc>
        <w:tc>
          <w:tcPr>
            <w:tcW w:w="7112"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整体服务方案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10</w:t>
            </w:r>
            <w:r>
              <w:rPr>
                <w:rFonts w:ascii="宋体" w:hAnsi="宋体" w:eastAsia="宋体" w:cs="宋体"/>
                <w:b/>
                <w:bCs/>
                <w:sz w:val="24"/>
                <w:szCs w:val="24"/>
                <w:lang w:val="en-US" w:eastAsia="zh-CN"/>
              </w:rPr>
            </w:r>
            <w:r/>
          </w:p>
        </w:tc>
        <w:tc>
          <w:tcPr>
            <w:shd w:val="clear" w:color="auto" w:fill="ffffff"/>
            <w:tcW w:w="7112" w:type="dxa"/>
            <w:vAlign w:val="center"/>
            <w:textDirection w:val="lrTb"/>
            <w:noWrap w:val="false"/>
          </w:tcPr>
          <w:p>
            <w:pPr>
              <w:pStyle w:val="113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投标人针对本次</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提供整体服务方案，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1131"/>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eastAsia="zh-CN"/>
              </w:rPr>
            </w:pPr>
            <w:r>
              <w:rPr>
                <w:rFonts w:hint="eastAsia" w:ascii="宋体" w:hAnsi="宋体" w:eastAsia="宋体" w:cs="宋体"/>
                <w:bCs/>
                <w:sz w:val="24"/>
                <w:szCs w:val="24"/>
                <w:lang w:val="en-US" w:eastAsia="zh-CN"/>
              </w:rPr>
              <w:t xml:space="preserve">1.项目管理方案；</w:t>
            </w:r>
            <w:r>
              <w:rPr>
                <w:rFonts w:hint="eastAsia" w:ascii="宋体" w:hAnsi="宋体" w:eastAsia="宋体" w:cs="宋体"/>
                <w:color w:val="000000"/>
                <w:sz w:val="24"/>
                <w:szCs w:val="21"/>
                <w:lang w:eastAsia="zh-CN"/>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lang w:val="en-US" w:eastAsia="zh-CN"/>
              </w:rPr>
              <w:t xml:space="preserve">2.服务方案设计</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3.服务详细内容；</w:t>
            </w:r>
            <w:r>
              <w:rPr>
                <w:rFonts w:hint="eastAsia" w:ascii="宋体" w:hAnsi="宋体" w:eastAsia="宋体" w:cs="宋体"/>
                <w:bCs/>
                <w:sz w:val="24"/>
                <w:szCs w:val="24"/>
                <w:lang w:val="en-US" w:eastAsia="zh-CN" w:bidi="ar-SA"/>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4.服务</w:t>
            </w:r>
            <w:r>
              <w:rPr>
                <w:rFonts w:hint="eastAsia" w:ascii="宋体" w:hAnsi="宋体" w:eastAsia="宋体" w:cs="宋体"/>
                <w:bCs/>
                <w:sz w:val="24"/>
                <w:szCs w:val="24"/>
                <w:lang w:val="en-US" w:eastAsia="zh-CN" w:bidi="ar-SA"/>
              </w:rPr>
              <w:t xml:space="preserve">进度保障及</w:t>
            </w:r>
            <w:r>
              <w:rPr>
                <w:rFonts w:hint="eastAsia" w:ascii="宋体" w:hAnsi="宋体" w:eastAsia="宋体" w:cs="宋体"/>
                <w:bCs/>
                <w:sz w:val="24"/>
                <w:szCs w:val="24"/>
                <w:lang w:val="en-US" w:eastAsia="zh-CN" w:bidi="ar-SA"/>
              </w:rPr>
              <w:t xml:space="preserve">质量管控。</w:t>
            </w:r>
            <w:r>
              <w:rPr>
                <w:rFonts w:ascii="宋体" w:hAnsi="宋体" w:eastAsia="宋体" w:cs="宋体"/>
                <w:bCs/>
                <w:sz w:val="24"/>
                <w:szCs w:val="24"/>
                <w:lang w:val="en-US" w:eastAsia="zh-CN" w:bidi="ar-SA"/>
              </w:rPr>
            </w:r>
            <w:r/>
          </w:p>
          <w:p>
            <w:pPr>
              <w:pStyle w:val="866"/>
              <w:numPr>
                <w:ilvl w:val="0"/>
                <w:numId w:val="0"/>
              </w:numPr>
              <w:ind w:left="0" w:firstLine="241"/>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b/>
                <w:bCs/>
                <w:color w:val="0000ff"/>
                <w:sz w:val="24"/>
                <w:szCs w:val="24"/>
                <w:lang w:val="en-US" w:eastAsia="zh-CN"/>
              </w:rPr>
            </w:pPr>
            <w:r>
              <w:rPr>
                <w:rFonts w:hint="eastAsia" w:ascii="宋体" w:hAnsi="宋体" w:eastAsia="宋体" w:cs="宋体"/>
                <w:b/>
                <w:bCs/>
                <w:sz w:val="24"/>
                <w:szCs w:val="24"/>
                <w:lang w:val="en-US" w:eastAsia="zh-CN"/>
              </w:rPr>
              <w:t xml:space="preserve">服务管理制度</w:t>
            </w:r>
            <w:r>
              <w:rPr>
                <w:rFonts w:hint="eastAsia" w:ascii="宋体" w:hAnsi="宋体" w:eastAsia="宋体" w:cs="宋体"/>
                <w:b/>
                <w:bCs/>
                <w:color w:val="0000ff"/>
                <w:sz w:val="24"/>
                <w:szCs w:val="24"/>
                <w:lang w:val="en-US" w:eastAsia="zh-CN"/>
              </w:rPr>
            </w:r>
            <w:r/>
          </w:p>
        </w:tc>
        <w:tc>
          <w:tcPr>
            <w:shd w:val="clear" w:color="auto" w:fill="ffffff"/>
            <w:tcW w:w="780"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rPr>
                <w:rFonts w:ascii="宋体" w:hAnsi="宋体" w:eastAsia="宋体" w:cs="宋体"/>
                <w:b w:val="0"/>
                <w:bCs w:val="0"/>
                <w:sz w:val="24"/>
                <w:szCs w:val="24"/>
                <w:lang w:val="en-US" w:eastAsia="zh-CN"/>
              </w:rPr>
            </w:r>
            <w:r/>
          </w:p>
        </w:tc>
        <w:tc>
          <w:tcPr>
            <w:shd w:val="clear" w:color="auto" w:fill="ffffff"/>
            <w:tcW w:w="7112"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6"/>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w:t>
            </w:r>
            <w:r>
              <w:rPr>
                <w:rFonts w:hint="eastAsia" w:ascii="宋体" w:hAnsi="宋体" w:eastAsia="宋体" w:cs="宋体"/>
                <w:sz w:val="24"/>
                <w:szCs w:val="24"/>
                <w:highlight w:val="none"/>
                <w:lang w:val="en-US" w:eastAsia="zh-CN" w:bidi="ar-SA"/>
              </w:rPr>
              <w:t xml:space="preserve">服务管理制度方案</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Times New Roman"/>
                <w:color w:val="000000"/>
                <w:sz w:val="24"/>
                <w:szCs w:val="24"/>
                <w:highlight w:val="none"/>
                <w:lang w:val="en-US"/>
              </w:rPr>
              <w:t xml:space="preserve">人员</w:t>
            </w:r>
            <w:r>
              <w:rPr>
                <w:rFonts w:hint="eastAsia"/>
                <w:color w:val="000000"/>
                <w:sz w:val="24"/>
                <w:szCs w:val="24"/>
                <w:highlight w:val="none"/>
              </w:rPr>
              <w:t xml:space="preserve">培训</w:t>
            </w:r>
            <w:r>
              <w:rPr>
                <w:rFonts w:hint="eastAsia" w:ascii="Times New Roman"/>
                <w:color w:val="000000"/>
                <w:sz w:val="24"/>
                <w:szCs w:val="24"/>
                <w:highlight w:val="none"/>
                <w:lang w:val="en-US" w:eastAsia="zh-CN"/>
              </w:rPr>
              <w:t xml:space="preserve">与考核办法</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r>
            <w:r/>
          </w:p>
          <w:p>
            <w:pPr>
              <w:pStyle w:val="866"/>
              <w:ind w:left="0" w:firstLine="240"/>
              <w:jc w:val="both"/>
              <w:keepLines w:val="0"/>
              <w:keepNext w:val="0"/>
              <w:pageBreakBefore w:val="0"/>
              <w:spacing w:before="0" w:beforeAutospacing="0" w:after="0" w:afterAutospacing="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2.人员保障措施；</w:t>
            </w:r>
            <w:r>
              <w:rPr>
                <w:rFonts w:hint="eastAsia" w:ascii="Times New Roman" w:hAnsi="Times New Roman" w:eastAsia="宋体" w:cs="Times New Roman"/>
                <w:color w:val="000000"/>
                <w:sz w:val="24"/>
                <w:szCs w:val="24"/>
                <w:highlight w:val="none"/>
                <w:lang w:val="en-US" w:eastAsia="zh-CN"/>
              </w:rPr>
            </w:r>
            <w:r/>
          </w:p>
          <w:p>
            <w:pPr>
              <w:pStyle w:val="866"/>
              <w:ind w:left="0" w:firstLine="240"/>
              <w:jc w:val="both"/>
              <w:keepLines w:val="0"/>
              <w:keepNext w:val="0"/>
              <w:pageBreakBefore w:val="0"/>
              <w:spacing w:before="0" w:beforeAutospacing="0" w:after="0" w:afterAutospacing="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3.人员应急调配；</w:t>
            </w:r>
            <w:r>
              <w:rPr>
                <w:rFonts w:hint="eastAsia" w:ascii="Times New Roman" w:hAnsi="Times New Roman" w:eastAsia="宋体" w:cs="Times New Roman"/>
                <w:color w:val="000000"/>
                <w:sz w:val="24"/>
                <w:szCs w:val="24"/>
                <w:highlight w:val="none"/>
                <w:lang w:val="en-US" w:eastAsia="zh-CN"/>
              </w:rPr>
            </w:r>
            <w:r/>
          </w:p>
          <w:p>
            <w:pPr>
              <w:pStyle w:val="866"/>
              <w:ind w:left="0" w:firstLine="240"/>
              <w:jc w:val="both"/>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4.人员管理制度。</w:t>
            </w:r>
            <w:r>
              <w:rPr>
                <w:rFonts w:ascii="Times New Roman" w:hAnsi="Times New Roman" w:eastAsia="宋体" w:cs="Times New Roman"/>
                <w:color w:val="000000"/>
                <w:sz w:val="24"/>
                <w:szCs w:val="24"/>
                <w:highlight w:val="none"/>
                <w:lang w:val="en-US" w:eastAsia="zh-CN"/>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(2)方案内容较完整，可行性较强、思路较清晰、结合实际分析表述较详尽，评审为良加40%；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(3)方案内容一般，思路一般，可行性一般，评审为中加10%；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(4)方案内容不完整，思路不清晰，无可行性，评审为差不加分；</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b/>
                <w:bCs/>
                <w:sz w:val="24"/>
                <w:szCs w:val="24"/>
                <w:lang w:val="en-US" w:eastAsia="zh-CN"/>
              </w:rPr>
              <w:t xml:space="preserve">应急预案</w:t>
            </w:r>
            <w:r>
              <w:rPr>
                <w:rFonts w:hint="eastAsia" w:ascii="宋体" w:hAnsi="宋体" w:eastAsia="宋体" w:cs="宋体"/>
                <w:sz w:val="24"/>
                <w:szCs w:val="24"/>
                <w:highlight w:val="none"/>
              </w:rPr>
            </w:r>
            <w:r/>
          </w:p>
        </w:tc>
        <w:tc>
          <w:tcPr>
            <w:tcW w:w="780"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1131"/>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1131"/>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w:t>
            </w:r>
            <w:r>
              <w:rPr>
                <w:rFonts w:hint="eastAsia" w:ascii="宋体" w:hAnsi="宋体" w:eastAsia="宋体" w:cs="宋体"/>
                <w:sz w:val="24"/>
                <w:szCs w:val="24"/>
                <w:highlight w:val="none"/>
                <w:lang w:val="en-US" w:eastAsia="zh-CN"/>
              </w:rPr>
              <w:t xml:space="preserve">应急预案，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t xml:space="preserve">风险防控与</w:t>
            </w:r>
            <w:r>
              <w:rPr>
                <w:rFonts w:hint="eastAsia" w:ascii="宋体" w:hAnsi="宋体" w:eastAsia="宋体" w:cs="宋体"/>
                <w:bCs/>
                <w:sz w:val="24"/>
                <w:szCs w:val="24"/>
                <w:highlight w:val="none"/>
                <w:lang w:val="en-US" w:eastAsia="zh-CN" w:bidi="ar-SA"/>
              </w:rPr>
              <w:t xml:space="preserve">应急预案</w:t>
            </w:r>
            <w:r>
              <w:rPr>
                <w:rFonts w:hint="eastAsia"/>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2.应急保障措施；</w:t>
            </w:r>
            <w:r>
              <w:rPr>
                <w:rFonts w:ascii="宋体" w:hAnsi="宋体" w:eastAsia="宋体" w:cs="宋体"/>
                <w:sz w:val="24"/>
                <w:szCs w:val="24"/>
                <w:highlight w:val="none"/>
                <w:lang w:val="en-US" w:eastAsia="zh-CN"/>
              </w:rPr>
            </w:r>
            <w:r/>
          </w:p>
          <w:p>
            <w:pPr>
              <w:pStyle w:val="1131"/>
              <w:ind w:left="0" w:firstLine="241"/>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1.考察以上内容,每满足任意一项内容得20%，最高得40%。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(1)内容完整，可行性强、思路清晰、结合实际分析表述详尽，评审为优加60%；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(2)内容较完整，可行性较强、思路较清晰、结合实际分析表述较详尽，评审为良加40%；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(3)内容一般，思路一般，可行性一般，评审为中加10%；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(4)内容不完整，思路不清晰，无可行性，评审为差不加分；</w:t>
            </w:r>
            <w:r>
              <w:rPr>
                <w:rFonts w:hint="eastAsia" w:ascii="宋体" w:hAnsi="宋体" w:eastAsia="宋体" w:cs="宋体"/>
                <w:sz w:val="24"/>
                <w:szCs w:val="24"/>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服务保障能力</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6"/>
              <w:ind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投标人针对本次项目提供服务保障能力方案，</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1.日常运行维护；</w:t>
            </w:r>
            <w:r>
              <w:rPr>
                <w:rFonts w:hint="eastAsia" w:ascii="宋体" w:hAnsi="宋体" w:eastAsia="宋体" w:cs="宋体"/>
                <w:sz w:val="24"/>
                <w:szCs w:val="24"/>
                <w:highlight w:val="none"/>
                <w:lang w:val="en-US" w:eastAsia="zh-CN" w:bidi="ar-SA"/>
              </w:rPr>
            </w:r>
            <w:r/>
          </w:p>
          <w:p>
            <w:pPr>
              <w:pStyle w:val="86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2.一般故障响应；</w:t>
            </w:r>
            <w:r>
              <w:rPr>
                <w:rFonts w:hint="eastAsia" w:ascii="宋体" w:hAnsi="宋体" w:eastAsia="宋体" w:cs="宋体"/>
                <w:sz w:val="24"/>
                <w:szCs w:val="24"/>
                <w:highlight w:val="none"/>
                <w:lang w:val="en-US" w:eastAsia="zh-CN" w:bidi="ar-SA"/>
              </w:rPr>
            </w:r>
            <w:r/>
          </w:p>
          <w:p>
            <w:pPr>
              <w:pStyle w:val="86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val="en-US" w:eastAsia="zh-CN"/>
              </w:rPr>
            </w:pPr>
            <w:r>
              <w:rPr>
                <w:rFonts w:hint="eastAsia" w:ascii="宋体" w:hAnsi="宋体" w:eastAsia="宋体" w:cs="宋体"/>
                <w:sz w:val="24"/>
                <w:szCs w:val="24"/>
                <w:highlight w:val="none"/>
                <w:lang w:val="en-US" w:eastAsia="zh-CN" w:bidi="ar-SA"/>
              </w:rPr>
              <w:t xml:space="preserve">3.重大故障响应</w:t>
            </w:r>
            <w:r>
              <w:rPr>
                <w:rFonts w:hint="eastAsia" w:ascii="宋体" w:hAnsi="宋体" w:eastAsia="宋体" w:cs="宋体"/>
                <w:color w:val="000000"/>
                <w:sz w:val="24"/>
                <w:szCs w:val="21"/>
                <w:lang w:val="en-US" w:eastAsia="zh-CN"/>
              </w:rPr>
              <w:t xml:space="preserve">；</w:t>
            </w:r>
            <w:r>
              <w:rPr>
                <w:rFonts w:hint="eastAsia" w:ascii="宋体" w:hAnsi="宋体" w:eastAsia="宋体" w:cs="宋体"/>
                <w:color w:val="000000"/>
                <w:sz w:val="24"/>
                <w:szCs w:val="21"/>
                <w:lang w:val="en-US" w:eastAsia="zh-CN"/>
              </w:rPr>
            </w:r>
            <w:r/>
          </w:p>
          <w:p>
            <w:pPr>
              <w:pStyle w:val="866"/>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1"/>
                <w:lang w:val="en-US" w:eastAsia="zh-CN"/>
              </w:rPr>
              <w:t xml:space="preserve">4.服务响应时间等。</w:t>
            </w:r>
            <w:r>
              <w:rPr>
                <w:rFonts w:ascii="宋体" w:hAnsi="宋体" w:eastAsia="宋体" w:cs="宋体"/>
                <w:sz w:val="24"/>
                <w:szCs w:val="24"/>
                <w:highlight w:val="none"/>
                <w:lang w:val="en-US" w:eastAsia="zh-CN" w:bidi="ar-SA"/>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(1)内容完整，思路清晰、有重难点、结合实际分析表述详尽，建议可行性较强，评审为优加60%；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(2)内容较完整，思路较清晰、有重难点、结合实际分析表述较详尽，建议合理，评审为良加40%；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(3)内容一般，思路一般，重难点、结合实际分析一般，建议可行性一般，评审为中加10%；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(4)内容不完整，思路不清晰，重难点、结合实际分析差，建议无可行性，评审为差不加分；</w:t>
            </w:r>
            <w:r>
              <w:rPr>
                <w:rFonts w:hint="eastAsia" w:ascii="宋体" w:hAnsi="宋体" w:eastAsia="宋体" w:cs="宋体"/>
                <w:sz w:val="24"/>
                <w:szCs w:val="24"/>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服务重点难点及合理化建议</w:t>
            </w:r>
            <w:r>
              <w:rPr>
                <w:rFonts w:ascii="宋体" w:hAnsi="宋体" w:eastAsia="宋体" w:cs="宋体"/>
                <w:b/>
                <w:bCs/>
                <w:sz w:val="24"/>
                <w:szCs w:val="24"/>
                <w:lang w:val="en-US" w:eastAsia="zh-CN"/>
              </w:rPr>
            </w:r>
            <w:r/>
          </w:p>
        </w:tc>
        <w:tc>
          <w:tcPr>
            <w:tcW w:w="780"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6"/>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投标人针对本次项目提供服务重点难点及合理化建议，</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1.重难点列举；</w:t>
            </w:r>
            <w:r>
              <w:rPr>
                <w:rFonts w:hint="eastAsia" w:ascii="宋体" w:hAnsi="宋体" w:eastAsia="宋体" w:cs="宋体"/>
                <w:sz w:val="24"/>
                <w:szCs w:val="24"/>
                <w:highlight w:val="none"/>
                <w:lang w:val="en-US" w:eastAsia="zh-CN" w:bidi="ar-SA"/>
              </w:rPr>
            </w:r>
            <w:r/>
          </w:p>
          <w:p>
            <w:pPr>
              <w:pStyle w:val="866"/>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color w:val="000000"/>
                <w:sz w:val="24"/>
                <w:szCs w:val="24"/>
                <w:highlight w:val="none"/>
              </w:rPr>
              <w:t xml:space="preserve">重难点分析及针对措施</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66"/>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3.针对本项目提出</w:t>
            </w:r>
            <w:r>
              <w:rPr>
                <w:rFonts w:hint="eastAsia" w:ascii="宋体" w:hAnsi="宋体" w:eastAsia="宋体" w:cs="宋体"/>
                <w:color w:val="000000"/>
                <w:sz w:val="24"/>
                <w:szCs w:val="21"/>
                <w:lang w:val="en-US" w:eastAsia="zh-CN"/>
              </w:rPr>
              <w:t xml:space="preserve">可能存在的问题的合理化建议。</w:t>
            </w:r>
            <w:r>
              <w:rPr>
                <w:rFonts w:ascii="宋体" w:hAnsi="宋体" w:eastAsia="宋体" w:cs="宋体"/>
                <w:sz w:val="24"/>
                <w:szCs w:val="24"/>
                <w:highlight w:val="none"/>
                <w:lang w:val="en-US" w:eastAsia="zh-CN" w:bidi="ar-SA"/>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(1)方案、措施内容完整，思路清晰、有重难点、结合实际分析表述详尽，</w:t>
            </w:r>
            <w:r>
              <w:rPr>
                <w:rFonts w:hint="eastAsia" w:ascii="宋体" w:hAnsi="宋体" w:eastAsia="宋体" w:cs="宋体"/>
                <w:sz w:val="24"/>
                <w:szCs w:val="24"/>
                <w:lang w:val="en-US" w:eastAsia="zh-CN"/>
              </w:rPr>
              <w:t xml:space="preserve">建议可行性较强，</w:t>
            </w:r>
            <w:r>
              <w:rPr>
                <w:rFonts w:hint="eastAsia" w:ascii="宋体" w:hAnsi="宋体" w:eastAsia="宋体" w:cs="宋体"/>
                <w:sz w:val="24"/>
                <w:szCs w:val="24"/>
                <w:lang w:val="en-US" w:eastAsia="zh-CN"/>
              </w:rPr>
              <w:t xml:space="preserve">评审为优加70%；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内容较完整，思路较清晰、有重难点、结合实际分析表述较详尽，建议</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lang w:val="en-US" w:eastAsia="zh-CN"/>
              </w:rPr>
              <w:t xml:space="preserve">，评审为良加40%；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w:t>
            </w:r>
            <w:r>
              <w:rPr>
                <w:rFonts w:hint="eastAsia" w:ascii="宋体" w:hAnsi="宋体" w:eastAsia="宋体" w:cs="宋体"/>
                <w:sz w:val="24"/>
                <w:szCs w:val="24"/>
                <w:lang w:val="en-US" w:eastAsia="zh-CN"/>
              </w:rPr>
              <w:t xml:space="preserve">重难点、结合实际分析一般，</w:t>
            </w:r>
            <w:r>
              <w:rPr>
                <w:rFonts w:hint="eastAsia" w:ascii="宋体" w:hAnsi="宋体" w:eastAsia="宋体" w:cs="宋体"/>
                <w:sz w:val="24"/>
                <w:szCs w:val="24"/>
                <w:lang w:val="en-US" w:eastAsia="zh-CN"/>
              </w:rPr>
              <w:t xml:space="preserve">建议可行性一般，评审为中加10%；</w:t>
            </w:r>
            <w:r>
              <w:rPr>
                <w:rFonts w:hint="eastAsia" w:ascii="宋体" w:hAnsi="宋体" w:eastAsia="宋体" w:cs="宋体"/>
                <w:sz w:val="24"/>
                <w:szCs w:val="24"/>
                <w:lang w:val="en-US" w:eastAsia="zh-CN"/>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w:t>
            </w:r>
            <w:r>
              <w:rPr>
                <w:rFonts w:hint="eastAsia" w:ascii="宋体" w:hAnsi="宋体" w:eastAsia="宋体" w:cs="宋体"/>
                <w:sz w:val="24"/>
                <w:szCs w:val="24"/>
                <w:lang w:val="en-US" w:eastAsia="zh-CN"/>
              </w:rPr>
              <w:t xml:space="preserve">重难点、结合实际分析差，</w:t>
            </w:r>
            <w:r>
              <w:rPr>
                <w:rFonts w:hint="eastAsia" w:ascii="宋体" w:hAnsi="宋体" w:eastAsia="宋体" w:cs="宋体"/>
                <w:sz w:val="24"/>
                <w:szCs w:val="24"/>
                <w:lang w:val="en-US" w:eastAsia="zh-CN"/>
              </w:rPr>
              <w:t xml:space="preserve">建议无可行性，评审为差不加分；</w:t>
            </w:r>
            <w:r>
              <w:rPr>
                <w:rFonts w:hint="eastAsia" w:ascii="宋体" w:hAnsi="宋体" w:eastAsia="宋体" w:cs="宋体"/>
                <w:sz w:val="24"/>
                <w:szCs w:val="24"/>
                <w:lang w:val="en-US" w:eastAsia="zh-CN"/>
              </w:rPr>
            </w:r>
            <w:r/>
          </w:p>
          <w:p>
            <w:pPr>
              <w:pStyle w:val="1131"/>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4" w:type="dxa"/>
            <w:vAlign w:val="center"/>
            <w:textDirection w:val="lrTb"/>
            <w:noWrap w:val="false"/>
          </w:tcPr>
          <w:p>
            <w:pPr>
              <w:pStyle w:val="866"/>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866"/>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tcW w:w="7112"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866"/>
              <w:ind w:left="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认证证书</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6"/>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866"/>
              <w:jc w:val="left"/>
              <w:spacing w:line="400" w:lineRule="exact"/>
              <w:tabs>
                <w:tab w:val="left" w:pos="0" w:leader="none"/>
              </w:tabs>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投标人具有有效的质量管理体系认证证书、CMMI软件成熟度三级或以上认证的、信息安全管理体系认证证书、信息技术服务管理体系认证证书，每有一项得2分，最高得8分。</w:t>
            </w:r>
            <w:r>
              <w:rPr>
                <w:rFonts w:hint="eastAsia" w:ascii="宋体" w:hAnsi="宋体" w:eastAsia="宋体" w:cs="宋体"/>
                <w:color w:val="000000"/>
                <w:sz w:val="24"/>
                <w:szCs w:val="24"/>
                <w:highlight w:val="none"/>
                <w:lang w:val="en-US" w:bidi="zh-CN"/>
              </w:rPr>
            </w:r>
            <w:r/>
          </w:p>
          <w:p>
            <w:pPr>
              <w:pStyle w:val="866"/>
              <w:numPr>
                <w:ilvl w:val="0"/>
                <w:numId w:val="0"/>
              </w:numPr>
              <w:jc w:val="both"/>
              <w:keepLines w:val="0"/>
              <w:keepNext w:val="0"/>
              <w:pageBreakBefore w:val="0"/>
              <w:spacing w:line="40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color w:val="000000"/>
                <w:sz w:val="24"/>
                <w:szCs w:val="24"/>
                <w:highlight w:val="yellow"/>
                <w:lang w:val="en-US" w:bidi="zh-CN"/>
              </w:rPr>
              <w:t xml:space="preserve">注：提供</w:t>
            </w:r>
            <w:r>
              <w:rPr>
                <w:rFonts w:hint="eastAsia" w:ascii="宋体" w:hAnsi="宋体" w:eastAsia="宋体" w:cs="宋体"/>
                <w:b/>
                <w:bCs/>
                <w:color w:val="000000"/>
                <w:sz w:val="24"/>
                <w:szCs w:val="24"/>
                <w:highlight w:val="yellow"/>
                <w:lang w:val="en-US" w:eastAsia="zh-CN" w:bidi="zh-CN"/>
              </w:rPr>
              <w:t xml:space="preserve">有效的认证</w:t>
            </w:r>
            <w:r>
              <w:rPr>
                <w:rFonts w:hint="eastAsia" w:ascii="宋体" w:hAnsi="宋体" w:eastAsia="宋体" w:cs="宋体"/>
                <w:b/>
                <w:bCs/>
                <w:color w:val="000000"/>
                <w:sz w:val="24"/>
                <w:szCs w:val="24"/>
                <w:highlight w:val="yellow"/>
                <w:lang w:val="en-US" w:bidi="zh-CN"/>
              </w:rPr>
              <w:t xml:space="preserve">证书</w:t>
            </w:r>
            <w:r>
              <w:rPr>
                <w:rFonts w:hint="eastAsia" w:ascii="宋体" w:hAnsi="宋体" w:eastAsia="宋体" w:cs="宋体"/>
                <w:b/>
                <w:bCs/>
                <w:sz w:val="24"/>
                <w:szCs w:val="24"/>
                <w:highlight w:val="yellow"/>
                <w:lang w:val="en-US" w:eastAsia="zh-CN" w:bidi="ar-SA"/>
              </w:rPr>
              <w:t xml:space="preserve">（扫描件或图片）</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zh-CN" w:bidi="zh-CN"/>
              </w:rPr>
              <w:t xml:space="preserve">。</w:t>
            </w:r>
            <w:r>
              <w:rPr>
                <w:rFonts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6"/>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866"/>
              <w:ind w:left="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ascii="宋体" w:hAnsi="宋体" w:eastAsia="宋体" w:cs="宋体"/>
                <w:color w:val="000000"/>
                <w:sz w:val="24"/>
                <w:szCs w:val="24"/>
                <w:lang w:val="en-US" w:eastAsia="zh-CN"/>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人员配备</w:t>
            </w:r>
            <w:r>
              <w:rPr>
                <w:rFonts w:hint="eastAsia" w:ascii="宋体" w:hAnsi="宋体" w:eastAsia="宋体" w:cs="宋体"/>
                <w:b/>
                <w:bCs/>
                <w:color w:val="000000"/>
                <w:sz w:val="24"/>
                <w:szCs w:val="24"/>
                <w:highlight w:val="none"/>
                <w:lang w:val="en-US" w:eastAsia="zh-CN"/>
              </w:rPr>
            </w:r>
            <w:r/>
          </w:p>
        </w:tc>
        <w:tc>
          <w:tcPr>
            <w:tcW w:w="780" w:type="dxa"/>
            <w:vAlign w:val="center"/>
            <w:textDirection w:val="lrTb"/>
            <w:noWrap w:val="false"/>
          </w:tcPr>
          <w:p>
            <w:pPr>
              <w:pStyle w:val="866"/>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866"/>
              <w:jc w:val="both"/>
              <w:keepLines w:val="0"/>
              <w:keepNext w:val="0"/>
              <w:pageBreakBefore w:val="0"/>
              <w:spacing w:line="400" w:lineRule="exact"/>
              <w:tabs>
                <w:tab w:val="left" w:pos="426" w:leader="none"/>
              </w:tabs>
              <w:rPr>
                <w:rFonts w:hint="eastAsia" w:ascii="Times New Roman"/>
                <w:color w:val="000000"/>
                <w:sz w:val="24"/>
                <w:szCs w:val="24"/>
                <w:highlight w:val="none"/>
                <w:lang w:val="en-US" w:eastAsia="zh-CN"/>
              </w:rPr>
              <w:outlineLvl w:val="9"/>
            </w:pPr>
            <w:r>
              <w:rPr>
                <w:rFonts w:hint="eastAsia" w:ascii="Times New Roman"/>
                <w:color w:val="000000"/>
                <w:sz w:val="24"/>
                <w:szCs w:val="24"/>
                <w:highlight w:val="none"/>
                <w:lang w:val="en-US" w:eastAsia="zh-CN"/>
              </w:rPr>
              <w:t xml:space="preserve">具有信息系统项目管理师证书</w:t>
            </w:r>
            <w:r>
              <w:rPr>
                <w:rFonts w:hint="eastAsia" w:ascii="Times New Roman"/>
                <w:color w:val="000000"/>
                <w:sz w:val="24"/>
                <w:szCs w:val="24"/>
                <w:highlight w:val="none"/>
                <w:lang w:val="en-US" w:eastAsia="zh-CN"/>
              </w:rPr>
              <w:t xml:space="preserve">（工信部软考）得3分；</w:t>
            </w:r>
            <w:r>
              <w:rPr>
                <w:rFonts w:hint="eastAsia" w:ascii="Times New Roman"/>
                <w:color w:val="000000"/>
                <w:sz w:val="24"/>
                <w:szCs w:val="24"/>
                <w:highlight w:val="none"/>
                <w:lang w:val="en-US" w:eastAsia="zh-CN"/>
              </w:rPr>
            </w:r>
            <w:r/>
          </w:p>
          <w:p>
            <w:pPr>
              <w:pStyle w:val="866"/>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sz w:val="24"/>
                <w:szCs w:val="24"/>
                <w:highlight w:val="none"/>
                <w:lang w:val="en-US" w:eastAsia="zh-CN"/>
              </w:rPr>
              <w:t xml:space="preserve">具</w:t>
            </w:r>
            <w:r>
              <w:rPr>
                <w:rFonts w:hint="eastAsia" w:ascii="宋体" w:hAnsi="宋体" w:eastAsia="宋体" w:cs="宋体"/>
                <w:color w:val="000000"/>
                <w:sz w:val="24"/>
                <w:szCs w:val="24"/>
                <w:highlight w:val="none"/>
                <w:lang w:val="en-US" w:eastAsia="zh-CN" w:bidi="zh-CN"/>
              </w:rPr>
              <w:t xml:space="preserve">有系统集成项目管理工程师证书的得3分；</w:t>
            </w:r>
            <w:r>
              <w:rPr>
                <w:rFonts w:hint="eastAsia" w:ascii="宋体" w:hAnsi="宋体" w:eastAsia="宋体" w:cs="宋体"/>
                <w:color w:val="000000"/>
                <w:sz w:val="24"/>
                <w:szCs w:val="24"/>
                <w:highlight w:val="none"/>
                <w:lang w:val="en-US" w:eastAsia="zh-CN" w:bidi="zh-CN"/>
              </w:rPr>
            </w:r>
            <w:r/>
          </w:p>
          <w:p>
            <w:pPr>
              <w:pStyle w:val="866"/>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具有中级数据库系统工程师证书的得2分；</w:t>
            </w:r>
            <w:r>
              <w:rPr>
                <w:rFonts w:hint="eastAsia" w:ascii="宋体" w:hAnsi="宋体" w:eastAsia="宋体" w:cs="宋体"/>
                <w:color w:val="000000"/>
                <w:sz w:val="24"/>
                <w:szCs w:val="24"/>
                <w:highlight w:val="none"/>
                <w:lang w:val="en-US" w:eastAsia="zh-CN" w:bidi="zh-CN"/>
              </w:rPr>
            </w:r>
            <w:r/>
          </w:p>
          <w:p>
            <w:pPr>
              <w:pStyle w:val="866"/>
              <w:jc w:val="left"/>
              <w:spacing w:line="400" w:lineRule="exact"/>
              <w:tabs>
                <w:tab w:val="left" w:pos="0" w:leader="none"/>
              </w:tabs>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具有网络工程师的得2分。</w:t>
            </w:r>
            <w:r>
              <w:rPr>
                <w:rFonts w:hint="eastAsia" w:ascii="宋体" w:hAnsi="宋体" w:eastAsia="宋体" w:cs="宋体"/>
                <w:color w:val="000000"/>
                <w:sz w:val="24"/>
                <w:szCs w:val="24"/>
                <w:highlight w:val="none"/>
                <w:lang w:val="en-US" w:eastAsia="zh-CN" w:bidi="zh-CN"/>
              </w:rPr>
            </w:r>
            <w:r/>
          </w:p>
          <w:p>
            <w:pPr>
              <w:pStyle w:val="866"/>
              <w:jc w:val="both"/>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yellow"/>
                <w:lang w:val="en-US" w:eastAsia="zh-CN" w:bidi="ar-SA"/>
              </w:rPr>
              <w:outlineLvl w:val="9"/>
            </w:pPr>
            <w:r>
              <w:rPr>
                <w:rFonts w:hint="eastAsia" w:ascii="宋体" w:hAnsi="宋体" w:eastAsia="宋体" w:cs="宋体"/>
                <w:b/>
                <w:bCs/>
                <w:color w:val="000000"/>
                <w:sz w:val="24"/>
                <w:szCs w:val="24"/>
                <w:highlight w:val="yellow"/>
                <w:lang w:val="en-US" w:eastAsia="zh-CN"/>
              </w:rPr>
              <w:t xml:space="preserve">注：</w:t>
            </w:r>
            <w:r>
              <w:rPr>
                <w:rFonts w:hint="eastAsia" w:ascii="宋体" w:hAnsi="宋体" w:eastAsia="宋体" w:cs="宋体"/>
                <w:b/>
                <w:bCs/>
                <w:color w:val="000000"/>
                <w:sz w:val="24"/>
                <w:szCs w:val="24"/>
                <w:highlight w:val="yellow"/>
                <w:lang w:eastAsia="zh-CN"/>
              </w:rPr>
              <w:t xml:space="preserve">提供</w:t>
            </w:r>
            <w:r>
              <w:rPr>
                <w:rFonts w:hint="eastAsia" w:ascii="宋体" w:hAnsi="宋体" w:eastAsia="宋体" w:cs="宋体"/>
                <w:b/>
                <w:bCs/>
                <w:color w:val="000000"/>
                <w:sz w:val="24"/>
                <w:szCs w:val="24"/>
                <w:highlight w:val="yellow"/>
                <w:lang w:val="en-US" w:eastAsia="zh-CN"/>
              </w:rPr>
              <w:t xml:space="preserve">以上人员相关资质证书</w:t>
            </w:r>
            <w:r>
              <w:rPr>
                <w:rFonts w:hint="eastAsia" w:ascii="宋体" w:hAnsi="宋体" w:eastAsia="宋体" w:cs="宋体"/>
                <w:b/>
                <w:bCs/>
                <w:color w:val="000000"/>
                <w:sz w:val="24"/>
                <w:szCs w:val="24"/>
                <w:highlight w:val="yellow"/>
                <w:lang w:val="en-US" w:eastAsia="zh-CN"/>
              </w:rPr>
              <w:t xml:space="preserve">（扫描件或图片）及投标人为其缴纳的近半年内任意一个月（投标截止之日往前推）</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en-US" w:eastAsia="zh-CN"/>
              </w:rPr>
              <w:t xml:space="preserve">的社保缴纳证明（扫描件或图片））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bidi="ar-SA"/>
              </w:rPr>
              <w:t xml:space="preserve">不提供或提供不全不得分</w:t>
            </w:r>
            <w:r>
              <w:rPr>
                <w:rFonts w:hint="eastAsia" w:ascii="宋体" w:hAnsi="宋体" w:eastAsia="宋体" w:cs="宋体"/>
                <w:b/>
                <w:bCs/>
                <w:color w:val="000000"/>
                <w:sz w:val="24"/>
                <w:szCs w:val="24"/>
                <w:highlight w:val="yellow"/>
                <w:lang w:val="en-US" w:eastAsia="zh-CN" w:bidi="ar-SA"/>
              </w:rPr>
            </w:r>
            <w:r/>
          </w:p>
          <w:p>
            <w:pPr>
              <w:pStyle w:val="866"/>
              <w:jc w:val="both"/>
              <w:keepLines w:val="0"/>
              <w:keepNext w:val="0"/>
              <w:pageBreakBefore w:val="0"/>
              <w:spacing w:line="400" w:lineRule="exact"/>
              <w:tabs>
                <w:tab w:val="left" w:pos="426" w:leader="none"/>
              </w:tabs>
              <w:rPr>
                <w:rFonts w:ascii="宋体" w:hAnsi="宋体" w:eastAsia="宋体" w:cs="宋体"/>
                <w:b/>
                <w:bCs/>
                <w:color w:val="000000"/>
                <w:sz w:val="24"/>
                <w:szCs w:val="24"/>
                <w:highlight w:val="yellow"/>
                <w:lang w:val="en-US" w:bidi="zh-CN"/>
              </w:rPr>
              <w:outlineLvl w:val="9"/>
            </w:pPr>
            <w:r>
              <w:rPr>
                <w:rFonts w:hint="eastAsia" w:ascii="宋体" w:hAnsi="宋体" w:eastAsia="宋体" w:cs="宋体"/>
                <w:b/>
                <w:bCs/>
                <w:color w:val="000000"/>
                <w:sz w:val="24"/>
                <w:szCs w:val="24"/>
                <w:highlight w:val="yellow"/>
                <w:lang w:val="en-US" w:eastAsia="zh-CN"/>
              </w:rPr>
              <w:t xml:space="preserve">同一人不重复计分</w:t>
            </w:r>
            <w:r>
              <w:rPr>
                <w:rFonts w:ascii="宋体" w:hAnsi="宋体" w:eastAsia="宋体" w:cs="宋体"/>
                <w:b/>
                <w:bCs/>
                <w:color w:val="000000"/>
                <w:sz w:val="24"/>
                <w:szCs w:val="24"/>
                <w:highlight w:val="yellow"/>
                <w:lang w:val="en-US" w:bidi="zh-CN"/>
              </w:rPr>
            </w:r>
            <w:r/>
          </w:p>
        </w:tc>
        <w:tc>
          <w:tcPr>
            <w:tcW w:w="764" w:type="dxa"/>
            <w:vAlign w:val="center"/>
            <w:textDirection w:val="lrTb"/>
            <w:noWrap w:val="false"/>
          </w:tcPr>
          <w:p>
            <w:pPr>
              <w:pStyle w:val="866"/>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866"/>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业绩</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6"/>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866"/>
              <w:ind w:left="0" w:firstLine="0"/>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sz w:val="24"/>
                <w:szCs w:val="24"/>
                <w:highlight w:val="none"/>
                <w:lang w:val="en-US" w:eastAsia="zh-CN" w:bidi="ar-SA"/>
              </w:rPr>
              <w:t xml:space="preserve">投标人提供2023年1月1日以来承</w:t>
            </w:r>
            <w:r>
              <w:rPr>
                <w:rFonts w:hint="eastAsia" w:ascii="宋体" w:hAnsi="宋体" w:eastAsia="宋体" w:cs="宋体"/>
                <w:sz w:val="24"/>
                <w:szCs w:val="24"/>
                <w:highlight w:val="none"/>
                <w:lang w:val="en-US" w:eastAsia="zh-CN" w:bidi="ar-SA"/>
              </w:rPr>
              <w:t xml:space="preserve">担过医院类似案例项目的，有1份得3分。本大项最高得15分。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b/>
                <w:bCs/>
                <w:sz w:val="24"/>
                <w:szCs w:val="24"/>
                <w:highlight w:val="yellow"/>
                <w:lang w:val="en-US" w:eastAsia="zh-CN" w:bidi="ar-SA"/>
              </w:rPr>
              <w:t xml:space="preserve">注：1.时间以合同签订时间为准，提供合同（扫描件或图片），材料不全或未提供不得分；</w:t>
            </w:r>
            <w:r>
              <w:rPr>
                <w:rFonts w:hint="eastAsia" w:ascii="宋体" w:hAnsi="宋体" w:eastAsia="宋体" w:cs="宋体"/>
                <w:b/>
                <w:bCs/>
                <w:sz w:val="24"/>
                <w:szCs w:val="24"/>
                <w:highlight w:val="yellow"/>
                <w:lang w:val="en-US" w:eastAsia="zh-CN" w:bidi="ar-SA"/>
              </w:rPr>
            </w:r>
            <w:r/>
          </w:p>
          <w:p>
            <w:pPr>
              <w:pStyle w:val="866"/>
              <w:numPr>
                <w:ilvl w:val="0"/>
                <w:numId w:val="0"/>
              </w:numPr>
              <w:ind w:firstLine="482"/>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sz w:val="24"/>
                <w:szCs w:val="24"/>
                <w:highlight w:val="yellow"/>
                <w:lang w:val="en-US" w:eastAsia="zh-CN" w:bidi="ar-SA"/>
              </w:rPr>
              <w:t xml:space="preserve">2.合同应能清晰载明包含业绩内容及签订时间；</w:t>
            </w:r>
            <w:r>
              <w:rPr>
                <w:rFonts w:hint="eastAsia" w:ascii="宋体" w:hAnsi="宋体" w:eastAsia="宋体" w:cs="宋体"/>
                <w:b/>
                <w:bCs/>
                <w:sz w:val="24"/>
                <w:szCs w:val="24"/>
                <w:highlight w:val="yellow"/>
                <w:lang w:val="en-US" w:eastAsia="zh-CN" w:bidi="ar-SA"/>
              </w:rPr>
            </w:r>
            <w:r/>
          </w:p>
          <w:p>
            <w:pPr>
              <w:pStyle w:val="866"/>
              <w:numPr>
                <w:ilvl w:val="0"/>
                <w:numId w:val="0"/>
              </w:numPr>
              <w:ind w:left="0"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sz w:val="24"/>
                <w:szCs w:val="24"/>
                <w:highlight w:val="yellow"/>
                <w:lang w:val="en-US" w:eastAsia="zh-CN" w:bidi="ar-SA"/>
              </w:rPr>
              <w:t xml:space="preserve">3.同一项目不同年度的业绩不重复计分。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6"/>
              <w:ind w:left="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751" w:type="dxa"/>
            <w:vAlign w:val="center"/>
            <w:textDirection w:val="lrTb"/>
            <w:noWrap w:val="false"/>
          </w:tcPr>
          <w:p>
            <w:pPr>
              <w:pStyle w:val="866"/>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866"/>
              <w:ind w:left="0"/>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服务承诺</w:t>
            </w:r>
            <w:r>
              <w:rPr>
                <w:rFonts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6"/>
              <w:ind w:left="0"/>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bCs/>
                <w:color w:val="000000"/>
                <w:sz w:val="24"/>
                <w:szCs w:val="24"/>
                <w:lang w:val="en-US" w:eastAsia="zh-CN" w:bidi="ar-SA"/>
              </w:rPr>
            </w:r>
            <w:r/>
          </w:p>
        </w:tc>
        <w:tc>
          <w:tcPr>
            <w:tcW w:w="7112" w:type="dxa"/>
            <w:vAlign w:val="top"/>
            <w:textDirection w:val="lrTb"/>
            <w:noWrap w:val="false"/>
          </w:tcPr>
          <w:p>
            <w:pPr>
              <w:pStyle w:val="866"/>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投标人承诺安排数据工程师驻场提供服务</w:t>
            </w:r>
            <w:r>
              <w:rPr>
                <w:rFonts w:hint="eastAsia" w:ascii="宋体" w:hAnsi="宋体" w:eastAsia="宋体" w:cs="宋体"/>
                <w:color w:val="000000"/>
                <w:sz w:val="24"/>
                <w:szCs w:val="24"/>
                <w:highlight w:val="none"/>
                <w:lang w:val="en-US" w:eastAsia="zh-CN" w:bidi="ar-SA"/>
              </w:rPr>
              <w:t xml:space="preserve">的得5分。</w:t>
            </w:r>
            <w:r>
              <w:rPr>
                <w:rFonts w:hint="eastAsia" w:ascii="宋体" w:hAnsi="宋体" w:eastAsia="宋体" w:cs="宋体"/>
                <w:color w:val="000000"/>
                <w:sz w:val="24"/>
                <w:szCs w:val="24"/>
                <w:highlight w:val="none"/>
                <w:lang w:val="en-US" w:eastAsia="zh-CN" w:bidi="ar-SA"/>
              </w:rPr>
            </w:r>
            <w:r/>
          </w:p>
          <w:p>
            <w:pPr>
              <w:pStyle w:val="866"/>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bidi="ar-SA"/>
              </w:rPr>
              <w:t xml:space="preserve">注：提供加盖公章的承诺函，不提供则不得分。</w:t>
            </w:r>
            <w:r>
              <w:rPr>
                <w:rFonts w:hint="eastAsia" w:ascii="宋体" w:hAnsi="宋体" w:eastAsia="宋体" w:cs="宋体"/>
                <w:color w:val="000000"/>
                <w:sz w:val="24"/>
                <w:szCs w:val="24"/>
                <w:highlight w:val="none"/>
                <w:lang w:val="en-US" w:eastAsia="zh-CN" w:bidi="ar-SA"/>
              </w:rPr>
            </w:r>
            <w:r/>
          </w:p>
        </w:tc>
        <w:tc>
          <w:tcPr>
            <w:tcW w:w="764" w:type="dxa"/>
            <w:vAlign w:val="center"/>
            <w:textDirection w:val="lrTb"/>
            <w:noWrap w:val="false"/>
          </w:tcPr>
          <w:p>
            <w:pPr>
              <w:pStyle w:val="866"/>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2"/>
            <w:tcW w:w="1905" w:type="dxa"/>
            <w:vAlign w:val="center"/>
            <w:textDirection w:val="lrTb"/>
            <w:noWrap w:val="false"/>
          </w:tcPr>
          <w:p>
            <w:pPr>
              <w:pStyle w:val="866"/>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866"/>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866"/>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66"/>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6"/>
        <w:jc w:val="center"/>
        <w:keepLines w:val="0"/>
        <w:keepNext w:val="0"/>
        <w:pageBreakBefore w:val="0"/>
        <w:spacing w:line="400" w:lineRule="exact"/>
        <w:widowControl w:val="off"/>
        <w:rPr>
          <w:rFonts w:hint="eastAsia" w:ascii="Times New Roman" w:hAnsi="Times New Roman" w:eastAsia="宋体" w:cs="Times New Roman"/>
          <w:b/>
          <w:sz w:val="36"/>
          <w:szCs w:val="36"/>
          <w:lang w:eastAsia="zh-CN"/>
        </w:rPr>
        <w:outlineLvl w:val="0"/>
      </w:pPr>
      <w:r>
        <w:rPr>
          <w:rFonts w:ascii="Times New Roman" w:hAnsi="Times New Roman" w:eastAsia="宋体" w:cs="Times New Roman"/>
          <w:b/>
          <w:sz w:val="36"/>
          <w:szCs w:val="36"/>
        </w:rPr>
        <w:t xml:space="preserve">第五章   采购需求</w:t>
      </w:r>
      <w:bookmarkEnd w:id="810"/>
      <w:r>
        <w:rPr>
          <w:rFonts w:hint="eastAsia" w:ascii="Times New Roman" w:hAnsi="Times New Roman" w:eastAsia="宋体" w:cs="Times New Roman"/>
          <w:b/>
          <w:sz w:val="36"/>
          <w:szCs w:val="36"/>
          <w:lang w:eastAsia="zh-CN"/>
        </w:rPr>
      </w:r>
      <w:r/>
    </w:p>
    <w:p>
      <w:pPr>
        <w:pStyle w:val="967"/>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：等级医院评审指标和重点专科指标管理服务项目；</w:t>
      </w:r>
      <w:r>
        <w:rPr>
          <w:rFonts w:hint="eastAsia" w:ascii="宋体" w:hAnsi="宋体" w:eastAsia="宋体" w:cs="宋体"/>
          <w:bCs/>
          <w:sz w:val="24"/>
          <w:szCs w:val="24"/>
          <w:lang w:eastAsia="zh-CN"/>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预算金额：180万元；</w:t>
      </w:r>
      <w:r>
        <w:rPr>
          <w:rFonts w:hint="eastAsia" w:ascii="宋体" w:hAnsi="宋体" w:eastAsia="宋体" w:cs="宋体"/>
          <w:bCs/>
          <w:sz w:val="24"/>
          <w:szCs w:val="24"/>
          <w:lang w:val="en-US" w:eastAsia="zh-CN"/>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Cs/>
          <w:sz w:val="24"/>
          <w:szCs w:val="24"/>
          <w:lang w:val="en-US" w:eastAsia="zh-CN"/>
        </w:rPr>
        <w:t xml:space="preserve">3. 最</w:t>
      </w:r>
      <w:r>
        <w:rPr>
          <w:rFonts w:hint="eastAsia" w:ascii="宋体" w:hAnsi="宋体" w:eastAsia="宋体" w:cs="宋体"/>
          <w:bCs/>
          <w:color w:val="000000" w:themeColor="text1"/>
          <w:sz w:val="24"/>
          <w:szCs w:val="24"/>
          <w:lang w:val="en-US" w:eastAsia="zh-CN"/>
        </w:rPr>
        <w:t xml:space="preserve">高限价：</w:t>
      </w:r>
      <w:r>
        <w:rPr>
          <w:rFonts w:hint="eastAsia" w:ascii="宋体" w:hAnsi="宋体" w:eastAsia="宋体" w:cs="宋体"/>
          <w:bCs/>
          <w:color w:val="000000" w:themeColor="text1"/>
          <w:sz w:val="24"/>
          <w:szCs w:val="24"/>
          <w:u w:val="single"/>
          <w:lang w:val="en-US" w:eastAsia="zh-CN"/>
        </w:rPr>
        <w:t xml:space="preserve">1800000元，</w:t>
      </w:r>
      <w:r>
        <w:rPr>
          <w:rFonts w:hint="eastAsia" w:ascii="宋体" w:hAnsi="宋体" w:eastAsia="宋体" w:cs="宋体"/>
          <w:color w:val="000000" w:themeColor="text1"/>
          <w:sz w:val="24"/>
          <w:szCs w:val="24"/>
          <w:lang w:val="en-US" w:eastAsia="zh-CN"/>
        </w:rPr>
        <w:t xml:space="preserve">注：投标报价超过最高限价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4. 采购需求：详见“服务内容及要求”</w:t>
      </w:r>
      <w:r>
        <w:rPr>
          <w:rFonts w:hint="eastAsia" w:ascii="宋体" w:hAnsi="宋体" w:eastAsia="宋体" w:cs="宋体"/>
          <w:b w:val="0"/>
          <w:bCs/>
          <w:color w:val="000000" w:themeColor="text1"/>
          <w:sz w:val="24"/>
          <w:szCs w:val="24"/>
          <w:u w:val="none"/>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5．合同履行期限：</w:t>
      </w:r>
      <w:r>
        <w:rPr>
          <w:rFonts w:hint="eastAsia" w:ascii="宋体" w:hAnsi="宋体" w:eastAsia="宋体" w:cs="宋体"/>
          <w:b w:val="0"/>
          <w:bCs/>
          <w:color w:val="000000" w:themeColor="text1"/>
          <w:sz w:val="24"/>
          <w:szCs w:val="24"/>
          <w:lang w:val="en-US" w:eastAsia="zh-CN"/>
        </w:rPr>
        <w:t xml:space="preserve">详见“商务要求”</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6．是/否接受联合体投标：否；</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7．是/否接受分支机构参与响应：</w:t>
      </w:r>
      <w:r>
        <w:rPr>
          <w:rFonts w:hint="eastAsia" w:ascii="宋体" w:hAnsi="宋体" w:eastAsia="宋体" w:cs="宋体"/>
          <w:bCs/>
          <w:color w:val="000000" w:themeColor="text1"/>
          <w:sz w:val="24"/>
          <w:szCs w:val="24"/>
          <w:lang w:val="en-US" w:eastAsia="zh-CN"/>
        </w:rPr>
        <w:t xml:space="preserve">否；</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8．是/否属于政府购买服务：详见</w:t>
      </w:r>
      <w:r>
        <w:rPr>
          <w:rFonts w:hint="eastAsia" w:ascii="宋体" w:hAnsi="宋体" w:eastAsia="宋体" w:cs="宋体"/>
          <w:bCs/>
          <w:color w:val="000000" w:themeColor="text1"/>
          <w:sz w:val="24"/>
          <w:szCs w:val="24"/>
          <w:lang w:val="en-US" w:eastAsia="zh-CN"/>
        </w:rPr>
        <w:t xml:space="preserve">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9．是/否专门面向中小企业预留采购份额：</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10．本项目的特定资格要求：</w:t>
      </w:r>
      <w:r>
        <w:rPr>
          <w:rFonts w:hint="eastAsia" w:ascii="宋体" w:hAnsi="宋体" w:eastAsia="宋体" w:cs="宋体"/>
          <w:bCs/>
          <w:color w:val="000000" w:themeColor="text1"/>
          <w:sz w:val="24"/>
          <w:szCs w:val="24"/>
          <w:lang w:val="en-US" w:eastAsia="zh-CN"/>
        </w:rPr>
        <w:t xml:space="preserve">详见公告；</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11．项目类别：服务类。</w:t>
      </w:r>
      <w:r>
        <w:rPr>
          <w:color w:val="000000" w:themeColor="text1"/>
        </w:rPr>
      </w:r>
      <w:r/>
    </w:p>
    <w:p>
      <w:pPr>
        <w:pStyle w:val="967"/>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lang w:val="en-US" w:eastAsia="zh-CN"/>
        </w:rPr>
        <w:t xml:space="preserve">二、商务要求</w:t>
      </w:r>
      <w:r>
        <w:rPr>
          <w:color w:val="000000" w:themeColor="text1"/>
        </w:rPr>
      </w:r>
      <w:r/>
    </w:p>
    <w:p>
      <w:pPr>
        <w:pStyle w:val="866"/>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交付（实施）的时间（期限）和地点（范围）</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bCs/>
          <w:color w:val="000000" w:themeColor="text1"/>
          <w:sz w:val="24"/>
          <w:szCs w:val="24"/>
          <w:highlight w:val="none"/>
          <w:u w:val="single"/>
          <w:lang w:val="en-US" w:eastAsia="zh-CN"/>
        </w:rPr>
        <w:t xml:space="preserve">自合同签订之日起至2027年6月30日前，实现初步评审条件；整体项目需在2027年12月31日前完成交付。</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rPr>
        <w:t xml:space="preserve">服务地</w:t>
      </w:r>
      <w:r>
        <w:rPr>
          <w:rFonts w:hint="eastAsia" w:ascii="宋体" w:hAnsi="宋体" w:eastAsia="宋体" w:cs="宋体"/>
          <w:bCs/>
          <w:color w:val="000000" w:themeColor="text1"/>
          <w:sz w:val="24"/>
          <w:szCs w:val="24"/>
          <w:highlight w:val="none"/>
          <w:lang w:val="en-US" w:eastAsia="zh-CN"/>
        </w:rPr>
        <w:t xml:space="preserve">点：</w:t>
      </w:r>
      <w:r>
        <w:rPr>
          <w:rFonts w:hint="eastAsia" w:ascii="宋体" w:hAnsi="宋体" w:eastAsia="宋体" w:cs="宋体"/>
          <w:bCs/>
          <w:color w:val="000000" w:themeColor="text1"/>
          <w:sz w:val="24"/>
          <w:szCs w:val="24"/>
          <w:highlight w:val="none"/>
          <w:u w:val="single"/>
          <w:lang w:val="en-US" w:eastAsia="zh-CN"/>
        </w:rPr>
        <w:t xml:space="preserve">常州市金坛第一人民医院。</w:t>
      </w:r>
      <w:r>
        <w:rPr>
          <w:color w:val="000000" w:themeColor="text1"/>
        </w:rPr>
      </w:r>
      <w:r/>
    </w:p>
    <w:p>
      <w:pPr>
        <w:pStyle w:val="866"/>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付款条件（进度和方式）</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highlight w:val="none"/>
        </w:rPr>
      </w:pPr>
      <w:r>
        <w:rPr>
          <w:color w:val="000000" w:themeColor="text1"/>
        </w:rPr>
      </w:r>
      <w:bookmarkStart w:id="811" w:name="_Toc99301425"/>
      <w:r>
        <w:rPr>
          <w:rFonts w:hint="eastAsia" w:ascii="宋体" w:hAnsi="宋体" w:eastAsia="宋体" w:cs="宋体"/>
          <w:b w:val="0"/>
          <w:bCs/>
          <w:color w:val="000000" w:themeColor="text1"/>
          <w:sz w:val="24"/>
          <w:szCs w:val="24"/>
          <w:highlight w:val="none"/>
          <w:lang w:val="en-US" w:eastAsia="zh-CN"/>
        </w:rPr>
        <w:t xml:space="preserve">1）项目实现初步评审条件，经采购人验收合格并签署《阶段验收确认单》后15个工作日内，采购人向</w:t>
      </w:r>
      <w:r>
        <w:rPr>
          <w:rFonts w:hint="eastAsia" w:ascii="宋体" w:hAnsi="宋体" w:eastAsia="宋体" w:cs="宋体"/>
          <w:b w:val="0"/>
          <w:bCs/>
          <w:color w:val="000000" w:themeColor="text1"/>
          <w:sz w:val="24"/>
          <w:szCs w:val="24"/>
          <w:highlight w:val="none"/>
          <w:lang w:val="en-US" w:eastAsia="zh-CN"/>
        </w:rPr>
        <w:t xml:space="preserve">中标人</w:t>
      </w:r>
      <w:r>
        <w:rPr>
          <w:rFonts w:hint="eastAsia" w:ascii="宋体" w:hAnsi="宋体" w:eastAsia="宋体" w:cs="宋体"/>
          <w:b w:val="0"/>
          <w:bCs/>
          <w:color w:val="000000" w:themeColor="text1"/>
          <w:sz w:val="24"/>
          <w:szCs w:val="24"/>
          <w:highlight w:val="none"/>
          <w:lang w:val="en-US" w:eastAsia="zh-CN"/>
        </w:rPr>
        <w:t xml:space="preserve">支付合同总金额的80%。</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2）整体项目完成交付，且</w:t>
      </w:r>
      <w:r>
        <w:rPr>
          <w:rFonts w:hint="eastAsia" w:ascii="宋体" w:hAnsi="宋体" w:eastAsia="宋体" w:cs="宋体"/>
          <w:b w:val="0"/>
          <w:bCs/>
          <w:color w:val="000000" w:themeColor="text1"/>
          <w:sz w:val="24"/>
          <w:szCs w:val="24"/>
          <w:highlight w:val="none"/>
          <w:lang w:val="en-US" w:eastAsia="zh-CN"/>
        </w:rPr>
        <w:t xml:space="preserve">采购人</w:t>
      </w:r>
      <w:r>
        <w:rPr>
          <w:rFonts w:hint="eastAsia" w:ascii="宋体" w:hAnsi="宋体" w:eastAsia="宋体" w:cs="宋体"/>
          <w:b w:val="0"/>
          <w:bCs/>
          <w:color w:val="000000" w:themeColor="text1"/>
          <w:sz w:val="24"/>
          <w:szCs w:val="24"/>
          <w:highlight w:val="none"/>
          <w:lang w:val="en-US" w:eastAsia="zh-CN"/>
        </w:rPr>
        <w:t xml:space="preserve">顺利通过等级医院评审/重点专科评审（以官方评审结果公示为凭证），经</w:t>
      </w:r>
      <w:r>
        <w:rPr>
          <w:rFonts w:hint="eastAsia" w:ascii="宋体" w:hAnsi="宋体" w:eastAsia="宋体" w:cs="宋体"/>
          <w:b w:val="0"/>
          <w:bCs/>
          <w:color w:val="000000" w:themeColor="text1"/>
          <w:sz w:val="24"/>
          <w:szCs w:val="24"/>
          <w:highlight w:val="none"/>
          <w:lang w:val="en-US" w:eastAsia="zh-CN"/>
        </w:rPr>
        <w:t xml:space="preserve">采购人</w:t>
      </w:r>
      <w:r>
        <w:rPr>
          <w:rFonts w:hint="eastAsia" w:ascii="宋体" w:hAnsi="宋体" w:eastAsia="宋体" w:cs="宋体"/>
          <w:b w:val="0"/>
          <w:bCs/>
          <w:color w:val="000000" w:themeColor="text1"/>
          <w:sz w:val="24"/>
          <w:szCs w:val="24"/>
          <w:highlight w:val="none"/>
          <w:lang w:val="en-US" w:eastAsia="zh-CN"/>
        </w:rPr>
        <w:t xml:space="preserve">最终验收合格并签署《项目终验报告》后15个工作日内，</w:t>
      </w:r>
      <w:r>
        <w:rPr>
          <w:rFonts w:hint="eastAsia" w:ascii="宋体" w:hAnsi="宋体" w:eastAsia="宋体" w:cs="宋体"/>
          <w:b w:val="0"/>
          <w:bCs/>
          <w:color w:val="000000" w:themeColor="text1"/>
          <w:sz w:val="24"/>
          <w:szCs w:val="24"/>
          <w:highlight w:val="none"/>
          <w:lang w:val="en-US" w:eastAsia="zh-CN"/>
        </w:rPr>
        <w:t xml:space="preserve">采购人</w:t>
      </w:r>
      <w:r>
        <w:rPr>
          <w:rFonts w:hint="eastAsia" w:ascii="宋体" w:hAnsi="宋体" w:eastAsia="宋体" w:cs="宋体"/>
          <w:b w:val="0"/>
          <w:bCs/>
          <w:color w:val="000000" w:themeColor="text1"/>
          <w:sz w:val="24"/>
          <w:szCs w:val="24"/>
          <w:highlight w:val="none"/>
          <w:lang w:val="en-US" w:eastAsia="zh-CN"/>
        </w:rPr>
        <w:t xml:space="preserve">向中标人支付剩余合同款项</w:t>
      </w:r>
      <w:r>
        <w:rPr>
          <w:rFonts w:hint="eastAsia" w:ascii="宋体" w:hAnsi="宋体" w:eastAsia="宋体" w:cs="宋体"/>
          <w:b w:val="0"/>
          <w:bCs/>
          <w:color w:val="000000" w:themeColor="text1"/>
          <w:sz w:val="24"/>
          <w:szCs w:val="24"/>
          <w:highlight w:val="none"/>
          <w:lang w:val="en-US" w:eastAsia="zh-CN"/>
        </w:rPr>
        <w:t xml:space="preserve">。</w:t>
      </w:r>
      <w:r>
        <w:rPr>
          <w:color w:val="000000" w:themeColor="text1"/>
        </w:rPr>
      </w:r>
      <w:r/>
    </w:p>
    <w:p>
      <w:pPr>
        <w:pStyle w:val="866"/>
        <w:contextualSpacing/>
        <w:ind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注：1.付款前，中标人需向采购人提供等额的普通发票。</w:t>
      </w:r>
      <w:r>
        <w:rPr>
          <w:color w:val="000000" w:themeColor="text1"/>
        </w:rPr>
      </w:r>
      <w:r/>
    </w:p>
    <w:p>
      <w:pPr>
        <w:pStyle w:val="866"/>
        <w:contextualSpacing/>
        <w:ind w:firstLine="72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yellow"/>
        </w:rPr>
      </w:pPr>
      <w:r>
        <w:rPr>
          <w:rFonts w:hint="eastAsia" w:ascii="宋体" w:hAnsi="宋体" w:eastAsia="宋体" w:cs="宋体"/>
          <w:b w:val="0"/>
          <w:bCs/>
          <w:color w:val="000000" w:themeColor="text1"/>
          <w:sz w:val="24"/>
          <w:szCs w:val="24"/>
          <w:highlight w:val="none"/>
          <w:lang w:val="en-US" w:eastAsia="zh-CN"/>
        </w:rPr>
        <w:t xml:space="preserve">2.考核扣款在同期服务费中扣除（具体详见合同附件1）。</w:t>
      </w:r>
      <w:r>
        <w:rPr>
          <w:color w:val="000000" w:themeColor="text1"/>
        </w:rPr>
      </w:r>
      <w:r/>
    </w:p>
    <w:p>
      <w:pPr>
        <w:pStyle w:val="967"/>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lang w:val="en-US" w:eastAsia="zh-CN"/>
        </w:rPr>
        <w:t xml:space="preserve">★三、服务内容及要求 </w:t>
      </w:r>
      <w:r>
        <w:rPr>
          <w:color w:val="000000" w:themeColor="text1"/>
        </w:rPr>
      </w:r>
      <w:r/>
    </w:p>
    <w:p>
      <w:pPr>
        <w:pStyle w:val="967"/>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（一）项目清单</w:t>
      </w:r>
      <w:r>
        <w:rPr>
          <w:rFonts w:hint="eastAsia" w:ascii="宋体" w:hAnsi="宋体" w:eastAsia="宋体" w:cs="宋体"/>
          <w:b/>
          <w:bCs/>
          <w:sz w:val="24"/>
          <w:szCs w:val="24"/>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604"/>
        <w:gridCol w:w="7759"/>
      </w:tblGrid>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gridSpan w:val="2"/>
            <w:tcW w:w="936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服务</w:t>
            </w:r>
            <w:r>
              <w:rPr>
                <w:rFonts w:hint="eastAsia" w:ascii="宋体" w:hAnsi="宋体" w:eastAsia="宋体" w:cs="宋体"/>
                <w:b/>
                <w:bCs/>
                <w:color w:val="000000"/>
                <w:sz w:val="24"/>
                <w:szCs w:val="24"/>
                <w:lang w:bidi="ar"/>
              </w:rPr>
              <w:t xml:space="preserve">内容</w:t>
            </w:r>
            <w:r>
              <w:rPr>
                <w:rFonts w:hint="eastAsia" w:ascii="宋体" w:hAnsi="宋体" w:eastAsia="宋体" w:cs="宋体"/>
                <w:b/>
                <w:bCs/>
                <w:color w:val="000000"/>
                <w:sz w:val="24"/>
                <w:szCs w:val="24"/>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医院等级评审指标服务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指标信息配置服务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指标数据采集服务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3</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指标数据可视化</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指标数据预警提醒</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5</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数据问题排查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月度分析报告</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7</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协同整改服务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8</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医院专业（专科）类指标服务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指标信息配置服务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9</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指标数据采集服务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10</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指标数据可视化</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11</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指标数据预警提醒</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12</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数据问题排查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13</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月度分析报告</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14</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协同整改服务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15</w:t>
            </w:r>
            <w:r>
              <w:rPr>
                <w:rFonts w:hint="eastAsia" w:ascii="宋体" w:hAnsi="宋体" w:eastAsia="宋体" w:cs="宋体"/>
                <w:b w:val="0"/>
                <w:bCs w:val="0"/>
                <w:color w:val="000000"/>
                <w:sz w:val="24"/>
                <w:szCs w:val="24"/>
                <w:lang w:val="en-US" w:eastAsia="zh-CN" w:bidi="ar"/>
              </w:rPr>
            </w:r>
            <w:r/>
          </w:p>
        </w:tc>
        <w:tc>
          <w:tcPr>
            <w:tcW w:w="805" w:type="dxa"/>
            <w:vAlign w:val="center"/>
            <w:vMerge w:val="restart"/>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统一数据上报服务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江苏省全民健康信息平台上报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16</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江苏省全民健康信息平台上报指标建设服务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17</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常州市卫生信息平台上报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18</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HQMS（国家医院质量监测系统）上报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19</w:t>
            </w:r>
            <w:r>
              <w:rPr>
                <w:rFonts w:hint="eastAsia" w:ascii="宋体" w:hAnsi="宋体" w:eastAsia="宋体" w:cs="宋体"/>
                <w:b w:val="0"/>
                <w:bCs w:val="0"/>
                <w:color w:val="000000"/>
                <w:sz w:val="24"/>
                <w:szCs w:val="24"/>
                <w:lang w:val="en-US" w:eastAsia="zh-CN" w:bidi="ar"/>
              </w:rPr>
            </w:r>
            <w:r/>
          </w:p>
        </w:tc>
        <w:tc>
          <w:tcPr>
            <w:tcW w:w="805" w:type="dxa"/>
            <w:vAlign w:val="center"/>
            <w:vMerge w:val="continue"/>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国家抗肿瘤药物临床应用监测网上报</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20</w:t>
            </w:r>
            <w:r>
              <w:rPr>
                <w:rFonts w:hint="eastAsia" w:ascii="宋体" w:hAnsi="宋体" w:eastAsia="宋体" w:cs="宋体"/>
                <w:b w:val="0"/>
                <w:bCs w:val="0"/>
                <w:color w:val="000000"/>
                <w:sz w:val="24"/>
                <w:szCs w:val="24"/>
                <w:lang w:val="en-US" w:eastAsia="zh-CN" w:bidi="ar"/>
              </w:rPr>
            </w:r>
            <w:r/>
          </w:p>
        </w:tc>
        <w:tc>
          <w:tcPr>
            <w:tcW w:w="80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驻场服务</w:t>
            </w:r>
            <w:r>
              <w:rPr>
                <w:rFonts w:hint="eastAsia" w:ascii="宋体" w:hAnsi="宋体" w:eastAsia="宋体" w:cs="宋体"/>
                <w:b w:val="0"/>
                <w:bCs w:val="0"/>
                <w:color w:val="000000"/>
                <w:sz w:val="24"/>
                <w:szCs w:val="24"/>
                <w:lang w:val="en-US" w:eastAsia="zh-CN" w:bidi="ar"/>
              </w:rPr>
            </w:r>
            <w:r/>
          </w:p>
        </w:tc>
        <w:tc>
          <w:tcPr>
            <w:tcW w:w="389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驻场服务</w:t>
            </w:r>
            <w:r>
              <w:rPr>
                <w:rFonts w:hint="eastAsia" w:ascii="宋体" w:hAnsi="宋体" w:eastAsia="宋体" w:cs="宋体"/>
                <w:b w:val="0"/>
                <w:bCs w:val="0"/>
                <w:i w:val="0"/>
                <w:iCs w:val="0"/>
                <w:color w:val="000000"/>
                <w:sz w:val="24"/>
                <w:szCs w:val="24"/>
                <w:u w:val="none"/>
                <w:lang w:val="en-US" w:eastAsia="zh-CN" w:bidi="ar"/>
              </w:rPr>
            </w:r>
            <w:r/>
          </w:p>
        </w:tc>
      </w:tr>
      <w:tr>
        <w:trPr/>
        <w:tc>
          <w:tcPr>
            <w:tcW w:w="301" w:type="dxa"/>
            <w:vAlign w:val="center"/>
            <w:textDirection w:val="lrTb"/>
            <w:noWrap/>
          </w:tcPr>
          <w:p>
            <w:pPr>
              <w:pStyle w:val="866"/>
              <w:jc w:val="center"/>
              <w:keepLines w:val="0"/>
              <w:keepNext w:val="0"/>
              <w:pageBreakBefore w:val="0"/>
              <w:spacing w:line="400" w:lineRule="exact"/>
              <w:widowControl/>
              <w:rPr>
                <w:rFonts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21</w:t>
            </w:r>
            <w:r>
              <w:rPr>
                <w:rFonts w:ascii="宋体" w:hAnsi="宋体" w:eastAsia="宋体" w:cs="宋体"/>
                <w:b w:val="0"/>
                <w:bCs w:val="0"/>
                <w:color w:val="000000"/>
                <w:sz w:val="24"/>
                <w:szCs w:val="24"/>
                <w:lang w:val="en-US" w:eastAsia="zh-CN" w:bidi="ar"/>
              </w:rPr>
            </w:r>
            <w:r/>
          </w:p>
        </w:tc>
        <w:tc>
          <w:tcPr>
            <w:tcW w:w="805" w:type="dxa"/>
            <w:vAlign w:val="top"/>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院内业务系统配合改造</w:t>
            </w:r>
            <w:r>
              <w:rPr>
                <w:rFonts w:hint="eastAsia" w:ascii="宋体" w:hAnsi="宋体" w:eastAsia="宋体" w:cs="宋体"/>
                <w:b w:val="0"/>
                <w:bCs w:val="0"/>
                <w:i w:val="0"/>
                <w:iCs w:val="0"/>
                <w:color w:val="000000"/>
                <w:sz w:val="24"/>
                <w:szCs w:val="24"/>
                <w:u w:val="none"/>
                <w:lang w:val="en-US" w:eastAsia="zh-CN" w:bidi="ar"/>
              </w:rPr>
            </w:r>
            <w:r/>
          </w:p>
        </w:tc>
        <w:tc>
          <w:tcPr>
            <w:tcW w:w="3892" w:type="dxa"/>
            <w:vAlign w:val="top"/>
            <w:textDirection w:val="lrTb"/>
            <w:noWrap/>
          </w:tcPr>
          <w:p>
            <w:pPr>
              <w:pStyle w:val="866"/>
              <w:jc w:val="center"/>
              <w:keepLines w:val="0"/>
              <w:keepNext w:val="0"/>
              <w:pageBreakBefore w:val="0"/>
              <w:spacing w:line="40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HIS系统、CIS医生站、护士站、移动管理护理系统、心电系统、手麻系统、病理系统、LIS系统、RIS系统、急诊系统、重症系统、血透系统等系统</w:t>
            </w:r>
            <w:r>
              <w:rPr>
                <w:rFonts w:hint="eastAsia" w:ascii="宋体" w:hAnsi="宋体" w:eastAsia="宋体" w:cs="宋体"/>
                <w:b w:val="0"/>
                <w:bCs w:val="0"/>
                <w:i w:val="0"/>
                <w:iCs w:val="0"/>
                <w:color w:val="000000"/>
                <w:sz w:val="24"/>
                <w:szCs w:val="24"/>
                <w:u w:val="none"/>
                <w:lang w:val="en-US" w:eastAsia="zh-CN" w:bidi="ar"/>
              </w:rPr>
            </w:r>
            <w:r/>
          </w:p>
        </w:tc>
      </w:tr>
    </w:tbl>
    <w:p>
      <w:pPr>
        <w:pStyle w:val="967"/>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（二）服务要求</w:t>
      </w:r>
      <w:r>
        <w:rPr>
          <w:rFonts w:hint="eastAsia" w:ascii="宋体" w:hAnsi="宋体" w:eastAsia="宋体" w:cs="宋体"/>
          <w:b/>
          <w:bCs/>
          <w:sz w:val="24"/>
          <w:szCs w:val="24"/>
          <w:lang w:val="en-US" w:eastAsia="zh-CN"/>
        </w:rPr>
      </w:r>
      <w:r/>
    </w:p>
    <w:p>
      <w:pPr>
        <w:pStyle w:val="866"/>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1、医院等级评审指标服务需求</w:t>
      </w:r>
      <w:r>
        <w:rPr>
          <w:rFonts w:hint="eastAsia" w:ascii="宋体" w:hAnsi="宋体" w:eastAsia="宋体" w:cs="宋体"/>
          <w:b/>
          <w:bCs/>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本指标管理服务要求供应商聚焦医院在医院等级评审指标建设中面临的数据异常、成绩差异等问题，通过专业、深入的服务，助力医院精准定位问题，优化管理策略，提升整体成绩与竞争力。</w:t>
      </w:r>
      <w:r>
        <w:rPr>
          <w:rFonts w:hint="eastAsia" w:ascii="宋体" w:hAnsi="宋体" w:eastAsia="宋体" w:cs="宋体"/>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要求供应商围绕医院等级评审第二部分医疗服务能力与质量安全监测数据部分内容，科学配置指标体系，具体指标内容参考《江苏省三级综合医院评审标准实施细则（2023版）》及《三级医院评审标准（2025年版）》，若后续标准有变动，根据最新标准进行调整。</w:t>
      </w:r>
      <w:r>
        <w:rPr>
          <w:rFonts w:hint="eastAsia" w:ascii="宋体" w:hAnsi="宋体" w:eastAsia="宋体" w:cs="宋体"/>
          <w:sz w:val="24"/>
          <w:szCs w:val="24"/>
          <w:lang w:val="en-US" w:eastAsia="zh-CN"/>
        </w:rPr>
      </w:r>
      <w:r/>
    </w:p>
    <w:p>
      <w:pPr>
        <w:pStyle w:val="866"/>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目前《江苏省三级综合医院评审标准实施细则（2023版）》第二部分医疗服务能力与质量安全监测数据部分构建等评数据主题库，包含5章类411个，具体如下：</w:t>
      </w:r>
      <w:r>
        <w:rPr>
          <w:rFonts w:hint="eastAsia" w:ascii="宋体" w:hAnsi="宋体" w:eastAsia="宋体" w:cs="宋体"/>
          <w:b/>
          <w:bCs/>
          <w:sz w:val="24"/>
          <w:szCs w:val="24"/>
          <w:lang w:val="en-US" w:eastAsia="zh-CN"/>
        </w:rPr>
        <w:t xml:space="preserve">（1）第一章资源配置与运行数据指标共70个指标，如下：</w:t>
      </w:r>
      <w:r>
        <w:rPr>
          <w:rFonts w:hint="eastAsia" w:ascii="宋体" w:hAnsi="宋体" w:eastAsia="宋体" w:cs="宋体"/>
          <w:b/>
          <w:bCs/>
          <w:sz w:val="24"/>
          <w:szCs w:val="24"/>
          <w:lang w:val="en-US" w:eastAsia="zh-CN"/>
        </w:rPr>
      </w:r>
      <w:r/>
    </w:p>
    <w:tbl>
      <w:tblPr>
        <w:tblStyle w:val="93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4065"/>
        <w:gridCol w:w="4887"/>
      </w:tblGrid>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65"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rPr>
            </w:r>
            <w:r/>
          </w:p>
        </w:tc>
        <w:tc>
          <w:tcPr>
            <w:tcW w:w="488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核定床位数</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核定床位数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实际开放床位数</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实际开放床位数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平均床位使用率</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平均床位使用率</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卫生技术人员数与开放床位数比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全院护士人数与开放床位数比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全院护士人数与开放床位数比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全院病区护士人数与开放床位数比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全院病区护士人数与开放床位数比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医院感染管理专职人员数与开放床位数比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医院感染管理专职人员数与开放床位数比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卫生技术人员结构</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麻醉、儿科、重症、病理、中医医师占比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从事公共卫生工作的专职人员数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医护比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卫生技术人员职称结构</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卫生技术人员人数占全院总人数的比例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医师与实际开放床位的比例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临床科室科主任高级职称比例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医技科室科主任高级职称比例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硕士及以上医师比例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药学专业技术人员数与卫生专业技术人员数比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药学专业技术人员数与卫生专业技术人员数比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每百张病床药师人数</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固定急诊医师人数占急诊在岗医师人数的比例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固定急诊护士人数占急诊在岗护士人数的比例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急诊医学科开放床位数</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重症医学科医师人数与重症医学科开放床位数比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重症医学科护士人数与重症医学科开放床位数比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麻醉科医师数与手术间数比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麻醉科医师数与日均全麻手术台次比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麻醉科医师和手术科室医师比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手术室护士与手术床（台）比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手术间麻醉护士与实际开放手术台的数量比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麻醉后恢复室护士与实际开放恢复室床位比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中医科中医类别医师人数与中医科开放床位数比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中医科护士人数与中医科开放床位数比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康复医学科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康复科开放床位数占医院开放床位数的比例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康复科医师人数与康复科开放床位数比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康复科康复师人数与康复科开放床位数比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康复科护士人数与康复科开放床位数比</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固定医师人数占感染性疾病科在岗医师人数的比例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固定护士人数占感染性疾病科在岗护士人数的比例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感染性疾病科开放床位数占医院开放床位数的比例</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可转换感染性疾病床位数占医院开放床位数的比例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相关手术科室年手术人次占其出院人次比例</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出院患者手术占比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出院患者微创手术占比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出院患者四级手术比例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日间手术占择期手术比例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危重患者占比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危重患者占出院人次比例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疑难患者占比</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疑难患者占出院人次比例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工作负荷</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每名执业医师日均住院工作负担</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每名医师日均门诊服务量</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服务效率</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出院患者平均住院天数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门诊患者平均预约诊疗率</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门诊患者预约后平均等待时间</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每百名卫生技术人员科研成果转化金额</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每百名卫生技术人员科研成果转化金额</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tcW w:w="4065"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取得临床相关国家发明专利数量</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每百名卫生技术人员获国家发明专利数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tcW w:w="4065"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省级及以上科研项目数量或省级及以上医学科技奖励</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省卫生健康委医学新技术引进奖</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市、厅级及以上科研课题</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省政府及以上科技进步奖</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人才培养</w:t>
            </w: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医院住院医师首次参加医师资格考试通过率</w:t>
            </w:r>
            <w:r>
              <w:rPr>
                <w:rFonts w:hint="eastAsia" w:ascii="宋体" w:hAnsi="宋体" w:eastAsia="宋体" w:cs="宋体"/>
                <w:color w:val="000000"/>
                <w:sz w:val="24"/>
                <w:szCs w:val="24"/>
              </w:rPr>
            </w:r>
            <w:r/>
          </w:p>
        </w:tc>
      </w:tr>
      <w:tr>
        <w:trPr>
          <w:trHeight w:val="668"/>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医院接受其他医院（尤其是对口支援医院、医联体内医院）进修并返回原医院独立工作人数占比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医院承担培养医学人才的工作成效</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承担继续医学教育项目数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40岁以下青年人才入选比例</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人才工作专项经费占比</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学科建设（近三年）</w:t>
            </w: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否为住院医师规范化培训基地医院</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国家级临床重点专科和医学重点学科数（个）</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省级临床重点专科和重点学科数（个）</w:t>
            </w:r>
            <w:r>
              <w:rPr>
                <w:rFonts w:hint="eastAsia" w:ascii="宋体" w:hAnsi="宋体" w:eastAsia="宋体" w:cs="宋体"/>
                <w:color w:val="000000"/>
                <w:sz w:val="24"/>
                <w:szCs w:val="24"/>
              </w:rPr>
            </w:r>
            <w:r/>
          </w:p>
        </w:tc>
      </w:tr>
      <w:tr>
        <w:trPr>
          <w:trHeight w:val="447"/>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国家医疗器械和药物临床试验机构（专业）数</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患者满意度</w:t>
            </w: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门诊患者满意度</w:t>
            </w:r>
            <w:r>
              <w:rPr>
                <w:rFonts w:hint="eastAsia" w:ascii="宋体" w:hAnsi="宋体" w:eastAsia="宋体" w:cs="宋体"/>
                <w:color w:val="000000"/>
                <w:sz w:val="24"/>
                <w:szCs w:val="24"/>
              </w:rPr>
            </w:r>
            <w:r/>
          </w:p>
        </w:tc>
      </w:tr>
      <w:tr>
        <w:trPr>
          <w:trHeight w:val="233"/>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住院患者满意度</w:t>
            </w:r>
            <w:r>
              <w:rPr>
                <w:rFonts w:hint="eastAsia" w:ascii="宋体" w:hAnsi="宋体" w:eastAsia="宋体" w:cs="宋体"/>
                <w:color w:val="000000"/>
                <w:sz w:val="24"/>
                <w:szCs w:val="24"/>
              </w:rPr>
            </w:r>
            <w:r/>
          </w:p>
        </w:tc>
      </w:tr>
      <w:tr>
        <w:trPr>
          <w:trHeight w:val="241"/>
        </w:trPr>
        <w:tc>
          <w:tcPr>
            <w:tcW w:w="947"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tcW w:w="4065"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医务人员满意度</w:t>
            </w:r>
            <w:r>
              <w:rPr>
                <w:rFonts w:hint="eastAsia" w:ascii="宋体" w:hAnsi="宋体" w:eastAsia="宋体" w:cs="宋体"/>
                <w:color w:val="000000"/>
                <w:sz w:val="24"/>
                <w:szCs w:val="24"/>
              </w:rPr>
            </w:r>
            <w:r/>
          </w:p>
        </w:tc>
        <w:tc>
          <w:tcPr>
            <w:tcW w:w="488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医务人员满意度</w:t>
            </w:r>
            <w:r>
              <w:rPr>
                <w:rFonts w:hint="eastAsia" w:ascii="宋体" w:hAnsi="宋体" w:eastAsia="宋体" w:cs="宋体"/>
                <w:color w:val="000000"/>
                <w:sz w:val="24"/>
                <w:szCs w:val="24"/>
              </w:rPr>
            </w:r>
            <w:r/>
          </w:p>
        </w:tc>
      </w:tr>
    </w:tbl>
    <w:p>
      <w:pPr>
        <w:pStyle w:val="866"/>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（2）第二章医疗服务能力与医院质量安全指标共31个指标，如下：</w:t>
      </w:r>
      <w:r>
        <w:rPr>
          <w:rFonts w:hint="eastAsia" w:ascii="宋体" w:hAnsi="宋体" w:eastAsia="宋体" w:cs="宋体"/>
          <w:b/>
          <w:bCs/>
          <w:sz w:val="24"/>
          <w:szCs w:val="24"/>
          <w:lang w:val="en-US" w:eastAsia="zh-CN"/>
        </w:rPr>
      </w:r>
      <w:r/>
    </w:p>
    <w:tbl>
      <w:tblPr>
        <w:tblStyle w:val="937"/>
        <w:tblW w:w="99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4050"/>
        <w:gridCol w:w="4890"/>
      </w:tblGrid>
      <w:tr>
        <w:trPr>
          <w:trHeight w:val="496"/>
        </w:trPr>
        <w:tc>
          <w:tcPr>
            <w:tcW w:w="962" w:type="dxa"/>
            <w:vAlign w:val="center"/>
            <w:textDirection w:val="lrTb"/>
            <w:noWrap w:val="false"/>
          </w:tcPr>
          <w:p>
            <w:pPr>
              <w:pStyle w:val="866"/>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050" w:type="dxa"/>
            <w:vAlign w:val="center"/>
            <w:textDirection w:val="lrTb"/>
            <w:noWrap w:val="false"/>
          </w:tcPr>
          <w:p>
            <w:pPr>
              <w:pStyle w:val="866"/>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4890" w:type="dxa"/>
            <w:vAlign w:val="center"/>
            <w:textDirection w:val="lrTb"/>
            <w:noWrap w:val="false"/>
          </w:tcPr>
          <w:p>
            <w:pPr>
              <w:pStyle w:val="866"/>
              <w:ind w:left="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指标</w:t>
            </w:r>
            <w:r>
              <w:rPr>
                <w:rFonts w:hint="eastAsia" w:ascii="宋体" w:hAnsi="宋体" w:eastAsia="宋体" w:cs="宋体"/>
                <w:b/>
                <w:bCs/>
                <w:color w:val="000000"/>
                <w:sz w:val="24"/>
                <w:szCs w:val="24"/>
                <w:highlight w:val="none"/>
              </w:rPr>
            </w:r>
            <w:r/>
          </w:p>
        </w:tc>
      </w:tr>
      <w:tr>
        <w:trPr>
          <w:trHeight w:val="569"/>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收治病种数量（ICD-10四位亚目数量）</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收治病种数量（ICD-10四位亚目数量）</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住院术种数量（ICD-9-CM-3四位亚目数量）</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住院术种数量（ICD-9-CM-3四位亚目数量）</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DRG-DRGs组数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DRG-DRGs组数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DRG-CMI</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DRG-CMI</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DRG时间指数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DRG时间指数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DRG费用指数</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DRG费用指数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050" w:type="dxa"/>
            <w:vAlign w:val="center"/>
            <w:vMerge w:val="restart"/>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“互联网+医疗健康”开展情况</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互联网医疗服务业务开展项目数</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互联网诊疗服务占门急诊复诊比例</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050" w:type="dxa"/>
            <w:vAlign w:val="center"/>
            <w:vMerge w:val="restart"/>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年度国家医疗质量安全目标改进情况（以评审周期四年内国家发布的安全目标改进指标为准，体现每个指标的持续改进）</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（2324）</w:t>
            </w:r>
            <w:r>
              <w:rPr>
                <w:rFonts w:hint="eastAsia" w:ascii="宋体" w:hAnsi="宋体" w:eastAsia="宋体" w:cs="宋体"/>
                <w:color w:val="000000"/>
                <w:sz w:val="24"/>
                <w:szCs w:val="24"/>
                <w:highlight w:val="none"/>
              </w:rPr>
              <w:t xml:space="preserve">提高急性ST段抬高型心肌梗死（STEMI）再灌注治疗率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232425</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提高急性脑梗死再灌注治疗率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（26）提高脑血管病急性期规范诊疗率</w:t>
            </w:r>
            <w:r>
              <w:rPr>
                <w:rFonts w:hint="eastAsia" w:ascii="宋体" w:hAnsi="宋体" w:eastAsia="宋体" w:cs="宋体"/>
                <w:color w:val="000000"/>
                <w:sz w:val="24"/>
                <w:szCs w:val="24"/>
                <w:highlight w:val="none"/>
                <w:lang w:val="en-US" w:eastAsia="zh-CN"/>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（26）提高肿瘤治疗前临床分期评估率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提高住院患者抗菌药物治疗前病原学送检率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242526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提高静脉血栓栓塞症规范预防率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（242526）提高感染性休克集束化治疗完成率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242526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提高医疗质量安全不良事件报告率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降低手术患者术后31天内非预期重返手术室再次手术率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降低住院患者静脉输液使用率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（2324）</w:t>
            </w:r>
            <w:r>
              <w:rPr>
                <w:rFonts w:hint="eastAsia" w:ascii="宋体" w:hAnsi="宋体" w:eastAsia="宋体" w:cs="宋体"/>
                <w:color w:val="000000"/>
                <w:sz w:val="24"/>
                <w:szCs w:val="24"/>
                <w:highlight w:val="none"/>
              </w:rPr>
              <w:t xml:space="preserve">降低阴道分娩并发症发生率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（242526）提高住院患者静脉输液规范使用率</w:t>
            </w:r>
            <w:r>
              <w:rPr>
                <w:rFonts w:hint="eastAsia" w:ascii="宋体" w:hAnsi="宋体" w:eastAsia="宋体" w:cs="宋体"/>
                <w:color w:val="000000"/>
                <w:sz w:val="24"/>
                <w:szCs w:val="24"/>
                <w:highlight w:val="none"/>
                <w:lang w:val="en-US" w:eastAsia="zh-CN" w:bidi="ar-SA"/>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（242526）提高四级手术术前多学科讨论完成率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（242526）提高关键诊疗行为相关记录完整率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（242526）降低非计划重返手术室再手术率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val="en-US" w:eastAsia="zh-CN" w:bidi="ar-SA"/>
              </w:rPr>
            </w:r>
            <w:r/>
          </w:p>
        </w:tc>
        <w:tc>
          <w:tcPr>
            <w:tcW w:w="4050" w:type="dxa"/>
            <w:vAlign w:val="center"/>
            <w:vMerge w:val="continue"/>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（2526）提高医疗机构检查检验结果互认率</w:t>
            </w:r>
            <w:r>
              <w:rPr>
                <w:rFonts w:hint="eastAsia" w:ascii="宋体" w:hAnsi="宋体" w:eastAsia="宋体" w:cs="宋体"/>
                <w:color w:val="000000"/>
                <w:sz w:val="24"/>
                <w:szCs w:val="24"/>
                <w:highlight w:val="none"/>
                <w:lang w:val="en-US" w:eastAsia="zh-CN" w:bidi="ar-SA"/>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患者住院总死亡率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患者住院总死亡率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新生儿患者住院死亡率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新生儿患者住院死亡率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hanging="456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手术患者住院死亡率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住院患者出院后0-31天非预期再住院率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住院患者出院后0-31天非预期再住院率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手术患者术后48小时/31天内非预期重返手术室再次手术率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手术患者术后48小时/31天内非预期重返手术室再次手术率</w:t>
            </w:r>
            <w:r>
              <w:rPr>
                <w:rFonts w:hint="eastAsia" w:ascii="宋体" w:hAnsi="宋体" w:eastAsia="宋体" w:cs="宋体"/>
                <w:color w:val="000000"/>
                <w:sz w:val="24"/>
                <w:szCs w:val="24"/>
                <w:highlight w:val="none"/>
              </w:rPr>
            </w:r>
            <w:r/>
          </w:p>
        </w:tc>
      </w:tr>
      <w:tr>
        <w:trPr>
          <w:trHeight w:val="557"/>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115个低风险病种患者住院死亡率</w:t>
            </w:r>
            <w:r>
              <w:rPr>
                <w:rFonts w:hint="eastAsia" w:ascii="宋体" w:hAnsi="宋体" w:eastAsia="宋体" w:cs="宋体"/>
                <w:color w:val="000000"/>
                <w:sz w:val="24"/>
                <w:szCs w:val="24"/>
                <w:highlight w:val="none"/>
              </w:rPr>
            </w:r>
            <w:r/>
          </w:p>
        </w:tc>
        <w:tc>
          <w:tcPr>
            <w:tcW w:w="489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115个低风险病种患者住院死亡率</w:t>
            </w:r>
            <w:r>
              <w:rPr>
                <w:rFonts w:hint="eastAsia" w:ascii="宋体" w:hAnsi="宋体" w:eastAsia="宋体" w:cs="宋体"/>
                <w:color w:val="000000"/>
                <w:sz w:val="24"/>
                <w:szCs w:val="24"/>
                <w:highlight w:val="none"/>
              </w:rPr>
            </w:r>
            <w:r/>
          </w:p>
        </w:tc>
      </w:tr>
      <w:tr>
        <w:trPr>
          <w:trHeight w:val="290"/>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bidi="ar-SA"/>
              </w:rPr>
            </w:r>
            <w:r/>
          </w:p>
        </w:tc>
        <w:tc>
          <w:tcPr>
            <w:tcW w:w="4050" w:type="dxa"/>
            <w:vAlign w:val="center"/>
            <w:textDirection w:val="lrTb"/>
            <w:noWrap/>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低风险组患者住院死亡率</w:t>
            </w:r>
            <w:r>
              <w:rPr>
                <w:rFonts w:hint="eastAsia" w:ascii="宋体" w:hAnsi="宋体" w:eastAsia="宋体" w:cs="宋体"/>
                <w:color w:val="000000"/>
                <w:sz w:val="24"/>
                <w:szCs w:val="24"/>
                <w:highlight w:val="none"/>
              </w:rPr>
            </w:r>
            <w:r/>
          </w:p>
        </w:tc>
        <w:tc>
          <w:tcPr>
            <w:tcW w:w="4890" w:type="dxa"/>
            <w:vAlign w:val="center"/>
            <w:textDirection w:val="lrTb"/>
            <w:noWrap/>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低风险组患者住院死亡率</w:t>
            </w:r>
            <w:r>
              <w:rPr>
                <w:rFonts w:hint="eastAsia" w:ascii="宋体" w:hAnsi="宋体" w:eastAsia="宋体" w:cs="宋体"/>
                <w:color w:val="000000"/>
                <w:sz w:val="24"/>
                <w:szCs w:val="24"/>
                <w:highlight w:val="none"/>
              </w:rPr>
            </w:r>
            <w:r/>
          </w:p>
        </w:tc>
      </w:tr>
      <w:tr>
        <w:trPr>
          <w:trHeight w:val="568"/>
        </w:trPr>
        <w:tc>
          <w:tcPr>
            <w:tcW w:w="962" w:type="dxa"/>
            <w:vAlign w:val="center"/>
            <w:textDirection w:val="lrTb"/>
            <w:noWrap/>
          </w:tcPr>
          <w:p>
            <w:pPr>
              <w:pStyle w:val="866"/>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4050" w:type="dxa"/>
            <w:vAlign w:val="center"/>
            <w:textDirection w:val="lrTb"/>
            <w:noWrap w:val="false"/>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手术介入操作并发症、新生儿产伤等32个并发症发生率</w:t>
            </w:r>
            <w:r>
              <w:rPr>
                <w:rFonts w:hint="eastAsia" w:ascii="宋体" w:hAnsi="宋体" w:eastAsia="宋体" w:cs="宋体"/>
                <w:color w:val="000000"/>
                <w:sz w:val="24"/>
                <w:szCs w:val="24"/>
                <w:highlight w:val="none"/>
              </w:rPr>
            </w:r>
            <w:r/>
          </w:p>
        </w:tc>
        <w:tc>
          <w:tcPr>
            <w:tcW w:w="4890" w:type="dxa"/>
            <w:vAlign w:val="center"/>
            <w:textDirection w:val="lrTb"/>
            <w:noWrap/>
          </w:tcPr>
          <w:p>
            <w:pPr>
              <w:pStyle w:val="866"/>
              <w:ind w:left="0"/>
              <w:jc w:val="both"/>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并发症发生率</w:t>
            </w:r>
            <w:r>
              <w:rPr>
                <w:rFonts w:hint="eastAsia" w:ascii="宋体" w:hAnsi="宋体" w:eastAsia="宋体" w:cs="宋体"/>
                <w:color w:val="000000"/>
                <w:sz w:val="24"/>
                <w:szCs w:val="24"/>
                <w:highlight w:val="none"/>
              </w:rPr>
            </w:r>
            <w:r/>
          </w:p>
        </w:tc>
      </w:tr>
    </w:tbl>
    <w:p>
      <w:pPr>
        <w:pStyle w:val="866"/>
        <w:numPr>
          <w:ilvl w:val="0"/>
          <w:numId w:val="0"/>
        </w:numPr>
        <w:ind w:firstLine="241"/>
        <w:keepLines w:val="0"/>
        <w:keepNext w:val="0"/>
        <w:pageBreakBefore w:val="0"/>
        <w:spacing w:beforeAutospacing="0" w:afterAutospacing="0"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（3）第四章单病种（术种）质量控制指标共55个病种，每个病种为平均住院日、次均费用、病死率3个指标，共165个指标，如下：</w:t>
      </w:r>
      <w:r>
        <w:rPr>
          <w:rFonts w:ascii="宋体" w:hAnsi="宋体" w:eastAsia="宋体" w:cs="宋体"/>
          <w:b/>
          <w:bCs/>
          <w:sz w:val="24"/>
          <w:szCs w:val="24"/>
          <w:lang w:val="en-US" w:eastAsia="zh-CN"/>
        </w:rPr>
      </w:r>
      <w:r/>
    </w:p>
    <w:tbl>
      <w:tblPr>
        <w:tblStyle w:val="937"/>
        <w:tblW w:w="98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4050"/>
        <w:gridCol w:w="4890"/>
      </w:tblGrid>
      <w:tr>
        <w:trPr>
          <w:trHeight w:val="496"/>
        </w:trPr>
        <w:tc>
          <w:tcPr>
            <w:tcW w:w="955"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50"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病种</w:t>
            </w:r>
            <w:r>
              <w:rPr>
                <w:rFonts w:hint="eastAsia" w:ascii="宋体" w:hAnsi="宋体" w:eastAsia="宋体" w:cs="宋体"/>
                <w:b/>
                <w:bCs/>
                <w:color w:val="000000"/>
                <w:sz w:val="24"/>
                <w:szCs w:val="24"/>
              </w:rPr>
            </w:r>
            <w:r/>
          </w:p>
        </w:tc>
        <w:tc>
          <w:tcPr>
            <w:tcW w:w="4890"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急性心肌梗死（ST段抬高型，首次住院）（STEMI）</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心力衰竭</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冠状动脉旁路移植术</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房颤（AF）</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主动脉瓣置换术（手术治疗）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二尖瓣置换术(手术治疗）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房间隔缺损手术（手术治疗）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室间隔缺损手术（手术治疗）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脑梗死（首次住院）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短暂性脑缺血发作</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脑出血主要诊断</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脑膜瘤（初发，手术治疗）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胶质瘤（初发，手术治疗）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垂体腺瘤（初发，手术治疗）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急性动脉瘤性蛛网膜下腔出血（初发，手术治疗）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惊厥性癫痫持续状态</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帕金森病</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社区获得性肺炎（成人，首次住院）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社区获得性肺炎（儿童，首次住院）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慢性阻塞性肺疾病（急性发作，住院）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哮喘（成人，急性发作，住院）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哮喘（儿童，住院）</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髋关节置换术</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膝关节置换术</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发育性髋关节发育不良（手术治疗）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剖宫产（CS）</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异位妊娠（手术治疗）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子宫肌瘤（手术治疗）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肺癌（手术治疗）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甲状腺癌（手术治疗）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乳腺癌（手术治疗）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胃癌（手术治疗）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宫颈癌（手术治疗）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糖尿病肾病</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终末期肾病血液透析</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终末期肾病腹膜透析</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舌鳞状细胞癌（手术治疗）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腮腺肿瘤（手术治疗）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口腔种植术</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原发性急性闭角型青光眼（手术治疗）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复杂性视网膜脱离（手术治疗）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围手术期预防感染</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围手术期预防深静脉血栓栓塞</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住院精神疾病</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中高危风险患者预防静脉血栓栓塞症</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感染性休克早期治疗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儿童急性淋巴细胞白血病（初始诱导化疗）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儿童急性早幼粒细胞白血病（初始化疗）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tcW w:w="4050"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甲状腺结节（手术治疗）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HBV感染分娩母婴阻断</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急性呼吸窘迫综合征ARDS</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主动脉腔内修复术EAR</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急性肺血栓栓塞症</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tcW w:w="4050" w:type="dxa"/>
            <w:vAlign w:val="center"/>
            <w:vMerge w:val="restart"/>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急性重症胰腺炎（初始治疗）</w:t>
            </w: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平均住院日</w:t>
            </w:r>
            <w:r>
              <w:rPr>
                <w:rFonts w:hint="eastAsia" w:ascii="宋体" w:hAnsi="宋体" w:eastAsia="宋体" w:cs="宋体"/>
                <w:color w:val="000000"/>
                <w:sz w:val="24"/>
                <w:szCs w:val="24"/>
              </w:rPr>
            </w:r>
            <w:r/>
          </w:p>
        </w:tc>
      </w:tr>
      <w:tr>
        <w:trPr>
          <w:trHeight w:val="29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次均费用</w:t>
            </w:r>
            <w:r>
              <w:rPr>
                <w:rFonts w:hint="eastAsia" w:ascii="宋体" w:hAnsi="宋体" w:eastAsia="宋体" w:cs="宋体"/>
                <w:color w:val="000000"/>
                <w:sz w:val="24"/>
                <w:szCs w:val="24"/>
              </w:rPr>
            </w:r>
            <w:r/>
          </w:p>
        </w:tc>
      </w:tr>
      <w:tr>
        <w:trPr>
          <w:trHeight w:val="305"/>
        </w:trPr>
        <w:tc>
          <w:tcPr>
            <w:tcW w:w="95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tcW w:w="4050"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9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病死率</w:t>
            </w:r>
            <w:r>
              <w:rPr>
                <w:rFonts w:hint="eastAsia" w:ascii="宋体" w:hAnsi="宋体" w:eastAsia="宋体" w:cs="宋体"/>
                <w:color w:val="000000"/>
                <w:sz w:val="24"/>
                <w:szCs w:val="24"/>
              </w:rPr>
            </w:r>
            <w:r/>
          </w:p>
        </w:tc>
      </w:tr>
    </w:tbl>
    <w:p>
      <w:pPr>
        <w:pStyle w:val="866"/>
        <w:numPr>
          <w:ilvl w:val="0"/>
          <w:numId w:val="0"/>
        </w:numPr>
        <w:keepLines w:val="0"/>
        <w:keepNext w:val="0"/>
        <w:pageBreakBefore w:val="0"/>
        <w:spacing w:beforeAutospacing="0" w:afterAutospacing="0"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（4）第五章重点医疗技术临床应用质量控制指标共125个指标，如下：</w:t>
      </w:r>
      <w:r>
        <w:rPr>
          <w:rFonts w:ascii="宋体" w:hAnsi="宋体" w:eastAsia="宋体" w:cs="宋体"/>
          <w:b/>
          <w:bCs/>
          <w:sz w:val="24"/>
          <w:szCs w:val="24"/>
          <w:lang w:val="en-US" w:eastAsia="zh-CN"/>
        </w:rPr>
      </w:r>
      <w:r/>
    </w:p>
    <w:tbl>
      <w:tblPr>
        <w:tblStyle w:val="937"/>
        <w:tblW w:w="98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4065"/>
        <w:gridCol w:w="4847"/>
      </w:tblGrid>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4065"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rPr>
            </w:r>
            <w:r/>
          </w:p>
        </w:tc>
        <w:tc>
          <w:tcPr>
            <w:tcW w:w="4847"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65"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限制性医疗技术的开展情况</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限制性医疗技术的开展情况</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限制性医疗技术数据质量控制</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质控数据上报的完整率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质控数据上报的及时率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质控数据上报的准确率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国家限制类医疗技术</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异基因造血干细胞移植技术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同种胰岛移植技术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同种异体运动系统结构性组织移植技术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同种异体角膜移植技术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性别重置技术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质子和重离子加速器放射治疗技术</w:t>
            </w:r>
            <w:r>
              <w:rPr>
                <w:rFonts w:hint="eastAsia" w:ascii="宋体" w:hAnsi="宋体" w:eastAsia="宋体" w:cs="宋体"/>
                <w:color w:val="000000"/>
                <w:sz w:val="24"/>
                <w:szCs w:val="24"/>
              </w:rPr>
            </w:r>
            <w:r/>
          </w:p>
        </w:tc>
      </w:tr>
      <w:tr>
        <w:trPr>
          <w:trHeight w:val="286"/>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放射性粒子植入治疗技术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肿瘤消融治疗技术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心室辅助技术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人工智能辅助治疗技术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体外膜肺氧合（ECMO）技术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自体器官移植技术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省级限制性医疗技术</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同种异体皮肤移植技术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同种异体皮肤移植技术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颅颌面畸形颅面外科矫治</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口腔颌面部肿瘤颅颌联合根治</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心血管疾病介入诊疗技术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心血管疾病介入诊疗技术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全身高能X线（及钴60γ线）照射技术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人工耳蜗植入术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神经血管介入诊疗技术</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呼吸内镜诊疗技术（四级）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鼻科内镜诊疗技术（四级）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咽喉科内镜诊疗技术（四级）</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消化内镜诊疗技术（四级）</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非移植医院及其医务人员参与的人体器官捐献工作</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向人体器官获取组织报送的潜在器官捐献者人数与院内死亡人数比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实现器官捐献的人数与院内死亡人数比</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lang w:val="en-US" w:eastAsia="zh-CN"/>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移植医院及其医务人员参与的人体器官</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向人体器官获取组织报送的潜在器官捐献者人数与院内死亡人数比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实现器官捐献的人数与院内死亡人数比</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器官移植质控数据上报完整度</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器官移植质控数据上报的及时率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器官移植质控数据上报的准确性</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器官移植（心脏、肝脏、肾脏、肺脏）术后感染发生率</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器官移植（心脏、肝脏、肾脏、肺脏）术后早期死亡率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lang w:val="en-US" w:eastAsia="zh-CN" w:bidi="ar-SA"/>
              </w:rPr>
            </w:r>
            <w:r/>
          </w:p>
        </w:tc>
        <w:tc>
          <w:tcPr>
            <w:tcW w:w="4065"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上消化道内镜检查完整率</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上消化道内镜检查完整率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消化内镜诊疗技术医疗质量控制指标</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结肠镜检查肠道准备优良率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结肠镜盲肠插镜成功率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消化内镜相关严重并发症发生率</w:t>
            </w:r>
            <w:r>
              <w:rPr>
                <w:rFonts w:hint="eastAsia" w:ascii="宋体" w:hAnsi="宋体" w:eastAsia="宋体" w:cs="宋体"/>
                <w:color w:val="000000"/>
                <w:sz w:val="24"/>
                <w:szCs w:val="24"/>
              </w:rPr>
            </w:r>
            <w:r/>
          </w:p>
        </w:tc>
      </w:tr>
      <w:tr>
        <w:trPr>
          <w:trHeight w:val="56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消化道早癌内镜黏膜下剥离术(ESD)完整切除率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心血管内科医疗服务能力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呼吸与危重症学科医疗服务能力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消化内科医疗服务能力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血液内科医疗服务能力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内分泌科医疗服务能力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肾脏内科医疗服务能力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风湿免疫内科医疗服务能力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老年医学科医疗服务能力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普通外科医疗服务能力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胸外科医疗服务能力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心脏大血管外科医疗服务能力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骨科医疗服务能力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烧伤科医疗服务能力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泌尿外科医疗服务能力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整形外科医疗服务能力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血管外科医疗服务能力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麻醉科医疗服务能力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妇科医疗服务能力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感染性疾病科医疗服务能力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眼科医疗服务能力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耳鼻喉头颈外科医疗服务能力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口腔科医疗服务能力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皮肤科医疗服务能力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重症医学科医疗服务能力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肿瘤科医疗服务能力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康复医学科医疗服务能力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疼痛科医疗服务能力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医学影像科医疗服务能力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超声医学科医疗服务能力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介入放射科医疗服务能力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核医学科医疗服务能力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医学检验科医疗服务能力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输血科医疗服务能力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药剂科医疗服务能力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病理科医疗服务能力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r>
        <w:trPr>
          <w:trHeight w:val="29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bidi="ar-SA"/>
              </w:rPr>
            </w:r>
            <w:r/>
          </w:p>
        </w:tc>
        <w:tc>
          <w:tcPr>
            <w:tcW w:w="4065" w:type="dxa"/>
            <w:vAlign w:val="center"/>
            <w:vMerge w:val="restart"/>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营养科医疗服务能力</w:t>
            </w: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一般科室技术开展率</w:t>
            </w:r>
            <w:r>
              <w:rPr>
                <w:rFonts w:hint="eastAsia" w:ascii="宋体" w:hAnsi="宋体" w:eastAsia="宋体" w:cs="宋体"/>
                <w:color w:val="000000"/>
                <w:sz w:val="24"/>
                <w:szCs w:val="24"/>
              </w:rPr>
            </w:r>
            <w:r/>
          </w:p>
        </w:tc>
      </w:tr>
      <w:tr>
        <w:trPr>
          <w:trHeight w:val="302"/>
        </w:trPr>
        <w:tc>
          <w:tcPr>
            <w:tcW w:w="90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bidi="ar-SA"/>
              </w:rPr>
            </w:r>
            <w:r/>
          </w:p>
        </w:tc>
        <w:tc>
          <w:tcPr>
            <w:tcW w:w="4065" w:type="dxa"/>
            <w:vAlign w:val="center"/>
            <w:vMerge w:val="continue"/>
            <w:textDirection w:val="lrTb"/>
            <w:noWrap w:val="false"/>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47"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重点科室技术开展率</w:t>
            </w:r>
            <w:r>
              <w:rPr>
                <w:rFonts w:hint="eastAsia" w:ascii="宋体" w:hAnsi="宋体" w:eastAsia="宋体" w:cs="宋体"/>
                <w:color w:val="000000"/>
                <w:sz w:val="24"/>
                <w:szCs w:val="24"/>
              </w:rPr>
            </w:r>
            <w:r/>
          </w:p>
        </w:tc>
      </w:tr>
    </w:tbl>
    <w:p>
      <w:pPr>
        <w:pStyle w:val="866"/>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（5）第六章经济运营指标共20个指标，如下：</w:t>
      </w:r>
      <w:r>
        <w:rPr>
          <w:rFonts w:hint="eastAsia" w:ascii="宋体" w:hAnsi="宋体" w:eastAsia="宋体" w:cs="宋体"/>
          <w:b/>
          <w:bCs/>
          <w:sz w:val="24"/>
          <w:szCs w:val="24"/>
          <w:lang w:val="en-US" w:eastAsia="zh-CN"/>
        </w:rPr>
      </w:r>
      <w:r/>
    </w:p>
    <w:tbl>
      <w:tblPr>
        <w:tblStyle w:val="937"/>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080"/>
        <w:gridCol w:w="4881"/>
      </w:tblGrid>
      <w:tr>
        <w:trPr>
          <w:trHeight w:val="457"/>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8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rPr>
                <w:rFonts w:hint="eastAsia" w:ascii="宋体" w:hAnsi="宋体" w:eastAsia="宋体" w:cs="宋体"/>
                <w:b/>
                <w:bCs/>
                <w:color w:val="000000"/>
                <w:sz w:val="24"/>
                <w:szCs w:val="24"/>
              </w:rPr>
            </w:r>
            <w:r/>
          </w:p>
        </w:tc>
        <w:tc>
          <w:tcPr>
            <w:tcW w:w="4881"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rPr>
                <w:rFonts w:hint="eastAsia" w:ascii="宋体" w:hAnsi="宋体" w:eastAsia="宋体" w:cs="宋体"/>
                <w:b/>
                <w:bCs/>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资产负债率</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资产负债率</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百元固定资产医疗收入（不含药品、卫生材料收入）</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百元固定资产医疗收入（不含药品、卫生材料收入）</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每职工平均医疗收入（不含药品、卫生材料收入）</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每职工平均医疗收入（不含药品、卫生材料收入）</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门诊收入占医疗收入比例</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住院收入占医疗收入比例</w:t>
            </w:r>
            <w:r>
              <w:rPr>
                <w:rFonts w:hint="eastAsia" w:ascii="宋体" w:hAnsi="宋体" w:eastAsia="宋体" w:cs="宋体"/>
                <w:color w:val="000000"/>
                <w:sz w:val="24"/>
                <w:szCs w:val="24"/>
              </w:rPr>
            </w:r>
            <w:r/>
          </w:p>
        </w:tc>
      </w:tr>
      <w:tr>
        <w:trPr>
          <w:trHeight w:val="777"/>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医疗服务收入（不含药品、卫生材料、检查检验收入）占医疗收入比例</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医疗服务收入（不含药品、卫生材料、检查检验收入）占医疗收入比例</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药品收入占比</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药品收入占比</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卫生材料收入占比</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卫生材料收入占比</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人员支出占业务支出比重</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人员支出占业务支出比重</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万元收入能耗支出</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万元收入能耗支出</w:t>
            </w:r>
            <w:r>
              <w:rPr>
                <w:rFonts w:hint="eastAsia" w:ascii="宋体" w:hAnsi="宋体" w:eastAsia="宋体" w:cs="宋体"/>
                <w:color w:val="000000"/>
                <w:sz w:val="24"/>
                <w:szCs w:val="24"/>
              </w:rPr>
            </w:r>
            <w:r/>
          </w:p>
        </w:tc>
      </w:tr>
      <w:tr>
        <w:trPr>
          <w:trHeight w:val="52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百元医疗收入（不含药品收入）消耗卫生材料费用</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百元医疗收入（不含药品收入）消耗卫生材料费用</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医疗盈余率</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医疗盈余率</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医疗收入增幅</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医疗收入增幅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门诊次均费用增幅</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门诊次均药品费用增幅</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门诊次均药品费用增幅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住院次均费用增幅</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住院次均药品费用增幅</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住院次均药品费用增幅</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预算收入执行率</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预算收入执行率</w:t>
            </w:r>
            <w:r>
              <w:rPr>
                <w:rFonts w:hint="eastAsia" w:ascii="宋体" w:hAnsi="宋体" w:eastAsia="宋体" w:cs="宋体"/>
                <w:color w:val="000000"/>
                <w:sz w:val="24"/>
                <w:szCs w:val="24"/>
              </w:rPr>
            </w:r>
            <w:r/>
          </w:p>
        </w:tc>
      </w:tr>
      <w:tr>
        <w:trPr>
          <w:trHeight w:val="271"/>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预算支出执行率</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预算支出执行率</w:t>
            </w:r>
            <w:r>
              <w:rPr>
                <w:rFonts w:hint="eastAsia" w:ascii="宋体" w:hAnsi="宋体" w:eastAsia="宋体" w:cs="宋体"/>
                <w:color w:val="000000"/>
                <w:sz w:val="24"/>
                <w:szCs w:val="24"/>
              </w:rPr>
            </w:r>
            <w:r/>
          </w:p>
        </w:tc>
      </w:tr>
      <w:tr>
        <w:trPr>
          <w:trHeight w:val="280"/>
        </w:trPr>
        <w:tc>
          <w:tcPr>
            <w:tcW w:w="870"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4080"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管理费用率</w:t>
            </w:r>
            <w:r>
              <w:rPr>
                <w:rFonts w:hint="eastAsia" w:ascii="宋体" w:hAnsi="宋体" w:eastAsia="宋体" w:cs="宋体"/>
                <w:color w:val="000000"/>
                <w:sz w:val="24"/>
                <w:szCs w:val="24"/>
              </w:rPr>
            </w:r>
            <w:r/>
          </w:p>
        </w:tc>
        <w:tc>
          <w:tcPr>
            <w:tcW w:w="4881" w:type="dxa"/>
            <w:vAlign w:val="center"/>
            <w:textDirection w:val="lrTb"/>
            <w:noWrap/>
          </w:tcPr>
          <w:p>
            <w:pPr>
              <w:pStyle w:val="866"/>
              <w:jc w:val="both"/>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管理费用率</w:t>
            </w:r>
            <w:r>
              <w:rPr>
                <w:rFonts w:hint="eastAsia" w:ascii="宋体" w:hAnsi="宋体" w:eastAsia="宋体" w:cs="宋体"/>
                <w:color w:val="000000"/>
                <w:sz w:val="24"/>
                <w:szCs w:val="24"/>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1.1指标信息配置服务</w:t>
      </w:r>
      <w:r>
        <w:rPr>
          <w:rFonts w:hint="eastAsia" w:ascii="宋体" w:hAnsi="宋体" w:eastAsia="宋体" w:cs="宋体"/>
          <w:b/>
          <w:sz w:val="24"/>
          <w:szCs w:val="24"/>
          <w:lang w:val="en-US" w:eastAsia="zh-CN" w:bidi="ar-SA"/>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本项目要求供应商围绕医院等级评审第二部分医疗服务能力与质量安全监测数据部分内容，科学配置指标体系，具体指标内容参考《江苏省三级综合医院评审标准实施细则（2023版）》及《三级医院评审标准（2025年版）》</w:t>
      </w:r>
      <w:r>
        <w:rPr>
          <w:rFonts w:hint="eastAsia" w:ascii="宋体" w:hAnsi="宋体" w:eastAsia="宋体" w:cs="宋体"/>
          <w:b/>
          <w:bCs/>
          <w:sz w:val="24"/>
          <w:szCs w:val="24"/>
          <w:highlight w:val="none"/>
          <w:u w:val="single"/>
          <w:lang w:val="en-US" w:eastAsia="zh-CN"/>
        </w:rPr>
        <w:t xml:space="preserve">（</w:t>
      </w:r>
      <w:r>
        <w:rPr>
          <w:rFonts w:hint="eastAsia" w:ascii="宋体" w:hAnsi="宋体" w:eastAsia="宋体" w:cs="宋体"/>
          <w:b/>
          <w:bCs/>
          <w:sz w:val="24"/>
          <w:szCs w:val="24"/>
          <w:highlight w:val="none"/>
          <w:u w:val="single"/>
          <w:lang w:val="en-US" w:eastAsia="zh-CN"/>
        </w:rPr>
        <w:t xml:space="preserve">因本项目存在特殊性，项目后期具体实施将结合参照最新发布的《江苏省三级综合医院评审标准实施细则》执行。</w:t>
      </w:r>
      <w:r>
        <w:rPr>
          <w:rFonts w:hint="eastAsia" w:ascii="宋体" w:hAnsi="宋体" w:eastAsia="宋体" w:cs="宋体"/>
          <w:b/>
          <w:bCs/>
          <w:sz w:val="24"/>
          <w:szCs w:val="24"/>
          <w:highlight w:val="none"/>
          <w:u w:val="single"/>
          <w:lang w:val="en-US" w:eastAsia="zh-CN"/>
        </w:rPr>
        <w:t xml:space="preserve">）</w:t>
      </w:r>
      <w:r>
        <w:rPr>
          <w:rFonts w:hint="eastAsia" w:ascii="宋体" w:hAnsi="宋体" w:eastAsia="宋体" w:cs="宋体"/>
          <w:b w:val="0"/>
          <w:bCs w:val="0"/>
          <w:sz w:val="24"/>
          <w:szCs w:val="24"/>
          <w:lang w:val="en-US" w:eastAsia="zh-CN"/>
        </w:rPr>
        <w:t xml:space="preserve">。严格按照医院等级评审指标框架，涵盖资源配置与运行数据指标、医疗服务能力与医院质量安全指标、重点专业质量控制指标等指标，对指标的访问和操作进行权限管理，以确保数据的安全性和保密性，同时根据指标拆分的分子、分母及相关项，配置主指标计算公式及附加计算，供应商应对细项计算公式进行自定义配置（加减乘除等运算公式），指标计算口径与医院等级评审细则标准完全对标，确保公式的准确性和可靠性。</w:t>
      </w:r>
      <w:r>
        <w:rPr>
          <w:rFonts w:hint="eastAsia" w:ascii="宋体" w:hAnsi="宋体" w:eastAsia="宋体" w:cs="宋体"/>
          <w:b/>
          <w:bCs/>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1.2指标数据采集服务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能够通过数据采集工具将院内分散在不同系统、不同科室的考核指标相关的数据通过清洗、转换、加载汇聚到主题库中，在数据汇聚的过程中，对数据质量进行校验，增量数据能够及时获取，数据不遗漏，数据安全可控，确保能为后续数据分析和挖掘提供及时精准的基础数据支撑。</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1.3指标数据可视化</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对指标体系进行指标分类，时间分类等多维分析，能够查看当前值、目标值、负责科室、同期值、同比、上期值、环比等信息，基于医院等级评审分类，构建柱状图、趋势图等可视化图表，直观呈现医院等级评审指标变化情况，还能进一步下钻到诊疗组、医生、患者维度分析。选取同等级、同类型医院作为标杆，对比分析关键指标差异，定位管理短板与改进方向。</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1.4指标数据预警提醒</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医院历史数据及行业基准值要求，供应商需为医院设定个性化的指标预警阈值。当某项指标数据触发预警阈值时，通过平台推送、短信、邮件等多渠道即时向医院对接人发送预警提醒，明确预警指标名称、当前数值及预警阈值，确保医院第一时间知晓指标异常情况，避免问题扩大化。</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发送预警提醒的同时，针对触发预警的指标开展专项分析。从数据关联性、时间维度、影响因素三个层面深入挖掘预警原因，形成《指标数据预警分析简报》。简报中清晰呈现预警概况，还附相关数据图表辅助理解，为医院快速制定应对措施提供方向指引，并定期梳理预警分析案例，提炼共性问题与解决思路，形成经验档案，提升后续分析效率与准确性。</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1.5数据问题排查</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数据变化全程由供应商负责监测与记录，实时跟踪各项指标数据的变化情况，及时发现新问题与潜在风险，并在后续的月报中进行反馈与分析，确保医院能够及时掌握自身运营状况的动态变化。</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1.6月度分析报告</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月为医院提供一份调研月报，报告不仅涵盖医院各项指标数据的数值详情，对全院/科室指标的达标与未达标情况进行展示，将不同科室进行目标值对比，明确医院在各科室中的优势与不足，还将深入分析数据内涵，在月度会议中根据月度报告，工程师对本月数值为0或不准确的情况进行集中解读，解答医院及科室提出的疑问，确保分析结论被充分理解。</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1.7协同整改服务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供应商每月根据月度报告与医院组织召开专题会议，与医院管理层、各科室负责人等相关人员进行深入交流，共同探讨报告中反映出的问题，听取医院方面的意见与需求，确保对问题的理解全面准确。​</w:t>
      </w:r>
      <w:r>
        <w:rPr>
          <w:rFonts w:hint="eastAsia" w:ascii="宋体" w:hAnsi="宋体" w:eastAsia="宋体" w:cs="宋体"/>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供应商提供专业人员配合医院开展调研工作，若发现某项数值较低，立即与具体科室进行沟通，全面了解科室在该指标相关工作中的实际情况，挖掘问题产生的深层次原因。</w:t>
      </w:r>
      <w:r>
        <w:rPr>
          <w:rFonts w:hint="eastAsia" w:ascii="宋体" w:hAnsi="宋体" w:eastAsia="宋体" w:cs="宋体"/>
          <w:b/>
          <w:bCs/>
          <w:sz w:val="24"/>
          <w:szCs w:val="24"/>
          <w:lang w:val="en-US" w:eastAsia="zh-CN"/>
        </w:rPr>
      </w:r>
      <w:r/>
    </w:p>
    <w:p>
      <w:pPr>
        <w:pStyle w:val="866"/>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2、医院专业（专科）类指标服务需求</w:t>
      </w:r>
      <w:r>
        <w:rPr>
          <w:rFonts w:hint="eastAsia" w:ascii="宋体" w:hAnsi="宋体" w:eastAsia="宋体" w:cs="宋体"/>
          <w:b/>
          <w:bCs/>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本指标管理服务要求供应商聚焦医院在医院专业（专科）类指标建设中面临的数据异常、成绩差异等问题，通过专业、深入的服务，助力医院精准定位问题，优化管理策略，提升整体成绩与竞争力。</w:t>
      </w:r>
      <w:r>
        <w:rPr>
          <w:rFonts w:hint="eastAsia" w:ascii="宋体" w:hAnsi="宋体" w:eastAsia="宋体" w:cs="宋体"/>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要求供应商围绕《医疗质量管理与控制指标汇编8.0版》专业（专科）类内容，共建设29项专业指标内容，具体如下：</w:t>
      </w:r>
      <w:r>
        <w:rPr>
          <w:rFonts w:hint="eastAsia" w:ascii="宋体" w:hAnsi="宋体" w:eastAsia="宋体" w:cs="宋体"/>
          <w:b/>
          <w:bCs/>
          <w:sz w:val="24"/>
          <w:szCs w:val="24"/>
          <w:lang w:val="en-US" w:eastAsia="zh-CN"/>
        </w:rPr>
        <w:t xml:space="preserve">（1）临床检验专业医疗质量控制指标（2025年版）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9"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标本类型错误率（CL-01）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标本容器错误率（CL-02）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标本采集量错误率（CL-03）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血培养污染率（CL-04）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抗凝标本凝集率（CL-05）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标本拒收率（CL-06）</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室内质控项目开展率（CL-07）</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室内质控项目变异系数不合格率（CL-08）</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室间质评项目参加率（CL-09）</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室间质评项目合格率（CL-10）</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检验项目替代评价方法使用率（CL-11）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检验总周转时间第90百分位数（CL-12）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检验报告不正确率（CL-13）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危急值通报率（CL-14）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危急值通报及时率（CL-15）</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（2）药事管理专业医疗质量控制指标（2025年版）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982"/>
        <w:gridCol w:w="2980"/>
        <w:gridCol w:w="2961"/>
      </w:tblGrid>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3"/>
            <w:tcW w:w="8923" w:type="dxa"/>
            <w:vAlign w:val="center"/>
            <w:textDirection w:val="lrTb"/>
            <w:noWrap w:val="false"/>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医师人数与药师人数之比（PHA-01）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每百张床位临床药师人数（PHA-02）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处方审核率（PHA-03）</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住院患者用药医嘱审核率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处方点评情况（PHA-04）</w:t>
            </w: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处方点评率（PHA-04-01）</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重点监控合理用药药品住院患者用药医嘱点评率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处方合理率（PHA-04-02）</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门诊处方合理率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急诊处方合理率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住院患者用药医嘱合理率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重点监控合理用药药品住院患者用药医嘱合理率</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住院患者药学监护率（PHA-05）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住院患者静脉用药情况（PHA-06）</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住院患者静脉输液使用率（PHA-06-01）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住院患者静脉输液床日占比（PHA-06-02）</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住院患者静脉输液平均每床日使用体积（PHA-06-03）</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Ⅰ类切口手术经静脉预防使用抗菌药物时长≤24小时比例（PHA-06-04）</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Ⅱ类切口手术经静脉预防使用抗菌药物时长≤24小时比例（PHA-06-05）</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住院患者人均静脉用药品种数（PHA-06-06）</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住院患者静脉输液泵使用率（PHA-06-07）</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49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住院患者抗菌药物使用情况（PHA-07）</w:t>
            </w:r>
            <w:r>
              <w:rPr>
                <w:rFonts w:hint="eastAsia" w:ascii="宋体" w:hAnsi="宋体" w:eastAsia="宋体" w:cs="宋体"/>
                <w:i w:val="0"/>
                <w:iCs w:val="0"/>
                <w:color w:val="000000"/>
                <w:sz w:val="24"/>
                <w:szCs w:val="24"/>
                <w:u w:val="none"/>
              </w:rPr>
            </w:r>
            <w:r/>
          </w:p>
        </w:tc>
        <w:tc>
          <w:tcPr>
            <w:gridSpan w:val="2"/>
            <w:tcW w:w="594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住院患者抗菌药物使用率（PHA-07-01）</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住院患者抗菌药物使用强度（DDDs）（PHA-07-02）</w:t>
            </w: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住院患者抗菌药物使用强度（DDDs）</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49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9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住院患者特殊使用级抗菌药物使用强度（DDDs）</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严重或新的药品不良反应上报比例（PHA-08）</w:t>
            </w:r>
            <w:r>
              <w:rPr>
                <w:rFonts w:hint="eastAsia" w:ascii="宋体" w:hAnsi="宋体" w:eastAsia="宋体" w:cs="宋体"/>
                <w:i w:val="0"/>
                <w:iCs w:val="0"/>
                <w:color w:val="000000"/>
                <w:sz w:val="24"/>
                <w:szCs w:val="24"/>
                <w:u w:val="none"/>
              </w:rPr>
            </w:r>
            <w:r/>
          </w:p>
        </w:tc>
      </w:tr>
      <w:tr>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gridSpan w:val="3"/>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用药错误报告率（PHA-09）</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（3）病理专业医疗质量控制指标（2024年版）</w:t>
      </w:r>
      <w:r>
        <w:rPr>
          <w:rFonts w:hint="eastAsia" w:ascii="宋体" w:hAnsi="宋体" w:eastAsia="宋体" w:cs="宋体"/>
          <w:b/>
          <w:bCs/>
          <w:sz w:val="24"/>
          <w:szCs w:val="24"/>
          <w:lang w:val="en-US" w:eastAsia="zh-CN"/>
        </w:rPr>
      </w:r>
      <w:r/>
    </w:p>
    <w:tbl>
      <w:tblPr>
        <w:tblW w:w="49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5"/>
      </w:tblGrid>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每百张床位病理医师数（PATH-01）</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每百张床位病理技术人员数（PATH-02）</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标本规范化固定率（PATH-03）</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苏木精-伊红染色法（HematoxylinEosinstaining，HE）染色切片优良率（PATH-04）</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免疫组化染色切片优良率（PATH-05）</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术中快速诊断及时率（PATH-06）</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组织病理诊断及时率（PATH-07）</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细胞病理诊断及时率（PATH-08）</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分子病理检测室内质控合格率（PATH-09）</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免疫组化染色室间质评合格率（PATH-10）</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分子病理室间质评合格率（PATH-11）</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细胞学病理诊断质控符合率（PATH-12）</w:t>
            </w:r>
            <w:r>
              <w:rPr>
                <w:rFonts w:hint="eastAsia" w:ascii="宋体" w:hAnsi="宋体" w:eastAsia="宋体" w:cs="宋体"/>
                <w:i w:val="0"/>
                <w:iCs w:val="0"/>
                <w:color w:val="000000"/>
                <w:sz w:val="24"/>
                <w:szCs w:val="24"/>
                <w:u w:val="none"/>
              </w:rPr>
            </w:r>
            <w:r/>
          </w:p>
        </w:tc>
      </w:tr>
      <w:tr>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术中快速诊断与石蜡诊断符合率（PATH-13）</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（4）心血管系统疾病相关专业医疗质量控制指标（2021年版）</w:t>
      </w:r>
      <w:r>
        <w:rPr>
          <w:rFonts w:hint="eastAsia" w:ascii="宋体" w:hAnsi="宋体" w:eastAsia="宋体" w:cs="宋体"/>
          <w:b/>
          <w:bCs/>
          <w:sz w:val="24"/>
          <w:szCs w:val="24"/>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1260"/>
        <w:gridCol w:w="7666"/>
      </w:tblGrid>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急性ST段抬高型心肌梗死</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急性ST段抬高型心肌梗死（STEMI）患者到院10分钟内完成12导联（及以上）心电图检查率（CVD-STEMI-01）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急性STEMI患者到院1小时内阿司匹林治疗率（CVD-STEMI-02）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急性STEMI患者到院1小时内P2Y12受体拮抗剂治疗率（CVDSTEMI-03）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发病24小时内急性STEMI患者再灌注治疗率（CVD-STEMI-04）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发病24小时内急性STEMI患者到院90分钟内进行直接经皮冠状动脉介入治疗（PCI）的比例（CVD-STEMI-05）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发病24小时内急性STEMI患者到院30分钟内给予静脉溶栓治疗的比例（CVD-STEMI-06）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急性STEMI患者到院24小时内β受体阻滞剂治疗率（CVDSTEMI-07）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急性STEMI患者住院期间应用超声心动图（UCG）评价左心室射血分数（LVEF）的比例（CVD-STEMI-08）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急性STEMI患者出院阿司匹林使用率（CVD-STEMI-09）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急性STEMI患者出院P2Y12受体拮抗剂使用率（CVD-STEMI-10）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急性STEMI患者出院β受体阻滞剂使用率（CVD-STEMI-11）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急性STEMI患者出院血管紧张素转换酶抑制剂（ACEI）或血管紧张素Ⅱ受体拮抗剂（ARB）使用率（CVD-STEMI-12）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急性STEMI患者出院他汀类药物使用率（CVD-STEMI-13）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急性STEMI患者住院死亡率（CVD-STEMI-14）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急性STEMI患者出院后30天内非计划再入院率（CVD-STEMI-15）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急性STEMI患者30天死亡率（CVD-STEMI-16）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心房颤动</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非瓣膜性心房颤动（房颤）患者血栓栓塞风险评估率（CVD-AF-01）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非瓣膜性房颤患者出院抗凝药物使用率（CVD-AF-02）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瓣膜性房颤患者出院华法林使用率（CVD-AF-03）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房颤患者出血风险评估率（CVD-AF-04）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房颤患者左心耳封堵术并发症发生率（CVD-AF-05）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心力衰竭患者入院24小时内利钠肽检测率（CVD-HF-01）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心力衰竭患者入院48小时内心脏功能评估率（CVD-HF-02）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心力衰竭伴容量超负荷患者住院期间利尿剂治疗率（CVD-HF-03）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心力衰竭患者出院血管紧张素转化酶抑制剂（ACEI）或血管紧张素受体阻断剂（ARB）或血管紧张素受体脑啡肽酶抑制剂（ARNI）使用率（CVD-HF-04）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心力衰竭患者出院β受体阻滞剂使用率（CVD-HF-05）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心力衰竭患者出院醛固酮受体拮抗剂使用率（CVD-HF-06）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心力衰竭患者住院期间心脏再同步化治疗（CRT）使用率（CVD-HF-07）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心力衰竭患者住院死亡率（CVD-HF-08）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心力衰竭患者出院30天随访率（CVD-HF-09）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心力衰竭患者出院后30天内心力衰竭再入院率（CVD-HF-10）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心力衰竭患者出院后30天死亡率（CVD-HF-11）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动态血压监测率（CVD-HT-01）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心血管风险评估率（CVD-HT-02）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原发性醛固酮增多症肾素醛固酮检测规范率（CVD-PA-03）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原发性醛固酮增多症确诊试验开展率（CVD-PA-04）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冠状动脉旁路移植术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单纯冠状动脉旁路移植术住院死亡率（CVD-CABG-01）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单纯冠状动脉旁路移植术后机械通气时间大于等于24小时发生率（CVD-CABG-02）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单纯冠状动脉旁路移植术后胸骨深部感染发生率（CVD-CABG-03）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单纯冠状动脉旁路移植术后脑卒中发生率（CVD-CABG-04）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单纯冠状动脉旁路移植术非计划二次手术率（CVD-CABG-05）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单纯冠状动脉旁路移植术后急性肾衰竭发生率（CVD-CABG-06）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单纯冠状动脉旁路移植术前24小时β受体阻滞剂使用率（CVDCABG-07）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单纯冠状动脉旁路移植术围术期输血率（CVD-CABG-08）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单纯冠状动脉旁路移植术中乳内动脉血管桥使用率（CVD-CABG-09）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单纯冠状动脉旁路移植术后24小时内阿司匹林使用率（CVD-CABG-10）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单纯冠状动脉旁路移植术出院他汀类药物使用率（CVD-CABG-11）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单纯冠状动脉旁路移植术出院阿司匹林使用率（CVD-CABG-12）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单纯冠状动脉旁路移植术出院β受体阻滞剂使用率（CVD-CABG-13）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二尖瓣手术住院死亡率（CVD-MVS-01）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二尖瓣手术后机械通气时间大于等于24小时发生率（CVD-MVS-02）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二尖瓣手术后胸骨深部感染发生率（CVD-MVS-03）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二尖瓣手术后脑卒中发生率（CVD-MVS-04）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二尖瓣手术非计划二次手术率（CVD-MVS-05）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二尖瓣手术后急性肾衰竭发生率（CVD-MVS-06）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因退行性病变导致二尖瓣关闭不全的患者二尖瓣修复术治疗率（CVD-MVS-07）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二尖瓣手术出院抗凝药物使用率（CVD-MVS-08）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二尖瓣手术术中经食道超声使用率（CVD-MVS-09）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主动脉瓣手术住院死亡率（CVD-AVS-01）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主动脉瓣手术后机械通气时间大于等于24小时发生率（CVD-AVS-02）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主动脉瓣手术后胸骨深部感染发生率（CVD-AVS-03）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主动脉瓣手术后脑卒中发生率（CVD-AVS-04）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主动脉瓣手术非计划二次手术率（CVD-AVS-05）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主动脉瓣手术后急性肾衰竭发生率（CVD-AVS-06）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主动脉瓣手术出院抗凝药物使用率（CVD-AVS-07）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主动脉瓣手术术中经食道超声使用率（CVD-AVS-08）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主动脉瓣置换术人工瓣有效瓣膜面积指数大于0.85cm2/m2发生率（CVD-AVS-09）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主动脉腔内修复术住院死亡率（CVD-EAR-01）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主动脉腔内修复术后机械通气时间大于等于24小时发生率（CVD-EAR-02）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主动脉腔内修复术非计划二次手术率（CVD-EAR-03）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主动脉腔内修复术后内漏发生率（CVD-EAR-04）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主动脉腔内修复术后脑卒中发生率（CVD-EAR-05）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主动脉腔内修复术后急性肾衰竭发生率（CVD-EAR-06）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主动脉腔内修复术后脊髓损伤发生率（CVD-EAR-07）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主动脉腔内修复术后心肌梗死发生率（CVD-EAR-08）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主动脉腔内修复术30天内CTA复查率（CVD-EAR-09）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主动脉腔内修复术后30天随访率（CVD-EAR-10）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主动脉腔内修复术前β受体阻滞剂使用率（CVD-EAR-11）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主动脉腔内修复术前他汀类药物使用率（CVD-EAR-12）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先心病介入治疗成功率（CVD-CHD-01）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先心病介入治疗后严重房室传导阻滞发生率（CVD-CHD-02）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先心病介入治疗封堵器移位或脱落发生率（CVD-CHD-03）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先心病介入治疗溶血发生率（CVD-CHD-04）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先心病介入治疗心脏压塞发生率（CVD-CHD-05）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先心病介入治疗输血率（CVD-CHD-06）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先心病介入治疗非计划二次手术率（CVD-CHD-07）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先心病介入治疗住院死亡率（CVD-CHD-08）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冠心病介入治疗技术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冠脉介入治疗术后即刻冠状动脉造影成功率（CVD-PCI-01）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冠脉介入治疗临床成功率（CVD-PCI-02）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冠脉介入治疗住院死亡率（CVD-PCI-03）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择期冠脉介入治疗住院死亡率（CVD-PCI-04）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冠脉介入治疗严重并发症发生率（CVD-PCI-05）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STEMI患者发病12小时内接受直接PCI率（CVD-PCI-06）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行直接PCI的STEMI患者到院至导丝通过靶血管（DTD）平均时间（CVD-PCI-07）</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接受PCI治疗的非ST段抬高型急性冠脉综合征（NSTEACS）患者进行危险分层的比率（CVD-PCI-08）</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例次平均支架数（CVD-PCI-09）</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冠脉介入治疗术前双重抗血小板药物使用率（CVD-PCI-10）</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冠脉介入治疗住院期间他汀类药物使用率（CVD-PCI-11）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心律失常介入治疗技术</w:t>
            </w: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心脏植入型电子器械（CIED）植入术住院死亡率（CVD-CIED-01）</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CIED植入术心脏压塞发生率（CVD-CIED-02）</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CIED植入术导线脱位发生率（CVD-CIED-03）</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阵发性室上性心动过速（PSVT）导管消融治疗成功率（CVD-CAIT-04）</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导管消融治疗后严重房室传导阻滞发生率（CVD-CAIT-05）</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导管消融治疗心脏压塞发生率（CVD-CAIT-06）</w:t>
            </w:r>
            <w:r>
              <w:rPr>
                <w:rFonts w:hint="eastAsia" w:ascii="宋体" w:hAnsi="宋体" w:eastAsia="宋体" w:cs="宋体"/>
                <w:i w:val="0"/>
                <w:iCs w:val="0"/>
                <w:color w:val="000000"/>
                <w:sz w:val="24"/>
                <w:szCs w:val="24"/>
                <w:u w:val="none"/>
              </w:rPr>
            </w:r>
            <w:r/>
          </w:p>
        </w:tc>
      </w:tr>
      <w:tr>
        <w:trPr/>
        <w:tc>
          <w:tcPr>
            <w:tcW w:w="10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6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导管消融治疗住院死亡率（CVD-CAIT-07）</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（5）康复医学专业医疗质量控制指标（2022 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4607"/>
        <w:gridCol w:w="4314"/>
      </w:tblGrid>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康复医学科床位占比（REH-RES-01）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康复医学科医师床配比（REH-HR-01）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康复医学科护士床配比（REH-HR-02）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康复医学科治疗师床配比（REH-HR-03）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脑卒中患者早期康复介入率（REH-ER-01）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脊髓损伤患者早期康复介入率（REH-ER-02）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髋、膝关节置换术后患者早期康复介入率（REH-ER-03）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日常生活活动能力（ADL）改善率（REH-ADL-01）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脊髓损伤患者 ADL 改善率（REH-ADL-02）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脑卒中患者 ADL 改善率（REH-ADL-03）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31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康复评定率</w:t>
            </w: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脑卒中患者运动功能评定率（REH-EVA-01）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脑卒中患者言语功能评定率（REH-EVA-02）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脑卒中患者吞咽功能评定率（REH-EVA-03）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脊髓损伤患者神经功能评定率（REH-EVA-04）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髋、膝关节置换术后患者功能评定率（REH-EVA-05）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21" w:type="dxa"/>
            <w:vAlign w:val="center"/>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住院患者静脉输液使用率（REH-IVG-01）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231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并发症和不良事件发生率及预防实施率</w:t>
            </w: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脑卒中后肩痛发生率（REH-AE-01）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脑卒中后肩痛预防实施率（REH-AE-02）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脊髓损伤患者泌尿系感染发生率（REH-AE-03）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脊髓损伤神经源性膀胱患者间歇性导尿实施率（REH-AE-04）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住院患者静脉血栓栓塞症发生率（REH-AE-05）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313" w:type="dxa"/>
            <w:vAlign w:val="center"/>
            <w:vMerge w:val="continue"/>
            <w:textDirection w:val="lrTb"/>
            <w:noWrap w:val="false"/>
          </w:tcPr>
          <w:p>
            <w:pPr>
              <w:pStyle w:val="866"/>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住院患者静脉血栓栓塞症规范预防率（REH-AE-06）</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（6）麻醉专业医疗质量控制指标（2022 年版）</w:t>
      </w:r>
      <w:r>
        <w:rPr>
          <w:rFonts w:hint="eastAsia" w:ascii="宋体" w:hAnsi="宋体" w:eastAsia="宋体" w:cs="宋体"/>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44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9"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麻醉科医护比（AQI-DNR-01）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麻醉医师人均年麻醉例次数（AQI-ACC-02）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手术室外麻醉占比（AQI-PAO-03）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择期手术麻醉前访视率（AQI-PVR-04）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入室后手术麻醉取消率（AQI-CRB-05）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麻醉开始后手术取消率（AQI-CRA-06）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全身麻醉术中体温监测率（AQI-TMR-07）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术中主动保温率（AQI-AWR-08）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术中自体血输注率（AQI-ATR-09）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手术麻醉期间低体温发生率（AQI-IHT-10）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术中牙齿损伤发生率（AQI-IDI-11）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麻醉期间严重反流误吸发生率（AQI-IRA-12）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计划外建立人工气道发生率（AQI-IUA-13）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术中心脏骤停率（AQI-ICA-14）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麻醉期间严重过敏反应发生率（AQI-ISA-15）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全身麻醉术中知晓发生率（AQI-IAG-16）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PACU 入室低体温发生率（AQI-IHP-17）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 PACU 转出延迟率（AQI-IDP-18）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非计划二次气管插管率（AQI-IUR-19）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非计划转入 ICU 率（AQI-IUI-20）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术后镇痛满意率（AQI-ASR-21）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区域阻滞麻醉后严重神经并发症发生率（AQI-ISN-22）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全身麻醉气管插管拔管后声音嘶哑发生率（AQI-IHE-23）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麻醉后新发昏迷发生率（AQI-INC-24）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麻醉后 24 小时内患者死亡率（AQI-TPM-25）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阴道分娩椎管内麻醉使用率（AQI-EPD-26）</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（7）呼吸内科专业医疗质量控制指标（2019 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2040"/>
        <w:gridCol w:w="6866"/>
      </w:tblGrid>
      <w:tr>
        <w:trPr>
          <w:trHeight w:val="340"/>
        </w:trPr>
        <w:tc>
          <w:tcPr>
            <w:tcW w:w="528" w:type="dxa"/>
            <w:vAlign w:val="center"/>
            <w:textDirection w:val="lrTb"/>
            <w:noWrap/>
          </w:tcPr>
          <w:p>
            <w:pPr>
              <w:pStyle w:val="866"/>
              <w:numPr>
                <w:ilvl w:val="0"/>
                <w:numId w:val="0"/>
              </w:numPr>
              <w:jc w:val="cente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gridSpan w:val="2"/>
            <w:tcW w:w="8906" w:type="dxa"/>
            <w:vAlign w:val="center"/>
            <w:textDirection w:val="lrTb"/>
            <w:noWrap/>
          </w:tcPr>
          <w:p>
            <w:pPr>
              <w:pStyle w:val="866"/>
              <w:numPr>
                <w:ilvl w:val="0"/>
                <w:numId w:val="0"/>
              </w:numPr>
              <w:jc w:val="cente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指标名称</w:t>
            </w:r>
            <w:r>
              <w:rPr>
                <w:rFonts w:hint="eastAsia" w:ascii="宋体" w:hAnsi="宋体" w:eastAsia="宋体" w:cs="宋体"/>
                <w:b/>
                <w:bCs/>
                <w:sz w:val="24"/>
                <w:szCs w:val="24"/>
                <w:lang w:val="en-US" w:eastAsia="zh-CN"/>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急性肺血栓栓塞症</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急性肺血栓栓塞症（PTE）患者确诊检查比例（RES-PTE-01）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患者行深静脉血栓相关检查比例（RES-PTE-02）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患者行危险分层相关检查比例（RES-PTE-03）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住院期间行溶栓治疗的高危急性 PTE 患者比例（RES-PTE-04）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患者住院期间抗凝治疗比例（RES-PTE-05）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患者住院死亡率（RES-PTE-06）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 PTE 患者住院期间发生大出血比例（RES-PTE-07）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慢性阻塞性肺疾病急性加重</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慢阻肺急性加重患者住院期间行动脉血气分析比例（RES COPD-01）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慢阻肺急性加重患者住院期间胸部影像学检查比例（RES COPD-02）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慢阻肺急性加重患者住院期间心电图检查比例（RES-COPD-03）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慢阻肺急性加重患者住院期间超声心动图检查比例（RES COPD-04）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慢阻肺急性加重患者住院期间抗感染治疗前病原学送检比例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（RES-COPD-05）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慢阻肺急性加重患者住院期间雾化吸入支气管扩张剂应用比例（RES-COPD-06）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慢阻肺急性加重患者住院死亡率（RES-COPD-07）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使用有创机械通气的慢阻肺急性加重患者死亡率（RES-COPD-08）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02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住院成人社区获得性肺炎</w:t>
            </w: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住院成人社区获得性肺炎（CAP）患者进行 CAP 严重程度评估的比例（RES-CAP-01）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低危 CAP 患者住院比例（RES-CAP-02）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CAP 患者住院期间抗感染治疗前病原学送检比例（RES-CAP-03）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CAP 患者住院死亡率（RES-CAP-04）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02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4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 CAP 患者接受机械通气的比例（RES-CAP-05）</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（8）疼痛专业医疗质量控制指标（2023年版）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41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疼痛科医师床位比（PM-SI-01）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疼痛科护士床位比（PM-SI-02）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住院患者入院8h内疼痛程度评估完成率（PM-SI-03）</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带状疱疹后神经痛（PHN）初诊患者一线药物使用率（PM-PHN-01）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PHN治疗有效率（PM-PHN-02）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PHN患者手术并发症发生率（PM-PHN-03）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PHN患者精神心理评估率（PM-PHN-04）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癌症疼痛患者24h内疼痛全面评估完成率（PM-CP-01）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中重度癌症疼痛患者阿片类药物使用率（PM-CP-02）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癌症疼痛治疗有效率（PM-CP-03）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癌症疼痛患者术后院内死亡率（PM-CP-04）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中重度癌症疼痛患者7天随访率（PM-CP-05）</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（9）病案管理质量控制指标 （2021年版）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555"/>
        <w:gridCol w:w="6350"/>
      </w:tblGrid>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人力资源配置指标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住院病案管理人员月均负担出院患者病历数（MER-HR-01）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门诊病案管理人员月均负担门诊患者病历数（MER-HR-02）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病案编码人员月均负担出院患者病历数（MER-HR-03）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病历书写时效性指标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入院记录24小时内完成率（MER-TL-01）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手术记录24小时内完成率（MER-TL-02）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出院记录24小时内完成率（MER-TL-03）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病案首页24小时内完成率（MER-TL-04）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重大检查记录符合率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CT/MRI检查记录符合率（MER-ME-01）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病理检查记录符合率（MER-ME-02）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细菌培养检查记录符合率（MER-ME-03）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诊疗行为记录符合率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抗菌药物使用记录符合率（MER-D&amp;T-01）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恶性肿瘤化学治疗记录符合率（MER-D&amp;T-02）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恶性肿瘤放射治疗记录符合率（MER-D&amp;T-03）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手术相关记录完整率（MER-D&amp;T-04）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植入物相关记录符合率（MER-D&amp;T-05）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临床用血相关记录符合率（MER-D&amp;T-06）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医师查房记录完整率（MER-D&amp;T-07）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患者抢救记录及时完成率（MER-D&amp;T-08）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病历归档质量指标</w:t>
            </w: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出院患者病历2日归档率（MER-TQ-01）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出院患者病历归档完整率（MER-TQ-02）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主要诊断填写正确率（MER-TQ-03）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主要诊断编码正确率（MER-TQ-04）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主要手术填写正确率（MER-TQ-05）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主要手术编码正确率（MER-TQ-06）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不合理复制病历发生率（MER-TQ-07）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知情同意书规范签署率（MER-TQ-08）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8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甲级病历率（MER-TQ-09）</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（10）门诊管理医疗质量控制指标 （2024年版）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门诊电子病历使用率（OQI-EMR-01）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门诊标准诊断使用率（OQI-SD-02）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门诊准时出诊率（OQI-OC-03）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门诊停诊率（OQI-OC-04）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门诊化疗病历记录完整率（OQI-CTH-05）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门诊化疗严重不良反应发生率（OQI-CTH-06）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门诊化疗患者静脉治疗相关不良事件发生率（OQI-CTH-07）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门诊危急值30分钟内通报完成率（OQI-AE-08）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门诊静脉采血相关差错发生率（OQI-AE-09）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门诊手术并发症发生率（OQI-AE-10）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每千门诊诊疗人次不良事件发生率（OQI-AE-11）</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（11）急诊医学专业 医疗质量控制指标（2024年版）</w:t>
      </w:r>
      <w:r>
        <w:rPr>
          <w:rFonts w:hint="eastAsia" w:ascii="宋体" w:hAnsi="宋体" w:eastAsia="宋体" w:cs="宋体"/>
          <w:b/>
          <w:bCs/>
          <w:sz w:val="24"/>
          <w:szCs w:val="24"/>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4333"/>
        <w:gridCol w:w="4571"/>
      </w:tblGrid>
      <w:tr>
        <w:trPr>
          <w:trHeight w:val="41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4"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急诊科医患比（EM-SI-01）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急诊科护患比（EM-SI-02）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抢救室滞留时间（中位数）（EM-ME-03）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急诊分级分诊执行率（EM-ME-04）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急诊IV级患者静脉输液使用率（EM-ME-05）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心肺复苏（CPR）质量监测率（EM-CA-06）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176"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心脏骤停复苏成功率（EM-CA-07）</w:t>
            </w: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院前心脏骤停复苏成功率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17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院内心脏骤停复苏成功率</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复苏成功后昏迷患者目标体温管理实施率（EM-CA-08）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176"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心脏骤停患者出院存活率（EM-CA-09）</w:t>
            </w: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院前心脏骤停患者出院存活率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176"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29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院内心脏骤停患者出院存活率</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脓毒性休克1小时内抗菌药物使用率（EM-SS-10）</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急诊重症监护病房（EICU）脓毒性休克患者病死率（EM-SS-11）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急诊创伤患者创伤量化评估率（EM-ET-12）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严重创伤患者就诊－手术时间（中位数）（EM-ET-13）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严重创伤患者24小时存活率（EM-ET-14）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急诊中心静脉置管早期血管并发症发生率（EM-EP-15）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gridSpan w:val="2"/>
            <w:tcW w:w="890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体外膜肺氧合辅助心肺复苏（ECPR）实施时间（中位数）（EM-EP-16）</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（12）肿瘤专业 质量控制指标（2023年版）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010"/>
        <w:gridCol w:w="7895"/>
      </w:tblGrid>
      <w:tr>
        <w:trPr>
          <w:trHeight w:val="581"/>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乳腺癌患者首次治疗前临床 TNM 分期诊断率（CA-BC-01）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乳腺癌患者首次治疗前临床 TNM 分期检查评估策略符合率（CA-BC-02）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乳腺癌患者非手术治疗前病理学诊断率（CA-BC-03）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早期乳腺癌患者前哨淋巴结活检率（CA-BC-04）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乳腺癌患者保乳术后放疗率（CA-BC-05）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乳腺癌患者改良根治术后放疗率（CA-BC-06）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局部晚期乳腺癌患者新辅助治疗率（CA-BC-07）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晚期转移性乳腺癌患者首次治疗全身系统性治疗率（CA-BC-08）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激素受体阳性乳腺癌患者术后接受辅助内分泌治疗率（CA-BC-09）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接受抗HER-2靶向治疗的乳腺癌患者中HER-2阳性率（CA-BC-10）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腋窝淋巴结清扫充分率（CA-BC-11）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乳腺癌I类切口手术部位感染率（CA-BC-12）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肺癌患者首次治疗前临床TNM分期诊断率（CA-LC-01）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肺癌患者首次治疗前临床TNM分期检查评估策略符合率（CA-LC-02）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肺癌患者非手术治疗前病理学诊断率（CA-LC-03）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肺癌患者术后病理TNM分期率（CA-LC-04）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肺癌切除术术中淋巴结清扫率（CA-LC-05）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肺癌切除术术中纵隔淋巴结清扫充分率（CA-LC-06）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III期肺癌患者初始治疗综合治疗率（CA-LC-07）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肺癌患者精确放疗率（CA-LC-08）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Ⅳ期肺癌患者首次抗肿瘤药物治疗一线推荐方案采用率（CA-LC-09）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肺癌患者接受分子靶向治疗前基因检测阳性率（CA-LC-10）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肺癌患者非手术治疗后疗效评价率（CA-LC-11）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肺癌手术患者肿瘤完整切除（R0）率（CA-LC-12）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肺癌患者术后院内死亡率（CA-LC-13）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肝细胞癌患者首次治疗前临床中国肝癌分期诊断率（CA-CNLC-01）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肝细胞癌患者首次治疗前临床中国肝癌分期检查策略符合率（CA-CNLC-02）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肝内胆管癌患者首次治疗前临床TNM分期诊断率（CA-CNLC-03）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肝内胆管癌患者首次治疗前临床TNM分期检查策略符合率（CA-CNLC-04）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肝内胆管癌患者首次非手术治疗前病理学诊断率（CA-CNLC-05）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肝内胆管癌患者术后病理TNM分期率（CA-CNLC-06）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肝内胆管癌患者术中淋巴结清扫率（CA-CNLC-07）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肝癌手术患者微创手术率（CA-CNLC-08）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肝癌患者围手术期死亡率（CA-CNLC-09）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中国肝癌分期IIb和IIIa期肝细胞癌患者首次治疗TACE治疗率（CA-CNLC-10）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中晚期肝癌患者综合治疗率（CA-CNLC-11）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肝癌患者精确放疗率（CA-CNLC-12）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宫颈癌患者首次治疗前临床FIGO分期诊断率（CA-CC-01）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宫颈癌患者首次治疗前临床FIGO分期检查评估策略符合率（CA-CC-02）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宫颈癌患者首次治疗前病理学诊断率（CA-CC-03）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早期宫颈癌根治性手术治疗患者淋巴结切除率（CA-CC-04）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术后病理存在高危因素的宫颈癌患者接受同步放化疗率（CA-CC-05）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术后病理存在符合Sedlis标准的中危因素宫颈癌患者放疗率（CA-CC-06）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中晚期宫颈癌患者首次治疗同步放化疗率（CA-CC-07）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宫颈癌患者精确体外放疗率（CA-CC-08）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宫颈癌患者精确近距离放疗率（CA-CC-09）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宫颈癌患者增敏化疗采用标准方案率（CA-CC-10）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宫颈癌手术患者并发症发生率（CA-CC-11）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宫颈癌放疗患者近期并发症发生率（CA-CC-12）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胃癌患者首次治疗前临床TNM分期诊断率（CA-GC-01）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胃癌患者首次治疗前临床TNM分期检查评估策略符合率（CA-GC-02）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胃癌患者首次治疗前病理学诊断率（CA-GC-03）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胃癌患者术后病理TNM分期率（CA-GC-04）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接受内镜治疗的胃癌患者术后切缘阳性率（CA-GC-05）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I-III期胃癌患者手术治疗术中淋巴结清扫充分率（CA-GC-06）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转移性胃癌患者首次治疗行手术治疗率（CA-GC-07）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胃癌手术患者术前完成营养风险筛查与评估率（CA-GC-08）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晚期转移性胃癌患者首次抗肿瘤药物治疗一线推荐方案采用率（CA-GC-09）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胃癌患者非手术治疗后疗效评价率（CA-GC-10）</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晚期转移性胃癌患者首次抗肿瘤药物治疗前病理生物标志物诊断率（CA-GC-11）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结直肠癌患者首次治疗前临床TNM分期诊断率（CA-CRC-01）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结直肠癌患者首次治疗前临床TNM分期检查评估策略符合率（CA-CRC-02）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结直肠癌患者非手术治疗前病理学诊断率（CA-CRC-03）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首诊局部进展期直肠癌患者新辅助治疗率（CA-CRC-04）</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结直肠癌患者靶向治疗和（或）免疫治疗前行基因检测和（或）分子检测率（CA-CRC-05）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术中淋巴结清扫充分率（CA-CRC-06）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首诊转移性结直肠癌患者首次化疗一线方案采用率（CA-CRC-07）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结直肠癌患者手术死亡率（CA-CRC-08）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结直肠癌患者术后C级吻合口瘘发生率（CA-CRC-09）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结直肠癌患者术后病理TNM分期率（CA-CRC-10）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结直肠癌患者非手术治疗后疗效评价率（CA-CRC-11）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结直肠癌手术患者非计划二次手术率（CA-CRC-12）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食管癌患者首次治疗前临床TNM分期诊断率（CA-EC-01）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食管癌患者首次治疗前临床TNM分期检查评估策略符合率（CA-EC-02）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食管癌患者首次抗肿瘤治疗前病理学诊断率（CA-EC-03）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食管胃交界部癌Siewert分型率（CA-EC-04）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食管癌患者新辅助治疗后手术治疗前分期评估率（CA-EC-05）</w:t>
            </w:r>
            <w:r>
              <w:rPr>
                <w:rFonts w:hint="eastAsia" w:ascii="宋体" w:hAnsi="宋体" w:eastAsia="宋体" w:cs="宋体"/>
                <w:i w:val="0"/>
                <w:iCs w:val="0"/>
                <w:color w:val="000000"/>
                <w:sz w:val="24"/>
                <w:szCs w:val="24"/>
                <w:u w:val="none"/>
              </w:rPr>
            </w:r>
            <w:r/>
          </w:p>
        </w:tc>
      </w:tr>
      <w:tr>
        <w:trPr>
          <w:trHeight w:val="40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临床分期为T</w:t>
            </w:r>
            <w:r>
              <w:rPr>
                <w:rFonts w:hint="eastAsia" w:ascii="宋体" w:hAnsi="宋体" w:eastAsia="宋体" w:cs="宋体"/>
                <w:i w:val="0"/>
                <w:iCs w:val="0"/>
                <w:color w:val="000000"/>
                <w:sz w:val="24"/>
                <w:szCs w:val="24"/>
                <w:u w:val="none"/>
                <w:vertAlign w:val="subscript"/>
                <w:lang w:val="en-US" w:eastAsia="zh-CN" w:bidi="ar"/>
              </w:rPr>
              <w:t xml:space="preserve">3-4</w:t>
            </w:r>
            <w:r>
              <w:rPr>
                <w:rFonts w:hint="eastAsia" w:ascii="宋体" w:hAnsi="宋体" w:eastAsia="宋体" w:cs="宋体"/>
                <w:color w:val="000000"/>
                <w:sz w:val="24"/>
                <w:szCs w:val="24"/>
                <w:u w:val="none"/>
                <w:lang w:val="en-US" w:eastAsia="zh-CN" w:bidi="ar"/>
              </w:rPr>
              <w:t xml:space="preserve">N0和T</w:t>
            </w:r>
            <w:r>
              <w:rPr>
                <w:rFonts w:hint="eastAsia" w:ascii="宋体" w:hAnsi="宋体" w:eastAsia="宋体" w:cs="宋体"/>
                <w:i w:val="0"/>
                <w:iCs w:val="0"/>
                <w:color w:val="000000"/>
                <w:sz w:val="24"/>
                <w:szCs w:val="24"/>
                <w:u w:val="none"/>
                <w:vertAlign w:val="subscript"/>
                <w:lang w:val="en-US" w:eastAsia="zh-CN" w:bidi="ar"/>
              </w:rPr>
              <w:t xml:space="preserve">1-4a</w:t>
            </w:r>
            <w:r>
              <w:rPr>
                <w:rFonts w:hint="eastAsia" w:ascii="宋体" w:hAnsi="宋体" w:eastAsia="宋体" w:cs="宋体"/>
                <w:color w:val="000000"/>
                <w:sz w:val="24"/>
                <w:szCs w:val="24"/>
                <w:u w:val="none"/>
                <w:lang w:val="en-US" w:eastAsia="zh-CN" w:bidi="ar"/>
              </w:rPr>
              <w:t xml:space="preserve">N+期的食管癌患者新辅助治疗率（CA-EC-06）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食管癌患者根治性手术淋巴结清扫充分率（CA-EC-07）</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晚期食管/食管胃交界部腺癌患者首次抗肿瘤药物治疗前完成HER-2检测率（CA-EC-08）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食管癌患者精确放疗率（CA-EC-09）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食管癌根治性放疗剂量规范率（CA-EC-10）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甲状腺癌患者手术治疗前甲状腺血清学检测评估率（CA-TC-01）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甲状腺癌患者手术前细胞病理学检查率（CA-TC-02）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甲状腺癌患者首次治疗前临床TNM分期诊断率（CA-TC-03）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甲状腺癌患者首次治疗前临床TNM分期检查评估策略符合率（CA-TC-04）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甲状腺癌全切术后甲状旁腺功能评估率（CA-TC-05）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甲状腺癌患者术后病理TNM分期率（CA-TC-06）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分化型甲状腺癌131I治疗前生化评估率（CA-TC-07）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分化型甲状腺癌131I治疗后131I全身显像率（CA-TC-08）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甲状腺癌术后血肿清除治疗率（CA-TC-09）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甲状腺癌术后切口感染率（CA-TC-10）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甲状腺癌患者术后发声质量评估率（CA-TC-11）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前列腺癌患者首次治疗前临床TNM分期诊断率（CA-PCA-01）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前列腺癌患者首次治疗前临床TNM分期检查评估策略符合率（CA-PCA-02）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前列腺癌患者首次非手术治疗前病理学诊断率（CA-PCA-03）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前列腺癌患者术后病理TNM分期率（CA-PCA-04）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M0期前列腺癌患者根治性精确放疗率（CA-PCA-05）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III期前列腺癌患者初始治疗行综合治疗率（CA-PCA-06）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IV期前列腺癌患者首次化疗一线方案采用率（CA-PCA-07）</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转移性激素敏感性前列腺癌患者首次抗肿瘤药物治疗采用一线方案率（CA-PCA-08）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前列腺癌患者非手术治疗后疗效评价率（CA-PCA-09）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前列腺癌患者围手术期死亡率（CA-PCA-10）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50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w:t>
            </w: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肾癌患者首次治疗前临床TNM分期诊断率（CA-RCC-01）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肾癌患者首次治疗前临床TNM分期检查评估策略符合率（CA-RCC-02）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肾癌患者首次非手术治疗前病理学诊断率（CA-RCC-03）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肾癌患者术后病理TNM分期率（CA-RCC-04）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肾癌手术患者接受微创手术治疗率（CA-RCC-05）</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T1a期肾癌患者接受肾部分切除手术率（CA-RCC-06）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肾癌手术患者术中及术后输血率（CA-RCC-07）</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肾癌患者围手术期死亡率（CA-RCC-08）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晚期肾癌患者接受系统治疗率（CA-RCC-09）</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肾癌患者系统治疗后疗效评价率（CA-RCC-10）</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rPr>
                <w:rFonts w:hint="eastAsia" w:ascii="宋体" w:hAnsi="宋体" w:eastAsia="宋体" w:cs="宋体"/>
                <w:i w:val="0"/>
                <w:iCs w:val="0"/>
                <w:color w:val="000000"/>
                <w:sz w:val="24"/>
                <w:szCs w:val="24"/>
                <w:u w:val="none"/>
              </w:rPr>
            </w:r>
            <w:r/>
          </w:p>
        </w:tc>
        <w:tc>
          <w:tcPr>
            <w:tcW w:w="50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64"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肾癌手术患者并发症发生率（CA-RCC-11）</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（13）产科专业医疗质量控制指标（2019年版）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813"/>
        <w:gridCol w:w="5094"/>
      </w:tblGrid>
      <w:tr>
        <w:trPr>
          <w:trHeight w:val="431"/>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剖宫产/初产妇剖宫产率（OB-CSR/PCS-01）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剖宫产率（OB-CSR-01）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初产妇剖宫产率（OB-PCS-01）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阴道分娩椎管内麻醉使用率（OB-EPD-02）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早产/早期早产率（OB-PB/EPB-03）</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早产率（OB-PB-03）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早期早产率（OB-EPB-03）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巨大儿发生率（OB-MS-04）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严重产后出血发生率（OB-PPH-05）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严重产后出血患者输血率（OB-PPT-06）</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孕产妇死亡活产比（OB-MMR-07）</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妊娠相关子宫切除率（OB-HYS-08）</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产后或术后非计划再次手术率（OB-ROP-09）</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足月新生儿5分钟Apgar评分＜7分发生率（OB-NA-10）</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（14）神经系统疾病医疗质量控制指标（2020年版）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1579"/>
        <w:gridCol w:w="7342"/>
      </w:tblGrid>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gridSpan w:val="2"/>
            <w:tcW w:w="892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指标名称</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癫痫与惊厥性癫痫持续状态</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癫痫发作频率记录率（NEU-EPI-01）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抗癫痫药物规范服用率（NEU-EPI-02）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抗癫痫药物严重不良反应发生率（NEU-EPI-03）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癫痫患者病因学检查完成率（NEU-EPI-04）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癫痫患者精神行为共患病筛查率（NEU-EPI-05）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育龄期女性癫痫患者妊娠宣教执行率（NEU-EPI-06）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癫痫患者择期手术在院死亡率（NEU-EPI-07）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癫痫患者术后并发症发生率（NEU-EPI-08）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癫痫患者术后病理明确率（NEU-EPI-09）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癫痫手术患者出院时继续抗癫痫药物治疗率（NEU-EPI-10）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惊厥性癫痫持续状态发作控制率（NEU-EPI-11）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惊厥性癫痫持续状态初始治疗标准方案应用率（NEU-EPI-12）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难治性惊厥性癫痫持续状态患者麻醉药物应用率（NEU-EPI-13）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难治性惊厥性癫痫持续状态患者气管插管或机械通气应用率（NEU-EPI-14）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在院惊厥性癫痫持续状态患者脑电监测率（NEU-EPI-15）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在院惊厥性癫痫持续状态患者影像检查率（NEU-EPI-16）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在院惊厥性癫痫持续状态患者脑脊液检查率（NEU-EPI-17）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在院期间惊厥性癫痫持续状态患者病因明确率（NEU-EPI-18）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惊厥性癫痫持续状态患者在院死亡率（NEU-EPI-19）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惊厥性癫痫持续状态患者随访（出院30天内）死亡率（NEU-EPI-20）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脑梗死患者神经功能缺损评估率（NEU-STK-01）</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发病24小时内脑梗死患者急诊就诊30分钟内完成头颅CT影像学检查率（NEU-STK-02）</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发病24小时内脑梗死患者急诊就诊45分钟内临床实验室检查完成率（NEU-STK-03）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发病4.5小时内脑梗死患者静脉溶栓率（NEU-STK-04）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静脉溶栓的脑梗死患者到院到给药时间小于60分钟的比例（NEU-STK-05）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发病6小时内前循环大血管闭塞性脑梗死患者血管内治疗率（NEU-STK-06）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脑梗死患者入院48小时内抗血小板药物治疗率（NEU-STK-07）</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非致残性脑梗死患者发病24小时内双重强化抗血小板药物治疗率（NEU-STK-08）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不能自行行走的脑梗死患者入院48小时内深静脉血栓预防率（NEU-STK-09）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脑梗死患者住院7天内血管评价率（NEU-STK-10）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住院期间脑梗死患者他汀类药物治疗率（NEU-STK-11）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住院期间合并房颤的脑梗死患者抗凝治疗率（NEU-STK-12）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脑梗死患者吞咽功能筛查率（NEU-STK-13）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脑梗死患者康复评估率（NEU-STK-14）</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出院时脑梗死患者抗栓/他汀类药物治疗率（NEU-STK-15）</w:t>
            </w:r>
            <w:r>
              <w:rPr>
                <w:rFonts w:hint="eastAsia" w:ascii="宋体" w:hAnsi="宋体" w:eastAsia="宋体" w:cs="宋体"/>
                <w:i w:val="0"/>
                <w:iCs w:val="0"/>
                <w:color w:val="000000"/>
                <w:sz w:val="24"/>
                <w:szCs w:val="24"/>
                <w:u w:val="none"/>
              </w:rPr>
            </w:r>
            <w:r/>
          </w:p>
        </w:tc>
      </w:tr>
      <w:tr>
        <w:trPr>
          <w:trHeight w:val="10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出院时合并高血压/糖尿病/房颤的脑梗死患者降压/降糖药物/抗凝治疗率（NEU-STK-16）</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脑梗死患者住院死亡率（NEU-STK-17）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发病24小时内脑梗死患者血管内治疗率（NEU-STK-18）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发病24小时内脑梗死患者血管内治疗术前影像学评估率（NEU-STK-19）</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发病24小时内脑梗死患者行血管内治疗90分钟内完成动脉穿刺率（NEU-STK-20）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发病24小时内脑梗死患者行血管内治疗60分钟内成功再灌注率（NEU-STK-21）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发病24小时内脑梗死患者行血管内治疗术后即刻再通率（NEU-STK-22）</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发病24小时内脑梗死患者行血管内治疗术中新发部位栓塞发生率（NEU-STK-23）</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发病24小时内脑梗死患者行血管内治疗术后症状性颅内出发生率（NEU-STK-24）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发病24小时内脑梗死患者行血管内治疗术后90天mRS评估率（NEU-STK-25）</w:t>
            </w:r>
            <w:r>
              <w:rPr>
                <w:rFonts w:hint="eastAsia" w:ascii="宋体" w:hAnsi="宋体" w:eastAsia="宋体" w:cs="宋体"/>
                <w:i w:val="0"/>
                <w:iCs w:val="0"/>
                <w:color w:val="000000"/>
                <w:sz w:val="24"/>
                <w:szCs w:val="24"/>
                <w:u w:val="none"/>
              </w:rPr>
            </w:r>
            <w:r/>
          </w:p>
        </w:tc>
      </w:tr>
      <w:tr>
        <w:trPr>
          <w:trHeight w:val="68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发病24小时内脑梗死患者行血管内治疗术后90天良好神经功能预后率（NEU-STK-26）</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发病24小时内脑梗死患者行血管内治疗术后死亡率（NEU-STK-27）</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帕金森病</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住院帕金森病患者规范诊断率（NEU-PD-01）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住院帕金森病患者完成头颅MRI或CT检查率（NEU-PD-02）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住院帕金森病患者进行急性左旋多巴试验评测率（NEU-PD-03）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住院帕金森病患者进行临床分期的比例（NEU-PD-04）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住院帕金森病患者全面神经功能缺损评估率（NEU-PD-05）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住院帕金森病患者运动并发症筛查率（NEU-PD-06）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住院帕金森病患者认知功能障碍筛查率（NEU-PD-07）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住院帕金森病体位性低血压筛查率（NEU-PD-08）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合并运动并发症的住院帕金森病患者DBS适应症筛选评估率（NEU-PD-09）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住院帕金森病患者康复评估率（NEU-PD-10）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住院帕金森病患者焦虑症状和抑郁症状筛查率（NEU-PD-11）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颈动脉支架置入术患者术前mRS评估率（NEU-CAS-01）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颈动脉支架置入术患者术前颈动脉无创影像评估率（NEU-CAS-02）</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颈动脉支架置入术手术指征符合率（NEU-CAS-03）</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颈动脉支架置入术患者术前规范化药物治疗率（NEU-CAS-04）</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颈动脉支架置入术保护装置使用率（NEU-CAS-05）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颈动脉支架置入术技术成功率（NEU-CAS-06）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颈动脉支架置入术并发症发生率（NEU-CAS-07）</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颈动脉支架置入术患者出院规范化药物治疗率（NEU-CAS-08）</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颈动脉支架置入术患者卒中和死亡发生率（NEU-CAS-09）</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颈动脉支架置入术患者术后同侧缺血性卒中发生率（NEU-CAS-10）</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793"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w:t>
            </w: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脑血管造影术（DSA）前无创影像评估率（NEU-DSA-01）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脑血管造影术中非离子型对比剂应用率（NEU-DSA-02）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脑血管造影术造影时相完整率（NEU-DSA-03）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脑血管造影术造影阳性率（NEU-DSA-04）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脑血管造影术严重并发症发生率（NEU-DSA-05）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脑血管造影术穿刺点并发症发生率（NEU-DSA-06）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793"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68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脑血管造影术死亡率（NEU-DSA-07）</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（15）肾病专业医疗质量控制指标（2020年版）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2012"/>
        <w:gridCol w:w="6910"/>
      </w:tblGrid>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2"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w:t>
            </w: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肾活检患者术前检查完成率（NEP-IgA-01）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肾脏病理切片染色规范率（NEP-IgA-02）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IgA肾病患者病理分型诊断率（NEP-IgA-03）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IgA肾病患者RAS阻断剂的使用率（NEP-IgA-04）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IgA肾病患者随访完成率（NEP-IgA-05）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IgA肾病患者血压控制达标率（NEP-IgA-06）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肾功能恶化率（NEP-IgA-07）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治疗6个月后24小时尿蛋白&lt;1g的患者比例（NEP-IgA-08）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肾活检严重并发症发生率（NEP-IgA-09）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激素、免疫抑制剂治疗的严重并发症发生率（NEP-IgA-10）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血液净化技术（第一部分 医院感染控制指标）</w:t>
            </w: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治疗室消毒合格率（NEP-D-01）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透析用水生物污染检验合格率（NEP-D-02）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新入血液透析患者血源性传染病标志物检验完成率（NEP-D-03）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维持性血液透析患者血源性传染病标志物定时检验完成率（NEP-D-04）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维持性血液透析患者的乙型肝炎和丙型肝炎发病率（NEP-D-05）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血液净化技术（第二部分 透析质量管理指标）</w:t>
            </w: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血液透析患者尿素清除指数（Kt/V）和尿素下降率（URR）控制率（NEP-D-06）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腹膜透析患者尿素清除指数（Kt/V）及总内生肌酐清除率（Ccr）控制率（NEP-D-07）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透析患者β2微球蛋白定时检验完成率（NEP-D-08）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血液透析患者透析间期体重增长控制率（NEP-D-09）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维持性血液透析患者的动静脉内瘘长期使用率（NEP-D-10）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腹膜透析患者腹膜平衡试验记录定时完成率（NEP-D-11）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腹膜透析退出患者治疗时间（NEP-D-12）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01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血液净化技术（第三部分 透析并发症管理指标）</w:t>
            </w: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透析患者血常规定时检验率（NEP-D-13）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透析患者血液生化定时检验率（NEP-D-14）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透析患者全段甲状旁腺素（iPTH）定时检验完成率（NEP-D-15）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透析患者的血清铁蛋白和转铁蛋白饱和度定时检验完成（NEP-D-16）</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透析患者的血清前白蛋白定时检验完成率（NEP-D-17）</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透析患者的C反应蛋白（CRP）定时检验完成率（NEP-D-18）</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透析患者高血压控制率（NEP-PD-19）</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透析患者肾性贫血控制率（NEP-D-20）</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透析患者慢性肾脏病-矿物质与骨异常（CKD-MBD）指标控制率（NEP-D-21）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透析患者血清白蛋白控制率（NEP-D-22）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01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468"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（16）护理专业医疗质量控制指标（2020年版）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813"/>
        <w:gridCol w:w="5094"/>
      </w:tblGrid>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床护比（NQI-01）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医疗机构床护比（NQI-01A）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病区床护比（NQI-01B）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重症医学科床护比（NQI-01C）</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儿科病区床护比（NQI-01D）</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护患比（NQI-02）</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白班平均护患比（NQI-02A）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夜班平均护患比（NQI-02B）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每住院患者24小时平均护理时数（NQI-03）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不同级别护士配置占比（NQI-04）</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病区5年以下护士占比（NQI-04A）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病区20年及以上护士占比（NQI-04B）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护士离职率（NQI-05）</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住院患者身体约束率（NQI-06）</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住院患者跌倒发生率（NQI-07）</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住院患者跌倒发生率（NQI-07A）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住院患者跌倒伤害占比（NQI-07B）</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住院患者2期及以上院内压力性损伤发生率（NQI-08）</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置管患者非计划拔管率（NQI-09）</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气管导管（气管插管、气管切开）非计划拔管率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经口、经鼻胃肠导管非计划拔管率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中心静脉导管（CVC）非计划拔管率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经外周置入中心静脉导管（PICC）非计划拔管率</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导管相关感染发生率（NQI-10）</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导尿管相关尿路感染（CAUTI）发生率（NQI-10A）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中心静脉导管（CVC）相关血流感染发生率（NQI-10B）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经外周置入中心静脉导管（PICC）相关血流感染发生率（NQI-10C）</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gridSpan w:val="2"/>
            <w:tcW w:w="890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呼吸机相关性肺炎（VAP）发生率（NQI-11）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14"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护理级别占比</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二级护理占比</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14"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三级护理占比</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（17）超声诊断专业医疗质量控制指标（2022年版）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超声医师月均工作量(US-HR-01)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超声仪器质检率（US-EQ-01）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住院超声检查48小时内完成率(US-TL-01)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超声危急值10分钟内通报完成率(US-CV-01)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超声报告书写合格率(US-RE-01)</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乳腺病变超声报告进行乳腺影像报告和数据系统(BI-RADS)分类率（US-RE-BR-01）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门急诊超声报告阳性率(US-DR-01)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住院超声报告阳性率(US-DR-02)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超声筛查中胎儿重大致死性畸形的检出率（US-DR-OB-01）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超声诊断符合率(US-DI-01)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乳腺占位超声诊断准确率(US-DI-BR-01)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颈动脉狭窄（≥50%）超声诊断符合率(US-DI-VA-01)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超声介入相关主要并发症发生率(US-INCO-01)</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（18）临床营养专业医疗质量控制指标（2022年版）</w:t>
      </w:r>
      <w:r>
        <w:rPr>
          <w:rFonts w:hint="eastAsia" w:ascii="宋体" w:hAnsi="宋体" w:eastAsia="宋体" w:cs="宋体"/>
          <w:b/>
          <w:bCs/>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3625"/>
        <w:gridCol w:w="5280"/>
      </w:tblGrid>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0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营养科医床比（NUT-S-01）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营养科护床比（NUT-S-02）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营养科技床比（NUT-S-03）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住院患者营养风险筛查率（NUT-P-01）</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存在营养风险住院患者营养治疗率（NUT-P-02）</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糖尿病住院患者营养评估率（NUT-P-03）</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糖尿病住院患者营养治疗率（NUT-P-04）</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使用胰岛素治疗的糖尿病住院患者营养治疗后胰岛素使用剂量减少率（NUT-O-01）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820"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营养治疗不良事件发生率（NUT-O-02）</w:t>
            </w: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肠外营养治疗不良事件发生率（NUT-O-02A）</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82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肠内营养治疗不良事件发生率（NUT-O-02B）</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820" w:type="dxa"/>
            <w:vAlign w:val="center"/>
            <w:vMerge w:val="continue"/>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65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膳食营养治疗不良事件发生率（NUT-O-02C）</w:t>
            </w:r>
            <w:r>
              <w:rPr>
                <w:rFonts w:hint="eastAsia" w:ascii="宋体" w:hAnsi="宋体" w:eastAsia="宋体" w:cs="宋体"/>
                <w:i w:val="0"/>
                <w:iCs w:val="0"/>
                <w:color w:val="000000"/>
                <w:sz w:val="24"/>
                <w:szCs w:val="24"/>
                <w:u w:val="none"/>
              </w:rPr>
            </w:r>
            <w:r/>
          </w:p>
        </w:tc>
      </w:tr>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gridSpan w:val="2"/>
            <w:tcW w:w="8905"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营养门诊投诉发生率（NUT-O-03）</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（19）感染性疾病专业医疗质量控制指标（2023年版）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8907"/>
      </w:tblGrid>
      <w:tr>
        <w:trPr>
          <w:trHeight w:val="336"/>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71"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抗流感病毒药物使用前流感病原学诊断阳性率（ID-FLU-01）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门诊流感患者抗菌药物使用率（ID-FLU-02）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住院流感患者抗菌药物使用率（ID-FLU-03）</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住院流感重症患者死亡率（ID-FLU-04</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感染性腹泻患者病原学诊断阳性率（ID-ID-01）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感染性腹泻患者抗菌药物使用率（ID-ID-02）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感染性腹泻患者口服补液盐（ORS）使用率（ID-ID-03）</w:t>
            </w:r>
            <w:r>
              <w:rPr>
                <w:rFonts w:hint="eastAsia" w:ascii="宋体" w:hAnsi="宋体" w:eastAsia="宋体" w:cs="宋体"/>
                <w:i w:val="0"/>
                <w:iCs w:val="0"/>
                <w:color w:val="000000"/>
                <w:sz w:val="24"/>
                <w:szCs w:val="24"/>
                <w:u w:val="none"/>
              </w:rPr>
            </w:r>
            <w:r/>
          </w:p>
        </w:tc>
      </w:tr>
      <w:tr>
        <w:trPr>
          <w:trHeight w:val="68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丙型肝炎病毒（HCV）抗体阳性患者丙型肝炎病毒核酸（HCV-RNA）检测率（ID-HC-01）</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HCV-RNA阳性患者抗病毒治疗率（ID-HC-02）</w:t>
            </w:r>
            <w:r>
              <w:rPr>
                <w:rFonts w:hint="eastAsia" w:ascii="宋体" w:hAnsi="宋体" w:eastAsia="宋体" w:cs="宋体"/>
                <w:i w:val="0"/>
                <w:iCs w:val="0"/>
                <w:color w:val="000000"/>
                <w:sz w:val="24"/>
                <w:szCs w:val="24"/>
                <w:u w:val="none"/>
              </w:rPr>
            </w:r>
            <w:r/>
          </w:p>
        </w:tc>
      </w:tr>
      <w:tr>
        <w:trPr>
          <w:trHeight w:val="340"/>
        </w:trPr>
        <w:tc>
          <w:tcPr>
            <w:tcW w:w="52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71"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护士血源性职业暴露率（ID-N-01）</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（20）健康体检与管理专业医疗质量控制指标（2023年版）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479"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指标名称</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高级职称医师签署报告率（HCHM-PR-01）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健康体检问卷完成率（HCHM-PR-02）</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超声医师日均负担超声检查部位数（HCHM-PR-03）</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大便标本留取率（HCHM-PR-04）</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健康体检报告平均完成时间（HCHM-PR-05）</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高危异常结果通知率（HCHM-OU-01）</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重要异常结果随访率（HCHM-OU-02）</w:t>
            </w:r>
            <w:r>
              <w:rPr>
                <w:rFonts w:hint="eastAsia" w:ascii="宋体" w:hAnsi="宋体" w:eastAsia="宋体" w:cs="宋体"/>
                <w:i w:val="0"/>
                <w:iCs w:val="0"/>
                <w:color w:val="000000"/>
                <w:sz w:val="24"/>
                <w:szCs w:val="24"/>
                <w:u w:val="none"/>
              </w:rPr>
            </w:r>
            <w:r/>
          </w:p>
        </w:tc>
      </w:tr>
    </w:tbl>
    <w:p>
      <w:pPr>
        <w:pStyle w:val="866"/>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（21）整形美容专业医疗质量控制指标（2023年版）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整形美容手术I类切口围手术期预防性抗生素使用率（PCS-PAR-01）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整形美容手术切口甲级愈合率（PCS-AHR-02）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假体植入手术早期手术部位感染发生率（PCS-SII-03）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毛发移植术后早期毛囊炎发生率（PCS-EFH-04）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重睑术二次手术率（PCS-SDE-05）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阴道紧缩术直肠损伤发生率（PCS-RIV-06）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皮瓣血管危象早期识别率（PCS-VC-07）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皮瓣血管危象发生率（PCS-VC-08）</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sz w:val="24"/>
          <w:szCs w:val="24"/>
          <w:lang w:val="en-US" w:eastAsia="zh-CN"/>
        </w:rPr>
        <w:t xml:space="preserve">（22）脑损伤评价医疗质量控制指标（2024年版）</w:t>
      </w:r>
      <w:r>
        <w:rPr>
          <w:rFonts w:hint="eastAsia" w:ascii="宋体" w:hAnsi="宋体" w:eastAsia="宋体" w:cs="宋体"/>
          <w:i w:val="0"/>
          <w:iCs w:val="0"/>
          <w:color w:val="000000"/>
          <w:sz w:val="24"/>
          <w:szCs w:val="24"/>
          <w:u w:val="none"/>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自发性脑出血患者电子计算机断层扫描血管成像（CTA）检查率（BIE-ICH-01）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自发性脑出血患者格拉斯哥昏迷量表（GCS）评估率（BIE-ICH-02）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自发性脑出血患者改良Rankin量表（mRS）评估率（BIE-ICH-03）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轻中度自发性脑出血患者紧急降压有效率（BIE-ICH-04）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自发性脑出血患者随访率（BIE-ICH-05）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急性重型颅脑创伤患者有创颅内压力（ICP）监测率（BIE-TBI-06）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急性颅脑创伤患者格拉斯哥昏迷量表（GCS）评估率（BIE-TBI-07）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急性颅脑创伤患者随访格拉斯哥结果评估量表（GOS）评估率（BIE-TBI-08）</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急性脑梗死初诊患者脑血管影像学评估率（BIE-CI-09）</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脑梗死患者康复治疗率（BIE-CI-10）</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b/>
          <w:bCs/>
          <w:sz w:val="24"/>
          <w:szCs w:val="24"/>
          <w:lang w:val="en-US" w:eastAsia="zh-CN"/>
        </w:rPr>
        <w:t xml:space="preserve">（23）放射影像专业医疗质量控制指标（2024年版）</w:t>
      </w:r>
      <w:r>
        <w:rPr>
          <w:rFonts w:hint="eastAsia" w:ascii="宋体" w:hAnsi="宋体" w:eastAsia="宋体" w:cs="宋体"/>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放射影像检查图像伪影率（RQI-IIA-01）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急诊放射影像检查报告2小时完成率（RQI-RRC-02）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放射影像报告书写规范率（RQI-RWS-03）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放射影像危急值10分钟内通报完成率（RQI-RCV-04）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增强CT检查静脉对比剂外渗发生率（RQI-ICME-05）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PI-RADS分类率（RQI-RCR-06）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BI-RADS分类率（RQI-RCR-07）</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（24）医院感染管理医疗质量控制指标（2024年版）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感控专职人员床位比（HAIQI-RFIB-01）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医疗机构工作人员手卫生依从率（HAIQI-CHH-02）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千日医院感染例次发病率（HAIQI-IHAI-03）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新生儿千日医院感染例次发病率（HAIQI-IHAIN-04）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千日特定多重耐药菌医院感染例次发病率（HAIQI-IMDROs-05）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住院患者联合使用重点抗菌药物治疗前病原学送检率（HAIQI-RSEA-06）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住院患者Ⅰ类切口手术抗菌药物预防使用率（HAIQI-RPAS-07）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住院患者Ⅰ类切口手术部位感染率（HAIQI-SSI-08）</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血管导管相关血流感染发病率（HAIQI-VCABSI-09）</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呼吸机相关肺炎发病率（HAIQI-VAP-10）</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导尿管相关尿路感染发病率（HAIQI-CAUTI-11）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血液透析相关感染发生率（HAIQI-IHDI-12）</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（25）重症医学专业医疗质量控制指标（2024年版）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3843"/>
        <w:gridCol w:w="5094"/>
      </w:tblGrid>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37"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ICU床位使用率（ICU-01）</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ICU医师床位比（ICU-02）</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ICU护士床位比（ICU-03）</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急性生理与慢性健康评分（APACHEⅡ评分）≥15分患者收治率（ICU-04）</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感染性休克患者集束化治疗（bundle）完成率（ICU-05）</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抗菌药物治疗前病原学送检率（ICU-06）</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深静脉血栓（DVT）预防率（ICU-07）</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中重度急性呼吸窘迫综合征（ARDS）患者俯卧位通气实施率（ICU-08）</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ICU镇痛评估率（ICU-09）</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ICU镇静评估率（ICU-10）</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29"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ICU患者标化病死指数（ICU-11）</w:t>
            </w: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ICU患者标化病死指数</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29"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 患者预计病死率</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ICU非计划气管插管拔管率ICU-12）</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ICU气管插管拔管后48h再插管率（ICU-13）</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非计划转入ICU率ICU-14）</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转出ICU后48h内重返率ICU-15）</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ICU呼吸机相关肺炎（VAP）发病率ICU-16）</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ICU血管导管相关血流感染（CRBSI）发病率（ICU-17）</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ICU急性脑损伤患者意识评估率（ICU-18）</w:t>
            </w:r>
            <w:r>
              <w:rPr>
                <w:rFonts w:hint="eastAsia" w:ascii="宋体" w:hAnsi="宋体" w:eastAsia="宋体" w:cs="宋体"/>
                <w:i w:val="0"/>
                <w:iCs w:val="0"/>
                <w:color w:val="000000"/>
                <w:sz w:val="24"/>
                <w:szCs w:val="24"/>
                <w:u w:val="none"/>
              </w:rPr>
            </w:r>
            <w:r/>
          </w:p>
        </w:tc>
      </w:tr>
      <w:tr>
        <w:trPr>
          <w:trHeight w:val="336"/>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gridSpan w:val="2"/>
            <w:tcW w:w="8937"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48h内肠内营养（EN）启动率（ICU-19）</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（26）住院病案首页数据质量管理与控制指标（2016年版）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839"/>
        <w:gridCol w:w="5084"/>
      </w:tblGrid>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892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27" w:type="dxa"/>
            <w:vAlign w:val="center"/>
            <w:vMerge w:val="restart"/>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住院病案首页填报完整率</w:t>
            </w:r>
            <w:r>
              <w:rPr>
                <w:rFonts w:hint="eastAsia" w:ascii="宋体" w:hAnsi="宋体" w:eastAsia="宋体" w:cs="宋体"/>
                <w:i w:val="0"/>
                <w:iCs w:val="0"/>
                <w:color w:val="000000"/>
                <w:sz w:val="24"/>
                <w:szCs w:val="24"/>
                <w:u w:val="none"/>
              </w:rPr>
            </w:r>
            <w:r/>
          </w:p>
        </w:tc>
        <w:tc>
          <w:tcPr>
            <w:tcW w:w="2552"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病案首页填报完整率</w:t>
            </w:r>
            <w:r>
              <w:rPr>
                <w:rFonts w:hint="eastAsia" w:ascii="宋体" w:hAnsi="宋体" w:eastAsia="宋体" w:cs="宋体"/>
                <w:i w:val="0"/>
                <w:iCs w:val="0"/>
                <w:color w:val="000000"/>
                <w:sz w:val="24"/>
                <w:szCs w:val="24"/>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27" w:type="dxa"/>
            <w:vAlign w:val="center"/>
            <w:vMerge w:val="continue"/>
            <w:textDirection w:val="lrTb"/>
            <w:noWrap w:val="false"/>
          </w:tcPr>
          <w:p>
            <w:pPr>
              <w:pStyle w:val="866"/>
              <w:jc w:val="left"/>
              <w:keepLines w:val="0"/>
              <w:keepNext w:val="0"/>
              <w:pageBreakBefore w:val="0"/>
              <w:spacing w:line="40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552"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病案首页项目填报完整率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主要诊断选择正确率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主要手术及操作选择正确率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其他诊断填写完整正确率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主要诊断编码正确率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其他诊断编码正确率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手术及操作编码正确率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病案首页数据质量优秀率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医疗费用信息准确率</w:t>
            </w:r>
            <w:r>
              <w:rPr>
                <w:rFonts w:hint="eastAsia" w:ascii="宋体" w:hAnsi="宋体" w:eastAsia="宋体" w:cs="宋体"/>
                <w:i w:val="0"/>
                <w:iCs w:val="0"/>
                <w:color w:val="000000"/>
                <w:sz w:val="24"/>
                <w:szCs w:val="24"/>
                <w:u w:val="none"/>
              </w:rPr>
            </w:r>
            <w:r/>
          </w:p>
        </w:tc>
      </w:tr>
      <w:tr>
        <w:trPr>
          <w:trHeight w:val="336"/>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gridSpan w:val="2"/>
            <w:tcW w:w="8923"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病案首页数据上传率</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（27）核医学专业医疗质量控制指标 （2025 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937"/>
      </w:tblGrid>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486"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指标名称</w:t>
            </w:r>
            <w:r>
              <w:rPr>
                <w:rFonts w:hint="eastAsia" w:ascii="宋体" w:hAnsi="宋体" w:eastAsia="宋体" w:cs="宋体"/>
                <w:b/>
                <w:bCs/>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全身骨显像静脉注射放射性药物外渗率（NM-01）</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分化型甲状腺癌患者</w:t>
            </w:r>
            <w:r>
              <w:rPr>
                <w:rFonts w:hint="eastAsia" w:ascii="宋体" w:hAnsi="宋体" w:eastAsia="宋体" w:cs="宋体"/>
                <w:i w:val="0"/>
                <w:iCs w:val="0"/>
                <w:color w:val="000000"/>
                <w:sz w:val="24"/>
                <w:szCs w:val="24"/>
                <w:u w:val="none"/>
                <w:vertAlign w:val="superscript"/>
                <w:lang w:val="en-US" w:eastAsia="zh-CN" w:bidi="ar"/>
              </w:rPr>
              <w:t xml:space="preserve">131</w:t>
            </w:r>
            <w:r>
              <w:rPr>
                <w:rFonts w:hint="eastAsia" w:ascii="宋体" w:hAnsi="宋体" w:eastAsia="宋体" w:cs="宋体"/>
                <w:i w:val="0"/>
                <w:iCs w:val="0"/>
                <w:color w:val="000000"/>
                <w:sz w:val="24"/>
                <w:szCs w:val="24"/>
                <w:u w:val="none"/>
                <w:lang w:val="en-US" w:eastAsia="zh-CN" w:bidi="ar"/>
              </w:rPr>
              <w:t xml:space="preserve">I治疗前TSH达标率（NM-02）</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核医学实验室室间质量评价项目参加率（NM-03）</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单光子发射断层显像（SPECT）图像质量合格率（NM-04）</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正电子发射断层成像/计算机断层成像（PET/CT）图像质量合格率（NM-05）</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淋巴瘤患者</w:t>
            </w:r>
            <w:r>
              <w:rPr>
                <w:rFonts w:hint="eastAsia" w:ascii="宋体" w:hAnsi="宋体" w:eastAsia="宋体" w:cs="宋体"/>
                <w:i w:val="0"/>
                <w:iCs w:val="0"/>
                <w:color w:val="000000"/>
                <w:sz w:val="24"/>
                <w:szCs w:val="24"/>
                <w:u w:val="none"/>
                <w:vertAlign w:val="superscript"/>
                <w:lang w:val="en-US" w:eastAsia="zh-CN" w:bidi="ar"/>
              </w:rPr>
              <w:t xml:space="preserve">18</w:t>
            </w:r>
            <w:r>
              <w:rPr>
                <w:rFonts w:hint="eastAsia" w:ascii="宋体" w:hAnsi="宋体" w:eastAsia="宋体" w:cs="宋体"/>
                <w:i w:val="0"/>
                <w:iCs w:val="0"/>
                <w:color w:val="000000"/>
                <w:sz w:val="24"/>
                <w:szCs w:val="24"/>
                <w:u w:val="none"/>
                <w:lang w:val="en-US" w:eastAsia="zh-CN" w:bidi="ar"/>
              </w:rPr>
              <w:t xml:space="preserve">F-FDGPET/CT多维尔评分率（NM-06）</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正电子发射断层成像/计算机断层成像（PET/CT）报告要素完整率（NM-07）</w:t>
            </w:r>
            <w:r>
              <w:rPr>
                <w:rFonts w:hint="eastAsia" w:ascii="宋体" w:hAnsi="宋体" w:eastAsia="宋体" w:cs="宋体"/>
                <w:i w:val="0"/>
                <w:iCs w:val="0"/>
                <w:color w:val="000000"/>
                <w:sz w:val="24"/>
                <w:szCs w:val="24"/>
                <w:u w:val="none"/>
              </w:rPr>
            </w:r>
            <w:r/>
          </w:p>
        </w:tc>
      </w:tr>
      <w:tr>
        <w:trPr>
          <w:trHeight w:val="340"/>
        </w:trPr>
        <w:tc>
          <w:tcPr>
            <w:tcW w:w="51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486"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住院患者首次行18F-FDGPET/CT诊断符合率（NM-08）</w:t>
            </w:r>
            <w:r>
              <w:rPr>
                <w:rFonts w:hint="eastAsia" w:ascii="宋体" w:hAnsi="宋体" w:eastAsia="宋体" w:cs="宋体"/>
                <w:i w:val="0"/>
                <w:iCs w:val="0"/>
                <w:color w:val="000000"/>
                <w:sz w:val="24"/>
                <w:szCs w:val="24"/>
                <w:u w:val="none"/>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（28）临床用血质量控制指标 （2019年版）</w:t>
      </w:r>
      <w:r>
        <w:rPr>
          <w:rFonts w:hint="eastAsia" w:ascii="宋体" w:hAnsi="宋体" w:eastAsia="宋体" w:cs="宋体"/>
          <w:b/>
          <w:bCs/>
          <w:sz w:val="24"/>
          <w:szCs w:val="24"/>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19"/>
      </w:tblGrid>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479"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指标名称</w:t>
            </w:r>
            <w:r>
              <w:rPr>
                <w:rFonts w:hint="eastAsia" w:ascii="宋体" w:hAnsi="宋体" w:eastAsia="宋体" w:cs="宋体"/>
                <w:b/>
                <w:bCs/>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每千单位用血输血专业技术人员数</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《临床输血申请单》合格率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受血者标本血型复查率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输血相容性检测项目室内质控率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输血相容性检测室间质评项目参加率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千输血人次输血不良反应上报例数</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一二级手术台均用血量</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三四级手术台均用血量</w:t>
            </w:r>
            <w:r>
              <w:rPr>
                <w:rFonts w:hint="eastAsia" w:ascii="宋体" w:hAnsi="宋体" w:eastAsia="宋体" w:cs="宋体"/>
                <w:i w:val="0"/>
                <w:iCs w:val="0"/>
                <w:color w:val="000000"/>
                <w:sz w:val="24"/>
                <w:szCs w:val="24"/>
                <w:highlight w:val="none"/>
                <w:u w:val="none"/>
              </w:rPr>
            </w:r>
            <w:r/>
          </w:p>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手术患者自体输血率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出院患者人均用血量</w:t>
            </w:r>
            <w:r>
              <w:rPr>
                <w:rFonts w:hint="eastAsia" w:ascii="宋体" w:hAnsi="宋体" w:eastAsia="宋体" w:cs="宋体"/>
                <w:i w:val="0"/>
                <w:iCs w:val="0"/>
                <w:color w:val="000000"/>
                <w:sz w:val="24"/>
                <w:szCs w:val="24"/>
                <w:highlight w:val="none"/>
                <w:u w:val="none"/>
                <w:lang w:val="en-US" w:eastAsia="zh-CN"/>
              </w:rPr>
            </w:r>
            <w:r/>
          </w:p>
        </w:tc>
      </w:tr>
    </w:tbl>
    <w:p>
      <w:pPr>
        <w:pStyle w:val="866"/>
        <w:ind w:firstLine="482"/>
        <w:jc w:val="both"/>
        <w:keepLines w:val="0"/>
        <w:keepNext w:val="0"/>
        <w:pageBreakBefore w:val="0"/>
        <w:spacing w:line="400" w:lineRule="exact"/>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（29）医疗质量安全核心制度落实情况监测指标（2025 年版）</w:t>
      </w:r>
      <w:r>
        <w:rPr>
          <w:rFonts w:hint="eastAsia" w:ascii="宋体" w:hAnsi="宋体" w:eastAsia="宋体" w:cs="宋体"/>
          <w:b/>
          <w:bCs/>
          <w:sz w:val="24"/>
          <w:szCs w:val="24"/>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8923"/>
      </w:tblGrid>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479"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指标名称</w:t>
            </w:r>
            <w:r>
              <w:rPr>
                <w:rFonts w:hint="eastAsia" w:ascii="宋体" w:hAnsi="宋体" w:eastAsia="宋体" w:cs="宋体"/>
                <w:b/>
                <w:bCs/>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患者入院 48 小时内转科的比例</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患者入院 8 小时内查房率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上级医师查房记录规范率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住院患者非计划手术率</w:t>
            </w:r>
            <w:r>
              <w:rPr>
                <w:rFonts w:hint="eastAsia" w:ascii="宋体" w:hAnsi="宋体" w:eastAsia="宋体" w:cs="宋体"/>
                <w:i w:val="0"/>
                <w:iCs w:val="0"/>
                <w:color w:val="000000"/>
                <w:sz w:val="24"/>
                <w:szCs w:val="24"/>
                <w:highlight w:val="none"/>
                <w:u w:val="none"/>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急会诊及时到位率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急会诊有效率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普通会诊及时完成率</w:t>
            </w:r>
            <w:r>
              <w:rPr>
                <w:rFonts w:hint="eastAsia" w:ascii="宋体" w:hAnsi="宋体" w:eastAsia="宋体" w:cs="宋体"/>
                <w:i w:val="0"/>
                <w:iCs w:val="0"/>
                <w:color w:val="000000"/>
                <w:sz w:val="24"/>
                <w:szCs w:val="24"/>
                <w:highlight w:val="none"/>
                <w:u w:val="none"/>
                <w:lang w:val="en-US"/>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普通会诊有效率</w:t>
            </w:r>
            <w:r>
              <w:rPr>
                <w:rFonts w:hint="eastAsia" w:ascii="宋体" w:hAnsi="宋体" w:eastAsia="宋体" w:cs="宋体"/>
                <w:i w:val="0"/>
                <w:iCs w:val="0"/>
                <w:color w:val="000000"/>
                <w:sz w:val="24"/>
                <w:szCs w:val="24"/>
                <w:highlight w:val="none"/>
                <w:u w:val="none"/>
                <w:lang w:val="en-US"/>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手术患者特级护理 / 一级护理出院率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四级手术患者手术当日床旁交接班占比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非计划再次住院 / 手术患者疑难病例讨论完成率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非计划再次住院 / 手术患者疑难病例讨论记录完整率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高额异常费用患者进行疑难病例讨论的占比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急危重症患者抢救成功率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术前讨论完成率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16</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术者参加术前讨论率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17</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术前讨论计划手术一致率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18</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实际手术术者与计划手术术者一致率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19</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死亡病例讨论 5 日完成率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医务部门组织讨论的死亡病例与发生纠纷的死亡病例比值</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21</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科主任主持死亡病例讨论率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22</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死亡患者病案上传率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23</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长期医嘱当日终止率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手术医师手术时间重合率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麻醉医师手术时间重合率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26</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四级手术与三级手术并发症发生率比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27</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四级手术与三级手术患者死亡率比</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四级手术术前多学科讨论完成率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29</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三、四级手术实际开展率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30</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新技术新项目留存转化率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31</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危急值报告时间</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32</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住院患者危急值当日及时处置率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33</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特殊使用级抗菌药物使用会诊率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临床用血后评估记录率</w:t>
            </w:r>
            <w:r>
              <w:rPr>
                <w:rFonts w:hint="eastAsia" w:ascii="宋体" w:hAnsi="宋体" w:eastAsia="宋体" w:cs="宋体"/>
                <w:i w:val="0"/>
                <w:iCs w:val="0"/>
                <w:color w:val="000000"/>
                <w:sz w:val="24"/>
                <w:szCs w:val="24"/>
                <w:highlight w:val="none"/>
                <w:u w:val="none"/>
                <w:lang w:val="en-US" w:eastAsia="zh-CN"/>
              </w:rPr>
            </w:r>
            <w:r/>
          </w:p>
        </w:tc>
      </w:tr>
      <w:tr>
        <w:trPr>
          <w:trHeight w:val="340"/>
        </w:trPr>
        <w:tc>
          <w:tcPr>
            <w:tcW w:w="520"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35</w:t>
            </w:r>
            <w:r>
              <w:rPr>
                <w:rFonts w:hint="eastAsia" w:ascii="宋体" w:hAnsi="宋体" w:eastAsia="宋体" w:cs="宋体"/>
                <w:i w:val="0"/>
                <w:iCs w:val="0"/>
                <w:color w:val="000000"/>
                <w:sz w:val="24"/>
                <w:szCs w:val="24"/>
                <w:highlight w:val="none"/>
                <w:u w:val="none"/>
                <w:lang w:val="en-US" w:eastAsia="zh-CN"/>
              </w:rPr>
            </w:r>
            <w:r/>
          </w:p>
        </w:tc>
        <w:tc>
          <w:tcPr>
            <w:tcW w:w="4479" w:type="dxa"/>
            <w:vAlign w:val="center"/>
            <w:textDirection w:val="lrTb"/>
            <w:noWrap w:val="false"/>
          </w:tcPr>
          <w:p>
            <w:pPr>
              <w:pStyle w:val="866"/>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术中自体血回输率</w:t>
            </w:r>
            <w:r>
              <w:rPr>
                <w:rFonts w:hint="eastAsia" w:ascii="宋体" w:hAnsi="宋体" w:eastAsia="宋体" w:cs="宋体"/>
                <w:i w:val="0"/>
                <w:iCs w:val="0"/>
                <w:color w:val="000000"/>
                <w:sz w:val="24"/>
                <w:szCs w:val="24"/>
                <w:highlight w:val="none"/>
                <w:u w:val="none"/>
                <w:lang w:val="en-US" w:eastAsia="zh-CN"/>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2.1指标信息配置服务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供应商围绕《医疗质量管理与控制指标汇编8.0版》专业（专科）类内容，科学配置指标体系。严格按照医院医疗质量控制指标框架，涵盖临床检验专业医疗质量控制指标、呼吸内科专业医疗质量控制指标、肿瘤专业质量控制指标等指标，对指标的访问和操作进行权限管理，以确保数据的安全性和保密性，同时根据指标拆分的分子、分母及相关项，配置主指标计算公式及附加计算，供应商应对细项计算公式进行自定义配置（加减乘除等运算公式），指标计算口径与医院等级评审细则标准完全对标，确保公式的准确性和可靠性。</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2.2指标数据采集服务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能够通过数据采集工具将院内分散在不同系统、不同科室的考核指标相关的数据通过清洗、转换、加载汇聚到主题库中，在数据汇聚的过程中，对数据质量进行校验，增量数据能够及时获取，数据不遗漏，数据安全可控，确保能为后续数据分析和挖掘提供及时精准的基础数据支撑。</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2.3指标数据可视化</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对指标体系进行指标分类，时间分类等多维分析，能够查看当前值、目标值、负责科室、同期值、同比、上期值、环比等信息，基于医院等级评审分类，构建柱状图、趋势图等可视化图表，直观呈现医院专业医疗质量控制指标变化情况，还能进一步下钻到诊疗组、医生、患者维度分析。选取同等级、同类型医院作为标杆，对比分析关键指标差异，定位管理短板与改进方向。</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2.4指标数据预警提醒</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医院历史数据及行业基准值要求，供应商需为医院设定个性化的指标预警阈值。当某项指标数据触发预警阈值时，通过平台推送、短信、邮件等多渠道即时向医院对接人发送预警提醒，明确预警指标名称、当前数值及预警阈值，确保医院第一时间知晓指标异常情况，避免问题扩大化。</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发送预警提醒的同时，针对触发预警的指标开展专项分析。从数据关联性、时间维度、影响因素三个层面深入挖掘预警原因，形成《指标数据预警分析简报》。简报中清晰呈现预警概况，还附相关数据图表辅助理解，为医院快速制定应对措施提供方向指引，并定期梳理预警分析案例，提炼共性问题与解决思路，形成经验档案，提升后续分析效率与准确性。</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2.5数据问题排查</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数据变化全程由供应商负责监测与记录，实时跟踪各项指标数据的变化情况，及时发现新问题与潜在风险，并在后续的月报中进行反馈与分析，确保医院能够及时掌握自身运营状况的动态变化。</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2.6月度分析报告</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月为医院提供一份调研月报，报告不仅涵盖医院各项指标数据的数值详情，对全院/科室指标的达标与未达标情况进行展示，将不同科室进行目标值对比，明确医院在各科室中的优势与不足，还将深入分析数据内涵，在月度会议中根据月度报告，工程师对本月数值为0或不准确的情况进行集中解读，解答医院及科室提出的疑问，确保分析结论被充分理解。</w:t>
      </w:r>
      <w:r>
        <w:rPr>
          <w:rFonts w:hint="eastAsia" w:ascii="宋体" w:hAnsi="宋体" w:eastAsia="宋体" w:cs="宋体"/>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2.7协同整改服务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供应商每月根据月度报告与医院组织召开专题会议，与医院管理层、各科室负责人等相关人员进行深入交流，共同探讨报告中反映出的问题，听取医院方面的意见与需求，确保对问题的理解全面准确。​</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供应商提供专业人员配合医院开展调研工作，若发现某项数值较低，立即与具体科室进行沟通，全面了解科室在该指标相关工作中的实际情况，挖掘问题产生的深层次原因。</w:t>
      </w:r>
      <w:r>
        <w:rPr>
          <w:rFonts w:hint="eastAsia" w:ascii="宋体" w:hAnsi="宋体" w:eastAsia="宋体" w:cs="宋体"/>
          <w:sz w:val="24"/>
          <w:szCs w:val="24"/>
          <w:lang w:val="en-US" w:eastAsia="zh-CN"/>
        </w:rPr>
      </w:r>
      <w:r/>
    </w:p>
    <w:p>
      <w:pPr>
        <w:pStyle w:val="866"/>
        <w:numPr>
          <w:ilvl w:val="0"/>
          <w:numId w:val="0"/>
        </w:numPr>
        <w:ind w:firstLine="241"/>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3、统一数据上报需求</w:t>
      </w:r>
      <w:r>
        <w:rPr>
          <w:rFonts w:hint="eastAsia" w:ascii="宋体" w:hAnsi="宋体" w:eastAsia="宋体" w:cs="宋体"/>
          <w:b/>
          <w:bCs/>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通过要求供应商统一数据上报服务，帮助医院应对复杂多变的上报要求、解决数据质量问题、优化上报工作流程，为医院提供决策支持、统一数据出口并便于信息化管理，规范化管理医疗数据上报工作。</w:t>
      </w:r>
      <w:r>
        <w:rPr>
          <w:rFonts w:hint="eastAsia" w:ascii="宋体" w:hAnsi="宋体" w:eastAsia="宋体" w:cs="宋体"/>
          <w:b/>
          <w:bCs/>
          <w:sz w:val="24"/>
          <w:szCs w:val="24"/>
          <w:lang w:val="en-US" w:eastAsia="zh-CN"/>
        </w:rPr>
      </w:r>
      <w:r/>
    </w:p>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2" w:name="_Toc1865962510"/>
      <w:r>
        <w:rPr>
          <w:rFonts w:hint="eastAsia" w:ascii="宋体" w:hAnsi="宋体" w:eastAsia="宋体" w:cs="宋体"/>
          <w:b/>
          <w:sz w:val="24"/>
          <w:szCs w:val="24"/>
          <w:lang w:val="en-US" w:eastAsia="zh-CN" w:bidi="ar-SA"/>
        </w:rPr>
        <w:t xml:space="preserve">3.1 江苏省全民健康信息平台上报</w:t>
      </w:r>
      <w:bookmarkEnd w:id="812"/>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了解数据上报范围，根据上报要求为医院重建或补充48张业务表、检查之前上传的旧表并补传数据；通过（工具+服务）的形式，供应商应协助医院进行数据质量的监管，进一步确保上传数据的完整性、一致性和准确性；供应商应针对数据表质量，表与表之间的关联性等问题，向医院提出整改建议；培训医院相关人员对码工具的使用，以便日后医院可自行进行数据质量校验工作；在进行数据上传过程中供应商如发现数据源有问题需协助医院指导业务系统厂商进行问题数据整改；供应商应定期向院内反馈本周数据上传情况，问题源及改善计划等。</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基于国家卫健委发布的《国家二三级公立医院绩效考核指标》、省医管中心发布的《江苏省三级公立医院绩效考核简报》、《江苏省三级医疗机构医疗质量与运营绩效简报》、《省重点专科评审指标》，以及省卫健委信息中心发布的《数据质量通报》等考核指标，进行指标的计算服务，实现数据可视化和智能化分析。</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03"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1478"/>
        <w:gridCol w:w="4725"/>
      </w:tblGrid>
      <w:tr>
        <w:trPr>
          <w:trHeight w:val="352"/>
        </w:trPr>
        <w:tc>
          <w:tcPr>
            <w:tcW w:w="3400" w:type="dxa"/>
            <w:vAlign w:val="center"/>
            <w:textDirection w:val="lrTb"/>
            <w:noWrap w:val="false"/>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bidi="ar"/>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bidi="ar"/>
              </w:rPr>
            </w:r>
            <w:r/>
          </w:p>
        </w:tc>
      </w:tr>
      <w:tr>
        <w:trPr>
          <w:trHeight w:val="352"/>
        </w:trPr>
        <w:tc>
          <w:tcPr>
            <w:tcW w:w="340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江苏省全民健康信息平台上报</w:t>
            </w: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620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lang w:val="en-US" w:eastAsia="zh-CN" w:bidi="ar"/>
              </w:rPr>
            </w:r>
            <w:r/>
          </w:p>
        </w:tc>
      </w:tr>
      <w:tr>
        <w:trPr>
          <w:trHeight w:val="352"/>
        </w:trPr>
        <w:tc>
          <w:tcPr>
            <w:tcW w:w="3400" w:type="dxa"/>
            <w:vAlign w:val="center"/>
            <w:vMerge w:val="restart"/>
            <w:textDirection w:val="lrTb"/>
            <w:noWrap w:val="false"/>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江苏省全民健康信息平台上报指标建设服务</w:t>
            </w:r>
            <w:r>
              <w:rPr>
                <w:rFonts w:hint="eastAsia" w:ascii="宋体" w:hAnsi="宋体" w:eastAsia="宋体" w:cs="宋体"/>
                <w:i w:val="0"/>
                <w:iCs w:val="0"/>
                <w:color w:val="000000"/>
                <w:sz w:val="24"/>
                <w:szCs w:val="24"/>
                <w:u w:val="none"/>
              </w:rPr>
            </w:r>
            <w:r/>
          </w:p>
        </w:tc>
        <w:tc>
          <w:tcPr>
            <w:tcW w:w="147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指标服务</w:t>
            </w: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指标配置</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restart"/>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指标展现</w:t>
            </w: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绩效考核类指标</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continue"/>
            <w:textDirection w:val="lrTb"/>
            <w:noWrap/>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重点专科类指标</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478" w:type="dxa"/>
            <w:vAlign w:val="center"/>
            <w:vMerge w:val="continue"/>
            <w:textDirection w:val="lrTb"/>
            <w:noWrap/>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25"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等级评审指标</w:t>
            </w:r>
            <w:r>
              <w:rPr>
                <w:rFonts w:hint="eastAsia" w:ascii="宋体" w:hAnsi="宋体" w:eastAsia="宋体" w:cs="宋体"/>
                <w:i w:val="0"/>
                <w:iCs w:val="0"/>
                <w:color w:val="000000"/>
                <w:sz w:val="24"/>
                <w:szCs w:val="24"/>
                <w:u w:val="none"/>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3" w:name="_Toc1528208429"/>
      <w:r>
        <w:rPr>
          <w:rFonts w:hint="eastAsia" w:ascii="宋体" w:hAnsi="宋体" w:eastAsia="宋体" w:cs="宋体"/>
          <w:b/>
          <w:sz w:val="24"/>
          <w:szCs w:val="24"/>
          <w:lang w:val="en-US" w:eastAsia="zh-CN" w:bidi="ar-SA"/>
        </w:rPr>
        <w:t xml:space="preserve">3.2 常州市卫生信息平台上报</w:t>
      </w:r>
      <w:bookmarkEnd w:id="813"/>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供应商应根据常州市卫生信息平台数据接入规范协助医院进行常州市卫生信息平台数据上报，包含患者管理、检验检查等35张表数据，并且在数据上报服务过程中会根据最新的标准规范进行上报标准调整。</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18"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18"/>
      </w:tblGrid>
      <w:tr>
        <w:trPr>
          <w:trHeight w:val="352"/>
        </w:trPr>
        <w:tc>
          <w:tcPr>
            <w:tcW w:w="3400" w:type="dxa"/>
            <w:vAlign w:val="center"/>
            <w:textDirection w:val="lrTb"/>
            <w:noWrap w:val="false"/>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352"/>
        </w:trPr>
        <w:tc>
          <w:tcPr>
            <w:tcW w:w="3400"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常州市卫生信息平台上报</w:t>
            </w: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4" w:name="_Toc694648083"/>
      <w:r>
        <w:rPr>
          <w:rFonts w:hint="eastAsia" w:ascii="宋体" w:hAnsi="宋体" w:eastAsia="宋体" w:cs="宋体"/>
          <w:b/>
          <w:sz w:val="24"/>
          <w:szCs w:val="24"/>
          <w:lang w:val="en-US" w:eastAsia="zh-CN" w:bidi="ar-SA"/>
        </w:rPr>
        <w:t xml:space="preserve">3.3 HQMS（国家医院质量监测系统）上报</w:t>
      </w:r>
      <w:bookmarkEnd w:id="814"/>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供应商应根据《国家卫生健康委办公厅关于启动2023年度二级和三级公立医院绩效考核有关工作的通知》，于每月15日前将上一个月的住院病案首页数据上传至国家医院质量监测系统。</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18"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18"/>
      </w:tblGrid>
      <w:tr>
        <w:trPr>
          <w:trHeight w:val="352"/>
        </w:trPr>
        <w:tc>
          <w:tcPr>
            <w:tcW w:w="3400" w:type="dxa"/>
            <w:vAlign w:val="center"/>
            <w:textDirection w:val="lrTb"/>
            <w:noWrap w:val="false"/>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352"/>
        </w:trPr>
        <w:tc>
          <w:tcPr>
            <w:tcW w:w="3400"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HQMS（国家医院质量监测系统）上报</w:t>
            </w: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218"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bookmarkStart w:id="815" w:name="_Toc1229225889"/>
      <w:r>
        <w:rPr>
          <w:rFonts w:hint="eastAsia" w:ascii="宋体" w:hAnsi="宋体" w:eastAsia="宋体" w:cs="宋体"/>
          <w:b/>
          <w:sz w:val="24"/>
          <w:szCs w:val="24"/>
          <w:lang w:val="en-US" w:eastAsia="zh-CN" w:bidi="ar-SA"/>
        </w:rPr>
        <w:t xml:space="preserve">3.4 国家抗肿瘤药物临床应用监测网上报</w:t>
      </w:r>
      <w:bookmarkEnd w:id="815"/>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按照国家癌症中心全国抗肿瘤药物临床应用监测网要求采集恶性肿瘤患者的门（急）诊、住院、诊断、治疗、检查检验等相关数据，抗肿瘤药物采购和使用清单数据等，共计24张监测表，并进行数据关联性和标准化处理，将符条件的数据集导出，并上传至抗肿瘤监测网。</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基于国家卫健委发布的《国家二三级公立医院绩效考核指标》中肿瘤专业医疗质量控制指标，进行指标的计算服务。本次国家抗肿瘤药物临床应用监测网上报指标展现内容包含首次治疗前临床分期评估率、首次非手术治疗前病理学诊断率、术后病理TNM分期率、围手术期死亡率、首次靶向/免疫治疗前分子病理检测率、术中淋巴结清扫规范率等6类41项指标，实现数据可视化和智能化分析。</w:t>
      </w:r>
      <w:r>
        <w:rPr>
          <w:rFonts w:hint="eastAsia" w:ascii="宋体" w:hAnsi="宋体" w:eastAsia="宋体" w:cs="宋体"/>
          <w:b/>
          <w:bCs/>
          <w:sz w:val="24"/>
          <w:szCs w:val="24"/>
          <w:lang w:val="en-US" w:eastAsia="zh-CN"/>
        </w:rPr>
        <w:t xml:space="preserve">具体服务清单如下：</w:t>
      </w:r>
      <w:r>
        <w:rPr>
          <w:rFonts w:hint="eastAsia" w:ascii="宋体" w:hAnsi="宋体" w:eastAsia="宋体" w:cs="宋体"/>
          <w:sz w:val="24"/>
          <w:szCs w:val="24"/>
          <w:lang w:val="en-US" w:eastAsia="zh-CN"/>
        </w:rPr>
      </w:r>
      <w:r/>
    </w:p>
    <w:tbl>
      <w:tblPr>
        <w:tblW w:w="9633"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6233"/>
      </w:tblGrid>
      <w:tr>
        <w:trPr>
          <w:trHeight w:val="438"/>
        </w:trPr>
        <w:tc>
          <w:tcPr>
            <w:tcW w:w="3400" w:type="dxa"/>
            <w:vAlign w:val="center"/>
            <w:textDirection w:val="lrTb"/>
            <w:noWrap w:val="false"/>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服务项目名称</w:t>
            </w:r>
            <w:r>
              <w:rPr>
                <w:rFonts w:hint="eastAsia" w:ascii="宋体" w:hAnsi="宋体" w:eastAsia="宋体" w:cs="宋体"/>
                <w:b/>
                <w:bCs/>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服务项目内容</w:t>
            </w:r>
            <w:r>
              <w:rPr>
                <w:rFonts w:hint="eastAsia" w:ascii="宋体" w:hAnsi="宋体" w:eastAsia="宋体" w:cs="宋体"/>
                <w:b/>
                <w:bCs/>
                <w:i w:val="0"/>
                <w:iCs w:val="0"/>
                <w:color w:val="000000"/>
                <w:sz w:val="24"/>
                <w:szCs w:val="24"/>
                <w:u w:val="none"/>
                <w:lang w:val="en-US" w:eastAsia="zh-CN"/>
              </w:rPr>
            </w:r>
            <w:r/>
          </w:p>
        </w:tc>
      </w:tr>
      <w:tr>
        <w:trPr>
          <w:trHeight w:val="438"/>
        </w:trPr>
        <w:tc>
          <w:tcPr>
            <w:tcW w:w="3400"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国家抗肿瘤药物临床应用监测网上报</w:t>
            </w: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数据采集</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质量校验</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数据上传</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数据反馈</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问题数据排查</w:t>
            </w:r>
            <w:r>
              <w:rPr>
                <w:rFonts w:hint="eastAsia" w:ascii="宋体" w:hAnsi="宋体" w:eastAsia="宋体" w:cs="宋体"/>
                <w:i w:val="0"/>
                <w:iCs w:val="0"/>
                <w:color w:val="000000"/>
                <w:sz w:val="24"/>
                <w:szCs w:val="24"/>
                <w:u w:val="none"/>
                <w:lang w:val="en-US" w:eastAsia="zh-CN"/>
              </w:rPr>
            </w:r>
            <w:r/>
          </w:p>
        </w:tc>
      </w:tr>
      <w:tr>
        <w:trPr>
          <w:trHeight w:val="352"/>
        </w:trPr>
        <w:tc>
          <w:tcPr>
            <w:tcW w:w="3400"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tcW w:w="6233" w:type="dxa"/>
            <w:vAlign w:val="center"/>
            <w:textDirection w:val="lrTb"/>
            <w:noWrap/>
          </w:tcPr>
          <w:p>
            <w:pPr>
              <w:pStyle w:val="866"/>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指标配置</w:t>
            </w:r>
            <w:r>
              <w:rPr>
                <w:rFonts w:hint="eastAsia" w:ascii="宋体" w:hAnsi="宋体" w:eastAsia="宋体" w:cs="宋体"/>
                <w:i w:val="0"/>
                <w:iCs w:val="0"/>
                <w:color w:val="000000"/>
                <w:sz w:val="24"/>
                <w:szCs w:val="24"/>
                <w:u w:val="none"/>
                <w:lang w:val="en-US" w:eastAsia="zh-CN"/>
              </w:rPr>
            </w:r>
            <w:r/>
          </w:p>
        </w:tc>
      </w:tr>
    </w:tbl>
    <w:p>
      <w:pPr>
        <w:pStyle w:val="866"/>
        <w:numPr>
          <w:ilvl w:val="0"/>
          <w:numId w:val="0"/>
        </w:numPr>
        <w:ind w:firstLine="241"/>
        <w:jc w:val="both"/>
        <w:keepLines w:val="0"/>
        <w:keepNext w:val="0"/>
        <w:pageBreakBefore w:val="0"/>
        <w:spacing w:line="400" w:lineRule="exact"/>
        <w:widowControl w:val="off"/>
        <w:rPr>
          <w:rFonts w:hint="eastAsia" w:ascii="宋体" w:hAnsi="宋体" w:eastAsia="宋体" w:cs="宋体"/>
          <w:b/>
          <w:sz w:val="24"/>
          <w:szCs w:val="24"/>
          <w:lang w:val="en-US" w:eastAsia="zh-CN" w:bidi="ar-SA"/>
        </w:rPr>
        <w:outlineLvl w:val="4"/>
      </w:pPr>
      <w:r>
        <w:rPr>
          <w:rFonts w:hint="eastAsia" w:ascii="宋体" w:hAnsi="宋体" w:eastAsia="宋体" w:cs="宋体"/>
          <w:b/>
          <w:sz w:val="24"/>
          <w:szCs w:val="24"/>
          <w:lang w:val="en-US" w:eastAsia="zh-CN" w:bidi="ar-SA"/>
        </w:rPr>
        <w:t xml:space="preserve">4驻场服务</w:t>
      </w:r>
      <w:r>
        <w:rPr>
          <w:rFonts w:hint="eastAsia" w:ascii="宋体" w:hAnsi="宋体" w:eastAsia="宋体" w:cs="宋体"/>
          <w:b/>
          <w:sz w:val="24"/>
          <w:szCs w:val="24"/>
          <w:lang w:val="en-US" w:eastAsia="zh-CN" w:bidi="ar-SA"/>
        </w:rPr>
      </w:r>
      <w:r/>
    </w:p>
    <w:p>
      <w:pPr>
        <w:pStyle w:val="866"/>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两名专职驻场人员负责医院等级评审、专科质控、NCIS上报、江苏省重点专科创建及卫统年报等临时数据任务的全流程支撑，需具备从HIS等业务系统底层提取数据的SQL能力，并熟悉医院业务流程，能够独立完成指标口径梳理、逻辑校验及与临床、信息科的沟通协调，确保所有上报数据准确、可溯源。驻场人员详细能力要求：</w:t>
      </w:r>
      <w:r>
        <w:rPr>
          <w:rFonts w:hint="eastAsia" w:ascii="宋体" w:hAnsi="宋体" w:eastAsia="宋体" w:cs="宋体"/>
          <w:sz w:val="24"/>
          <w:szCs w:val="24"/>
          <w:highlight w:val="none"/>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4.1具有不少于4年相关工作经验，本科及以上学历水平，具备医院信息系统等业务系统的运维能力，有4年及以上HIS系统维护管理经验，熟练掌握HIS系统。</w:t>
      </w:r>
      <w:r>
        <w:rPr>
          <w:rFonts w:hint="eastAsia" w:ascii="宋体" w:hAnsi="宋体" w:eastAsia="宋体" w:cs="宋体"/>
          <w:sz w:val="24"/>
          <w:szCs w:val="24"/>
          <w:highlight w:val="none"/>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4.2熟练Oracle、MS SQL、MySQL、PG等主流数据库及应用软件；</w:t>
      </w:r>
      <w:r>
        <w:rPr>
          <w:rFonts w:hint="eastAsia" w:ascii="宋体" w:hAnsi="宋体" w:eastAsia="宋体" w:cs="宋体"/>
          <w:sz w:val="24"/>
          <w:szCs w:val="24"/>
          <w:lang w:val="en-US" w:eastAsia="zh-CN"/>
        </w:rPr>
      </w:r>
      <w:r/>
    </w:p>
    <w:p>
      <w:pPr>
        <w:pStyle w:val="866"/>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4.3熟悉医院HIS系统工作流程及业务结构。</w:t>
      </w:r>
      <w:r>
        <w:rPr>
          <w:rFonts w:hint="eastAsia" w:ascii="宋体" w:hAnsi="宋体" w:eastAsia="宋体" w:cs="宋体"/>
          <w:sz w:val="24"/>
          <w:szCs w:val="24"/>
          <w:lang w:val="en-US" w:eastAsia="zh-CN"/>
        </w:rPr>
      </w:r>
      <w:r/>
    </w:p>
    <w:p>
      <w:pPr>
        <w:pStyle w:val="866"/>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rPr>
        <w:t xml:space="preserve">院内业务系统配合改造</w:t>
      </w:r>
      <w:r>
        <w:rPr>
          <w:rFonts w:hint="eastAsia" w:ascii="宋体" w:hAnsi="宋体" w:eastAsia="宋体" w:cs="宋体"/>
          <w:b/>
          <w:bCs/>
          <w:sz w:val="24"/>
          <w:szCs w:val="24"/>
          <w:lang w:val="en-US" w:eastAsia="zh-CN"/>
        </w:rPr>
      </w:r>
      <w:r/>
    </w:p>
    <w:p>
      <w:pPr>
        <w:pStyle w:val="866"/>
        <w:ind w:firstLine="240"/>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实际服务过程中涉及到HIS系统、CIS医生站、护士站、移动管理护理系统、心电系统、手麻系统、病理系统、LIS系统、RIS系统、急诊系统、重症系统、血透系统等系统的改造工作。</w:t>
      </w:r>
      <w:r>
        <w:rPr>
          <w:rFonts w:ascii="宋体" w:hAnsi="宋体" w:eastAsia="宋体" w:cs="宋体"/>
          <w:b/>
          <w:bCs/>
          <w:sz w:val="24"/>
          <w:szCs w:val="24"/>
          <w:lang w:val="en-US" w:eastAsia="zh-CN"/>
        </w:rPr>
      </w:r>
      <w:r/>
    </w:p>
    <w:p>
      <w:pPr>
        <w:pStyle w:val="967"/>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（三）考核要求：</w:t>
      </w:r>
      <w:r>
        <w:rPr>
          <w:rFonts w:hint="eastAsia" w:ascii="宋体" w:hAnsi="宋体" w:eastAsia="宋体" w:cs="宋体"/>
          <w:b/>
          <w:bCs/>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为了加强服务质量管理和质量标准，制订了适应于本服务的检查验收规定和质量评定标准，确保工程质量。</w:t>
      </w:r>
      <w:r>
        <w:rPr>
          <w:rFonts w:hint="eastAsia" w:ascii="宋体" w:hAnsi="宋体" w:eastAsia="宋体" w:cs="宋体"/>
          <w:b w:val="0"/>
          <w:bCs w:val="0"/>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highlight w:val="yellow"/>
          <w:u w:val="single"/>
          <w:lang w:val="en-US" w:eastAsia="zh-CN"/>
        </w:rPr>
      </w:pPr>
      <w:r>
        <w:rPr>
          <w:rFonts w:hint="eastAsia" w:ascii="宋体" w:hAnsi="宋体" w:eastAsia="宋体" w:cs="宋体"/>
          <w:b w:val="0"/>
          <w:bCs w:val="0"/>
          <w:sz w:val="24"/>
          <w:szCs w:val="24"/>
          <w:lang w:val="en-US" w:eastAsia="zh-CN"/>
        </w:rPr>
        <w:t xml:space="preserve">从签订合同生效之日起算，院方对服务商服务质量进行考核，考核完成后形成考核报告，考核结果直接与服务合同付款金额挂钩</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bCs/>
          <w:sz w:val="24"/>
          <w:szCs w:val="24"/>
          <w:highlight w:val="none"/>
          <w:u w:val="single"/>
          <w:lang w:val="en-US" w:eastAsia="zh-CN"/>
        </w:rPr>
        <w:t xml:space="preserve">详见合同附件1：考核办法</w:t>
      </w:r>
      <w:r>
        <w:rPr>
          <w:rFonts w:hint="eastAsia" w:ascii="宋体" w:hAnsi="宋体" w:eastAsia="宋体" w:cs="宋体"/>
          <w:b/>
          <w:bCs/>
          <w:sz w:val="24"/>
          <w:szCs w:val="24"/>
          <w:highlight w:val="yellow"/>
          <w:u w:val="single"/>
          <w:lang w:val="en-US" w:eastAsia="zh-CN"/>
        </w:rPr>
      </w:r>
      <w:r/>
    </w:p>
    <w:p>
      <w:pPr>
        <w:pStyle w:val="866"/>
        <w:numPr>
          <w:ilvl w:val="0"/>
          <w:numId w:val="0"/>
        </w:numPr>
        <w:keepLines w:val="0"/>
        <w:keepNext w:val="0"/>
        <w:pageBreakBefore w:val="0"/>
        <w:spacing w:beforeAutospacing="0" w:afterAutospacing="0" w:line="400" w:lineRule="exact"/>
        <w:widowControl/>
        <w:rPr>
          <w:rFonts w:ascii="宋体" w:hAnsi="宋体" w:eastAsia="宋体" w:cs="宋体"/>
          <w:b/>
          <w:bCs/>
          <w:sz w:val="24"/>
          <w:szCs w:val="24"/>
          <w:highlight w:val="green"/>
          <w:u w:val="single"/>
          <w:lang w:val="en-US" w:eastAsia="zh-CN"/>
        </w:rPr>
      </w:pPr>
      <w:r>
        <w:rPr>
          <w:rFonts w:hint="eastAsia" w:ascii="宋体" w:hAnsi="宋体" w:eastAsia="宋体" w:cs="宋体"/>
          <w:b/>
          <w:bCs/>
          <w:sz w:val="24"/>
          <w:szCs w:val="24"/>
          <w:highlight w:val="none"/>
          <w:u w:val="single"/>
          <w:lang w:val="en-US" w:eastAsia="zh-CN"/>
        </w:rPr>
        <w:t xml:space="preserve">（四）因本项目存在特殊性，项目后期具体实施将结合参照最新发布的《</w:t>
      </w:r>
      <w:r>
        <w:rPr>
          <w:rFonts w:hint="eastAsia" w:ascii="宋体" w:hAnsi="宋体" w:eastAsia="宋体" w:cs="宋体"/>
          <w:b/>
          <w:bCs/>
          <w:sz w:val="24"/>
          <w:szCs w:val="24"/>
          <w:highlight w:val="none"/>
          <w:u w:val="single"/>
          <w:lang w:val="en-US" w:eastAsia="zh-CN"/>
        </w:rPr>
        <w:t xml:space="preserve">江苏省三级综合医院评审标准实施细则</w:t>
      </w:r>
      <w:r>
        <w:rPr>
          <w:rFonts w:hint="eastAsia" w:ascii="宋体" w:hAnsi="宋体" w:eastAsia="宋体" w:cs="宋体"/>
          <w:b/>
          <w:bCs/>
          <w:sz w:val="24"/>
          <w:szCs w:val="24"/>
          <w:highlight w:val="none"/>
          <w:u w:val="single"/>
          <w:lang w:val="en-US" w:eastAsia="zh-CN"/>
        </w:rPr>
        <w:t xml:space="preserve">》执行</w:t>
      </w:r>
      <w:r>
        <w:rPr>
          <w:rFonts w:hint="eastAsia" w:ascii="宋体" w:hAnsi="宋体" w:eastAsia="宋体" w:cs="宋体"/>
          <w:b/>
          <w:bCs/>
          <w:sz w:val="24"/>
          <w:szCs w:val="24"/>
          <w:highlight w:val="none"/>
          <w:u w:val="single"/>
          <w:lang w:val="en-US" w:eastAsia="zh-CN"/>
        </w:rPr>
        <w:t xml:space="preserve">。</w:t>
      </w:r>
      <w:r>
        <w:rPr>
          <w:rFonts w:ascii="宋体" w:hAnsi="宋体" w:eastAsia="宋体" w:cs="宋体"/>
          <w:b/>
          <w:bCs/>
          <w:sz w:val="24"/>
          <w:szCs w:val="24"/>
          <w:highlight w:val="green"/>
          <w:u w:val="single"/>
          <w:lang w:val="en-US" w:eastAsia="zh-CN"/>
        </w:rPr>
      </w:r>
      <w:r/>
    </w:p>
    <w:p>
      <w:pPr>
        <w:pStyle w:val="866"/>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四、实质性条款</w:t>
      </w:r>
      <w:r>
        <w:rPr>
          <w:rFonts w:hint="eastAsia" w:ascii="宋体" w:hAnsi="宋体" w:eastAsia="宋体" w:cs="宋体"/>
          <w:b/>
          <w:bCs/>
          <w:sz w:val="24"/>
          <w:szCs w:val="24"/>
          <w:lang w:val="en-US" w:eastAsia="zh-CN"/>
        </w:rPr>
      </w:r>
      <w:r/>
    </w:p>
    <w:tbl>
      <w:tblPr>
        <w:tblW w:w="48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trHeight w:val="571"/>
        </w:trPr>
        <w:tc>
          <w:tcPr>
            <w:tcW w:w="725" w:type="dxa"/>
            <w:vAlign w:val="center"/>
            <w:textDirection w:val="lrTb"/>
            <w:noWrap w:val="false"/>
          </w:tcPr>
          <w:p>
            <w:pPr>
              <w:pStyle w:val="86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8979" w:type="dxa"/>
            <w:vAlign w:val="center"/>
            <w:textDirection w:val="lrTb"/>
            <w:noWrap w:val="false"/>
          </w:tcPr>
          <w:p>
            <w:pPr>
              <w:pStyle w:val="86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480"/>
        </w:trPr>
        <w:tc>
          <w:tcPr>
            <w:tcW w:w="725" w:type="dxa"/>
            <w:vAlign w:val="center"/>
            <w:textDirection w:val="lrTb"/>
            <w:noWrap w:val="false"/>
          </w:tcPr>
          <w:p>
            <w:pPr>
              <w:pStyle w:val="86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8979" w:type="dxa"/>
            <w:vAlign w:val="center"/>
            <w:textDirection w:val="lrTb"/>
            <w:noWrap w:val="false"/>
          </w:tcPr>
          <w:p>
            <w:pPr>
              <w:pStyle w:val="866"/>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val="en-US" w:eastAsia="zh-CN"/>
              </w:rPr>
            </w:r>
            <w:r/>
          </w:p>
        </w:tc>
      </w:tr>
    </w:tbl>
    <w:p>
      <w:pPr>
        <w:pStyle w:val="866"/>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五、采购标的对应的中小企业划分标准所属行业一览表</w:t>
      </w:r>
      <w:r>
        <w:rPr>
          <w:rFonts w:hint="eastAsia" w:ascii="宋体" w:hAnsi="宋体" w:eastAsia="宋体" w:cs="宋体"/>
          <w:b/>
          <w:bCs/>
          <w:sz w:val="24"/>
          <w:szCs w:val="24"/>
          <w:lang w:val="en-US" w:eastAsia="zh-CN"/>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等级医院评审指标和重点专科指标管理服务项目</w:t>
            </w:r>
            <w:r>
              <w:rPr>
                <w:rFonts w:hint="eastAsia" w:ascii="宋体" w:hAnsi="宋体" w:eastAsia="宋体" w:cs="宋体"/>
                <w:sz w:val="24"/>
                <w:szCs w:val="24"/>
              </w:rPr>
            </w:r>
            <w:r/>
          </w:p>
        </w:tc>
        <w:tc>
          <w:tcPr>
            <w:tcW w:w="6651" w:type="dxa"/>
            <w:vAlign w:val="center"/>
            <w:textDirection w:val="lrTb"/>
            <w:noWrap w:val="false"/>
          </w:tcPr>
          <w:p>
            <w:pPr>
              <w:pStyle w:val="866"/>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w:t>
            </w:r>
            <w:r>
              <w:rPr>
                <w:rFonts w:hint="eastAsia" w:ascii="宋体" w:hAnsi="宋体" w:eastAsia="宋体" w:cs="宋体"/>
                <w:color w:val="000000"/>
                <w:sz w:val="24"/>
                <w:szCs w:val="24"/>
                <w:lang w:val="zh-TW" w:eastAsia="zh-CN"/>
              </w:rPr>
              <w:t xml:space="preserve">于</w:t>
            </w:r>
            <w:r>
              <w:rPr>
                <w:rFonts w:hint="eastAsia" w:ascii="宋体" w:hAnsi="宋体" w:eastAsia="宋体" w:cs="宋体"/>
                <w:b/>
                <w:bCs/>
                <w:color w:val="000000"/>
                <w:sz w:val="24"/>
                <w:szCs w:val="24"/>
                <w:u w:val="single"/>
                <w:lang w:val="en-US" w:eastAsia="zh-CN"/>
              </w:rPr>
              <w:t xml:space="preserve">服务</w:t>
            </w:r>
            <w:r>
              <w:rPr>
                <w:rFonts w:hint="eastAsia" w:ascii="宋体" w:hAnsi="宋体" w:eastAsia="宋体" w:cs="宋体"/>
                <w:b/>
                <w:bCs/>
                <w:color w:val="000000"/>
                <w:sz w:val="24"/>
                <w:szCs w:val="24"/>
                <w:u w:val="single"/>
                <w:lang w:val="zh-TW" w:eastAsia="zh-CN"/>
              </w:rPr>
              <w:t xml:space="preserve">类</w:t>
            </w:r>
            <w:r>
              <w:rPr>
                <w:rFonts w:hint="eastAsia" w:ascii="宋体" w:hAnsi="宋体" w:eastAsia="宋体" w:cs="宋体"/>
                <w:color w:val="000000"/>
                <w:sz w:val="24"/>
                <w:szCs w:val="24"/>
                <w:lang w:val="zh-TW" w:eastAsia="zh-CN"/>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（《关于印发中小企业划型标准规定的通知》工信部联企业</w:t>
            </w: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lang w:eastAsia="zh-CN"/>
              </w:rPr>
              <w:t xml:space="preserve">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866"/>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六、报价方式</w:t>
      </w:r>
      <w:r>
        <w:rPr>
          <w:rFonts w:hint="eastAsia" w:ascii="宋体" w:hAnsi="宋体" w:eastAsia="宋体" w:cs="宋体"/>
          <w:b/>
          <w:bCs/>
          <w:sz w:val="24"/>
          <w:szCs w:val="24"/>
          <w:lang w:val="en-US" w:eastAsia="zh-CN"/>
        </w:rPr>
      </w:r>
      <w:r/>
    </w:p>
    <w:p>
      <w:pPr>
        <w:pStyle w:val="866"/>
        <w:numPr>
          <w:ilvl w:val="0"/>
          <w:numId w:val="0"/>
        </w:numPr>
        <w:contextualSpacing/>
        <w:ind w:firstLine="24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本项目</w:t>
      </w:r>
      <w:r>
        <w:rPr>
          <w:rFonts w:hint="eastAsia" w:ascii="宋体" w:hAnsi="宋体" w:eastAsia="宋体" w:cs="宋体"/>
          <w:b/>
          <w:bCs w:val="0"/>
          <w:color w:val="000000"/>
          <w:sz w:val="24"/>
          <w:szCs w:val="24"/>
          <w:highlight w:val="none"/>
          <w:u w:val="single"/>
          <w:lang w:val="en-US" w:eastAsia="zh-CN"/>
        </w:rPr>
        <w:t xml:space="preserve">按总价报价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val="0"/>
          <w:bCs/>
          <w:color w:val="000000"/>
          <w:sz w:val="24"/>
          <w:szCs w:val="24"/>
          <w:lang w:val="en-US" w:eastAsia="zh-CN"/>
        </w:rPr>
        <w:t xml:space="preserve">包括但不限于该项目所有服务、人工、设备、保险、调试、验收、备品备件、专用工具、二次运输、技术服务、增值税、风险、税金、利润以及政策性文件规定的各项应有费用。甲方不再支付报价以外的任何费用。</w:t>
      </w:r>
      <w:r>
        <w:rPr>
          <w:rFonts w:hint="eastAsia" w:ascii="宋体" w:hAnsi="宋体" w:eastAsia="宋体" w:cs="宋体"/>
          <w:b w:val="0"/>
          <w:bCs/>
          <w:color w:val="000000"/>
          <w:sz w:val="24"/>
          <w:szCs w:val="24"/>
          <w:lang w:val="en-US" w:eastAsia="zh-CN"/>
        </w:rPr>
      </w:r>
      <w:r/>
    </w:p>
    <w:p>
      <w:pPr>
        <w:pStyle w:val="866"/>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yellow"/>
          <w:lang w:val="en-US" w:eastAsia="zh-CN"/>
        </w:rPr>
      </w:r>
      <w:r/>
    </w:p>
    <w:p>
      <w:pPr>
        <w:pStyle w:val="866"/>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val="0"/>
          <w:bCs/>
          <w:color w:val="000000"/>
          <w:sz w:val="24"/>
          <w:szCs w:val="24"/>
          <w:highlight w:val="yellow"/>
          <w:lang w:val="en-US" w:eastAsia="zh-CN"/>
        </w:rPr>
      </w:r>
      <w:r/>
    </w:p>
    <w:p>
      <w:pPr>
        <w:pStyle w:val="866"/>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第六章   拟签订的合同文本</w:t>
      </w:r>
      <w:bookmarkEnd w:id="811"/>
      <w:r>
        <w:rPr>
          <w:b/>
          <w:sz w:val="36"/>
          <w:szCs w:val="36"/>
        </w:rPr>
      </w:r>
      <w:r/>
    </w:p>
    <w:p>
      <w:pPr>
        <w:pStyle w:val="866"/>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6"/>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6"/>
        <w:jc w:val="center"/>
        <w:keepLines w:val="0"/>
        <w:keepNext w:val="0"/>
        <w:pageBreakBefore w:val="0"/>
        <w:spacing w:line="360" w:lineRule="auto"/>
        <w:widowControl w:val="off"/>
        <w:rPr>
          <w:rFonts w:hint="eastAsia"/>
          <w:b/>
          <w:sz w:val="36"/>
          <w:szCs w:val="36"/>
        </w:rPr>
        <w:outlineLvl w:val="9"/>
      </w:pPr>
      <w:r>
        <w:rPr>
          <w:rFonts w:hint="eastAsia" w:ascii="宋体" w:hAnsi="宋体" w:cs="宋体"/>
          <w:b/>
          <w:sz w:val="36"/>
          <w:szCs w:val="36"/>
          <w:lang w:eastAsia="zh-CN"/>
        </w:rPr>
        <w:t xml:space="preserve">等级医院评审指标和重点专科指标管理服务项目</w:t>
      </w:r>
      <w:r>
        <w:rPr>
          <w:rFonts w:hint="eastAsia" w:ascii="宋体" w:hAnsi="宋体" w:cs="宋体"/>
          <w:b/>
          <w:sz w:val="36"/>
          <w:szCs w:val="36"/>
        </w:rPr>
        <w:t xml:space="preserve">合同</w:t>
      </w:r>
      <w:r>
        <w:rPr>
          <w:rFonts w:hint="eastAsia"/>
          <w:b/>
          <w:sz w:val="36"/>
          <w:szCs w:val="36"/>
        </w:rPr>
      </w:r>
      <w:r/>
    </w:p>
    <w:p>
      <w:pPr>
        <w:pStyle w:val="866"/>
        <w:jc w:val="both"/>
        <w:spacing w:line="360" w:lineRule="auto"/>
        <w:rPr>
          <w:rFonts w:hint="eastAsia"/>
          <w:b/>
          <w:sz w:val="36"/>
          <w:szCs w:val="36"/>
        </w:rPr>
        <w:outlineLvl w:val="0"/>
      </w:pPr>
      <w:r>
        <w:rPr>
          <w:rFonts w:hint="eastAsia"/>
          <w:b/>
          <w:sz w:val="36"/>
          <w:szCs w:val="36"/>
        </w:rPr>
      </w:r>
      <w:r/>
    </w:p>
    <w:p>
      <w:pPr>
        <w:pStyle w:val="866"/>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r>
      <w:r/>
    </w:p>
    <w:p>
      <w:pPr>
        <w:pStyle w:val="866"/>
        <w:ind w:firstLine="843"/>
        <w:jc w:val="left"/>
        <w:keepLines w:val="0"/>
        <w:keepNext w:val="0"/>
        <w:pageBreakBefore w:val="0"/>
        <w:spacing w:line="480" w:lineRule="auto"/>
        <w:widowControl w:val="off"/>
        <w:rPr>
          <w:rFonts w:ascii="宋体" w:hAnsi="宋体" w:eastAsia="宋体" w:cs="宋体"/>
          <w:b/>
          <w:sz w:val="28"/>
          <w:szCs w:val="28"/>
          <w:lang w:val="en-US" w:eastAsia="zh-CN"/>
        </w:rPr>
        <w:outlineLvl w:val="9"/>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866"/>
        <w:ind w:firstLine="843"/>
        <w:jc w:val="left"/>
        <w:keepLines w:val="0"/>
        <w:keepNext w:val="0"/>
        <w:pageBreakBefore w:val="0"/>
        <w:spacing w:line="480" w:lineRule="auto"/>
        <w:widowControl w:val="off"/>
        <w:rPr>
          <w:rFonts w:hint="eastAsia" w:ascii="宋体" w:hAnsi="宋体" w:eastAsia="宋体" w:cs="宋体"/>
          <w:b/>
          <w:sz w:val="28"/>
          <w:szCs w:val="28"/>
          <w:lang w:eastAsia="zh-CN"/>
        </w:rPr>
        <w:outlineLvl w:val="9"/>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866"/>
        <w:ind w:firstLine="843"/>
        <w:jc w:val="left"/>
        <w:keepLines w:val="0"/>
        <w:keepNext w:val="0"/>
        <w:pageBreakBefore w:val="0"/>
        <w:spacing w:line="48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866"/>
        <w:ind w:firstLine="843"/>
        <w:jc w:val="left"/>
        <w:keepLines w:val="0"/>
        <w:keepNext w:val="0"/>
        <w:pageBreakBefore w:val="0"/>
        <w:spacing w:line="480" w:lineRule="auto"/>
        <w:widowControl w:val="off"/>
        <w:rPr>
          <w:rFonts w:hint="eastAsia" w:ascii="宋体" w:hAnsi="宋体" w:eastAsia="宋体" w:cs="宋体"/>
          <w:b/>
          <w:sz w:val="28"/>
          <w:szCs w:val="28"/>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b/>
          <w:sz w:val="28"/>
          <w:szCs w:val="28"/>
        </w:rPr>
        <w:t xml:space="preserve">供应商名称：</w:t>
      </w:r>
      <w:bookmarkStart w:id="816" w:name="_Toc99301426"/>
      <w:r>
        <w:rPr>
          <w:rFonts w:hint="eastAsia" w:ascii="宋体" w:hAnsi="宋体" w:eastAsia="宋体" w:cs="宋体"/>
          <w:b/>
          <w:sz w:val="28"/>
          <w:szCs w:val="28"/>
        </w:rPr>
      </w:r>
      <w:r/>
    </w:p>
    <w:p>
      <w:pPr>
        <w:pStyle w:val="866"/>
        <w:ind w:firstLine="964"/>
        <w:jc w:val="left"/>
        <w:keepLines w:val="0"/>
        <w:keepNext w:val="0"/>
        <w:pageBreakBefore w:val="0"/>
        <w:spacing w:line="48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eastAsia="zh-CN"/>
        </w:rPr>
        <w:t xml:space="preserve">等级医院评审指标和重点专科指标管理服务项目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866"/>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866"/>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866"/>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lang w:val="zh-CN" w:bidi="zh-CN"/>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zh-CN" w:bidi="zh-CN"/>
        </w:rPr>
        <w:t xml:space="preserve">签订时间：</w:t>
      </w:r>
      <w:r>
        <w:rPr>
          <w:rFonts w:hint="eastAsia" w:ascii="宋体" w:hAnsi="宋体" w:eastAsia="宋体" w:cs="宋体"/>
          <w:color w:val="000000" w:themeColor="text1"/>
          <w:sz w:val="24"/>
          <w:szCs w:val="24"/>
          <w:lang w:bidi="zh-CN"/>
        </w:rPr>
        <w:t xml:space="preserve">   年   月    日</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zh-CN"/>
        </w:rPr>
        <w:t xml:space="preserve">根据《中华人民共和国民法典》、《中华人民共和国政府采购法》以及</w:t>
      </w:r>
      <w:r>
        <w:rPr>
          <w:rFonts w:hint="eastAsia" w:ascii="宋体" w:hAnsi="宋体" w:eastAsia="宋体" w:cs="宋体"/>
          <w:color w:val="000000" w:themeColor="text1"/>
          <w:sz w:val="24"/>
          <w:szCs w:val="24"/>
          <w:u w:val="single"/>
          <w:lang w:bidi="zh-CN"/>
        </w:rPr>
        <w:t xml:space="preserve">            </w:t>
      </w:r>
      <w:r>
        <w:rPr>
          <w:rFonts w:hint="eastAsia" w:ascii="宋体" w:hAnsi="宋体" w:eastAsia="宋体" w:cs="宋体"/>
          <w:color w:val="000000" w:themeColor="text1"/>
          <w:sz w:val="24"/>
          <w:szCs w:val="24"/>
          <w:lang w:bidi="zh-CN"/>
        </w:rPr>
        <w:t xml:space="preserve">《招标文件》、乙方《投标文件》，遵循平等、自愿、公平和诚实信用等原则，经甲乙双方协商一致，约定以下合同条款，以兹共同遵守、全面履行。</w:t>
      </w:r>
      <w:r>
        <w:rPr>
          <w:color w:val="000000" w:themeColor="text1"/>
        </w:rPr>
      </w:r>
      <w:r/>
    </w:p>
    <w:p>
      <w:pPr>
        <w:pStyle w:val="866"/>
        <w:contextualSpacing/>
        <w:ind w:left="0" w:firstLine="241"/>
        <w:jc w:val="both"/>
        <w:keepLines w:val="0"/>
        <w:keepNext w:val="0"/>
        <w:pageBreakBefore w:val="0"/>
        <w:spacing w:line="400" w:lineRule="exact"/>
        <w:widowControl w:val="off"/>
        <w:rPr>
          <w:rFonts w:hint="eastAsia" w:ascii="宋体" w:hAnsi="宋体" w:eastAsia="宋体" w:cs="宋体"/>
          <w:bCs/>
          <w:color w:val="000000" w:themeColor="text1"/>
          <w:sz w:val="24"/>
          <w:szCs w:val="24"/>
        </w:rPr>
        <w:outlineLvl w:val="9"/>
      </w:pPr>
      <w:r>
        <w:rPr>
          <w:rFonts w:hint="eastAsia" w:ascii="宋体" w:hAnsi="宋体" w:eastAsia="宋体" w:cs="宋体"/>
          <w:b/>
          <w:color w:val="000000" w:themeColor="text1"/>
          <w:sz w:val="24"/>
          <w:szCs w:val="24"/>
          <w:lang w:val="en-US" w:eastAsia="zh-CN" w:bidi="ar-SA"/>
        </w:rPr>
        <w:t xml:space="preserve">一、采购标的</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标</w:t>
      </w:r>
      <w:r>
        <w:rPr>
          <w:rFonts w:hint="eastAsia" w:ascii="宋体" w:hAnsi="宋体" w:eastAsia="宋体" w:cs="宋体"/>
          <w:bCs/>
          <w:color w:val="000000" w:themeColor="text1"/>
          <w:sz w:val="24"/>
          <w:szCs w:val="24"/>
        </w:rPr>
        <w:t xml:space="preserve">的名称：</w:t>
      </w:r>
      <w:r>
        <w:rPr>
          <w:rFonts w:hint="eastAsia" w:ascii="宋体" w:hAnsi="宋体" w:eastAsia="宋体" w:cs="宋体"/>
          <w:bCs/>
          <w:color w:val="000000" w:themeColor="text1"/>
          <w:sz w:val="24"/>
          <w:szCs w:val="24"/>
          <w:lang w:eastAsia="zh-CN"/>
        </w:rPr>
        <w:t xml:space="preserve">等级医院评审指标和重点专科指标管理服务项目</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标的质量：</w:t>
      </w:r>
      <w:r>
        <w:rPr>
          <w:rFonts w:hint="eastAsia" w:ascii="宋体" w:hAnsi="宋体" w:eastAsia="宋体" w:cs="宋体"/>
          <w:bCs/>
          <w:color w:val="000000" w:themeColor="text1"/>
          <w:sz w:val="24"/>
          <w:szCs w:val="24"/>
          <w:lang w:val="en-US" w:eastAsia="zh-CN"/>
        </w:rPr>
        <w:t xml:space="preserve">合格，满足甲方要求、符合行业及国家规定标准。</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履行时间（期限）：</w:t>
      </w:r>
      <w:r>
        <w:rPr>
          <w:rFonts w:hint="eastAsia" w:ascii="宋体" w:hAnsi="宋体" w:eastAsia="宋体" w:cs="宋体"/>
          <w:bCs/>
          <w:color w:val="000000" w:themeColor="text1"/>
          <w:sz w:val="24"/>
          <w:szCs w:val="24"/>
          <w:highlight w:val="none"/>
          <w:u w:val="single"/>
          <w:lang w:val="en-US" w:eastAsia="zh-CN"/>
        </w:rPr>
        <w:t xml:space="preserve">自合同签订之日起至2027年6月30日前，实现初步评审条件；整体项目需在2027年12月31日前完成交付。</w:t>
      </w:r>
      <w:r>
        <w:rPr>
          <w:color w:val="000000" w:themeColor="text1"/>
        </w:rPr>
      </w:r>
      <w:r/>
    </w:p>
    <w:p>
      <w:pPr>
        <w:pStyle w:val="866"/>
        <w:ind w:left="0" w:firstLine="720"/>
        <w:jc w:val="left"/>
        <w:keepLines w:val="0"/>
        <w:keepNext w:val="0"/>
        <w:pageBreakBefore w:val="0"/>
        <w:spacing w:line="400" w:lineRule="exact"/>
        <w:widowControl/>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履行地点：</w:t>
      </w:r>
      <w:r>
        <w:rPr>
          <w:rFonts w:hint="eastAsia" w:ascii="宋体" w:hAnsi="宋体" w:eastAsia="宋体" w:cs="宋体"/>
          <w:bCs/>
          <w:color w:val="000000" w:themeColor="text1"/>
          <w:sz w:val="24"/>
          <w:szCs w:val="24"/>
          <w:highlight w:val="none"/>
          <w:u w:val="single"/>
          <w:lang w:val="en-US" w:eastAsia="zh-CN"/>
        </w:rPr>
        <w:t xml:space="preserve">常州市金坛第一人民医院。</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履行方式：</w:t>
      </w:r>
      <w:r>
        <w:rPr>
          <w:rFonts w:hint="eastAsia" w:ascii="宋体" w:hAnsi="宋体" w:eastAsia="宋体" w:cs="宋体"/>
          <w:bCs/>
          <w:color w:val="000000" w:themeColor="text1"/>
          <w:sz w:val="24"/>
          <w:szCs w:val="24"/>
          <w:lang w:val="en-US" w:eastAsia="zh-CN"/>
        </w:rPr>
        <w:t xml:space="preserve">现场服务</w:t>
      </w:r>
      <w:r>
        <w:rPr>
          <w:rFonts w:hint="eastAsia" w:ascii="宋体" w:hAnsi="宋体" w:eastAsia="宋体" w:cs="宋体"/>
          <w:bCs/>
          <w:color w:val="000000" w:themeColor="text1"/>
          <w:sz w:val="24"/>
          <w:szCs w:val="24"/>
        </w:rPr>
        <w:t xml:space="preserve"> </w:t>
      </w:r>
      <w:r>
        <w:rPr>
          <w:color w:val="000000" w:themeColor="text1"/>
        </w:rPr>
      </w:r>
      <w:r/>
    </w:p>
    <w:p>
      <w:pPr>
        <w:pStyle w:val="866"/>
        <w:contextualSpacing/>
        <w:ind w:left="0" w:firstLine="241"/>
        <w:jc w:val="left"/>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二、</w:t>
      </w:r>
      <w:r>
        <w:rPr>
          <w:rFonts w:hint="eastAsia" w:ascii="宋体" w:hAnsi="宋体" w:eastAsia="宋体" w:cs="宋体"/>
          <w:b/>
          <w:bCs/>
          <w:color w:val="000000" w:themeColor="text1"/>
          <w:sz w:val="24"/>
          <w:szCs w:val="24"/>
          <w:lang w:val="en-US" w:eastAsia="zh-CN" w:bidi="zh-CN"/>
        </w:rPr>
        <w:t xml:space="preserve">合同总价</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pacing w:val="-4"/>
          <w:sz w:val="24"/>
          <w:szCs w:val="24"/>
          <w:u w:val="single"/>
        </w:rPr>
        <w:outlineLvl w:val="9"/>
      </w:pPr>
      <w:r>
        <w:rPr>
          <w:rFonts w:hint="eastAsia" w:ascii="宋体" w:hAnsi="宋体" w:eastAsia="宋体" w:cs="宋体"/>
          <w:color w:val="000000" w:themeColor="text1"/>
          <w:sz w:val="24"/>
          <w:szCs w:val="24"/>
          <w:lang w:val="en-US" w:bidi="zh-CN"/>
        </w:rPr>
        <w:t xml:space="preserve">1</w:t>
      </w:r>
      <w:r>
        <w:rPr>
          <w:rFonts w:hint="eastAsia" w:ascii="宋体" w:hAnsi="宋体" w:eastAsia="宋体" w:cs="宋体"/>
          <w:color w:val="000000" w:themeColor="text1"/>
          <w:sz w:val="24"/>
          <w:szCs w:val="24"/>
          <w:lang w:bidi="zh-CN"/>
        </w:rPr>
        <w:t xml:space="preserve">、本合同总价为：</w:t>
      </w:r>
      <w:r>
        <w:rPr>
          <w:rFonts w:hint="eastAsia" w:ascii="宋体" w:hAnsi="宋体" w:eastAsia="宋体" w:cs="宋体"/>
          <w:color w:val="000000" w:themeColor="text1"/>
          <w:spacing w:val="-4"/>
          <w:sz w:val="24"/>
          <w:szCs w:val="24"/>
          <w:u w:val="single"/>
        </w:rPr>
        <w:t xml:space="preserve">人民币      </w:t>
      </w:r>
      <w:r>
        <w:rPr>
          <w:rFonts w:hint="eastAsia" w:ascii="宋体" w:hAnsi="宋体" w:eastAsia="宋体" w:cs="宋体"/>
          <w:color w:val="000000" w:themeColor="text1"/>
          <w:spacing w:val="-4"/>
          <w:sz w:val="24"/>
          <w:szCs w:val="24"/>
          <w:u w:val="single"/>
          <w:lang w:val="en-US"/>
        </w:rPr>
        <w:t xml:space="preserve">     </w:t>
      </w:r>
      <w:r>
        <w:rPr>
          <w:rFonts w:hint="eastAsia" w:ascii="宋体" w:hAnsi="宋体" w:eastAsia="宋体" w:cs="宋体"/>
          <w:color w:val="000000" w:themeColor="text1"/>
          <w:spacing w:val="-4"/>
          <w:sz w:val="24"/>
          <w:szCs w:val="24"/>
          <w:u w:val="single"/>
        </w:rPr>
        <w:t xml:space="preserve"> 元整，</w:t>
      </w:r>
      <w:r>
        <w:rPr>
          <w:rFonts w:hint="eastAsia" w:ascii="宋体" w:hAnsi="宋体" w:eastAsia="宋体" w:cs="宋体"/>
          <w:color w:val="000000" w:themeColor="text1"/>
          <w:spacing w:val="-4"/>
          <w:sz w:val="24"/>
          <w:szCs w:val="24"/>
          <w:u w:val="single"/>
          <w:lang w:val="en-US"/>
        </w:rPr>
        <w:t xml:space="preserve">小写：   元</w:t>
      </w:r>
      <w:r>
        <w:rPr>
          <w:rFonts w:hint="eastAsia" w:ascii="宋体" w:hAnsi="宋体" w:eastAsia="宋体" w:cs="宋体"/>
          <w:color w:val="000000" w:themeColor="text1"/>
          <w:spacing w:val="-4"/>
          <w:sz w:val="24"/>
          <w:szCs w:val="24"/>
          <w:u w:val="single"/>
        </w:rPr>
        <w:t xml:space="preserve">。</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bidi="zh-CN"/>
        </w:rPr>
        <w:t xml:space="preserve">2</w:t>
      </w:r>
      <w:r>
        <w:rPr>
          <w:rFonts w:hint="eastAsia" w:ascii="宋体" w:hAnsi="宋体" w:eastAsia="宋体" w:cs="宋体"/>
          <w:color w:val="000000" w:themeColor="text1"/>
          <w:sz w:val="24"/>
          <w:szCs w:val="24"/>
          <w:lang w:bidi="zh-CN"/>
        </w:rPr>
        <w:t xml:space="preserve">、合同价格形式：</w:t>
      </w:r>
      <w:r>
        <w:rPr>
          <w:rFonts w:hint="eastAsia" w:ascii="宋体" w:hAnsi="宋体" w:eastAsia="宋体" w:cs="宋体"/>
          <w:color w:val="000000" w:themeColor="text1"/>
          <w:sz w:val="24"/>
          <w:szCs w:val="24"/>
          <w:u w:val="single"/>
          <w:lang w:val="en-US" w:bidi="zh-CN"/>
        </w:rPr>
        <w:t xml:space="preserve">固定总价</w:t>
      </w:r>
      <w:r>
        <w:rPr>
          <w:rFonts w:hint="eastAsia" w:ascii="宋体" w:hAnsi="宋体" w:eastAsia="宋体" w:cs="宋体"/>
          <w:color w:val="000000" w:themeColor="text1"/>
          <w:sz w:val="24"/>
          <w:szCs w:val="24"/>
          <w:u w:val="single"/>
          <w:lang w:bidi="zh-CN"/>
        </w:rPr>
        <w:t xml:space="preserve">  </w:t>
      </w:r>
      <w:r>
        <w:rPr>
          <w:color w:val="000000" w:themeColor="text1"/>
        </w:rPr>
      </w:r>
      <w:r/>
    </w:p>
    <w:p>
      <w:pPr>
        <w:pStyle w:val="866"/>
        <w:numPr>
          <w:ilvl w:val="0"/>
          <w:numId w:val="0"/>
        </w:numPr>
        <w:contextualSpacing/>
        <w:ind w:firstLine="960"/>
        <w:jc w:val="left"/>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lang w:val="en-US" w:eastAsia="zh-CN"/>
        </w:rPr>
        <w:t xml:space="preserve">合同价</w:t>
      </w:r>
      <w:r>
        <w:rPr>
          <w:rFonts w:hint="eastAsia" w:ascii="宋体" w:hAnsi="宋体" w:eastAsia="宋体" w:cs="宋体"/>
          <w:b w:val="0"/>
          <w:bCs/>
          <w:color w:val="000000" w:themeColor="text1"/>
          <w:sz w:val="24"/>
          <w:szCs w:val="24"/>
          <w:lang w:val="en-US" w:eastAsia="zh-CN"/>
        </w:rPr>
        <w:t xml:space="preserve">包括但不限于该项目所有服务、人工、设备、保险、调试、验收、备品备件、专用工具、二次运输、技术服务、增值税、风险、税金、利润以及政策性文件规定的各项应有费用。甲方不再支付报价以外的任何费用。</w:t>
      </w:r>
      <w:r>
        <w:rPr>
          <w:color w:val="000000" w:themeColor="text1"/>
        </w:rPr>
      </w:r>
      <w:r/>
    </w:p>
    <w:p>
      <w:pPr>
        <w:pStyle w:val="866"/>
        <w:ind w:left="0" w:right="0"/>
        <w:jc w:val="left"/>
        <w:keepLines/>
        <w:keepNext/>
        <w:pageBreakBefore w:val="0"/>
        <w:spacing w:before="0" w:line="400" w:lineRule="exact"/>
        <w:widowControl/>
        <w:rPr>
          <w:rFonts w:ascii="宋体" w:hAnsi="宋体" w:eastAsia="宋体" w:cs="宋体"/>
          <w:b/>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bidi="ar-SA"/>
        </w:rPr>
        <w:t xml:space="preserve">三、服务内容及要求：详见采购需求</w:t>
      </w:r>
      <w:r>
        <w:rPr>
          <w:color w:val="000000" w:themeColor="text1"/>
        </w:rPr>
      </w:r>
      <w:r/>
    </w:p>
    <w:p>
      <w:pPr>
        <w:pStyle w:val="866"/>
        <w:jc w:val="left"/>
        <w:keepLines w:val="0"/>
        <w:keepNext w:val="0"/>
        <w:pageBreakBefore w:val="0"/>
        <w:spacing w:line="400" w:lineRule="exact"/>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bidi="zh-CN"/>
        </w:rPr>
        <w:t xml:space="preserve">四、</w:t>
      </w:r>
      <w:r>
        <w:rPr>
          <w:rFonts w:hint="eastAsia" w:ascii="宋体" w:hAnsi="宋体" w:eastAsia="宋体" w:cs="宋体"/>
          <w:b/>
          <w:bCs/>
          <w:color w:val="000000" w:themeColor="text1"/>
          <w:sz w:val="24"/>
          <w:szCs w:val="24"/>
          <w:highlight w:val="none"/>
          <w:lang w:bidi="zh-CN"/>
        </w:rPr>
        <w:t xml:space="preserve">付款方式</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highlight w:val="none"/>
        </w:rP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项目实现初步评审条件</w:t>
      </w:r>
      <w:r>
        <w:rPr>
          <w:rFonts w:hint="eastAsia" w:ascii="宋体" w:hAnsi="宋体" w:eastAsia="宋体" w:cs="宋体"/>
          <w:b w:val="0"/>
          <w:bCs/>
          <w:color w:val="000000" w:themeColor="text1"/>
          <w:sz w:val="24"/>
          <w:szCs w:val="24"/>
          <w:highlight w:val="none"/>
          <w:lang w:val="en-US" w:eastAsia="zh-CN"/>
        </w:rPr>
        <w:t xml:space="preserve">，经甲方验收合格并签署《阶段验收确认单》后15个工作日内，甲方向乙方支付合同总金额的80%。</w:t>
      </w:r>
      <w:r>
        <w:rPr>
          <w:color w:val="000000" w:themeColor="text1"/>
        </w:rPr>
      </w:r>
      <w:r/>
    </w:p>
    <w:p>
      <w:pPr>
        <w:pStyle w:val="866"/>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2）整体项目完成交付，且甲方顺利通过等级医院评审/重点专科评审（以官方评审结果公示为凭证），经甲方最终验收合格并签署《项目终验报告》后15个工作日内，甲方向乙方支付剩余合同款项。</w:t>
      </w:r>
      <w:r>
        <w:rPr>
          <w:color w:val="000000" w:themeColor="text1"/>
        </w:rPr>
      </w:r>
      <w:r/>
    </w:p>
    <w:p>
      <w:pPr>
        <w:pStyle w:val="866"/>
        <w:contextualSpacing/>
        <w:ind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注：1.付款前，乙</w:t>
      </w:r>
      <w:r>
        <w:rPr>
          <w:rFonts w:hint="eastAsia" w:ascii="宋体" w:hAnsi="宋体" w:eastAsia="宋体" w:cs="宋体"/>
          <w:b w:val="0"/>
          <w:bCs/>
          <w:color w:val="000000" w:themeColor="text1"/>
          <w:sz w:val="24"/>
          <w:szCs w:val="24"/>
          <w:highlight w:val="none"/>
          <w:lang w:val="en-US" w:eastAsia="zh-CN"/>
        </w:rPr>
        <w:t xml:space="preserve">方需向甲方提供</w:t>
      </w:r>
      <w:r>
        <w:rPr>
          <w:rFonts w:hint="eastAsia" w:ascii="宋体" w:hAnsi="宋体" w:eastAsia="宋体" w:cs="宋体"/>
          <w:b w:val="0"/>
          <w:bCs/>
          <w:color w:val="000000" w:themeColor="text1"/>
          <w:sz w:val="24"/>
          <w:szCs w:val="24"/>
          <w:highlight w:val="none"/>
          <w:lang w:val="en-US" w:eastAsia="zh-CN"/>
        </w:rPr>
        <w:t xml:space="preserve">等额的普通发票。</w:t>
      </w:r>
      <w:r>
        <w:rPr>
          <w:color w:val="000000" w:themeColor="text1"/>
        </w:rPr>
      </w:r>
      <w:r/>
    </w:p>
    <w:p>
      <w:pPr>
        <w:pStyle w:val="866"/>
        <w:contextualSpacing/>
        <w:ind w:firstLine="72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2.考核扣款在同期服务费中扣除（具体详见合同附件1）。</w:t>
      </w:r>
      <w:r>
        <w:rPr>
          <w:color w:val="000000" w:themeColor="text1"/>
        </w:rPr>
      </w:r>
      <w:r/>
    </w:p>
    <w:p>
      <w:pPr>
        <w:pStyle w:val="866"/>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五</w:t>
      </w:r>
      <w:r>
        <w:rPr>
          <w:rFonts w:hint="eastAsia" w:ascii="宋体" w:hAnsi="宋体" w:eastAsia="宋体" w:cs="宋体"/>
          <w:b/>
          <w:bCs/>
          <w:color w:val="000000" w:themeColor="text1"/>
          <w:sz w:val="24"/>
          <w:szCs w:val="24"/>
        </w:rPr>
        <w:t xml:space="preserve">、双方责任</w:t>
      </w:r>
      <w:r>
        <w:rPr>
          <w:color w:val="000000" w:themeColor="text1"/>
        </w:rPr>
      </w:r>
      <w:r/>
    </w:p>
    <w:p>
      <w:pPr>
        <w:pStyle w:val="866"/>
        <w:ind w:left="0" w:firstLine="241"/>
        <w:jc w:val="left"/>
        <w:keepLines w:val="0"/>
        <w:keepNext w:val="0"/>
        <w:pageBreakBefore w:val="0"/>
        <w:spacing w:line="400" w:lineRule="exact"/>
        <w:widowControl/>
        <w:rPr>
          <w:rFonts w:hint="eastAsia" w:ascii="宋体" w:hAnsi="宋体" w:eastAsia="宋体" w:cs="宋体"/>
          <w:color w:val="000000" w:themeColor="text1"/>
          <w:sz w:val="24"/>
          <w:szCs w:val="24"/>
        </w:rPr>
        <w:outlineLvl w:val="9"/>
      </w:pPr>
      <w:r>
        <w:rPr>
          <w:rFonts w:hint="eastAsia" w:ascii="宋体" w:hAnsi="宋体" w:eastAsia="宋体" w:cs="宋体"/>
          <w:b/>
          <w:bCs/>
          <w:color w:val="000000" w:themeColor="text1"/>
          <w:sz w:val="24"/>
          <w:szCs w:val="24"/>
          <w:lang w:bidi="ar"/>
        </w:rPr>
        <w:t xml:space="preserve">（一）甲方责任</w:t>
      </w:r>
      <w:r>
        <w:rPr>
          <w:rFonts w:hint="eastAsia" w:ascii="宋体" w:hAnsi="宋体" w:eastAsia="宋体" w:cs="宋体"/>
          <w:color w:val="000000" w:themeColor="text1"/>
          <w:sz w:val="24"/>
          <w:szCs w:val="24"/>
          <w:lang w:bidi="ar"/>
        </w:rPr>
        <w:t xml:space="preserve">：</w:t>
      </w:r>
      <w:r>
        <w:rPr>
          <w:color w:val="000000" w:themeColor="text1"/>
        </w:rPr>
      </w:r>
      <w:r/>
    </w:p>
    <w:p>
      <w:pPr>
        <w:pStyle w:val="866"/>
        <w:ind w:firstLine="480"/>
        <w:jc w:val="left"/>
        <w:keepLines w:val="0"/>
        <w:keepNext w:val="0"/>
        <w:pageBreakBefore w:val="0"/>
        <w:spacing w:line="400" w:lineRule="exact"/>
        <w:widowControl/>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1、在</w:t>
      </w:r>
      <w:r>
        <w:rPr>
          <w:rFonts w:hint="eastAsia" w:ascii="宋体" w:hAnsi="宋体" w:eastAsia="宋体" w:cs="宋体"/>
          <w:color w:val="000000" w:themeColor="text1"/>
          <w:sz w:val="24"/>
          <w:szCs w:val="24"/>
          <w:lang w:val="en-US" w:eastAsia="zh-CN"/>
        </w:rPr>
        <w:t xml:space="preserve">合同</w:t>
      </w:r>
      <w:r>
        <w:rPr>
          <w:rFonts w:hint="eastAsia" w:ascii="宋体" w:hAnsi="宋体" w:eastAsia="宋体" w:cs="宋体"/>
          <w:color w:val="000000" w:themeColor="text1"/>
          <w:sz w:val="24"/>
          <w:szCs w:val="24"/>
        </w:rPr>
        <w:t xml:space="preserve">中明确乙方的工作内容及要求；</w:t>
      </w:r>
      <w:r>
        <w:rPr>
          <w:color w:val="000000" w:themeColor="text1"/>
        </w:rPr>
      </w:r>
      <w:r/>
    </w:p>
    <w:p>
      <w:pPr>
        <w:pStyle w:val="866"/>
        <w:ind w:firstLine="480"/>
        <w:jc w:val="left"/>
        <w:keepLines w:val="0"/>
        <w:keepNext w:val="0"/>
        <w:pageBreakBefore w:val="0"/>
        <w:spacing w:line="400" w:lineRule="exact"/>
        <w:widowControl/>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2、如果乙方需要，为乙方提供相关材料；</w:t>
      </w:r>
      <w:r>
        <w:rPr>
          <w:color w:val="000000" w:themeColor="text1"/>
        </w:rPr>
      </w:r>
      <w:r/>
    </w:p>
    <w:p>
      <w:pPr>
        <w:pStyle w:val="866"/>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3、对乙方的项目完成进度进行日常</w:t>
      </w:r>
      <w:r>
        <w:rPr>
          <w:rFonts w:hint="eastAsia" w:ascii="宋体" w:hAnsi="宋体" w:eastAsia="宋体" w:cs="宋体"/>
          <w:color w:val="000000"/>
          <w:sz w:val="24"/>
          <w:szCs w:val="24"/>
          <w:lang w:val="en-US" w:eastAsia="zh-CN"/>
        </w:rPr>
        <w:t xml:space="preserve">安全管理</w:t>
      </w:r>
      <w:r>
        <w:rPr>
          <w:rFonts w:hint="eastAsia" w:ascii="宋体" w:hAnsi="宋体" w:eastAsia="宋体" w:cs="宋体"/>
          <w:color w:val="000000"/>
          <w:sz w:val="24"/>
          <w:szCs w:val="24"/>
        </w:rPr>
        <w:t xml:space="preserve">，及时发现问题。</w:t>
      </w:r>
      <w:r>
        <w:rPr>
          <w:rFonts w:hint="eastAsia" w:ascii="宋体" w:hAnsi="宋体" w:eastAsia="宋体" w:cs="宋体"/>
          <w:color w:val="000000"/>
          <w:sz w:val="24"/>
          <w:szCs w:val="24"/>
        </w:rPr>
      </w:r>
      <w:r/>
    </w:p>
    <w:p>
      <w:pPr>
        <w:pStyle w:val="866"/>
        <w:ind w:left="0" w:firstLine="241"/>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（二）乙方责任</w:t>
      </w:r>
      <w:r>
        <w:rPr>
          <w:rFonts w:hint="eastAsia" w:ascii="宋体" w:hAnsi="宋体" w:eastAsia="宋体" w:cs="宋体"/>
          <w:b/>
          <w:bCs/>
          <w:color w:val="000000"/>
          <w:sz w:val="24"/>
          <w:szCs w:val="24"/>
        </w:rPr>
      </w:r>
      <w:r/>
    </w:p>
    <w:p>
      <w:pPr>
        <w:pStyle w:val="866"/>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1、在项目实施过程中，与甲方保持沟通；</w:t>
      </w:r>
      <w:r>
        <w:rPr>
          <w:rFonts w:hint="eastAsia" w:ascii="宋体" w:hAnsi="宋体" w:eastAsia="宋体" w:cs="宋体"/>
          <w:b w:val="0"/>
          <w:bCs w:val="0"/>
          <w:color w:val="000000"/>
          <w:sz w:val="24"/>
          <w:szCs w:val="24"/>
          <w:lang w:val="en-US" w:eastAsia="zh-CN"/>
        </w:rPr>
      </w:r>
      <w:r/>
    </w:p>
    <w:p>
      <w:pPr>
        <w:pStyle w:val="866"/>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2、在法律规定或甲方要求下完成服务；</w:t>
      </w:r>
      <w:r>
        <w:rPr>
          <w:rFonts w:hint="eastAsia" w:ascii="宋体" w:hAnsi="宋体" w:eastAsia="宋体" w:cs="宋体"/>
          <w:color w:val="000000"/>
          <w:sz w:val="24"/>
          <w:szCs w:val="24"/>
          <w:lang w:val="en-US" w:eastAsia="zh-CN"/>
        </w:rPr>
      </w:r>
      <w:r/>
    </w:p>
    <w:p>
      <w:pPr>
        <w:pStyle w:val="866"/>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yellow"/>
          <w:lang w:val="en-US" w:eastAsia="zh-CN"/>
        </w:rPr>
        <w:outlineLvl w:val="9"/>
      </w:pPr>
      <w:r>
        <w:rPr>
          <w:rFonts w:hint="eastAsia" w:ascii="宋体" w:hAnsi="宋体" w:eastAsia="宋体" w:cs="宋体"/>
          <w:color w:val="000000"/>
          <w:sz w:val="24"/>
          <w:szCs w:val="24"/>
          <w:lang w:val="en-US" w:eastAsia="zh-CN"/>
        </w:rPr>
        <w:t xml:space="preserve">3、自觉接受甲方监督，按甲方要求做好各项工作，对存在的问题及时整改。</w:t>
      </w:r>
      <w:r>
        <w:rPr>
          <w:rFonts w:hint="eastAsia" w:ascii="宋体" w:hAnsi="宋体" w:eastAsia="宋体" w:cs="宋体"/>
          <w:b w:val="0"/>
          <w:bCs w:val="0"/>
          <w:color w:val="000000"/>
          <w:sz w:val="24"/>
          <w:szCs w:val="24"/>
          <w:highlight w:val="yellow"/>
          <w:lang w:val="en-US" w:eastAsia="zh-CN"/>
        </w:rPr>
      </w:r>
      <w:r/>
    </w:p>
    <w:p>
      <w:pPr>
        <w:pStyle w:val="866"/>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六、履约检查和问题反馈</w:t>
      </w:r>
      <w:r>
        <w:rPr>
          <w:rFonts w:hint="eastAsia" w:ascii="宋体" w:hAnsi="宋体" w:eastAsia="宋体" w:cs="宋体"/>
          <w:b/>
          <w:bCs/>
          <w:color w:val="000000"/>
          <w:sz w:val="24"/>
          <w:szCs w:val="24"/>
          <w:lang w:val="en-US" w:eastAsia="zh-CN"/>
        </w:rPr>
      </w:r>
      <w:r/>
    </w:p>
    <w:p>
      <w:pPr>
        <w:pStyle w:val="866"/>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应按时进行项目服务，以便甲方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eastAsia="宋体" w:cs="宋体"/>
          <w:b w:val="0"/>
          <w:bCs w:val="0"/>
          <w:color w:val="000000"/>
          <w:sz w:val="24"/>
          <w:szCs w:val="24"/>
          <w:lang w:val="en-US" w:eastAsia="zh-CN"/>
        </w:rPr>
      </w:r>
      <w:r/>
    </w:p>
    <w:p>
      <w:pPr>
        <w:pStyle w:val="866"/>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2、合同履行期间，甲方有权将履行过程中出现的问题反馈给乙方，双方当事人应以书面形式约定需要完善和改进的内容。</w:t>
      </w:r>
      <w:r>
        <w:rPr>
          <w:rFonts w:hint="eastAsia" w:ascii="宋体" w:hAnsi="宋体" w:eastAsia="宋体" w:cs="宋体"/>
          <w:b w:val="0"/>
          <w:bCs w:val="0"/>
          <w:color w:val="000000"/>
          <w:sz w:val="24"/>
          <w:szCs w:val="24"/>
          <w:lang w:val="en-US" w:eastAsia="zh-CN"/>
        </w:rPr>
      </w:r>
      <w:r/>
    </w:p>
    <w:p>
      <w:pPr>
        <w:pStyle w:val="866"/>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866"/>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1.甲方违约责任及违约金支付：</w:t>
      </w:r>
      <w:r>
        <w:rPr>
          <w:rFonts w:hint="eastAsia" w:ascii="宋体" w:hAnsi="宋体" w:eastAsia="宋体" w:cs="宋体"/>
          <w:b/>
          <w:bCs/>
          <w:color w:val="000000"/>
          <w:sz w:val="24"/>
          <w:szCs w:val="24"/>
          <w:lang w:val="en-US" w:eastAsia="zh-CN"/>
        </w:rPr>
      </w:r>
      <w:r/>
    </w:p>
    <w:p>
      <w:pPr>
        <w:pStyle w:val="866"/>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 w:val="0"/>
          <w:bCs w:val="0"/>
          <w:color w:val="000000"/>
          <w:sz w:val="24"/>
          <w:szCs w:val="24"/>
          <w:lang w:val="en-US" w:eastAsia="zh-CN"/>
        </w:rPr>
      </w:r>
      <w:r/>
    </w:p>
    <w:p>
      <w:pPr>
        <w:pStyle w:val="866"/>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(2)合同生效后，如甲方逾期付款，按每日合同金额的0.5%向乙方支付违约金。但累计违约金总额不超过欠款总额的5%。</w:t>
      </w:r>
      <w:r>
        <w:rPr>
          <w:rFonts w:hint="eastAsia" w:ascii="宋体" w:hAnsi="宋体" w:eastAsia="宋体" w:cs="宋体"/>
          <w:b w:val="0"/>
          <w:bCs w:val="0"/>
          <w:color w:val="000000"/>
          <w:sz w:val="24"/>
          <w:szCs w:val="24"/>
          <w:lang w:val="en-US" w:eastAsia="zh-CN"/>
        </w:rPr>
      </w:r>
      <w:r/>
    </w:p>
    <w:p>
      <w:pPr>
        <w:pStyle w:val="866"/>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2.乙方违约责任及违约金支付：</w:t>
      </w:r>
      <w:r>
        <w:rPr>
          <w:rFonts w:hint="eastAsia" w:ascii="宋体" w:hAnsi="宋体" w:eastAsia="宋体" w:cs="宋体"/>
          <w:b/>
          <w:bCs/>
          <w:color w:val="000000"/>
          <w:sz w:val="24"/>
          <w:szCs w:val="24"/>
          <w:lang w:val="en-US" w:eastAsia="zh-CN"/>
        </w:rPr>
      </w:r>
      <w:r/>
    </w:p>
    <w:p>
      <w:pPr>
        <w:pStyle w:val="866"/>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(1)乙方不能按约定提供服务的，或服务不合格从而影响甲方正常使用的，应向甲方偿付合同总价款5%的违约金，违约金不足以补偿损失的甲方有权要求乙方补足。</w:t>
      </w:r>
      <w:r>
        <w:rPr>
          <w:rFonts w:hint="eastAsia" w:ascii="宋体" w:hAnsi="宋体" w:eastAsia="宋体" w:cs="宋体"/>
          <w:b w:val="0"/>
          <w:bCs w:val="0"/>
          <w:color w:val="000000"/>
          <w:sz w:val="24"/>
          <w:szCs w:val="24"/>
          <w:lang w:val="en-US" w:eastAsia="zh-CN"/>
        </w:rPr>
      </w:r>
      <w:r/>
    </w:p>
    <w:p>
      <w:pPr>
        <w:pStyle w:val="866"/>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乙方逾期提供服务的，乙方应按合同价每日0.5%向甲方支付违约金，由甲方从待付款项中扣除。逾期超过约定日期10个工作日不能完成项目的，甲方可解除本合同。乙方因逾期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b w:val="0"/>
          <w:bCs w:val="0"/>
          <w:color w:val="000000"/>
          <w:sz w:val="24"/>
          <w:szCs w:val="24"/>
          <w:lang w:val="en-US" w:eastAsia="zh-CN"/>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如果乙方未按合同约定时间作出响应，除因技术所造成的损失由乙方承担外，乙方还应向甲方支付每次合同价</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866"/>
        <w:ind w:left="0" w:firstLine="480"/>
        <w:keepLines w:val="0"/>
        <w:keepNext w:val="0"/>
        <w:pageBreakBefore w:val="0"/>
        <w:spacing w:line="400" w:lineRule="exact"/>
        <w:rPr>
          <w:rFonts w:hint="eastAsia" w:ascii="宋体" w:hAnsi="宋体" w:eastAsia="宋体" w:cs="宋体"/>
          <w:bCs/>
          <w:sz w:val="24"/>
          <w:szCs w:val="24"/>
          <w:lang w:eastAsia="zh-CN"/>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因维护保养原因导致人身伤亡或设备损坏、丢失的，由乙方承担全部责任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866"/>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866"/>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上</w:t>
      </w:r>
      <w:r>
        <w:rPr>
          <w:rFonts w:hint="eastAsia" w:ascii="宋体" w:hAnsi="宋体" w:eastAsia="宋体" w:cs="宋体"/>
          <w:sz w:val="24"/>
          <w:szCs w:val="24"/>
          <w:lang w:eastAsia="zh-CN"/>
        </w:rPr>
        <w:t xml:space="preserve">更进一步</w:t>
      </w:r>
      <w:r>
        <w:rPr>
          <w:rFonts w:hint="eastAsia" w:ascii="宋体" w:hAnsi="宋体" w:eastAsia="宋体" w:cs="宋体"/>
          <w:sz w:val="24"/>
          <w:szCs w:val="24"/>
        </w:rPr>
        <w:t xml:space="preserve">履行合同。</w:t>
      </w:r>
      <w:r>
        <w:rPr>
          <w:rFonts w:hint="eastAsia" w:ascii="宋体" w:hAnsi="宋体" w:eastAsia="宋体" w:cs="宋体"/>
          <w:sz w:val="24"/>
          <w:szCs w:val="24"/>
        </w:rPr>
      </w:r>
      <w:r/>
    </w:p>
    <w:p>
      <w:pPr>
        <w:pStyle w:val="866"/>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866"/>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1、双方当事人不得擅自中止或者终止合同；若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866"/>
        <w:ind w:left="0" w:firstLine="480"/>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866"/>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866"/>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4、合同的部分和全部都不得擅自转让。</w:t>
      </w:r>
      <w:r>
        <w:rPr>
          <w:rFonts w:hint="eastAsia" w:ascii="宋体" w:hAnsi="宋体" w:eastAsia="宋体" w:cs="宋体"/>
          <w:color w:val="000000"/>
          <w:sz w:val="24"/>
          <w:szCs w:val="24"/>
        </w:rPr>
      </w:r>
      <w:r/>
    </w:p>
    <w:p>
      <w:pPr>
        <w:pStyle w:val="866"/>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5、如出现不如实反映情况，提供虚假材料、未按承诺的价格提供服务的，甲方可以解除合同。</w:t>
      </w:r>
      <w:r>
        <w:rPr>
          <w:rFonts w:hint="eastAsia" w:ascii="宋体" w:hAnsi="宋体" w:eastAsia="宋体" w:cs="宋体"/>
          <w:color w:val="000000"/>
          <w:sz w:val="24"/>
          <w:szCs w:val="24"/>
        </w:rPr>
      </w:r>
      <w:r/>
    </w:p>
    <w:p>
      <w:pPr>
        <w:pStyle w:val="866"/>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866"/>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ff"/>
          <w:sz w:val="24"/>
          <w:szCs w:val="24"/>
          <w:highlight w:val="none"/>
        </w:rPr>
        <w:t xml:space="preserve">十</w:t>
      </w:r>
      <w:r>
        <w:rPr>
          <w:rFonts w:hint="eastAsia" w:ascii="宋体" w:hAnsi="宋体" w:eastAsia="宋体" w:cs="宋体"/>
          <w:b/>
          <w:bCs/>
          <w:color w:val="0000ff"/>
          <w:sz w:val="24"/>
          <w:szCs w:val="24"/>
          <w:highlight w:val="none"/>
          <w:lang w:val="en-US" w:eastAsia="zh-CN"/>
        </w:rPr>
        <w:t xml:space="preserve">一</w:t>
      </w:r>
      <w:r>
        <w:rPr>
          <w:rFonts w:hint="eastAsia" w:ascii="宋体" w:hAnsi="宋体" w:eastAsia="宋体" w:cs="宋体"/>
          <w:b/>
          <w:bCs/>
          <w:color w:val="0000ff"/>
          <w:sz w:val="24"/>
          <w:szCs w:val="24"/>
          <w:highlight w:val="none"/>
        </w:rPr>
        <w:t xml:space="preserve">、履约保证金</w:t>
      </w:r>
      <w:r>
        <w:rPr>
          <w:rFonts w:hint="eastAsia" w:ascii="宋体" w:hAnsi="宋体" w:eastAsia="宋体" w:cs="宋体"/>
          <w:b/>
          <w:bCs/>
          <w:color w:val="000000"/>
          <w:sz w:val="24"/>
          <w:szCs w:val="24"/>
          <w:highlight w:val="none"/>
        </w:rPr>
      </w:r>
      <w:r/>
    </w:p>
    <w:p>
      <w:pPr>
        <w:pStyle w:val="866"/>
        <w:ind w:left="0" w:firstLine="480"/>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向</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提供相当于合同总价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ff"/>
          <w:sz w:val="24"/>
          <w:szCs w:val="24"/>
          <w:highlight w:val="none"/>
          <w:u w:val="single"/>
          <w:lang w:val="en-US" w:eastAsia="zh-CN"/>
        </w:rPr>
        <w:t xml:space="preserve">5</w:t>
      </w:r>
      <w:r>
        <w:rPr>
          <w:rFonts w:hint="eastAsia" w:ascii="宋体" w:hAnsi="宋体" w:eastAsia="宋体" w:cs="宋体"/>
          <w:color w:val="0000ff"/>
          <w:sz w:val="24"/>
          <w:szCs w:val="24"/>
          <w:highlight w:val="none"/>
          <w:u w:val="single"/>
          <w:lang w:val="zh-TW"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TW" w:eastAsia="zh-CN"/>
        </w:rPr>
        <w:t xml:space="preserve">的履约保证金（</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自主选择以</w:t>
      </w:r>
      <w:r>
        <w:rPr>
          <w:rFonts w:hint="eastAsia" w:ascii="宋体" w:hAnsi="宋体" w:eastAsia="宋体" w:cs="宋体"/>
          <w:sz w:val="24"/>
          <w:szCs w:val="24"/>
          <w:highlight w:val="none"/>
          <w:lang w:val="en-US" w:eastAsia="zh-CN"/>
        </w:rPr>
        <w:t xml:space="preserve">现金或银行保函</w:t>
      </w:r>
      <w:r>
        <w:rPr>
          <w:rFonts w:hint="eastAsia" w:ascii="宋体" w:hAnsi="宋体" w:eastAsia="宋体" w:cs="宋体"/>
          <w:sz w:val="24"/>
          <w:szCs w:val="24"/>
          <w:highlight w:val="none"/>
          <w:lang w:val="zh-TW" w:eastAsia="zh-CN"/>
        </w:rPr>
        <w:t xml:space="preserve">等形式缴纳或递交），按照省市有关文件精神，鼓励优先采用电子履约保函（保险）形式。</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将在终验完毕后返还乙方履约保证金。</w:t>
      </w:r>
      <w:r>
        <w:rPr>
          <w:rFonts w:hint="eastAsia" w:ascii="宋体" w:hAnsi="宋体" w:eastAsia="宋体" w:cs="宋体"/>
          <w:b/>
          <w:bCs/>
          <w:color w:val="000000"/>
          <w:sz w:val="24"/>
          <w:szCs w:val="24"/>
          <w:highlight w:val="none"/>
          <w:lang w:val="en-US" w:eastAsia="zh-CN"/>
        </w:rPr>
      </w:r>
      <w:r/>
    </w:p>
    <w:p>
      <w:pPr>
        <w:pStyle w:val="866"/>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866"/>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866"/>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866"/>
        <w:numPr>
          <w:ilvl w:val="0"/>
          <w:numId w:val="14"/>
        </w:numPr>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本合同经甲乙双方签字盖章后生效。合同执行期内，双方均不得随意变更或解除合同。如有未尽事宜，须经双方共同协商，作出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66"/>
        <w:numPr>
          <w:ilvl w:val="0"/>
          <w:numId w:val="14"/>
        </w:numPr>
        <w:ind w:left="0" w:firstLine="480"/>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866"/>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或委托代理人（签字或盖章）</w:t>
            </w:r>
            <w:r>
              <w:rPr>
                <w:rFonts w:hint="eastAsia" w:ascii="宋体" w:hAnsi="宋体" w:eastAsia="宋体" w:cs="宋体"/>
                <w:b/>
                <w:bCs/>
                <w:sz w:val="24"/>
                <w:szCs w:val="24"/>
              </w:rPr>
            </w:r>
            <w:r/>
          </w:p>
        </w:tc>
      </w:tr>
      <w:tr>
        <w:trPr>
          <w:trHeight w:val="52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6"/>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866"/>
        <w:jc w:val="center"/>
        <w:pageBreakBefore w:val="0"/>
        <w:spacing w:line="400" w:lineRule="exact"/>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866"/>
        <w:ind w:right="0"/>
        <w:jc w:val="both"/>
        <w:keepLines w:val="0"/>
        <w:keepNext w:val="0"/>
        <w:pageBreakBefore w:val="0"/>
        <w:spacing w:line="400" w:lineRule="exact"/>
        <w:widowControl/>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附件1：服务质量考核</w:t>
      </w:r>
      <w:r>
        <w:rPr>
          <w:rFonts w:hint="eastAsia" w:ascii="宋体" w:hAnsi="宋体" w:eastAsia="宋体" w:cs="宋体"/>
          <w:b/>
          <w:bCs/>
          <w:sz w:val="24"/>
          <w:szCs w:val="24"/>
          <w:lang w:val="en-US" w:eastAsia="zh-CN" w:bidi="ar-SA"/>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9"/>
        <w:gridCol w:w="901"/>
        <w:gridCol w:w="881"/>
        <w:gridCol w:w="3403"/>
        <w:gridCol w:w="2339"/>
        <w:gridCol w:w="766"/>
        <w:gridCol w:w="735"/>
      </w:tblGrid>
      <w:tr>
        <w:trPr>
          <w:trHeight w:val="767"/>
        </w:trPr>
        <w:tc>
          <w:tcPr>
            <w:tcW w:w="466"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考核类别</w:t>
            </w:r>
            <w:r>
              <w:rPr>
                <w:rFonts w:hint="eastAsia" w:ascii="宋体" w:hAnsi="宋体" w:eastAsia="宋体" w:cs="宋体"/>
                <w:b/>
                <w:bCs/>
                <w:i w:val="0"/>
                <w:iCs w:val="0"/>
                <w:color w:val="000000"/>
                <w:sz w:val="24"/>
                <w:szCs w:val="24"/>
                <w:u w:val="none"/>
              </w:rPr>
            </w:r>
            <w:r/>
          </w:p>
        </w:tc>
        <w:tc>
          <w:tcPr>
            <w:tcW w:w="45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权重</w:t>
            </w:r>
            <w:r>
              <w:rPr>
                <w:rFonts w:hint="eastAsia" w:ascii="宋体" w:hAnsi="宋体" w:eastAsia="宋体" w:cs="宋体"/>
                <w:b/>
                <w:bCs/>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考核子类</w:t>
            </w:r>
            <w:r>
              <w:rPr>
                <w:rFonts w:hint="eastAsia" w:ascii="宋体" w:hAnsi="宋体" w:eastAsia="宋体" w:cs="宋体"/>
                <w:b/>
                <w:bCs/>
                <w:i w:val="0"/>
                <w:iCs w:val="0"/>
                <w:color w:val="000000"/>
                <w:sz w:val="24"/>
                <w:szCs w:val="24"/>
                <w:u w:val="none"/>
              </w:rPr>
            </w:r>
            <w:r/>
          </w:p>
        </w:tc>
        <w:tc>
          <w:tcPr>
            <w:tcW w:w="1709"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考核点</w:t>
            </w:r>
            <w:r>
              <w:rPr>
                <w:rFonts w:hint="eastAsia" w:ascii="宋体" w:hAnsi="宋体" w:eastAsia="宋体" w:cs="宋体"/>
                <w:b/>
                <w:bCs/>
                <w:i w:val="0"/>
                <w:iCs w:val="0"/>
                <w:color w:val="000000"/>
                <w:sz w:val="24"/>
                <w:szCs w:val="24"/>
                <w:u w:val="none"/>
              </w:rPr>
            </w:r>
            <w:r/>
          </w:p>
        </w:tc>
        <w:tc>
          <w:tcPr>
            <w:tcW w:w="1174"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rPr>
                <w:rFonts w:hint="eastAsia" w:ascii="宋体" w:hAnsi="宋体" w:eastAsia="宋体" w:cs="宋体"/>
                <w:b/>
                <w:bCs/>
                <w:i w:val="0"/>
                <w:iCs w:val="0"/>
                <w:color w:val="000000"/>
                <w:sz w:val="24"/>
                <w:szCs w:val="24"/>
                <w:u w:val="none"/>
              </w:rPr>
            </w:r>
            <w:r/>
          </w:p>
        </w:tc>
        <w:tc>
          <w:tcPr>
            <w:tcW w:w="384"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分数</w:t>
            </w:r>
            <w:r>
              <w:rPr>
                <w:rFonts w:hint="eastAsia" w:ascii="宋体" w:hAnsi="宋体" w:eastAsia="宋体" w:cs="宋体"/>
                <w:b/>
                <w:bCs/>
                <w:i w:val="0"/>
                <w:iCs w:val="0"/>
                <w:color w:val="000000"/>
                <w:sz w:val="24"/>
                <w:szCs w:val="24"/>
                <w:u w:val="none"/>
              </w:rPr>
            </w:r>
            <w:r/>
          </w:p>
        </w:tc>
        <w:tc>
          <w:tcPr>
            <w:tcW w:w="369"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rPr>
                <w:rFonts w:hint="eastAsia" w:ascii="宋体" w:hAnsi="宋体" w:eastAsia="宋体" w:cs="宋体"/>
                <w:b/>
                <w:bCs/>
                <w:i w:val="0"/>
                <w:iCs w:val="0"/>
                <w:color w:val="000000"/>
                <w:sz w:val="24"/>
                <w:szCs w:val="24"/>
                <w:u w:val="none"/>
              </w:rPr>
            </w:r>
            <w:r/>
          </w:p>
        </w:tc>
      </w:tr>
      <w:tr>
        <w:trPr>
          <w:trHeight w:val="1302"/>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数据服务考核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数据完整性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核查数据梳理是否覆盖医院门诊、住院、检查、检验等全业务场景数据，包括患者病案首页、检验检查数据等。</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若存在数据遗漏，每类关键数据缺失扣4分，扣完为止。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数据准确性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通过抽样对比原始数据与梳理后的数据，检查数据转换、清洗过程中的准确性。</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因产品原因，数据错误率超过10%，每增加1%扣1分；关键数据错误，每项扣2-3分，扣完为止，非服务商原因不扣分。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数据规范性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考核数据是否按照统一的标准和格式进行梳理，包括数据编码、字段命名、单位规范等。</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发现数据格式不统一、编码混乱等问题，每次扣1-3分，扣完为止。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服务支撑考核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沟通协作效率</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考核服务需求变更响应速度，会议/进度汇报的及时性以及问题解决时效。</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按响应延迟次数累计扣分，每次扣1分，扣完为止。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培训服务质量</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考核是否提供全面的操作培训，如面向业务人员的指标管理培训、技术人员的系统维护培训。</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培训人员覆盖率低于80%扣2分，提供培训内容不完整扣1分。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售后服务质量</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考核质保期内的故障处理响应时间、定期巡检频率。</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未及时处理故障，扣2分；未提供每月一次定期巡检扣2分。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服务实施</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服务实施需要具有详细的实施方案、进度计划和人员安排。</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实施方案缺失或服务进度计划缺失或无服务人员计划则不合格扣2分，本条目扣完为止。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文档完整性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巡检月报等要求按时提交，且质量满意。</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出现一次不及时扣1分，质量不满足要求扣2分，本条目扣完为止。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专家咨询服务考核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专业能力</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评估专家在医院管理、医疗质量控制、数据分析等领域的专业知识和经验，通过专家提供的咨询报告、解决方案的专业性、可行性进行打分。</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报告缺乏专业深度、解决方案不可行，每次扣1-3分，扣完为止。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响应及时性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记录专家对医院咨询问题的响应时间，要求24小时内给出初步回应。</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未按时响应，每次扣1分；延迟超过48小时，每次扣2分，扣完为止。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用户满意度考核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业务部门满意度</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通过问卷调查或访谈，评估业务部门对平台易用性、指标准确性、数据支撑效率的满意度。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满意度低于70%扣5分，70%-85%扣3分，85%以上不扣分。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技术部门满意度</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评估技术团队对平台可维护性、兼容性、扩展能力的认可程度。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技术反馈问题解决率低于80%扣5分，80%-95%扣3分，95%以上不扣分。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技术安全与稳定性考核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系统安全保障</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检查指标建设涉及系统的数据安全防护措施，如数据加密、访问控制、备份恢复机制等是否符合医疗行业安全规范。</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对存在安全漏洞或未通过安全检测的情况进行扣分，出现严重安全问题扣5分，较为严重扣3分，问题较轻扣1分。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系统稳定性与性能</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监测系统运行期间的稳定性，统计系统故障次数、故障恢复时间，以及关键操作（如指标查询、分析）的响应速度。</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存在系统出现长时间故障或性能不达标，按影响程度扣分，影响严重扣5分，较为严重扣3分，影响较轻扣1分。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restart"/>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合规与政策适配考核</w:t>
            </w:r>
            <w:r>
              <w:rPr>
                <w:rFonts w:hint="eastAsia" w:ascii="宋体" w:hAnsi="宋体" w:eastAsia="宋体" w:cs="宋体"/>
                <w:i w:val="0"/>
                <w:iCs w:val="0"/>
                <w:color w:val="000000"/>
                <w:sz w:val="24"/>
                <w:szCs w:val="24"/>
                <w:u w:val="none"/>
              </w:rPr>
            </w:r>
            <w:r/>
          </w:p>
        </w:tc>
        <w:tc>
          <w:tcPr>
            <w:tcW w:w="452" w:type="dxa"/>
            <w:vAlign w:val="center"/>
            <w:vMerge w:val="restart"/>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行业合规性</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核查指标建设是否符合医疗卫生行业相关政策法规、标准规范，确保指标体系设计、数据采集与使用合法合规。</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出现违规情况，按严重程度扣分，影响严重扣5分，较为严重扣3分，影响较轻扣1分。</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tcW w:w="466" w:type="dxa"/>
            <w:vAlign w:val="center"/>
            <w:vMerge w:val="continue"/>
            <w:textDirection w:val="lrTb"/>
            <w:noWrap w:val="false"/>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52" w:type="dxa"/>
            <w:vAlign w:val="center"/>
            <w:vMerge w:val="continue"/>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2" w:type="dxa"/>
            <w:vAlign w:val="center"/>
            <w:textDirection w:val="lrTb"/>
            <w:noWrap w:val="false"/>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政策动态适配</w:t>
            </w:r>
            <w:r>
              <w:rPr>
                <w:rFonts w:hint="eastAsia" w:ascii="宋体" w:hAnsi="宋体" w:eastAsia="宋体" w:cs="宋体"/>
                <w:i w:val="0"/>
                <w:iCs w:val="0"/>
                <w:color w:val="000000"/>
                <w:sz w:val="24"/>
                <w:szCs w:val="24"/>
                <w:u w:val="none"/>
              </w:rPr>
            </w:r>
            <w:r/>
          </w:p>
        </w:tc>
        <w:tc>
          <w:tcPr>
            <w:tcW w:w="1709"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评估服务团队是否及时关注并响应医疗行业政策变化，对指标体系进行相应调整优化。</w:t>
            </w:r>
            <w:r>
              <w:rPr>
                <w:rFonts w:hint="eastAsia" w:ascii="宋体" w:hAnsi="宋体" w:eastAsia="宋体" w:cs="宋体"/>
                <w:i w:val="0"/>
                <w:iCs w:val="0"/>
                <w:color w:val="000000"/>
                <w:sz w:val="24"/>
                <w:szCs w:val="24"/>
                <w:u w:val="none"/>
              </w:rPr>
            </w:r>
            <w:r/>
          </w:p>
        </w:tc>
        <w:tc>
          <w:tcPr>
            <w:tcW w:w="1174" w:type="dxa"/>
            <w:vAlign w:val="center"/>
            <w:textDirection w:val="lrTb"/>
            <w:noWrap w:val="false"/>
          </w:tcPr>
          <w:p>
            <w:pPr>
              <w:pStyle w:val="866"/>
              <w:jc w:val="both"/>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若因政策变化未及时调整导致指标失效或不合规，进行扣分，每次扣1分，扣完为止。</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2"/>
        </w:trPr>
        <w:tc>
          <w:tcPr>
            <w:gridSpan w:val="5"/>
            <w:tcW w:w="8453"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384" w:type="dxa"/>
            <w:vAlign w:val="center"/>
            <w:textDirection w:val="lrTb"/>
            <w:noWrap/>
          </w:tcPr>
          <w:p>
            <w:pPr>
              <w:pStyle w:val="866"/>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69" w:type="dxa"/>
            <w:vAlign w:val="center"/>
            <w:textDirection w:val="lrTb"/>
            <w:noWrap/>
          </w:tcPr>
          <w:p>
            <w:pPr>
              <w:pStyle w:val="866"/>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66"/>
        <w:ind w:right="0"/>
        <w:jc w:val="both"/>
        <w:keepLines w:val="0"/>
        <w:keepNext w:val="0"/>
        <w:pageBreakBefore w:val="0"/>
        <w:spacing w:line="400" w:lineRule="exact"/>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866"/>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6"/>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第七章   投标文件格式</w:t>
      </w:r>
      <w:bookmarkEnd w:id="816"/>
      <w:r>
        <w:rPr>
          <w:rFonts w:ascii="Times New Roman" w:hAnsi="Times New Roman" w:eastAsia="宋体" w:cs="Times New Roman"/>
          <w:b/>
          <w:sz w:val="36"/>
          <w:szCs w:val="36"/>
        </w:rPr>
      </w:r>
      <w:r/>
    </w:p>
    <w:p>
      <w:pPr>
        <w:pStyle w:val="866"/>
        <w:spacing w:line="360" w:lineRule="auto"/>
        <w:tabs>
          <w:tab w:val="left" w:pos="900" w:leader="none"/>
          <w:tab w:val="left" w:pos="1980" w:leader="none"/>
        </w:tabs>
        <w:rPr>
          <w:b/>
          <w:sz w:val="24"/>
        </w:rPr>
      </w:pPr>
      <w:r>
        <w:rPr>
          <w:b/>
          <w:sz w:val="24"/>
        </w:rPr>
      </w:r>
      <w:r/>
    </w:p>
    <w:p>
      <w:pPr>
        <w:pStyle w:val="86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66"/>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66"/>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6"/>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6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66"/>
        <w:jc w:val="left"/>
        <w:widowControl/>
        <w:rPr>
          <w:sz w:val="24"/>
        </w:rPr>
      </w:pPr>
      <w:r>
        <w:rPr>
          <w:sz w:val="24"/>
        </w:rPr>
        <w:br w:type="page" w:clear="all"/>
      </w:r>
      <w:r>
        <w:rPr>
          <w:sz w:val="24"/>
        </w:rPr>
      </w:r>
      <w:r/>
    </w:p>
    <w:p>
      <w:pPr>
        <w:pStyle w:val="866"/>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866"/>
        <w:rPr>
          <w:b/>
          <w:spacing w:val="20"/>
          <w:szCs w:val="21"/>
        </w:rPr>
      </w:pPr>
      <w:r>
        <w:rPr>
          <w:b/>
          <w:spacing w:val="20"/>
          <w:szCs w:val="21"/>
        </w:rPr>
      </w:r>
      <w:r/>
    </w:p>
    <w:p>
      <w:pPr>
        <w:pStyle w:val="866"/>
        <w:rPr>
          <w:b/>
          <w:sz w:val="24"/>
        </w:rPr>
      </w:pPr>
      <w:r>
        <w:rPr>
          <w:b/>
          <w:spacing w:val="20"/>
          <w:sz w:val="24"/>
        </w:rPr>
        <w:t xml:space="preserve">投标文件</w:t>
      </w:r>
      <w:r>
        <w:rPr>
          <w:b/>
          <w:sz w:val="24"/>
        </w:rPr>
        <w:t xml:space="preserve">封面（非实质性格式）</w:t>
      </w:r>
      <w:r>
        <w:rPr>
          <w:b/>
          <w:sz w:val="24"/>
        </w:rPr>
      </w:r>
      <w:r/>
    </w:p>
    <w:p>
      <w:pPr>
        <w:pStyle w:val="866"/>
        <w:jc w:val="center"/>
        <w:rPr>
          <w:szCs w:val="21"/>
        </w:rPr>
      </w:pPr>
      <w:r>
        <w:rPr>
          <w:szCs w:val="21"/>
        </w:rPr>
      </w:r>
      <w:r/>
    </w:p>
    <w:p>
      <w:pPr>
        <w:pStyle w:val="866"/>
        <w:jc w:val="center"/>
        <w:rPr>
          <w:b/>
          <w:spacing w:val="60"/>
          <w:sz w:val="84"/>
          <w:szCs w:val="84"/>
        </w:rPr>
      </w:pPr>
      <w:r>
        <w:rPr>
          <w:b/>
          <w:spacing w:val="60"/>
          <w:sz w:val="84"/>
          <w:szCs w:val="84"/>
        </w:rPr>
        <w:t xml:space="preserve">投 标 文 件</w:t>
      </w:r>
      <w:r>
        <w:rPr>
          <w:b/>
          <w:spacing w:val="60"/>
          <w:sz w:val="84"/>
          <w:szCs w:val="84"/>
        </w:rPr>
      </w:r>
      <w:r/>
    </w:p>
    <w:p>
      <w:pPr>
        <w:pStyle w:val="866"/>
        <w:ind w:firstLine="963"/>
        <w:rPr>
          <w:rFonts w:hint="eastAsia"/>
          <w:b/>
          <w:spacing w:val="60"/>
          <w:sz w:val="52"/>
          <w:szCs w:val="52"/>
        </w:rPr>
      </w:pPr>
      <w:r>
        <w:rPr>
          <w:rFonts w:hint="eastAsia"/>
          <w:b/>
          <w:spacing w:val="60"/>
          <w:sz w:val="52"/>
          <w:szCs w:val="52"/>
        </w:rPr>
      </w:r>
      <w:r/>
    </w:p>
    <w:p>
      <w:pPr>
        <w:pStyle w:val="866"/>
        <w:ind w:firstLine="963"/>
        <w:rPr>
          <w:rFonts w:hint="eastAsia"/>
          <w:b/>
          <w:spacing w:val="60"/>
          <w:sz w:val="52"/>
          <w:szCs w:val="52"/>
        </w:rPr>
      </w:pPr>
      <w:r>
        <w:rPr>
          <w:rFonts w:hint="eastAsia"/>
          <w:b/>
          <w:spacing w:val="60"/>
          <w:sz w:val="52"/>
          <w:szCs w:val="52"/>
        </w:rPr>
      </w:r>
      <w:r/>
    </w:p>
    <w:p>
      <w:pPr>
        <w:pStyle w:val="866"/>
        <w:ind w:firstLine="542"/>
        <w:rPr>
          <w:b/>
          <w:spacing w:val="20"/>
          <w:sz w:val="32"/>
          <w:szCs w:val="32"/>
        </w:rPr>
      </w:pPr>
      <w:r>
        <w:rPr>
          <w:b/>
          <w:spacing w:val="20"/>
          <w:sz w:val="32"/>
          <w:szCs w:val="32"/>
        </w:rPr>
      </w:r>
      <w:r/>
    </w:p>
    <w:p>
      <w:pPr>
        <w:pStyle w:val="866"/>
        <w:ind w:firstLine="542"/>
        <w:rPr>
          <w:b/>
          <w:spacing w:val="20"/>
          <w:sz w:val="32"/>
          <w:szCs w:val="32"/>
        </w:rPr>
      </w:pPr>
      <w:r>
        <w:rPr>
          <w:b/>
          <w:spacing w:val="20"/>
          <w:sz w:val="32"/>
          <w:szCs w:val="32"/>
        </w:rPr>
      </w:r>
      <w:r/>
    </w:p>
    <w:p>
      <w:pPr>
        <w:pStyle w:val="86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6"/>
        <w:jc w:val="center"/>
        <w:rPr>
          <w:b/>
          <w:sz w:val="32"/>
          <w:szCs w:val="32"/>
        </w:rPr>
      </w:pPr>
      <w:r>
        <w:rPr>
          <w:b/>
          <w:sz w:val="32"/>
          <w:szCs w:val="32"/>
        </w:rPr>
      </w:r>
      <w:r/>
    </w:p>
    <w:p>
      <w:pPr>
        <w:pStyle w:val="866"/>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6"/>
        <w:rPr>
          <w:b/>
        </w:rPr>
      </w:pPr>
      <w:r>
        <w:rPr>
          <w:b/>
        </w:rPr>
      </w:r>
      <w:r/>
    </w:p>
    <w:p>
      <w:pPr>
        <w:pStyle w:val="866"/>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866"/>
        <w:keepLines w:val="0"/>
        <w:keepNext w:val="0"/>
        <w:pageBreakBefore w:val="0"/>
        <w:spacing w:line="360" w:lineRule="auto"/>
        <w:widowControl w:val="off"/>
        <w:rPr>
          <w:rFonts w:hint="eastAsia" w:ascii="宋体" w:hAnsi="宋体" w:cs="宋体"/>
          <w:b/>
          <w:sz w:val="28"/>
          <w:szCs w:val="28"/>
        </w:rPr>
        <w:outlineLvl w:val="3"/>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866"/>
        <w:jc w:val="center"/>
        <w:pageBreakBefore w:val="0"/>
        <w:spacing w:before="120" w:line="360" w:lineRule="auto"/>
        <w:widowControl/>
        <w:outlineLvl w:val="9"/>
      </w:pPr>
      <w:r>
        <w:rPr>
          <w:rFonts w:hint="eastAsia" w:ascii="宋体" w:hAnsi="宋体" w:cs="宋体"/>
          <w:b/>
          <w:sz w:val="28"/>
          <w:szCs w:val="28"/>
        </w:rPr>
        <w:t xml:space="preserve">投标人资格声明函</w:t>
      </w:r>
      <w:r/>
    </w:p>
    <w:p>
      <w:pPr>
        <w:pStyle w:val="888"/>
        <w:ind w:firstLine="480"/>
        <w:pageBreakBefore w:val="0"/>
        <w:spacing w:line="460" w:lineRule="exact"/>
        <w:outlineLvl w:val="9"/>
      </w:pPr>
      <w:r>
        <w:rPr>
          <w:rFonts w:hint="eastAsia"/>
        </w:rPr>
        <w:t xml:space="preserve">致：</w:t>
      </w:r>
      <w:r>
        <w:rPr>
          <w:rFonts w:hint="eastAsia"/>
          <w:u w:val="single"/>
        </w:rPr>
        <w:t xml:space="preserve">（采购人名称）</w:t>
      </w:r>
      <w:r/>
    </w:p>
    <w:p>
      <w:pPr>
        <w:pStyle w:val="888"/>
        <w:ind w:firstLine="480"/>
        <w:pageBreakBefore w:val="0"/>
        <w:spacing w:line="460" w:lineRule="exact"/>
        <w:outlineLvl w:val="9"/>
      </w:pPr>
      <w:r>
        <w:rPr>
          <w:rFonts w:hint="eastAsia"/>
        </w:rPr>
        <w:t xml:space="preserve">按照《中华人民共和国政府采购法》第二十二条和招标文件的规定，我单位郑重声明如下：</w:t>
      </w:r>
      <w:r/>
    </w:p>
    <w:p>
      <w:pPr>
        <w:pStyle w:val="888"/>
        <w:ind w:firstLine="480"/>
        <w:pageBreakBefore w:val="0"/>
        <w:spacing w:line="460" w:lineRule="exact"/>
        <w:outlineLvl w:val="9"/>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8"/>
        <w:ind w:firstLine="480"/>
        <w:pageBreakBefore w:val="0"/>
        <w:spacing w:line="460" w:lineRule="exact"/>
        <w:outlineLvl w:val="9"/>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888"/>
        <w:ind w:firstLine="480"/>
        <w:pageBreakBefore w:val="0"/>
        <w:spacing w:line="460" w:lineRule="exact"/>
        <w:outlineLvl w:val="9"/>
      </w:pPr>
      <w:r>
        <w:rPr>
          <w:rFonts w:hint="eastAsia"/>
        </w:rPr>
        <w:t xml:space="preserve">三、我单位依法进行纳税和社会保险申报并实际履行了义务。</w:t>
      </w:r>
      <w:r/>
    </w:p>
    <w:p>
      <w:pPr>
        <w:pStyle w:val="888"/>
        <w:ind w:firstLine="480"/>
        <w:pageBreakBefore w:val="0"/>
        <w:spacing w:line="460" w:lineRule="exact"/>
        <w:outlineLvl w:val="9"/>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8"/>
        <w:ind w:firstLine="480"/>
        <w:pageBreakBefore w:val="0"/>
        <w:spacing w:line="460" w:lineRule="exact"/>
        <w:outlineLvl w:val="9"/>
      </w:pPr>
      <w:r>
        <w:rPr>
          <w:rFonts w:hint="eastAsia"/>
        </w:rPr>
        <w:t xml:space="preserve">主要设备有：</w:t>
      </w:r>
      <w:r>
        <w:rPr>
          <w:u w:val="single"/>
        </w:rPr>
        <w:t xml:space="preserve">            </w:t>
      </w:r>
      <w:r/>
    </w:p>
    <w:p>
      <w:pPr>
        <w:pStyle w:val="888"/>
        <w:ind w:firstLine="480"/>
        <w:pageBreakBefore w:val="0"/>
        <w:spacing w:line="460" w:lineRule="exact"/>
        <w:outlineLvl w:val="9"/>
      </w:pPr>
      <w:r>
        <w:rPr>
          <w:rFonts w:hint="eastAsia"/>
        </w:rPr>
        <w:t xml:space="preserve">主要专业技术能力有</w:t>
      </w:r>
      <w:r>
        <w:rPr>
          <w:rFonts w:hint="eastAsia"/>
          <w:u w:val="single"/>
        </w:rPr>
        <w:t xml:space="preserve">                 </w:t>
      </w:r>
      <w:r/>
    </w:p>
    <w:p>
      <w:pPr>
        <w:pStyle w:val="888"/>
        <w:ind w:firstLine="480"/>
        <w:pageBreakBefore w:val="0"/>
        <w:spacing w:line="460" w:lineRule="exact"/>
        <w:outlineLvl w:val="9"/>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8"/>
        <w:ind w:firstLine="480"/>
        <w:pageBreakBefore w:val="0"/>
        <w:spacing w:line="460" w:lineRule="exact"/>
        <w:outlineLvl w:val="9"/>
      </w:pPr>
      <w:r>
        <w:rPr>
          <w:rFonts w:hint="eastAsia"/>
        </w:rPr>
        <w:t xml:space="preserve">六、我单位具备法律、行政法规规定的其他条件。</w:t>
      </w:r>
      <w:r/>
    </w:p>
    <w:p>
      <w:pPr>
        <w:pStyle w:val="888"/>
        <w:ind w:firstLine="480"/>
        <w:pageBreakBefore w:val="0"/>
        <w:spacing w:line="460" w:lineRule="exact"/>
        <w:outlineLvl w:val="9"/>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888"/>
        <w:ind w:firstLine="480"/>
        <w:pageBreakBefore w:val="0"/>
        <w:spacing w:line="460" w:lineRule="exact"/>
        <w:outlineLvl w:val="9"/>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8"/>
        <w:ind w:firstLine="480"/>
        <w:pageBreakBefore w:val="0"/>
        <w:spacing w:line="460" w:lineRule="exact"/>
        <w:outlineLvl w:val="9"/>
      </w:pPr>
      <w:r>
        <w:rPr>
          <w:rFonts w:hint="eastAsia"/>
        </w:rPr>
        <w:t xml:space="preserve">2、我单位直接控股的其他单位如下：</w:t>
      </w:r>
      <w:r>
        <w:rPr>
          <w:rFonts w:hint="eastAsia"/>
          <w:u w:val="single"/>
        </w:rPr>
        <w:t xml:space="preserve">                    </w:t>
      </w:r>
      <w:r>
        <w:rPr>
          <w:rFonts w:hint="eastAsia"/>
        </w:rPr>
        <w:t xml:space="preserve"> </w:t>
      </w:r>
      <w:r/>
    </w:p>
    <w:p>
      <w:pPr>
        <w:pStyle w:val="888"/>
        <w:ind w:firstLine="480"/>
        <w:pageBreakBefore w:val="0"/>
        <w:spacing w:line="460" w:lineRule="exact"/>
        <w:outlineLvl w:val="9"/>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8"/>
        <w:ind w:firstLine="480"/>
        <w:pageBreakBefore w:val="0"/>
        <w:spacing w:line="460" w:lineRule="exact"/>
        <w:outlineLvl w:val="9"/>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8"/>
        <w:ind w:firstLine="480"/>
        <w:pageBreakBefore w:val="0"/>
        <w:spacing w:line="460" w:lineRule="exact"/>
        <w:outlineLvl w:val="9"/>
      </w:pPr>
      <w:r>
        <w:rPr>
          <w:rFonts w:hint="eastAsia"/>
        </w:rPr>
        <w:t xml:space="preserve">九、</w:t>
      </w:r>
      <w:r>
        <w:t xml:space="preserve">我单位无以下不良信用记录情形：</w:t>
      </w:r>
      <w:r/>
    </w:p>
    <w:p>
      <w:pPr>
        <w:pStyle w:val="888"/>
        <w:ind w:firstLine="480"/>
        <w:pageBreakBefore w:val="0"/>
        <w:spacing w:line="460" w:lineRule="exact"/>
        <w:outlineLvl w:val="9"/>
      </w:pPr>
      <w:r>
        <w:t xml:space="preserve">1</w:t>
      </w:r>
      <w:r>
        <w:rPr>
          <w:rFonts w:hint="eastAsia"/>
        </w:rPr>
        <w:t xml:space="preserve">、在“信用中国”网站被列入失信被执行人和重大税收违法案件当事人名单；</w:t>
      </w:r>
      <w:r/>
    </w:p>
    <w:p>
      <w:pPr>
        <w:pStyle w:val="888"/>
        <w:ind w:firstLine="480"/>
        <w:pageBreakBefore w:val="0"/>
        <w:spacing w:line="460" w:lineRule="exact"/>
        <w:outlineLvl w:val="9"/>
      </w:pPr>
      <w:r>
        <w:t xml:space="preserve">2</w:t>
      </w:r>
      <w:r>
        <w:rPr>
          <w:rFonts w:hint="eastAsia"/>
        </w:rPr>
        <w:t xml:space="preserve">、在“中国政府采购网”网站被列入政府采购严重违法失信行为记录名单；</w:t>
      </w:r>
      <w:r/>
    </w:p>
    <w:p>
      <w:pPr>
        <w:pStyle w:val="888"/>
        <w:ind w:firstLine="480"/>
        <w:pageBreakBefore w:val="0"/>
        <w:spacing w:line="460" w:lineRule="exact"/>
        <w:outlineLvl w:val="9"/>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888"/>
        <w:ind w:firstLine="480"/>
        <w:pageBreakBefore w:val="0"/>
        <w:spacing w:line="460" w:lineRule="exact"/>
        <w:outlineLvl w:val="9"/>
      </w:pPr>
      <w:r/>
      <w:r/>
    </w:p>
    <w:p>
      <w:pPr>
        <w:pStyle w:val="888"/>
        <w:ind w:firstLine="480"/>
        <w:pageBreakBefore w:val="0"/>
        <w:spacing w:line="460" w:lineRule="exact"/>
        <w:outlineLvl w:val="9"/>
      </w:pPr>
      <w:r>
        <w:rPr>
          <w:rFonts w:hint="eastAsia"/>
        </w:rPr>
        <w:t xml:space="preserve">我单位保证上述声明的事项都是真实的，如有虚假，我单位愿意承担相应的法律责任，并承担因此所造成的一切损失。</w:t>
      </w:r>
      <w:r/>
    </w:p>
    <w:p>
      <w:pPr>
        <w:pStyle w:val="888"/>
        <w:ind w:firstLine="480"/>
        <w:pageBreakBefore w:val="0"/>
        <w:spacing w:line="460" w:lineRule="exact"/>
        <w:outlineLvl w:val="9"/>
      </w:pPr>
      <w:r/>
      <w:r/>
    </w:p>
    <w:p>
      <w:pPr>
        <w:pStyle w:val="888"/>
        <w:ind w:firstLine="480"/>
        <w:pageBreakBefore w:val="0"/>
        <w:spacing w:line="460" w:lineRule="exact"/>
        <w:rPr>
          <w:rFonts w:hint="eastAsia"/>
        </w:rPr>
        <w:outlineLvl w:val="9"/>
      </w:pPr>
      <w:r>
        <w:rPr>
          <w:rFonts w:hint="eastAsia"/>
        </w:rPr>
        <w:t xml:space="preserve">                                            投标人：（加盖公章）</w:t>
      </w:r>
      <w:r>
        <w:rPr>
          <w:rFonts w:hint="eastAsia"/>
        </w:rPr>
      </w:r>
      <w:r/>
    </w:p>
    <w:p>
      <w:pPr>
        <w:pStyle w:val="888"/>
        <w:ind w:firstLine="4862"/>
        <w:pageBreakBefore w:val="0"/>
        <w:spacing w:line="460" w:lineRule="exact"/>
        <w:outlineLvl w:val="9"/>
      </w:pPr>
      <w:r>
        <w:rPr>
          <w:rFonts w:hint="eastAsia"/>
        </w:rPr>
        <w:t xml:space="preserve">法定代表人（或单位负责人）签字或盖章：</w:t>
      </w:r>
      <w:r/>
    </w:p>
    <w:p>
      <w:pPr>
        <w:pStyle w:val="888"/>
        <w:ind w:firstLine="4920"/>
        <w:pageBreakBefore w:val="0"/>
        <w:spacing w:line="460" w:lineRule="exact"/>
        <w:rPr>
          <w:rFonts w:hint="eastAsia"/>
        </w:rPr>
        <w:outlineLvl w:val="9"/>
      </w:pPr>
      <w:r>
        <w:rPr>
          <w:rFonts w:hint="eastAsia"/>
        </w:rPr>
        <w:t xml:space="preserve">日期：    年    月    日</w:t>
      </w:r>
      <w:r>
        <w:rPr>
          <w:rFonts w:hint="eastAsia"/>
        </w:rPr>
      </w:r>
      <w:r/>
    </w:p>
    <w:p>
      <w:pPr>
        <w:pStyle w:val="866"/>
        <w:pageBreakBefore w:val="0"/>
        <w:spacing w:line="360" w:lineRule="auto"/>
        <w:rPr>
          <w:rFonts w:hint="eastAsia"/>
          <w:sz w:val="24"/>
        </w:rPr>
        <w:outlineLvl w:val="9"/>
      </w:pPr>
      <w:r>
        <w:rPr>
          <w:rFonts w:hint="eastAsia"/>
          <w:sz w:val="24"/>
        </w:rPr>
      </w:r>
      <w:r/>
    </w:p>
    <w:p>
      <w:pPr>
        <w:pStyle w:val="866"/>
        <w:pageBreakBefore w:val="0"/>
        <w:spacing w:line="360" w:lineRule="auto"/>
        <w:rPr>
          <w:rFonts w:hint="eastAsia"/>
          <w:b w:val="0"/>
          <w:bCs/>
          <w:u w:val="none"/>
          <w:lang w:val="en-US" w:eastAsia="zh-CN"/>
        </w:rPr>
        <w:outlineLvl w:val="9"/>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866"/>
        <w:pageBreakBefore w:val="0"/>
        <w:rPr>
          <w:rFonts w:hint="eastAsia"/>
          <w:b/>
          <w:bCs w:val="0"/>
          <w:u w:val="none"/>
          <w:lang w:val="en-US" w:eastAsia="zh-CN"/>
        </w:rPr>
        <w:outlineLvl w:val="9"/>
      </w:pPr>
      <w:r>
        <w:rPr>
          <w:rFonts w:hint="eastAsia"/>
          <w:b/>
          <w:bCs w:val="0"/>
          <w:u w:val="none"/>
          <w:lang w:val="en-US" w:eastAsia="zh-CN"/>
        </w:rPr>
      </w:r>
      <w:r/>
    </w:p>
    <w:p>
      <w:pPr>
        <w:pStyle w:val="866"/>
        <w:pageBreakBefore w:val="0"/>
        <w:rPr>
          <w:b w:val="0"/>
          <w:bCs/>
          <w:u w:val="none"/>
          <w:vertAlign w:val="baseline"/>
        </w:rPr>
        <w:outlineLvl w:val="9"/>
      </w:pPr>
      <w:r>
        <w:rPr>
          <w:rFonts w:hint="eastAsia"/>
          <w:b/>
          <w:bCs w:val="0"/>
          <w:u w:val="none"/>
          <w:lang w:val="en-US" w:eastAsia="zh-CN"/>
        </w:rPr>
        <w:t xml:space="preserve">营业执照（扫描件或图片）（可另起一页放置）</w:t>
      </w:r>
      <w:r>
        <w:rPr>
          <w:b w:val="0"/>
          <w:bCs/>
          <w:u w:val="none"/>
          <w:vertAlign w:val="baseline"/>
        </w:rPr>
      </w:r>
      <w:r/>
    </w:p>
    <w:tbl>
      <w:tblPr>
        <w:tblStyle w:val="9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5261"/>
        </w:trPr>
        <w:tc>
          <w:tcPr>
            <w:tcW w:w="9963" w:type="dxa"/>
            <w:vAlign w:val="top"/>
            <w:textDirection w:val="lrTb"/>
            <w:noWrap w:val="false"/>
          </w:tcPr>
          <w:p>
            <w:pPr>
              <w:pStyle w:val="866"/>
              <w:pageBreakBefore w:val="0"/>
              <w:rPr>
                <w:vertAlign w:val="baseline"/>
              </w:rPr>
              <w:outlineLvl w:val="9"/>
            </w:pPr>
            <w:r>
              <w:rPr>
                <w:vertAlign w:val="baseline"/>
              </w:rPr>
            </w:r>
            <w:r/>
          </w:p>
        </w:tc>
      </w:tr>
    </w:tbl>
    <w:p>
      <w:pPr>
        <w:pStyle w:val="869"/>
        <w:sectPr>
          <w:footnotePr/>
          <w:endnotePr/>
          <w:type w:val="nextPage"/>
          <w:pgSz w:w="11907" w:h="16840" w:orient="portrait"/>
          <w:pgMar w:top="1440" w:right="1080" w:bottom="1440" w:left="1080" w:header="851" w:footer="851" w:gutter="0"/>
          <w:cols w:num="1" w:sep="0" w:space="1701" w:equalWidth="1"/>
          <w:docGrid w:linePitch="360"/>
        </w:sectPr>
      </w:pPr>
      <w:r/>
      <w:r/>
    </w:p>
    <w:p>
      <w:pPr>
        <w:pStyle w:val="866"/>
        <w:keepLines w:val="0"/>
        <w:keepNext w:val="0"/>
        <w:pageBreakBefore w:val="0"/>
        <w:spacing w:line="360" w:lineRule="auto"/>
        <w:widowControl w:val="off"/>
        <w:tabs>
          <w:tab w:val="left" w:pos="8280" w:leader="none"/>
        </w:tabs>
        <w:rPr>
          <w:color w:val="000000"/>
          <w:sz w:val="24"/>
          <w:szCs w:val="20"/>
        </w:rPr>
        <w:outlineLvl w:val="3"/>
      </w:pPr>
      <w:r>
        <w:rPr>
          <w:color w:val="000000"/>
          <w:sz w:val="24"/>
          <w:szCs w:val="20"/>
        </w:rPr>
        <w:t xml:space="preserve">2 落实政府采购政策需满足的资格要求（如有）</w:t>
      </w:r>
      <w:r>
        <w:rPr>
          <w:color w:val="000000"/>
          <w:sz w:val="24"/>
          <w:szCs w:val="20"/>
        </w:rPr>
      </w:r>
      <w:r/>
    </w:p>
    <w:p>
      <w:pPr>
        <w:pStyle w:val="866"/>
        <w:spacing w:line="360" w:lineRule="auto"/>
        <w:tabs>
          <w:tab w:val="left" w:pos="8280" w:leader="none"/>
        </w:tabs>
        <w:rPr>
          <w:rFonts w:hint="eastAsia" w:ascii="Times New Roman" w:hAnsi="Times New Roman" w:eastAsia="宋体" w:cs="Times New Roman"/>
          <w:color w:val="000000"/>
          <w:sz w:val="24"/>
          <w:szCs w:val="20"/>
          <w:lang w:eastAsia="zh-CN"/>
        </w:rPr>
      </w:pPr>
      <w:r>
        <w:rPr>
          <w:rFonts w:hint="eastAsia"/>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eastAsia="zh-CN"/>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866"/>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866"/>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866"/>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86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866"/>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866"/>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866"/>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6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6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6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66"/>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66"/>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6"/>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866"/>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6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6"/>
        <w:jc w:val="center"/>
        <w:keepLines w:val="0"/>
        <w:keepNext w:val="0"/>
        <w:pageBreakBefore w:val="0"/>
        <w:spacing w:line="360" w:lineRule="auto"/>
        <w:widowControl w:val="off"/>
        <w:rPr>
          <w:rFonts w:ascii="Times New Roman" w:hAnsi="Times New Roman" w:eastAsia="宋体" w:cs="Times New Roman"/>
          <w:b/>
          <w:color w:val="000000"/>
          <w:sz w:val="36"/>
          <w:szCs w:val="36"/>
        </w:rPr>
        <w:outlineLvl w:val="9"/>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r>
      <w:r/>
    </w:p>
    <w:p>
      <w:pPr>
        <w:pStyle w:val="86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6"/>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66"/>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66"/>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6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6"/>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866"/>
        <w:spacing w:line="360" w:lineRule="auto"/>
        <w:rPr>
          <w:rFonts w:hint="eastAsia" w:eastAsia="宋体"/>
          <w:b/>
          <w:sz w:val="36"/>
          <w:szCs w:val="36"/>
          <w:lang w:eastAsia="zh-CN"/>
        </w:rPr>
        <w:outlineLvl w:val="3"/>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eastAsia="宋体"/>
          <w:b/>
          <w:sz w:val="36"/>
          <w:szCs w:val="36"/>
          <w:lang w:eastAsia="zh-CN"/>
        </w:rPr>
      </w:r>
      <w:r/>
    </w:p>
    <w:p>
      <w:pPr>
        <w:pStyle w:val="866"/>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866"/>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866"/>
        <w:spacing w:line="360" w:lineRule="auto"/>
        <w:tabs>
          <w:tab w:val="left" w:pos="8280" w:leader="none"/>
        </w:tabs>
        <w:rPr>
          <w:color w:val="000000"/>
          <w:sz w:val="24"/>
          <w:szCs w:val="20"/>
        </w:rPr>
        <w:outlineLvl w:val="3"/>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866"/>
        <w:spacing w:line="360" w:lineRule="auto"/>
        <w:tabs>
          <w:tab w:val="left" w:pos="8280" w:leader="none"/>
        </w:tabs>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866"/>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ind w:left="719" w:hanging="240"/>
        <w:spacing w:line="360" w:lineRule="auto"/>
        <w:rPr>
          <w:rFonts w:hint="eastAsia"/>
          <w:sz w:val="24"/>
          <w:szCs w:val="20"/>
        </w:rPr>
      </w:pPr>
      <w:r>
        <w:rPr>
          <w:rFonts w:hint="eastAsia"/>
          <w:sz w:val="24"/>
          <w:szCs w:val="20"/>
        </w:rPr>
      </w:r>
      <w:r/>
    </w:p>
    <w:p>
      <w:pPr>
        <w:pStyle w:val="866"/>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866"/>
        <w:jc w:val="center"/>
        <w:widowControl/>
        <w:rPr>
          <w:rFonts w:hint="eastAsia" w:ascii="宋体" w:hAnsi="宋体"/>
          <w:b/>
          <w:sz w:val="32"/>
          <w:szCs w:val="32"/>
        </w:rPr>
        <w:outlineLvl w:val="1"/>
      </w:pPr>
      <w:r>
        <w:rPr>
          <w:rFonts w:ascii="宋体" w:hAnsi="宋体"/>
          <w:b/>
          <w:sz w:val="32"/>
          <w:szCs w:val="32"/>
        </w:rPr>
        <w:t xml:space="preserve">二、商务技术文件格式</w:t>
      </w:r>
      <w:bookmarkStart w:id="817" w:name="_Toc142311058"/>
      <w:r/>
      <w:bookmarkStart w:id="818" w:name="_Toc520356217"/>
      <w:r/>
      <w:bookmarkStart w:id="819" w:name="_Toc226309800"/>
      <w:r/>
      <w:bookmarkStart w:id="820" w:name="_Toc195842921"/>
      <w:r/>
      <w:bookmarkStart w:id="821" w:name="_Toc480942349"/>
      <w:r/>
      <w:bookmarkStart w:id="822" w:name="_Toc226337252"/>
      <w:r/>
      <w:bookmarkStart w:id="823" w:name="_Toc226965746"/>
      <w:r/>
      <w:bookmarkStart w:id="824" w:name="_Toc226965829"/>
      <w:r/>
      <w:bookmarkStart w:id="825" w:name="_Toc150480794"/>
      <w:r/>
      <w:bookmarkStart w:id="826" w:name="_Ref467988698"/>
      <w:r/>
      <w:bookmarkStart w:id="827" w:name="_Toc150774761"/>
      <w:r/>
      <w:bookmarkStart w:id="828" w:name="_Toc127151556"/>
      <w:r>
        <w:rPr>
          <w:rFonts w:hint="eastAsia" w:ascii="宋体" w:hAnsi="宋体"/>
          <w:b/>
          <w:sz w:val="32"/>
          <w:szCs w:val="32"/>
        </w:rPr>
      </w:r>
      <w:r/>
    </w:p>
    <w:p>
      <w:pPr>
        <w:pStyle w:val="866"/>
        <w:jc w:val="center"/>
        <w:widowControl/>
        <w:rPr>
          <w:rFonts w:hint="eastAsia" w:ascii="宋体" w:hAnsi="宋体"/>
          <w:b/>
          <w:sz w:val="32"/>
          <w:szCs w:val="32"/>
        </w:rPr>
      </w:pPr>
      <w:r>
        <w:rPr>
          <w:rFonts w:hint="eastAsia" w:ascii="宋体" w:hAnsi="宋体"/>
          <w:b/>
          <w:sz w:val="32"/>
          <w:szCs w:val="32"/>
        </w:rPr>
      </w:r>
      <w:r/>
    </w:p>
    <w:p>
      <w:pPr>
        <w:pStyle w:val="866"/>
        <w:spacing w:line="360" w:lineRule="auto"/>
        <w:rPr>
          <w:color w:val="000000"/>
          <w:sz w:val="24"/>
          <w:szCs w:val="20"/>
        </w:rPr>
        <w:outlineLvl w:val="3"/>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rPr>
        <w:t xml:space="preserve">函</w:t>
      </w:r>
      <w:r>
        <w:rPr>
          <w:color w:val="000000"/>
          <w:sz w:val="24"/>
          <w:szCs w:val="20"/>
        </w:rPr>
        <w:t xml:space="preserve">（实质性格式）</w:t>
      </w:r>
      <w:r>
        <w:rPr>
          <w:color w:val="000000"/>
          <w:sz w:val="24"/>
          <w:szCs w:val="20"/>
        </w:rPr>
      </w:r>
      <w:r/>
    </w:p>
    <w:p>
      <w:pPr>
        <w:pStyle w:val="866"/>
        <w:spacing w:line="360" w:lineRule="auto"/>
        <w:tabs>
          <w:tab w:val="left" w:pos="5580" w:leader="none"/>
        </w:tabs>
        <w:rPr>
          <w:color w:val="000000"/>
          <w:sz w:val="24"/>
        </w:rPr>
      </w:pPr>
      <w:r>
        <w:rPr>
          <w:color w:val="000000"/>
          <w:sz w:val="24"/>
        </w:rPr>
      </w:r>
      <w:r/>
    </w:p>
    <w:p>
      <w:pPr>
        <w:pStyle w:val="866"/>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6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66"/>
        <w:spacing w:line="360" w:lineRule="auto"/>
        <w:tabs>
          <w:tab w:val="left" w:pos="5580" w:leader="none"/>
        </w:tabs>
        <w:rPr>
          <w:color w:val="000000"/>
          <w:sz w:val="24"/>
          <w:szCs w:val="20"/>
        </w:rPr>
      </w:pPr>
      <w:r>
        <w:rPr>
          <w:color w:val="000000"/>
          <w:sz w:val="24"/>
          <w:szCs w:val="20"/>
        </w:rPr>
      </w:r>
      <w:r/>
    </w:p>
    <w:p>
      <w:pPr>
        <w:pStyle w:val="866"/>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86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66"/>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86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6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6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6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66"/>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66"/>
        <w:ind w:left="420"/>
        <w:spacing w:line="360" w:lineRule="auto"/>
        <w:tabs>
          <w:tab w:val="left" w:pos="5580" w:leader="none"/>
        </w:tabs>
        <w:rPr>
          <w:color w:val="000000"/>
          <w:sz w:val="24"/>
          <w:szCs w:val="20"/>
        </w:rPr>
      </w:pPr>
      <w:r>
        <w:rPr>
          <w:color w:val="000000"/>
          <w:sz w:val="24"/>
          <w:szCs w:val="20"/>
        </w:rPr>
      </w:r>
      <w:r/>
    </w:p>
    <w:p>
      <w:pPr>
        <w:pStyle w:val="86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6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66"/>
        <w:ind w:left="420"/>
        <w:spacing w:line="360" w:lineRule="auto"/>
        <w:tabs>
          <w:tab w:val="left" w:pos="5580" w:leader="none"/>
        </w:tabs>
        <w:rPr>
          <w:color w:val="000000"/>
          <w:sz w:val="24"/>
          <w:szCs w:val="20"/>
        </w:rPr>
      </w:pPr>
      <w:r>
        <w:rPr>
          <w:color w:val="000000"/>
          <w:sz w:val="24"/>
          <w:szCs w:val="20"/>
        </w:rPr>
      </w:r>
      <w:r/>
    </w:p>
    <w:p>
      <w:pPr>
        <w:pStyle w:val="866"/>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6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66"/>
        <w:ind w:left="420"/>
        <w:spacing w:line="360" w:lineRule="auto"/>
        <w:tabs>
          <w:tab w:val="left" w:pos="5580" w:leader="none"/>
        </w:tabs>
        <w:rPr>
          <w:color w:val="000000"/>
          <w:sz w:val="24"/>
          <w:szCs w:val="20"/>
          <w:u w:val="single"/>
        </w:rPr>
      </w:pPr>
      <w:r>
        <w:rPr>
          <w:color w:val="000000"/>
          <w:sz w:val="24"/>
          <w:szCs w:val="20"/>
          <w:u w:val="single"/>
        </w:rPr>
      </w:r>
      <w:r/>
    </w:p>
    <w:p>
      <w:pPr>
        <w:pStyle w:val="866"/>
        <w:spacing w:line="360" w:lineRule="auto"/>
        <w:rPr>
          <w:rFonts w:hint="eastAsia"/>
          <w:color w:val="000000"/>
          <w:sz w:val="24"/>
        </w:rPr>
        <w:outlineLvl w:val="3"/>
      </w:pPr>
      <w:r/>
      <w:bookmarkStart w:id="829" w:name="_Hlt520355938"/>
      <w:r/>
      <w:bookmarkEnd w:id="829"/>
      <w:r/>
      <w:bookmarkStart w:id="830" w:name="_Hlt520356243"/>
      <w:r/>
      <w:bookmarkEnd w:id="830"/>
      <w:r>
        <w:rPr>
          <w:color w:val="000000"/>
          <w:sz w:val="24"/>
        </w:rPr>
        <w:br w:type="page" w:clear="all"/>
      </w: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法定代表人资格证明书（实质性格式）</w:t>
      </w:r>
      <w:r>
        <w:rPr>
          <w:rFonts w:hint="eastAsia"/>
          <w:color w:val="000000"/>
          <w:sz w:val="24"/>
        </w:rPr>
      </w:r>
      <w:r/>
    </w:p>
    <w:p>
      <w:pPr>
        <w:pStyle w:val="866"/>
        <w:jc w:val="center"/>
        <w:spacing w:line="360" w:lineRule="auto"/>
        <w:rPr>
          <w:rFonts w:hint="eastAsia" w:ascii="宋体" w:hAnsi="宋体"/>
          <w:b/>
          <w:sz w:val="32"/>
          <w:szCs w:val="32"/>
        </w:rPr>
      </w:pPr>
      <w:r>
        <w:rPr>
          <w:rFonts w:hint="eastAsia" w:ascii="宋体" w:hAnsi="宋体"/>
          <w:b/>
          <w:sz w:val="32"/>
          <w:szCs w:val="32"/>
        </w:rPr>
      </w:r>
      <w:r/>
    </w:p>
    <w:p>
      <w:pPr>
        <w:pStyle w:val="86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6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6"/>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98"/>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6"/>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866"/>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86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66"/>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866"/>
        <w:jc w:val="left"/>
        <w:widowControl/>
        <w:rPr>
          <w:rFonts w:hint="eastAsia"/>
          <w:color w:val="000000"/>
          <w:sz w:val="24"/>
        </w:rPr>
      </w:pPr>
      <w:r>
        <w:rPr>
          <w:rFonts w:hint="eastAsia"/>
          <w:color w:val="000000"/>
          <w:sz w:val="24"/>
        </w:rPr>
      </w:r>
      <w:r/>
    </w:p>
    <w:p>
      <w:pPr>
        <w:pStyle w:val="86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6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6"/>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66"/>
        <w:jc w:val="left"/>
        <w:widowControl/>
        <w:rPr>
          <w:rFonts w:hint="eastAsia"/>
          <w:color w:val="000000"/>
          <w:sz w:val="24"/>
        </w:rPr>
      </w:pPr>
      <w:r>
        <w:rPr>
          <w:rFonts w:hint="eastAsia"/>
          <w:color w:val="000000"/>
          <w:sz w:val="24"/>
        </w:rPr>
      </w:r>
      <w:r/>
    </w:p>
    <w:p>
      <w:pPr>
        <w:pStyle w:val="866"/>
        <w:jc w:val="left"/>
        <w:widowControl/>
        <w:rPr>
          <w:rFonts w:hint="eastAsia"/>
          <w:color w:val="000000"/>
          <w:sz w:val="24"/>
        </w:rPr>
      </w:pPr>
      <w:r>
        <w:rPr>
          <w:rFonts w:hint="eastAsia"/>
          <w:color w:val="000000"/>
          <w:sz w:val="24"/>
        </w:rPr>
      </w:r>
      <w:r/>
    </w:p>
    <w:p>
      <w:pPr>
        <w:pStyle w:val="866"/>
        <w:jc w:val="left"/>
        <w:widowControl/>
        <w:rPr>
          <w:rFonts w:hint="eastAsia" w:ascii="黑体" w:hAnsi="黑体" w:eastAsia="黑体"/>
          <w:b/>
          <w:sz w:val="32"/>
          <w:szCs w:val="32"/>
        </w:rPr>
        <w:outlineLvl w:val="3"/>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866"/>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66"/>
        <w:ind w:firstLine="640"/>
      </w:p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6"/>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8"/>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866"/>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866"/>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866"/>
        <w:spacing w:line="360" w:lineRule="auto"/>
        <w:rPr>
          <w:rFonts w:hint="eastAsia" w:ascii="Times New Roman" w:hAnsi="Times New Roman" w:eastAsia="宋体" w:cs="Times New Roman"/>
          <w:color w:val="000000"/>
          <w:sz w:val="24"/>
        </w:rPr>
        <w:outlineLvl w:val="3"/>
      </w:pPr>
      <w:r/>
      <w:bookmarkStart w:id="831" w:name="_Hlt520273711"/>
      <w:r/>
      <w:bookmarkEnd w:id="831"/>
      <w:r/>
      <w:bookmarkStart w:id="832" w:name="_Hlt520274065"/>
      <w:r/>
      <w:bookmarkEnd w:id="832"/>
      <w:r/>
      <w:bookmarkStart w:id="833" w:name="_Hlt520343392"/>
      <w:r/>
      <w:bookmarkEnd w:id="833"/>
      <w:r/>
      <w:bookmarkStart w:id="834" w:name="_Hlt520355504"/>
      <w:r/>
      <w:bookmarkEnd w:id="834"/>
      <w:r/>
      <w:bookmarkStart w:id="835" w:name="_Hlt520343000"/>
      <w:r/>
      <w:bookmarkEnd w:id="835"/>
      <w:r/>
      <w:bookmarkStart w:id="836" w:name="_Hlt520274393"/>
      <w:r/>
      <w:bookmarkEnd w:id="836"/>
      <w:r/>
      <w:bookmarkStart w:id="837" w:name="_Hlt520350918"/>
      <w:r/>
      <w:bookmarkEnd w:id="837"/>
      <w:r/>
      <w:bookmarkStart w:id="838" w:name="_Hlt520274407"/>
      <w:r/>
      <w:bookmarkEnd w:id="838"/>
      <w:r/>
      <w:bookmarkStart w:id="839" w:name="_Hlt520271212"/>
      <w:r/>
      <w:bookmarkEnd w:id="839"/>
      <w:r/>
      <w:bookmarkStart w:id="840" w:name="_Hlt520274121"/>
      <w:r/>
      <w:bookmarkEnd w:id="840"/>
      <w:r/>
      <w:bookmarkStart w:id="841" w:name="_Toc226965830"/>
      <w:r/>
      <w:bookmarkStart w:id="842" w:name="_Toc520356218"/>
      <w:r/>
      <w:bookmarkStart w:id="843" w:name="_Ref467988705"/>
      <w:r/>
      <w:bookmarkStart w:id="844" w:name="_Toc480942350"/>
      <w:r/>
      <w:bookmarkStart w:id="845" w:name="_Toc195842922"/>
      <w:r/>
      <w:bookmarkStart w:id="846" w:name="_Toc150774762"/>
      <w:r/>
      <w:bookmarkStart w:id="847" w:name="_Toc226965747"/>
      <w:r/>
      <w:bookmarkStart w:id="848" w:name="_Toc150480795"/>
      <w:r/>
      <w:bookmarkStart w:id="849" w:name="_Toc265228395"/>
      <w:r/>
      <w:bookmarkStart w:id="850" w:name="_Toc226337253"/>
      <w:r/>
      <w:bookmarkStart w:id="851" w:name="_Toc226309801"/>
      <w:r/>
      <w:bookmarkStart w:id="852" w:name="_Toc305158825"/>
      <w:r/>
      <w:bookmarkStart w:id="853" w:name="_Toc127151557"/>
      <w:r/>
      <w:bookmarkStart w:id="854" w:name="_Toc142311059"/>
      <w:r/>
      <w:bookmarkStart w:id="855" w:name="_Toc264969247"/>
      <w:r/>
      <w:bookmarkStart w:id="856" w:name="_Toc305158899"/>
      <w:r>
        <w:rPr>
          <w:color w:val="000000"/>
          <w:sz w:val="24"/>
          <w:szCs w:val="20"/>
        </w:rPr>
        <w:br w:type="page" w:clear="all"/>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Times New Roman" w:hAnsi="Times New Roman" w:eastAsia="宋体" w:cs="Times New Roman"/>
          <w:color w:val="000000"/>
          <w:sz w:val="24"/>
        </w:rPr>
        <w:t xml:space="preserve">（实质性格式）</w:t>
      </w:r>
      <w:r>
        <w:rPr>
          <w:rFonts w:hint="eastAsia" w:ascii="Times New Roman" w:hAnsi="Times New Roman" w:eastAsia="宋体" w:cs="Times New Roman"/>
          <w:color w:val="000000"/>
          <w:sz w:val="24"/>
        </w:rPr>
      </w:r>
      <w:r/>
    </w:p>
    <w:p>
      <w:pPr>
        <w:pStyle w:val="866"/>
        <w:jc w:val="center"/>
        <w:spacing w:line="360" w:lineRule="exact"/>
        <w:rPr>
          <w:b/>
          <w:color w:val="000000"/>
          <w:sz w:val="36"/>
          <w:szCs w:val="36"/>
        </w:rPr>
      </w:pPr>
      <w:r/>
      <w:bookmarkStart w:id="857" w:name="_Toc226309802"/>
      <w:r/>
      <w:bookmarkStart w:id="858" w:name="_Toc195842923"/>
      <w:r/>
      <w:bookmarkStart w:id="859" w:name="_Toc226965748"/>
      <w:r/>
      <w:bookmarkStart w:id="860" w:name="_Toc164608672"/>
      <w:r/>
      <w:bookmarkStart w:id="861" w:name="_Toc305158826"/>
      <w:r/>
      <w:bookmarkStart w:id="862" w:name="_Toc164608827"/>
      <w:r/>
      <w:bookmarkStart w:id="863" w:name="_Toc226965831"/>
      <w:r/>
      <w:bookmarkStart w:id="864" w:name="_Toc305158900"/>
      <w:r/>
      <w:bookmarkStart w:id="865" w:name="_Toc226337254"/>
      <w:r/>
      <w:bookmarkStart w:id="866" w:name="_Toc265228396"/>
      <w:r/>
      <w:bookmarkStart w:id="867" w:name="_Toc264969248"/>
      <w:r>
        <w:rPr>
          <w:rFonts w:hint="eastAsia"/>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rPr>
      </w:r>
      <w:r/>
    </w:p>
    <w:p>
      <w:pPr>
        <w:pStyle w:val="866"/>
        <w:jc w:val="left"/>
        <w:spacing w:line="360" w:lineRule="auto"/>
        <w:tabs>
          <w:tab w:val="left" w:pos="1800" w:leader="none"/>
          <w:tab w:val="left" w:pos="5580" w:leader="none"/>
        </w:tabs>
        <w:rPr>
          <w:i/>
          <w:color w:val="ff0000"/>
          <w:sz w:val="24"/>
        </w:rPr>
      </w:pPr>
      <w:r>
        <w:rPr>
          <w:i/>
          <w:color w:val="ff0000"/>
          <w:sz w:val="24"/>
        </w:rPr>
      </w:r>
      <w:r/>
    </w:p>
    <w:p>
      <w:pPr>
        <w:pStyle w:val="866"/>
        <w:ind w:firstLine="240"/>
        <w:jc w:val="right"/>
        <w:spacing w:line="360" w:lineRule="auto"/>
        <w:tabs>
          <w:tab w:val="left" w:pos="1800" w:leader="none"/>
          <w:tab w:val="left" w:pos="5580" w:leader="none"/>
        </w:tabs>
        <w:rPr>
          <w:color w:val="000000"/>
          <w:sz w:val="24"/>
          <w:u w:val="single"/>
        </w:rPr>
      </w:pP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color w:val="000000"/>
          <w:sz w:val="24"/>
          <w:u w:val="single"/>
        </w:rPr>
      </w:r>
      <w:r/>
    </w:p>
    <w:tbl>
      <w:tblPr>
        <w:tblW w:w="5027" w:type="pct"/>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2911"/>
        <w:gridCol w:w="2960"/>
        <w:gridCol w:w="3125"/>
      </w:tblGrid>
      <w:tr>
        <w:trPr>
          <w:trHeight w:val="1185"/>
        </w:trPr>
        <w:tc>
          <w:tcPr>
            <w:tcW w:w="415" w:type="dxa"/>
            <w:vAlign w:val="center"/>
            <w:textDirection w:val="lrTb"/>
            <w:noWrap w:val="false"/>
          </w:tcPr>
          <w:p>
            <w:pPr>
              <w:pStyle w:val="866"/>
              <w:jc w:val="center"/>
              <w:tabs>
                <w:tab w:val="left" w:pos="5580" w:leader="none"/>
              </w:tabs>
              <w:rPr>
                <w:b/>
                <w:sz w:val="24"/>
              </w:rPr>
            </w:pPr>
            <w:r>
              <w:rPr>
                <w:b/>
                <w:sz w:val="24"/>
              </w:rPr>
              <w:t xml:space="preserve">序号</w:t>
            </w:r>
            <w:r>
              <w:rPr>
                <w:b/>
                <w:sz w:val="24"/>
              </w:rPr>
            </w:r>
            <w:r/>
          </w:p>
        </w:tc>
        <w:tc>
          <w:tcPr>
            <w:tcW w:w="1483" w:type="dxa"/>
            <w:vAlign w:val="center"/>
            <w:textDirection w:val="lrTb"/>
            <w:noWrap w:val="false"/>
          </w:tcPr>
          <w:p>
            <w:pPr>
              <w:pStyle w:val="866"/>
              <w:jc w:val="center"/>
              <w:tabs>
                <w:tab w:val="left" w:pos="5580" w:leader="none"/>
              </w:tabs>
              <w:rPr>
                <w:b/>
                <w:sz w:val="24"/>
              </w:rPr>
            </w:pPr>
            <w:r>
              <w:rPr>
                <w:b/>
                <w:sz w:val="24"/>
              </w:rPr>
              <w:t xml:space="preserve">投标人名称</w:t>
            </w:r>
            <w:r>
              <w:rPr>
                <w:b/>
                <w:sz w:val="24"/>
              </w:rPr>
            </w:r>
            <w:r/>
          </w:p>
        </w:tc>
        <w:tc>
          <w:tcPr>
            <w:tcW w:w="1508" w:type="dxa"/>
            <w:vAlign w:val="center"/>
            <w:textDirection w:val="lrTb"/>
            <w:noWrap w:val="false"/>
          </w:tcPr>
          <w:p>
            <w:pPr>
              <w:pStyle w:val="866"/>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w:t>
            </w:r>
            <w:r>
              <w:rPr>
                <w:rFonts w:hint="eastAsia" w:eastAsia="宋体"/>
                <w:b/>
                <w:sz w:val="24"/>
                <w:lang w:val="en-US" w:eastAsia="zh-CN"/>
              </w:rPr>
            </w:r>
            <w:r/>
          </w:p>
        </w:tc>
        <w:tc>
          <w:tcPr>
            <w:tcW w:w="1592" w:type="dxa"/>
            <w:vAlign w:val="center"/>
            <w:textDirection w:val="lrTb"/>
            <w:noWrap w:val="false"/>
          </w:tcPr>
          <w:p>
            <w:pPr>
              <w:pStyle w:val="866"/>
              <w:jc w:val="center"/>
              <w:tabs>
                <w:tab w:val="left" w:pos="5580" w:leader="none"/>
              </w:tabs>
              <w:rPr>
                <w:rFonts w:eastAsia="宋体"/>
                <w:b/>
                <w:sz w:val="24"/>
                <w:lang w:val="en-US" w:eastAsia="zh-CN"/>
              </w:rPr>
            </w:pPr>
            <w:r>
              <w:rPr>
                <w:rFonts w:hint="eastAsia"/>
                <w:b/>
                <w:sz w:val="24"/>
                <w:lang w:val="en-US" w:eastAsia="zh-CN"/>
              </w:rPr>
              <w:t xml:space="preserve">项目负责人、电话</w:t>
            </w:r>
            <w:r>
              <w:rPr>
                <w:rFonts w:eastAsia="宋体"/>
                <w:b/>
                <w:sz w:val="24"/>
                <w:lang w:val="en-US" w:eastAsia="zh-CN"/>
              </w:rPr>
            </w:r>
            <w:r/>
          </w:p>
        </w:tc>
      </w:tr>
      <w:tr>
        <w:trPr>
          <w:trHeight w:val="1021"/>
        </w:trPr>
        <w:tc>
          <w:tcPr>
            <w:tcW w:w="415" w:type="dxa"/>
            <w:vAlign w:val="center"/>
            <w:textDirection w:val="lrTb"/>
            <w:noWrap w:val="false"/>
          </w:tcPr>
          <w:p>
            <w:pPr>
              <w:pStyle w:val="866"/>
              <w:jc w:val="center"/>
              <w:tabs>
                <w:tab w:val="left" w:pos="5580" w:leader="none"/>
              </w:tabs>
              <w:rPr>
                <w:sz w:val="24"/>
              </w:rPr>
            </w:pPr>
            <w:r>
              <w:rPr>
                <w:sz w:val="24"/>
              </w:rPr>
            </w:r>
            <w:r/>
          </w:p>
        </w:tc>
        <w:tc>
          <w:tcPr>
            <w:tcW w:w="1483" w:type="dxa"/>
            <w:vAlign w:val="center"/>
            <w:textDirection w:val="lrTb"/>
            <w:noWrap w:val="false"/>
          </w:tcPr>
          <w:p>
            <w:pPr>
              <w:pStyle w:val="866"/>
              <w:jc w:val="center"/>
              <w:tabs>
                <w:tab w:val="left" w:pos="5580" w:leader="none"/>
              </w:tabs>
              <w:rPr>
                <w:sz w:val="24"/>
              </w:rPr>
            </w:pPr>
            <w:r>
              <w:rPr>
                <w:sz w:val="24"/>
              </w:rPr>
            </w:r>
            <w:r/>
          </w:p>
        </w:tc>
        <w:tc>
          <w:tcPr>
            <w:tcW w:w="1508" w:type="dxa"/>
            <w:vAlign w:val="center"/>
            <w:textDirection w:val="lrTb"/>
            <w:noWrap w:val="false"/>
          </w:tcPr>
          <w:p>
            <w:pPr>
              <w:pStyle w:val="866"/>
              <w:jc w:val="center"/>
              <w:tabs>
                <w:tab w:val="left" w:pos="5580" w:leader="none"/>
              </w:tabs>
              <w:rPr>
                <w:sz w:val="24"/>
              </w:rPr>
            </w:pPr>
            <w:r>
              <w:rPr>
                <w:sz w:val="24"/>
              </w:rPr>
            </w:r>
            <w:r/>
          </w:p>
        </w:tc>
        <w:tc>
          <w:tcPr>
            <w:tcW w:w="1592" w:type="dxa"/>
            <w:vAlign w:val="center"/>
            <w:textDirection w:val="lrTb"/>
            <w:noWrap w:val="false"/>
          </w:tcPr>
          <w:p>
            <w:pPr>
              <w:pStyle w:val="866"/>
              <w:jc w:val="center"/>
              <w:tabs>
                <w:tab w:val="left" w:pos="5580" w:leader="none"/>
              </w:tabs>
              <w:rPr>
                <w:sz w:val="24"/>
              </w:rPr>
            </w:pPr>
            <w:r>
              <w:rPr>
                <w:sz w:val="24"/>
              </w:rPr>
            </w:r>
            <w:r/>
          </w:p>
        </w:tc>
      </w:tr>
    </w:tbl>
    <w:p>
      <w:pPr>
        <w:pStyle w:val="866"/>
        <w:jc w:val="left"/>
        <w:rPr>
          <w:color w:val="000000"/>
          <w:sz w:val="24"/>
        </w:rPr>
      </w:pPr>
      <w:r>
        <w:rPr>
          <w:color w:val="000000"/>
          <w:sz w:val="24"/>
        </w:rPr>
      </w:r>
      <w:r/>
    </w:p>
    <w:p>
      <w:pPr>
        <w:pStyle w:val="86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6"/>
        <w:spacing w:line="360" w:lineRule="auto"/>
        <w:rPr>
          <w:color w:val="000000"/>
          <w:sz w:val="24"/>
          <w:szCs w:val="20"/>
        </w:rPr>
        <w:outlineLvl w:val="3"/>
      </w:pPr>
      <w:r/>
      <w:bookmarkStart w:id="868" w:name="_Toc226337255"/>
      <w:r/>
      <w:bookmarkStart w:id="869" w:name="_Toc150774763"/>
      <w:r/>
      <w:bookmarkStart w:id="870" w:name="_Toc150480796"/>
      <w:r/>
      <w:bookmarkStart w:id="871" w:name="_Toc195842924"/>
      <w:r/>
      <w:bookmarkStart w:id="872" w:name="_Toc265228397"/>
      <w:r/>
      <w:bookmarkStart w:id="873" w:name="_Toc142311060"/>
      <w:r/>
      <w:bookmarkStart w:id="874" w:name="_Toc305158827"/>
      <w:r/>
      <w:bookmarkStart w:id="875" w:name="_Toc226309803"/>
      <w:r/>
      <w:bookmarkStart w:id="876" w:name="_Toc226965749"/>
      <w:r/>
      <w:bookmarkStart w:id="877" w:name="_Toc264969249"/>
      <w:r/>
      <w:bookmarkStart w:id="878" w:name="_Toc127151558"/>
      <w:r/>
      <w:bookmarkStart w:id="879" w:name="_Toc226965832"/>
      <w:r/>
      <w:bookmarkStart w:id="880" w:name="_Toc305158901"/>
      <w:r>
        <w:rPr>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309806"/>
      <w:r/>
      <w:bookmarkStart w:id="882" w:name="_Toc305158830"/>
      <w:r/>
      <w:bookmarkStart w:id="883" w:name="_Toc264969252"/>
      <w:r/>
      <w:bookmarkStart w:id="884" w:name="_Toc305158904"/>
      <w:r/>
      <w:bookmarkStart w:id="885" w:name="_Toc226337258"/>
      <w:r/>
      <w:bookmarkStart w:id="886" w:name="_Toc150480798"/>
      <w:r/>
      <w:bookmarkStart w:id="887" w:name="_Toc226965752"/>
      <w:r/>
      <w:bookmarkStart w:id="888" w:name="_Toc195842927"/>
      <w:r/>
      <w:bookmarkStart w:id="889" w:name="_Toc127151562"/>
      <w:r/>
      <w:bookmarkStart w:id="890" w:name="_Toc265228400"/>
      <w:r/>
      <w:bookmarkStart w:id="891" w:name="_Toc142311062"/>
      <w:r/>
      <w:bookmarkStart w:id="892" w:name="_Toc150774765"/>
      <w:r/>
      <w:bookmarkStart w:id="893" w:name="_Toc226965835"/>
      <w:r/>
      <w:bookmarkStart w:id="894" w:name="_Toc265228399"/>
      <w:r/>
      <w:bookmarkStart w:id="895" w:name="_Toc226965834"/>
      <w:r/>
      <w:bookmarkStart w:id="896" w:name="_Toc142311061"/>
      <w:r/>
      <w:bookmarkStart w:id="897" w:name="_Toc226309805"/>
      <w:r/>
      <w:bookmarkStart w:id="898" w:name="_Toc150480797"/>
      <w:r/>
      <w:bookmarkStart w:id="899" w:name="_Toc226337257"/>
      <w:r/>
      <w:bookmarkStart w:id="900" w:name="_Toc195842926"/>
      <w:r/>
      <w:bookmarkStart w:id="901" w:name="_Toc226965751"/>
      <w:r/>
      <w:bookmarkStart w:id="902" w:name="_Toc127151561"/>
      <w:r/>
      <w:bookmarkStart w:id="903" w:name="_Toc305158903"/>
      <w:r/>
      <w:bookmarkStart w:id="904" w:name="_Toc264969251"/>
      <w:r/>
      <w:bookmarkStart w:id="905" w:name="_Toc150774764"/>
      <w:r/>
      <w:bookmarkStart w:id="906" w:name="_Toc305158829"/>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Times New Roman" w:hAnsi="Times New Roman" w:eastAsia="宋体" w:cs="Times New Roman"/>
          <w:color w:val="000000"/>
          <w:sz w:val="24"/>
        </w:rPr>
        <w:t xml:space="preserve">（实质性格式）</w:t>
      </w:r>
      <w:r>
        <w:rPr>
          <w:color w:val="000000"/>
          <w:sz w:val="24"/>
          <w:szCs w:val="20"/>
        </w:rPr>
      </w:r>
      <w:r/>
    </w:p>
    <w:p>
      <w:pPr>
        <w:pStyle w:val="866"/>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21"/>
        <w:gridCol w:w="1900"/>
        <w:gridCol w:w="1750"/>
        <w:gridCol w:w="2003"/>
        <w:gridCol w:w="1239"/>
      </w:tblGrid>
      <w:tr>
        <w:trPr>
          <w:trHeight w:val="1268"/>
        </w:trPr>
        <w:tc>
          <w:tcPr>
            <w:gridSpan w:val="6"/>
            <w:tcW w:w="9847" w:type="dxa"/>
            <w:vAlign w:val="center"/>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866"/>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866"/>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866"/>
              <w:jc w:val="center"/>
              <w:rPr>
                <w:b/>
                <w:bCs/>
                <w:color w:val="000000"/>
                <w:sz w:val="24"/>
              </w:rPr>
            </w:pPr>
            <w:r>
              <w:rPr>
                <w:b/>
                <w:bCs/>
                <w:color w:val="000000"/>
                <w:sz w:val="24"/>
              </w:rPr>
              <w:t xml:space="preserve">序号</w:t>
            </w:r>
            <w:r>
              <w:rPr>
                <w:b/>
                <w:bCs/>
                <w:color w:val="000000"/>
                <w:sz w:val="24"/>
              </w:rPr>
            </w:r>
            <w:r/>
          </w:p>
        </w:tc>
        <w:tc>
          <w:tcPr>
            <w:tcW w:w="2121" w:type="dxa"/>
            <w:vAlign w:val="center"/>
            <w:textDirection w:val="lrTb"/>
            <w:noWrap w:val="false"/>
          </w:tcPr>
          <w:p>
            <w:pPr>
              <w:pStyle w:val="866"/>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900" w:type="dxa"/>
            <w:vAlign w:val="center"/>
            <w:textDirection w:val="lrTb"/>
            <w:noWrap w:val="false"/>
          </w:tcPr>
          <w:p>
            <w:pPr>
              <w:pStyle w:val="866"/>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50" w:type="dxa"/>
            <w:vAlign w:val="center"/>
            <w:textDirection w:val="lrTb"/>
            <w:noWrap w:val="false"/>
          </w:tcPr>
          <w:p>
            <w:pPr>
              <w:pStyle w:val="866"/>
              <w:jc w:val="center"/>
              <w:rPr>
                <w:b/>
                <w:bCs/>
                <w:color w:val="000000"/>
                <w:sz w:val="24"/>
              </w:rPr>
            </w:pPr>
            <w:r>
              <w:rPr>
                <w:b/>
                <w:bCs/>
                <w:color w:val="000000"/>
                <w:sz w:val="24"/>
              </w:rPr>
              <w:t xml:space="preserve">投标文件内容</w:t>
            </w:r>
            <w:r>
              <w:rPr>
                <w:b/>
                <w:bCs/>
                <w:color w:val="000000"/>
                <w:sz w:val="24"/>
              </w:rPr>
            </w:r>
            <w:r/>
          </w:p>
        </w:tc>
        <w:tc>
          <w:tcPr>
            <w:tcW w:w="2003" w:type="dxa"/>
            <w:vAlign w:val="center"/>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偏离情况</w:t>
            </w:r>
            <w:r>
              <w:rPr>
                <w:rFonts w:hint="eastAsia" w:ascii="宋体" w:hAnsi="宋体" w:eastAsia="宋体" w:cs="宋体"/>
                <w:b/>
                <w:bCs/>
                <w:sz w:val="24"/>
              </w:rPr>
            </w:r>
            <w:r/>
          </w:p>
          <w:p>
            <w:pPr>
              <w:pStyle w:val="866"/>
              <w:jc w:val="center"/>
              <w:rPr>
                <w:b/>
                <w:bCs/>
                <w:color w:val="000000"/>
                <w:sz w:val="24"/>
              </w:rPr>
            </w:pPr>
            <w:r>
              <w:rPr>
                <w:rFonts w:hint="eastAsia" w:ascii="宋体" w:hAnsi="宋体" w:eastAsia="宋体" w:cs="宋体"/>
                <w:b/>
                <w:bCs/>
                <w:sz w:val="24"/>
              </w:rPr>
              <w:t xml:space="preserve">（据实填写）</w:t>
            </w:r>
            <w:r>
              <w:rPr>
                <w:b/>
                <w:bCs/>
                <w:color w:val="000000"/>
                <w:sz w:val="24"/>
              </w:rPr>
            </w:r>
            <w:r/>
          </w:p>
        </w:tc>
        <w:tc>
          <w:tcPr>
            <w:tcW w:w="1239" w:type="dxa"/>
            <w:vAlign w:val="center"/>
            <w:textDirection w:val="lrTb"/>
            <w:noWrap w:val="false"/>
          </w:tcPr>
          <w:p>
            <w:pPr>
              <w:pStyle w:val="866"/>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866"/>
              <w:jc w:val="center"/>
              <w:rPr>
                <w:color w:val="000000"/>
                <w:sz w:val="24"/>
              </w:rPr>
            </w:pPr>
            <w:r>
              <w:rPr>
                <w:color w:val="000000"/>
                <w:sz w:val="24"/>
              </w:rPr>
            </w:r>
            <w:r/>
          </w:p>
        </w:tc>
        <w:tc>
          <w:tcPr>
            <w:tcW w:w="2121" w:type="dxa"/>
            <w:vAlign w:val="center"/>
            <w:textDirection w:val="lrTb"/>
            <w:noWrap w:val="false"/>
          </w:tcPr>
          <w:p>
            <w:pPr>
              <w:pStyle w:val="866"/>
              <w:jc w:val="center"/>
              <w:rPr>
                <w:color w:val="000000"/>
                <w:sz w:val="24"/>
              </w:rPr>
            </w:pPr>
            <w:r>
              <w:rPr>
                <w:color w:val="000000"/>
                <w:sz w:val="24"/>
              </w:rPr>
            </w:r>
            <w:r/>
          </w:p>
        </w:tc>
        <w:tc>
          <w:tcPr>
            <w:tcW w:w="1900" w:type="dxa"/>
            <w:vAlign w:val="center"/>
            <w:textDirection w:val="lrTb"/>
            <w:noWrap w:val="false"/>
          </w:tcPr>
          <w:p>
            <w:pPr>
              <w:pStyle w:val="866"/>
              <w:jc w:val="center"/>
              <w:rPr>
                <w:color w:val="000000"/>
                <w:sz w:val="24"/>
              </w:rPr>
            </w:pPr>
            <w:r>
              <w:rPr>
                <w:color w:val="000000"/>
                <w:sz w:val="24"/>
              </w:rPr>
            </w:r>
            <w:r/>
          </w:p>
        </w:tc>
        <w:tc>
          <w:tcPr>
            <w:tcW w:w="1750" w:type="dxa"/>
            <w:vAlign w:val="center"/>
            <w:textDirection w:val="lrTb"/>
            <w:noWrap w:val="false"/>
          </w:tcPr>
          <w:p>
            <w:pPr>
              <w:pStyle w:val="866"/>
              <w:jc w:val="center"/>
              <w:rPr>
                <w:color w:val="000000"/>
                <w:sz w:val="24"/>
              </w:rPr>
            </w:pPr>
            <w:r>
              <w:rPr>
                <w:color w:val="000000"/>
                <w:sz w:val="24"/>
              </w:rPr>
            </w:r>
            <w:r/>
          </w:p>
        </w:tc>
        <w:tc>
          <w:tcPr>
            <w:tcW w:w="2003" w:type="dxa"/>
            <w:vAlign w:val="center"/>
            <w:textDirection w:val="lrTb"/>
            <w:noWrap w:val="false"/>
          </w:tcPr>
          <w:p>
            <w:pPr>
              <w:pStyle w:val="866"/>
              <w:jc w:val="center"/>
              <w:rPr>
                <w:color w:val="000000"/>
                <w:sz w:val="24"/>
              </w:rPr>
            </w:pPr>
            <w:r>
              <w:rPr>
                <w:color w:val="000000"/>
                <w:sz w:val="24"/>
              </w:rPr>
            </w:r>
            <w:r/>
          </w:p>
        </w:tc>
        <w:tc>
          <w:tcPr>
            <w:tcW w:w="1239" w:type="dxa"/>
            <w:vAlign w:val="center"/>
            <w:textDirection w:val="lrTb"/>
            <w:noWrap w:val="false"/>
          </w:tcPr>
          <w:p>
            <w:pPr>
              <w:pStyle w:val="866"/>
              <w:jc w:val="center"/>
              <w:rPr>
                <w:color w:val="000000"/>
                <w:sz w:val="24"/>
              </w:rPr>
            </w:pPr>
            <w:r>
              <w:rPr>
                <w:color w:val="000000"/>
                <w:sz w:val="24"/>
              </w:rPr>
            </w:r>
            <w:r/>
          </w:p>
        </w:tc>
      </w:tr>
      <w:tr>
        <w:trPr>
          <w:trHeight w:val="930"/>
        </w:trPr>
        <w:tc>
          <w:tcPr>
            <w:tcW w:w="834" w:type="dxa"/>
            <w:vAlign w:val="center"/>
            <w:textDirection w:val="lrTb"/>
            <w:noWrap w:val="false"/>
          </w:tcPr>
          <w:p>
            <w:pPr>
              <w:pStyle w:val="866"/>
              <w:jc w:val="center"/>
              <w:rPr>
                <w:color w:val="000000"/>
                <w:sz w:val="24"/>
              </w:rPr>
            </w:pPr>
            <w:r>
              <w:rPr>
                <w:color w:val="000000"/>
                <w:sz w:val="24"/>
              </w:rPr>
            </w:r>
            <w:r/>
          </w:p>
        </w:tc>
        <w:tc>
          <w:tcPr>
            <w:tcW w:w="2121" w:type="dxa"/>
            <w:vAlign w:val="center"/>
            <w:textDirection w:val="lrTb"/>
            <w:noWrap w:val="false"/>
          </w:tcPr>
          <w:p>
            <w:pPr>
              <w:pStyle w:val="866"/>
              <w:jc w:val="center"/>
              <w:rPr>
                <w:color w:val="000000"/>
                <w:sz w:val="24"/>
              </w:rPr>
            </w:pPr>
            <w:r>
              <w:rPr>
                <w:color w:val="000000"/>
                <w:sz w:val="24"/>
              </w:rPr>
            </w:r>
            <w:r/>
          </w:p>
        </w:tc>
        <w:tc>
          <w:tcPr>
            <w:tcW w:w="1900" w:type="dxa"/>
            <w:vAlign w:val="center"/>
            <w:textDirection w:val="lrTb"/>
            <w:noWrap w:val="false"/>
          </w:tcPr>
          <w:p>
            <w:pPr>
              <w:pStyle w:val="866"/>
              <w:jc w:val="center"/>
              <w:rPr>
                <w:color w:val="000000"/>
                <w:sz w:val="24"/>
              </w:rPr>
            </w:pPr>
            <w:r>
              <w:rPr>
                <w:color w:val="000000"/>
                <w:sz w:val="24"/>
              </w:rPr>
            </w:r>
            <w:r/>
          </w:p>
        </w:tc>
        <w:tc>
          <w:tcPr>
            <w:tcW w:w="1750" w:type="dxa"/>
            <w:vAlign w:val="center"/>
            <w:textDirection w:val="lrTb"/>
            <w:noWrap w:val="false"/>
          </w:tcPr>
          <w:p>
            <w:pPr>
              <w:pStyle w:val="866"/>
              <w:jc w:val="center"/>
              <w:rPr>
                <w:color w:val="000000"/>
                <w:sz w:val="24"/>
              </w:rPr>
            </w:pPr>
            <w:r>
              <w:rPr>
                <w:color w:val="000000"/>
                <w:sz w:val="24"/>
              </w:rPr>
            </w:r>
            <w:r/>
          </w:p>
        </w:tc>
        <w:tc>
          <w:tcPr>
            <w:tcW w:w="2003" w:type="dxa"/>
            <w:vAlign w:val="center"/>
            <w:textDirection w:val="lrTb"/>
            <w:noWrap w:val="false"/>
          </w:tcPr>
          <w:p>
            <w:pPr>
              <w:pStyle w:val="866"/>
              <w:jc w:val="center"/>
              <w:rPr>
                <w:color w:val="000000"/>
                <w:sz w:val="24"/>
              </w:rPr>
            </w:pPr>
            <w:r>
              <w:rPr>
                <w:color w:val="000000"/>
                <w:sz w:val="24"/>
              </w:rPr>
            </w:r>
            <w:r/>
          </w:p>
        </w:tc>
        <w:tc>
          <w:tcPr>
            <w:tcW w:w="1239" w:type="dxa"/>
            <w:vAlign w:val="center"/>
            <w:textDirection w:val="lrTb"/>
            <w:noWrap w:val="false"/>
          </w:tcPr>
          <w:p>
            <w:pPr>
              <w:pStyle w:val="866"/>
              <w:jc w:val="center"/>
              <w:rPr>
                <w:color w:val="000000"/>
                <w:sz w:val="24"/>
              </w:rPr>
            </w:pPr>
            <w:r>
              <w:rPr>
                <w:color w:val="000000"/>
                <w:sz w:val="24"/>
              </w:rPr>
            </w:r>
            <w:r/>
          </w:p>
        </w:tc>
      </w:tr>
      <w:tr>
        <w:trPr>
          <w:trHeight w:val="930"/>
        </w:trPr>
        <w:tc>
          <w:tcPr>
            <w:tcW w:w="834" w:type="dxa"/>
            <w:vAlign w:val="center"/>
            <w:textDirection w:val="lrTb"/>
            <w:noWrap w:val="false"/>
          </w:tcPr>
          <w:p>
            <w:pPr>
              <w:pStyle w:val="866"/>
              <w:jc w:val="center"/>
              <w:rPr>
                <w:color w:val="000000"/>
                <w:sz w:val="24"/>
              </w:rPr>
            </w:pPr>
            <w:r>
              <w:rPr>
                <w:color w:val="000000"/>
                <w:sz w:val="24"/>
              </w:rPr>
            </w:r>
            <w:r/>
          </w:p>
        </w:tc>
        <w:tc>
          <w:tcPr>
            <w:tcW w:w="2121" w:type="dxa"/>
            <w:vAlign w:val="center"/>
            <w:textDirection w:val="lrTb"/>
            <w:noWrap w:val="false"/>
          </w:tcPr>
          <w:p>
            <w:pPr>
              <w:pStyle w:val="866"/>
              <w:jc w:val="center"/>
              <w:rPr>
                <w:color w:val="000000"/>
                <w:sz w:val="24"/>
              </w:rPr>
            </w:pPr>
            <w:r>
              <w:rPr>
                <w:color w:val="000000"/>
                <w:sz w:val="24"/>
              </w:rPr>
            </w:r>
            <w:r/>
          </w:p>
        </w:tc>
        <w:tc>
          <w:tcPr>
            <w:tcW w:w="1900" w:type="dxa"/>
            <w:vAlign w:val="center"/>
            <w:textDirection w:val="lrTb"/>
            <w:noWrap w:val="false"/>
          </w:tcPr>
          <w:p>
            <w:pPr>
              <w:pStyle w:val="866"/>
              <w:jc w:val="center"/>
              <w:rPr>
                <w:color w:val="000000"/>
                <w:sz w:val="24"/>
              </w:rPr>
            </w:pPr>
            <w:r>
              <w:rPr>
                <w:color w:val="000000"/>
                <w:sz w:val="24"/>
              </w:rPr>
            </w:r>
            <w:r/>
          </w:p>
        </w:tc>
        <w:tc>
          <w:tcPr>
            <w:tcW w:w="1750" w:type="dxa"/>
            <w:vAlign w:val="center"/>
            <w:textDirection w:val="lrTb"/>
            <w:noWrap w:val="false"/>
          </w:tcPr>
          <w:p>
            <w:pPr>
              <w:pStyle w:val="866"/>
              <w:jc w:val="center"/>
              <w:rPr>
                <w:color w:val="000000"/>
                <w:sz w:val="24"/>
              </w:rPr>
            </w:pPr>
            <w:r>
              <w:rPr>
                <w:color w:val="000000"/>
                <w:sz w:val="24"/>
              </w:rPr>
            </w:r>
            <w:r/>
          </w:p>
        </w:tc>
        <w:tc>
          <w:tcPr>
            <w:tcW w:w="2003" w:type="dxa"/>
            <w:vAlign w:val="center"/>
            <w:textDirection w:val="lrTb"/>
            <w:noWrap w:val="false"/>
          </w:tcPr>
          <w:p>
            <w:pPr>
              <w:pStyle w:val="866"/>
              <w:jc w:val="center"/>
              <w:rPr>
                <w:color w:val="000000"/>
                <w:sz w:val="24"/>
              </w:rPr>
            </w:pPr>
            <w:r>
              <w:rPr>
                <w:color w:val="000000"/>
                <w:sz w:val="24"/>
              </w:rPr>
            </w:r>
            <w:r/>
          </w:p>
        </w:tc>
        <w:tc>
          <w:tcPr>
            <w:tcW w:w="1239" w:type="dxa"/>
            <w:vAlign w:val="center"/>
            <w:textDirection w:val="lrTb"/>
            <w:noWrap w:val="false"/>
          </w:tcPr>
          <w:p>
            <w:pPr>
              <w:pStyle w:val="866"/>
              <w:jc w:val="center"/>
              <w:rPr>
                <w:color w:val="000000"/>
                <w:sz w:val="24"/>
              </w:rPr>
            </w:pPr>
            <w:r>
              <w:rPr>
                <w:color w:val="000000"/>
                <w:sz w:val="24"/>
              </w:rPr>
            </w:r>
            <w:r/>
          </w:p>
        </w:tc>
      </w:tr>
      <w:tr>
        <w:trPr>
          <w:trHeight w:val="930"/>
        </w:trPr>
        <w:tc>
          <w:tcPr>
            <w:tcW w:w="834" w:type="dxa"/>
            <w:vAlign w:val="center"/>
            <w:textDirection w:val="lrTb"/>
            <w:noWrap w:val="false"/>
          </w:tcPr>
          <w:p>
            <w:pPr>
              <w:pStyle w:val="866"/>
              <w:jc w:val="center"/>
              <w:rPr>
                <w:color w:val="000000"/>
                <w:sz w:val="24"/>
              </w:rPr>
            </w:pPr>
            <w:r>
              <w:rPr>
                <w:color w:val="000000"/>
                <w:sz w:val="24"/>
              </w:rPr>
              <w:t xml:space="preserve">……</w:t>
            </w:r>
            <w:r>
              <w:rPr>
                <w:color w:val="000000"/>
                <w:sz w:val="24"/>
              </w:rPr>
            </w:r>
            <w:r/>
          </w:p>
        </w:tc>
        <w:tc>
          <w:tcPr>
            <w:tcW w:w="2121" w:type="dxa"/>
            <w:vAlign w:val="center"/>
            <w:textDirection w:val="lrTb"/>
            <w:noWrap w:val="false"/>
          </w:tcPr>
          <w:p>
            <w:pPr>
              <w:pStyle w:val="866"/>
              <w:jc w:val="center"/>
              <w:rPr>
                <w:color w:val="000000"/>
                <w:sz w:val="24"/>
              </w:rPr>
            </w:pPr>
            <w:r>
              <w:rPr>
                <w:color w:val="000000"/>
                <w:sz w:val="24"/>
              </w:rPr>
            </w:r>
            <w:r/>
          </w:p>
        </w:tc>
        <w:tc>
          <w:tcPr>
            <w:tcW w:w="1900" w:type="dxa"/>
            <w:vAlign w:val="center"/>
            <w:textDirection w:val="lrTb"/>
            <w:noWrap w:val="false"/>
          </w:tcPr>
          <w:p>
            <w:pPr>
              <w:pStyle w:val="866"/>
              <w:jc w:val="center"/>
              <w:rPr>
                <w:color w:val="000000"/>
                <w:sz w:val="24"/>
              </w:rPr>
            </w:pPr>
            <w:r>
              <w:rPr>
                <w:color w:val="000000"/>
                <w:sz w:val="24"/>
              </w:rPr>
            </w:r>
            <w:r/>
          </w:p>
        </w:tc>
        <w:tc>
          <w:tcPr>
            <w:tcW w:w="1750" w:type="dxa"/>
            <w:vAlign w:val="center"/>
            <w:textDirection w:val="lrTb"/>
            <w:noWrap w:val="false"/>
          </w:tcPr>
          <w:p>
            <w:pPr>
              <w:pStyle w:val="866"/>
              <w:jc w:val="center"/>
              <w:rPr>
                <w:color w:val="000000"/>
                <w:sz w:val="24"/>
              </w:rPr>
            </w:pPr>
            <w:r>
              <w:rPr>
                <w:color w:val="000000"/>
                <w:sz w:val="24"/>
              </w:rPr>
            </w:r>
            <w:r/>
          </w:p>
        </w:tc>
        <w:tc>
          <w:tcPr>
            <w:tcW w:w="2003" w:type="dxa"/>
            <w:vAlign w:val="center"/>
            <w:textDirection w:val="lrTb"/>
            <w:noWrap w:val="false"/>
          </w:tcPr>
          <w:p>
            <w:pPr>
              <w:pStyle w:val="866"/>
              <w:jc w:val="center"/>
              <w:rPr>
                <w:color w:val="000000"/>
                <w:sz w:val="24"/>
              </w:rPr>
            </w:pPr>
            <w:r>
              <w:rPr>
                <w:color w:val="000000"/>
                <w:sz w:val="24"/>
              </w:rPr>
            </w:r>
            <w:r/>
          </w:p>
        </w:tc>
        <w:tc>
          <w:tcPr>
            <w:tcW w:w="1239" w:type="dxa"/>
            <w:vAlign w:val="center"/>
            <w:textDirection w:val="lrTb"/>
            <w:noWrap w:val="false"/>
          </w:tcPr>
          <w:p>
            <w:pPr>
              <w:pStyle w:val="866"/>
              <w:jc w:val="center"/>
              <w:rPr>
                <w:color w:val="000000"/>
                <w:sz w:val="24"/>
              </w:rPr>
            </w:pPr>
            <w:r>
              <w:rPr>
                <w:color w:val="000000"/>
                <w:sz w:val="24"/>
              </w:rPr>
            </w:r>
            <w:r/>
          </w:p>
        </w:tc>
      </w:tr>
    </w:tbl>
    <w:p>
      <w:pPr>
        <w:pStyle w:val="866"/>
        <w:jc w:val="left"/>
        <w:tabs>
          <w:tab w:val="left" w:pos="1800" w:leader="none"/>
          <w:tab w:val="left" w:pos="5580" w:leader="none"/>
        </w:tabs>
        <w:rPr>
          <w:color w:val="000000"/>
          <w:sz w:val="24"/>
        </w:rPr>
      </w:pPr>
      <w:r>
        <w:rPr>
          <w:color w:val="000000"/>
          <w:sz w:val="24"/>
        </w:rPr>
      </w:r>
      <w:r/>
    </w:p>
    <w:p>
      <w:pPr>
        <w:pStyle w:val="86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6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66"/>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866"/>
        <w:spacing w:line="360" w:lineRule="auto"/>
        <w:rPr>
          <w:color w:val="000000"/>
          <w:sz w:val="24"/>
          <w:szCs w:val="20"/>
        </w:rPr>
      </w:pPr>
      <w:r>
        <w:rPr>
          <w:color w:val="000000"/>
          <w:sz w:val="24"/>
          <w:szCs w:val="20"/>
        </w:rPr>
      </w:r>
      <w:r/>
    </w:p>
    <w:p>
      <w:pPr>
        <w:pStyle w:val="86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6"/>
        <w:spacing w:line="360" w:lineRule="auto"/>
        <w:rPr>
          <w:rFonts w:hint="eastAsia"/>
          <w:b/>
          <w:color w:val="000000"/>
          <w:sz w:val="36"/>
          <w:szCs w:val="36"/>
        </w:rPr>
        <w:outlineLvl w:val="3"/>
      </w:pPr>
      <w:r>
        <w:rPr>
          <w:color w:val="000000"/>
          <w:sz w:val="24"/>
          <w:szCs w:val="20"/>
        </w:rPr>
        <w:br w:type="page" w:clear="all"/>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采购需求偏离表（实质性格式）</w:t>
      </w:r>
      <w:r>
        <w:rPr>
          <w:rFonts w:hint="eastAsia"/>
          <w:b/>
          <w:color w:val="000000"/>
          <w:sz w:val="36"/>
          <w:szCs w:val="36"/>
        </w:rPr>
      </w:r>
      <w:r/>
    </w:p>
    <w:p>
      <w:pPr>
        <w:pStyle w:val="866"/>
        <w:jc w:val="center"/>
        <w:spacing w:line="360" w:lineRule="auto"/>
        <w:rPr>
          <w:rFonts w:eastAsia="宋体"/>
          <w:color w:val="000000"/>
          <w:sz w:val="24"/>
          <w:u w:val="single"/>
          <w:lang w:val="en-US" w:eastAsia="zh-CN"/>
        </w:rPr>
      </w:pPr>
      <w:r>
        <w:rPr>
          <w:rFonts w:hint="eastAsia"/>
          <w:b/>
          <w:color w:val="000000"/>
          <w:sz w:val="36"/>
          <w:szCs w:val="36"/>
        </w:rPr>
        <w:t xml:space="preserve">采购需求偏离表</w:t>
      </w:r>
      <w:r>
        <w:rPr>
          <w:rFonts w:eastAsia="宋体"/>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121"/>
        <w:gridCol w:w="1812"/>
        <w:gridCol w:w="1680"/>
        <w:gridCol w:w="2358"/>
        <w:gridCol w:w="906"/>
      </w:tblGrid>
      <w:tr>
        <w:trPr>
          <w:trHeight w:val="930"/>
        </w:trPr>
        <w:tc>
          <w:tcPr>
            <w:gridSpan w:val="6"/>
            <w:tcW w:w="9841" w:type="dxa"/>
            <w:vAlign w:val="center"/>
            <w:textDirection w:val="lrTb"/>
            <w:noWrap w:val="false"/>
          </w:tcPr>
          <w:p>
            <w:pPr>
              <w:pStyle w:val="866"/>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866"/>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866"/>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964" w:type="dxa"/>
            <w:vAlign w:val="center"/>
            <w:textDirection w:val="lrTb"/>
            <w:noWrap w:val="false"/>
          </w:tcPr>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W w:w="2121" w:type="dxa"/>
            <w:vAlign w:val="center"/>
            <w:textDirection w:val="lrTb"/>
            <w:noWrap w:val="false"/>
          </w:tcPr>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招标文件条目号（页码）</w:t>
            </w:r>
            <w:r>
              <w:rPr>
                <w:rFonts w:ascii="宋体" w:hAnsi="宋体" w:eastAsia="宋体" w:cs="宋体"/>
                <w:b/>
                <w:bCs/>
                <w:sz w:val="24"/>
              </w:rPr>
            </w:r>
            <w:r/>
          </w:p>
        </w:tc>
        <w:tc>
          <w:tcPr>
            <w:tcW w:w="1812" w:type="dxa"/>
            <w:vAlign w:val="center"/>
            <w:textDirection w:val="lrTb"/>
            <w:noWrap w:val="false"/>
          </w:tcPr>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招标文件要求</w:t>
            </w:r>
            <w:r>
              <w:rPr>
                <w:rFonts w:ascii="宋体" w:hAnsi="宋体" w:eastAsia="宋体" w:cs="宋体"/>
                <w:b/>
                <w:bCs/>
                <w:sz w:val="24"/>
              </w:rPr>
            </w:r>
            <w:r/>
          </w:p>
        </w:tc>
        <w:tc>
          <w:tcPr>
            <w:tcW w:w="1680" w:type="dxa"/>
            <w:vAlign w:val="center"/>
            <w:textDirection w:val="lrTb"/>
            <w:noWrap w:val="false"/>
          </w:tcPr>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投标文件内容</w:t>
            </w:r>
            <w:r>
              <w:rPr>
                <w:rFonts w:ascii="宋体" w:hAnsi="宋体" w:eastAsia="宋体" w:cs="宋体"/>
                <w:b/>
                <w:bCs/>
                <w:sz w:val="24"/>
              </w:rPr>
            </w:r>
            <w:r/>
          </w:p>
        </w:tc>
        <w:tc>
          <w:tcPr>
            <w:tcW w:w="2358" w:type="dxa"/>
            <w:vAlign w:val="center"/>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偏离情况</w:t>
            </w:r>
            <w:r>
              <w:rPr>
                <w:rFonts w:hint="eastAsia" w:ascii="宋体" w:hAnsi="宋体" w:eastAsia="宋体" w:cs="宋体"/>
                <w:b/>
                <w:bCs/>
                <w:sz w:val="24"/>
              </w:rPr>
            </w:r>
            <w:r/>
          </w:p>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（据实填写）</w:t>
            </w:r>
            <w:r>
              <w:rPr>
                <w:rFonts w:ascii="宋体" w:hAnsi="宋体" w:eastAsia="宋体" w:cs="宋体"/>
                <w:b/>
                <w:bCs/>
                <w:sz w:val="24"/>
              </w:rPr>
            </w:r>
            <w:r/>
          </w:p>
        </w:tc>
        <w:tc>
          <w:tcPr>
            <w:tcW w:w="906" w:type="dxa"/>
            <w:vAlign w:val="center"/>
            <w:textDirection w:val="lrTb"/>
            <w:noWrap w:val="false"/>
          </w:tcPr>
          <w:p>
            <w:pPr>
              <w:pStyle w:val="866"/>
              <w:jc w:val="center"/>
              <w:spacing w:line="400" w:lineRule="exact"/>
              <w:rPr>
                <w:rFonts w:ascii="宋体" w:hAnsi="宋体" w:eastAsia="宋体" w:cs="宋体"/>
                <w:b/>
                <w:bCs/>
                <w:sz w:val="24"/>
              </w:rPr>
            </w:pPr>
            <w:r>
              <w:rPr>
                <w:rFonts w:hint="eastAsia" w:ascii="宋体" w:hAnsi="宋体" w:eastAsia="宋体" w:cs="宋体"/>
                <w:b/>
                <w:bCs/>
                <w:sz w:val="24"/>
              </w:rPr>
              <w:t xml:space="preserve">说明</w:t>
            </w:r>
            <w:r>
              <w:rPr>
                <w:rFonts w:ascii="宋体" w:hAnsi="宋体" w:eastAsia="宋体" w:cs="宋体"/>
                <w:b/>
                <w:bCs/>
                <w:sz w:val="24"/>
              </w:rPr>
            </w:r>
            <w:r/>
          </w:p>
        </w:tc>
      </w:tr>
      <w:tr>
        <w:trPr>
          <w:trHeight w:val="930"/>
        </w:trPr>
        <w:tc>
          <w:tcPr>
            <w:tcW w:w="964"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64"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121"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6"/>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866"/>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866"/>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866"/>
        <w:rPr>
          <w:color w:val="000000"/>
          <w:sz w:val="24"/>
          <w:szCs w:val="20"/>
        </w:rPr>
      </w:pPr>
      <w:r>
        <w:rPr>
          <w:color w:val="000000"/>
          <w:sz w:val="24"/>
          <w:szCs w:val="20"/>
        </w:rPr>
      </w:r>
      <w:r/>
    </w:p>
    <w:p>
      <w:pPr>
        <w:pStyle w:val="86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6"/>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866"/>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7、实质性条款偏离表</w:t>
      </w:r>
      <w:r>
        <w:rPr>
          <w:rFonts w:hint="eastAsia" w:ascii="Times New Roman" w:hAnsi="Times New Roman" w:eastAsia="宋体" w:cs="Times New Roman"/>
          <w:color w:val="000000"/>
          <w:sz w:val="24"/>
          <w:lang w:val="en-US" w:eastAsia="zh-CN"/>
        </w:rPr>
      </w:r>
      <w:r/>
    </w:p>
    <w:p>
      <w:pPr>
        <w:pStyle w:val="866"/>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9711" w:type="dxa"/>
        <w:jc w:val="center"/>
        <w:tblInd w:w="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5696"/>
        <w:gridCol w:w="1230"/>
        <w:gridCol w:w="1143"/>
        <w:gridCol w:w="855"/>
      </w:tblGrid>
      <w:tr>
        <w:trPr>
          <w:trHeight w:val="631"/>
        </w:trPr>
        <w:tc>
          <w:tcPr>
            <w:tcW w:w="787"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7"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5696"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230"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143"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55"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588"/>
        </w:trPr>
        <w:tc>
          <w:tcPr>
            <w:tcW w:w="787"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7"/>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5696" w:type="dxa"/>
            <w:vAlign w:val="center"/>
            <w:textDirection w:val="lrTb"/>
            <w:noWrap w:val="false"/>
          </w:tcPr>
          <w:p>
            <w:pPr>
              <w:pStyle w:val="866"/>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230"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866"/>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6"/>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866"/>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866"/>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866"/>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866"/>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866"/>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866"/>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866"/>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866"/>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866"/>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866"/>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8、技术方案</w:t>
      </w:r>
      <w:r>
        <w:rPr>
          <w:rFonts w:hint="eastAsia" w:ascii="Times New Roman" w:hAnsi="Times New Roman" w:eastAsia="宋体" w:cs="Times New Roman"/>
          <w:color w:val="000000"/>
          <w:sz w:val="24"/>
          <w:lang w:val="en-US" w:eastAsia="zh-CN"/>
        </w:rPr>
      </w:r>
      <w:r/>
    </w:p>
    <w:p>
      <w:pPr>
        <w:pStyle w:val="866"/>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6"/>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6"/>
        <w:rPr>
          <w:rFonts w:hint="eastAsia" w:ascii="Times New Roman" w:hAnsi="Times New Roman" w:eastAsia="宋体" w:cs="Times New Roman"/>
          <w:color w:val="000000"/>
          <w:sz w:val="24"/>
          <w:szCs w:val="20"/>
          <w:highlight w:val="yellow"/>
          <w:lang w:val="en-US" w:eastAsia="zh-CN"/>
        </w:rPr>
      </w:pPr>
      <w:r>
        <w:rPr>
          <w:rFonts w:hint="eastAsia" w:ascii="Times New Roman" w:hAnsi="Times New Roman" w:eastAsia="宋体" w:cs="Times New Roman"/>
          <w:color w:val="000000"/>
          <w:sz w:val="24"/>
          <w:szCs w:val="20"/>
          <w:highlight w:val="yellow"/>
          <w:lang w:val="en-US" w:eastAsia="zh-CN"/>
        </w:rPr>
        <w:t xml:space="preserve">（</w:t>
      </w:r>
      <w:r>
        <w:rPr>
          <w:rFonts w:hint="eastAsia" w:ascii="Times New Roman" w:hAnsi="Times New Roman" w:eastAsia="宋体" w:cs="Times New Roman"/>
          <w:b/>
          <w:bCs/>
          <w:color w:val="000000"/>
          <w:sz w:val="24"/>
          <w:szCs w:val="20"/>
          <w:highlight w:val="yellow"/>
          <w:lang w:val="en-US" w:eastAsia="zh-CN"/>
        </w:rPr>
        <w:t xml:space="preserve">详见评分标准“主观分”，上传至</w:t>
      </w:r>
      <w:r>
        <w:rPr>
          <w:rFonts w:hint="eastAsia" w:ascii="Times New Roman" w:hAnsi="Times New Roman" w:eastAsia="宋体" w:cs="Times New Roman"/>
          <w:b/>
          <w:bCs/>
          <w:color w:val="000000"/>
          <w:sz w:val="24"/>
          <w:szCs w:val="20"/>
          <w:highlight w:val="yellow"/>
          <w:lang w:val="en-US" w:eastAsia="zh-CN"/>
        </w:rPr>
        <w:t xml:space="preserve">系统</w:t>
      </w:r>
      <w:r>
        <w:rPr>
          <w:rFonts w:hint="eastAsia" w:ascii="Times New Roman" w:hAnsi="Times New Roman" w:eastAsia="宋体" w:cs="Times New Roman"/>
          <w:b/>
          <w:bCs/>
          <w:color w:val="000000"/>
          <w:sz w:val="24"/>
          <w:szCs w:val="20"/>
          <w:highlight w:val="yellow"/>
          <w:lang w:val="en-US" w:eastAsia="zh-CN"/>
        </w:rPr>
        <w:t xml:space="preserve">指定位置</w:t>
      </w:r>
      <w:r>
        <w:rPr>
          <w:rFonts w:hint="eastAsia" w:ascii="Times New Roman" w:hAnsi="Times New Roman" w:eastAsia="宋体" w:cs="Times New Roman"/>
          <w:color w:val="000000"/>
          <w:sz w:val="24"/>
          <w:szCs w:val="20"/>
          <w:highlight w:val="yellow"/>
          <w:lang w:val="en-US" w:eastAsia="zh-CN"/>
        </w:rPr>
        <w:t xml:space="preserve">）</w:t>
      </w:r>
      <w:bookmarkStart w:id="908" w:name="_Toc288738397"/>
      <w:r/>
      <w:bookmarkStart w:id="909" w:name="_Toc288738839"/>
      <w:r>
        <w:rPr>
          <w:rFonts w:hint="eastAsia" w:ascii="Times New Roman" w:hAnsi="Times New Roman" w:eastAsia="宋体" w:cs="Times New Roman"/>
          <w:color w:val="000000"/>
          <w:sz w:val="24"/>
          <w:szCs w:val="20"/>
          <w:highlight w:val="yellow"/>
          <w:lang w:val="en-US" w:eastAsia="zh-CN"/>
        </w:rPr>
      </w:r>
      <w:r/>
    </w:p>
    <w:p>
      <w:pPr>
        <w:pStyle w:val="866"/>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6"/>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6"/>
        <w:rPr>
          <w:rFonts w:hint="eastAsia"/>
          <w:color w:val="000000"/>
          <w:sz w:val="24"/>
          <w:szCs w:val="20"/>
          <w:lang w:val="en-US" w:eastAsia="zh-CN"/>
        </w:rPr>
      </w:pPr>
      <w:r>
        <w:rPr>
          <w:rFonts w:hint="eastAsia"/>
          <w:color w:val="000000"/>
          <w:sz w:val="24"/>
          <w:szCs w:val="20"/>
          <w:lang w:val="en-US" w:eastAsia="zh-CN"/>
        </w:rPr>
      </w:r>
      <w:r/>
    </w:p>
    <w:p>
      <w:pPr>
        <w:pStyle w:val="866"/>
        <w:rPr>
          <w:rFonts w:hint="eastAsia"/>
          <w:color w:val="000000"/>
          <w:sz w:val="24"/>
          <w:szCs w:val="20"/>
          <w:lang w:val="en-US" w:eastAsia="zh-CN"/>
        </w:rPr>
      </w:pPr>
      <w:r>
        <w:rPr>
          <w:rFonts w:hint="eastAsia"/>
          <w:color w:val="000000"/>
          <w:sz w:val="24"/>
          <w:szCs w:val="20"/>
          <w:lang w:val="en-US" w:eastAsia="zh-CN"/>
        </w:rPr>
      </w:r>
      <w:r/>
    </w:p>
    <w:p>
      <w:pPr>
        <w:pStyle w:val="866"/>
        <w:rPr>
          <w:rFonts w:hint="eastAsia"/>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color w:val="000000"/>
          <w:sz w:val="24"/>
          <w:szCs w:val="20"/>
          <w:lang w:val="en-US" w:eastAsia="zh-CN"/>
        </w:rPr>
      </w:r>
      <w:r/>
    </w:p>
    <w:p>
      <w:pPr>
        <w:pStyle w:val="866"/>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9、相关业绩案例一览表</w:t>
      </w:r>
      <w:r>
        <w:rPr>
          <w:rFonts w:hint="eastAsia" w:ascii="Times New Roman" w:hAnsi="Times New Roman" w:eastAsia="宋体" w:cs="Times New Roman"/>
          <w:color w:val="000000"/>
          <w:sz w:val="24"/>
          <w:lang w:val="en-US" w:eastAsia="zh-CN"/>
        </w:rPr>
      </w:r>
      <w:r/>
    </w:p>
    <w:p>
      <w:pPr>
        <w:pStyle w:val="866"/>
        <w:rPr>
          <w:color w:val="000000"/>
          <w:sz w:val="24"/>
          <w:szCs w:val="20"/>
        </w:rPr>
      </w:pPr>
      <w:r>
        <w:rPr>
          <w:color w:val="000000"/>
          <w:sz w:val="24"/>
          <w:szCs w:val="20"/>
        </w:rPr>
      </w:r>
      <w:r/>
    </w:p>
    <w:p>
      <w:pPr>
        <w:pStyle w:val="866"/>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866"/>
        <w:jc w:val="center"/>
        <w:spacing w:line="360" w:lineRule="auto"/>
        <w:rPr>
          <w:rFonts w:ascii="宋体" w:hAnsi="宋体"/>
          <w:b/>
          <w:sz w:val="28"/>
          <w:szCs w:val="30"/>
        </w:rPr>
      </w:pPr>
      <w:r>
        <w:rPr>
          <w:rFonts w:ascii="宋体" w:hAnsi="宋体"/>
          <w:b/>
          <w:sz w:val="28"/>
          <w:szCs w:val="30"/>
        </w:rPr>
      </w:r>
      <w:r/>
    </w:p>
    <w:tbl>
      <w:tblPr>
        <w:tblW w:w="10293"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805"/>
        <w:gridCol w:w="1815"/>
        <w:gridCol w:w="1830"/>
        <w:gridCol w:w="1665"/>
        <w:gridCol w:w="1470"/>
        <w:gridCol w:w="1544"/>
        <w:gridCol w:w="1164"/>
      </w:tblGrid>
      <w:tr>
        <w:trPr>
          <w:trHeight w:val="573"/>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866"/>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w:t>
            </w:r>
            <w:r>
              <w:rPr>
                <w:rFonts w:hint="eastAsia" w:ascii="宋体" w:hAnsi="宋体" w:cs="宋体"/>
                <w:b/>
                <w:bCs/>
                <w:sz w:val="24"/>
                <w:u w:val="none"/>
                <w:lang w:val="en-US" w:eastAsia="zh-CN"/>
              </w:rPr>
              <w:t xml:space="preserve">签订</w:t>
            </w:r>
            <w:r>
              <w:rPr>
                <w:rFonts w:hint="eastAsia" w:ascii="宋体" w:hAnsi="宋体" w:cs="宋体"/>
                <w:b/>
                <w:bCs/>
                <w:sz w:val="24"/>
                <w:u w:val="none"/>
                <w:lang w:val="zh-CN"/>
              </w:rPr>
              <w:t xml:space="preserve">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866"/>
              <w:jc w:val="center"/>
              <w:spacing w:line="240" w:lineRule="auto"/>
              <w:tabs>
                <w:tab w:val="left" w:pos="9765" w:leader="none"/>
              </w:tabs>
              <w:rPr>
                <w:rFonts w:hint="eastAsia" w:ascii="宋体" w:hAnsi="宋体" w:eastAsia="宋体" w:cs="宋体"/>
                <w:b/>
                <w:bCs/>
                <w:sz w:val="24"/>
                <w:u w:val="none"/>
                <w:lang w:val="en-US" w:eastAsia="zh-CN"/>
              </w:rPr>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866"/>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86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86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6"/>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bl>
    <w:p>
      <w:pPr>
        <w:pStyle w:val="866"/>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866"/>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866"/>
        <w:spacing w:line="360" w:lineRule="auto"/>
        <w:rPr>
          <w:rFonts w:ascii="宋体" w:hAnsi="宋体" w:cs="宋体"/>
          <w:sz w:val="24"/>
        </w:rPr>
      </w:pPr>
      <w:r>
        <w:rPr>
          <w:rFonts w:ascii="宋体" w:hAnsi="宋体" w:cs="宋体"/>
          <w:sz w:val="24"/>
        </w:rPr>
      </w:r>
      <w:r/>
    </w:p>
    <w:p>
      <w:pPr>
        <w:pStyle w:val="8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6"/>
      </w:pPr>
      <w:r/>
      <w:r/>
    </w:p>
    <w:p>
      <w:pPr>
        <w:pStyle w:val="866"/>
      </w:pPr>
      <w:r/>
      <w:r/>
    </w:p>
    <w:p>
      <w:pPr>
        <w:pStyle w:val="866"/>
      </w:pPr>
      <w:r/>
      <w:r/>
    </w:p>
    <w:p>
      <w:pPr>
        <w:pStyle w:val="866"/>
      </w:pPr>
      <w:r/>
      <w:r/>
    </w:p>
    <w:p>
      <w:pPr>
        <w:pStyle w:val="866"/>
      </w:p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ind w:right="482"/>
        <w:jc w:val="left"/>
        <w:rPr>
          <w:rFonts w:hint="eastAsia" w:ascii="宋体" w:hAnsi="宋体" w:eastAsia="宋体" w:cs="宋体"/>
          <w:b w:val="0"/>
          <w:bCs/>
          <w:szCs w:val="21"/>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0"/>
      </w:pPr>
      <w:r>
        <w:rPr>
          <w:rFonts w:hint="eastAsia" w:ascii="宋体" w:hAnsi="宋体" w:eastAsia="宋体" w:cs="宋体"/>
          <w:b w:val="0"/>
          <w:bCs/>
          <w:szCs w:val="21"/>
          <w:lang w:val="en-US" w:eastAsia="zh-CN"/>
        </w:rPr>
      </w:r>
      <w:r/>
    </w:p>
    <w:p>
      <w:pPr>
        <w:pStyle w:val="866"/>
        <w:spacing w:line="360" w:lineRule="auto"/>
        <w:rPr>
          <w:rFonts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10、拟投入本项目小组成员一览表</w:t>
      </w:r>
      <w:r>
        <w:rPr>
          <w:rFonts w:ascii="Times New Roman" w:hAnsi="Times New Roman" w:eastAsia="宋体" w:cs="Times New Roman"/>
          <w:color w:val="000000"/>
          <w:sz w:val="24"/>
          <w:lang w:val="en-US" w:eastAsia="zh-CN"/>
        </w:rPr>
      </w:r>
      <w:r/>
    </w:p>
    <w:p>
      <w:pPr>
        <w:pStyle w:val="866"/>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6"/>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866"/>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74" w:type="dxa"/>
        <w:jc w:val="center"/>
        <w:tblInd w:w="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1581"/>
        <w:gridCol w:w="978"/>
        <w:gridCol w:w="1830"/>
        <w:gridCol w:w="1778"/>
        <w:gridCol w:w="1579"/>
        <w:gridCol w:w="1239"/>
      </w:tblGrid>
      <w:tr>
        <w:trPr>
          <w:trHeight w:val="657"/>
        </w:trPr>
        <w:tc>
          <w:tcPr>
            <w:tcW w:w="789" w:type="dxa"/>
            <w:vAlign w:val="center"/>
            <w:textDirection w:val="lrTb"/>
            <w:noWrap w:val="false"/>
          </w:tcPr>
          <w:p>
            <w:pPr>
              <w:pStyle w:val="866"/>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81" w:type="dxa"/>
            <w:vAlign w:val="center"/>
            <w:textDirection w:val="lrTb"/>
            <w:noWrap w:val="false"/>
          </w:tcPr>
          <w:p>
            <w:pPr>
              <w:pStyle w:val="866"/>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978" w:type="dxa"/>
            <w:vAlign w:val="center"/>
            <w:textDirection w:val="lrTb"/>
            <w:noWrap w:val="false"/>
          </w:tcPr>
          <w:p>
            <w:pPr>
              <w:pStyle w:val="866"/>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830" w:type="dxa"/>
            <w:vAlign w:val="center"/>
            <w:textDirection w:val="lrTb"/>
            <w:noWrap w:val="false"/>
          </w:tcPr>
          <w:p>
            <w:pPr>
              <w:pStyle w:val="866"/>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电话</w:t>
            </w:r>
            <w:r>
              <w:rPr>
                <w:rFonts w:ascii="宋体" w:hAnsi="宋体" w:eastAsia="宋体" w:cs="宋体"/>
                <w:b/>
                <w:bCs/>
                <w:sz w:val="24"/>
                <w:szCs w:val="24"/>
                <w:lang w:val="en-US" w:eastAsia="zh-CN"/>
              </w:rPr>
            </w:r>
            <w:r/>
          </w:p>
        </w:tc>
        <w:tc>
          <w:tcPr>
            <w:tcW w:w="1778" w:type="dxa"/>
            <w:vAlign w:val="center"/>
            <w:textDirection w:val="lrTb"/>
            <w:noWrap w:val="false"/>
          </w:tcPr>
          <w:p>
            <w:pPr>
              <w:pStyle w:val="866"/>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lang w:eastAsia="zh-CN"/>
              </w:rPr>
            </w:r>
            <w:r/>
          </w:p>
        </w:tc>
        <w:tc>
          <w:tcPr>
            <w:tcW w:w="1579" w:type="dxa"/>
            <w:vAlign w:val="center"/>
            <w:textDirection w:val="lrTb"/>
            <w:noWrap w:val="false"/>
          </w:tcPr>
          <w:p>
            <w:pPr>
              <w:pStyle w:val="866"/>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c>
          <w:tcPr>
            <w:tcW w:w="1239" w:type="dxa"/>
            <w:vAlign w:val="center"/>
            <w:textDirection w:val="lrTb"/>
            <w:noWrap w:val="false"/>
          </w:tcPr>
          <w:p>
            <w:pPr>
              <w:pStyle w:val="866"/>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8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6"/>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866"/>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866"/>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866"/>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6"/>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6"/>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6"/>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866"/>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11、承诺函</w:t>
      </w:r>
      <w:r>
        <w:rPr>
          <w:rFonts w:hint="eastAsia" w:ascii="Times New Roman" w:hAnsi="Times New Roman" w:eastAsia="宋体" w:cs="Times New Roman"/>
          <w:color w:val="000000"/>
          <w:sz w:val="24"/>
          <w:lang w:val="en-US" w:eastAsia="zh-CN"/>
        </w:rPr>
      </w:r>
      <w:r/>
    </w:p>
    <w:p>
      <w:pPr>
        <w:pStyle w:val="866"/>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承诺</w:t>
      </w:r>
      <w:r>
        <w:rPr>
          <w:rFonts w:hint="eastAsia" w:ascii="Times New Roman" w:hAnsi="Times New Roman" w:eastAsia="宋体" w:cs="Times New Roman"/>
          <w:b/>
          <w:color w:val="000000"/>
          <w:sz w:val="36"/>
          <w:szCs w:val="36"/>
          <w:lang w:val="en-US" w:eastAsia="zh-CN"/>
        </w:rPr>
        <w:t xml:space="preserve">函</w:t>
      </w:r>
      <w:r>
        <w:rPr>
          <w:rFonts w:hint="eastAsia" w:ascii="Times New Roman" w:hAnsi="Times New Roman" w:eastAsia="宋体" w:cs="Times New Roman"/>
          <w:b/>
          <w:color w:val="000000"/>
          <w:sz w:val="36"/>
          <w:szCs w:val="36"/>
        </w:rPr>
      </w:r>
      <w:r/>
    </w:p>
    <w:p>
      <w:pPr>
        <w:pStyle w:val="866"/>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  （自拟）</w:t>
      </w:r>
      <w:r>
        <w:rPr>
          <w:rFonts w:hint="eastAsia" w:ascii="Times New Roman" w:hAnsi="Times New Roman" w:eastAsia="宋体" w:cs="Times New Roman"/>
          <w:color w:val="000000"/>
          <w:sz w:val="24"/>
          <w:szCs w:val="20"/>
          <w:lang w:val="en-US" w:eastAsia="zh-CN"/>
        </w:rPr>
      </w:r>
      <w:r/>
    </w:p>
    <w:p>
      <w:pPr>
        <w:pStyle w:val="866"/>
        <w:spacing w:line="360" w:lineRule="auto"/>
        <w:rPr>
          <w:rFonts w:ascii="Times New Roman" w:hAnsi="Times New Roman" w:eastAsia="宋体" w:cs="Times New Roman"/>
          <w:color w:val="000000"/>
          <w:sz w:val="24"/>
          <w:szCs w:val="20"/>
          <w:lang w:val="en-US" w:eastAsia="zh-CN"/>
        </w:rPr>
        <w:outlineLvl w:val="2"/>
      </w:pPr>
      <w:r>
        <w:rPr>
          <w:rFonts w:ascii="Times New Roman" w:hAnsi="Times New Roman" w:eastAsia="宋体" w:cs="Times New Roman"/>
          <w:color w:val="000000"/>
          <w:sz w:val="24"/>
          <w:szCs w:val="20"/>
          <w:lang w:val="en-US" w:eastAsia="zh-CN"/>
        </w:rPr>
      </w:r>
      <w:r/>
    </w:p>
    <w:p>
      <w:pPr>
        <w:pStyle w:val="866"/>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6"/>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6"/>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6"/>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6"/>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866"/>
        <w:spacing w:line="360" w:lineRule="auto"/>
        <w:rPr>
          <w:rFonts w:hint="eastAsia" w:ascii="Times New Roman" w:hAnsi="Times New Roman" w:eastAsia="宋体" w:cs="Times New Roman"/>
          <w:color w:val="000000"/>
          <w:sz w:val="24"/>
          <w:lang w:val="en-US" w:eastAsia="zh-CN"/>
        </w:rPr>
        <w:outlineLvl w:val="3"/>
      </w:pPr>
      <w:r>
        <w:rPr>
          <w:rFonts w:hint="eastAsia" w:ascii="Times New Roman" w:hAnsi="Times New Roman" w:eastAsia="宋体" w:cs="Times New Roman"/>
          <w:color w:val="000000"/>
          <w:sz w:val="24"/>
          <w:lang w:val="en-US" w:eastAsia="zh-CN"/>
        </w:rPr>
        <w:t xml:space="preserve">12招标文件要求提供或投标人认为应附的其他材料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6"/>
        <w:ind w:left="4941" w:hanging="1140"/>
        <w:tabs>
          <w:tab w:val="num" w:pos="4941" w:leader="none"/>
        </w:tabs>
      </w:pPr>
      <w:rPr>
        <w:rFonts w:hint="eastAsia"/>
      </w:rPr>
    </w:lvl>
    <w:lvl w:ilvl="1">
      <w:start w:val="1"/>
      <w:numFmt w:val="lowerLetter"/>
      <w:isLgl w:val="false"/>
      <w:suff w:val="tab"/>
      <w:lvlText w:val="%2)"/>
      <w:lvlJc w:val="left"/>
      <w:pPr>
        <w:pStyle w:val="866"/>
        <w:ind w:left="4641" w:hanging="420"/>
        <w:tabs>
          <w:tab w:val="num" w:pos="4641" w:leader="none"/>
        </w:tabs>
      </w:pPr>
    </w:lvl>
    <w:lvl w:ilvl="2">
      <w:start w:val="1"/>
      <w:numFmt w:val="lowerRoman"/>
      <w:isLgl w:val="false"/>
      <w:suff w:val="tab"/>
      <w:lvlText w:val="%3."/>
      <w:lvlJc w:val="right"/>
      <w:pPr>
        <w:pStyle w:val="866"/>
        <w:ind w:left="5061" w:hanging="420"/>
        <w:tabs>
          <w:tab w:val="num" w:pos="5061" w:leader="none"/>
        </w:tabs>
      </w:pPr>
    </w:lvl>
    <w:lvl w:ilvl="3">
      <w:start w:val="1"/>
      <w:numFmt w:val="decimal"/>
      <w:isLgl w:val="false"/>
      <w:suff w:val="tab"/>
      <w:lvlText w:val="%4."/>
      <w:lvlJc w:val="left"/>
      <w:pPr>
        <w:pStyle w:val="866"/>
        <w:ind w:left="5481" w:hanging="420"/>
        <w:tabs>
          <w:tab w:val="num" w:pos="5481" w:leader="none"/>
        </w:tabs>
      </w:pPr>
    </w:lvl>
    <w:lvl w:ilvl="4">
      <w:start w:val="1"/>
      <w:numFmt w:val="lowerLetter"/>
      <w:isLgl w:val="false"/>
      <w:suff w:val="tab"/>
      <w:lvlText w:val="%5)"/>
      <w:lvlJc w:val="left"/>
      <w:pPr>
        <w:pStyle w:val="866"/>
        <w:ind w:left="5901" w:hanging="420"/>
        <w:tabs>
          <w:tab w:val="num" w:pos="5901" w:leader="none"/>
        </w:tabs>
      </w:pPr>
    </w:lvl>
    <w:lvl w:ilvl="5">
      <w:start w:val="1"/>
      <w:numFmt w:val="lowerRoman"/>
      <w:isLgl w:val="false"/>
      <w:suff w:val="tab"/>
      <w:lvlText w:val="%6."/>
      <w:lvlJc w:val="right"/>
      <w:pPr>
        <w:pStyle w:val="866"/>
        <w:ind w:left="6321" w:hanging="420"/>
        <w:tabs>
          <w:tab w:val="num" w:pos="6321" w:leader="none"/>
        </w:tabs>
      </w:pPr>
    </w:lvl>
    <w:lvl w:ilvl="6">
      <w:start w:val="1"/>
      <w:numFmt w:val="decimal"/>
      <w:isLgl w:val="false"/>
      <w:suff w:val="tab"/>
      <w:lvlText w:val="%7."/>
      <w:lvlJc w:val="left"/>
      <w:pPr>
        <w:pStyle w:val="866"/>
        <w:ind w:left="6741" w:hanging="420"/>
        <w:tabs>
          <w:tab w:val="num" w:pos="6741" w:leader="none"/>
        </w:tabs>
      </w:pPr>
    </w:lvl>
    <w:lvl w:ilvl="7">
      <w:start w:val="1"/>
      <w:numFmt w:val="lowerLetter"/>
      <w:isLgl w:val="false"/>
      <w:suff w:val="tab"/>
      <w:lvlText w:val="%8)"/>
      <w:lvlJc w:val="left"/>
      <w:pPr>
        <w:pStyle w:val="866"/>
        <w:ind w:left="7161" w:hanging="420"/>
        <w:tabs>
          <w:tab w:val="num" w:pos="7161" w:leader="none"/>
        </w:tabs>
      </w:pPr>
    </w:lvl>
    <w:lvl w:ilvl="8">
      <w:start w:val="1"/>
      <w:numFmt w:val="lowerRoman"/>
      <w:isLgl w:val="false"/>
      <w:suff w:val="tab"/>
      <w:lvlText w:val="%9."/>
      <w:lvlJc w:val="right"/>
      <w:pPr>
        <w:pStyle w:val="866"/>
        <w:ind w:left="7581" w:hanging="420"/>
        <w:tabs>
          <w:tab w:val="num" w:pos="7581" w:leader="none"/>
        </w:tabs>
      </w:pPr>
    </w:lvl>
  </w:abstractNum>
  <w:abstractNum w:abstractNumId="2">
    <w:multiLevelType w:val="hybridMultilevel"/>
    <w:lvl w:ilvl="0">
      <w:start w:val="1"/>
      <w:numFmt w:val="decimal"/>
      <w:pStyle w:val="981"/>
      <w:isLgl w:val="false"/>
      <w:suff w:val="tab"/>
      <w:lvlText w:val="%1."/>
      <w:lvlJc w:val="left"/>
      <w:pPr>
        <w:pStyle w:val="866"/>
        <w:ind w:left="420" w:hanging="420"/>
      </w:pPr>
    </w:lvl>
    <w:lvl w:ilvl="1">
      <w:start w:val="1"/>
      <w:numFmt w:val="decimal"/>
      <w:isLgl w:val="false"/>
      <w:suff w:val="tab"/>
      <w:lvlText w:val="（%2）"/>
      <w:lvlJc w:val="left"/>
      <w:pPr>
        <w:pStyle w:val="866"/>
        <w:ind w:left="1140" w:hanging="720"/>
        <w:tabs>
          <w:tab w:val="num" w:pos="1140" w:leader="none"/>
        </w:tabs>
      </w:pPr>
      <w:rPr>
        <w:rFonts w:hint="eastAsia"/>
      </w:r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3">
    <w:multiLevelType w:val="hybridMultilevel"/>
    <w:lvl w:ilvl="0">
      <w:start w:val="1"/>
      <w:numFmt w:val="lowerLetter"/>
      <w:pStyle w:val="1055"/>
      <w:isLgl w:val="false"/>
      <w:suff w:val="tab"/>
      <w:lvlText w:val="%1)"/>
      <w:lvlJc w:val="left"/>
      <w:pPr>
        <w:pStyle w:val="866"/>
        <w:ind w:left="902" w:hanging="420"/>
      </w:pPr>
      <w:rPr>
        <w:color w:val="000000"/>
      </w:rPr>
    </w:lvl>
    <w:lvl w:ilvl="1">
      <w:start w:val="1"/>
      <w:numFmt w:val="lowerLetter"/>
      <w:isLgl w:val="false"/>
      <w:suff w:val="tab"/>
      <w:lvlText w:val="%2)"/>
      <w:lvlJc w:val="left"/>
      <w:pPr>
        <w:pStyle w:val="866"/>
        <w:ind w:left="1322" w:hanging="420"/>
      </w:pPr>
    </w:lvl>
    <w:lvl w:ilvl="2">
      <w:start w:val="1"/>
      <w:numFmt w:val="lowerRoman"/>
      <w:isLgl w:val="false"/>
      <w:suff w:val="tab"/>
      <w:lvlText w:val="%3."/>
      <w:lvlJc w:val="right"/>
      <w:pPr>
        <w:pStyle w:val="866"/>
        <w:ind w:left="1742" w:hanging="420"/>
      </w:pPr>
    </w:lvl>
    <w:lvl w:ilvl="3">
      <w:start w:val="1"/>
      <w:numFmt w:val="decimal"/>
      <w:isLgl w:val="false"/>
      <w:suff w:val="tab"/>
      <w:lvlText w:val="%4."/>
      <w:lvlJc w:val="left"/>
      <w:pPr>
        <w:pStyle w:val="866"/>
        <w:ind w:left="2162" w:hanging="420"/>
      </w:pPr>
    </w:lvl>
    <w:lvl w:ilvl="4">
      <w:start w:val="1"/>
      <w:numFmt w:val="lowerLetter"/>
      <w:isLgl w:val="false"/>
      <w:suff w:val="tab"/>
      <w:lvlText w:val="%5)"/>
      <w:lvlJc w:val="left"/>
      <w:pPr>
        <w:pStyle w:val="866"/>
        <w:ind w:left="2582" w:hanging="420"/>
      </w:pPr>
    </w:lvl>
    <w:lvl w:ilvl="5">
      <w:start w:val="1"/>
      <w:numFmt w:val="lowerRoman"/>
      <w:isLgl w:val="false"/>
      <w:suff w:val="tab"/>
      <w:lvlText w:val="%6."/>
      <w:lvlJc w:val="right"/>
      <w:pPr>
        <w:pStyle w:val="866"/>
        <w:ind w:left="3002" w:hanging="420"/>
      </w:pPr>
    </w:lvl>
    <w:lvl w:ilvl="6">
      <w:start w:val="1"/>
      <w:numFmt w:val="decimal"/>
      <w:isLgl w:val="false"/>
      <w:suff w:val="tab"/>
      <w:lvlText w:val="%7."/>
      <w:lvlJc w:val="left"/>
      <w:pPr>
        <w:pStyle w:val="866"/>
        <w:ind w:left="3422" w:hanging="420"/>
      </w:pPr>
    </w:lvl>
    <w:lvl w:ilvl="7">
      <w:start w:val="1"/>
      <w:numFmt w:val="lowerLetter"/>
      <w:isLgl w:val="false"/>
      <w:suff w:val="tab"/>
      <w:lvlText w:val="%8)"/>
      <w:lvlJc w:val="left"/>
      <w:pPr>
        <w:pStyle w:val="866"/>
        <w:ind w:left="3842" w:hanging="420"/>
      </w:pPr>
    </w:lvl>
    <w:lvl w:ilvl="8">
      <w:start w:val="1"/>
      <w:numFmt w:val="lowerRoman"/>
      <w:isLgl w:val="false"/>
      <w:suff w:val="tab"/>
      <w:lvlText w:val="%9."/>
      <w:lvlJc w:val="right"/>
      <w:pPr>
        <w:pStyle w:val="866"/>
        <w:ind w:left="4262" w:hanging="420"/>
      </w:pPr>
    </w:lvl>
  </w:abstractNum>
  <w:abstractNum w:abstractNumId="4">
    <w:multiLevelType w:val="hybridMultilevel"/>
    <w:lvl w:ilvl="0">
      <w:start w:val="1"/>
      <w:numFmt w:val="decimal"/>
      <w:pStyle w:val="1026"/>
      <w:isLgl w:val="false"/>
      <w:suff w:val="tab"/>
      <w:lvlText w:val="%1."/>
      <w:lvlJc w:val="left"/>
      <w:pPr>
        <w:pStyle w:val="86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nothing"/>
      <w:lvlText w:val="%1　"/>
      <w:lvlJc w:val="left"/>
      <w:pPr>
        <w:pStyle w:val="86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6"/>
        <w:ind w:left="-25" w:firstLine="0"/>
      </w:pPr>
      <w:rPr>
        <w:rFonts w:ascii="Times New Roman" w:hAnsi="Times New Roman" w:eastAsia="黑体"/>
        <w:b/>
        <w:i w:val="0"/>
        <w:sz w:val="28"/>
      </w:rPr>
    </w:lvl>
    <w:lvl w:ilvl="3">
      <w:start w:val="1"/>
      <w:numFmt w:val="decimal"/>
      <w:pStyle w:val="1011"/>
      <w:isLgl w:val="false"/>
      <w:suff w:val="nothing"/>
      <w:lvlText w:val="%1.%2.%3.%4　"/>
      <w:lvlJc w:val="left"/>
      <w:pPr>
        <w:pStyle w:val="86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6"/>
        <w:ind w:left="-25" w:firstLine="0"/>
      </w:pPr>
      <w:rPr>
        <w:rFonts w:ascii="Times New Roman" w:hAnsi="Times New Roman" w:eastAsia="宋体"/>
        <w:b/>
        <w:i w:val="0"/>
        <w:sz w:val="28"/>
      </w:rPr>
    </w:lvl>
    <w:lvl w:ilvl="6">
      <w:start w:val="1"/>
      <w:numFmt w:val="lowerLetter"/>
      <w:pStyle w:val="1032"/>
      <w:isLgl w:val="false"/>
      <w:suff w:val="tab"/>
      <w:lvlText w:val="%7) "/>
      <w:lvlJc w:val="left"/>
      <w:pPr>
        <w:pStyle w:val="866"/>
        <w:ind w:left="-125" w:firstLine="400"/>
        <w:tabs>
          <w:tab w:val="num" w:pos="635" w:leader="none"/>
        </w:tabs>
      </w:pPr>
      <w:rPr>
        <w:rFonts w:ascii="Times New Roman" w:hAnsi="Times New Roman" w:eastAsia="宋体"/>
        <w:b/>
        <w:i w:val="0"/>
        <w:color w:val="000000"/>
        <w:sz w:val="28"/>
        <w:u w:val="none"/>
      </w:rPr>
    </w:lvl>
    <w:lvl w:ilvl="7">
      <w:start w:val="1"/>
      <w:numFmt w:val="decimal"/>
      <w:pStyle w:val="995"/>
      <w:isLgl w:val="false"/>
      <w:suff w:val="tab"/>
      <w:lvlText w:val="%8) "/>
      <w:lvlJc w:val="left"/>
      <w:pPr>
        <w:pStyle w:val="86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66"/>
        <w:ind w:left="768" w:hanging="360"/>
        <w:tabs>
          <w:tab w:val="num" w:pos="768" w:leader="none"/>
        </w:tabs>
      </w:pPr>
      <w:rPr>
        <w:rFonts w:hint="eastAsia"/>
      </w:rPr>
    </w:lvl>
    <w:lvl w:ilvl="1">
      <w:start w:val="1"/>
      <w:numFmt w:val="decimal"/>
      <w:pStyle w:val="1013"/>
      <w:isLgl w:val="false"/>
      <w:suff w:val="tab"/>
      <w:lvlText w:val="%2、"/>
      <w:lvlJc w:val="left"/>
      <w:pPr>
        <w:pStyle w:val="866"/>
        <w:ind w:left="1188" w:hanging="360"/>
        <w:tabs>
          <w:tab w:val="num" w:pos="1188" w:leader="none"/>
        </w:tabs>
      </w:pPr>
      <w:rPr>
        <w:rFonts w:hint="eastAsia"/>
      </w:rPr>
    </w:lvl>
    <w:lvl w:ilvl="2">
      <w:start w:val="1"/>
      <w:numFmt w:val="decimal"/>
      <w:isLgl w:val="false"/>
      <w:suff w:val="tab"/>
      <w:lvlText w:val="（%3）"/>
      <w:lvlJc w:val="left"/>
      <w:pPr>
        <w:pStyle w:val="866"/>
        <w:ind w:left="1968" w:hanging="720"/>
        <w:tabs>
          <w:tab w:val="num" w:pos="1968" w:leader="none"/>
        </w:tabs>
      </w:pPr>
      <w:rPr>
        <w:rFonts w:hint="eastAsia"/>
        <w:u w:val="none"/>
      </w:rPr>
    </w:lvl>
    <w:lvl w:ilvl="3">
      <w:start w:val="1"/>
      <w:numFmt w:val="decimal"/>
      <w:isLgl w:val="false"/>
      <w:suff w:val="tab"/>
      <w:lvlText w:val="%4."/>
      <w:lvlJc w:val="left"/>
      <w:pPr>
        <w:pStyle w:val="866"/>
        <w:ind w:left="2088" w:hanging="420"/>
        <w:tabs>
          <w:tab w:val="num" w:pos="2088" w:leader="none"/>
        </w:tabs>
      </w:pPr>
    </w:lvl>
    <w:lvl w:ilvl="4">
      <w:start w:val="1"/>
      <w:numFmt w:val="lowerLetter"/>
      <w:isLgl w:val="false"/>
      <w:suff w:val="tab"/>
      <w:lvlText w:val="%5)"/>
      <w:lvlJc w:val="left"/>
      <w:pPr>
        <w:pStyle w:val="866"/>
        <w:ind w:left="2508" w:hanging="420"/>
        <w:tabs>
          <w:tab w:val="num" w:pos="2508" w:leader="none"/>
        </w:tabs>
      </w:pPr>
    </w:lvl>
    <w:lvl w:ilvl="5">
      <w:start w:val="1"/>
      <w:numFmt w:val="lowerRoman"/>
      <w:isLgl w:val="false"/>
      <w:suff w:val="tab"/>
      <w:lvlText w:val="%6."/>
      <w:lvlJc w:val="right"/>
      <w:pPr>
        <w:pStyle w:val="866"/>
        <w:ind w:left="2928" w:hanging="420"/>
        <w:tabs>
          <w:tab w:val="num" w:pos="2928" w:leader="none"/>
        </w:tabs>
      </w:pPr>
    </w:lvl>
    <w:lvl w:ilvl="6">
      <w:start w:val="1"/>
      <w:numFmt w:val="decimal"/>
      <w:isLgl w:val="false"/>
      <w:suff w:val="tab"/>
      <w:lvlText w:val="%7."/>
      <w:lvlJc w:val="left"/>
      <w:pPr>
        <w:pStyle w:val="866"/>
        <w:ind w:left="3348" w:hanging="420"/>
        <w:tabs>
          <w:tab w:val="num" w:pos="3348" w:leader="none"/>
        </w:tabs>
      </w:pPr>
    </w:lvl>
    <w:lvl w:ilvl="7">
      <w:start w:val="1"/>
      <w:numFmt w:val="lowerLetter"/>
      <w:isLgl w:val="false"/>
      <w:suff w:val="tab"/>
      <w:lvlText w:val="%8)"/>
      <w:lvlJc w:val="left"/>
      <w:pPr>
        <w:pStyle w:val="866"/>
        <w:ind w:left="3768" w:hanging="420"/>
        <w:tabs>
          <w:tab w:val="num" w:pos="3768" w:leader="none"/>
        </w:tabs>
      </w:pPr>
    </w:lvl>
    <w:lvl w:ilvl="8">
      <w:start w:val="1"/>
      <w:numFmt w:val="lowerRoman"/>
      <w:isLgl w:val="false"/>
      <w:suff w:val="tab"/>
      <w:lvlText w:val="%9."/>
      <w:lvlJc w:val="right"/>
      <w:pPr>
        <w:pStyle w:val="86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8">
    <w:multiLevelType w:val="hybridMultilevel"/>
    <w:lvl w:ilvl="0">
      <w:start w:val="1"/>
      <w:numFmt w:val="decimal"/>
      <w:pStyle w:val="980"/>
      <w:isLgl w:val="false"/>
      <w:suff w:val="tab"/>
      <w:lvlText w:val="%1)"/>
      <w:lvlJc w:val="left"/>
      <w:pPr>
        <w:pStyle w:val="866"/>
        <w:ind w:left="420" w:hanging="420"/>
      </w:pPr>
    </w:lvl>
    <w:lvl w:ilvl="1">
      <w:start w:val="1"/>
      <w:numFmt w:val="lowerLetter"/>
      <w:isLgl w:val="false"/>
      <w:suff w:val="tab"/>
      <w:lvlText w:val="%2)"/>
      <w:lvlJc w:val="left"/>
      <w:pPr>
        <w:pStyle w:val="866"/>
        <w:ind w:left="840" w:hanging="420"/>
      </w:p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9">
    <w:multiLevelType w:val="hybridMultilevel"/>
    <w:lvl w:ilvl="0">
      <w:start w:val="1"/>
      <w:numFmt w:val="decimal"/>
      <w:pStyle w:val="1080"/>
      <w:isLgl w:val="false"/>
      <w:suff w:val="tab"/>
      <w:lvlText w:val="%1"/>
      <w:lvlJc w:val="left"/>
      <w:pPr>
        <w:pStyle w:val="866"/>
        <w:ind w:left="680" w:hanging="680"/>
      </w:pPr>
      <w:rPr>
        <w:rFonts w:hint="eastAsia" w:ascii="宋体" w:hAnsi="宋体" w:eastAsia="宋体"/>
      </w:rPr>
    </w:lvl>
    <w:lvl w:ilvl="1">
      <w:start w:val="1"/>
      <w:numFmt w:val="decimal"/>
      <w:pStyle w:val="1081"/>
      <w:isLgl w:val="false"/>
      <w:suff w:val="tab"/>
      <w:lvlText w:val="%1.%2"/>
      <w:lvlJc w:val="left"/>
      <w:pPr>
        <w:pStyle w:val="866"/>
        <w:ind w:left="851" w:hanging="851"/>
      </w:pPr>
      <w:rPr>
        <w:rFonts w:hint="eastAsia" w:ascii="宋体" w:hAnsi="宋体" w:eastAsia="宋体"/>
        <w:color w:val="000000"/>
      </w:rPr>
    </w:lvl>
    <w:lvl w:ilvl="2">
      <w:start w:val="1"/>
      <w:numFmt w:val="decimal"/>
      <w:pStyle w:val="1082"/>
      <w:isLgl w:val="false"/>
      <w:suff w:val="tab"/>
      <w:lvlText w:val="%1.%2.%3"/>
      <w:lvlJc w:val="left"/>
      <w:pPr>
        <w:pStyle w:val="866"/>
        <w:ind w:left="851" w:hanging="851"/>
      </w:pPr>
      <w:rPr>
        <w:rFonts w:hint="eastAsia"/>
      </w:rPr>
    </w:lvl>
    <w:lvl w:ilvl="3">
      <w:start w:val="1"/>
      <w:numFmt w:val="decimal"/>
      <w:isLgl w:val="false"/>
      <w:suff w:val="tab"/>
      <w:lvlText w:val="%1.%2.%3.%4"/>
      <w:lvlJc w:val="left"/>
      <w:pPr>
        <w:pStyle w:val="866"/>
        <w:ind w:left="680" w:hanging="680"/>
      </w:pPr>
      <w:rPr>
        <w:rFonts w:hint="eastAsia"/>
      </w:rPr>
    </w:lvl>
    <w:lvl w:ilvl="4">
      <w:start w:val="1"/>
      <w:numFmt w:val="decimal"/>
      <w:isLgl w:val="false"/>
      <w:suff w:val="tab"/>
      <w:lvlText w:val="%1.%2.%3.%4.%5"/>
      <w:lvlJc w:val="left"/>
      <w:pPr>
        <w:pStyle w:val="866"/>
        <w:ind w:left="680" w:hanging="680"/>
      </w:pPr>
      <w:rPr>
        <w:rFonts w:hint="eastAsia"/>
      </w:rPr>
    </w:lvl>
    <w:lvl w:ilvl="5">
      <w:start w:val="1"/>
      <w:numFmt w:val="decimal"/>
      <w:isLgl w:val="false"/>
      <w:suff w:val="tab"/>
      <w:lvlText w:val="%1.%2.%3.%4.%5.%6"/>
      <w:lvlJc w:val="left"/>
      <w:pPr>
        <w:pStyle w:val="866"/>
        <w:ind w:left="680" w:hanging="680"/>
      </w:pPr>
      <w:rPr>
        <w:rFonts w:hint="eastAsia"/>
      </w:rPr>
    </w:lvl>
    <w:lvl w:ilvl="6">
      <w:start w:val="1"/>
      <w:numFmt w:val="decimal"/>
      <w:isLgl w:val="false"/>
      <w:suff w:val="tab"/>
      <w:lvlText w:val="%1.%2.%3.%4.%5.%6.%7"/>
      <w:lvlJc w:val="left"/>
      <w:pPr>
        <w:pStyle w:val="866"/>
        <w:ind w:left="680" w:hanging="680"/>
      </w:pPr>
      <w:rPr>
        <w:rFonts w:hint="eastAsia"/>
      </w:rPr>
    </w:lvl>
    <w:lvl w:ilvl="7">
      <w:start w:val="1"/>
      <w:numFmt w:val="decimal"/>
      <w:isLgl w:val="false"/>
      <w:suff w:val="tab"/>
      <w:lvlText w:val="%1.%2.%3.%4.%5.%6.%7.%8"/>
      <w:lvlJc w:val="left"/>
      <w:pPr>
        <w:pStyle w:val="866"/>
        <w:ind w:left="680" w:hanging="680"/>
      </w:pPr>
      <w:rPr>
        <w:rFonts w:hint="eastAsia"/>
      </w:rPr>
    </w:lvl>
    <w:lvl w:ilvl="8">
      <w:start w:val="1"/>
      <w:numFmt w:val="decimal"/>
      <w:isLgl w:val="false"/>
      <w:suff w:val="tab"/>
      <w:lvlText w:val="%1.%2.%3.%4.%5.%6.%7.%8.%9"/>
      <w:lvlJc w:val="left"/>
      <w:pPr>
        <w:pStyle w:val="866"/>
        <w:ind w:left="680" w:hanging="680"/>
      </w:pPr>
      <w:rPr>
        <w:rFonts w:hint="eastAsia"/>
      </w:rPr>
    </w:lvl>
  </w:abstractNum>
  <w:abstractNum w:abstractNumId="10">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2">
    <w:multiLevelType w:val="hybridMultilevel"/>
    <w:lvl w:ilvl="0">
      <w:start w:val="1"/>
      <w:numFmt w:val="chineseCountingThousand"/>
      <w:pStyle w:val="1138"/>
      <w:isLgl w:val="false"/>
      <w:suff w:val="space"/>
      <w:lvlText w:val="%1、"/>
      <w:lvlJc w:val="left"/>
      <w:pPr>
        <w:pStyle w:val="866"/>
        <w:ind w:left="425" w:hanging="425"/>
      </w:pPr>
      <w:rPr>
        <w:rFonts w:hint="eastAsia" w:eastAsia="宋体"/>
        <w:b/>
        <w:i w:val="0"/>
        <w:sz w:val="30"/>
        <w:szCs w:val="30"/>
        <w:lang w:val="en-US"/>
      </w:rPr>
    </w:lvl>
    <w:lvl w:ilvl="1">
      <w:start w:val="1"/>
      <w:numFmt w:val="decimal"/>
      <w:isLgl w:val="false"/>
      <w:suff w:val="nothing"/>
      <w:lvlText w:val="%1.%2、"/>
      <w:lvlJc w:val="left"/>
      <w:pPr>
        <w:pStyle w:val="866"/>
        <w:ind w:left="992" w:hanging="567"/>
      </w:pPr>
      <w:rPr>
        <w:rFonts w:hint="eastAsia" w:ascii="宋体" w:hAnsi="宋体" w:eastAsia="宋体"/>
        <w:b/>
        <w:bCs w:val="0"/>
        <w:i w:val="0"/>
        <w:sz w:val="28"/>
        <w:szCs w:val="28"/>
      </w:rPr>
    </w:lvl>
    <w:lvl w:ilvl="2">
      <w:start w:val="1"/>
      <w:numFmt w:val="decimal"/>
      <w:isLgl w:val="false"/>
      <w:suff w:val="space"/>
      <w:lvlText w:val="%1.%2.%3、"/>
      <w:lvlJc w:val="left"/>
      <w:pPr>
        <w:pStyle w:val="866"/>
        <w:ind w:left="1418" w:hanging="567"/>
      </w:pPr>
      <w:rPr>
        <w:rFonts w:hint="eastAsia" w:ascii="宋体" w:hAnsi="宋体" w:eastAsia="宋体"/>
        <w:b/>
        <w:i w:val="0"/>
        <w:sz w:val="24"/>
        <w:szCs w:val="21"/>
      </w:rPr>
    </w:lvl>
    <w:lvl w:ilvl="3">
      <w:start w:val="1"/>
      <w:numFmt w:val="decimal"/>
      <w:isLgl w:val="false"/>
      <w:suff w:val="space"/>
      <w:lvlText w:val="%1.%2.%3.%4、"/>
      <w:lvlJc w:val="left"/>
      <w:pPr>
        <w:pStyle w:val="866"/>
        <w:ind w:left="1984" w:hanging="708"/>
      </w:pPr>
      <w:rPr>
        <w:rFonts w:ascii="宋体" w:hAnsi="宋体" w:eastAsia="宋体"/>
        <w:b/>
        <w:i w:val="0"/>
        <w:sz w:val="24"/>
        <w:szCs w:val="24"/>
      </w:rPr>
    </w:lvl>
    <w:lvl w:ilvl="4">
      <w:start w:val="1"/>
      <w:numFmt w:val="decimal"/>
      <w:isLgl w:val="false"/>
      <w:suff w:val="tab"/>
      <w:lvlText w:val="%1.%2.%3.%4.%5."/>
      <w:lvlJc w:val="left"/>
      <w:pPr>
        <w:pStyle w:val="866"/>
        <w:ind w:left="2551" w:hanging="850"/>
      </w:pPr>
      <w:rPr>
        <w:rFonts w:ascii="宋体" w:hAnsi="宋体" w:eastAsia="宋体" w:cs="宋体"/>
        <w:b/>
        <w:i w:val="0"/>
        <w:sz w:val="24"/>
        <w:szCs w:val="24"/>
      </w:rPr>
    </w:lvl>
    <w:lvl w:ilvl="5">
      <w:start w:val="1"/>
      <w:numFmt w:val="decimal"/>
      <w:isLgl w:val="false"/>
      <w:suff w:val="tab"/>
      <w:lvlText w:val="%1.%2.%3.%4.%5.%6"/>
      <w:lvlJc w:val="left"/>
      <w:pPr>
        <w:pStyle w:val="866"/>
        <w:ind w:left="3260" w:hanging="1134"/>
      </w:pPr>
      <w:rPr>
        <w:rFonts w:hint="eastAsia"/>
      </w:rPr>
    </w:lvl>
    <w:lvl w:ilvl="6">
      <w:start w:val="1"/>
      <w:numFmt w:val="decimal"/>
      <w:isLgl w:val="false"/>
      <w:suff w:val="tab"/>
      <w:lvlText w:val="%1.%2.%3.%4.%5.%6.%7"/>
      <w:lvlJc w:val="left"/>
      <w:pPr>
        <w:pStyle w:val="866"/>
        <w:ind w:left="3827" w:hanging="1276"/>
      </w:pPr>
      <w:rPr>
        <w:rFonts w:hint="eastAsia"/>
      </w:rPr>
    </w:lvl>
    <w:lvl w:ilvl="7">
      <w:start w:val="1"/>
      <w:numFmt w:val="decimal"/>
      <w:isLgl w:val="false"/>
      <w:suff w:val="tab"/>
      <w:lvlText w:val="%1.%2.%3.%4.%5.%6.%7.%8"/>
      <w:lvlJc w:val="left"/>
      <w:pPr>
        <w:pStyle w:val="866"/>
        <w:ind w:left="4394" w:hanging="1418"/>
      </w:pPr>
      <w:rPr>
        <w:rFonts w:hint="eastAsia"/>
      </w:rPr>
    </w:lvl>
    <w:lvl w:ilvl="8">
      <w:start w:val="1"/>
      <w:numFmt w:val="decimal"/>
      <w:isLgl w:val="false"/>
      <w:suff w:val="tab"/>
      <w:lvlText w:val="%1.%2.%3.%4.%5.%6.%7.%8.%9"/>
      <w:lvlJc w:val="left"/>
      <w:pPr>
        <w:pStyle w:val="866"/>
        <w:ind w:left="5102" w:hanging="1700"/>
      </w:pPr>
      <w:rPr>
        <w:rFonts w:hint="eastAsia"/>
      </w:rPr>
    </w:lvl>
  </w:abstractNum>
  <w:abstractNum w:abstractNumId="13">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2"/>
  </w:num>
  <w:num w:numId="9">
    <w:abstractNumId w:val="7"/>
  </w:num>
  <w:num w:numId="10">
    <w:abstractNumId w:val="11"/>
  </w:num>
  <w:num w:numId="11">
    <w:abstractNumId w:val="1"/>
  </w:num>
  <w:num w:numId="12">
    <w:abstractNumId w:val="10"/>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78"/>
    <w:qFormat/>
    <w:pPr>
      <w:jc w:val="center"/>
      <w:keepLines/>
      <w:keepNext/>
      <w:spacing w:before="240" w:after="120" w:line="300" w:lineRule="auto"/>
      <w:outlineLvl w:val="0"/>
    </w:pPr>
    <w:rPr>
      <w:rFonts w:ascii="宋体"/>
      <w:b/>
      <w:sz w:val="32"/>
      <w:szCs w:val="20"/>
    </w:rPr>
  </w:style>
  <w:style w:type="paragraph" w:styleId="868">
    <w:name w:val="标题 2"/>
    <w:basedOn w:val="866"/>
    <w:next w:val="866"/>
    <w:link w:val="879"/>
    <w:qFormat/>
    <w:pPr>
      <w:jc w:val="center"/>
      <w:keepLines/>
      <w:keepNext/>
      <w:spacing w:before="120" w:line="300" w:lineRule="auto"/>
      <w:outlineLvl w:val="1"/>
    </w:pPr>
    <w:rPr>
      <w:rFonts w:ascii="Arial" w:hAnsi="Arial" w:eastAsia="黑体"/>
      <w:b/>
      <w:sz w:val="30"/>
      <w:szCs w:val="20"/>
    </w:rPr>
  </w:style>
  <w:style w:type="paragraph" w:styleId="869">
    <w:name w:val="标题 3"/>
    <w:basedOn w:val="866"/>
    <w:next w:val="866"/>
    <w:link w:val="880"/>
    <w:qFormat/>
    <w:pPr>
      <w:jc w:val="left"/>
      <w:keepLines/>
      <w:keepNext/>
      <w:spacing w:before="360" w:after="120"/>
      <w:outlineLvl w:val="2"/>
    </w:pPr>
    <w:rPr>
      <w:rFonts w:ascii="宋体"/>
      <w:b/>
      <w:sz w:val="24"/>
      <w:szCs w:val="20"/>
      <w:u w:val="single"/>
    </w:rPr>
  </w:style>
  <w:style w:type="paragraph" w:styleId="870">
    <w:name w:val="标题 4"/>
    <w:basedOn w:val="866"/>
    <w:next w:val="866"/>
    <w:link w:val="881"/>
    <w:qFormat/>
    <w:pPr>
      <w:keepLines/>
      <w:keepNext/>
      <w:spacing w:before="280" w:after="290" w:line="376" w:lineRule="atLeast"/>
      <w:outlineLvl w:val="3"/>
    </w:pPr>
    <w:rPr>
      <w:rFonts w:ascii="Arial" w:hAnsi="Arial" w:eastAsia="黑体"/>
      <w:b/>
      <w:sz w:val="28"/>
      <w:szCs w:val="20"/>
    </w:rPr>
  </w:style>
  <w:style w:type="paragraph" w:styleId="871">
    <w:name w:val="标题 5"/>
    <w:basedOn w:val="866"/>
    <w:next w:val="866"/>
    <w:link w:val="882"/>
    <w:qFormat/>
    <w:pPr>
      <w:keepLines/>
      <w:keepNext/>
      <w:spacing w:before="280" w:after="290" w:line="376" w:lineRule="atLeast"/>
      <w:outlineLvl w:val="4"/>
    </w:pPr>
    <w:rPr>
      <w:b/>
      <w:sz w:val="28"/>
      <w:szCs w:val="20"/>
    </w:rPr>
  </w:style>
  <w:style w:type="paragraph" w:styleId="872">
    <w:name w:val="标题 6"/>
    <w:basedOn w:val="866"/>
    <w:next w:val="866"/>
    <w:link w:val="883"/>
    <w:qFormat/>
    <w:pPr>
      <w:keepLines/>
      <w:keepNext/>
      <w:spacing w:before="240" w:after="64" w:line="320" w:lineRule="atLeast"/>
      <w:outlineLvl w:val="5"/>
    </w:pPr>
    <w:rPr>
      <w:rFonts w:ascii="Arial" w:hAnsi="Arial" w:eastAsia="黑体"/>
      <w:b/>
      <w:sz w:val="24"/>
      <w:szCs w:val="20"/>
    </w:rPr>
  </w:style>
  <w:style w:type="paragraph" w:styleId="873">
    <w:name w:val="标题 7"/>
    <w:basedOn w:val="866"/>
    <w:next w:val="866"/>
    <w:link w:val="884"/>
    <w:qFormat/>
    <w:pPr>
      <w:keepLines/>
      <w:keepNext/>
      <w:spacing w:before="240" w:after="64" w:line="320" w:lineRule="atLeast"/>
      <w:outlineLvl w:val="6"/>
    </w:pPr>
    <w:rPr>
      <w:b/>
      <w:sz w:val="24"/>
      <w:szCs w:val="20"/>
    </w:rPr>
  </w:style>
  <w:style w:type="paragraph" w:styleId="874">
    <w:name w:val="标题 8"/>
    <w:basedOn w:val="866"/>
    <w:next w:val="866"/>
    <w:link w:val="885"/>
    <w:qFormat/>
    <w:pPr>
      <w:keepLines/>
      <w:keepNext/>
      <w:spacing w:before="240" w:after="64" w:line="320" w:lineRule="atLeast"/>
      <w:outlineLvl w:val="7"/>
    </w:pPr>
    <w:rPr>
      <w:rFonts w:ascii="Arial" w:hAnsi="Arial" w:eastAsia="黑体"/>
      <w:sz w:val="24"/>
      <w:szCs w:val="20"/>
    </w:rPr>
  </w:style>
  <w:style w:type="paragraph" w:styleId="875">
    <w:name w:val="标题 9"/>
    <w:basedOn w:val="866"/>
    <w:next w:val="866"/>
    <w:link w:val="886"/>
    <w:qFormat/>
    <w:pPr>
      <w:keepLines/>
      <w:keepNext/>
      <w:spacing w:before="240" w:after="64" w:line="320" w:lineRule="atLeast"/>
      <w:outlineLvl w:val="8"/>
    </w:pPr>
    <w:rPr>
      <w:rFonts w:ascii="Arial" w:hAnsi="Arial" w:eastAsia="黑体"/>
      <w:szCs w:val="20"/>
    </w:rPr>
  </w:style>
  <w:style w:type="character" w:styleId="876">
    <w:name w:val="默认段落字体"/>
    <w:next w:val="876"/>
    <w:link w:val="866"/>
    <w:uiPriority w:val="1"/>
    <w:unhideWhenUsed/>
    <w:qFormat/>
  </w:style>
  <w:style w:type="table" w:styleId="877">
    <w:name w:val="普通表格"/>
    <w:next w:val="877"/>
    <w:link w:val="866"/>
    <w:uiPriority w:val="99"/>
    <w:unhideWhenUsed/>
    <w:qFormat/>
    <w:tblPr/>
  </w:style>
  <w:style w:type="character" w:styleId="878">
    <w:name w:val="标题 1 Char"/>
    <w:basedOn w:val="876"/>
    <w:next w:val="878"/>
    <w:link w:val="867"/>
    <w:qFormat/>
    <w:rPr>
      <w:rFonts w:ascii="宋体"/>
      <w:b/>
      <w:sz w:val="32"/>
    </w:rPr>
  </w:style>
  <w:style w:type="character" w:styleId="879">
    <w:name w:val="标题 2 Char1"/>
    <w:next w:val="879"/>
    <w:link w:val="868"/>
    <w:qFormat/>
    <w:rPr>
      <w:rFonts w:ascii="Arial" w:hAnsi="Arial" w:eastAsia="黑体"/>
      <w:b/>
      <w:sz w:val="30"/>
      <w:lang w:val="en-US" w:eastAsia="zh-CN" w:bidi="ar-SA"/>
    </w:rPr>
  </w:style>
  <w:style w:type="character" w:styleId="880">
    <w:name w:val="标题 3 Char"/>
    <w:next w:val="880"/>
    <w:link w:val="869"/>
    <w:qFormat/>
    <w:rPr>
      <w:rFonts w:ascii="宋体" w:eastAsia="宋体"/>
      <w:b/>
      <w:sz w:val="24"/>
      <w:u w:val="single"/>
      <w:lang w:val="en-US" w:eastAsia="zh-CN" w:bidi="ar-SA"/>
    </w:rPr>
  </w:style>
  <w:style w:type="character" w:styleId="881">
    <w:name w:val="标题 4 Char"/>
    <w:basedOn w:val="876"/>
    <w:next w:val="881"/>
    <w:link w:val="870"/>
    <w:qFormat/>
    <w:rPr>
      <w:rFonts w:ascii="Arial" w:hAnsi="Arial" w:eastAsia="黑体"/>
      <w:b/>
      <w:sz w:val="28"/>
    </w:rPr>
  </w:style>
  <w:style w:type="character" w:styleId="882">
    <w:name w:val="标题 5 Char"/>
    <w:basedOn w:val="876"/>
    <w:next w:val="882"/>
    <w:link w:val="871"/>
    <w:qFormat/>
    <w:rPr>
      <w:b/>
      <w:sz w:val="28"/>
    </w:rPr>
  </w:style>
  <w:style w:type="character" w:styleId="883">
    <w:name w:val="标题 6 Char"/>
    <w:basedOn w:val="876"/>
    <w:next w:val="883"/>
    <w:link w:val="872"/>
    <w:qFormat/>
    <w:rPr>
      <w:rFonts w:ascii="Arial" w:hAnsi="Arial" w:eastAsia="黑体"/>
      <w:b/>
      <w:sz w:val="24"/>
    </w:rPr>
  </w:style>
  <w:style w:type="character" w:styleId="884">
    <w:name w:val="标题 7 Char"/>
    <w:basedOn w:val="876"/>
    <w:next w:val="884"/>
    <w:link w:val="873"/>
    <w:qFormat/>
    <w:rPr>
      <w:b/>
      <w:sz w:val="24"/>
    </w:rPr>
  </w:style>
  <w:style w:type="character" w:styleId="885">
    <w:name w:val="标题 8 Char"/>
    <w:basedOn w:val="876"/>
    <w:next w:val="885"/>
    <w:link w:val="874"/>
    <w:qFormat/>
    <w:rPr>
      <w:rFonts w:ascii="Arial" w:hAnsi="Arial" w:eastAsia="黑体"/>
      <w:sz w:val="24"/>
    </w:rPr>
  </w:style>
  <w:style w:type="character" w:styleId="886">
    <w:name w:val="标题 9 Char"/>
    <w:basedOn w:val="876"/>
    <w:next w:val="886"/>
    <w:link w:val="875"/>
    <w:qFormat/>
    <w:rPr>
      <w:rFonts w:ascii="Arial" w:hAnsi="Arial" w:eastAsia="黑体"/>
      <w:sz w:val="21"/>
    </w:rPr>
  </w:style>
  <w:style w:type="paragraph" w:styleId="887">
    <w:name w:val="目录 7"/>
    <w:basedOn w:val="866"/>
    <w:next w:val="866"/>
    <w:link w:val="866"/>
    <w:qFormat/>
    <w:pPr>
      <w:ind w:left="2520"/>
    </w:pPr>
  </w:style>
  <w:style w:type="paragraph" w:styleId="888">
    <w:name w:val="正文缩进"/>
    <w:basedOn w:val="866"/>
    <w:next w:val="888"/>
    <w:link w:val="889"/>
    <w:qFormat/>
    <w:pPr>
      <w:ind w:firstLine="420"/>
      <w:jc w:val="left"/>
    </w:pPr>
    <w:rPr>
      <w:rFonts w:ascii="宋体"/>
      <w:sz w:val="24"/>
    </w:rPr>
  </w:style>
  <w:style w:type="character" w:styleId="889">
    <w:name w:val="正文缩进 Char1"/>
    <w:next w:val="889"/>
    <w:link w:val="888"/>
    <w:qFormat/>
    <w:rPr>
      <w:rFonts w:ascii="宋体" w:eastAsia="宋体"/>
      <w:sz w:val="24"/>
      <w:szCs w:val="24"/>
      <w:lang w:val="en-US" w:eastAsia="zh-CN" w:bidi="ar-SA"/>
    </w:rPr>
  </w:style>
  <w:style w:type="paragraph" w:styleId="890">
    <w:name w:val="题注"/>
    <w:basedOn w:val="866"/>
    <w:next w:val="866"/>
    <w:link w:val="866"/>
    <w:qFormat/>
    <w:pPr>
      <w:spacing w:line="480" w:lineRule="auto"/>
    </w:pPr>
    <w:rPr>
      <w:rFonts w:ascii="华文中宋" w:hAnsi="华文中宋" w:eastAsia="华文中宋"/>
      <w:sz w:val="36"/>
      <w:szCs w:val="20"/>
    </w:rPr>
  </w:style>
  <w:style w:type="paragraph" w:styleId="891">
    <w:name w:val="文档结构图"/>
    <w:basedOn w:val="866"/>
    <w:next w:val="891"/>
    <w:link w:val="892"/>
    <w:qFormat/>
    <w:pPr>
      <w:shd w:val="clear" w:color="auto" w:fill="000080"/>
    </w:pPr>
  </w:style>
  <w:style w:type="character" w:styleId="892">
    <w:name w:val="文档结构图 Char"/>
    <w:basedOn w:val="876"/>
    <w:next w:val="892"/>
    <w:link w:val="891"/>
    <w:qFormat/>
    <w:rPr>
      <w:sz w:val="21"/>
      <w:szCs w:val="24"/>
      <w:shd w:val="clear" w:color="auto" w:fill="000080"/>
    </w:rPr>
  </w:style>
  <w:style w:type="paragraph" w:styleId="893">
    <w:name w:val="引文目录标题"/>
    <w:next w:val="866"/>
    <w:link w:val="866"/>
    <w:uiPriority w:val="99"/>
    <w:qFormat/>
    <w:pPr>
      <w:jc w:val="both"/>
      <w:spacing w:before="120"/>
      <w:widowControl w:val="off"/>
    </w:pPr>
    <w:rPr>
      <w:rFonts w:ascii="Cambria" w:hAnsi="Cambria" w:eastAsia="宋体" w:cs="Times New Roman"/>
      <w:sz w:val="24"/>
      <w:szCs w:val="24"/>
      <w:lang w:val="en-US" w:eastAsia="zh-CN" w:bidi="ar-SA"/>
    </w:rPr>
  </w:style>
  <w:style w:type="paragraph" w:styleId="894">
    <w:name w:val="批注文字"/>
    <w:basedOn w:val="866"/>
    <w:next w:val="894"/>
    <w:link w:val="895"/>
    <w:uiPriority w:val="99"/>
    <w:qFormat/>
    <w:pPr>
      <w:jc w:val="left"/>
    </w:pPr>
  </w:style>
  <w:style w:type="character" w:styleId="895">
    <w:name w:val="批注文字 Char1"/>
    <w:next w:val="895"/>
    <w:link w:val="894"/>
    <w:uiPriority w:val="99"/>
    <w:qFormat/>
    <w:rPr>
      <w:sz w:val="21"/>
      <w:szCs w:val="24"/>
    </w:rPr>
  </w:style>
  <w:style w:type="paragraph" w:styleId="896">
    <w:name w:val="正文文本 3"/>
    <w:basedOn w:val="866"/>
    <w:next w:val="896"/>
    <w:link w:val="897"/>
    <w:qFormat/>
    <w:pPr>
      <w:spacing w:after="120"/>
    </w:pPr>
    <w:rPr>
      <w:sz w:val="16"/>
      <w:szCs w:val="16"/>
    </w:rPr>
  </w:style>
  <w:style w:type="character" w:styleId="897">
    <w:name w:val="正文文本 3 Char"/>
    <w:basedOn w:val="876"/>
    <w:next w:val="897"/>
    <w:link w:val="896"/>
    <w:qFormat/>
    <w:rPr>
      <w:sz w:val="16"/>
      <w:szCs w:val="16"/>
    </w:rPr>
  </w:style>
  <w:style w:type="paragraph" w:styleId="898">
    <w:name w:val="正文文本"/>
    <w:basedOn w:val="866"/>
    <w:next w:val="866"/>
    <w:link w:val="899"/>
    <w:qFormat/>
    <w:pPr>
      <w:spacing w:before="120" w:line="22" w:lineRule="atLeast"/>
      <w:tabs>
        <w:tab w:val="left" w:pos="567" w:leader="none"/>
      </w:tabs>
    </w:pPr>
    <w:rPr>
      <w:rFonts w:ascii="宋体" w:hAnsi="宋体"/>
      <w:sz w:val="24"/>
    </w:rPr>
  </w:style>
  <w:style w:type="character" w:styleId="899">
    <w:name w:val="正文文本 Char"/>
    <w:basedOn w:val="876"/>
    <w:next w:val="899"/>
    <w:link w:val="898"/>
    <w:qFormat/>
    <w:rPr>
      <w:rFonts w:ascii="宋体" w:hAnsi="宋体"/>
      <w:sz w:val="24"/>
      <w:szCs w:val="24"/>
    </w:rPr>
  </w:style>
  <w:style w:type="paragraph" w:styleId="900">
    <w:name w:val="正文文本缩进"/>
    <w:basedOn w:val="866"/>
    <w:next w:val="900"/>
    <w:link w:val="901"/>
    <w:qFormat/>
    <w:pPr>
      <w:ind w:firstLine="570"/>
      <w:spacing w:line="360" w:lineRule="auto"/>
    </w:pPr>
    <w:rPr>
      <w:sz w:val="24"/>
    </w:rPr>
  </w:style>
  <w:style w:type="character" w:styleId="901">
    <w:name w:val="正文文本缩进 Char2"/>
    <w:next w:val="901"/>
    <w:link w:val="900"/>
    <w:qFormat/>
    <w:rPr>
      <w:rFonts w:eastAsia="宋体"/>
      <w:sz w:val="24"/>
      <w:szCs w:val="24"/>
      <w:lang w:val="en-US" w:eastAsia="zh-CN" w:bidi="ar-SA"/>
    </w:rPr>
  </w:style>
  <w:style w:type="paragraph" w:styleId="902">
    <w:name w:val="列表 2"/>
    <w:basedOn w:val="866"/>
    <w:next w:val="902"/>
    <w:link w:val="866"/>
    <w:qFormat/>
    <w:pPr>
      <w:ind w:left="100" w:hanging="200"/>
    </w:pPr>
  </w:style>
  <w:style w:type="paragraph" w:styleId="903">
    <w:name w:val="文本块"/>
    <w:basedOn w:val="866"/>
    <w:next w:val="903"/>
    <w:link w:val="866"/>
    <w:qFormat/>
    <w:pPr>
      <w:ind w:left="480" w:right="-341" w:firstLine="513"/>
      <w:widowControl/>
    </w:pPr>
    <w:rPr>
      <w:sz w:val="24"/>
      <w:szCs w:val="20"/>
    </w:rPr>
  </w:style>
  <w:style w:type="paragraph" w:styleId="904">
    <w:name w:val="目录 5"/>
    <w:basedOn w:val="866"/>
    <w:next w:val="866"/>
    <w:link w:val="866"/>
    <w:qFormat/>
    <w:pPr>
      <w:ind w:left="1680"/>
    </w:pPr>
  </w:style>
  <w:style w:type="paragraph" w:styleId="905">
    <w:name w:val="目录 3"/>
    <w:basedOn w:val="866"/>
    <w:next w:val="866"/>
    <w:link w:val="866"/>
    <w:uiPriority w:val="39"/>
    <w:qFormat/>
    <w:pPr>
      <w:ind w:left="840"/>
    </w:pPr>
  </w:style>
  <w:style w:type="paragraph" w:styleId="906">
    <w:name w:val="纯文本"/>
    <w:basedOn w:val="866"/>
    <w:next w:val="906"/>
    <w:link w:val="907"/>
    <w:qFormat/>
    <w:rPr>
      <w:rFonts w:hint="eastAsia" w:ascii="宋体" w:hAnsi="Courier New"/>
      <w:szCs w:val="20"/>
    </w:rPr>
  </w:style>
  <w:style w:type="character" w:styleId="907">
    <w:name w:val="纯文本 Char"/>
    <w:basedOn w:val="876"/>
    <w:next w:val="907"/>
    <w:link w:val="906"/>
    <w:qFormat/>
    <w:rPr>
      <w:rFonts w:hint="eastAsia" w:ascii="宋体" w:hAnsi="Courier New" w:eastAsia="宋体" w:cs="宋体"/>
      <w:sz w:val="21"/>
    </w:rPr>
  </w:style>
  <w:style w:type="paragraph" w:styleId="908">
    <w:name w:val="目录 8"/>
    <w:basedOn w:val="866"/>
    <w:next w:val="866"/>
    <w:link w:val="866"/>
    <w:qFormat/>
    <w:pPr>
      <w:ind w:left="2940"/>
    </w:pPr>
  </w:style>
  <w:style w:type="paragraph" w:styleId="909">
    <w:name w:val="日期"/>
    <w:basedOn w:val="866"/>
    <w:next w:val="866"/>
    <w:link w:val="910"/>
    <w:qFormat/>
    <w:pPr>
      <w:ind w:left="100"/>
    </w:pPr>
    <w:rPr>
      <w:rFonts w:ascii="仿宋_GB2312" w:hAnsi="宋体" w:eastAsia="仿宋_GB2312"/>
      <w:color w:val="000000"/>
      <w:sz w:val="24"/>
    </w:rPr>
  </w:style>
  <w:style w:type="character" w:styleId="910">
    <w:name w:val="日期 Char"/>
    <w:basedOn w:val="876"/>
    <w:next w:val="910"/>
    <w:link w:val="909"/>
    <w:qFormat/>
    <w:rPr>
      <w:rFonts w:ascii="仿宋_GB2312" w:hAnsi="宋体" w:eastAsia="仿宋_GB2312"/>
      <w:color w:val="000000"/>
      <w:sz w:val="24"/>
      <w:szCs w:val="24"/>
    </w:rPr>
  </w:style>
  <w:style w:type="paragraph" w:styleId="911">
    <w:name w:val="正文文本缩进 2"/>
    <w:basedOn w:val="866"/>
    <w:next w:val="911"/>
    <w:link w:val="912"/>
    <w:qFormat/>
    <w:pPr>
      <w:ind w:firstLine="480"/>
    </w:pPr>
    <w:rPr>
      <w:rFonts w:ascii="仿宋_GB2312" w:eastAsia="仿宋_GB2312"/>
      <w:sz w:val="24"/>
    </w:rPr>
  </w:style>
  <w:style w:type="character" w:styleId="912">
    <w:name w:val="正文文本缩进 2 Char"/>
    <w:basedOn w:val="876"/>
    <w:next w:val="912"/>
    <w:link w:val="911"/>
    <w:qFormat/>
    <w:rPr>
      <w:rFonts w:ascii="仿宋_GB2312" w:eastAsia="仿宋_GB2312"/>
      <w:sz w:val="24"/>
      <w:szCs w:val="24"/>
    </w:rPr>
  </w:style>
  <w:style w:type="paragraph" w:styleId="913">
    <w:name w:val="批注框文本"/>
    <w:basedOn w:val="866"/>
    <w:next w:val="913"/>
    <w:link w:val="914"/>
    <w:qFormat/>
    <w:rPr>
      <w:sz w:val="18"/>
      <w:szCs w:val="18"/>
    </w:rPr>
  </w:style>
  <w:style w:type="character" w:styleId="914">
    <w:name w:val="批注框文本 Char"/>
    <w:basedOn w:val="876"/>
    <w:next w:val="914"/>
    <w:link w:val="913"/>
    <w:qFormat/>
    <w:rPr>
      <w:sz w:val="18"/>
      <w:szCs w:val="18"/>
    </w:rPr>
  </w:style>
  <w:style w:type="paragraph" w:styleId="915">
    <w:name w:val="页脚"/>
    <w:basedOn w:val="866"/>
    <w:next w:val="915"/>
    <w:link w:val="916"/>
    <w:uiPriority w:val="99"/>
    <w:qFormat/>
    <w:pPr>
      <w:jc w:val="left"/>
      <w:tabs>
        <w:tab w:val="center" w:pos="4153" w:leader="none"/>
        <w:tab w:val="right" w:pos="8306" w:leader="none"/>
      </w:tabs>
    </w:pPr>
    <w:rPr>
      <w:rFonts w:ascii="宋体"/>
      <w:sz w:val="18"/>
      <w:szCs w:val="20"/>
    </w:rPr>
  </w:style>
  <w:style w:type="character" w:styleId="916">
    <w:name w:val="页脚 Char1"/>
    <w:next w:val="916"/>
    <w:link w:val="915"/>
    <w:uiPriority w:val="99"/>
    <w:qFormat/>
    <w:rPr>
      <w:rFonts w:ascii="宋体" w:eastAsia="宋体"/>
      <w:sz w:val="18"/>
      <w:lang w:val="en-US" w:eastAsia="zh-CN" w:bidi="ar-SA"/>
    </w:rPr>
  </w:style>
  <w:style w:type="paragraph" w:styleId="917">
    <w:name w:val="页眉"/>
    <w:basedOn w:val="866"/>
    <w:next w:val="917"/>
    <w:link w:val="918"/>
    <w:qFormat/>
    <w:pPr>
      <w:jc w:val="center"/>
      <w:tabs>
        <w:tab w:val="center" w:pos="4153" w:leader="none"/>
        <w:tab w:val="right" w:pos="8306" w:leader="none"/>
      </w:tabs>
      <w:pBdr>
        <w:bottom w:val="single" w:color="000000" w:sz="6" w:space="1"/>
      </w:pBdr>
    </w:pPr>
    <w:rPr>
      <w:sz w:val="18"/>
      <w:szCs w:val="18"/>
    </w:rPr>
  </w:style>
  <w:style w:type="character" w:styleId="918">
    <w:name w:val="页眉 Char1"/>
    <w:next w:val="918"/>
    <w:link w:val="917"/>
    <w:qFormat/>
    <w:rPr>
      <w:rFonts w:eastAsia="宋体"/>
      <w:sz w:val="18"/>
      <w:szCs w:val="18"/>
      <w:lang w:val="en-US" w:eastAsia="zh-CN" w:bidi="ar-SA"/>
    </w:rPr>
  </w:style>
  <w:style w:type="paragraph" w:styleId="919">
    <w:name w:val="目录 1"/>
    <w:basedOn w:val="866"/>
    <w:next w:val="866"/>
    <w:link w:val="866"/>
    <w:uiPriority w:val="39"/>
    <w:qFormat/>
    <w:pPr>
      <w:spacing w:line="300" w:lineRule="auto"/>
      <w:tabs>
        <w:tab w:val="left" w:pos="1050" w:leader="none"/>
        <w:tab w:val="right" w:pos="8937" w:leader="dot"/>
      </w:tabs>
    </w:pPr>
    <w:rPr>
      <w:rFonts w:ascii="宋体" w:hAnsi="宋体"/>
      <w:b/>
      <w:sz w:val="24"/>
    </w:rPr>
  </w:style>
  <w:style w:type="paragraph" w:styleId="920">
    <w:name w:val="目录 4"/>
    <w:basedOn w:val="866"/>
    <w:next w:val="866"/>
    <w:link w:val="866"/>
    <w:qFormat/>
    <w:pPr>
      <w:ind w:left="1260"/>
    </w:pPr>
  </w:style>
  <w:style w:type="paragraph" w:styleId="921">
    <w:name w:val="目录 6"/>
    <w:basedOn w:val="866"/>
    <w:next w:val="866"/>
    <w:link w:val="866"/>
    <w:qFormat/>
    <w:pPr>
      <w:ind w:left="2100"/>
    </w:pPr>
  </w:style>
  <w:style w:type="paragraph" w:styleId="922">
    <w:name w:val="正文文本缩进 3"/>
    <w:basedOn w:val="866"/>
    <w:next w:val="922"/>
    <w:link w:val="923"/>
    <w:qFormat/>
    <w:pPr>
      <w:ind w:left="720" w:firstLine="480"/>
      <w:jc w:val="left"/>
      <w:spacing w:before="120" w:line="22" w:lineRule="atLeast"/>
    </w:pPr>
    <w:rPr>
      <w:rFonts w:ascii="宋体"/>
      <w:sz w:val="24"/>
      <w:szCs w:val="20"/>
    </w:rPr>
  </w:style>
  <w:style w:type="character" w:styleId="923">
    <w:name w:val="正文文本缩进 3 Char"/>
    <w:basedOn w:val="876"/>
    <w:next w:val="923"/>
    <w:link w:val="922"/>
    <w:qFormat/>
    <w:rPr>
      <w:rFonts w:ascii="宋体"/>
      <w:sz w:val="24"/>
    </w:rPr>
  </w:style>
  <w:style w:type="paragraph" w:styleId="924">
    <w:name w:val="目录 2"/>
    <w:basedOn w:val="866"/>
    <w:next w:val="866"/>
    <w:link w:val="866"/>
    <w:uiPriority w:val="39"/>
    <w:qFormat/>
    <w:pPr>
      <w:ind w:left="420"/>
      <w:spacing w:line="312" w:lineRule="auto"/>
      <w:tabs>
        <w:tab w:val="right" w:pos="8937" w:leader="dot"/>
      </w:tabs>
    </w:pPr>
  </w:style>
  <w:style w:type="paragraph" w:styleId="925">
    <w:name w:val="目录 9"/>
    <w:basedOn w:val="866"/>
    <w:next w:val="866"/>
    <w:link w:val="866"/>
    <w:qFormat/>
    <w:pPr>
      <w:ind w:left="3360"/>
    </w:pPr>
  </w:style>
  <w:style w:type="paragraph" w:styleId="926">
    <w:name w:val="HTML 预设格式"/>
    <w:basedOn w:val="866"/>
    <w:next w:val="926"/>
    <w:link w:val="9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7">
    <w:name w:val="HTML 预设格式 Char"/>
    <w:basedOn w:val="876"/>
    <w:next w:val="927"/>
    <w:link w:val="926"/>
    <w:qFormat/>
    <w:rPr>
      <w:rFonts w:ascii="宋体" w:hAnsi="宋体" w:cs="宋体"/>
      <w:sz w:val="24"/>
      <w:szCs w:val="24"/>
    </w:rPr>
  </w:style>
  <w:style w:type="paragraph" w:styleId="928">
    <w:name w:val="普通(网站)"/>
    <w:basedOn w:val="866"/>
    <w:next w:val="928"/>
    <w:link w:val="866"/>
    <w:uiPriority w:val="99"/>
    <w:unhideWhenUsed/>
    <w:qFormat/>
    <w:pPr>
      <w:jc w:val="left"/>
      <w:spacing w:before="100" w:beforeAutospacing="1" w:after="100" w:afterAutospacing="1"/>
      <w:widowControl/>
    </w:pPr>
    <w:rPr>
      <w:rFonts w:ascii="宋体" w:hAnsi="宋体" w:cs="宋体"/>
      <w:sz w:val="24"/>
    </w:rPr>
  </w:style>
  <w:style w:type="paragraph" w:styleId="929">
    <w:name w:val="索引 1"/>
    <w:basedOn w:val="866"/>
    <w:next w:val="866"/>
    <w:link w:val="866"/>
    <w:qFormat/>
    <w:rPr>
      <w:szCs w:val="20"/>
    </w:rPr>
  </w:style>
  <w:style w:type="paragraph" w:styleId="930">
    <w:name w:val="标题"/>
    <w:basedOn w:val="866"/>
    <w:next w:val="930"/>
    <w:link w:val="931"/>
    <w:qFormat/>
    <w:pPr>
      <w:jc w:val="center"/>
      <w:outlineLvl w:val="0"/>
    </w:pPr>
    <w:rPr>
      <w:b/>
      <w:sz w:val="32"/>
      <w:szCs w:val="20"/>
    </w:rPr>
  </w:style>
  <w:style w:type="character" w:styleId="931">
    <w:name w:val="标题 Char1"/>
    <w:next w:val="931"/>
    <w:link w:val="930"/>
    <w:qFormat/>
    <w:rPr>
      <w:b/>
      <w:sz w:val="32"/>
    </w:rPr>
  </w:style>
  <w:style w:type="paragraph" w:styleId="932">
    <w:name w:val="批注主题"/>
    <w:basedOn w:val="894"/>
    <w:next w:val="894"/>
    <w:link w:val="933"/>
    <w:qFormat/>
    <w:rPr>
      <w:b/>
      <w:bCs/>
    </w:rPr>
  </w:style>
  <w:style w:type="character" w:styleId="933">
    <w:name w:val="批注主题 Char"/>
    <w:basedOn w:val="934"/>
    <w:next w:val="933"/>
    <w:link w:val="932"/>
    <w:qFormat/>
    <w:rPr>
      <w:rFonts w:ascii="Times New Roman" w:hAnsi="Times New Roman" w:eastAsia="宋体" w:cs="Times New Roman"/>
      <w:b/>
      <w:bCs/>
      <w:sz w:val="21"/>
      <w:szCs w:val="24"/>
      <w:lang w:val="en-US" w:eastAsia="zh-CN" w:bidi="ar-SA"/>
    </w:rPr>
  </w:style>
  <w:style w:type="character" w:styleId="934">
    <w:name w:val="批注文字 字符"/>
    <w:next w:val="934"/>
    <w:link w:val="866"/>
    <w:uiPriority w:val="99"/>
    <w:qFormat/>
    <w:rPr>
      <w:rFonts w:ascii="Times New Roman" w:hAnsi="Times New Roman" w:eastAsia="宋体" w:cs="Times New Roman"/>
      <w:sz w:val="24"/>
      <w:lang w:val="en-US" w:eastAsia="zh-CN" w:bidi="ar-SA"/>
    </w:rPr>
  </w:style>
  <w:style w:type="paragraph" w:styleId="935">
    <w:name w:val="正文首行缩进 2"/>
    <w:basedOn w:val="900"/>
    <w:next w:val="935"/>
    <w:link w:val="936"/>
    <w:qFormat/>
    <w:pPr>
      <w:ind w:left="420" w:firstLine="420"/>
      <w:spacing w:after="120" w:line="480" w:lineRule="exact"/>
    </w:pPr>
    <w:rPr>
      <w:szCs w:val="20"/>
    </w:rPr>
  </w:style>
  <w:style w:type="character" w:styleId="936">
    <w:name w:val="正文首行缩进 2 Char"/>
    <w:basedOn w:val="901"/>
    <w:next w:val="936"/>
    <w:link w:val="935"/>
    <w:qFormat/>
    <w:rPr>
      <w:rFonts w:eastAsia="宋体"/>
      <w:sz w:val="24"/>
      <w:szCs w:val="24"/>
      <w:lang w:val="en-US" w:eastAsia="zh-CN" w:bidi="ar-SA"/>
    </w:rPr>
  </w:style>
  <w:style w:type="table" w:styleId="937">
    <w:name w:val="网格型"/>
    <w:basedOn w:val="877"/>
    <w:next w:val="937"/>
    <w:link w:val="866"/>
    <w:uiPriority w:val="39"/>
    <w:qFormat/>
    <w:tblPr/>
  </w:style>
  <w:style w:type="table" w:styleId="938">
    <w:name w:val="中等深浅网格 1 - 强调文字颜色 2"/>
    <w:basedOn w:val="877"/>
    <w:next w:val="938"/>
    <w:link w:val="866"/>
    <w:qFormat/>
    <w:rPr>
      <w:sz w:val="21"/>
      <w:szCs w:val="24"/>
    </w:rPr>
    <w:tblPr/>
  </w:style>
  <w:style w:type="character" w:styleId="939">
    <w:name w:val="要点"/>
    <w:next w:val="939"/>
    <w:link w:val="866"/>
    <w:qFormat/>
    <w:rPr>
      <w:b/>
      <w:bCs/>
    </w:rPr>
  </w:style>
  <w:style w:type="character" w:styleId="940">
    <w:name w:val="页码"/>
    <w:basedOn w:val="876"/>
    <w:next w:val="940"/>
    <w:link w:val="866"/>
    <w:qFormat/>
  </w:style>
  <w:style w:type="character" w:styleId="941">
    <w:name w:val="已访问的超链接"/>
    <w:next w:val="941"/>
    <w:link w:val="866"/>
    <w:qFormat/>
    <w:rPr>
      <w:color w:val="800080"/>
      <w:u w:val="single"/>
    </w:rPr>
  </w:style>
  <w:style w:type="character" w:styleId="942">
    <w:name w:val="强调"/>
    <w:next w:val="942"/>
    <w:link w:val="866"/>
    <w:qFormat/>
    <w:rPr>
      <w:color w:val="cc0033"/>
    </w:rPr>
  </w:style>
  <w:style w:type="character" w:styleId="943">
    <w:name w:val="超链接"/>
    <w:next w:val="943"/>
    <w:link w:val="866"/>
    <w:uiPriority w:val="99"/>
    <w:qFormat/>
    <w:rPr>
      <w:color w:val="0000ff"/>
      <w:u w:val="single"/>
    </w:rPr>
  </w:style>
  <w:style w:type="character" w:styleId="944">
    <w:name w:val="批注引用"/>
    <w:next w:val="944"/>
    <w:link w:val="866"/>
    <w:uiPriority w:val="99"/>
    <w:qFormat/>
    <w:rPr>
      <w:sz w:val="21"/>
      <w:szCs w:val="21"/>
    </w:rPr>
  </w:style>
  <w:style w:type="character" w:styleId="945">
    <w:name w:val="HTML 引文"/>
    <w:next w:val="945"/>
    <w:link w:val="866"/>
    <w:qFormat/>
    <w:rPr>
      <w:i/>
      <w:iCs/>
    </w:rPr>
  </w:style>
  <w:style w:type="character" w:styleId="946">
    <w:name w:val="标题 3 Char1"/>
    <w:next w:val="946"/>
    <w:link w:val="869"/>
    <w:qFormat/>
    <w:rPr>
      <w:rFonts w:ascii="宋体" w:eastAsia="宋体"/>
      <w:b/>
      <w:sz w:val="24"/>
      <w:u w:val="single"/>
      <w:lang w:val="en-US" w:eastAsia="zh-CN" w:bidi="ar-SA"/>
    </w:rPr>
  </w:style>
  <w:style w:type="character" w:styleId="947">
    <w:name w:val="强调1"/>
    <w:next w:val="947"/>
    <w:link w:val="866"/>
    <w:qFormat/>
    <w:rPr>
      <w:sz w:val="21"/>
      <w:szCs w:val="24"/>
      <w:lang w:val="en-US" w:eastAsia="zh-CN" w:bidi="ar-SA"/>
    </w:rPr>
  </w:style>
  <w:style w:type="character" w:styleId="948">
    <w:name w:val="要点1"/>
    <w:next w:val="948"/>
    <w:link w:val="866"/>
    <w:qFormat/>
    <w:rPr>
      <w:sz w:val="21"/>
      <w:szCs w:val="24"/>
      <w:lang w:val="en-US" w:eastAsia="zh-CN" w:bidi="ar-SA"/>
    </w:rPr>
  </w:style>
  <w:style w:type="paragraph" w:styleId="949">
    <w:name w:val="正文缩进1"/>
    <w:basedOn w:val="866"/>
    <w:next w:val="949"/>
    <w:link w:val="950"/>
    <w:qFormat/>
    <w:pPr>
      <w:ind w:firstLine="567"/>
      <w:spacing w:line="480" w:lineRule="exact"/>
      <w:widowControl/>
    </w:pPr>
    <w:rPr>
      <w:rFonts w:ascii="宋体"/>
      <w:color w:val="000000"/>
      <w:sz w:val="28"/>
      <w:szCs w:val="20"/>
    </w:rPr>
  </w:style>
  <w:style w:type="character" w:styleId="950">
    <w:name w:val="正文缩进 Char Char"/>
    <w:next w:val="950"/>
    <w:link w:val="949"/>
    <w:qFormat/>
    <w:rPr>
      <w:rFonts w:ascii="宋体" w:eastAsia="宋体"/>
      <w:color w:val="000000"/>
      <w:sz w:val="28"/>
      <w:lang w:bidi="ar-SA"/>
    </w:rPr>
  </w:style>
  <w:style w:type="paragraph" w:styleId="951">
    <w:name w:val="TOAHeading1"/>
    <w:basedOn w:val="866"/>
    <w:next w:val="866"/>
    <w:link w:val="866"/>
    <w:qFormat/>
    <w:pPr>
      <w:spacing w:before="120"/>
    </w:pPr>
    <w:rPr>
      <w:rFonts w:ascii="Cambria" w:hAnsi="Cambria"/>
      <w:sz w:val="24"/>
      <w:szCs w:val="24"/>
    </w:rPr>
  </w:style>
  <w:style w:type="paragraph" w:styleId="952">
    <w:name w:val="AONormal"/>
    <w:next w:val="952"/>
    <w:link w:val="866"/>
    <w:qFormat/>
    <w:pPr>
      <w:ind w:firstLine="440"/>
      <w:spacing w:line="400" w:lineRule="exact"/>
    </w:pPr>
    <w:rPr>
      <w:rFonts w:ascii="华文楷体" w:hAnsi="华文楷体" w:eastAsia="华文楷体" w:cs="华文楷体"/>
      <w:sz w:val="22"/>
      <w:szCs w:val="21"/>
      <w:lang w:val="en-US" w:eastAsia="zh-CN" w:bidi="ar-SA"/>
    </w:rPr>
  </w:style>
  <w:style w:type="paragraph" w:styleId="953">
    <w:name w:val="Default"/>
    <w:next w:val="953"/>
    <w:link w:val="866"/>
    <w:qFormat/>
    <w:pPr>
      <w:widowControl w:val="off"/>
    </w:pPr>
    <w:rPr>
      <w:rFonts w:ascii="Symbol" w:hAnsi="Symbol" w:cs="Symbol"/>
      <w:color w:val="000000"/>
      <w:sz w:val="24"/>
      <w:szCs w:val="24"/>
      <w:lang w:val="en-US" w:eastAsia="zh-CN" w:bidi="ar-SA"/>
    </w:rPr>
  </w:style>
  <w:style w:type="character" w:styleId="954">
    <w:name w:val="c21"/>
    <w:next w:val="954"/>
    <w:link w:val="866"/>
    <w:qFormat/>
    <w:rPr>
      <w:rFonts w:ascii="ˎ̥" w:hAnsi="ˎ̥"/>
      <w:color w:val="000000"/>
      <w:sz w:val="20"/>
      <w:szCs w:val="20"/>
      <w:u w:val="none"/>
    </w:rPr>
  </w:style>
  <w:style w:type="character" w:styleId="955">
    <w:name w:val="title4"/>
    <w:next w:val="955"/>
    <w:link w:val="866"/>
    <w:qFormat/>
    <w:rPr>
      <w:b/>
      <w:bCs/>
      <w:color w:val="1d87b3"/>
      <w:sz w:val="15"/>
      <w:szCs w:val="15"/>
    </w:rPr>
  </w:style>
  <w:style w:type="character" w:styleId="956">
    <w:name w:val="标题 2 Char Char"/>
    <w:next w:val="956"/>
    <w:link w:val="866"/>
    <w:qFormat/>
    <w:rPr>
      <w:rFonts w:ascii="Arial" w:hAnsi="Arial" w:eastAsia="黑体"/>
      <w:b/>
      <w:bCs/>
      <w:sz w:val="32"/>
      <w:szCs w:val="32"/>
      <w:lang w:val="en-US" w:eastAsia="zh-CN" w:bidi="ar-SA"/>
    </w:rPr>
  </w:style>
  <w:style w:type="character" w:styleId="957">
    <w:name w:val="black1"/>
    <w:next w:val="957"/>
    <w:link w:val="866"/>
    <w:qFormat/>
    <w:rPr>
      <w:color w:val="000000"/>
    </w:rPr>
  </w:style>
  <w:style w:type="character" w:styleId="958">
    <w:name w:val="street-address"/>
    <w:basedOn w:val="876"/>
    <w:next w:val="958"/>
    <w:link w:val="866"/>
    <w:qFormat/>
  </w:style>
  <w:style w:type="character" w:styleId="959">
    <w:name w:val="locality"/>
    <w:basedOn w:val="876"/>
    <w:next w:val="959"/>
    <w:link w:val="866"/>
    <w:qFormat/>
  </w:style>
  <w:style w:type="character" w:styleId="960">
    <w:name w:val="正文文本缩进 Char1"/>
    <w:next w:val="960"/>
    <w:link w:val="961"/>
    <w:qFormat/>
    <w:rPr>
      <w:rFonts w:ascii="宋体" w:hAnsi="宋体" w:eastAsia="宋体"/>
      <w:sz w:val="24"/>
      <w:szCs w:val="24"/>
      <w:lang w:bidi="ar-SA"/>
    </w:rPr>
  </w:style>
  <w:style w:type="paragraph" w:styleId="961">
    <w:name w:val="正文文本缩进1"/>
    <w:basedOn w:val="866"/>
    <w:next w:val="961"/>
    <w:link w:val="960"/>
    <w:qFormat/>
    <w:pPr>
      <w:ind w:firstLine="480"/>
      <w:spacing w:line="480" w:lineRule="exact"/>
    </w:pPr>
    <w:rPr>
      <w:rFonts w:ascii="宋体" w:hAnsi="宋体"/>
      <w:sz w:val="24"/>
    </w:rPr>
  </w:style>
  <w:style w:type="character" w:styleId="962">
    <w:name w:val="Char Char11"/>
    <w:next w:val="962"/>
    <w:link w:val="866"/>
    <w:qFormat/>
    <w:rPr>
      <w:rFonts w:ascii="宋体" w:eastAsia="宋体"/>
      <w:b/>
      <w:sz w:val="24"/>
      <w:u w:val="single"/>
      <w:lang w:val="en-US" w:eastAsia="zh-CN" w:bidi="ar-SA"/>
    </w:rPr>
  </w:style>
  <w:style w:type="character" w:styleId="963">
    <w:name w:val="txt"/>
    <w:basedOn w:val="876"/>
    <w:next w:val="963"/>
    <w:link w:val="866"/>
    <w:qFormat/>
  </w:style>
  <w:style w:type="character" w:styleId="964">
    <w:name w:val="普通文字1 Char1"/>
    <w:next w:val="964"/>
    <w:link w:val="866"/>
    <w:qFormat/>
    <w:rPr>
      <w:rFonts w:ascii="宋体" w:hAnsi="Courier New" w:eastAsia="宋体"/>
      <w:sz w:val="21"/>
      <w:lang w:val="en-US" w:eastAsia="zh-CN" w:bidi="ar-SA"/>
    </w:rPr>
  </w:style>
  <w:style w:type="character" w:styleId="965">
    <w:name w:val="chanpin1"/>
    <w:next w:val="965"/>
    <w:link w:val="866"/>
    <w:qFormat/>
    <w:rPr>
      <w:rFonts w:ascii="ˎ̥" w:hAnsi="ˎ̥"/>
      <w:color w:val="000000"/>
      <w:sz w:val="20"/>
      <w:szCs w:val="20"/>
      <w:u w:val="none"/>
    </w:rPr>
  </w:style>
  <w:style w:type="character" w:styleId="966">
    <w:name w:val="列出段落 Char1"/>
    <w:next w:val="966"/>
    <w:link w:val="967"/>
    <w:uiPriority w:val="34"/>
    <w:qFormat/>
    <w:rPr>
      <w:rFonts w:ascii="Calibri" w:hAnsi="Calibri" w:eastAsia="宋体"/>
      <w:sz w:val="21"/>
      <w:szCs w:val="22"/>
      <w:lang w:val="en-US" w:eastAsia="zh-CN" w:bidi="ar-SA"/>
    </w:rPr>
  </w:style>
  <w:style w:type="paragraph" w:styleId="967">
    <w:name w:val="列出段落"/>
    <w:basedOn w:val="866"/>
    <w:next w:val="967"/>
    <w:link w:val="966"/>
    <w:uiPriority w:val="34"/>
    <w:qFormat/>
    <w:pPr>
      <w:ind w:firstLine="420"/>
    </w:pPr>
    <w:rPr>
      <w:rFonts w:ascii="Calibri" w:hAnsi="Calibri"/>
      <w:szCs w:val="22"/>
    </w:rPr>
  </w:style>
  <w:style w:type="character" w:styleId="968">
    <w:name w:val="标题 3 Char Char"/>
    <w:next w:val="968"/>
    <w:link w:val="866"/>
    <w:qFormat/>
    <w:rPr>
      <w:rFonts w:eastAsia="宋体"/>
      <w:b/>
      <w:bCs/>
      <w:sz w:val="32"/>
      <w:szCs w:val="32"/>
      <w:lang w:val="en-US" w:eastAsia="zh-CN" w:bidi="ar-SA"/>
    </w:rPr>
  </w:style>
  <w:style w:type="character" w:styleId="969">
    <w:name w:val="段1 Char"/>
    <w:next w:val="969"/>
    <w:link w:val="866"/>
    <w:qFormat/>
    <w:rPr>
      <w:rFonts w:ascii="宋体" w:eastAsia="宋体"/>
      <w:sz w:val="24"/>
      <w:lang w:val="en-US" w:eastAsia="zh-CN" w:bidi="ar-SA"/>
    </w:rPr>
  </w:style>
  <w:style w:type="character" w:styleId="970">
    <w:name w:val="chanpin拷贝"/>
    <w:basedOn w:val="876"/>
    <w:next w:val="970"/>
    <w:link w:val="866"/>
    <w:qFormat/>
  </w:style>
  <w:style w:type="character" w:styleId="971">
    <w:name w:val="纯文本 Char1"/>
    <w:next w:val="971"/>
    <w:link w:val="866"/>
    <w:qFormat/>
    <w:rPr>
      <w:rFonts w:ascii="宋体" w:hAnsi="Courier New" w:eastAsia="宋体"/>
      <w:sz w:val="21"/>
      <w:lang w:val="en-US" w:eastAsia="zh-CN" w:bidi="ar-SA"/>
    </w:rPr>
  </w:style>
  <w:style w:type="character" w:styleId="972">
    <w:name w:val="apple-style-span"/>
    <w:next w:val="972"/>
    <w:link w:val="866"/>
    <w:qFormat/>
    <w:rPr>
      <w:rFonts w:cs="Times New Roman"/>
    </w:rPr>
  </w:style>
  <w:style w:type="paragraph" w:styleId="973">
    <w:name w:val="二级条标题"/>
    <w:basedOn w:val="974"/>
    <w:next w:val="866"/>
    <w:link w:val="866"/>
    <w:qFormat/>
    <w:pPr>
      <w:numPr>
        <w:ilvl w:val="0"/>
        <w:numId w:val="0"/>
      </w:numPr>
      <w:ind w:hanging="840"/>
      <w:tabs>
        <w:tab w:val="left" w:pos="360" w:leader="none"/>
        <w:tab w:val="left" w:pos="840" w:leader="none"/>
      </w:tabs>
      <w:outlineLvl w:val="2"/>
    </w:pPr>
    <w:rPr>
      <w:rFonts w:ascii="宋体" w:eastAsia="宋体"/>
      <w:b w:val="0"/>
    </w:rPr>
  </w:style>
  <w:style w:type="paragraph" w:styleId="974">
    <w:name w:val="一级条标题"/>
    <w:basedOn w:val="975"/>
    <w:next w:val="866"/>
    <w:link w:val="866"/>
    <w:qFormat/>
    <w:pPr>
      <w:numPr>
        <w:ilvl w:val="1"/>
      </w:numPr>
      <w:ind w:left="0" w:hanging="840"/>
      <w:tabs>
        <w:tab w:val="left" w:pos="360" w:leader="none"/>
        <w:tab w:val="left" w:pos="840" w:leader="none"/>
      </w:tabs>
      <w:outlineLvl w:val="1"/>
    </w:pPr>
  </w:style>
  <w:style w:type="paragraph" w:styleId="975">
    <w:name w:val="章标题"/>
    <w:next w:val="866"/>
    <w:link w:val="86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6">
    <w:name w:val="font7"/>
    <w:basedOn w:val="866"/>
    <w:next w:val="976"/>
    <w:link w:val="866"/>
    <w:qFormat/>
    <w:pPr>
      <w:jc w:val="left"/>
      <w:spacing w:before="100" w:beforeAutospacing="1" w:after="100" w:afterAutospacing="1"/>
      <w:widowControl/>
    </w:pPr>
    <w:rPr>
      <w:rFonts w:eastAsia="Arial Unicode MS"/>
      <w:b/>
      <w:bCs/>
      <w:color w:val="000000"/>
      <w:sz w:val="20"/>
      <w:szCs w:val="20"/>
    </w:rPr>
  </w:style>
  <w:style w:type="paragraph" w:styleId="977">
    <w:name w:val="字元 字元"/>
    <w:basedOn w:val="866"/>
    <w:next w:val="977"/>
    <w:link w:val="866"/>
    <w:qFormat/>
    <w:rPr>
      <w:rFonts w:ascii="Tahoma" w:hAnsi="Tahoma"/>
      <w:sz w:val="24"/>
      <w:szCs w:val="20"/>
    </w:rPr>
  </w:style>
  <w:style w:type="paragraph" w:styleId="978">
    <w:name w:val="Char3 Char Char Char"/>
    <w:basedOn w:val="866"/>
    <w:next w:val="978"/>
    <w:link w:val="866"/>
    <w:qFormat/>
    <w:rPr>
      <w:rFonts w:ascii="Tahoma" w:hAnsi="Tahoma"/>
      <w:sz w:val="24"/>
      <w:szCs w:val="20"/>
    </w:rPr>
  </w:style>
  <w:style w:type="paragraph" w:styleId="979">
    <w:name w:val="font6"/>
    <w:basedOn w:val="866"/>
    <w:next w:val="979"/>
    <w:link w:val="866"/>
    <w:qFormat/>
    <w:pPr>
      <w:jc w:val="left"/>
      <w:spacing w:before="100" w:beforeAutospacing="1" w:after="100" w:afterAutospacing="1"/>
      <w:widowControl/>
    </w:pPr>
    <w:rPr>
      <w:rFonts w:ascii="宋体" w:hAnsi="宋体" w:cs="宋体"/>
      <w:sz w:val="20"/>
      <w:szCs w:val="20"/>
    </w:rPr>
  </w:style>
  <w:style w:type="paragraph" w:styleId="980">
    <w:name w:val="项目编号2"/>
    <w:basedOn w:val="981"/>
    <w:next w:val="980"/>
    <w:link w:val="866"/>
    <w:qFormat/>
    <w:pPr>
      <w:numPr>
        <w:numId w:val="3"/>
      </w:numPr>
    </w:pPr>
  </w:style>
  <w:style w:type="paragraph" w:styleId="981">
    <w:name w:val="项目编号1"/>
    <w:basedOn w:val="866"/>
    <w:next w:val="981"/>
    <w:link w:val="866"/>
    <w:qFormat/>
    <w:pPr>
      <w:numPr>
        <w:ilvl w:val="0"/>
        <w:numId w:val="2"/>
      </w:numPr>
      <w:spacing w:before="100" w:beforeAutospacing="1" w:after="100" w:afterAutospacing="1" w:line="360" w:lineRule="auto"/>
    </w:pPr>
    <w:rPr>
      <w:sz w:val="24"/>
    </w:rPr>
  </w:style>
  <w:style w:type="paragraph" w:styleId="982">
    <w:name w:val="图中文字"/>
    <w:basedOn w:val="866"/>
    <w:next w:val="982"/>
    <w:link w:val="866"/>
    <w:qFormat/>
    <w:pPr>
      <w:jc w:val="center"/>
      <w:spacing w:line="0" w:lineRule="atLeast"/>
    </w:pPr>
    <w:rPr>
      <w:sz w:val="24"/>
      <w:szCs w:val="20"/>
    </w:rPr>
  </w:style>
  <w:style w:type="paragraph" w:styleId="983">
    <w:name w:val="xl46"/>
    <w:basedOn w:val="866"/>
    <w:next w:val="983"/>
    <w:link w:val="86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4">
    <w:name w:val="xl25"/>
    <w:basedOn w:val="866"/>
    <w:next w:val="984"/>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5">
    <w:name w:val="Char2"/>
    <w:basedOn w:val="866"/>
    <w:next w:val="985"/>
    <w:link w:val="866"/>
    <w:qFormat/>
    <w:rPr>
      <w:rFonts w:ascii="Tahoma" w:hAnsi="Tahoma"/>
      <w:sz w:val="24"/>
      <w:szCs w:val="20"/>
    </w:rPr>
  </w:style>
  <w:style w:type="paragraph" w:styleId="986">
    <w:name w:val="xl35"/>
    <w:basedOn w:val="866"/>
    <w:next w:val="986"/>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xl40"/>
    <w:basedOn w:val="866"/>
    <w:next w:val="987"/>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8">
    <w:name w:val="xl52"/>
    <w:basedOn w:val="866"/>
    <w:next w:val="988"/>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9">
    <w:name w:val="xl43"/>
    <w:basedOn w:val="866"/>
    <w:next w:val="989"/>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0">
    <w:name w:val="background1"/>
    <w:basedOn w:val="866"/>
    <w:next w:val="990"/>
    <w:link w:val="866"/>
    <w:qFormat/>
    <w:pPr>
      <w:jc w:val="left"/>
      <w:spacing w:before="100" w:beforeAutospacing="1" w:after="100" w:afterAutospacing="1"/>
      <w:widowControl/>
    </w:pPr>
    <w:rPr>
      <w:rFonts w:ascii="宋体" w:hAnsi="宋体" w:cs="宋体"/>
      <w:sz w:val="24"/>
    </w:rPr>
  </w:style>
  <w:style w:type="paragraph" w:styleId="991">
    <w:name w:val="Char Char Char Char Char Char Char"/>
    <w:basedOn w:val="866"/>
    <w:next w:val="991"/>
    <w:link w:val="866"/>
    <w:qFormat/>
    <w:pPr>
      <w:ind w:firstLine="200"/>
      <w:spacing w:line="360" w:lineRule="auto"/>
    </w:pPr>
    <w:rPr>
      <w:rFonts w:eastAsia="仿宋_GB2312"/>
      <w:sz w:val="24"/>
    </w:rPr>
  </w:style>
  <w:style w:type="paragraph" w:styleId="992">
    <w:name w:val="xl38"/>
    <w:basedOn w:val="866"/>
    <w:next w:val="992"/>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3">
    <w:name w:val="xl36"/>
    <w:basedOn w:val="866"/>
    <w:next w:val="993"/>
    <w:link w:val="86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4">
    <w:name w:val="正文 + 宋体"/>
    <w:basedOn w:val="866"/>
    <w:next w:val="994"/>
    <w:link w:val="866"/>
    <w:qFormat/>
    <w:pPr>
      <w:ind w:left="360" w:hanging="360"/>
      <w:jc w:val="left"/>
      <w:widowControl/>
    </w:pPr>
    <w:rPr>
      <w:rFonts w:ascii="宋体" w:hAnsi="宋体" w:cs="宋体"/>
      <w:b/>
      <w:bCs/>
      <w:color w:val="000000"/>
      <w:sz w:val="18"/>
      <w:szCs w:val="18"/>
    </w:rPr>
  </w:style>
  <w:style w:type="paragraph" w:styleId="995">
    <w:name w:val="正文列项_数字"/>
    <w:basedOn w:val="866"/>
    <w:next w:val="995"/>
    <w:link w:val="866"/>
    <w:qFormat/>
    <w:pPr>
      <w:numPr>
        <w:ilvl w:val="7"/>
        <w:numId w:val="1"/>
      </w:numPr>
      <w:ind w:left="680" w:hanging="150"/>
      <w:spacing w:line="460" w:lineRule="exact"/>
      <w:tabs>
        <w:tab w:val="clear" w:pos="860" w:leader="none"/>
      </w:tabs>
      <w:outlineLvl w:val="7"/>
    </w:pPr>
    <w:rPr>
      <w:rFonts w:ascii="宋体"/>
      <w:sz w:val="28"/>
      <w:szCs w:val="20"/>
    </w:rPr>
  </w:style>
  <w:style w:type="paragraph" w:styleId="996">
    <w:name w:val="xl39"/>
    <w:basedOn w:val="866"/>
    <w:next w:val="996"/>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7">
    <w:name w:val="xl37"/>
    <w:basedOn w:val="866"/>
    <w:next w:val="997"/>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name w:val="xl32"/>
    <w:basedOn w:val="866"/>
    <w:next w:val="998"/>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9">
    <w:name w:val="font8"/>
    <w:basedOn w:val="866"/>
    <w:next w:val="999"/>
    <w:link w:val="866"/>
    <w:qFormat/>
    <w:pPr>
      <w:jc w:val="left"/>
      <w:spacing w:before="100" w:beforeAutospacing="1" w:after="100" w:afterAutospacing="1"/>
      <w:widowControl/>
    </w:pPr>
    <w:rPr>
      <w:sz w:val="36"/>
      <w:szCs w:val="36"/>
    </w:rPr>
  </w:style>
  <w:style w:type="paragraph" w:styleId="1000">
    <w:name w:val="Char"/>
    <w:basedOn w:val="866"/>
    <w:next w:val="1000"/>
    <w:link w:val="866"/>
    <w:qFormat/>
    <w:pPr>
      <w:tabs>
        <w:tab w:val="left" w:pos="360" w:leader="none"/>
      </w:tabs>
    </w:pPr>
    <w:rPr>
      <w:sz w:val="24"/>
    </w:rPr>
  </w:style>
  <w:style w:type="paragraph" w:styleId="1001">
    <w:name w:val="Char Char Char Char Char Char Char Char Char Char Char Char Char Char Char Char"/>
    <w:basedOn w:val="866"/>
    <w:next w:val="1001"/>
    <w:link w:val="866"/>
    <w:qFormat/>
    <w:pPr>
      <w:jc w:val="center"/>
      <w:spacing w:after="160" w:line="240" w:lineRule="exact"/>
      <w:widowControl/>
    </w:pPr>
    <w:rPr>
      <w:rFonts w:ascii="宋体" w:hAnsi="宋体"/>
      <w:b/>
      <w:sz w:val="30"/>
      <w:szCs w:val="30"/>
      <w:lang w:eastAsia="en-US"/>
    </w:rPr>
  </w:style>
  <w:style w:type="paragraph" w:styleId="1002">
    <w:name w:val="xl45"/>
    <w:basedOn w:val="866"/>
    <w:next w:val="1002"/>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3">
    <w:name w:val="Char Char1 Char Char Char Char Char Char"/>
    <w:basedOn w:val="866"/>
    <w:next w:val="1003"/>
    <w:link w:val="866"/>
    <w:qFormat/>
    <w:pPr>
      <w:jc w:val="left"/>
      <w:spacing w:after="160" w:line="240" w:lineRule="exact"/>
      <w:widowControl/>
    </w:pPr>
    <w:rPr>
      <w:rFonts w:ascii="Verdana" w:hAnsi="Verdana" w:eastAsia="仿宋_GB2312"/>
      <w:sz w:val="24"/>
      <w:szCs w:val="20"/>
      <w:lang w:eastAsia="en-US"/>
    </w:rPr>
  </w:style>
  <w:style w:type="paragraph" w:styleId="1004">
    <w:name w:val="Char Char1"/>
    <w:basedOn w:val="891"/>
    <w:next w:val="1004"/>
    <w:link w:val="866"/>
    <w:qFormat/>
    <w:rPr>
      <w:rFonts w:ascii="Tahoma" w:hAnsi="Tahoma"/>
      <w:sz w:val="24"/>
    </w:rPr>
  </w:style>
  <w:style w:type="paragraph" w:styleId="1005">
    <w:name w:val="xl26"/>
    <w:basedOn w:val="866"/>
    <w:next w:val="1005"/>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6">
    <w:name w:val="xl30"/>
    <w:basedOn w:val="866"/>
    <w:next w:val="1006"/>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7">
    <w:name w:val="xl41"/>
    <w:basedOn w:val="866"/>
    <w:next w:val="1007"/>
    <w:link w:val="86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8">
    <w:name w:val="样式 宋体 五号 行距: 单倍行距"/>
    <w:basedOn w:val="866"/>
    <w:next w:val="1008"/>
    <w:link w:val="866"/>
    <w:qFormat/>
    <w:pPr>
      <w:jc w:val="left"/>
    </w:pPr>
    <w:rPr>
      <w:rFonts w:ascii="宋体" w:hAnsi="宋体"/>
      <w:szCs w:val="20"/>
    </w:rPr>
  </w:style>
  <w:style w:type="paragraph" w:styleId="1009">
    <w:name w:val="Char1 Char Char Char1"/>
    <w:basedOn w:val="866"/>
    <w:next w:val="1009"/>
    <w:link w:val="866"/>
    <w:qFormat/>
    <w:rPr>
      <w:rFonts w:ascii="Tahoma" w:hAnsi="Tahoma" w:cs="仿宋_GB2312"/>
      <w:sz w:val="24"/>
      <w:szCs w:val="28"/>
    </w:rPr>
  </w:style>
  <w:style w:type="paragraph" w:styleId="1010">
    <w:name w:val="四级条标题"/>
    <w:basedOn w:val="1011"/>
    <w:next w:val="866"/>
    <w:link w:val="866"/>
    <w:qFormat/>
    <w:pPr>
      <w:numPr>
        <w:ilvl w:val="4"/>
      </w:numPr>
      <w:ind w:left="0" w:hanging="840"/>
      <w:tabs>
        <w:tab w:val="left" w:pos="360" w:leader="none"/>
        <w:tab w:val="left" w:pos="840" w:leader="none"/>
      </w:tabs>
      <w:outlineLvl w:val="4"/>
    </w:pPr>
  </w:style>
  <w:style w:type="paragraph" w:styleId="1011">
    <w:name w:val="三级条标题"/>
    <w:basedOn w:val="973"/>
    <w:next w:val="866"/>
    <w:link w:val="866"/>
    <w:qFormat/>
    <w:pPr>
      <w:numPr>
        <w:ilvl w:val="3"/>
        <w:numId w:val="1"/>
      </w:numPr>
      <w:ind w:left="0" w:hanging="840"/>
      <w:tabs>
        <w:tab w:val="left" w:pos="360" w:leader="none"/>
        <w:tab w:val="left" w:pos="840" w:leader="none"/>
      </w:tabs>
      <w:outlineLvl w:val="3"/>
    </w:pPr>
  </w:style>
  <w:style w:type="paragraph" w:styleId="1012">
    <w:name w:val="??"/>
    <w:next w:val="1012"/>
    <w:link w:val="866"/>
    <w:qFormat/>
    <w:pPr>
      <w:jc w:val="both"/>
      <w:widowControl w:val="off"/>
    </w:pPr>
    <w:rPr>
      <w:sz w:val="21"/>
      <w:lang w:val="en-US" w:eastAsia="en-US" w:bidi="ar-SA"/>
    </w:rPr>
  </w:style>
  <w:style w:type="paragraph" w:styleId="1013">
    <w:name w:val="样式 标题 2 + 宋体 五号 行距: 单倍行距"/>
    <w:basedOn w:val="868"/>
    <w:next w:val="1013"/>
    <w:link w:val="86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14">
    <w:name w:val="List Paragraph1"/>
    <w:basedOn w:val="866"/>
    <w:next w:val="1014"/>
    <w:link w:val="866"/>
    <w:qFormat/>
    <w:pPr>
      <w:ind w:firstLine="420"/>
    </w:pPr>
    <w:rPr>
      <w:rFonts w:ascii="Calibri" w:hAnsi="Calibri"/>
      <w:szCs w:val="22"/>
    </w:rPr>
  </w:style>
  <w:style w:type="paragraph" w:styleId="1015">
    <w:name w:val="项目符号1"/>
    <w:basedOn w:val="1016"/>
    <w:next w:val="1015"/>
    <w:link w:val="866"/>
    <w:qFormat/>
    <w:pPr>
      <w:ind w:left="-25" w:firstLine="0"/>
    </w:pPr>
  </w:style>
  <w:style w:type="paragraph" w:styleId="1016">
    <w:name w:val="正文文本样式"/>
    <w:basedOn w:val="866"/>
    <w:next w:val="1016"/>
    <w:link w:val="866"/>
    <w:qFormat/>
    <w:pPr>
      <w:ind w:firstLine="482"/>
      <w:spacing w:line="360" w:lineRule="auto"/>
    </w:pPr>
    <w:rPr>
      <w:rFonts w:cs="宋体"/>
      <w:sz w:val="24"/>
      <w:szCs w:val="20"/>
    </w:rPr>
  </w:style>
  <w:style w:type="paragraph" w:styleId="1017">
    <w:name w:val="xl27"/>
    <w:basedOn w:val="866"/>
    <w:next w:val="1017"/>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8">
    <w:name w:val="font5"/>
    <w:basedOn w:val="866"/>
    <w:next w:val="1018"/>
    <w:link w:val="866"/>
    <w:qFormat/>
    <w:pPr>
      <w:jc w:val="left"/>
      <w:spacing w:before="100" w:beforeAutospacing="1" w:after="100" w:afterAutospacing="1"/>
      <w:widowControl/>
    </w:pPr>
    <w:rPr>
      <w:rFonts w:ascii="宋体" w:hAnsi="宋体" w:cs="宋体"/>
      <w:sz w:val="18"/>
      <w:szCs w:val="18"/>
    </w:rPr>
  </w:style>
  <w:style w:type="paragraph" w:styleId="1019">
    <w:name w:val="五级条标题"/>
    <w:basedOn w:val="1010"/>
    <w:next w:val="866"/>
    <w:link w:val="866"/>
    <w:qFormat/>
    <w:pPr>
      <w:numPr>
        <w:ilvl w:val="5"/>
      </w:numPr>
      <w:ind w:left="0" w:hanging="840"/>
      <w:tabs>
        <w:tab w:val="left" w:pos="360" w:leader="none"/>
        <w:tab w:val="left" w:pos="840" w:leader="none"/>
      </w:tabs>
      <w:outlineLvl w:val="5"/>
    </w:pPr>
  </w:style>
  <w:style w:type="paragraph" w:styleId="1020">
    <w:name w:val="xl49"/>
    <w:basedOn w:val="866"/>
    <w:next w:val="1020"/>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21">
    <w:name w:val="文档正文"/>
    <w:basedOn w:val="866"/>
    <w:next w:val="1021"/>
    <w:link w:val="866"/>
    <w:qFormat/>
    <w:pPr>
      <w:spacing w:before="120" w:after="120" w:line="180" w:lineRule="auto"/>
    </w:pPr>
    <w:rPr>
      <w:rFonts w:ascii="Arial" w:hAnsi="Arial"/>
      <w:szCs w:val="20"/>
    </w:rPr>
  </w:style>
  <w:style w:type="paragraph" w:styleId="1022">
    <w:name w:val="xl33"/>
    <w:basedOn w:val="866"/>
    <w:next w:val="1022"/>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42"/>
    <w:basedOn w:val="866"/>
    <w:next w:val="1023"/>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4">
    <w:name w:val="Char Char Char1 Char"/>
    <w:basedOn w:val="866"/>
    <w:next w:val="1024"/>
    <w:link w:val="866"/>
    <w:qFormat/>
    <w:rPr>
      <w:rFonts w:ascii="Tahoma" w:hAnsi="Tahoma"/>
      <w:sz w:val="24"/>
      <w:szCs w:val="20"/>
    </w:rPr>
  </w:style>
  <w:style w:type="paragraph" w:styleId="1025">
    <w:name w:val="xl44"/>
    <w:basedOn w:val="866"/>
    <w:next w:val="1025"/>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6">
    <w:name w:val="1名"/>
    <w:basedOn w:val="866"/>
    <w:next w:val="1026"/>
    <w:link w:val="866"/>
    <w:qFormat/>
    <w:pPr>
      <w:numPr>
        <w:ilvl w:val="0"/>
        <w:numId w:val="5"/>
      </w:numPr>
      <w:spacing w:before="120"/>
      <w:tabs>
        <w:tab w:val="left" w:pos="360" w:leader="none"/>
      </w:tabs>
    </w:pPr>
    <w:rPr>
      <w:rFonts w:ascii="宋体"/>
      <w:sz w:val="28"/>
      <w:szCs w:val="20"/>
    </w:rPr>
  </w:style>
  <w:style w:type="paragraph" w:styleId="1027">
    <w:name w:val="font9"/>
    <w:basedOn w:val="866"/>
    <w:next w:val="1027"/>
    <w:link w:val="866"/>
    <w:qFormat/>
    <w:pPr>
      <w:jc w:val="left"/>
      <w:spacing w:before="100" w:beforeAutospacing="1" w:after="100" w:afterAutospacing="1"/>
      <w:widowControl/>
    </w:pPr>
    <w:rPr>
      <w:rFonts w:hint="eastAsia" w:ascii="宋体" w:hAnsi="宋体" w:cs="Arial Unicode MS"/>
      <w:color w:val="000000"/>
      <w:sz w:val="20"/>
      <w:szCs w:val="20"/>
    </w:rPr>
  </w:style>
  <w:style w:type="paragraph" w:styleId="1028">
    <w:name w:val="Char Char Char1 Char1"/>
    <w:basedOn w:val="866"/>
    <w:next w:val="1028"/>
    <w:link w:val="866"/>
    <w:qFormat/>
    <w:rPr>
      <w:rFonts w:ascii="Tahoma" w:hAnsi="Tahoma"/>
      <w:sz w:val="24"/>
      <w:szCs w:val="20"/>
    </w:rPr>
  </w:style>
  <w:style w:type="paragraph" w:styleId="1029">
    <w:name w:val="Char Char Char Char Char Char Char Char Char Char"/>
    <w:basedOn w:val="866"/>
    <w:next w:val="1029"/>
    <w:link w:val="866"/>
    <w:qFormat/>
  </w:style>
  <w:style w:type="paragraph" w:styleId="1030">
    <w:name w:val="Char Char1 Char Char Char Char Char Char Char Char"/>
    <w:basedOn w:val="866"/>
    <w:next w:val="1030"/>
    <w:link w:val="866"/>
    <w:qFormat/>
    <w:pPr>
      <w:jc w:val="left"/>
      <w:spacing w:after="160" w:line="240" w:lineRule="exact"/>
      <w:widowControl/>
    </w:pPr>
    <w:rPr>
      <w:rFonts w:ascii="Verdana" w:hAnsi="Verdana"/>
      <w:sz w:val="20"/>
      <w:szCs w:val="20"/>
      <w:lang w:eastAsia="en-US"/>
    </w:rPr>
  </w:style>
  <w:style w:type="paragraph" w:styleId="1031">
    <w:name w:val="Char1"/>
    <w:basedOn w:val="866"/>
    <w:next w:val="1031"/>
    <w:link w:val="866"/>
    <w:qFormat/>
    <w:pPr>
      <w:tabs>
        <w:tab w:val="left" w:pos="360" w:leader="none"/>
      </w:tabs>
    </w:pPr>
    <w:rPr>
      <w:sz w:val="24"/>
    </w:rPr>
  </w:style>
  <w:style w:type="paragraph" w:styleId="1032">
    <w:name w:val="正文列项_字母"/>
    <w:basedOn w:val="866"/>
    <w:next w:val="1032"/>
    <w:link w:val="866"/>
    <w:qFormat/>
    <w:pPr>
      <w:numPr>
        <w:ilvl w:val="6"/>
        <w:numId w:val="1"/>
      </w:numPr>
      <w:ind w:left="480" w:hanging="180"/>
      <w:spacing w:line="460" w:lineRule="exact"/>
      <w:tabs>
        <w:tab w:val="clear" w:pos="635" w:leader="none"/>
      </w:tabs>
      <w:outlineLvl w:val="6"/>
    </w:pPr>
    <w:rPr>
      <w:rFonts w:ascii="宋体"/>
      <w:sz w:val="28"/>
      <w:szCs w:val="20"/>
    </w:rPr>
  </w:style>
  <w:style w:type="paragraph" w:styleId="1033">
    <w:name w:val="xl28"/>
    <w:basedOn w:val="866"/>
    <w:next w:val="1033"/>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name w:val="xl47"/>
    <w:basedOn w:val="866"/>
    <w:next w:val="1034"/>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name w:val="默认段落字体 Para Char Char Char Char"/>
    <w:basedOn w:val="866"/>
    <w:next w:val="1035"/>
    <w:link w:val="866"/>
    <w:qFormat/>
    <w:rPr>
      <w:rFonts w:ascii="Arial" w:hAnsi="Arial" w:cs="Arial"/>
      <w:szCs w:val="21"/>
    </w:rPr>
  </w:style>
  <w:style w:type="paragraph" w:styleId="1036">
    <w:name w:val="xl48"/>
    <w:basedOn w:val="866"/>
    <w:next w:val="1036"/>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7">
    <w:name w:val="xl31"/>
    <w:basedOn w:val="866"/>
    <w:next w:val="1037"/>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8">
    <w:name w:val="xl53"/>
    <w:basedOn w:val="866"/>
    <w:next w:val="1038"/>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9">
    <w:name w:val="Char Char Char"/>
    <w:basedOn w:val="866"/>
    <w:next w:val="1039"/>
    <w:link w:val="866"/>
    <w:qFormat/>
    <w:rPr>
      <w:rFonts w:ascii="Tahoma" w:hAnsi="Tahoma"/>
      <w:sz w:val="24"/>
      <w:szCs w:val="20"/>
    </w:rPr>
  </w:style>
  <w:style w:type="paragraph" w:styleId="1040">
    <w:name w:val="xl50"/>
    <w:basedOn w:val="866"/>
    <w:next w:val="1040"/>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41">
    <w:name w:val="缺省文本"/>
    <w:basedOn w:val="866"/>
    <w:next w:val="1041"/>
    <w:link w:val="866"/>
    <w:qFormat/>
    <w:pPr>
      <w:jc w:val="left"/>
    </w:pPr>
    <w:rPr>
      <w:sz w:val="24"/>
    </w:rPr>
  </w:style>
  <w:style w:type="paragraph" w:styleId="1042">
    <w:name w:val="Char Char Char1"/>
    <w:basedOn w:val="866"/>
    <w:next w:val="1042"/>
    <w:link w:val="866"/>
    <w:qFormat/>
    <w:rPr>
      <w:rFonts w:ascii="Tahoma" w:hAnsi="Tahoma"/>
      <w:sz w:val="24"/>
      <w:szCs w:val="20"/>
    </w:rPr>
  </w:style>
  <w:style w:type="paragraph" w:styleId="1043">
    <w:name w:val="Char Char Char Char Char Char Char1"/>
    <w:basedOn w:val="866"/>
    <w:next w:val="1043"/>
    <w:link w:val="866"/>
    <w:qFormat/>
    <w:pPr>
      <w:ind w:firstLine="200"/>
      <w:spacing w:line="360" w:lineRule="auto"/>
    </w:pPr>
    <w:rPr>
      <w:rFonts w:eastAsia="仿宋_GB2312"/>
      <w:sz w:val="24"/>
    </w:rPr>
  </w:style>
  <w:style w:type="paragraph" w:styleId="1044">
    <w:name w:val="xl51"/>
    <w:basedOn w:val="866"/>
    <w:next w:val="1044"/>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样式2"/>
    <w:basedOn w:val="929"/>
    <w:next w:val="1045"/>
    <w:link w:val="866"/>
    <w:qFormat/>
    <w:pPr>
      <w:jc w:val="center"/>
      <w:spacing w:line="360" w:lineRule="auto"/>
    </w:pPr>
    <w:rPr>
      <w:sz w:val="24"/>
    </w:rPr>
  </w:style>
  <w:style w:type="paragraph" w:styleId="1046">
    <w:name w:val="xl24"/>
    <w:basedOn w:val="866"/>
    <w:next w:val="1046"/>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7">
    <w:name w:val="xl29"/>
    <w:basedOn w:val="866"/>
    <w:next w:val="1047"/>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8">
    <w:name w:val="正文 + 楷体_GB2312"/>
    <w:basedOn w:val="866"/>
    <w:next w:val="1048"/>
    <w:link w:val="866"/>
    <w:qFormat/>
    <w:pPr>
      <w:jc w:val="left"/>
      <w:widowControl/>
    </w:pPr>
    <w:rPr>
      <w:rFonts w:ascii="楷体_GB2312" w:eastAsia="楷体_GB2312" w:cs="Arial"/>
      <w:sz w:val="24"/>
    </w:rPr>
  </w:style>
  <w:style w:type="paragraph" w:styleId="1049">
    <w:name w:val="xl34"/>
    <w:basedOn w:val="866"/>
    <w:next w:val="1049"/>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50">
    <w:name w:val="1 Char Char Char Char"/>
    <w:basedOn w:val="866"/>
    <w:next w:val="1050"/>
    <w:link w:val="866"/>
    <w:qFormat/>
    <w:rPr>
      <w:rFonts w:ascii="Tahoma" w:hAnsi="Tahoma"/>
      <w:sz w:val="24"/>
      <w:szCs w:val="20"/>
    </w:rPr>
  </w:style>
  <w:style w:type="paragraph" w:styleId="1051">
    <w:name w:val="列出段落1"/>
    <w:basedOn w:val="866"/>
    <w:next w:val="1051"/>
    <w:link w:val="866"/>
    <w:qFormat/>
    <w:pPr>
      <w:ind w:firstLine="420"/>
    </w:pPr>
    <w:rPr>
      <w:rFonts w:ascii="Calibri" w:hAnsi="Calibri"/>
      <w:szCs w:val="22"/>
    </w:rPr>
  </w:style>
  <w:style w:type="paragraph" w:styleId="1052">
    <w:name w:val="default"/>
    <w:basedOn w:val="866"/>
    <w:next w:val="1052"/>
    <w:link w:val="866"/>
    <w:qFormat/>
    <w:pPr>
      <w:jc w:val="left"/>
      <w:spacing w:before="100" w:beforeAutospacing="1" w:after="100" w:afterAutospacing="1"/>
      <w:widowControl/>
    </w:pPr>
    <w:rPr>
      <w:rFonts w:ascii="宋体" w:hAnsi="宋体" w:cs="宋体"/>
      <w:sz w:val="24"/>
    </w:rPr>
  </w:style>
  <w:style w:type="paragraph" w:styleId="1053">
    <w:name w:val="字元 字元1"/>
    <w:basedOn w:val="866"/>
    <w:next w:val="1053"/>
    <w:link w:val="866"/>
    <w:qFormat/>
    <w:rPr>
      <w:rFonts w:ascii="Tahoma" w:hAnsi="Tahoma"/>
      <w:sz w:val="24"/>
      <w:szCs w:val="20"/>
    </w:rPr>
  </w:style>
  <w:style w:type="paragraph" w:styleId="1054">
    <w:name w:val="_Style 160"/>
    <w:next w:val="1054"/>
    <w:link w:val="866"/>
    <w:qFormat/>
    <w:rPr>
      <w:sz w:val="21"/>
      <w:szCs w:val="24"/>
      <w:lang w:val="en-US" w:eastAsia="zh-CN" w:bidi="ar-SA"/>
    </w:rPr>
  </w:style>
  <w:style w:type="paragraph" w:styleId="1055">
    <w:name w:val="项目编号3"/>
    <w:basedOn w:val="1016"/>
    <w:next w:val="1055"/>
    <w:link w:val="866"/>
    <w:qFormat/>
    <w:pPr>
      <w:numPr>
        <w:ilvl w:val="0"/>
        <w:numId w:val="6"/>
      </w:numPr>
    </w:pPr>
  </w:style>
  <w:style w:type="paragraph" w:styleId="1056">
    <w:name w:val="Char21"/>
    <w:basedOn w:val="866"/>
    <w:next w:val="1056"/>
    <w:link w:val="866"/>
    <w:qFormat/>
    <w:rPr>
      <w:rFonts w:ascii="Tahoma" w:hAnsi="Tahoma"/>
      <w:sz w:val="24"/>
      <w:szCs w:val="20"/>
    </w:rPr>
  </w:style>
  <w:style w:type="paragraph" w:styleId="1057">
    <w:name w:val="表格文字"/>
    <w:basedOn w:val="900"/>
    <w:next w:val="1057"/>
    <w:link w:val="866"/>
    <w:qFormat/>
    <w:pPr>
      <w:ind w:firstLine="0"/>
      <w:spacing w:before="20" w:after="20" w:line="240" w:lineRule="auto"/>
    </w:pPr>
    <w:rPr>
      <w:rFonts w:ascii="Century Gothic" w:hAnsi="Century Gothic"/>
      <w:sz w:val="20"/>
      <w:szCs w:val="20"/>
    </w:rPr>
  </w:style>
  <w:style w:type="paragraph" w:styleId="1058">
    <w:name w:val="Char Char Char Char Char Char Char Char Char Char1"/>
    <w:basedOn w:val="866"/>
    <w:next w:val="1058"/>
    <w:link w:val="866"/>
    <w:qFormat/>
    <w:rPr>
      <w:rFonts w:ascii="宋体" w:hAnsi="宋体" w:cs="Courier New"/>
      <w:sz w:val="32"/>
      <w:szCs w:val="32"/>
    </w:rPr>
  </w:style>
  <w:style w:type="paragraph" w:styleId="1059">
    <w:name w:val="正文文本样式 加粗"/>
    <w:basedOn w:val="1016"/>
    <w:next w:val="1059"/>
    <w:link w:val="866"/>
    <w:qFormat/>
    <w:rPr>
      <w:b/>
    </w:rPr>
  </w:style>
  <w:style w:type="paragraph" w:styleId="1060">
    <w:name w:val="Char2 Char Char Char Char Char Char"/>
    <w:basedOn w:val="866"/>
    <w:next w:val="1060"/>
    <w:link w:val="866"/>
    <w:qFormat/>
    <w:pPr>
      <w:jc w:val="center"/>
      <w:spacing w:line="400" w:lineRule="exact"/>
      <w:widowControl/>
    </w:pPr>
  </w:style>
  <w:style w:type="paragraph" w:styleId="1061">
    <w:name w:val="Char Char4"/>
    <w:basedOn w:val="866"/>
    <w:next w:val="1061"/>
    <w:link w:val="866"/>
    <w:qFormat/>
    <w:pPr>
      <w:jc w:val="center"/>
      <w:spacing w:line="400" w:lineRule="exact"/>
      <w:widowControl/>
    </w:pPr>
  </w:style>
  <w:style w:type="paragraph" w:styleId="1062">
    <w:name w:val="Char3 Char Char Char1"/>
    <w:basedOn w:val="866"/>
    <w:next w:val="1062"/>
    <w:link w:val="866"/>
    <w:qFormat/>
    <w:rPr>
      <w:rFonts w:ascii="Tahoma" w:hAnsi="Tahoma"/>
      <w:sz w:val="24"/>
      <w:szCs w:val="20"/>
    </w:rPr>
  </w:style>
  <w:style w:type="paragraph" w:styleId="1063">
    <w:name w:val="无间隔"/>
    <w:next w:val="1063"/>
    <w:link w:val="866"/>
    <w:qFormat/>
    <w:pPr>
      <w:jc w:val="both"/>
      <w:widowControl w:val="off"/>
    </w:pPr>
    <w:rPr>
      <w:sz w:val="21"/>
      <w:szCs w:val="24"/>
      <w:lang w:val="en-US" w:eastAsia="zh-CN" w:bidi="ar-SA"/>
    </w:rPr>
  </w:style>
  <w:style w:type="paragraph" w:styleId="1064">
    <w:name w:val="22222222222222"/>
    <w:basedOn w:val="866"/>
    <w:next w:val="1064"/>
    <w:link w:val="866"/>
    <w:qFormat/>
    <w:pPr>
      <w:ind w:firstLine="480"/>
      <w:jc w:val="left"/>
      <w:spacing w:line="360" w:lineRule="auto"/>
      <w:widowControl/>
    </w:pPr>
    <w:rPr>
      <w:color w:val="ff0000"/>
      <w:sz w:val="24"/>
      <w:szCs w:val="20"/>
    </w:rPr>
  </w:style>
  <w:style w:type="character" w:styleId="1065">
    <w:name w:val="中等深浅网格 1 - 强调文字颜色 2 Char"/>
    <w:next w:val="1065"/>
    <w:link w:val="1066"/>
    <w:qFormat/>
    <w:rPr>
      <w:sz w:val="21"/>
      <w:szCs w:val="24"/>
      <w:lang w:val="zh-CN" w:eastAsia="zh-CN" w:bidi="ar-SA"/>
    </w:rPr>
  </w:style>
  <w:style w:type="paragraph" w:styleId="1066">
    <w:name w:val="1"/>
    <w:next w:val="1066"/>
    <w:link w:val="1065"/>
    <w:qFormat/>
    <w:rPr>
      <w:sz w:val="21"/>
      <w:szCs w:val="24"/>
      <w:lang w:val="zh-CN" w:eastAsia="zh-CN" w:bidi="ar-SA"/>
    </w:rPr>
  </w:style>
  <w:style w:type="paragraph" w:styleId="1067">
    <w:name w:val="图文"/>
    <w:basedOn w:val="866"/>
    <w:next w:val="1067"/>
    <w:link w:val="866"/>
    <w:qFormat/>
    <w:pPr>
      <w:spacing w:after="50" w:line="360" w:lineRule="auto"/>
    </w:pPr>
    <w:rPr>
      <w:sz w:val="24"/>
    </w:rPr>
  </w:style>
  <w:style w:type="paragraph" w:styleId="1068">
    <w:name w:val="xl23"/>
    <w:basedOn w:val="866"/>
    <w:next w:val="1068"/>
    <w:link w:val="866"/>
    <w:qFormat/>
    <w:pPr>
      <w:spacing w:before="100" w:beforeAutospacing="1" w:after="100" w:afterAutospacing="1" w:line="360" w:lineRule="auto"/>
      <w:widowControl/>
    </w:pPr>
    <w:rPr>
      <w:sz w:val="24"/>
      <w:szCs w:val="20"/>
    </w:rPr>
  </w:style>
  <w:style w:type="paragraph" w:styleId="1069">
    <w:name w:val="正文表格"/>
    <w:basedOn w:val="866"/>
    <w:next w:val="1069"/>
    <w:link w:val="1070"/>
    <w:qFormat/>
    <w:pPr>
      <w:jc w:val="left"/>
    </w:pPr>
    <w:rPr>
      <w:rFonts w:ascii="宋体" w:hAnsi="宋体"/>
      <w:color w:val="000000"/>
      <w:szCs w:val="21"/>
    </w:rPr>
  </w:style>
  <w:style w:type="character" w:styleId="1070">
    <w:name w:val="正文表格 Char"/>
    <w:next w:val="1070"/>
    <w:link w:val="1069"/>
    <w:qFormat/>
    <w:rPr>
      <w:rFonts w:ascii="宋体" w:hAnsi="宋体"/>
      <w:color w:val="000000"/>
      <w:sz w:val="21"/>
      <w:szCs w:val="21"/>
    </w:rPr>
  </w:style>
  <w:style w:type="paragraph" w:styleId="1071">
    <w:name w:val="正文重点"/>
    <w:basedOn w:val="866"/>
    <w:next w:val="1071"/>
    <w:link w:val="1072"/>
    <w:qFormat/>
    <w:pPr>
      <w:ind w:firstLine="482"/>
      <w:jc w:val="left"/>
      <w:spacing w:line="360" w:lineRule="auto"/>
    </w:pPr>
    <w:rPr>
      <w:b/>
      <w:sz w:val="24"/>
      <w:szCs w:val="20"/>
    </w:rPr>
  </w:style>
  <w:style w:type="character" w:styleId="1072">
    <w:name w:val="正文重点 Char"/>
    <w:next w:val="1072"/>
    <w:link w:val="1071"/>
    <w:qFormat/>
    <w:rPr>
      <w:b/>
      <w:sz w:val="24"/>
    </w:rPr>
  </w:style>
  <w:style w:type="paragraph" w:styleId="1073">
    <w:name w:val="标题1-附件"/>
    <w:basedOn w:val="867"/>
    <w:next w:val="1073"/>
    <w:link w:val="866"/>
    <w:qFormat/>
    <w:pPr>
      <w:jc w:val="left"/>
    </w:pPr>
    <w:rPr>
      <w:sz w:val="24"/>
      <w:szCs w:val="24"/>
    </w:rPr>
  </w:style>
  <w:style w:type="paragraph" w:styleId="1074">
    <w:name w:val="正文小标题"/>
    <w:basedOn w:val="866"/>
    <w:next w:val="888"/>
    <w:link w:val="1075"/>
    <w:qFormat/>
    <w:pPr>
      <w:ind w:firstLine="482"/>
      <w:jc w:val="left"/>
      <w:spacing w:before="312" w:after="312"/>
    </w:pPr>
    <w:rPr>
      <w:rFonts w:ascii="宋体" w:hAnsi="宋体"/>
      <w:b/>
      <w:i/>
      <w:color w:val="ff0000"/>
      <w:sz w:val="24"/>
      <w:szCs w:val="20"/>
    </w:rPr>
  </w:style>
  <w:style w:type="character" w:styleId="1075">
    <w:name w:val="正文小标题 Char"/>
    <w:next w:val="1075"/>
    <w:link w:val="1074"/>
    <w:qFormat/>
    <w:rPr>
      <w:rFonts w:ascii="宋体" w:hAnsi="宋体"/>
      <w:b/>
      <w:i/>
      <w:color w:val="ff0000"/>
      <w:sz w:val="24"/>
    </w:rPr>
  </w:style>
  <w:style w:type="paragraph" w:styleId="1076">
    <w:name w:val="正文大标题"/>
    <w:basedOn w:val="1074"/>
    <w:next w:val="888"/>
    <w:link w:val="1077"/>
    <w:qFormat/>
    <w:pPr>
      <w:jc w:val="center"/>
    </w:pPr>
    <w:rPr>
      <w:i w:val="0"/>
      <w:color w:val="000000"/>
      <w:sz w:val="28"/>
      <w:szCs w:val="21"/>
    </w:rPr>
  </w:style>
  <w:style w:type="character" w:styleId="1077">
    <w:name w:val="正文大标题 Char"/>
    <w:next w:val="1077"/>
    <w:link w:val="1076"/>
    <w:qFormat/>
    <w:rPr>
      <w:rFonts w:ascii="宋体" w:hAnsi="宋体"/>
      <w:b/>
      <w:color w:val="000000"/>
      <w:sz w:val="28"/>
      <w:szCs w:val="21"/>
    </w:rPr>
  </w:style>
  <w:style w:type="paragraph" w:styleId="1078">
    <w:name w:val="注释"/>
    <w:basedOn w:val="866"/>
    <w:next w:val="1078"/>
    <w:link w:val="1079"/>
    <w:qFormat/>
    <w:pPr>
      <w:ind w:left="420" w:hanging="420"/>
      <w:jc w:val="left"/>
    </w:pPr>
    <w:rPr>
      <w:rFonts w:ascii="宋体" w:hAnsi="宋体"/>
      <w:szCs w:val="21"/>
    </w:rPr>
  </w:style>
  <w:style w:type="character" w:styleId="1079">
    <w:name w:val="注释 Char"/>
    <w:next w:val="1079"/>
    <w:link w:val="1078"/>
    <w:qFormat/>
    <w:rPr>
      <w:rFonts w:ascii="宋体" w:hAnsi="宋体"/>
      <w:sz w:val="21"/>
      <w:szCs w:val="21"/>
    </w:rPr>
  </w:style>
  <w:style w:type="paragraph" w:styleId="1080">
    <w:name w:val="正文须知-1级"/>
    <w:basedOn w:val="866"/>
    <w:next w:val="866"/>
    <w:link w:val="866"/>
    <w:qFormat/>
    <w:pPr>
      <w:numPr>
        <w:ilvl w:val="0"/>
        <w:numId w:val="7"/>
      </w:numPr>
      <w:spacing w:line="300" w:lineRule="auto"/>
    </w:pPr>
    <w:rPr>
      <w:rFonts w:ascii="宋体" w:hAnsi="Calibri"/>
      <w:sz w:val="24"/>
      <w:szCs w:val="21"/>
    </w:rPr>
  </w:style>
  <w:style w:type="paragraph" w:styleId="1081">
    <w:name w:val="正文须知-2级"/>
    <w:basedOn w:val="866"/>
    <w:next w:val="1081"/>
    <w:link w:val="866"/>
    <w:qFormat/>
    <w:pPr>
      <w:numPr>
        <w:ilvl w:val="1"/>
        <w:numId w:val="7"/>
      </w:numPr>
      <w:spacing w:line="300" w:lineRule="auto"/>
    </w:pPr>
    <w:rPr>
      <w:rFonts w:ascii="宋体" w:hAnsi="Calibri"/>
      <w:sz w:val="24"/>
      <w:szCs w:val="21"/>
    </w:rPr>
  </w:style>
  <w:style w:type="paragraph" w:styleId="1082">
    <w:name w:val="正文须知-3级"/>
    <w:basedOn w:val="866"/>
    <w:next w:val="1082"/>
    <w:link w:val="866"/>
    <w:qFormat/>
    <w:pPr>
      <w:numPr>
        <w:ilvl w:val="2"/>
        <w:numId w:val="7"/>
      </w:numPr>
      <w:ind w:hanging="355"/>
      <w:spacing w:line="300" w:lineRule="auto"/>
    </w:pPr>
    <w:rPr>
      <w:rFonts w:ascii="宋体" w:hAnsi="Calibri"/>
      <w:sz w:val="24"/>
      <w:szCs w:val="21"/>
    </w:rPr>
  </w:style>
  <w:style w:type="character" w:styleId="1083">
    <w:name w:val="纯文本 字符"/>
    <w:next w:val="1083"/>
    <w:link w:val="866"/>
    <w:uiPriority w:val="99"/>
    <w:qFormat/>
    <w:rPr>
      <w:rFonts w:ascii="宋体" w:hAnsi="Courier New" w:eastAsia="宋体" w:cs="Times New Roman"/>
      <w:sz w:val="21"/>
      <w:szCs w:val="21"/>
      <w:lang w:val="en-US" w:eastAsia="zh-CN" w:bidi="ar-SA"/>
    </w:rPr>
  </w:style>
  <w:style w:type="paragraph" w:styleId="1084">
    <w:name w:val="表格1"/>
    <w:basedOn w:val="866"/>
    <w:next w:val="1084"/>
    <w:link w:val="866"/>
    <w:qFormat/>
    <w:pPr>
      <w:ind w:firstLine="480"/>
      <w:jc w:val="center"/>
    </w:pPr>
    <w:rPr>
      <w:sz w:val="24"/>
      <w:szCs w:val="20"/>
    </w:rPr>
  </w:style>
  <w:style w:type="character" w:styleId="1085">
    <w:name w:val="纯文本 字符1"/>
    <w:next w:val="1085"/>
    <w:link w:val="866"/>
    <w:qFormat/>
    <w:rPr>
      <w:rFonts w:ascii="宋体" w:hAnsi="Courier New"/>
    </w:rPr>
  </w:style>
  <w:style w:type="character" w:styleId="1086">
    <w:name w:val="bjh-p"/>
    <w:next w:val="1086"/>
    <w:link w:val="866"/>
    <w:qFormat/>
  </w:style>
  <w:style w:type="paragraph" w:styleId="1087">
    <w:name w:val="无标题条"/>
    <w:next w:val="866"/>
    <w:link w:val="866"/>
    <w:qFormat/>
    <w:pPr>
      <w:jc w:val="both"/>
    </w:pPr>
    <w:rPr>
      <w:sz w:val="21"/>
      <w:lang w:val="en-US" w:eastAsia="zh-CN" w:bidi="ar-SA"/>
    </w:rPr>
  </w:style>
  <w:style w:type="character" w:styleId="1088">
    <w:name w:val="正文格式 Char"/>
    <w:next w:val="1088"/>
    <w:link w:val="1089"/>
    <w:qFormat/>
    <w:rPr>
      <w:rFonts w:ascii="宋体" w:hAnsi="宋体"/>
      <w:sz w:val="24"/>
      <w:szCs w:val="24"/>
      <w:lang w:val="en-GB"/>
    </w:rPr>
  </w:style>
  <w:style w:type="paragraph" w:styleId="1089">
    <w:name w:val="正文格式"/>
    <w:basedOn w:val="866"/>
    <w:next w:val="1089"/>
    <w:link w:val="1088"/>
    <w:qFormat/>
    <w:pPr>
      <w:ind w:firstLine="480"/>
      <w:spacing w:line="360" w:lineRule="auto"/>
    </w:pPr>
    <w:rPr>
      <w:rFonts w:ascii="宋体" w:hAnsi="宋体"/>
      <w:sz w:val="24"/>
      <w:lang w:val="en-GB"/>
    </w:rPr>
  </w:style>
  <w:style w:type="character" w:styleId="1090">
    <w:name w:val="正文缩进 Char"/>
    <w:next w:val="1090"/>
    <w:link w:val="866"/>
    <w:qFormat/>
    <w:rPr>
      <w:rFonts w:ascii="宋体" w:eastAsia="宋体"/>
      <w:sz w:val="24"/>
      <w:szCs w:val="24"/>
      <w:lang w:val="en-US" w:eastAsia="zh-CN" w:bidi="ar-SA"/>
    </w:rPr>
  </w:style>
  <w:style w:type="character" w:styleId="1091">
    <w:name w:val="Char Char111"/>
    <w:next w:val="1091"/>
    <w:link w:val="866"/>
    <w:qFormat/>
    <w:rPr>
      <w:rFonts w:ascii="宋体" w:eastAsia="宋体"/>
      <w:b/>
      <w:sz w:val="24"/>
      <w:u w:val="single"/>
      <w:lang w:val="en-US" w:eastAsia="zh-CN" w:bidi="ar-SA"/>
    </w:rPr>
  </w:style>
  <w:style w:type="character" w:styleId="1092">
    <w:name w:val="正文文本缩进 Char"/>
    <w:next w:val="1092"/>
    <w:link w:val="866"/>
    <w:qFormat/>
    <w:rPr>
      <w:rFonts w:eastAsia="宋体"/>
      <w:sz w:val="24"/>
      <w:szCs w:val="24"/>
      <w:lang w:val="en-US" w:eastAsia="zh-CN" w:bidi="ar-SA"/>
    </w:rPr>
  </w:style>
  <w:style w:type="character" w:styleId="1093">
    <w:name w:val="列出段落 Char"/>
    <w:next w:val="1093"/>
    <w:link w:val="866"/>
    <w:qFormat/>
    <w:rPr>
      <w:rFonts w:ascii="Calibri" w:hAnsi="Calibri" w:eastAsia="宋体"/>
      <w:sz w:val="21"/>
      <w:szCs w:val="22"/>
      <w:lang w:val="en-US" w:eastAsia="zh-CN" w:bidi="ar-SA"/>
    </w:rPr>
  </w:style>
  <w:style w:type="character" w:styleId="1094">
    <w:name w:val="页眉 Char"/>
    <w:next w:val="1094"/>
    <w:link w:val="866"/>
    <w:qFormat/>
    <w:rPr>
      <w:rFonts w:eastAsia="宋体"/>
      <w:sz w:val="18"/>
      <w:szCs w:val="18"/>
      <w:lang w:val="en-US" w:eastAsia="zh-CN" w:bidi="ar-SA"/>
    </w:rPr>
  </w:style>
  <w:style w:type="character" w:styleId="1095">
    <w:name w:val="标题 2 Char"/>
    <w:next w:val="1095"/>
    <w:link w:val="866"/>
    <w:qFormat/>
    <w:rPr>
      <w:rFonts w:ascii="Arial" w:hAnsi="Arial" w:eastAsia="黑体"/>
      <w:b/>
      <w:sz w:val="30"/>
      <w:lang w:val="en-US" w:eastAsia="zh-CN" w:bidi="ar-SA"/>
    </w:rPr>
  </w:style>
  <w:style w:type="paragraph" w:styleId="1096">
    <w:name w:val="字元 字元2"/>
    <w:basedOn w:val="866"/>
    <w:next w:val="1096"/>
    <w:link w:val="866"/>
    <w:qFormat/>
    <w:rPr>
      <w:rFonts w:ascii="Tahoma" w:hAnsi="Tahoma"/>
      <w:sz w:val="24"/>
      <w:szCs w:val="20"/>
    </w:rPr>
  </w:style>
  <w:style w:type="paragraph" w:styleId="1097">
    <w:name w:val="Char3 Char Char Char2"/>
    <w:basedOn w:val="866"/>
    <w:next w:val="1097"/>
    <w:link w:val="866"/>
    <w:qFormat/>
    <w:rPr>
      <w:rFonts w:ascii="Tahoma" w:hAnsi="Tahoma"/>
      <w:sz w:val="24"/>
      <w:szCs w:val="20"/>
    </w:rPr>
  </w:style>
  <w:style w:type="paragraph" w:styleId="1098">
    <w:name w:val="正文文本缩进2"/>
    <w:basedOn w:val="866"/>
    <w:next w:val="1098"/>
    <w:link w:val="866"/>
    <w:qFormat/>
    <w:pPr>
      <w:ind w:firstLine="480"/>
      <w:spacing w:line="480" w:lineRule="exact"/>
    </w:pPr>
    <w:rPr>
      <w:rFonts w:ascii="宋体" w:hAnsi="宋体"/>
      <w:sz w:val="24"/>
      <w:lang w:val="zh-CN" w:eastAsia="zh-CN"/>
    </w:rPr>
  </w:style>
  <w:style w:type="paragraph" w:styleId="1099">
    <w:name w:val="Char3"/>
    <w:basedOn w:val="866"/>
    <w:next w:val="1099"/>
    <w:link w:val="866"/>
    <w:qFormat/>
    <w:pPr>
      <w:tabs>
        <w:tab w:val="left" w:pos="360" w:leader="none"/>
      </w:tabs>
    </w:pPr>
    <w:rPr>
      <w:sz w:val="24"/>
    </w:rPr>
  </w:style>
  <w:style w:type="paragraph" w:styleId="1100">
    <w:name w:val="Char Char Char Char Char Char Char Char Char Char Char Char Char Char Char Char1"/>
    <w:basedOn w:val="866"/>
    <w:next w:val="1100"/>
    <w:link w:val="866"/>
    <w:qFormat/>
    <w:pPr>
      <w:jc w:val="center"/>
      <w:spacing w:after="160" w:line="240" w:lineRule="exact"/>
      <w:widowControl/>
    </w:pPr>
    <w:rPr>
      <w:rFonts w:ascii="宋体" w:hAnsi="宋体"/>
      <w:b/>
      <w:sz w:val="30"/>
      <w:szCs w:val="30"/>
      <w:lang w:eastAsia="en-US"/>
    </w:rPr>
  </w:style>
  <w:style w:type="paragraph" w:styleId="1101">
    <w:name w:val="Char Char1 Char Char Char Char Char Char1"/>
    <w:basedOn w:val="866"/>
    <w:next w:val="1101"/>
    <w:link w:val="866"/>
    <w:qFormat/>
    <w:pPr>
      <w:jc w:val="left"/>
      <w:spacing w:after="160" w:line="240" w:lineRule="exact"/>
      <w:widowControl/>
    </w:pPr>
    <w:rPr>
      <w:rFonts w:ascii="Verdana" w:hAnsi="Verdana" w:eastAsia="仿宋_GB2312"/>
      <w:sz w:val="24"/>
      <w:szCs w:val="20"/>
      <w:lang w:eastAsia="en-US"/>
    </w:rPr>
  </w:style>
  <w:style w:type="paragraph" w:styleId="1102">
    <w:name w:val="列出段落2"/>
    <w:basedOn w:val="866"/>
    <w:next w:val="1102"/>
    <w:link w:val="866"/>
    <w:qFormat/>
    <w:pPr>
      <w:ind w:firstLine="420"/>
    </w:pPr>
    <w:rPr>
      <w:rFonts w:ascii="Calibri" w:hAnsi="Calibri"/>
      <w:szCs w:val="22"/>
    </w:rPr>
  </w:style>
  <w:style w:type="paragraph" w:styleId="1103">
    <w:name w:val="Char Char Char1 Char2"/>
    <w:basedOn w:val="866"/>
    <w:next w:val="1103"/>
    <w:link w:val="866"/>
    <w:qFormat/>
    <w:rPr>
      <w:rFonts w:ascii="Tahoma" w:hAnsi="Tahoma"/>
      <w:sz w:val="24"/>
      <w:szCs w:val="20"/>
    </w:rPr>
  </w:style>
  <w:style w:type="paragraph" w:styleId="1104">
    <w:name w:val="Char Char Char2"/>
    <w:basedOn w:val="866"/>
    <w:next w:val="1104"/>
    <w:link w:val="866"/>
    <w:qFormat/>
    <w:rPr>
      <w:rFonts w:ascii="Tahoma" w:hAnsi="Tahoma"/>
      <w:sz w:val="24"/>
      <w:szCs w:val="20"/>
    </w:rPr>
  </w:style>
  <w:style w:type="paragraph" w:styleId="1105">
    <w:name w:val="Char Char Char Char Char Char Char2"/>
    <w:basedOn w:val="866"/>
    <w:next w:val="1105"/>
    <w:link w:val="866"/>
    <w:qFormat/>
    <w:pPr>
      <w:ind w:firstLine="200"/>
      <w:spacing w:line="360" w:lineRule="auto"/>
    </w:pPr>
    <w:rPr>
      <w:rFonts w:eastAsia="仿宋_GB2312"/>
      <w:sz w:val="24"/>
    </w:rPr>
  </w:style>
  <w:style w:type="paragraph" w:styleId="1106">
    <w:name w:val="正文缩进2"/>
    <w:basedOn w:val="866"/>
    <w:next w:val="1106"/>
    <w:link w:val="866"/>
    <w:qFormat/>
    <w:pPr>
      <w:ind w:firstLine="567"/>
      <w:spacing w:line="480" w:lineRule="exact"/>
      <w:widowControl/>
    </w:pPr>
    <w:rPr>
      <w:rFonts w:ascii="宋体"/>
      <w:color w:val="000000"/>
      <w:sz w:val="28"/>
      <w:szCs w:val="20"/>
      <w:lang w:val="zh-CN" w:eastAsia="zh-CN"/>
    </w:rPr>
  </w:style>
  <w:style w:type="paragraph" w:styleId="1107">
    <w:name w:val="Revision"/>
    <w:next w:val="1107"/>
    <w:link w:val="866"/>
    <w:qFormat/>
    <w:rPr>
      <w:sz w:val="21"/>
      <w:szCs w:val="24"/>
      <w:lang w:val="en-US" w:eastAsia="zh-CN" w:bidi="ar-SA"/>
    </w:rPr>
  </w:style>
  <w:style w:type="paragraph" w:styleId="1108">
    <w:name w:val="Char22"/>
    <w:basedOn w:val="866"/>
    <w:next w:val="1108"/>
    <w:link w:val="866"/>
    <w:qFormat/>
    <w:rPr>
      <w:rFonts w:ascii="Tahoma" w:hAnsi="Tahoma"/>
      <w:sz w:val="24"/>
      <w:szCs w:val="20"/>
    </w:rPr>
  </w:style>
  <w:style w:type="paragraph" w:styleId="1109">
    <w:name w:val="Char Char Char Char Char Char Char Char Char Char2"/>
    <w:basedOn w:val="866"/>
    <w:next w:val="1109"/>
    <w:link w:val="866"/>
    <w:qFormat/>
    <w:rPr>
      <w:rFonts w:ascii="宋体" w:hAnsi="宋体" w:cs="Courier New"/>
      <w:sz w:val="32"/>
      <w:szCs w:val="32"/>
    </w:rPr>
  </w:style>
  <w:style w:type="paragraph" w:styleId="1110">
    <w:name w:val="Char2 Char Char Char Char Char Char1"/>
    <w:basedOn w:val="866"/>
    <w:next w:val="1110"/>
    <w:link w:val="866"/>
    <w:qFormat/>
    <w:pPr>
      <w:jc w:val="center"/>
      <w:spacing w:line="400" w:lineRule="exact"/>
      <w:widowControl/>
    </w:pPr>
  </w:style>
  <w:style w:type="character" w:styleId="1111">
    <w:name w:val="页脚 Char"/>
    <w:next w:val="1111"/>
    <w:link w:val="866"/>
    <w:qFormat/>
    <w:rPr>
      <w:rFonts w:ascii="宋体" w:eastAsia="宋体"/>
      <w:sz w:val="18"/>
      <w:lang w:val="en-US" w:eastAsia="zh-CN" w:bidi="ar-SA"/>
    </w:rPr>
  </w:style>
  <w:style w:type="paragraph" w:styleId="1112">
    <w:name w:val="Char Char41"/>
    <w:basedOn w:val="866"/>
    <w:next w:val="1112"/>
    <w:link w:val="866"/>
    <w:qFormat/>
    <w:pPr>
      <w:jc w:val="center"/>
      <w:spacing w:line="400" w:lineRule="exact"/>
      <w:widowControl/>
    </w:pPr>
  </w:style>
  <w:style w:type="character" w:styleId="1113">
    <w:name w:val="批注文字 Char"/>
    <w:next w:val="1113"/>
    <w:link w:val="866"/>
    <w:uiPriority w:val="99"/>
    <w:qFormat/>
    <w:rPr>
      <w:sz w:val="21"/>
      <w:szCs w:val="24"/>
    </w:rPr>
  </w:style>
  <w:style w:type="character" w:styleId="1114">
    <w:name w:val="标题 Char"/>
    <w:next w:val="1114"/>
    <w:link w:val="866"/>
    <w:qFormat/>
    <w:rPr>
      <w:b/>
      <w:sz w:val="32"/>
    </w:rPr>
  </w:style>
  <w:style w:type="paragraph" w:styleId="1115">
    <w:name w:val="图例"/>
    <w:basedOn w:val="866"/>
    <w:next w:val="1115"/>
    <w:link w:val="866"/>
    <w:qFormat/>
    <w:pPr>
      <w:jc w:val="center"/>
      <w:spacing w:before="120" w:after="120" w:line="360" w:lineRule="auto"/>
    </w:pPr>
    <w:rPr>
      <w:rFonts w:eastAsia="仿宋_GB2312"/>
      <w:b/>
      <w:sz w:val="24"/>
      <w:szCs w:val="20"/>
    </w:rPr>
  </w:style>
  <w:style w:type="table" w:styleId="1116">
    <w:name w:val="Table Normal"/>
    <w:next w:val="1116"/>
    <w:link w:val="866"/>
    <w:uiPriority w:val="2"/>
    <w:unhideWhenUsed/>
    <w:qFormat/>
    <w:pPr>
      <w:widowControl w:val="off"/>
    </w:pPr>
    <w:rPr>
      <w:rFonts w:ascii="Calibri" w:hAnsi="Calibri"/>
      <w:sz w:val="22"/>
      <w:szCs w:val="22"/>
      <w:lang w:val="en-US" w:eastAsia="en-US" w:bidi="ar-SA"/>
    </w:rPr>
    <w:tblPr/>
  </w:style>
  <w:style w:type="paragraph" w:styleId="1117">
    <w:name w:val="Table Paragraph"/>
    <w:basedOn w:val="866"/>
    <w:next w:val="1117"/>
    <w:link w:val="866"/>
    <w:uiPriority w:val="1"/>
    <w:qFormat/>
    <w:pPr>
      <w:jc w:val="left"/>
    </w:pPr>
    <w:rPr>
      <w:rFonts w:ascii="宋体" w:hAnsi="宋体" w:cs="宋体"/>
      <w:sz w:val="22"/>
      <w:szCs w:val="22"/>
      <w:lang w:eastAsia="en-US"/>
    </w:rPr>
  </w:style>
  <w:style w:type="paragraph" w:styleId="1118">
    <w:name w:val="成文日期"/>
    <w:basedOn w:val="866"/>
    <w:next w:val="1118"/>
    <w:link w:val="1119"/>
    <w:qFormat/>
    <w:pPr>
      <w:ind w:right="400" w:firstLine="200"/>
      <w:jc w:val="right"/>
      <w:spacing w:line="570" w:lineRule="exact"/>
    </w:pPr>
    <w:rPr>
      <w:rFonts w:ascii="仿宋_GB2312" w:eastAsia="仿宋_GB2312"/>
      <w:sz w:val="32"/>
      <w:szCs w:val="20"/>
    </w:rPr>
  </w:style>
  <w:style w:type="character" w:styleId="1119">
    <w:name w:val="成文日期 Char"/>
    <w:next w:val="1119"/>
    <w:link w:val="1118"/>
    <w:rPr>
      <w:rFonts w:ascii="仿宋_GB2312" w:eastAsia="仿宋_GB2312"/>
      <w:sz w:val="32"/>
    </w:rPr>
  </w:style>
  <w:style w:type="paragraph" w:styleId="1120">
    <w:name w:val="修订"/>
    <w:next w:val="1120"/>
    <w:link w:val="866"/>
    <w:uiPriority w:val="99"/>
    <w:unhideWhenUsed/>
    <w:rPr>
      <w:sz w:val="21"/>
      <w:szCs w:val="24"/>
      <w:lang w:val="en-US" w:eastAsia="zh-CN" w:bidi="ar-SA"/>
    </w:rPr>
  </w:style>
  <w:style w:type="character" w:styleId="1121">
    <w:name w:val="font91"/>
    <w:basedOn w:val="876"/>
    <w:next w:val="1121"/>
    <w:link w:val="866"/>
    <w:rPr>
      <w:rFonts w:hint="eastAsia" w:ascii="宋体" w:hAnsi="宋体" w:eastAsia="宋体" w:cs="宋体"/>
      <w:i w:val="0"/>
      <w:iCs w:val="0"/>
      <w:color w:val="000000"/>
      <w:sz w:val="20"/>
      <w:szCs w:val="20"/>
      <w:u w:val="none"/>
    </w:rPr>
  </w:style>
  <w:style w:type="character" w:styleId="1122">
    <w:name w:val="font61"/>
    <w:basedOn w:val="876"/>
    <w:next w:val="1122"/>
    <w:link w:val="866"/>
    <w:rPr>
      <w:rFonts w:hint="eastAsia" w:ascii="宋体" w:hAnsi="宋体" w:eastAsia="宋体" w:cs="宋体"/>
      <w:i w:val="0"/>
      <w:iCs w:val="0"/>
      <w:color w:val="000000"/>
      <w:sz w:val="20"/>
      <w:szCs w:val="20"/>
      <w:u w:val="none"/>
    </w:rPr>
  </w:style>
  <w:style w:type="paragraph" w:styleId="1123">
    <w:name w:val="p15"/>
    <w:basedOn w:val="866"/>
    <w:next w:val="1123"/>
    <w:link w:val="866"/>
    <w:qFormat/>
    <w:pPr>
      <w:ind w:firstLine="420"/>
      <w:widowControl/>
    </w:pPr>
    <w:rPr>
      <w:szCs w:val="21"/>
    </w:rPr>
  </w:style>
  <w:style w:type="character" w:styleId="1124">
    <w:name w:val="font31"/>
    <w:next w:val="1124"/>
    <w:link w:val="866"/>
    <w:qFormat/>
    <w:rPr>
      <w:rFonts w:hint="eastAsia" w:ascii="宋体" w:hAnsi="宋体" w:eastAsia="宋体" w:cs="宋体"/>
      <w:color w:val="000000"/>
      <w:sz w:val="18"/>
      <w:szCs w:val="18"/>
      <w:u w:val="none"/>
    </w:rPr>
  </w:style>
  <w:style w:type="character" w:styleId="1125">
    <w:name w:val="font41"/>
    <w:basedOn w:val="876"/>
    <w:next w:val="1125"/>
    <w:link w:val="866"/>
    <w:qFormat/>
    <w:rPr>
      <w:rFonts w:hint="eastAsia" w:ascii="宋体" w:hAnsi="宋体" w:eastAsia="宋体" w:cs="宋体"/>
      <w:color w:val="000000"/>
      <w:sz w:val="24"/>
      <w:szCs w:val="24"/>
      <w:u w:val="none"/>
    </w:rPr>
  </w:style>
  <w:style w:type="character" w:styleId="1126">
    <w:name w:val="font51"/>
    <w:basedOn w:val="876"/>
    <w:next w:val="1126"/>
    <w:link w:val="866"/>
    <w:qFormat/>
    <w:rPr>
      <w:rFonts w:hint="eastAsia" w:ascii="宋体" w:hAnsi="宋体" w:eastAsia="宋体" w:cs="宋体"/>
      <w:color w:val="000000"/>
      <w:sz w:val="24"/>
      <w:szCs w:val="24"/>
      <w:u w:val="none"/>
    </w:rPr>
  </w:style>
  <w:style w:type="character" w:styleId="1127">
    <w:name w:val="NormalCharacter1"/>
    <w:next w:val="1127"/>
    <w:link w:val="866"/>
    <w:semiHidden/>
    <w:qFormat/>
  </w:style>
  <w:style w:type="paragraph" w:styleId="1128">
    <w:name w:val="正文首行缩进 21"/>
    <w:next w:val="866"/>
    <w:link w:val="866"/>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29">
    <w:name w:val="正文文本1"/>
    <w:next w:val="1129"/>
    <w:link w:val="86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30">
    <w:name w:val="font11"/>
    <w:basedOn w:val="876"/>
    <w:next w:val="1130"/>
    <w:link w:val="866"/>
    <w:rPr>
      <w:rFonts w:hint="eastAsia" w:ascii="宋体" w:hAnsi="宋体" w:eastAsia="宋体" w:cs="宋体"/>
      <w:i w:val="0"/>
      <w:iCs w:val="0"/>
      <w:color w:val="000000"/>
      <w:sz w:val="22"/>
      <w:szCs w:val="22"/>
      <w:u w:val="none"/>
    </w:rPr>
  </w:style>
  <w:style w:type="paragraph" w:styleId="1131">
    <w:name w:val="普通(网站)1"/>
    <w:basedOn w:val="866"/>
    <w:next w:val="1131"/>
    <w:link w:val="866"/>
    <w:uiPriority w:val="99"/>
    <w:unhideWhenUsed/>
    <w:qFormat/>
    <w:pPr>
      <w:jc w:val="left"/>
      <w:spacing w:before="100" w:beforeAutospacing="1" w:after="100" w:afterAutospacing="1"/>
      <w:widowControl/>
    </w:pPr>
    <w:rPr>
      <w:rFonts w:ascii="宋体" w:hAnsi="宋体" w:cs="宋体"/>
      <w:sz w:val="24"/>
    </w:rPr>
  </w:style>
  <w:style w:type="paragraph" w:styleId="1132">
    <w:name w:val="正文1"/>
    <w:basedOn w:val="866"/>
    <w:next w:val="1132"/>
    <w:link w:val="866"/>
    <w:qFormat/>
    <w:pPr>
      <w:contextualSpacing/>
      <w:ind w:firstLine="200"/>
      <w:jc w:val="left"/>
      <w:spacing w:before="120" w:after="120"/>
      <w:widowControl/>
    </w:pPr>
    <w:rPr>
      <w:rFonts w:ascii="Calibri" w:hAnsi="Calibri" w:eastAsia="Adobe 仿宋 Std R"/>
      <w:sz w:val="20"/>
      <w:szCs w:val="21"/>
    </w:rPr>
  </w:style>
  <w:style w:type="paragraph" w:styleId="1133">
    <w:name w:val="正文首行缩进1"/>
    <w:basedOn w:val="1129"/>
    <w:next w:val="1133"/>
    <w:link w:val="866"/>
    <w:uiPriority w:val="99"/>
    <w:qFormat/>
    <w:pPr>
      <w:ind w:firstLine="420"/>
      <w:tabs>
        <w:tab w:val="left" w:pos="567" w:leader="none"/>
      </w:tabs>
    </w:pPr>
  </w:style>
  <w:style w:type="paragraph" w:styleId="1134">
    <w:name w:val="标题 21"/>
    <w:basedOn w:val="866"/>
    <w:next w:val="1135"/>
    <w:link w:val="866"/>
    <w:qFormat/>
    <w:pPr>
      <w:jc w:val="center"/>
      <w:keepLines/>
      <w:keepNext/>
      <w:spacing w:before="120" w:line="300" w:lineRule="auto"/>
      <w:outlineLvl w:val="1"/>
    </w:pPr>
    <w:rPr>
      <w:rFonts w:ascii="Arial" w:hAnsi="Arial" w:eastAsia="黑体"/>
      <w:b/>
      <w:sz w:val="30"/>
      <w:szCs w:val="20"/>
    </w:rPr>
  </w:style>
  <w:style w:type="paragraph" w:styleId="1135">
    <w:name w:val="正文缩进11"/>
    <w:basedOn w:val="866"/>
    <w:next w:val="1135"/>
    <w:link w:val="866"/>
    <w:uiPriority w:val="99"/>
    <w:qFormat/>
    <w:pPr>
      <w:ind w:firstLine="420"/>
      <w:jc w:val="left"/>
    </w:pPr>
    <w:rPr>
      <w:rFonts w:ascii="宋体"/>
      <w:sz w:val="24"/>
    </w:rPr>
  </w:style>
  <w:style w:type="paragraph" w:styleId="1136">
    <w:name w:val="N3"/>
    <w:basedOn w:val="1137"/>
    <w:next w:val="1136"/>
    <w:link w:val="866"/>
    <w:qFormat/>
    <w:pPr>
      <w:numPr>
        <w:ilvl w:val="2"/>
      </w:numPr>
      <w:outlineLvl w:val="2"/>
    </w:pPr>
    <w:rPr>
      <w:rFonts w:ascii="Times New Roman" w:hAnsi="Times New Roman" w:cs="Times New Roman"/>
      <w:sz w:val="24"/>
      <w:szCs w:val="24"/>
    </w:rPr>
  </w:style>
  <w:style w:type="paragraph" w:styleId="1137">
    <w:name w:val="N2"/>
    <w:basedOn w:val="1138"/>
    <w:next w:val="1137"/>
    <w:link w:val="866"/>
    <w:qFormat/>
    <w:pPr>
      <w:numPr>
        <w:ilvl w:val="1"/>
      </w:numPr>
      <w:outlineLvl w:val="1"/>
    </w:pPr>
  </w:style>
  <w:style w:type="paragraph" w:styleId="1138">
    <w:name w:val="N1"/>
    <w:basedOn w:val="866"/>
    <w:next w:val="1138"/>
    <w:link w:val="866"/>
    <w:qFormat/>
    <w:pPr>
      <w:numPr>
        <w:ilvl w:val="0"/>
        <w:numId w:val="8"/>
      </w:numPr>
      <w:spacing w:line="360" w:lineRule="auto"/>
      <w:outlineLvl w:val="0"/>
    </w:pPr>
    <w:rPr>
      <w:rFonts w:eastAsia="宋体"/>
      <w:b/>
      <w:sz w:val="30"/>
    </w:rPr>
  </w:style>
  <w:style w:type="paragraph" w:styleId="1139">
    <w:name w:val="N4"/>
    <w:basedOn w:val="1136"/>
    <w:next w:val="1139"/>
    <w:link w:val="866"/>
    <w:qFormat/>
    <w:pPr>
      <w:numPr>
        <w:ilvl w:val="3"/>
      </w:numPr>
      <w:outlineLvl w:val="3"/>
    </w:pPr>
    <w:rPr>
      <w:sz w:val="30"/>
    </w:rPr>
  </w:style>
  <w:style w:type="character" w:styleId="1140" w:default="1">
    <w:name w:val="Default Paragraph Font"/>
    <w:uiPriority w:val="1"/>
    <w:semiHidden/>
    <w:unhideWhenUsed/>
  </w:style>
  <w:style w:type="numbering" w:styleId="1141" w:default="1">
    <w:name w:val="No List"/>
    <w:uiPriority w:val="99"/>
    <w:semiHidden/>
    <w:unhideWhenUsed/>
  </w:style>
  <w:style w:type="table" w:styleId="11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2026-05-20T06:35:08Z</dcterms:modified>
</cp:coreProperties>
</file>